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C1335" w14:textId="24002829" w:rsidR="00081B7A" w:rsidRPr="00363097" w:rsidRDefault="008D52AB" w:rsidP="008D52AB">
      <w:pPr>
        <w:pStyle w:val="Pagedecouverture"/>
        <w:rPr>
          <w:noProof/>
        </w:rPr>
      </w:pPr>
      <w:r>
        <w:rPr>
          <w:noProof/>
        </w:rPr>
        <w:pict w14:anchorId="7719B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D124542A-E893-4BD3-86DA-633C9EA79094" style="width:455.25pt;height:355.5pt">
            <v:imagedata r:id="rId12" o:title=""/>
          </v:shape>
        </w:pict>
      </w:r>
    </w:p>
    <w:p w14:paraId="75A9B743" w14:textId="77777777" w:rsidR="00081B7A" w:rsidRPr="00363097" w:rsidRDefault="00081B7A" w:rsidP="00081B7A">
      <w:pPr>
        <w:rPr>
          <w:noProof/>
        </w:rPr>
        <w:sectPr w:rsidR="00081B7A" w:rsidRPr="00363097" w:rsidSect="008D52AB">
          <w:footerReference w:type="default" r:id="rId13"/>
          <w:pgSz w:w="11907" w:h="16839"/>
          <w:pgMar w:top="1134" w:right="1417" w:bottom="1134" w:left="1417" w:header="709" w:footer="709" w:gutter="0"/>
          <w:pgNumType w:start="0"/>
          <w:cols w:space="720"/>
          <w:docGrid w:linePitch="360"/>
        </w:sectPr>
      </w:pPr>
    </w:p>
    <w:p w14:paraId="0AE86B78" w14:textId="77777777" w:rsidR="00081B7A" w:rsidRPr="00363097" w:rsidRDefault="00081B7A" w:rsidP="00081B7A">
      <w:pPr>
        <w:pStyle w:val="Exposdesmotifstitre"/>
        <w:rPr>
          <w:noProof/>
        </w:rPr>
      </w:pPr>
      <w:bookmarkStart w:id="0" w:name="_GoBack"/>
      <w:bookmarkEnd w:id="0"/>
      <w:r w:rsidRPr="00363097">
        <w:rPr>
          <w:noProof/>
        </w:rPr>
        <w:lastRenderedPageBreak/>
        <w:t>EXPLANATORY MEMORANDUM</w:t>
      </w:r>
    </w:p>
    <w:p w14:paraId="116FA440" w14:textId="77777777" w:rsidR="00081B7A" w:rsidRPr="00363097" w:rsidRDefault="00081B7A" w:rsidP="00081B7A">
      <w:pPr>
        <w:pStyle w:val="ManualHeading1"/>
        <w:widowControl w:val="0"/>
        <w:shd w:val="clear" w:color="auto" w:fill="FFFFFF" w:themeFill="background1"/>
        <w:spacing w:before="230" w:after="0" w:line="269" w:lineRule="exact"/>
        <w:rPr>
          <w:noProof/>
          <w:lang w:val="en-US"/>
        </w:rPr>
      </w:pPr>
      <w:r w:rsidRPr="00363097">
        <w:rPr>
          <w:noProof/>
        </w:rPr>
        <w:t>1.</w:t>
      </w:r>
      <w:r w:rsidRPr="00363097">
        <w:rPr>
          <w:noProof/>
        </w:rPr>
        <w:tab/>
        <w:t>CONTEXT OF THE PROPOSAL</w:t>
      </w:r>
    </w:p>
    <w:p w14:paraId="02FCF3EF" w14:textId="77777777" w:rsidR="00081B7A" w:rsidRPr="00363097" w:rsidRDefault="00081B7A" w:rsidP="00081B7A">
      <w:pPr>
        <w:pStyle w:val="ManualHeading2"/>
        <w:rPr>
          <w:rFonts w:eastAsia="Arial Unicode MS"/>
          <w:noProof/>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r>
      <w:r w:rsidRPr="00363097">
        <w:rPr>
          <w:rFonts w:eastAsia="Arial Unicode MS"/>
          <w:noProof/>
        </w:rPr>
        <w:t>Reasons for and objectives of the proposal</w:t>
      </w:r>
    </w:p>
    <w:p w14:paraId="3D26D2A5" w14:textId="77777777" w:rsidR="00756CF4" w:rsidRPr="00363097" w:rsidRDefault="002C72CD" w:rsidP="00081B7A">
      <w:pPr>
        <w:pBdr>
          <w:top w:val="nil"/>
          <w:left w:val="nil"/>
          <w:bottom w:val="nil"/>
          <w:right w:val="nil"/>
          <w:between w:val="nil"/>
          <w:bar w:val="nil"/>
        </w:pBdr>
        <w:spacing w:before="0" w:after="240"/>
        <w:rPr>
          <w:noProof/>
        </w:rPr>
      </w:pPr>
      <w:r w:rsidRPr="00363097">
        <w:rPr>
          <w:noProof/>
        </w:rPr>
        <w:t>The BEFIT proposal</w:t>
      </w:r>
      <w:r w:rsidR="00756CF4" w:rsidRPr="00363097">
        <w:rPr>
          <w:noProof/>
        </w:rPr>
        <w:t xml:space="preserve"> was announced in the Communication on Business Taxation for the 21st Century in May 2021</w:t>
      </w:r>
      <w:r w:rsidR="00756CF4" w:rsidRPr="00363097">
        <w:rPr>
          <w:rStyle w:val="FootnoteReference0"/>
          <w:noProof/>
        </w:rPr>
        <w:footnoteReference w:id="2"/>
      </w:r>
      <w:r w:rsidR="00756CF4" w:rsidRPr="00363097">
        <w:rPr>
          <w:noProof/>
        </w:rPr>
        <w:t>. The proposal is also included in the Commission Work Programme 2023</w:t>
      </w:r>
      <w:r w:rsidR="00756CF4" w:rsidRPr="00363097">
        <w:rPr>
          <w:rStyle w:val="FootnoteReference0"/>
          <w:noProof/>
        </w:rPr>
        <w:footnoteReference w:id="3"/>
      </w:r>
      <w:r w:rsidR="00756CF4" w:rsidRPr="00363097">
        <w:rPr>
          <w:noProof/>
        </w:rPr>
        <w:t xml:space="preserve"> and </w:t>
      </w:r>
      <w:r w:rsidR="000204FB" w:rsidRPr="00363097">
        <w:rPr>
          <w:noProof/>
        </w:rPr>
        <w:t xml:space="preserve">it </w:t>
      </w:r>
      <w:r w:rsidR="00756CF4" w:rsidRPr="00363097">
        <w:rPr>
          <w:noProof/>
        </w:rPr>
        <w:t>is also relevant from an own resource perspective, as set out in the 2021 Communication on the next generation of own resources for the Union budget</w:t>
      </w:r>
      <w:r w:rsidR="00756CF4" w:rsidRPr="00363097">
        <w:rPr>
          <w:rStyle w:val="FootnoteReference0"/>
          <w:noProof/>
        </w:rPr>
        <w:footnoteReference w:id="4"/>
      </w:r>
      <w:r w:rsidR="00756CF4" w:rsidRPr="00363097">
        <w:rPr>
          <w:noProof/>
        </w:rPr>
        <w:t xml:space="preserve">. </w:t>
      </w:r>
    </w:p>
    <w:p w14:paraId="156BCDFA" w14:textId="6CA4B36B" w:rsidR="00081B7A" w:rsidRPr="00363097" w:rsidRDefault="00081B7A" w:rsidP="00081B7A">
      <w:pPr>
        <w:pBdr>
          <w:top w:val="nil"/>
          <w:left w:val="nil"/>
          <w:bottom w:val="nil"/>
          <w:right w:val="nil"/>
          <w:between w:val="nil"/>
          <w:bar w:val="nil"/>
        </w:pBdr>
        <w:spacing w:before="0" w:after="240"/>
        <w:rPr>
          <w:rFonts w:eastAsia="Times New Roman"/>
          <w:noProof/>
          <w:lang w:eastAsia="en-IE"/>
        </w:rPr>
      </w:pPr>
      <w:r w:rsidRPr="00363097">
        <w:rPr>
          <w:rFonts w:eastAsia="Arial Unicode MS"/>
          <w:noProof/>
        </w:rPr>
        <w:t xml:space="preserve">The idea to develop a common corporate tax framework in support of the </w:t>
      </w:r>
      <w:r w:rsidR="00CA04C9" w:rsidRPr="00363097">
        <w:rPr>
          <w:rFonts w:eastAsia="Arial Unicode MS"/>
          <w:noProof/>
        </w:rPr>
        <w:t>i</w:t>
      </w:r>
      <w:r w:rsidR="00CF2BFC" w:rsidRPr="00363097">
        <w:rPr>
          <w:rFonts w:eastAsia="Arial Unicode MS"/>
          <w:noProof/>
        </w:rPr>
        <w:t>nternal market</w:t>
      </w:r>
      <w:r w:rsidRPr="00363097">
        <w:rPr>
          <w:rFonts w:eastAsia="Arial Unicode MS"/>
          <w:noProof/>
        </w:rPr>
        <w:t xml:space="preserve"> has always been part of the Union’s history and first appeared in policy documents of the European Economic Community as early as the 1960s. </w:t>
      </w:r>
      <w:r w:rsidR="00377082" w:rsidRPr="00363097">
        <w:rPr>
          <w:rFonts w:eastAsia="Arial Unicode MS"/>
          <w:noProof/>
        </w:rPr>
        <w:t>However, a</w:t>
      </w:r>
      <w:r w:rsidRPr="00363097">
        <w:rPr>
          <w:rFonts w:eastAsia="Arial Unicode MS"/>
          <w:noProof/>
        </w:rPr>
        <w:t xml:space="preserve">s we celebrate 30 years of the </w:t>
      </w:r>
      <w:r w:rsidR="00462681" w:rsidRPr="00363097">
        <w:rPr>
          <w:rFonts w:eastAsia="Arial Unicode MS"/>
          <w:noProof/>
        </w:rPr>
        <w:t>i</w:t>
      </w:r>
      <w:r w:rsidR="00CF2BFC" w:rsidRPr="00363097">
        <w:rPr>
          <w:rFonts w:eastAsia="Arial Unicode MS"/>
          <w:noProof/>
        </w:rPr>
        <w:t>nternal market</w:t>
      </w:r>
      <w:r w:rsidRPr="00363097">
        <w:rPr>
          <w:rFonts w:eastAsia="Arial Unicode MS"/>
          <w:noProof/>
        </w:rPr>
        <w:t>, there are still no common rules to calculate the taxable income of businesses</w:t>
      </w:r>
      <w:r w:rsidR="004C699F" w:rsidRPr="00363097">
        <w:rPr>
          <w:rFonts w:eastAsia="Arial Unicode MS"/>
          <w:noProof/>
        </w:rPr>
        <w:t xml:space="preserve"> operating in the Union. Therefore</w:t>
      </w:r>
      <w:r w:rsidRPr="00363097">
        <w:rPr>
          <w:rFonts w:eastAsia="Arial Unicode MS"/>
          <w:noProof/>
        </w:rPr>
        <w:t xml:space="preserve">, </w:t>
      </w:r>
      <w:r w:rsidR="004C699F" w:rsidRPr="00363097">
        <w:rPr>
          <w:rFonts w:eastAsia="Arial Unicode MS"/>
          <w:noProof/>
        </w:rPr>
        <w:t>businesses have to comply with (up to)</w:t>
      </w:r>
      <w:r w:rsidRPr="00363097">
        <w:rPr>
          <w:rFonts w:eastAsia="Arial Unicode MS"/>
          <w:noProof/>
        </w:rPr>
        <w:t xml:space="preserve"> 27 different national </w:t>
      </w:r>
      <w:r w:rsidR="004C699F" w:rsidRPr="00363097">
        <w:rPr>
          <w:rFonts w:eastAsia="Arial Unicode MS"/>
          <w:noProof/>
        </w:rPr>
        <w:t>tax</w:t>
      </w:r>
      <w:r w:rsidRPr="00363097">
        <w:rPr>
          <w:rFonts w:eastAsia="Arial Unicode MS"/>
          <w:noProof/>
        </w:rPr>
        <w:t xml:space="preserve"> systems, making it difficult and costly for companies to do business across the Union.</w:t>
      </w:r>
      <w:r w:rsidR="002D601D" w:rsidRPr="00363097">
        <w:rPr>
          <w:rFonts w:eastAsia="Arial Unicode MS"/>
          <w:noProof/>
        </w:rPr>
        <w:t xml:space="preserve"> The </w:t>
      </w:r>
      <w:r w:rsidR="006E188D" w:rsidRPr="00363097">
        <w:rPr>
          <w:rFonts w:eastAsia="Arial Unicode MS"/>
          <w:noProof/>
        </w:rPr>
        <w:t>c</w:t>
      </w:r>
      <w:r w:rsidR="002D601D" w:rsidRPr="00363097">
        <w:rPr>
          <w:rFonts w:eastAsia="Times New Roman"/>
          <w:noProof/>
          <w:lang w:eastAsia="en-IE"/>
        </w:rPr>
        <w:t>omplexity</w:t>
      </w:r>
      <w:r w:rsidR="00DA32D9" w:rsidRPr="00363097">
        <w:rPr>
          <w:rFonts w:eastAsia="Times New Roman"/>
          <w:noProof/>
          <w:lang w:eastAsia="en-IE"/>
        </w:rPr>
        <w:t xml:space="preserve"> </w:t>
      </w:r>
      <w:r w:rsidR="00177FE0" w:rsidRPr="00363097">
        <w:rPr>
          <w:rFonts w:eastAsia="Times New Roman"/>
          <w:noProof/>
          <w:lang w:eastAsia="en-IE"/>
        </w:rPr>
        <w:t>of</w:t>
      </w:r>
      <w:r w:rsidR="00026757" w:rsidRPr="00363097">
        <w:rPr>
          <w:rFonts w:eastAsia="Times New Roman"/>
          <w:noProof/>
          <w:lang w:eastAsia="en-IE"/>
        </w:rPr>
        <w:t>,</w:t>
      </w:r>
      <w:r w:rsidR="00DA32D9" w:rsidRPr="00363097">
        <w:rPr>
          <w:rFonts w:eastAsia="Times New Roman"/>
          <w:noProof/>
          <w:lang w:eastAsia="en-IE"/>
        </w:rPr>
        <w:t xml:space="preserve"> and discrepancies in</w:t>
      </w:r>
      <w:r w:rsidR="00026757" w:rsidRPr="00363097">
        <w:rPr>
          <w:rFonts w:eastAsia="Times New Roman"/>
          <w:noProof/>
          <w:lang w:eastAsia="en-IE"/>
        </w:rPr>
        <w:t>,</w:t>
      </w:r>
      <w:r w:rsidR="00DA32D9" w:rsidRPr="00363097">
        <w:rPr>
          <w:rFonts w:eastAsia="Times New Roman"/>
          <w:noProof/>
          <w:lang w:eastAsia="en-IE"/>
        </w:rPr>
        <w:t xml:space="preserve"> the interaction of </w:t>
      </w:r>
      <w:r w:rsidR="00D44504" w:rsidRPr="00363097">
        <w:rPr>
          <w:rFonts w:eastAsia="Times New Roman"/>
          <w:noProof/>
          <w:lang w:eastAsia="en-IE"/>
        </w:rPr>
        <w:t>the different</w:t>
      </w:r>
      <w:r w:rsidR="00DA32D9" w:rsidRPr="00363097">
        <w:rPr>
          <w:rFonts w:eastAsia="Times New Roman"/>
          <w:noProof/>
          <w:lang w:eastAsia="en-IE"/>
        </w:rPr>
        <w:t xml:space="preserve"> tax systems create an </w:t>
      </w:r>
      <w:r w:rsidR="00B638F5">
        <w:rPr>
          <w:rFonts w:eastAsia="Times New Roman"/>
          <w:noProof/>
          <w:lang w:eastAsia="en-IE"/>
        </w:rPr>
        <w:t>uneven</w:t>
      </w:r>
      <w:r w:rsidR="00DA32D9" w:rsidRPr="00363097">
        <w:rPr>
          <w:rFonts w:eastAsia="Times New Roman"/>
          <w:noProof/>
          <w:lang w:eastAsia="en-IE"/>
        </w:rPr>
        <w:t xml:space="preserve"> playing field </w:t>
      </w:r>
      <w:r w:rsidR="00B638F5">
        <w:rPr>
          <w:rFonts w:eastAsia="Times New Roman"/>
          <w:noProof/>
          <w:lang w:eastAsia="en-IE"/>
        </w:rPr>
        <w:t>and</w:t>
      </w:r>
      <w:r w:rsidR="002D601D" w:rsidRPr="00363097">
        <w:rPr>
          <w:rFonts w:eastAsia="Times New Roman"/>
          <w:noProof/>
          <w:lang w:eastAsia="en-IE"/>
        </w:rPr>
        <w:t xml:space="preserve"> increases tax uncertainty and tax compliance costs </w:t>
      </w:r>
      <w:r w:rsidR="009248FB" w:rsidRPr="00363097">
        <w:rPr>
          <w:rFonts w:eastAsia="Times New Roman"/>
          <w:noProof/>
          <w:lang w:eastAsia="en-IE"/>
        </w:rPr>
        <w:t>for</w:t>
      </w:r>
      <w:r w:rsidR="002D601D" w:rsidRPr="00363097">
        <w:rPr>
          <w:rFonts w:eastAsia="Times New Roman"/>
          <w:noProof/>
          <w:lang w:eastAsia="en-IE"/>
        </w:rPr>
        <w:t xml:space="preserve"> businesses operating in more than one Member State. This</w:t>
      </w:r>
      <w:r w:rsidR="007B7D09" w:rsidRPr="00363097">
        <w:rPr>
          <w:rFonts w:eastAsia="Times New Roman"/>
          <w:noProof/>
          <w:lang w:eastAsia="en-IE"/>
        </w:rPr>
        <w:t xml:space="preserve"> has an adverse effect </w:t>
      </w:r>
      <w:r w:rsidR="009C4646" w:rsidRPr="00363097">
        <w:rPr>
          <w:rFonts w:eastAsia="Times New Roman"/>
          <w:noProof/>
          <w:lang w:eastAsia="en-IE"/>
        </w:rPr>
        <w:t>on the</w:t>
      </w:r>
      <w:r w:rsidR="002707B9" w:rsidRPr="00363097">
        <w:rPr>
          <w:rFonts w:eastAsia="Times New Roman"/>
          <w:noProof/>
          <w:lang w:eastAsia="en-IE"/>
        </w:rPr>
        <w:t xml:space="preserve"> functioning of the </w:t>
      </w:r>
      <w:r w:rsidR="008162BE" w:rsidRPr="00363097">
        <w:rPr>
          <w:rFonts w:eastAsia="Times New Roman"/>
          <w:noProof/>
          <w:lang w:eastAsia="en-IE"/>
        </w:rPr>
        <w:t>i</w:t>
      </w:r>
      <w:r w:rsidR="002707B9" w:rsidRPr="00363097">
        <w:rPr>
          <w:rFonts w:eastAsia="Times New Roman"/>
          <w:noProof/>
          <w:lang w:eastAsia="en-IE"/>
        </w:rPr>
        <w:t xml:space="preserve">nternal market </w:t>
      </w:r>
      <w:r w:rsidR="007B7D09" w:rsidRPr="00363097">
        <w:rPr>
          <w:rFonts w:eastAsia="Times New Roman"/>
          <w:noProof/>
          <w:lang w:eastAsia="en-IE"/>
        </w:rPr>
        <w:t>as it</w:t>
      </w:r>
      <w:r w:rsidR="002D601D" w:rsidRPr="00363097">
        <w:rPr>
          <w:rFonts w:eastAsia="Times New Roman"/>
          <w:noProof/>
          <w:lang w:eastAsia="en-IE"/>
        </w:rPr>
        <w:t xml:space="preserve"> discourages </w:t>
      </w:r>
      <w:r w:rsidR="002D601D" w:rsidRPr="00363097">
        <w:rPr>
          <w:noProof/>
        </w:rPr>
        <w:t>cross-border investment</w:t>
      </w:r>
      <w:r w:rsidR="002707B9" w:rsidRPr="00363097">
        <w:rPr>
          <w:noProof/>
        </w:rPr>
        <w:t xml:space="preserve">s </w:t>
      </w:r>
      <w:r w:rsidR="007B7D09" w:rsidRPr="00363097">
        <w:rPr>
          <w:rFonts w:eastAsia="Times New Roman"/>
          <w:noProof/>
          <w:lang w:eastAsia="en-IE"/>
        </w:rPr>
        <w:t xml:space="preserve">and </w:t>
      </w:r>
      <w:r w:rsidR="002134E4" w:rsidRPr="00363097">
        <w:rPr>
          <w:rFonts w:eastAsia="Times New Roman"/>
          <w:noProof/>
          <w:lang w:eastAsia="en-IE"/>
        </w:rPr>
        <w:t xml:space="preserve">puts </w:t>
      </w:r>
      <w:r w:rsidR="007B7D09" w:rsidRPr="00363097">
        <w:rPr>
          <w:rFonts w:eastAsia="Times New Roman"/>
          <w:noProof/>
          <w:lang w:eastAsia="en-IE"/>
        </w:rPr>
        <w:t xml:space="preserve">Union </w:t>
      </w:r>
      <w:r w:rsidR="002D601D" w:rsidRPr="00363097">
        <w:rPr>
          <w:rFonts w:eastAsia="Times New Roman"/>
          <w:noProof/>
          <w:lang w:eastAsia="en-IE"/>
        </w:rPr>
        <w:t>businesses at a competitive disadvantage compared to businesses operating in markets of a comparable size elsewhere in the world.</w:t>
      </w:r>
    </w:p>
    <w:p w14:paraId="63C9A59E" w14:textId="77777777" w:rsidR="00CE4442" w:rsidRPr="00363097" w:rsidRDefault="00CE4442" w:rsidP="00081B7A">
      <w:pPr>
        <w:pBdr>
          <w:top w:val="nil"/>
          <w:left w:val="nil"/>
          <w:bottom w:val="nil"/>
          <w:right w:val="nil"/>
          <w:between w:val="nil"/>
          <w:bar w:val="nil"/>
        </w:pBdr>
        <w:spacing w:before="0" w:after="240"/>
        <w:rPr>
          <w:noProof/>
        </w:rPr>
      </w:pPr>
      <w:r w:rsidRPr="00363097">
        <w:rPr>
          <w:noProof/>
          <w:lang w:val="en-IE"/>
        </w:rPr>
        <w:t xml:space="preserve">In </w:t>
      </w:r>
      <w:r w:rsidR="003B45D2" w:rsidRPr="00363097">
        <w:rPr>
          <w:noProof/>
          <w:lang w:val="en-IE"/>
        </w:rPr>
        <w:t>addition</w:t>
      </w:r>
      <w:r w:rsidRPr="00363097">
        <w:rPr>
          <w:noProof/>
          <w:lang w:val="en-IE"/>
        </w:rPr>
        <w:t xml:space="preserve">, the arm’s length </w:t>
      </w:r>
      <w:r w:rsidR="003B45D2" w:rsidRPr="00363097">
        <w:rPr>
          <w:noProof/>
          <w:lang w:val="en-IE"/>
        </w:rPr>
        <w:t xml:space="preserve">principle in transfer pricing </w:t>
      </w:r>
      <w:r w:rsidRPr="00363097">
        <w:rPr>
          <w:noProof/>
          <w:lang w:val="en-IE"/>
        </w:rPr>
        <w:t>which is used to value transaction</w:t>
      </w:r>
      <w:r w:rsidR="003B45D2" w:rsidRPr="00363097">
        <w:rPr>
          <w:noProof/>
          <w:lang w:val="en-IE"/>
        </w:rPr>
        <w:t>s</w:t>
      </w:r>
      <w:r w:rsidRPr="00363097">
        <w:rPr>
          <w:noProof/>
          <w:lang w:val="en-IE"/>
        </w:rPr>
        <w:t xml:space="preserve"> between associated </w:t>
      </w:r>
      <w:r w:rsidR="00E36705" w:rsidRPr="00363097">
        <w:rPr>
          <w:noProof/>
          <w:lang w:val="en-IE"/>
        </w:rPr>
        <w:t>enterprises</w:t>
      </w:r>
      <w:r w:rsidRPr="00363097">
        <w:rPr>
          <w:noProof/>
          <w:lang w:val="en-IE"/>
        </w:rPr>
        <w:t xml:space="preserve"> does not only result in higher costs and long disputes but also relies on the availability of comparable transactions, which makes it less </w:t>
      </w:r>
      <w:r w:rsidR="00F460CE" w:rsidRPr="00363097">
        <w:rPr>
          <w:noProof/>
          <w:lang w:val="en-IE"/>
        </w:rPr>
        <w:t>accurate</w:t>
      </w:r>
      <w:r w:rsidRPr="00363097">
        <w:rPr>
          <w:noProof/>
          <w:lang w:val="en-IE"/>
        </w:rPr>
        <w:t xml:space="preserve"> especially for </w:t>
      </w:r>
      <w:r w:rsidR="00C97524" w:rsidRPr="00363097">
        <w:rPr>
          <w:noProof/>
          <w:lang w:val="en-IE"/>
        </w:rPr>
        <w:t xml:space="preserve">transactions related to </w:t>
      </w:r>
      <w:r w:rsidRPr="00363097">
        <w:rPr>
          <w:noProof/>
          <w:lang w:val="en-IE"/>
        </w:rPr>
        <w:t>intangible assets</w:t>
      </w:r>
      <w:r w:rsidR="0063639A" w:rsidRPr="00363097">
        <w:rPr>
          <w:noProof/>
          <w:lang w:val="en-IE"/>
        </w:rPr>
        <w:t xml:space="preserve"> (patents, trademarks, goodwill etc.)</w:t>
      </w:r>
      <w:r w:rsidRPr="00363097">
        <w:rPr>
          <w:noProof/>
          <w:lang w:val="en-IE"/>
        </w:rPr>
        <w:t xml:space="preserve">, as these are unique in nature. This makes the tax base of Member States less stable, and businesses risk arbitrary valuation of an important part of their activities. </w:t>
      </w:r>
    </w:p>
    <w:p w14:paraId="49E38846" w14:textId="38A4C652" w:rsidR="00081B7A" w:rsidRPr="00363097" w:rsidRDefault="00D66945" w:rsidP="4823E88C">
      <w:pPr>
        <w:pBdr>
          <w:top w:val="nil"/>
          <w:left w:val="nil"/>
          <w:bottom w:val="nil"/>
          <w:right w:val="nil"/>
          <w:between w:val="nil"/>
          <w:bar w:val="nil"/>
        </w:pBdr>
        <w:spacing w:before="0" w:after="240"/>
        <w:rPr>
          <w:noProof/>
          <w:lang w:val="en-IE"/>
        </w:rPr>
      </w:pPr>
      <w:r w:rsidRPr="00363097">
        <w:rPr>
          <w:rFonts w:eastAsia="Arial Unicode MS"/>
          <w:noProof/>
        </w:rPr>
        <w:t>T</w:t>
      </w:r>
      <w:r w:rsidR="000E53FA" w:rsidRPr="00363097">
        <w:rPr>
          <w:rFonts w:eastAsia="Arial Unicode MS"/>
          <w:noProof/>
        </w:rPr>
        <w:t>o address the identified issues</w:t>
      </w:r>
      <w:r w:rsidR="008F56A7" w:rsidRPr="00363097">
        <w:rPr>
          <w:rFonts w:eastAsia="Arial Unicode MS"/>
          <w:noProof/>
        </w:rPr>
        <w:t>, v</w:t>
      </w:r>
      <w:r w:rsidR="00081B7A" w:rsidRPr="00363097">
        <w:rPr>
          <w:rFonts w:eastAsia="Arial Unicode MS"/>
          <w:noProof/>
        </w:rPr>
        <w:t>aluable insights gained from many years of negotiations and related analys</w:t>
      </w:r>
      <w:r w:rsidR="009C4646" w:rsidRPr="00363097">
        <w:rPr>
          <w:rFonts w:eastAsia="Arial Unicode MS"/>
          <w:noProof/>
        </w:rPr>
        <w:t>e</w:t>
      </w:r>
      <w:r w:rsidR="00081B7A" w:rsidRPr="00363097">
        <w:rPr>
          <w:rFonts w:eastAsia="Arial Unicode MS"/>
          <w:noProof/>
        </w:rPr>
        <w:t>s of taxation files can now be used</w:t>
      </w:r>
      <w:r w:rsidR="00081B7A" w:rsidRPr="00363097" w:rsidDel="008F56A7">
        <w:rPr>
          <w:rFonts w:eastAsia="Arial Unicode MS"/>
          <w:noProof/>
        </w:rPr>
        <w:t xml:space="preserve"> </w:t>
      </w:r>
      <w:r w:rsidR="00B6593F" w:rsidRPr="00363097">
        <w:rPr>
          <w:rFonts w:eastAsia="Arial Unicode MS"/>
          <w:noProof/>
        </w:rPr>
        <w:t xml:space="preserve">in the </w:t>
      </w:r>
      <w:r w:rsidR="00081B7A" w:rsidRPr="00363097" w:rsidDel="008F56A7">
        <w:rPr>
          <w:rFonts w:eastAsia="Arial Unicode MS"/>
          <w:noProof/>
        </w:rPr>
        <w:t xml:space="preserve">design </w:t>
      </w:r>
      <w:r w:rsidR="00B6593F" w:rsidRPr="00363097">
        <w:rPr>
          <w:rFonts w:eastAsia="Arial Unicode MS"/>
          <w:noProof/>
        </w:rPr>
        <w:t>of</w:t>
      </w:r>
      <w:r w:rsidR="00081B7A" w:rsidRPr="00363097">
        <w:rPr>
          <w:rFonts w:eastAsia="Arial Unicode MS"/>
          <w:noProof/>
        </w:rPr>
        <w:t xml:space="preserve"> </w:t>
      </w:r>
      <w:r w:rsidR="00081B7A" w:rsidRPr="00363097" w:rsidDel="00AB655C">
        <w:rPr>
          <w:rFonts w:eastAsia="Arial Unicode MS"/>
          <w:noProof/>
        </w:rPr>
        <w:t>BEFIT</w:t>
      </w:r>
      <w:r w:rsidR="00081B7A" w:rsidRPr="00363097">
        <w:rPr>
          <w:rFonts w:eastAsia="Arial Unicode MS"/>
          <w:noProof/>
        </w:rPr>
        <w:t xml:space="preserve">. </w:t>
      </w:r>
      <w:r w:rsidR="00DE65FE" w:rsidRPr="00363097">
        <w:rPr>
          <w:rFonts w:eastAsia="Arial Unicode MS"/>
          <w:noProof/>
        </w:rPr>
        <w:t xml:space="preserve">In particular, </w:t>
      </w:r>
      <w:r w:rsidR="00DE65FE" w:rsidRPr="00363097">
        <w:rPr>
          <w:rFonts w:eastAsia="Times New Roman"/>
          <w:noProof/>
          <w:lang w:eastAsia="en-IE"/>
        </w:rPr>
        <w:t>t</w:t>
      </w:r>
      <w:r w:rsidR="00081B7A" w:rsidRPr="00363097">
        <w:rPr>
          <w:rFonts w:eastAsia="Times New Roman"/>
          <w:noProof/>
          <w:lang w:eastAsia="en-IE"/>
        </w:rPr>
        <w:t>he 2011</w:t>
      </w:r>
      <w:r w:rsidR="00081B7A" w:rsidRPr="00363097">
        <w:rPr>
          <w:rStyle w:val="FootnoteReference0"/>
          <w:noProof/>
        </w:rPr>
        <w:footnoteReference w:id="5"/>
      </w:r>
      <w:r w:rsidR="00081B7A" w:rsidRPr="00363097">
        <w:rPr>
          <w:rFonts w:eastAsia="Times New Roman"/>
          <w:noProof/>
          <w:lang w:eastAsia="en-IE"/>
        </w:rPr>
        <w:t xml:space="preserve"> and 2016</w:t>
      </w:r>
      <w:r w:rsidR="00081B7A" w:rsidRPr="00363097">
        <w:rPr>
          <w:rStyle w:val="FootnoteReference0"/>
          <w:noProof/>
        </w:rPr>
        <w:footnoteReference w:id="6"/>
      </w:r>
      <w:r w:rsidR="00081B7A" w:rsidRPr="00363097">
        <w:rPr>
          <w:rFonts w:eastAsia="Times New Roman"/>
          <w:noProof/>
          <w:lang w:eastAsia="en-IE"/>
        </w:rPr>
        <w:t xml:space="preserve"> proposals for a common consolidated corporate tax base </w:t>
      </w:r>
      <w:r w:rsidR="00081B7A" w:rsidRPr="00363097">
        <w:rPr>
          <w:noProof/>
          <w:lang w:val="en-IE"/>
        </w:rPr>
        <w:t xml:space="preserve">triggered a thorough exchange of views and Member States converged considerably in their technical approaches during those negotiations. </w:t>
      </w:r>
      <w:r w:rsidR="00BD1E7E" w:rsidRPr="4823E88C">
        <w:rPr>
          <w:noProof/>
          <w:lang w:val="en-IE"/>
        </w:rPr>
        <w:t>This proposal replaces the Commission’s C</w:t>
      </w:r>
      <w:r w:rsidR="221F669B" w:rsidRPr="4823E88C">
        <w:rPr>
          <w:noProof/>
          <w:lang w:val="en-IE"/>
        </w:rPr>
        <w:t xml:space="preserve">ommon </w:t>
      </w:r>
      <w:r w:rsidR="00BD1E7E" w:rsidRPr="4823E88C">
        <w:rPr>
          <w:noProof/>
          <w:lang w:val="en-IE"/>
        </w:rPr>
        <w:t>C</w:t>
      </w:r>
      <w:r w:rsidR="1D534537" w:rsidRPr="4823E88C">
        <w:rPr>
          <w:noProof/>
          <w:lang w:val="en-IE"/>
        </w:rPr>
        <w:t xml:space="preserve">orporate </w:t>
      </w:r>
      <w:r w:rsidR="00BD1E7E" w:rsidRPr="4823E88C">
        <w:rPr>
          <w:noProof/>
          <w:lang w:val="en-IE"/>
        </w:rPr>
        <w:t>T</w:t>
      </w:r>
      <w:r w:rsidR="5A028AAA" w:rsidRPr="4823E88C">
        <w:rPr>
          <w:noProof/>
          <w:lang w:val="en-IE"/>
        </w:rPr>
        <w:t xml:space="preserve">ax </w:t>
      </w:r>
      <w:r w:rsidR="00BD1E7E" w:rsidRPr="4823E88C">
        <w:rPr>
          <w:noProof/>
          <w:lang w:val="en-IE"/>
        </w:rPr>
        <w:t>B</w:t>
      </w:r>
      <w:r w:rsidR="429A29FD" w:rsidRPr="4823E88C">
        <w:rPr>
          <w:noProof/>
          <w:lang w:val="en-IE"/>
        </w:rPr>
        <w:t>ase</w:t>
      </w:r>
      <w:r w:rsidR="00BD1E7E" w:rsidRPr="4823E88C">
        <w:rPr>
          <w:noProof/>
          <w:lang w:val="en-IE"/>
        </w:rPr>
        <w:t xml:space="preserve"> and C</w:t>
      </w:r>
      <w:r w:rsidR="103D6924" w:rsidRPr="4823E88C">
        <w:rPr>
          <w:noProof/>
          <w:lang w:val="en-IE"/>
        </w:rPr>
        <w:t xml:space="preserve">ommon </w:t>
      </w:r>
      <w:r w:rsidR="00BD1E7E" w:rsidRPr="4823E88C">
        <w:rPr>
          <w:noProof/>
          <w:lang w:val="en-IE"/>
        </w:rPr>
        <w:t>C</w:t>
      </w:r>
      <w:r w:rsidR="50819B87" w:rsidRPr="4823E88C">
        <w:rPr>
          <w:noProof/>
          <w:lang w:val="en-IE"/>
        </w:rPr>
        <w:t xml:space="preserve">onsolidated </w:t>
      </w:r>
      <w:r w:rsidR="00BD1E7E" w:rsidRPr="4823E88C">
        <w:rPr>
          <w:noProof/>
          <w:lang w:val="en-IE"/>
        </w:rPr>
        <w:t>C</w:t>
      </w:r>
      <w:r w:rsidR="5FB238EE" w:rsidRPr="4823E88C">
        <w:rPr>
          <w:noProof/>
          <w:lang w:val="en-IE"/>
        </w:rPr>
        <w:t xml:space="preserve">orporate </w:t>
      </w:r>
      <w:r w:rsidR="00BD1E7E" w:rsidRPr="4823E88C">
        <w:rPr>
          <w:noProof/>
          <w:lang w:val="en-IE"/>
        </w:rPr>
        <w:t>T</w:t>
      </w:r>
      <w:r w:rsidR="7EC3E52D" w:rsidRPr="4823E88C">
        <w:rPr>
          <w:noProof/>
          <w:lang w:val="en-IE"/>
        </w:rPr>
        <w:t xml:space="preserve">ax </w:t>
      </w:r>
      <w:r w:rsidR="00BD1E7E" w:rsidRPr="4823E88C">
        <w:rPr>
          <w:noProof/>
          <w:lang w:val="en-IE"/>
        </w:rPr>
        <w:t>B</w:t>
      </w:r>
      <w:r w:rsidR="239823CD" w:rsidRPr="4823E88C">
        <w:rPr>
          <w:noProof/>
          <w:lang w:val="en-IE"/>
        </w:rPr>
        <w:t>ase</w:t>
      </w:r>
      <w:r w:rsidR="00BD1E7E" w:rsidRPr="4823E88C">
        <w:rPr>
          <w:noProof/>
          <w:lang w:val="en-IE"/>
        </w:rPr>
        <w:t xml:space="preserve"> proposals, which are withdrawn.</w:t>
      </w:r>
      <w:r w:rsidR="009000AA" w:rsidRPr="00363097">
        <w:rPr>
          <w:noProof/>
          <w:lang w:val="en-IE"/>
        </w:rPr>
        <w:t xml:space="preserve"> </w:t>
      </w:r>
      <w:r w:rsidR="00C577AA" w:rsidRPr="00363097">
        <w:rPr>
          <w:noProof/>
          <w:lang w:val="en-IE"/>
        </w:rPr>
        <w:t>BEFIT will</w:t>
      </w:r>
      <w:r w:rsidR="00DF31BF" w:rsidRPr="00363097">
        <w:rPr>
          <w:noProof/>
          <w:lang w:val="en-IE"/>
        </w:rPr>
        <w:t xml:space="preserve"> </w:t>
      </w:r>
      <w:r w:rsidR="00616256" w:rsidRPr="00363097">
        <w:rPr>
          <w:noProof/>
          <w:lang w:val="en-IE"/>
        </w:rPr>
        <w:t>reflect</w:t>
      </w:r>
      <w:r w:rsidR="000F7023" w:rsidRPr="00363097">
        <w:rPr>
          <w:rFonts w:eastAsia="Arial Unicode MS"/>
          <w:noProof/>
        </w:rPr>
        <w:t xml:space="preserve"> </w:t>
      </w:r>
      <w:r w:rsidR="00B21A42" w:rsidRPr="00363097">
        <w:rPr>
          <w:rFonts w:eastAsia="Arial Unicode MS"/>
          <w:noProof/>
        </w:rPr>
        <w:t xml:space="preserve">the </w:t>
      </w:r>
      <w:r w:rsidR="000F7023" w:rsidRPr="00363097">
        <w:rPr>
          <w:rFonts w:eastAsia="Arial Unicode MS"/>
          <w:noProof/>
        </w:rPr>
        <w:t xml:space="preserve">insights </w:t>
      </w:r>
      <w:r w:rsidR="00DF31BF" w:rsidRPr="00363097">
        <w:rPr>
          <w:rFonts w:eastAsia="Arial Unicode MS"/>
          <w:noProof/>
        </w:rPr>
        <w:t>gained</w:t>
      </w:r>
      <w:r w:rsidR="000F7023" w:rsidRPr="00363097">
        <w:rPr>
          <w:rFonts w:eastAsia="Arial Unicode MS"/>
          <w:noProof/>
        </w:rPr>
        <w:t xml:space="preserve"> and </w:t>
      </w:r>
      <w:r w:rsidR="00B21A42" w:rsidRPr="00363097">
        <w:rPr>
          <w:rFonts w:eastAsia="Arial Unicode MS"/>
          <w:noProof/>
        </w:rPr>
        <w:t>the</w:t>
      </w:r>
      <w:r w:rsidR="000F7023" w:rsidRPr="00363097">
        <w:rPr>
          <w:rFonts w:eastAsia="Arial Unicode MS"/>
          <w:noProof/>
        </w:rPr>
        <w:t xml:space="preserve"> </w:t>
      </w:r>
      <w:r w:rsidR="00CA16E0" w:rsidRPr="00363097">
        <w:rPr>
          <w:rFonts w:eastAsia="Arial Unicode MS"/>
          <w:noProof/>
        </w:rPr>
        <w:t>change</w:t>
      </w:r>
      <w:r w:rsidR="00886ADF" w:rsidRPr="00363097">
        <w:rPr>
          <w:rFonts w:eastAsia="Arial Unicode MS"/>
          <w:noProof/>
        </w:rPr>
        <w:t>s</w:t>
      </w:r>
      <w:r w:rsidR="00CA16E0" w:rsidRPr="00363097">
        <w:rPr>
          <w:rFonts w:eastAsia="Arial Unicode MS"/>
          <w:noProof/>
        </w:rPr>
        <w:t xml:space="preserve"> in</w:t>
      </w:r>
      <w:r w:rsidR="00192128" w:rsidRPr="00363097">
        <w:rPr>
          <w:rFonts w:eastAsia="Arial Unicode MS"/>
          <w:noProof/>
        </w:rPr>
        <w:t xml:space="preserve"> modern</w:t>
      </w:r>
      <w:r w:rsidR="0046776E" w:rsidRPr="00363097">
        <w:rPr>
          <w:rFonts w:eastAsia="Arial Unicode MS"/>
          <w:noProof/>
        </w:rPr>
        <w:t xml:space="preserve"> economy</w:t>
      </w:r>
      <w:r w:rsidR="00192128" w:rsidRPr="00363097">
        <w:rPr>
          <w:rFonts w:eastAsia="Arial Unicode MS"/>
          <w:noProof/>
        </w:rPr>
        <w:t xml:space="preserve"> </w:t>
      </w:r>
      <w:r w:rsidR="00E3618F" w:rsidRPr="00363097">
        <w:rPr>
          <w:rFonts w:eastAsia="Arial Unicode MS"/>
          <w:noProof/>
        </w:rPr>
        <w:t xml:space="preserve">characterised by </w:t>
      </w:r>
      <w:r w:rsidR="001419DC" w:rsidRPr="00363097">
        <w:rPr>
          <w:rFonts w:eastAsia="Arial Unicode MS"/>
          <w:noProof/>
        </w:rPr>
        <w:t xml:space="preserve">increasing </w:t>
      </w:r>
      <w:r w:rsidR="004A692D" w:rsidRPr="00363097">
        <w:rPr>
          <w:rFonts w:eastAsia="Arial Unicode MS"/>
          <w:noProof/>
        </w:rPr>
        <w:t>globalisation and digitalisation</w:t>
      </w:r>
      <w:r w:rsidR="00EB0143" w:rsidRPr="00363097">
        <w:rPr>
          <w:rFonts w:eastAsia="Arial Unicode MS"/>
          <w:noProof/>
        </w:rPr>
        <w:t>.</w:t>
      </w:r>
    </w:p>
    <w:p w14:paraId="38EFB228" w14:textId="06025C06" w:rsidR="00081B7A" w:rsidRPr="00363097" w:rsidRDefault="00E677E2" w:rsidP="00081B7A">
      <w:pPr>
        <w:pBdr>
          <w:top w:val="nil"/>
          <w:left w:val="nil"/>
          <w:bottom w:val="nil"/>
          <w:right w:val="nil"/>
          <w:between w:val="nil"/>
          <w:bar w:val="nil"/>
        </w:pBdr>
        <w:spacing w:before="0" w:after="240"/>
        <w:rPr>
          <w:noProof/>
          <w:lang w:val="en-IE"/>
        </w:rPr>
      </w:pPr>
      <w:r w:rsidRPr="00363097">
        <w:rPr>
          <w:noProof/>
          <w:lang w:val="en-IE"/>
        </w:rPr>
        <w:t>T</w:t>
      </w:r>
      <w:r w:rsidR="005D3295" w:rsidRPr="00363097">
        <w:rPr>
          <w:noProof/>
          <w:lang w:val="en-IE"/>
        </w:rPr>
        <w:t>he context for Union tax policy has changed significantly</w:t>
      </w:r>
      <w:r w:rsidRPr="00363097">
        <w:rPr>
          <w:noProof/>
          <w:lang w:val="en-IE"/>
        </w:rPr>
        <w:t xml:space="preserve"> in the recent years</w:t>
      </w:r>
      <w:r w:rsidR="005D3295" w:rsidRPr="00363097">
        <w:rPr>
          <w:noProof/>
          <w:lang w:val="en-IE"/>
        </w:rPr>
        <w:t xml:space="preserve">. </w:t>
      </w:r>
      <w:r w:rsidR="00081B7A" w:rsidRPr="00363097">
        <w:rPr>
          <w:rFonts w:eastAsia="Times New Roman"/>
          <w:noProof/>
          <w:lang w:val="en-IE" w:eastAsia="en-IE"/>
        </w:rPr>
        <w:t>K</w:t>
      </w:r>
      <w:r w:rsidR="00081B7A" w:rsidRPr="00363097">
        <w:rPr>
          <w:noProof/>
          <w:lang w:val="en-IE"/>
        </w:rPr>
        <w:t xml:space="preserve">ey concepts of corporate tax initiatives </w:t>
      </w:r>
      <w:r w:rsidR="00950187" w:rsidRPr="00363097">
        <w:rPr>
          <w:noProof/>
          <w:lang w:val="en-IE"/>
        </w:rPr>
        <w:t xml:space="preserve">and follow up discussions </w:t>
      </w:r>
      <w:r w:rsidR="00081B7A" w:rsidRPr="00363097">
        <w:rPr>
          <w:noProof/>
          <w:lang w:val="en-IE"/>
        </w:rPr>
        <w:t>have been taken up in other</w:t>
      </w:r>
      <w:r w:rsidR="00341AD4" w:rsidRPr="00363097">
        <w:rPr>
          <w:noProof/>
          <w:lang w:val="en-IE"/>
        </w:rPr>
        <w:t xml:space="preserve"> and broader</w:t>
      </w:r>
      <w:r w:rsidR="00081B7A" w:rsidRPr="00363097">
        <w:rPr>
          <w:noProof/>
          <w:lang w:val="en-IE"/>
        </w:rPr>
        <w:t xml:space="preserve"> </w:t>
      </w:r>
      <w:r w:rsidR="00341AD4" w:rsidRPr="00363097">
        <w:rPr>
          <w:noProof/>
          <w:lang w:val="en-IE"/>
        </w:rPr>
        <w:t>cont</w:t>
      </w:r>
      <w:r w:rsidR="00081B7A" w:rsidRPr="00363097">
        <w:rPr>
          <w:noProof/>
          <w:lang w:val="en-IE"/>
        </w:rPr>
        <w:t>exts</w:t>
      </w:r>
      <w:r w:rsidR="00FF73D6" w:rsidRPr="00363097">
        <w:rPr>
          <w:noProof/>
          <w:lang w:val="en-IE"/>
        </w:rPr>
        <w:t xml:space="preserve"> than before</w:t>
      </w:r>
      <w:r w:rsidR="00081B7A" w:rsidRPr="00363097">
        <w:rPr>
          <w:noProof/>
          <w:lang w:val="en-IE"/>
        </w:rPr>
        <w:t>. In 2020, the Council, Parliament and the Commission agreed that a common corporate tax base could be the basis for a new own resource that the Commission will propose</w:t>
      </w:r>
      <w:r w:rsidR="00081B7A" w:rsidRPr="00363097">
        <w:rPr>
          <w:rStyle w:val="FootnoteReference0"/>
          <w:noProof/>
          <w:lang w:val="en-IE"/>
        </w:rPr>
        <w:footnoteReference w:id="7"/>
      </w:r>
      <w:r w:rsidR="00081B7A" w:rsidRPr="00363097">
        <w:rPr>
          <w:noProof/>
          <w:lang w:val="en-IE"/>
        </w:rPr>
        <w:t>. In 2021,</w:t>
      </w:r>
      <w:r w:rsidR="00E16C2F" w:rsidRPr="00363097">
        <w:rPr>
          <w:noProof/>
          <w:lang w:val="en-IE"/>
        </w:rPr>
        <w:t xml:space="preserve"> as part of the OECD/G20 Inclusive Framework statement on a Two-Pillar Solution</w:t>
      </w:r>
      <w:r w:rsidR="00F11A5C" w:rsidRPr="00363097">
        <w:rPr>
          <w:rStyle w:val="FootnoteReference0"/>
          <w:noProof/>
          <w:lang w:val="en-IE"/>
        </w:rPr>
        <w:footnoteReference w:id="8"/>
      </w:r>
      <w:r w:rsidR="00E2425B" w:rsidRPr="00363097">
        <w:rPr>
          <w:noProof/>
          <w:lang w:val="en-IE"/>
        </w:rPr>
        <w:t>,</w:t>
      </w:r>
      <w:r w:rsidR="00081B7A" w:rsidRPr="00363097">
        <w:rPr>
          <w:noProof/>
          <w:lang w:val="en-IE"/>
        </w:rPr>
        <w:t xml:space="preserve"> </w:t>
      </w:r>
      <w:r w:rsidR="00E707CC" w:rsidRPr="00363097">
        <w:rPr>
          <w:noProof/>
          <w:lang w:val="en-IE"/>
        </w:rPr>
        <w:t xml:space="preserve">over </w:t>
      </w:r>
      <w:r w:rsidR="00F37913" w:rsidRPr="00363097">
        <w:rPr>
          <w:noProof/>
          <w:lang w:val="en-IE"/>
        </w:rPr>
        <w:t>135 countries</w:t>
      </w:r>
      <w:r w:rsidR="00081B7A" w:rsidRPr="00363097">
        <w:rPr>
          <w:noProof/>
          <w:lang w:val="en-IE"/>
        </w:rPr>
        <w:t xml:space="preserve"> agreed to </w:t>
      </w:r>
      <w:r w:rsidR="00950187" w:rsidRPr="00363097">
        <w:rPr>
          <w:noProof/>
          <w:lang w:val="en-IE"/>
        </w:rPr>
        <w:t xml:space="preserve">calculate the </w:t>
      </w:r>
      <w:r w:rsidR="00F900F6" w:rsidRPr="00363097">
        <w:rPr>
          <w:noProof/>
          <w:lang w:val="en-IE"/>
        </w:rPr>
        <w:t>effective tax rate</w:t>
      </w:r>
      <w:r w:rsidR="00950187" w:rsidRPr="00363097">
        <w:rPr>
          <w:noProof/>
          <w:lang w:val="en-IE"/>
        </w:rPr>
        <w:t xml:space="preserve"> of a large multinational group starting from the consolidated financial statements of the group</w:t>
      </w:r>
      <w:r w:rsidR="00593575" w:rsidRPr="00363097">
        <w:rPr>
          <w:noProof/>
          <w:lang w:val="en-IE"/>
        </w:rPr>
        <w:t xml:space="preserve"> (Pillar 2) </w:t>
      </w:r>
      <w:r w:rsidR="00950187" w:rsidRPr="00363097">
        <w:rPr>
          <w:noProof/>
          <w:lang w:val="en-IE"/>
        </w:rPr>
        <w:t xml:space="preserve">and to </w:t>
      </w:r>
      <w:r w:rsidR="00081B7A" w:rsidRPr="00363097">
        <w:rPr>
          <w:noProof/>
          <w:lang w:val="en-IE"/>
        </w:rPr>
        <w:t>us</w:t>
      </w:r>
      <w:r w:rsidR="00950187" w:rsidRPr="00363097">
        <w:rPr>
          <w:noProof/>
          <w:lang w:val="en-IE"/>
        </w:rPr>
        <w:t xml:space="preserve">e </w:t>
      </w:r>
      <w:r w:rsidR="00081B7A" w:rsidRPr="00363097">
        <w:rPr>
          <w:noProof/>
          <w:lang w:val="en-IE"/>
        </w:rPr>
        <w:t>formulary apportionment to partially re-allocate taxable profits</w:t>
      </w:r>
      <w:r w:rsidR="00593575" w:rsidRPr="00363097">
        <w:rPr>
          <w:noProof/>
          <w:lang w:val="en-IE"/>
        </w:rPr>
        <w:t xml:space="preserve"> (Pillar 1)</w:t>
      </w:r>
      <w:r w:rsidR="00950187" w:rsidRPr="00363097">
        <w:rPr>
          <w:noProof/>
          <w:lang w:val="en-IE"/>
        </w:rPr>
        <w:t xml:space="preserve">. </w:t>
      </w:r>
      <w:r w:rsidR="00BA34AB" w:rsidRPr="00363097">
        <w:rPr>
          <w:noProof/>
          <w:lang w:val="en-IE"/>
        </w:rPr>
        <w:t xml:space="preserve">The agreement on Pillar 2 was </w:t>
      </w:r>
      <w:r w:rsidR="005665DF" w:rsidRPr="00363097">
        <w:rPr>
          <w:noProof/>
          <w:lang w:val="en-IE"/>
        </w:rPr>
        <w:t xml:space="preserve">endorsed </w:t>
      </w:r>
      <w:r w:rsidR="003947C9" w:rsidRPr="00363097">
        <w:rPr>
          <w:noProof/>
          <w:lang w:val="en-IE"/>
        </w:rPr>
        <w:t xml:space="preserve">by Member States </w:t>
      </w:r>
      <w:r w:rsidR="00017F67" w:rsidRPr="00363097">
        <w:rPr>
          <w:noProof/>
          <w:lang w:val="en-IE"/>
        </w:rPr>
        <w:t>which unani</w:t>
      </w:r>
      <w:r w:rsidR="001B311D" w:rsidRPr="00363097">
        <w:rPr>
          <w:noProof/>
          <w:lang w:val="en-IE"/>
        </w:rPr>
        <w:t>mously adopted the</w:t>
      </w:r>
      <w:r w:rsidR="00864C79" w:rsidRPr="00363097">
        <w:rPr>
          <w:noProof/>
        </w:rPr>
        <w:t xml:space="preserve"> Directive on ensuring a global minimum level of taxation for multinational enterprise groups and domestic groups in the Union (Pillar 2 Directive) </w:t>
      </w:r>
      <w:r w:rsidR="0085660A" w:rsidRPr="00363097">
        <w:rPr>
          <w:noProof/>
          <w:lang w:val="en-IE"/>
        </w:rPr>
        <w:t>in December 2021</w:t>
      </w:r>
      <w:r w:rsidR="00864C79" w:rsidRPr="00363097">
        <w:rPr>
          <w:rStyle w:val="FootnoteReference0"/>
          <w:noProof/>
          <w:lang w:val="en-IE"/>
        </w:rPr>
        <w:footnoteReference w:id="9"/>
      </w:r>
      <w:r w:rsidR="0085660A" w:rsidRPr="00363097">
        <w:rPr>
          <w:noProof/>
          <w:lang w:val="en-IE"/>
        </w:rPr>
        <w:t>.</w:t>
      </w:r>
      <w:r w:rsidR="00035E5B" w:rsidRPr="00363097">
        <w:rPr>
          <w:noProof/>
          <w:lang w:val="en-IE"/>
        </w:rPr>
        <w:t xml:space="preserve"> </w:t>
      </w:r>
      <w:r w:rsidR="00C17DCD" w:rsidRPr="00363097">
        <w:rPr>
          <w:noProof/>
          <w:lang w:val="en-IE"/>
        </w:rPr>
        <w:t xml:space="preserve">Hence, Union policies </w:t>
      </w:r>
      <w:r w:rsidR="00906448">
        <w:rPr>
          <w:noProof/>
          <w:lang w:val="en-IE"/>
        </w:rPr>
        <w:t>can</w:t>
      </w:r>
      <w:r w:rsidR="00C17DCD" w:rsidRPr="00363097">
        <w:rPr>
          <w:noProof/>
          <w:lang w:val="en-IE"/>
        </w:rPr>
        <w:t xml:space="preserve"> </w:t>
      </w:r>
      <w:r w:rsidR="004C7803" w:rsidRPr="00363097">
        <w:rPr>
          <w:noProof/>
          <w:lang w:val="en-IE"/>
        </w:rPr>
        <w:t>buil</w:t>
      </w:r>
      <w:r w:rsidR="00C238F1">
        <w:rPr>
          <w:noProof/>
          <w:lang w:val="en-IE"/>
        </w:rPr>
        <w:t>d</w:t>
      </w:r>
      <w:r w:rsidR="004C7803" w:rsidRPr="00363097">
        <w:rPr>
          <w:noProof/>
          <w:lang w:val="en-IE"/>
        </w:rPr>
        <w:t xml:space="preserve"> o</w:t>
      </w:r>
      <w:r w:rsidR="00490600" w:rsidRPr="00363097">
        <w:rPr>
          <w:noProof/>
          <w:lang w:val="en-IE"/>
        </w:rPr>
        <w:t>n</w:t>
      </w:r>
      <w:r w:rsidR="00B7414E" w:rsidRPr="00363097">
        <w:rPr>
          <w:noProof/>
          <w:lang w:val="en-IE"/>
        </w:rPr>
        <w:t>, not only own experiences, but also</w:t>
      </w:r>
      <w:r w:rsidR="00490600" w:rsidRPr="00363097">
        <w:rPr>
          <w:noProof/>
          <w:lang w:val="en-IE"/>
        </w:rPr>
        <w:t xml:space="preserve"> these</w:t>
      </w:r>
      <w:r w:rsidR="00035E5B" w:rsidRPr="00363097">
        <w:rPr>
          <w:noProof/>
        </w:rPr>
        <w:t xml:space="preserve"> developments in the field of corporate taxation taking place at international level</w:t>
      </w:r>
      <w:r w:rsidR="00A070A5" w:rsidRPr="00363097">
        <w:rPr>
          <w:noProof/>
        </w:rPr>
        <w:t>.</w:t>
      </w:r>
    </w:p>
    <w:p w14:paraId="5E92825E" w14:textId="100293A5" w:rsidR="00081B7A" w:rsidRPr="00363097" w:rsidRDefault="00D7788B" w:rsidP="00081B7A">
      <w:pPr>
        <w:pBdr>
          <w:top w:val="nil"/>
          <w:left w:val="nil"/>
          <w:bottom w:val="nil"/>
          <w:right w:val="nil"/>
          <w:between w:val="nil"/>
          <w:bar w:val="nil"/>
        </w:pBdr>
        <w:spacing w:before="0" w:after="240"/>
        <w:rPr>
          <w:rFonts w:eastAsia="Times New Roman"/>
          <w:noProof/>
          <w:lang w:eastAsia="en-IE"/>
        </w:rPr>
      </w:pPr>
      <w:r>
        <w:rPr>
          <w:rFonts w:eastAsia="Times New Roman"/>
          <w:noProof/>
          <w:lang w:eastAsia="en-IE"/>
        </w:rPr>
        <w:t>T</w:t>
      </w:r>
      <w:r w:rsidRPr="00363097">
        <w:rPr>
          <w:rFonts w:eastAsia="Times New Roman"/>
          <w:noProof/>
          <w:lang w:eastAsia="en-IE"/>
        </w:rPr>
        <w:t xml:space="preserve">echnological </w:t>
      </w:r>
      <w:r w:rsidR="00081B7A" w:rsidRPr="00363097">
        <w:rPr>
          <w:rFonts w:eastAsia="Times New Roman"/>
          <w:noProof/>
          <w:lang w:eastAsia="en-IE"/>
        </w:rPr>
        <w:t xml:space="preserve">progress and enhanced administrative capacity of tax authorities </w:t>
      </w:r>
      <w:r w:rsidR="00D3651F" w:rsidRPr="00363097">
        <w:rPr>
          <w:rFonts w:eastAsia="Times New Roman"/>
          <w:noProof/>
          <w:lang w:eastAsia="en-IE"/>
        </w:rPr>
        <w:t xml:space="preserve">in the Member States </w:t>
      </w:r>
      <w:r w:rsidR="00081B7A" w:rsidRPr="00363097">
        <w:rPr>
          <w:rFonts w:eastAsia="Times New Roman"/>
          <w:noProof/>
          <w:lang w:eastAsia="en-IE"/>
        </w:rPr>
        <w:t xml:space="preserve">have </w:t>
      </w:r>
      <w:r w:rsidR="00D3651F" w:rsidRPr="00363097">
        <w:rPr>
          <w:rFonts w:eastAsia="Times New Roman"/>
          <w:noProof/>
          <w:lang w:eastAsia="en-IE"/>
        </w:rPr>
        <w:t xml:space="preserve">also </w:t>
      </w:r>
      <w:r w:rsidR="00081B7A" w:rsidRPr="00363097">
        <w:rPr>
          <w:rFonts w:eastAsia="Times New Roman"/>
          <w:noProof/>
          <w:lang w:eastAsia="en-IE"/>
        </w:rPr>
        <w:t xml:space="preserve">made the prospect for implementing and managing a </w:t>
      </w:r>
      <w:r w:rsidR="00CF2BFC" w:rsidRPr="00363097">
        <w:rPr>
          <w:rFonts w:eastAsia="Times New Roman"/>
          <w:noProof/>
          <w:lang w:eastAsia="en-IE"/>
        </w:rPr>
        <w:t>Union</w:t>
      </w:r>
      <w:r w:rsidR="00081B7A" w:rsidRPr="00363097">
        <w:rPr>
          <w:rFonts w:eastAsia="Times New Roman"/>
          <w:noProof/>
          <w:lang w:eastAsia="en-IE"/>
        </w:rPr>
        <w:t xml:space="preserve">-wide tax framework a more efficient and feasible proposition. Furthermore, in the wake of the COVID-19 crisis and in the context of economic uncertainty caused by the Russian war of aggression against Ukraine, reliable </w:t>
      </w:r>
      <w:r w:rsidR="005D68AF" w:rsidRPr="00363097">
        <w:rPr>
          <w:rFonts w:eastAsia="Times New Roman"/>
          <w:noProof/>
          <w:lang w:eastAsia="en-IE"/>
        </w:rPr>
        <w:t>rules and stable</w:t>
      </w:r>
      <w:r w:rsidR="00081B7A" w:rsidRPr="00363097">
        <w:rPr>
          <w:rFonts w:eastAsia="Times New Roman"/>
          <w:noProof/>
          <w:lang w:eastAsia="en-IE"/>
        </w:rPr>
        <w:t xml:space="preserve"> public revenues are more important than ever. </w:t>
      </w:r>
      <w:r w:rsidR="005D092B" w:rsidRPr="00363097">
        <w:rPr>
          <w:rFonts w:eastAsia="Times New Roman"/>
          <w:noProof/>
          <w:lang w:eastAsia="en-IE"/>
        </w:rPr>
        <w:t>Nonetheless</w:t>
      </w:r>
      <w:r w:rsidR="00081B7A" w:rsidRPr="00363097">
        <w:rPr>
          <w:rFonts w:eastAsia="Times New Roman"/>
          <w:noProof/>
          <w:lang w:eastAsia="en-IE"/>
        </w:rPr>
        <w:t>, the tax bases of Member States shift as a result of megatrends</w:t>
      </w:r>
      <w:r w:rsidR="006F5EB9" w:rsidRPr="00363097">
        <w:rPr>
          <w:rFonts w:eastAsia="Times New Roman"/>
          <w:noProof/>
          <w:lang w:eastAsia="en-IE"/>
        </w:rPr>
        <w:t>,</w:t>
      </w:r>
      <w:r w:rsidR="00081B7A" w:rsidRPr="00363097">
        <w:rPr>
          <w:rFonts w:eastAsia="Times New Roman"/>
          <w:noProof/>
          <w:lang w:eastAsia="en-IE"/>
        </w:rPr>
        <w:t xml:space="preserve"> such as globalisation, digitalisation, climate change, environmental degradation, an ageing population, and a transforming labour market. </w:t>
      </w:r>
      <w:r w:rsidR="00156DDC" w:rsidRPr="00363097">
        <w:rPr>
          <w:rFonts w:eastAsia="Times New Roman"/>
          <w:noProof/>
          <w:lang w:eastAsia="en-IE"/>
        </w:rPr>
        <w:t>In particular, g</w:t>
      </w:r>
      <w:r w:rsidR="00FE7832" w:rsidRPr="00363097">
        <w:rPr>
          <w:rFonts w:eastAsia="Times New Roman"/>
          <w:noProof/>
          <w:lang w:eastAsia="en-IE"/>
        </w:rPr>
        <w:t xml:space="preserve">lobalisation and digitalisation have paved the way for </w:t>
      </w:r>
      <w:r w:rsidR="00EF0260" w:rsidRPr="00363097">
        <w:rPr>
          <w:rFonts w:eastAsia="Times New Roman"/>
          <w:noProof/>
          <w:lang w:eastAsia="en-IE"/>
        </w:rPr>
        <w:t>profit shifting through</w:t>
      </w:r>
      <w:r w:rsidR="00FE7832" w:rsidRPr="00363097">
        <w:rPr>
          <w:rFonts w:eastAsia="Times New Roman"/>
          <w:noProof/>
          <w:lang w:eastAsia="en-IE"/>
        </w:rPr>
        <w:t xml:space="preserve"> </w:t>
      </w:r>
      <w:r w:rsidR="00081B7A" w:rsidRPr="00363097">
        <w:rPr>
          <w:rFonts w:eastAsia="Times New Roman"/>
          <w:noProof/>
          <w:lang w:eastAsia="en-IE"/>
        </w:rPr>
        <w:t xml:space="preserve">tax planning </w:t>
      </w:r>
      <w:r w:rsidR="00E13AF6" w:rsidRPr="00363097">
        <w:rPr>
          <w:rFonts w:eastAsia="Times New Roman"/>
          <w:noProof/>
          <w:lang w:eastAsia="en-IE"/>
        </w:rPr>
        <w:t>practises</w:t>
      </w:r>
      <w:r w:rsidR="00081B7A" w:rsidRPr="00363097">
        <w:rPr>
          <w:rFonts w:eastAsia="Times New Roman"/>
          <w:noProof/>
          <w:lang w:eastAsia="en-IE"/>
        </w:rPr>
        <w:t xml:space="preserve"> </w:t>
      </w:r>
      <w:r w:rsidR="002E446F" w:rsidRPr="00363097">
        <w:rPr>
          <w:rFonts w:eastAsia="Times New Roman"/>
          <w:noProof/>
          <w:lang w:eastAsia="en-IE"/>
        </w:rPr>
        <w:t>which previously have been addressed by</w:t>
      </w:r>
      <w:r w:rsidR="00081B7A" w:rsidRPr="00363097">
        <w:rPr>
          <w:rFonts w:eastAsia="Times New Roman"/>
          <w:noProof/>
          <w:lang w:eastAsia="en-IE"/>
        </w:rPr>
        <w:t xml:space="preserve"> the </w:t>
      </w:r>
      <w:r w:rsidR="00CF2BFC" w:rsidRPr="00363097">
        <w:rPr>
          <w:rFonts w:eastAsia="Times New Roman"/>
          <w:noProof/>
          <w:lang w:eastAsia="en-IE"/>
        </w:rPr>
        <w:t xml:space="preserve">Union </w:t>
      </w:r>
      <w:r w:rsidR="00081B7A" w:rsidRPr="00363097">
        <w:rPr>
          <w:rFonts w:eastAsia="Times New Roman"/>
          <w:noProof/>
          <w:lang w:eastAsia="en-IE"/>
        </w:rPr>
        <w:t xml:space="preserve">and Member States </w:t>
      </w:r>
      <w:r w:rsidR="002E446F" w:rsidRPr="00363097">
        <w:rPr>
          <w:rFonts w:eastAsia="Times New Roman"/>
          <w:noProof/>
          <w:lang w:eastAsia="en-IE"/>
        </w:rPr>
        <w:t xml:space="preserve">by </w:t>
      </w:r>
      <w:r w:rsidR="006F7665" w:rsidRPr="00363097">
        <w:rPr>
          <w:rFonts w:eastAsia="Times New Roman"/>
          <w:noProof/>
          <w:lang w:eastAsia="en-IE"/>
        </w:rPr>
        <w:t>adopting</w:t>
      </w:r>
      <w:r w:rsidR="00081B7A" w:rsidRPr="00363097">
        <w:rPr>
          <w:rFonts w:eastAsia="Times New Roman"/>
          <w:noProof/>
          <w:lang w:eastAsia="en-IE"/>
        </w:rPr>
        <w:t xml:space="preserve"> anti-tax evasion and avoidance measures. These measures have been successful in addressing specific issues, but also added complexity to the tax systems that business</w:t>
      </w:r>
      <w:r w:rsidR="002E739F" w:rsidRPr="00363097">
        <w:rPr>
          <w:rFonts w:eastAsia="Times New Roman"/>
          <w:noProof/>
          <w:lang w:eastAsia="en-IE"/>
        </w:rPr>
        <w:t>es</w:t>
      </w:r>
      <w:r w:rsidR="00081B7A" w:rsidRPr="00363097">
        <w:rPr>
          <w:rFonts w:eastAsia="Times New Roman"/>
          <w:noProof/>
          <w:lang w:eastAsia="en-IE"/>
        </w:rPr>
        <w:t xml:space="preserve"> have to navigate. It has therefore become more pressing for </w:t>
      </w:r>
      <w:r w:rsidR="00CF2BFC" w:rsidRPr="00363097">
        <w:rPr>
          <w:rFonts w:eastAsia="Times New Roman"/>
          <w:noProof/>
          <w:lang w:eastAsia="en-IE"/>
        </w:rPr>
        <w:t xml:space="preserve">the Union </w:t>
      </w:r>
      <w:r w:rsidR="00081B7A" w:rsidRPr="00363097">
        <w:rPr>
          <w:rFonts w:eastAsia="Times New Roman"/>
          <w:noProof/>
          <w:lang w:eastAsia="en-IE"/>
        </w:rPr>
        <w:t xml:space="preserve">tax policy to ensure that Member State tax bases are robust, sustainable, and protected against abuse while reducing complexity in the </w:t>
      </w:r>
      <w:r w:rsidR="00906448">
        <w:rPr>
          <w:rFonts w:eastAsia="Times New Roman"/>
          <w:noProof/>
          <w:lang w:eastAsia="en-IE"/>
        </w:rPr>
        <w:t>i</w:t>
      </w:r>
      <w:r w:rsidR="00CF2BFC" w:rsidRPr="00363097">
        <w:rPr>
          <w:rFonts w:eastAsia="Times New Roman"/>
          <w:noProof/>
          <w:lang w:eastAsia="en-IE"/>
        </w:rPr>
        <w:t>nternal market</w:t>
      </w:r>
      <w:r w:rsidR="00081B7A" w:rsidRPr="00363097">
        <w:rPr>
          <w:rFonts w:eastAsia="Times New Roman"/>
          <w:noProof/>
          <w:lang w:eastAsia="en-IE"/>
        </w:rPr>
        <w:t xml:space="preserve">. </w:t>
      </w:r>
    </w:p>
    <w:p w14:paraId="35A0482F" w14:textId="36AABCFF" w:rsidR="00081B7A" w:rsidRPr="00363097" w:rsidRDefault="0020585D" w:rsidP="00081B7A">
      <w:pPr>
        <w:pBdr>
          <w:top w:val="nil"/>
          <w:left w:val="nil"/>
          <w:bottom w:val="nil"/>
          <w:right w:val="nil"/>
          <w:between w:val="nil"/>
          <w:bar w:val="nil"/>
        </w:pBdr>
        <w:spacing w:before="0" w:after="240"/>
        <w:rPr>
          <w:rFonts w:eastAsia="Times New Roman"/>
          <w:noProof/>
          <w:lang w:eastAsia="en-IE"/>
        </w:rPr>
      </w:pPr>
      <w:r w:rsidRPr="00363097">
        <w:rPr>
          <w:rFonts w:eastAsia="Arial Unicode MS"/>
          <w:noProof/>
        </w:rPr>
        <w:t xml:space="preserve">This proposal seeks a way forward that reconciliates all aspects by </w:t>
      </w:r>
      <w:r w:rsidR="001424C2" w:rsidRPr="00363097">
        <w:rPr>
          <w:rFonts w:eastAsia="Arial Unicode MS"/>
          <w:noProof/>
        </w:rPr>
        <w:t xml:space="preserve">introducing </w:t>
      </w:r>
      <w:r w:rsidR="004C1C84" w:rsidRPr="00363097">
        <w:rPr>
          <w:rFonts w:eastAsia="Arial Unicode MS"/>
          <w:noProof/>
        </w:rPr>
        <w:t>a</w:t>
      </w:r>
      <w:r w:rsidR="001424C2" w:rsidRPr="00363097">
        <w:rPr>
          <w:rFonts w:eastAsia="Arial Unicode MS"/>
          <w:noProof/>
        </w:rPr>
        <w:t xml:space="preserve"> common framework for </w:t>
      </w:r>
      <w:r w:rsidR="00F223F1" w:rsidRPr="00363097">
        <w:rPr>
          <w:rFonts w:eastAsia="Arial Unicode MS"/>
          <w:noProof/>
        </w:rPr>
        <w:t>corporate income taxation in the Union.</w:t>
      </w:r>
      <w:r w:rsidR="0037499C" w:rsidRPr="00363097">
        <w:rPr>
          <w:rFonts w:eastAsia="Arial Unicode MS"/>
          <w:noProof/>
        </w:rPr>
        <w:t xml:space="preserve"> </w:t>
      </w:r>
      <w:r w:rsidR="0037499C" w:rsidRPr="00363097">
        <w:rPr>
          <w:noProof/>
        </w:rPr>
        <w:t>Th</w:t>
      </w:r>
      <w:r w:rsidR="00147AAD" w:rsidRPr="00363097">
        <w:rPr>
          <w:noProof/>
        </w:rPr>
        <w:t>e</w:t>
      </w:r>
      <w:r w:rsidR="005028A0" w:rsidRPr="00363097">
        <w:rPr>
          <w:noProof/>
        </w:rPr>
        <w:t xml:space="preserve"> common</w:t>
      </w:r>
      <w:r w:rsidR="0037499C" w:rsidRPr="00363097">
        <w:rPr>
          <w:noProof/>
        </w:rPr>
        <w:t xml:space="preserve"> framework will</w:t>
      </w:r>
      <w:r w:rsidR="00675E30" w:rsidRPr="00363097">
        <w:rPr>
          <w:noProof/>
        </w:rPr>
        <w:t xml:space="preserve"> </w:t>
      </w:r>
      <w:r w:rsidR="00C55DDA" w:rsidRPr="00363097">
        <w:rPr>
          <w:noProof/>
        </w:rPr>
        <w:t>simplify</w:t>
      </w:r>
      <w:r w:rsidR="00675E30" w:rsidRPr="00363097">
        <w:rPr>
          <w:noProof/>
        </w:rPr>
        <w:t xml:space="preserve"> the tax </w:t>
      </w:r>
      <w:r w:rsidR="00C55DDA" w:rsidRPr="00363097">
        <w:rPr>
          <w:noProof/>
        </w:rPr>
        <w:t xml:space="preserve">environment in the </w:t>
      </w:r>
      <w:r w:rsidR="00906448">
        <w:rPr>
          <w:noProof/>
        </w:rPr>
        <w:t>i</w:t>
      </w:r>
      <w:r w:rsidR="00F44C5C" w:rsidRPr="00363097">
        <w:rPr>
          <w:noProof/>
        </w:rPr>
        <w:t>nternal market</w:t>
      </w:r>
      <w:r w:rsidR="00675E30" w:rsidRPr="00363097">
        <w:rPr>
          <w:noProof/>
        </w:rPr>
        <w:t xml:space="preserve"> as it will</w:t>
      </w:r>
      <w:r w:rsidR="0037499C" w:rsidRPr="00363097">
        <w:rPr>
          <w:noProof/>
        </w:rPr>
        <w:t xml:space="preserve"> replace the current 27 different ways for determining the taxable base for groups of companies </w:t>
      </w:r>
      <w:r w:rsidR="006338C8" w:rsidRPr="00363097">
        <w:rPr>
          <w:noProof/>
        </w:rPr>
        <w:t>which ha</w:t>
      </w:r>
      <w:r w:rsidR="003F1524" w:rsidRPr="00363097">
        <w:rPr>
          <w:noProof/>
        </w:rPr>
        <w:t>ve</w:t>
      </w:r>
      <w:r w:rsidR="006338C8" w:rsidRPr="00363097">
        <w:rPr>
          <w:noProof/>
        </w:rPr>
        <w:t xml:space="preserve"> </w:t>
      </w:r>
      <w:r w:rsidR="009D0CBE" w:rsidRPr="00363097">
        <w:rPr>
          <w:noProof/>
        </w:rPr>
        <w:t>annual</w:t>
      </w:r>
      <w:r w:rsidR="006338C8" w:rsidRPr="00363097">
        <w:rPr>
          <w:noProof/>
        </w:rPr>
        <w:t xml:space="preserve"> combined </w:t>
      </w:r>
      <w:r w:rsidR="0060500F" w:rsidRPr="00363097">
        <w:rPr>
          <w:noProof/>
        </w:rPr>
        <w:t xml:space="preserve">revenues </w:t>
      </w:r>
      <w:r w:rsidR="00111AD6" w:rsidRPr="00363097">
        <w:rPr>
          <w:noProof/>
        </w:rPr>
        <w:t>exceeding</w:t>
      </w:r>
      <w:r w:rsidR="0060500F" w:rsidRPr="00363097">
        <w:rPr>
          <w:noProof/>
        </w:rPr>
        <w:t xml:space="preserve"> </w:t>
      </w:r>
      <w:r w:rsidR="003827D3" w:rsidRPr="00363097">
        <w:rPr>
          <w:noProof/>
        </w:rPr>
        <w:t>EUR 750 million</w:t>
      </w:r>
      <w:r w:rsidR="0037499C" w:rsidRPr="00363097">
        <w:rPr>
          <w:rFonts w:eastAsia="Times New Roman"/>
          <w:noProof/>
          <w:lang w:eastAsia="en-IE"/>
        </w:rPr>
        <w:t xml:space="preserve">. </w:t>
      </w:r>
      <w:r w:rsidR="00B36CC7" w:rsidRPr="00363097">
        <w:rPr>
          <w:rFonts w:eastAsia="Times New Roman"/>
          <w:noProof/>
          <w:lang w:eastAsia="en-IE"/>
        </w:rPr>
        <w:t>Consequently, t</w:t>
      </w:r>
      <w:r w:rsidR="00AB2AEA" w:rsidRPr="00363097">
        <w:rPr>
          <w:rFonts w:eastAsia="Times New Roman"/>
          <w:noProof/>
          <w:lang w:eastAsia="en-IE"/>
        </w:rPr>
        <w:t>he</w:t>
      </w:r>
      <w:r w:rsidR="00521FFF" w:rsidRPr="00363097">
        <w:rPr>
          <w:rFonts w:eastAsia="Times New Roman"/>
          <w:noProof/>
          <w:lang w:eastAsia="en-IE"/>
        </w:rPr>
        <w:t xml:space="preserve"> common framework </w:t>
      </w:r>
      <w:r w:rsidR="00A92F6F" w:rsidRPr="00363097">
        <w:rPr>
          <w:rFonts w:eastAsia="Times New Roman"/>
          <w:noProof/>
          <w:lang w:eastAsia="en-IE"/>
        </w:rPr>
        <w:t xml:space="preserve">will </w:t>
      </w:r>
      <w:r w:rsidR="00702B6B" w:rsidRPr="00363097">
        <w:rPr>
          <w:rFonts w:eastAsia="Times New Roman"/>
          <w:noProof/>
          <w:lang w:eastAsia="en-IE"/>
        </w:rPr>
        <w:t>creat</w:t>
      </w:r>
      <w:r w:rsidR="00A92F6F" w:rsidRPr="00363097">
        <w:rPr>
          <w:rFonts w:eastAsia="Times New Roman"/>
          <w:noProof/>
          <w:lang w:eastAsia="en-IE"/>
        </w:rPr>
        <w:t>e</w:t>
      </w:r>
      <w:r w:rsidR="00146E4E" w:rsidRPr="00363097">
        <w:rPr>
          <w:rFonts w:eastAsia="Times New Roman"/>
          <w:noProof/>
          <w:lang w:eastAsia="en-IE"/>
        </w:rPr>
        <w:t xml:space="preserve"> a level playing field</w:t>
      </w:r>
      <w:r w:rsidR="00BA5965">
        <w:rPr>
          <w:rFonts w:eastAsia="Times New Roman"/>
          <w:noProof/>
          <w:lang w:eastAsia="en-IE"/>
        </w:rPr>
        <w:t>,</w:t>
      </w:r>
      <w:r w:rsidR="00824E1D" w:rsidRPr="00363097">
        <w:rPr>
          <w:rFonts w:eastAsia="Times New Roman"/>
          <w:noProof/>
          <w:lang w:eastAsia="en-IE"/>
        </w:rPr>
        <w:t xml:space="preserve"> </w:t>
      </w:r>
      <w:r w:rsidR="00617E6D" w:rsidRPr="00363097">
        <w:rPr>
          <w:rFonts w:eastAsia="Times New Roman"/>
          <w:noProof/>
          <w:lang w:eastAsia="en-IE"/>
        </w:rPr>
        <w:t xml:space="preserve">enhance </w:t>
      </w:r>
      <w:r w:rsidR="00824E1D" w:rsidRPr="00363097">
        <w:rPr>
          <w:rFonts w:eastAsia="Times New Roman"/>
          <w:noProof/>
          <w:lang w:eastAsia="en-IE"/>
        </w:rPr>
        <w:t>legal certainty</w:t>
      </w:r>
      <w:r w:rsidR="00B21E30" w:rsidRPr="00363097">
        <w:rPr>
          <w:rFonts w:eastAsia="Times New Roman"/>
          <w:noProof/>
          <w:lang w:eastAsia="en-IE"/>
        </w:rPr>
        <w:t xml:space="preserve">, </w:t>
      </w:r>
      <w:r w:rsidR="00702B6B" w:rsidRPr="00363097">
        <w:rPr>
          <w:rFonts w:eastAsia="Times New Roman"/>
          <w:noProof/>
          <w:lang w:eastAsia="en-IE"/>
        </w:rPr>
        <w:t xml:space="preserve">reduce compliance costs, </w:t>
      </w:r>
      <w:r w:rsidR="00B21E30" w:rsidRPr="00363097">
        <w:rPr>
          <w:rFonts w:eastAsia="Times New Roman"/>
          <w:noProof/>
          <w:lang w:eastAsia="en-IE"/>
        </w:rPr>
        <w:t>encourage businesses to operate cross-border</w:t>
      </w:r>
      <w:r w:rsidR="00824E1D" w:rsidRPr="00363097">
        <w:rPr>
          <w:rFonts w:eastAsia="Times New Roman"/>
          <w:noProof/>
          <w:lang w:eastAsia="en-IE"/>
        </w:rPr>
        <w:t xml:space="preserve"> and </w:t>
      </w:r>
      <w:r w:rsidR="00BB0E3D" w:rsidRPr="00363097">
        <w:rPr>
          <w:rFonts w:eastAsia="Times New Roman"/>
          <w:noProof/>
          <w:lang w:eastAsia="en-IE"/>
        </w:rPr>
        <w:t>stimulate investments and growth</w:t>
      </w:r>
      <w:r w:rsidR="00B36CC7" w:rsidRPr="00363097">
        <w:rPr>
          <w:rFonts w:eastAsia="Times New Roman"/>
          <w:noProof/>
          <w:lang w:eastAsia="en-IE"/>
        </w:rPr>
        <w:t xml:space="preserve"> in the Union</w:t>
      </w:r>
      <w:r w:rsidR="00F223F1" w:rsidRPr="00363097">
        <w:rPr>
          <w:rFonts w:eastAsia="Arial Unicode MS"/>
          <w:noProof/>
        </w:rPr>
        <w:t>.</w:t>
      </w:r>
    </w:p>
    <w:p w14:paraId="60FE0C76" w14:textId="77777777" w:rsidR="00F2280C" w:rsidRPr="00363097" w:rsidRDefault="00F2280C"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Together with this proposal, the Commission adopted a separate proposal on transfer pricing which is covered by the same impact assessment report.</w:t>
      </w:r>
    </w:p>
    <w:p w14:paraId="0D30FF76" w14:textId="77777777" w:rsidR="00081B7A" w:rsidRPr="00363097" w:rsidRDefault="00081B7A" w:rsidP="00081B7A">
      <w:pPr>
        <w:pStyle w:val="ManualHeading2"/>
        <w:rPr>
          <w:rFonts w:eastAsia="Arial Unicode MS"/>
          <w:noProof/>
          <w:bdr w:val="nil"/>
          <w:lang w:val="en-US" w:eastAsia="en-GB"/>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rPr>
        <w:t>Consistency with existing policy provisions in the policy area</w:t>
      </w:r>
    </w:p>
    <w:p w14:paraId="2BC4F742" w14:textId="77777777" w:rsidR="00081B7A" w:rsidRPr="00363097" w:rsidRDefault="00081B7A" w:rsidP="00081B7A">
      <w:pPr>
        <w:pBdr>
          <w:top w:val="nil"/>
          <w:left w:val="nil"/>
          <w:bottom w:val="nil"/>
          <w:right w:val="nil"/>
          <w:between w:val="nil"/>
          <w:bar w:val="nil"/>
        </w:pBdr>
        <w:spacing w:before="0" w:after="240"/>
        <w:rPr>
          <w:noProof/>
          <w:lang w:eastAsia="en-GB"/>
        </w:rPr>
      </w:pPr>
      <w:r w:rsidRPr="00363097">
        <w:rPr>
          <w:noProof/>
          <w:lang w:eastAsia="en-GB"/>
        </w:rPr>
        <w:t xml:space="preserve">This Directive </w:t>
      </w:r>
      <w:r w:rsidR="0020585D" w:rsidRPr="00363097">
        <w:rPr>
          <w:noProof/>
          <w:lang w:eastAsia="en-GB"/>
        </w:rPr>
        <w:t>is in line with and</w:t>
      </w:r>
      <w:r w:rsidR="003A7C43">
        <w:rPr>
          <w:noProof/>
          <w:lang w:eastAsia="en-GB"/>
        </w:rPr>
        <w:t xml:space="preserve"> </w:t>
      </w:r>
      <w:r w:rsidRPr="00363097">
        <w:rPr>
          <w:noProof/>
          <w:lang w:eastAsia="en-GB"/>
        </w:rPr>
        <w:t xml:space="preserve">complements a number of </w:t>
      </w:r>
      <w:r w:rsidR="0020585D" w:rsidRPr="00363097">
        <w:rPr>
          <w:noProof/>
          <w:lang w:eastAsia="en-GB"/>
        </w:rPr>
        <w:t xml:space="preserve">recent </w:t>
      </w:r>
      <w:r w:rsidRPr="00363097">
        <w:rPr>
          <w:noProof/>
          <w:lang w:eastAsia="en-GB"/>
        </w:rPr>
        <w:t>proposals made by the Commission</w:t>
      </w:r>
      <w:r w:rsidR="00B42980" w:rsidRPr="00363097">
        <w:rPr>
          <w:noProof/>
          <w:lang w:eastAsia="en-GB"/>
        </w:rPr>
        <w:t>, which were also announced in the Communication on Business Taxation for the 21</w:t>
      </w:r>
      <w:r w:rsidR="00B42980" w:rsidRPr="00363097">
        <w:rPr>
          <w:noProof/>
          <w:vertAlign w:val="superscript"/>
          <w:lang w:eastAsia="en-GB"/>
        </w:rPr>
        <w:t>st</w:t>
      </w:r>
      <w:r w:rsidR="00B42980" w:rsidRPr="00363097">
        <w:rPr>
          <w:noProof/>
          <w:lang w:eastAsia="en-GB"/>
        </w:rPr>
        <w:t xml:space="preserve"> century</w:t>
      </w:r>
      <w:r w:rsidRPr="00363097">
        <w:rPr>
          <w:noProof/>
          <w:lang w:eastAsia="en-GB"/>
        </w:rPr>
        <w:t>. Notably, the</w:t>
      </w:r>
      <w:r w:rsidR="00BB3882" w:rsidRPr="00363097">
        <w:rPr>
          <w:noProof/>
          <w:lang w:eastAsia="en-GB"/>
        </w:rPr>
        <w:t xml:space="preserve"> “DEBRA”</w:t>
      </w:r>
      <w:r w:rsidRPr="00363097">
        <w:rPr>
          <w:noProof/>
          <w:lang w:eastAsia="en-GB"/>
        </w:rPr>
        <w:t xml:space="preserve"> proposal </w:t>
      </w:r>
      <w:r w:rsidR="00B63ECC" w:rsidRPr="00363097">
        <w:rPr>
          <w:noProof/>
          <w:lang w:eastAsia="en-GB"/>
        </w:rPr>
        <w:t>which aims to</w:t>
      </w:r>
      <w:r w:rsidRPr="00363097">
        <w:rPr>
          <w:noProof/>
          <w:lang w:eastAsia="en-GB"/>
        </w:rPr>
        <w:t xml:space="preserve"> promote </w:t>
      </w:r>
      <w:r w:rsidR="00B42980" w:rsidRPr="00363097">
        <w:rPr>
          <w:noProof/>
          <w:lang w:eastAsia="en-GB"/>
        </w:rPr>
        <w:t xml:space="preserve">growth and </w:t>
      </w:r>
      <w:r w:rsidRPr="00363097">
        <w:rPr>
          <w:noProof/>
          <w:lang w:eastAsia="en-GB"/>
        </w:rPr>
        <w:t>innovation by addressing the debt-equity bias in corporate taxation through an allowance system</w:t>
      </w:r>
      <w:r w:rsidR="00B42980" w:rsidRPr="00917A44">
        <w:rPr>
          <w:rStyle w:val="FootnoteReference0"/>
          <w:noProof/>
        </w:rPr>
        <w:footnoteReference w:id="10"/>
      </w:r>
      <w:r w:rsidRPr="00363097">
        <w:rPr>
          <w:noProof/>
          <w:lang w:eastAsia="en-GB"/>
        </w:rPr>
        <w:t xml:space="preserve">, and the </w:t>
      </w:r>
      <w:r w:rsidR="00BB3882" w:rsidRPr="00363097">
        <w:rPr>
          <w:noProof/>
          <w:lang w:eastAsia="en-GB"/>
        </w:rPr>
        <w:t xml:space="preserve">“UNSHELL” </w:t>
      </w:r>
      <w:r w:rsidRPr="00363097">
        <w:rPr>
          <w:noProof/>
          <w:lang w:eastAsia="en-GB"/>
        </w:rPr>
        <w:t xml:space="preserve">proposal </w:t>
      </w:r>
      <w:r w:rsidR="00B63ECC" w:rsidRPr="00363097">
        <w:rPr>
          <w:noProof/>
          <w:lang w:eastAsia="en-GB"/>
        </w:rPr>
        <w:t>which aims to</w:t>
      </w:r>
      <w:r w:rsidRPr="00363097">
        <w:rPr>
          <w:noProof/>
          <w:lang w:eastAsia="en-GB"/>
        </w:rPr>
        <w:t xml:space="preserve"> tackle the </w:t>
      </w:r>
      <w:r w:rsidR="00B42980" w:rsidRPr="00363097">
        <w:rPr>
          <w:noProof/>
          <w:lang w:eastAsia="en-GB"/>
        </w:rPr>
        <w:t xml:space="preserve">misuse </w:t>
      </w:r>
      <w:r w:rsidRPr="00363097">
        <w:rPr>
          <w:noProof/>
          <w:lang w:eastAsia="en-GB"/>
        </w:rPr>
        <w:t xml:space="preserve">of shell </w:t>
      </w:r>
      <w:r w:rsidR="00B42980" w:rsidRPr="00363097">
        <w:rPr>
          <w:noProof/>
          <w:lang w:eastAsia="en-GB"/>
        </w:rPr>
        <w:t>entities for tax purposes</w:t>
      </w:r>
      <w:r w:rsidRPr="00363097">
        <w:rPr>
          <w:noProof/>
          <w:lang w:eastAsia="en-GB"/>
        </w:rPr>
        <w:t xml:space="preserve">, through new </w:t>
      </w:r>
      <w:r w:rsidR="00B42980" w:rsidRPr="00363097">
        <w:rPr>
          <w:noProof/>
          <w:lang w:eastAsia="en-GB"/>
        </w:rPr>
        <w:t xml:space="preserve">anti-tax </w:t>
      </w:r>
      <w:r w:rsidRPr="00363097">
        <w:rPr>
          <w:noProof/>
          <w:lang w:eastAsia="en-GB"/>
        </w:rPr>
        <w:t>avoidance measures</w:t>
      </w:r>
      <w:r w:rsidR="00B42980" w:rsidRPr="00363097">
        <w:rPr>
          <w:rStyle w:val="FootnoteReference0"/>
          <w:noProof/>
          <w:lang w:eastAsia="en-GB"/>
        </w:rPr>
        <w:footnoteReference w:id="11"/>
      </w:r>
      <w:r w:rsidRPr="00363097">
        <w:rPr>
          <w:noProof/>
          <w:lang w:eastAsia="en-GB"/>
        </w:rPr>
        <w:t xml:space="preserve">. </w:t>
      </w:r>
    </w:p>
    <w:p w14:paraId="3E4E6AF4" w14:textId="6DFEA2B0" w:rsidR="00081B7A" w:rsidRPr="00363097" w:rsidRDefault="00081B7A" w:rsidP="00081B7A">
      <w:pPr>
        <w:pBdr>
          <w:top w:val="nil"/>
          <w:left w:val="nil"/>
          <w:bottom w:val="nil"/>
          <w:right w:val="nil"/>
          <w:between w:val="nil"/>
          <w:bar w:val="nil"/>
        </w:pBdr>
        <w:spacing w:before="0" w:after="240"/>
        <w:rPr>
          <w:noProof/>
        </w:rPr>
      </w:pPr>
      <w:r w:rsidRPr="00363097">
        <w:rPr>
          <w:noProof/>
        </w:rPr>
        <w:t>This initiative is also fully consistent with existing</w:t>
      </w:r>
      <w:r w:rsidRPr="00363097">
        <w:rPr>
          <w:noProof/>
          <w:szCs w:val="24"/>
        </w:rPr>
        <w:t xml:space="preserve"> </w:t>
      </w:r>
      <w:r w:rsidR="00CF2BFC" w:rsidRPr="00363097">
        <w:rPr>
          <w:noProof/>
        </w:rPr>
        <w:t xml:space="preserve">Union </w:t>
      </w:r>
      <w:r w:rsidRPr="00363097">
        <w:rPr>
          <w:noProof/>
        </w:rPr>
        <w:t>policies in the field of direct taxation.</w:t>
      </w:r>
      <w:r w:rsidRPr="00363097">
        <w:rPr>
          <w:noProof/>
          <w:szCs w:val="24"/>
        </w:rPr>
        <w:t xml:space="preserve"> </w:t>
      </w:r>
      <w:r w:rsidRPr="00363097">
        <w:rPr>
          <w:noProof/>
        </w:rPr>
        <w:t>The Parent-Subsidiary Directive</w:t>
      </w:r>
      <w:r w:rsidRPr="00363097">
        <w:rPr>
          <w:noProof/>
          <w:szCs w:val="24"/>
        </w:rPr>
        <w:t>,</w:t>
      </w:r>
      <w:r w:rsidRPr="00363097">
        <w:rPr>
          <w:rStyle w:val="FootnoteReference0"/>
          <w:noProof/>
        </w:rPr>
        <w:footnoteReference w:id="12"/>
      </w:r>
      <w:r w:rsidRPr="00363097">
        <w:rPr>
          <w:noProof/>
          <w:szCs w:val="24"/>
        </w:rPr>
        <w:t xml:space="preserve"> </w:t>
      </w:r>
      <w:r w:rsidRPr="00363097">
        <w:rPr>
          <w:noProof/>
        </w:rPr>
        <w:t>the Interest and Royalties Directive</w:t>
      </w:r>
      <w:r w:rsidRPr="00363097">
        <w:rPr>
          <w:rStyle w:val="FootnoteReference0"/>
          <w:noProof/>
        </w:rPr>
        <w:footnoteReference w:id="13"/>
      </w:r>
      <w:r w:rsidRPr="00363097">
        <w:rPr>
          <w:noProof/>
        </w:rPr>
        <w:t xml:space="preserve"> and the Merger Directive</w:t>
      </w:r>
      <w:r w:rsidRPr="00363097">
        <w:rPr>
          <w:rStyle w:val="FootnoteReference0"/>
          <w:noProof/>
        </w:rPr>
        <w:footnoteReference w:id="14"/>
      </w:r>
      <w:r w:rsidRPr="00363097">
        <w:rPr>
          <w:noProof/>
        </w:rPr>
        <w:t xml:space="preserve"> had the objective of tackling double taxation</w:t>
      </w:r>
      <w:r w:rsidR="00B42980" w:rsidRPr="00363097">
        <w:rPr>
          <w:noProof/>
        </w:rPr>
        <w:t xml:space="preserve"> of companies</w:t>
      </w:r>
      <w:r w:rsidRPr="00363097">
        <w:rPr>
          <w:noProof/>
          <w:szCs w:val="24"/>
        </w:rPr>
        <w:t xml:space="preserve">. </w:t>
      </w:r>
      <w:r w:rsidRPr="00363097">
        <w:rPr>
          <w:noProof/>
        </w:rPr>
        <w:t>BEFIT further builds on this policy and aims to provide a more comprehensive solution</w:t>
      </w:r>
      <w:r w:rsidRPr="00363097">
        <w:rPr>
          <w:noProof/>
          <w:szCs w:val="24"/>
        </w:rPr>
        <w:t xml:space="preserve">. </w:t>
      </w:r>
      <w:r w:rsidRPr="00363097">
        <w:rPr>
          <w:noProof/>
        </w:rPr>
        <w:t>In addition, the Directive on Administrative Cooperation (DAC)</w:t>
      </w:r>
      <w:r w:rsidRPr="00363097">
        <w:rPr>
          <w:rStyle w:val="FootnoteReference0"/>
          <w:noProof/>
        </w:rPr>
        <w:footnoteReference w:id="15"/>
      </w:r>
      <w:r w:rsidRPr="00363097">
        <w:rPr>
          <w:noProof/>
        </w:rPr>
        <w:t xml:space="preserve"> ensures cooperation and exchange of different types of information between the tax administrations of the Member States. In particular, since 2017, the DAC4 revision</w:t>
      </w:r>
      <w:r w:rsidRPr="00363097">
        <w:rPr>
          <w:rStyle w:val="FootnoteReference0"/>
          <w:noProof/>
        </w:rPr>
        <w:footnoteReference w:id="16"/>
      </w:r>
      <w:r w:rsidRPr="00363097">
        <w:rPr>
          <w:noProof/>
        </w:rPr>
        <w:t xml:space="preserve"> requires the ultimate parent entities of MNE groups to file country-by-country reports containing information on revenue, profits, taxes, employees and tangible assets, and </w:t>
      </w:r>
      <w:r w:rsidR="00932BB1">
        <w:rPr>
          <w:noProof/>
        </w:rPr>
        <w:t>their</w:t>
      </w:r>
      <w:r w:rsidR="00932BB1" w:rsidRPr="00363097">
        <w:rPr>
          <w:noProof/>
        </w:rPr>
        <w:t xml:space="preserve"> </w:t>
      </w:r>
      <w:r w:rsidRPr="00363097">
        <w:rPr>
          <w:noProof/>
        </w:rPr>
        <w:t xml:space="preserve">constituent entities. This information is shared between Member States. The administration system of BEFIT will benefit from this existing cooperation and make it more efficient. </w:t>
      </w:r>
    </w:p>
    <w:p w14:paraId="6169F385" w14:textId="77777777" w:rsidR="00081B7A" w:rsidRPr="00363097" w:rsidRDefault="00B42980" w:rsidP="00081B7A">
      <w:pPr>
        <w:pBdr>
          <w:top w:val="nil"/>
          <w:left w:val="nil"/>
          <w:bottom w:val="nil"/>
          <w:right w:val="nil"/>
          <w:between w:val="nil"/>
          <w:bar w:val="nil"/>
        </w:pBdr>
        <w:spacing w:before="0" w:after="240"/>
        <w:rPr>
          <w:noProof/>
        </w:rPr>
      </w:pPr>
      <w:r w:rsidRPr="00363097">
        <w:rPr>
          <w:noProof/>
        </w:rPr>
        <w:t xml:space="preserve">This proposal is </w:t>
      </w:r>
      <w:r w:rsidR="00081B7A" w:rsidRPr="00363097">
        <w:rPr>
          <w:noProof/>
        </w:rPr>
        <w:t>also compatible with the Anti-Tax Avoidance Directive (ATAD)</w:t>
      </w:r>
      <w:r w:rsidR="00081B7A" w:rsidRPr="00363097">
        <w:rPr>
          <w:rStyle w:val="FootnoteReference0"/>
          <w:noProof/>
        </w:rPr>
        <w:footnoteReference w:id="17"/>
      </w:r>
      <w:r w:rsidR="00081B7A" w:rsidRPr="00363097">
        <w:rPr>
          <w:noProof/>
        </w:rPr>
        <w:t xml:space="preserve"> that was adopted in 2016 to address tax avoidance practices. BEFIT does not contradict these rules. Businesses in scope of BEFIT may even benefit from more tax certainty in this regard. Their tax situation will be more transparent and clearer, compared to having to structure their operations in accordance with multiple national legal frameworks while also making sure that they respect the main purpose of each framework and avoid mismatches. The only provision where the BEFIT proposal needs to ensure consistency is the interest limitation rule (Article 4 of the ATAD). For this purpose, the proposal includes a specific provision to accommodate this measure within the dimension of a cross-border group and not as a rule that will apply company-by-company (Article 13). </w:t>
      </w:r>
    </w:p>
    <w:p w14:paraId="38B03033" w14:textId="3D48C968"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noProof/>
          <w:szCs w:val="24"/>
          <w:lang w:eastAsia="en-GB"/>
        </w:rPr>
        <w:t xml:space="preserve">The proposal is also consistent with the implementation of the OECD/G20 Inclusive Framework Two-Pillar Solution. As an extension to the OECD/G20 Base Erosion and Profit Shifting (BEPS) Project in 2015, and in particular the BEPS Action 1 Report on addressing the tax challenges of the digital economy, the OECD/G20 Inclusive Framework was set up to address tax challenges arising from digitalisation. The approach focused on two different, but related workstreams and in 2021, jurisdictions worldwide reached a historic agreement on a two-pillar solution. Pillar 1 encompasses a partial re-allocation of taxings rights to market jurisdictions (Amount A) and a simplification of the arm’s length principle for certain activities (Amount B). Pillar 2 consists of the Global anti-Base Erosion (GloBE) rules, which are two interlocking domestic rules ensuring a minimum effective taxation of 15%, and the Subject to Tax Rule (STTR), which is a treaty-based rule allowing a minimum rate of 9% on certain payments. </w:t>
      </w:r>
      <w:r w:rsidRPr="00363097">
        <w:rPr>
          <w:noProof/>
        </w:rPr>
        <w:t xml:space="preserve">On 15 December 2022, the </w:t>
      </w:r>
      <w:r w:rsidR="00CF2BFC" w:rsidRPr="00363097">
        <w:rPr>
          <w:noProof/>
        </w:rPr>
        <w:t xml:space="preserve">Union </w:t>
      </w:r>
      <w:r w:rsidRPr="00363097">
        <w:rPr>
          <w:noProof/>
        </w:rPr>
        <w:t xml:space="preserve">adopted the Pillar 2 Directive, with a view to implementing the GloBE rules in a uniform manner in the </w:t>
      </w:r>
      <w:r w:rsidR="00CF2BFC" w:rsidRPr="00363097">
        <w:rPr>
          <w:noProof/>
        </w:rPr>
        <w:t>Union</w:t>
      </w:r>
      <w:r w:rsidRPr="00363097">
        <w:rPr>
          <w:noProof/>
        </w:rPr>
        <w:t>.</w:t>
      </w:r>
      <w:r w:rsidR="0054125E" w:rsidRPr="00363097">
        <w:rPr>
          <w:noProof/>
        </w:rPr>
        <w:t xml:space="preserve"> The further work </w:t>
      </w:r>
      <w:r w:rsidR="00E15D77" w:rsidRPr="00363097">
        <w:rPr>
          <w:noProof/>
        </w:rPr>
        <w:t xml:space="preserve">of the </w:t>
      </w:r>
      <w:r w:rsidR="00D1073C">
        <w:rPr>
          <w:noProof/>
        </w:rPr>
        <w:t xml:space="preserve">OECD/G20 </w:t>
      </w:r>
      <w:r w:rsidR="00E15D77" w:rsidRPr="00363097">
        <w:rPr>
          <w:noProof/>
        </w:rPr>
        <w:t>Inclusive Framework to address the remaining elements of the Two‐Pillar Solution was</w:t>
      </w:r>
      <w:r w:rsidR="00D24676" w:rsidRPr="00363097">
        <w:rPr>
          <w:noProof/>
        </w:rPr>
        <w:t xml:space="preserve"> </w:t>
      </w:r>
      <w:r w:rsidR="00894209" w:rsidRPr="00363097">
        <w:rPr>
          <w:noProof/>
        </w:rPr>
        <w:t>agreed</w:t>
      </w:r>
      <w:r w:rsidR="00ED62E9" w:rsidRPr="00363097">
        <w:rPr>
          <w:noProof/>
        </w:rPr>
        <w:t xml:space="preserve"> </w:t>
      </w:r>
      <w:r w:rsidR="00DD3399" w:rsidRPr="00363097">
        <w:rPr>
          <w:noProof/>
        </w:rPr>
        <w:t xml:space="preserve">by </w:t>
      </w:r>
      <w:r w:rsidR="00D24676" w:rsidRPr="00363097">
        <w:rPr>
          <w:noProof/>
        </w:rPr>
        <w:t xml:space="preserve">138 countries and jurisdictions </w:t>
      </w:r>
      <w:r w:rsidR="002658D7" w:rsidRPr="00363097">
        <w:rPr>
          <w:noProof/>
        </w:rPr>
        <w:t>on</w:t>
      </w:r>
      <w:r w:rsidR="009B0F3D" w:rsidRPr="00363097">
        <w:rPr>
          <w:noProof/>
        </w:rPr>
        <w:t xml:space="preserve"> 11 July 2023</w:t>
      </w:r>
      <w:r w:rsidR="00183CFA" w:rsidRPr="00363097">
        <w:rPr>
          <w:rStyle w:val="FootnoteReference0"/>
          <w:noProof/>
        </w:rPr>
        <w:footnoteReference w:id="18"/>
      </w:r>
      <w:r w:rsidR="009B0F3D" w:rsidRPr="00363097">
        <w:rPr>
          <w:noProof/>
        </w:rPr>
        <w:t xml:space="preserve">. </w:t>
      </w:r>
      <w:r w:rsidRPr="00363097">
        <w:rPr>
          <w:rFonts w:eastAsia="Arial Unicode MS"/>
          <w:noProof/>
        </w:rPr>
        <w:t>The proposal builds on the achievements of the two Pillars, in order to provide businesses</w:t>
      </w:r>
      <w:r w:rsidR="00CF2BFC" w:rsidRPr="00363097">
        <w:rPr>
          <w:rFonts w:eastAsia="Arial Unicode MS"/>
          <w:noProof/>
        </w:rPr>
        <w:t xml:space="preserve"> in the Union</w:t>
      </w:r>
      <w:r w:rsidRPr="00363097">
        <w:rPr>
          <w:rFonts w:eastAsia="Arial Unicode MS"/>
          <w:noProof/>
        </w:rPr>
        <w:t xml:space="preserve"> with simplicity and certainty in a comprehensive manner.</w:t>
      </w:r>
    </w:p>
    <w:p w14:paraId="5A35EA2B" w14:textId="77777777" w:rsidR="00081B7A" w:rsidRPr="00363097" w:rsidRDefault="00081B7A" w:rsidP="00081B7A">
      <w:pPr>
        <w:pStyle w:val="ManualHeading2"/>
        <w:rPr>
          <w:rFonts w:eastAsia="Arial Unicode MS"/>
          <w:noProof/>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rPr>
        <w:t>Consistency with other Union policies</w:t>
      </w:r>
    </w:p>
    <w:p w14:paraId="61656510" w14:textId="4D73AFCC" w:rsidR="007D42DB" w:rsidRPr="00363097" w:rsidRDefault="00081B7A" w:rsidP="00081B7A">
      <w:pPr>
        <w:pBdr>
          <w:top w:val="nil"/>
          <w:left w:val="nil"/>
          <w:bottom w:val="nil"/>
          <w:right w:val="nil"/>
          <w:between w:val="nil"/>
          <w:bar w:val="nil"/>
        </w:pBdr>
        <w:spacing w:before="0" w:after="240"/>
        <w:rPr>
          <w:noProof/>
          <w:lang w:eastAsia="en-GB"/>
        </w:rPr>
      </w:pPr>
      <w:r w:rsidRPr="00363097">
        <w:rPr>
          <w:noProof/>
          <w:lang w:eastAsia="en-GB"/>
        </w:rPr>
        <w:t xml:space="preserve">Commission President Ursula von der Leyen announced in her 2022 State of the European Union address that the Commission will put forward an SME “Relief Package”. The SME Relief Package should deliver much-needed support to secure cash flow, to simplify, and to invest and grow. This should make it easier for SMEs to do business in the </w:t>
      </w:r>
      <w:r w:rsidR="007D7DEA" w:rsidRPr="00363097">
        <w:rPr>
          <w:noProof/>
          <w:lang w:eastAsia="en-GB"/>
        </w:rPr>
        <w:t>i</w:t>
      </w:r>
      <w:r w:rsidR="00CF2BFC" w:rsidRPr="00363097">
        <w:rPr>
          <w:noProof/>
          <w:lang w:eastAsia="en-GB"/>
        </w:rPr>
        <w:t>nternal market</w:t>
      </w:r>
      <w:r w:rsidRPr="00363097">
        <w:rPr>
          <w:noProof/>
          <w:lang w:eastAsia="en-GB"/>
        </w:rPr>
        <w:t xml:space="preserve">. </w:t>
      </w:r>
      <w:r w:rsidR="007D42DB" w:rsidRPr="00363097">
        <w:rPr>
          <w:noProof/>
          <w:lang w:eastAsia="en-GB"/>
        </w:rPr>
        <w:t>In this regard, a</w:t>
      </w:r>
      <w:r w:rsidR="003A7C43">
        <w:rPr>
          <w:noProof/>
          <w:lang w:eastAsia="en-GB"/>
        </w:rPr>
        <w:t xml:space="preserve"> </w:t>
      </w:r>
      <w:r w:rsidR="00505CE3">
        <w:rPr>
          <w:noProof/>
          <w:lang w:eastAsia="en-GB"/>
        </w:rPr>
        <w:t>related</w:t>
      </w:r>
      <w:r w:rsidRPr="00363097">
        <w:rPr>
          <w:noProof/>
          <w:lang w:eastAsia="en-GB"/>
        </w:rPr>
        <w:t xml:space="preserve"> proposal for a Directive for SMEs with limited </w:t>
      </w:r>
      <w:r w:rsidR="008A0A30" w:rsidRPr="00363097">
        <w:rPr>
          <w:noProof/>
          <w:lang w:eastAsia="en-GB"/>
        </w:rPr>
        <w:t>taxable</w:t>
      </w:r>
      <w:r w:rsidRPr="00363097">
        <w:rPr>
          <w:noProof/>
          <w:lang w:eastAsia="en-GB"/>
        </w:rPr>
        <w:t xml:space="preserve"> presence abroad (only through permanent establishments in (an)other Member State(s)) is expected to complement the array of the Commission’s initiatives for simplification in corporate taxation.</w:t>
      </w:r>
      <w:r w:rsidRPr="00363097" w:rsidDel="004D03CA">
        <w:rPr>
          <w:noProof/>
          <w:lang w:eastAsia="en-GB"/>
        </w:rPr>
        <w:t xml:space="preserve"> </w:t>
      </w:r>
      <w:r w:rsidRPr="00363097">
        <w:rPr>
          <w:noProof/>
          <w:lang w:eastAsia="en-GB"/>
        </w:rPr>
        <w:t xml:space="preserve">This will ensure that SME groups are also encouraged to expand across borders and that high tax compliance costs do not hinder SMEs from fully taking advantage of the opportunities in the </w:t>
      </w:r>
      <w:r w:rsidR="00926166" w:rsidRPr="00363097">
        <w:rPr>
          <w:noProof/>
          <w:lang w:eastAsia="en-GB"/>
        </w:rPr>
        <w:t>i</w:t>
      </w:r>
      <w:r w:rsidR="00CF2BFC" w:rsidRPr="00363097">
        <w:rPr>
          <w:noProof/>
          <w:lang w:eastAsia="en-GB"/>
        </w:rPr>
        <w:t>nternal market</w:t>
      </w:r>
      <w:r w:rsidRPr="00363097">
        <w:rPr>
          <w:noProof/>
          <w:lang w:eastAsia="en-GB"/>
        </w:rPr>
        <w:t xml:space="preserve">. </w:t>
      </w:r>
    </w:p>
    <w:p w14:paraId="09E2F0CE" w14:textId="77777777" w:rsidR="00081B7A" w:rsidRPr="00363097" w:rsidRDefault="00081B7A" w:rsidP="00081B7A">
      <w:pPr>
        <w:pBdr>
          <w:top w:val="nil"/>
          <w:left w:val="nil"/>
          <w:bottom w:val="nil"/>
          <w:right w:val="nil"/>
          <w:between w:val="nil"/>
          <w:bar w:val="nil"/>
        </w:pBdr>
        <w:spacing w:before="0" w:after="240"/>
        <w:rPr>
          <w:noProof/>
          <w:lang w:eastAsia="en-GB"/>
        </w:rPr>
      </w:pPr>
      <w:r w:rsidRPr="00363097">
        <w:rPr>
          <w:noProof/>
          <w:lang w:eastAsia="en-GB"/>
        </w:rPr>
        <w:t xml:space="preserve">BEFIT and the SME Relief Package are complementary. Both initiatives are aimed at enhancing simplification for businesses. </w:t>
      </w:r>
      <w:r w:rsidR="00FB4C23" w:rsidRPr="00363097">
        <w:rPr>
          <w:noProof/>
          <w:lang w:eastAsia="en-GB"/>
        </w:rPr>
        <w:t>In the field of taxation, t</w:t>
      </w:r>
      <w:r w:rsidRPr="00363097">
        <w:rPr>
          <w:noProof/>
          <w:lang w:eastAsia="en-GB"/>
        </w:rPr>
        <w:t xml:space="preserve">he SME </w:t>
      </w:r>
      <w:r w:rsidR="002D548B" w:rsidRPr="00363097">
        <w:rPr>
          <w:noProof/>
          <w:lang w:eastAsia="en-GB"/>
        </w:rPr>
        <w:t>R</w:t>
      </w:r>
      <w:r w:rsidRPr="00363097">
        <w:rPr>
          <w:noProof/>
          <w:lang w:eastAsia="en-GB"/>
        </w:rPr>
        <w:t xml:space="preserve">elief Package aims to offer simplification for SMEs </w:t>
      </w:r>
      <w:r w:rsidR="00341E88" w:rsidRPr="00363097">
        <w:rPr>
          <w:noProof/>
          <w:lang w:eastAsia="en-GB"/>
        </w:rPr>
        <w:t>with limited presence abroad</w:t>
      </w:r>
      <w:r w:rsidR="00FB4C23" w:rsidRPr="00363097">
        <w:rPr>
          <w:noProof/>
          <w:lang w:eastAsia="en-GB"/>
        </w:rPr>
        <w:t xml:space="preserve"> </w:t>
      </w:r>
      <w:r w:rsidRPr="00363097">
        <w:rPr>
          <w:noProof/>
          <w:lang w:eastAsia="en-GB"/>
        </w:rPr>
        <w:t xml:space="preserve">whilst BEFIT focuses on large corporate groups </w:t>
      </w:r>
      <w:r w:rsidR="00134757" w:rsidRPr="00363097">
        <w:rPr>
          <w:noProof/>
          <w:lang w:eastAsia="en-GB"/>
        </w:rPr>
        <w:t>which already</w:t>
      </w:r>
      <w:r w:rsidR="00341E88" w:rsidRPr="00363097">
        <w:rPr>
          <w:noProof/>
          <w:lang w:eastAsia="en-GB"/>
        </w:rPr>
        <w:t xml:space="preserve"> have</w:t>
      </w:r>
      <w:r w:rsidR="00134757" w:rsidRPr="00363097">
        <w:rPr>
          <w:noProof/>
          <w:lang w:eastAsia="en-GB"/>
        </w:rPr>
        <w:t xml:space="preserve"> </w:t>
      </w:r>
      <w:r w:rsidRPr="00363097">
        <w:rPr>
          <w:noProof/>
          <w:lang w:eastAsia="en-GB"/>
        </w:rPr>
        <w:t xml:space="preserve">extensive cross-border activity. </w:t>
      </w:r>
      <w:r w:rsidR="007D42DB" w:rsidRPr="00363097">
        <w:rPr>
          <w:noProof/>
        </w:rPr>
        <w:t xml:space="preserve">However, BEFIT offers optional rules for SMEs which </w:t>
      </w:r>
      <w:r w:rsidR="00025F8E" w:rsidRPr="00363097">
        <w:rPr>
          <w:noProof/>
        </w:rPr>
        <w:t xml:space="preserve">are part of a group </w:t>
      </w:r>
      <w:r w:rsidR="007D42DB" w:rsidRPr="00363097">
        <w:rPr>
          <w:noProof/>
        </w:rPr>
        <w:t>that file</w:t>
      </w:r>
      <w:r w:rsidR="00025F8E" w:rsidRPr="00363097">
        <w:rPr>
          <w:noProof/>
        </w:rPr>
        <w:t>s</w:t>
      </w:r>
      <w:r w:rsidR="007D42DB" w:rsidRPr="00363097">
        <w:rPr>
          <w:noProof/>
        </w:rPr>
        <w:t xml:space="preserve"> consolidated financial statements. </w:t>
      </w:r>
      <w:r w:rsidR="00025F8E" w:rsidRPr="00363097">
        <w:rPr>
          <w:noProof/>
        </w:rPr>
        <w:t xml:space="preserve">The optional scope will enable them to choose the simplest and most cost-efficient option based on their individual needs. </w:t>
      </w:r>
    </w:p>
    <w:p w14:paraId="623CC814" w14:textId="77777777" w:rsidR="00081B7A" w:rsidRPr="00363097" w:rsidRDefault="00D10F1F" w:rsidP="00D10F1F">
      <w:pPr>
        <w:pStyle w:val="ManualHeading1"/>
        <w:rPr>
          <w:noProof/>
        </w:rPr>
      </w:pPr>
      <w:r>
        <w:rPr>
          <w:noProof/>
        </w:rPr>
        <w:t>2.</w:t>
      </w:r>
      <w:r w:rsidRPr="00363097">
        <w:rPr>
          <w:noProof/>
        </w:rPr>
        <w:tab/>
      </w:r>
      <w:r w:rsidR="00081B7A" w:rsidRPr="00363097">
        <w:rPr>
          <w:noProof/>
        </w:rPr>
        <w:t>LEGAL BASIS, SUBSIDIARITY AND PROPORTIONALITY</w:t>
      </w:r>
    </w:p>
    <w:p w14:paraId="50D49EC7" w14:textId="77777777" w:rsidR="00081B7A" w:rsidRPr="00363097" w:rsidRDefault="00081B7A" w:rsidP="00081B7A">
      <w:pPr>
        <w:pStyle w:val="ManualHeading2"/>
        <w:rPr>
          <w:rFonts w:eastAsia="Arial Unicode MS"/>
          <w:noProof/>
          <w:bdr w:val="nil"/>
          <w:lang w:val="en-US" w:eastAsia="en-GB"/>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bdr w:val="nil"/>
          <w:lang w:val="en-US" w:eastAsia="en-GB"/>
        </w:rPr>
        <w:t>Legal basis</w:t>
      </w:r>
    </w:p>
    <w:p w14:paraId="07DC0745" w14:textId="77777777" w:rsidR="00081B7A" w:rsidRPr="00363097" w:rsidRDefault="00081B7A" w:rsidP="00D10F1F">
      <w:pPr>
        <w:rPr>
          <w:noProof/>
          <w:lang w:eastAsia="en-GB"/>
        </w:rPr>
      </w:pPr>
      <w:r w:rsidRPr="00363097">
        <w:rPr>
          <w:noProof/>
          <w:lang w:val="en-US"/>
        </w:rPr>
        <w:t>This proposal falls within the ambit of Article 115 of the Treaty on the Functioning of the E</w:t>
      </w:r>
      <w:r w:rsidR="00CF2BFC" w:rsidRPr="00363097">
        <w:rPr>
          <w:noProof/>
          <w:lang w:val="en-US"/>
        </w:rPr>
        <w:t xml:space="preserve">uropean </w:t>
      </w:r>
      <w:r w:rsidRPr="00363097">
        <w:rPr>
          <w:noProof/>
          <w:lang w:val="en-US"/>
        </w:rPr>
        <w:t>U</w:t>
      </w:r>
      <w:r w:rsidR="00CF2BFC" w:rsidRPr="00363097">
        <w:rPr>
          <w:noProof/>
          <w:lang w:val="en-US"/>
        </w:rPr>
        <w:t>nion</w:t>
      </w:r>
      <w:r w:rsidRPr="00363097">
        <w:rPr>
          <w:noProof/>
          <w:lang w:val="en-US"/>
        </w:rPr>
        <w:t xml:space="preserve"> (TFEU). The rules of the proposal aim to approximate the laws, regulations or administrative practices of the Member States as directly affect the establishment or functioning of the internal market. It shall therefore be adopted under a special legislative procedure in accordance with this article and in the form of a Directive.</w:t>
      </w:r>
      <w:r w:rsidRPr="00363097">
        <w:rPr>
          <w:noProof/>
          <w:lang w:eastAsia="en-GB"/>
        </w:rPr>
        <w:t xml:space="preserve"> The competence of the Union in this area is shared with the Member States. </w:t>
      </w:r>
    </w:p>
    <w:p w14:paraId="1F0FA6C7"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 xml:space="preserve">Subsidiarity (for non-exclusive competence) </w:t>
      </w:r>
    </w:p>
    <w:p w14:paraId="367DE96D" w14:textId="77777777" w:rsidR="00081B7A" w:rsidRPr="00363097" w:rsidRDefault="00CF2BFC" w:rsidP="00081B7A">
      <w:pPr>
        <w:pBdr>
          <w:top w:val="nil"/>
          <w:left w:val="nil"/>
          <w:bottom w:val="nil"/>
          <w:right w:val="nil"/>
          <w:between w:val="nil"/>
          <w:bar w:val="nil"/>
        </w:pBdr>
        <w:spacing w:before="0" w:after="240"/>
        <w:rPr>
          <w:rFonts w:eastAsia="Times New Roman"/>
          <w:noProof/>
          <w:lang w:val="en-US"/>
        </w:rPr>
      </w:pPr>
      <w:r w:rsidRPr="00363097">
        <w:rPr>
          <w:rFonts w:eastAsia="Times New Roman"/>
          <w:noProof/>
          <w:lang w:val="en-US"/>
        </w:rPr>
        <w:t>B</w:t>
      </w:r>
      <w:r w:rsidR="00081B7A" w:rsidRPr="00363097">
        <w:rPr>
          <w:rFonts w:eastAsia="Times New Roman"/>
          <w:noProof/>
          <w:lang w:val="en-US"/>
        </w:rPr>
        <w:t>usinesses</w:t>
      </w:r>
      <w:r w:rsidRPr="00363097">
        <w:rPr>
          <w:rFonts w:eastAsia="Times New Roman"/>
          <w:noProof/>
          <w:lang w:val="en-US"/>
        </w:rPr>
        <w:t xml:space="preserve"> in the Union</w:t>
      </w:r>
      <w:r w:rsidR="00081B7A" w:rsidRPr="00363097">
        <w:rPr>
          <w:rFonts w:eastAsia="Times New Roman"/>
          <w:noProof/>
          <w:lang w:val="en-US"/>
        </w:rPr>
        <w:t xml:space="preserve"> increasingly operate across borders in the </w:t>
      </w:r>
      <w:r w:rsidR="00691787" w:rsidRPr="00363097">
        <w:rPr>
          <w:rFonts w:eastAsia="Times New Roman"/>
          <w:noProof/>
          <w:lang w:val="en-US"/>
        </w:rPr>
        <w:t>i</w:t>
      </w:r>
      <w:r w:rsidRPr="00363097">
        <w:rPr>
          <w:rFonts w:eastAsia="Times New Roman"/>
          <w:noProof/>
          <w:lang w:val="en-US"/>
        </w:rPr>
        <w:t>nternal market</w:t>
      </w:r>
      <w:r w:rsidR="00081B7A" w:rsidRPr="00363097">
        <w:rPr>
          <w:rFonts w:eastAsia="Times New Roman"/>
          <w:noProof/>
          <w:lang w:val="en-US"/>
        </w:rPr>
        <w:t xml:space="preserve">, but the current tax framework in the </w:t>
      </w:r>
      <w:r w:rsidRPr="00363097">
        <w:rPr>
          <w:rFonts w:eastAsia="Times New Roman"/>
          <w:noProof/>
          <w:lang w:val="en-US"/>
        </w:rPr>
        <w:t xml:space="preserve">Union </w:t>
      </w:r>
      <w:r w:rsidR="00081B7A" w:rsidRPr="00363097">
        <w:rPr>
          <w:rFonts w:eastAsia="Times New Roman"/>
          <w:noProof/>
          <w:lang w:val="en-US"/>
        </w:rPr>
        <w:t xml:space="preserve">consists of 27 different corporate tax systems. This multiplicity of rules results in fragmentation and presents a serious impediment to business activity in the </w:t>
      </w:r>
      <w:r w:rsidR="00E459D9" w:rsidRPr="00363097">
        <w:rPr>
          <w:rFonts w:eastAsia="Times New Roman"/>
          <w:noProof/>
          <w:lang w:val="en-US"/>
        </w:rPr>
        <w:t>i</w:t>
      </w:r>
      <w:r w:rsidRPr="00363097">
        <w:rPr>
          <w:rFonts w:eastAsia="Times New Roman"/>
          <w:noProof/>
          <w:lang w:val="en-US"/>
        </w:rPr>
        <w:t>nternal market</w:t>
      </w:r>
      <w:r w:rsidR="00081B7A" w:rsidRPr="00363097">
        <w:rPr>
          <w:rFonts w:eastAsia="Times New Roman"/>
          <w:noProof/>
          <w:lang w:val="en-US"/>
        </w:rPr>
        <w:t xml:space="preserve">. Indeed, cross-border businesses face high tax compliance costs in the </w:t>
      </w:r>
      <w:r w:rsidR="00E459D9" w:rsidRPr="00363097">
        <w:rPr>
          <w:rFonts w:eastAsia="Times New Roman"/>
          <w:noProof/>
          <w:lang w:val="en-US"/>
        </w:rPr>
        <w:t>i</w:t>
      </w:r>
      <w:r w:rsidRPr="00363097">
        <w:rPr>
          <w:rFonts w:eastAsia="Times New Roman"/>
          <w:noProof/>
          <w:lang w:val="en-US"/>
        </w:rPr>
        <w:t>nternal market</w:t>
      </w:r>
      <w:r w:rsidR="00081B7A" w:rsidRPr="00363097">
        <w:rPr>
          <w:rFonts w:eastAsia="Times New Roman"/>
          <w:noProof/>
          <w:lang w:val="en-US"/>
        </w:rPr>
        <w:t xml:space="preserve">, as they must comply with various legal frameworks. Moreover, the disparities between Member States create </w:t>
      </w:r>
      <w:r w:rsidR="00081B7A" w:rsidRPr="00363097">
        <w:rPr>
          <w:noProof/>
          <w:lang w:val="en-US"/>
        </w:rPr>
        <w:t>mismatches that can lead to double non-taxation</w:t>
      </w:r>
      <w:r w:rsidR="00081B7A" w:rsidRPr="00363097">
        <w:rPr>
          <w:rFonts w:eastAsia="Times New Roman"/>
          <w:noProof/>
          <w:lang w:val="en-US"/>
        </w:rPr>
        <w:t xml:space="preserve"> and unintended tax benefits.</w:t>
      </w:r>
    </w:p>
    <w:p w14:paraId="1770B8DE" w14:textId="05EF7B9E" w:rsidR="00081B7A" w:rsidRPr="00363097" w:rsidRDefault="00081B7A" w:rsidP="00081B7A">
      <w:pPr>
        <w:rPr>
          <w:rFonts w:eastAsia="Times New Roman"/>
          <w:noProof/>
          <w:lang w:val="en-US"/>
        </w:rPr>
      </w:pPr>
      <w:r w:rsidRPr="00363097">
        <w:rPr>
          <w:rFonts w:eastAsia="Times New Roman"/>
          <w:noProof/>
          <w:lang w:val="en-US"/>
        </w:rPr>
        <w:t xml:space="preserve">These problems are common to all Member States and cannot be effectively addressed by national actions. As they are the result of having different tax systems in the first place, national uncoordinated action would produce insufficient effects. Similarly, while better cooperation may also be beneficial, this approach has mainly been bilateral and is limited, especially for groups that operate in more than two Member States. </w:t>
      </w:r>
    </w:p>
    <w:p w14:paraId="5A70CDF3" w14:textId="0A30932A" w:rsidR="00081B7A" w:rsidRPr="00363097" w:rsidRDefault="00081B7A" w:rsidP="00081B7A">
      <w:pPr>
        <w:rPr>
          <w:rFonts w:eastAsia="Times New Roman"/>
          <w:noProof/>
          <w:lang w:val="en-US"/>
        </w:rPr>
      </w:pPr>
      <w:r w:rsidRPr="00363097">
        <w:rPr>
          <w:rFonts w:eastAsia="Times New Roman"/>
          <w:noProof/>
          <w:lang w:val="en-US"/>
        </w:rPr>
        <w:t xml:space="preserve">In this context, only a </w:t>
      </w:r>
      <w:r w:rsidR="00CF2BFC" w:rsidRPr="00363097">
        <w:rPr>
          <w:rFonts w:eastAsia="Times New Roman"/>
          <w:noProof/>
          <w:lang w:val="en-US"/>
        </w:rPr>
        <w:t>Union</w:t>
      </w:r>
      <w:r w:rsidRPr="00363097">
        <w:rPr>
          <w:rFonts w:eastAsia="Times New Roman"/>
          <w:noProof/>
          <w:lang w:val="en-US"/>
        </w:rPr>
        <w:t xml:space="preserve">-wide initiative providing for a common set of rules can be effective. The complexity and its consequences would be significantly reduced if a single </w:t>
      </w:r>
      <w:r w:rsidR="00CF2BFC" w:rsidRPr="00363097">
        <w:rPr>
          <w:rFonts w:eastAsia="Times New Roman"/>
          <w:noProof/>
          <w:lang w:val="en-US"/>
        </w:rPr>
        <w:t>Union</w:t>
      </w:r>
      <w:r w:rsidRPr="00363097">
        <w:rPr>
          <w:rFonts w:eastAsia="Times New Roman"/>
          <w:noProof/>
          <w:lang w:val="en-US"/>
        </w:rPr>
        <w:t xml:space="preserve">-wide set of corporate tax rules were in place for groups of companies. </w:t>
      </w:r>
      <w:r w:rsidRPr="00363097">
        <w:rPr>
          <w:noProof/>
          <w:lang w:val="en-US"/>
        </w:rPr>
        <w:t>Mismatches can also only be eliminated, rather than corrected, when the problem is addressed by common rules.</w:t>
      </w:r>
      <w:r w:rsidRPr="00363097">
        <w:rPr>
          <w:rFonts w:eastAsia="Times New Roman"/>
          <w:noProof/>
          <w:lang w:val="en-US"/>
        </w:rPr>
        <w:t xml:space="preserve"> </w:t>
      </w:r>
    </w:p>
    <w:p w14:paraId="3499D10C" w14:textId="23910280" w:rsidR="00081B7A" w:rsidRPr="00363097" w:rsidRDefault="00081B7A" w:rsidP="00081B7A">
      <w:pPr>
        <w:rPr>
          <w:rFonts w:eastAsia="Times New Roman"/>
          <w:noProof/>
          <w:lang w:val="en-US"/>
        </w:rPr>
      </w:pPr>
      <w:r w:rsidRPr="00363097">
        <w:rPr>
          <w:rFonts w:eastAsia="Times New Roman"/>
          <w:noProof/>
          <w:lang w:val="en-US"/>
        </w:rPr>
        <w:t xml:space="preserve">If action is taken at </w:t>
      </w:r>
      <w:r w:rsidR="00CF2BFC" w:rsidRPr="00363097">
        <w:rPr>
          <w:rFonts w:eastAsia="Times New Roman"/>
          <w:noProof/>
          <w:lang w:val="en-US"/>
        </w:rPr>
        <w:t xml:space="preserve">Union </w:t>
      </w:r>
      <w:r w:rsidRPr="00363097">
        <w:rPr>
          <w:rFonts w:eastAsia="Times New Roman"/>
          <w:noProof/>
          <w:lang w:val="en-US"/>
        </w:rPr>
        <w:t>level, it will have clear added value. For instance, the aggregation of group members’ tax bases in a single pool, coupled with a straightforward method for allocating profits within the group, would set out a method for determining the tax liabilities of groups of companies in a more objective and less costly way. However, Member States cannot effectively use this method individually, because the risk of double taxation and disputes would remain, if the method for profit allocation is not uniform for the whole group and the allocable tax base of the group is not computed in accordance with a single set of rules.</w:t>
      </w:r>
    </w:p>
    <w:p w14:paraId="0BF5972C" w14:textId="0585D3C1" w:rsidR="00081B7A" w:rsidRPr="00363097" w:rsidRDefault="00081B7A" w:rsidP="00081B7A">
      <w:pPr>
        <w:rPr>
          <w:rFonts w:eastAsia="Times New Roman"/>
          <w:noProof/>
          <w:lang w:val="en-US"/>
        </w:rPr>
      </w:pPr>
      <w:r w:rsidRPr="00363097">
        <w:rPr>
          <w:rFonts w:eastAsia="Times New Roman"/>
          <w:noProof/>
          <w:lang w:val="en-US"/>
        </w:rPr>
        <w:t>Common substantive rules can also be administered by a common framework, which would have definitive advantages for</w:t>
      </w:r>
      <w:r w:rsidR="003A7C43">
        <w:rPr>
          <w:rFonts w:eastAsia="Times New Roman"/>
          <w:noProof/>
          <w:lang w:val="en-US"/>
        </w:rPr>
        <w:t xml:space="preserve"> </w:t>
      </w:r>
      <w:r w:rsidRPr="00363097">
        <w:rPr>
          <w:rFonts w:eastAsia="Times New Roman"/>
          <w:noProof/>
          <w:lang w:val="en-US"/>
        </w:rPr>
        <w:t>businesses and tax administrations</w:t>
      </w:r>
      <w:r w:rsidR="00CF2BFC" w:rsidRPr="00363097">
        <w:rPr>
          <w:rFonts w:eastAsia="Times New Roman"/>
          <w:noProof/>
          <w:lang w:val="en-US"/>
        </w:rPr>
        <w:t xml:space="preserve"> in the Union</w:t>
      </w:r>
      <w:r w:rsidRPr="00363097">
        <w:rPr>
          <w:rFonts w:eastAsia="Times New Roman"/>
          <w:noProof/>
          <w:lang w:val="en-US"/>
        </w:rPr>
        <w:t>. Instead of filing in each Member State, a one-stop-shop could allow groups of companies to comply with requirements through one single entity. For tax administrations, which currently assess the tax liabilities of the same cross-border businesses separately but each only with their own resources, it would be possible to collectively use those resources in a more effective and targeted manner. In addition, cross-border issues may require agreement between different Member States and often result in lengthy disputes or procedures. A common administrative framework would thus also allow businesses</w:t>
      </w:r>
      <w:r w:rsidR="00CF2BFC" w:rsidRPr="00363097">
        <w:rPr>
          <w:rFonts w:eastAsia="Times New Roman"/>
          <w:noProof/>
          <w:lang w:val="en-US"/>
        </w:rPr>
        <w:t xml:space="preserve"> in the Union</w:t>
      </w:r>
      <w:r w:rsidRPr="00363097">
        <w:rPr>
          <w:rFonts w:eastAsia="Times New Roman"/>
          <w:noProof/>
          <w:lang w:val="en-US"/>
        </w:rPr>
        <w:t xml:space="preserve"> to obtain </w:t>
      </w:r>
      <w:r w:rsidR="00981331" w:rsidRPr="00363097">
        <w:rPr>
          <w:noProof/>
          <w:lang w:val="en-US"/>
        </w:rPr>
        <w:t xml:space="preserve">a degree of </w:t>
      </w:r>
      <w:r w:rsidRPr="00363097">
        <w:rPr>
          <w:rFonts w:eastAsia="Times New Roman"/>
          <w:noProof/>
          <w:lang w:val="en-US"/>
        </w:rPr>
        <w:t>early certainty on certain items.</w:t>
      </w:r>
    </w:p>
    <w:p w14:paraId="67B53658" w14:textId="77777777" w:rsidR="00081B7A" w:rsidRPr="00363097" w:rsidRDefault="00081B7A" w:rsidP="00081B7A">
      <w:pPr>
        <w:rPr>
          <w:noProof/>
        </w:rPr>
      </w:pPr>
      <w:r w:rsidRPr="00363097">
        <w:rPr>
          <w:rFonts w:eastAsia="Times New Roman"/>
          <w:noProof/>
          <w:lang w:val="en-US"/>
        </w:rPr>
        <w:t xml:space="preserve">This initiative is therefore in line </w:t>
      </w:r>
      <w:r w:rsidRPr="00363097">
        <w:rPr>
          <w:noProof/>
        </w:rPr>
        <w:t>with the principle of subsidiarity laid down in Article 5(3) TFEU</w:t>
      </w:r>
      <w:r w:rsidRPr="00363097">
        <w:rPr>
          <w:rFonts w:eastAsia="Times New Roman"/>
          <w:noProof/>
          <w:lang w:val="en-US"/>
        </w:rPr>
        <w:t>, considering that the objectives cannot be sufficiently achieved by the Member States, and a common approach for all Member States would have the highest chances of achieving the intended objectives</w:t>
      </w:r>
      <w:r w:rsidRPr="00363097">
        <w:rPr>
          <w:noProof/>
        </w:rPr>
        <w:t xml:space="preserve">. </w:t>
      </w:r>
    </w:p>
    <w:p w14:paraId="2DF2B320"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Proportionality</w:t>
      </w:r>
    </w:p>
    <w:p w14:paraId="52CE8E58" w14:textId="1D1FC62D"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The envisaged measures do not go beyond </w:t>
      </w:r>
      <w:r w:rsidR="0035523A" w:rsidRPr="00363097">
        <w:rPr>
          <w:noProof/>
        </w:rPr>
        <w:t>what is necessary to achi</w:t>
      </w:r>
      <w:r w:rsidR="002E739F" w:rsidRPr="00363097">
        <w:rPr>
          <w:noProof/>
        </w:rPr>
        <w:t>e</w:t>
      </w:r>
      <w:r w:rsidR="0035523A" w:rsidRPr="00363097">
        <w:rPr>
          <w:noProof/>
        </w:rPr>
        <w:t>ve their objectives</w:t>
      </w:r>
      <w:r w:rsidR="00264F26">
        <w:rPr>
          <w:noProof/>
        </w:rPr>
        <w:t xml:space="preserve"> </w:t>
      </w:r>
      <w:r w:rsidRPr="00363097">
        <w:rPr>
          <w:noProof/>
        </w:rPr>
        <w:t>and are therefore compliant with the principles of proportionality. The proposal does not prescribe full harmonisation of corporate tax systems but only sets out common rules to determine the taxable income of (large) groups of companies</w:t>
      </w:r>
      <w:r w:rsidR="00CF2BFC" w:rsidRPr="00363097">
        <w:rPr>
          <w:noProof/>
        </w:rPr>
        <w:t xml:space="preserve"> </w:t>
      </w:r>
      <w:r w:rsidRPr="00363097">
        <w:rPr>
          <w:noProof/>
        </w:rPr>
        <w:t xml:space="preserve">in the </w:t>
      </w:r>
      <w:r w:rsidR="00CF2BFC" w:rsidRPr="00363097">
        <w:rPr>
          <w:noProof/>
        </w:rPr>
        <w:t>Union</w:t>
      </w:r>
      <w:r w:rsidRPr="00363097">
        <w:rPr>
          <w:noProof/>
        </w:rPr>
        <w:t xml:space="preserve">. This is required to be able to attain the objectives of the initiative and the rules are carefully limited to what is strictly necessary. </w:t>
      </w:r>
    </w:p>
    <w:p w14:paraId="593796E4"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Tax rate and enforcement policies will fully remain with Member States. The scope of the proposed measures only concerns the tax base. More specifically, the proposal will only introduce rules where this is necessary to allow businesses</w:t>
      </w:r>
      <w:r w:rsidR="00CF2BFC" w:rsidRPr="00363097">
        <w:rPr>
          <w:noProof/>
        </w:rPr>
        <w:t xml:space="preserve"> in the Union</w:t>
      </w:r>
      <w:r w:rsidRPr="00363097">
        <w:rPr>
          <w:noProof/>
        </w:rPr>
        <w:t xml:space="preserve"> to calculate their tax base across the </w:t>
      </w:r>
      <w:r w:rsidR="00CF2BFC" w:rsidRPr="00363097">
        <w:rPr>
          <w:noProof/>
        </w:rPr>
        <w:t xml:space="preserve">Union </w:t>
      </w:r>
      <w:r w:rsidRPr="00363097">
        <w:rPr>
          <w:noProof/>
        </w:rPr>
        <w:t>based on a single set of rules. This means that the new BEFIT tax base will be primarily based on existing financial accounting rules</w:t>
      </w:r>
      <w:r w:rsidR="00FD12D1" w:rsidRPr="00363097">
        <w:rPr>
          <w:noProof/>
        </w:rPr>
        <w:t>,</w:t>
      </w:r>
      <w:r w:rsidRPr="00363097">
        <w:rPr>
          <w:noProof/>
        </w:rPr>
        <w:t xml:space="preserve"> which are already accepted under </w:t>
      </w:r>
      <w:r w:rsidR="00CF2BFC" w:rsidRPr="00363097">
        <w:rPr>
          <w:noProof/>
        </w:rPr>
        <w:t xml:space="preserve">Union </w:t>
      </w:r>
      <w:r w:rsidRPr="00363097">
        <w:rPr>
          <w:noProof/>
        </w:rPr>
        <w:t>law, i.e. either the national generally accepted accounting principles (GAAP) of the Member States, or the International Financial Reporting Standards (IFRS). The proposal does not harmonise tax base rules generally, but only where this is necessary and it allows for additional adjustments after allocating the BEFIT tax base, in consideration for national policy needs.</w:t>
      </w:r>
    </w:p>
    <w:p w14:paraId="44A48943"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To ensure that the initiative does not go beyond what is needed, the rules will also be optional for most businesses, who may continue to apply the existing rules of Member States. The mandatory scope is limited to the </w:t>
      </w:r>
      <w:r w:rsidR="00CF2BFC" w:rsidRPr="00363097">
        <w:rPr>
          <w:noProof/>
        </w:rPr>
        <w:t xml:space="preserve">Union </w:t>
      </w:r>
      <w:r w:rsidRPr="00363097">
        <w:rPr>
          <w:noProof/>
        </w:rPr>
        <w:t xml:space="preserve">sub-set of the large groups that are also within scope of the Pillar 2 Directive, unless a large group is headquartered outside the </w:t>
      </w:r>
      <w:r w:rsidR="00CF2BFC" w:rsidRPr="00363097">
        <w:rPr>
          <w:noProof/>
        </w:rPr>
        <w:t xml:space="preserve">Union </w:t>
      </w:r>
      <w:r w:rsidRPr="00363097">
        <w:rPr>
          <w:noProof/>
        </w:rPr>
        <w:t xml:space="preserve">but has limited activity in the </w:t>
      </w:r>
      <w:r w:rsidR="00985A61" w:rsidRPr="00363097">
        <w:rPr>
          <w:noProof/>
        </w:rPr>
        <w:t>i</w:t>
      </w:r>
      <w:r w:rsidR="00CF2BFC" w:rsidRPr="00363097">
        <w:rPr>
          <w:noProof/>
        </w:rPr>
        <w:t>nternal market</w:t>
      </w:r>
      <w:r w:rsidRPr="00363097">
        <w:rPr>
          <w:noProof/>
        </w:rPr>
        <w:t xml:space="preserve"> (materiality threshold). This targeted approach is taken in order to ensure consistency and </w:t>
      </w:r>
      <w:r w:rsidRPr="00363097">
        <w:rPr>
          <w:rFonts w:eastAsia="Arial Unicode MS"/>
          <w:noProof/>
        </w:rPr>
        <w:t xml:space="preserve">coherence in the </w:t>
      </w:r>
      <w:r w:rsidR="00CF2BFC" w:rsidRPr="00363097">
        <w:rPr>
          <w:rFonts w:eastAsia="Arial Unicode MS"/>
          <w:noProof/>
        </w:rPr>
        <w:t>Union</w:t>
      </w:r>
      <w:r w:rsidR="00CF2BFC" w:rsidRPr="00363097">
        <w:rPr>
          <w:noProof/>
        </w:rPr>
        <w:t xml:space="preserve"> </w:t>
      </w:r>
      <w:r w:rsidRPr="00363097">
        <w:rPr>
          <w:noProof/>
        </w:rPr>
        <w:t xml:space="preserve">and because the common rules under </w:t>
      </w:r>
      <w:r w:rsidR="00684124" w:rsidRPr="00363097">
        <w:rPr>
          <w:noProof/>
        </w:rPr>
        <w:t>this Directive</w:t>
      </w:r>
      <w:r w:rsidRPr="00363097">
        <w:rPr>
          <w:noProof/>
        </w:rPr>
        <w:t xml:space="preserve"> would benefit, in particular, these businesses. They are thus most likely to have a strong cross-border presence and the new rules are aligned as closely </w:t>
      </w:r>
      <w:r w:rsidR="00AD6DD8" w:rsidRPr="00363097">
        <w:rPr>
          <w:noProof/>
        </w:rPr>
        <w:t xml:space="preserve">as </w:t>
      </w:r>
      <w:r w:rsidRPr="00363097">
        <w:rPr>
          <w:noProof/>
        </w:rPr>
        <w:t>possible with the Two-Pillar Approach.</w:t>
      </w:r>
    </w:p>
    <w:p w14:paraId="7732A069" w14:textId="67025E79"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Applying BEFIT rules in a uniform manner to these groups would ensure coherence with the Pillar 2 Directive. It will allow to leverage interactions and keep the costs of implementation at a minimum. Both the BEFIT tax base and the Pillar 2 minimum effective tax rate would be dealt with at the same level, i.e. the </w:t>
      </w:r>
      <w:r w:rsidR="00CF2BFC" w:rsidRPr="00363097">
        <w:rPr>
          <w:noProof/>
        </w:rPr>
        <w:t xml:space="preserve">Union </w:t>
      </w:r>
      <w:r w:rsidRPr="00363097">
        <w:rPr>
          <w:noProof/>
        </w:rPr>
        <w:t xml:space="preserve">group level. Processes can also be aligned; for instance, they both rely on financial accounting statements as a starting point and companies must apply the </w:t>
      </w:r>
      <w:r w:rsidR="00CF2BFC" w:rsidRPr="00363097">
        <w:rPr>
          <w:noProof/>
        </w:rPr>
        <w:t>Union</w:t>
      </w:r>
      <w:r w:rsidRPr="00363097">
        <w:rPr>
          <w:noProof/>
        </w:rPr>
        <w:t xml:space="preserve">-wide tax adjustments for both. Hence, this is a proportionate step forward to simplify our tax rules and enhance tax certainty in the </w:t>
      </w:r>
      <w:r w:rsidR="00CF2BFC" w:rsidRPr="00363097">
        <w:rPr>
          <w:noProof/>
        </w:rPr>
        <w:t>Union</w:t>
      </w:r>
      <w:r w:rsidRPr="00363097">
        <w:rPr>
          <w:noProof/>
        </w:rPr>
        <w:t xml:space="preserve">. </w:t>
      </w:r>
    </w:p>
    <w:p w14:paraId="6C40CA83" w14:textId="7C8E5B93" w:rsidR="00081B7A" w:rsidRPr="00363097" w:rsidRDefault="00081B7A" w:rsidP="00081B7A">
      <w:pPr>
        <w:pBdr>
          <w:top w:val="nil"/>
          <w:left w:val="nil"/>
          <w:bottom w:val="nil"/>
          <w:right w:val="nil"/>
          <w:between w:val="nil"/>
          <w:bar w:val="nil"/>
        </w:pBdr>
        <w:spacing w:before="0" w:after="240"/>
        <w:rPr>
          <w:noProof/>
        </w:rPr>
      </w:pPr>
      <w:r w:rsidRPr="00363097">
        <w:rPr>
          <w:noProof/>
        </w:rPr>
        <w:t>Introducing a new tax framework for businesses</w:t>
      </w:r>
      <w:r w:rsidR="00CF2BFC" w:rsidRPr="00363097">
        <w:rPr>
          <w:noProof/>
        </w:rPr>
        <w:t xml:space="preserve"> in the Union</w:t>
      </w:r>
      <w:r w:rsidRPr="00363097">
        <w:rPr>
          <w:noProof/>
        </w:rPr>
        <w:t xml:space="preserve"> would imply some initial adaptation costs and administrative burdens. However, these costs are </w:t>
      </w:r>
      <w:r w:rsidR="00CD4104">
        <w:rPr>
          <w:noProof/>
        </w:rPr>
        <w:t xml:space="preserve">estimated to be </w:t>
      </w:r>
      <w:r w:rsidRPr="00363097">
        <w:rPr>
          <w:noProof/>
        </w:rPr>
        <w:t xml:space="preserve">outweighed by compliance cost savings as well as simplified administrative procedures and </w:t>
      </w:r>
      <w:r w:rsidR="00CD4104">
        <w:rPr>
          <w:noProof/>
        </w:rPr>
        <w:t>in the long run</w:t>
      </w:r>
      <w:r w:rsidRPr="00363097">
        <w:rPr>
          <w:noProof/>
        </w:rPr>
        <w:t xml:space="preserve">, the improved allocation of resources by businesses and tax administrations. </w:t>
      </w:r>
    </w:p>
    <w:p w14:paraId="0CA5F2DD"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Consequently, this initiative is also in line with the principle of proportionality laid down in Article 5(3) TFEU, as its content and form does not exceed what is necessary and commensurate with the intended objectives. </w:t>
      </w:r>
    </w:p>
    <w:p w14:paraId="5562B1B8"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Choice of the instrument</w:t>
      </w:r>
    </w:p>
    <w:p w14:paraId="4648CAD7"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noProof/>
        </w:rPr>
        <w:t xml:space="preserve">The proposal is for a Directive, which is the only permissible legal instrument under the legal basis (Article 115 TFEU). </w:t>
      </w:r>
    </w:p>
    <w:p w14:paraId="719A82A1" w14:textId="77777777" w:rsidR="00081B7A" w:rsidRPr="00363097" w:rsidRDefault="00081B7A" w:rsidP="00081B7A">
      <w:pPr>
        <w:pStyle w:val="ManualHeading1"/>
        <w:rPr>
          <w:noProof/>
        </w:rPr>
      </w:pPr>
      <w:r w:rsidRPr="00363097">
        <w:rPr>
          <w:noProof/>
        </w:rPr>
        <w:t>3.</w:t>
      </w:r>
      <w:r w:rsidRPr="00363097">
        <w:rPr>
          <w:noProof/>
        </w:rPr>
        <w:tab/>
        <w:t>RESULTS OF EX-POST EVALUATIONS, STAKEHOLDER CONSULTATIONS AND IMPACT ASSESSMENTS</w:t>
      </w:r>
    </w:p>
    <w:p w14:paraId="4F92433D"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Stakeholder consultations</w:t>
      </w:r>
    </w:p>
    <w:p w14:paraId="392A529A"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The stakeholder consultation strategy for this initiative consisted of both public and targeted consultations. For the public consultation, a </w:t>
      </w:r>
      <w:r w:rsidR="00A20239" w:rsidRPr="00363097">
        <w:rPr>
          <w:noProof/>
        </w:rPr>
        <w:t>c</w:t>
      </w:r>
      <w:r w:rsidRPr="00363097">
        <w:rPr>
          <w:noProof/>
        </w:rPr>
        <w:t>all for evidence</w:t>
      </w:r>
      <w:r w:rsidRPr="00363097">
        <w:rPr>
          <w:rStyle w:val="FootnoteReference0"/>
          <w:noProof/>
        </w:rPr>
        <w:footnoteReference w:id="19"/>
      </w:r>
      <w:r w:rsidRPr="00363097">
        <w:rPr>
          <w:noProof/>
        </w:rPr>
        <w:t xml:space="preserve"> and an online survey were published on 13 October 2022, followed by a consultation period of 12 weeks that ran until 26 January 2023. This aimed to collect the views of stakeholders on the key principles that define the features of a common corporate tax base in the </w:t>
      </w:r>
      <w:r w:rsidR="00CF2BFC" w:rsidRPr="00363097">
        <w:rPr>
          <w:noProof/>
        </w:rPr>
        <w:t>Union</w:t>
      </w:r>
      <w:r w:rsidRPr="00363097">
        <w:rPr>
          <w:noProof/>
        </w:rPr>
        <w:t xml:space="preserve">. Overall, the consultation received 123 contributions, consisting of 46 feedback contributions and 77 responses to the public consultation survey, of which 29 included written submissions that were either attached to feedback or sent by email. Fifty four out of the 123 contributions were submitted by businesses associations that represent general business interests, tax advisers, lawyers, or specific business sectors, such as insurance. Respondents also included citizens and both larger and smaller businesses, as well as academic and research institutions, non-governmental organisations, and trade unions. No input was received from national authorities. </w:t>
      </w:r>
    </w:p>
    <w:p w14:paraId="27AFB6D0" w14:textId="7C5C18A0"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All contributions received were considered in the impact assessment. A synopsis report can be found in annex to the impact assessment report, and the Commission published the stakeholder input and a factual summary report on the consultation page. The latter provides a detailed overview of the profiles of the respondents and the input received. </w:t>
      </w:r>
    </w:p>
    <w:p w14:paraId="1B050D60"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Targeted consultations and bilateral meetings with relevant stakeholders (corporate taxpayers likely falling under BEFIT, academics, Member States) have also taken place. A compilation of the interview reports from targeted consultations can be found in annex to the impact assessment report. Member States were also informed through </w:t>
      </w:r>
      <w:r w:rsidR="00F2280C" w:rsidRPr="00363097">
        <w:rPr>
          <w:noProof/>
        </w:rPr>
        <w:t>meetings of the Commission</w:t>
      </w:r>
      <w:r w:rsidR="009B5DF0" w:rsidRPr="00363097">
        <w:rPr>
          <w:noProof/>
        </w:rPr>
        <w:t xml:space="preserve"> </w:t>
      </w:r>
      <w:r w:rsidRPr="00363097">
        <w:rPr>
          <w:noProof/>
        </w:rPr>
        <w:t xml:space="preserve">Working Party IV (direct taxation) and </w:t>
      </w:r>
      <w:r w:rsidR="00F2280C" w:rsidRPr="00363097">
        <w:rPr>
          <w:noProof/>
        </w:rPr>
        <w:t>the</w:t>
      </w:r>
      <w:r w:rsidR="003A7C43">
        <w:rPr>
          <w:noProof/>
        </w:rPr>
        <w:t xml:space="preserve"> </w:t>
      </w:r>
      <w:r w:rsidR="00F2280C" w:rsidRPr="00363097">
        <w:rPr>
          <w:noProof/>
        </w:rPr>
        <w:t>Council</w:t>
      </w:r>
      <w:r w:rsidRPr="00363097">
        <w:rPr>
          <w:noProof/>
        </w:rPr>
        <w:t xml:space="preserve"> High-Level Working Party (HLWP). </w:t>
      </w:r>
    </w:p>
    <w:p w14:paraId="2BDEDE1D"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Out of all these exchanges and input received from various stakeholders, it can be concluded that, while views differ, there is a broad consensus on the problems arising from the differences between national tax systems and on the need for action</w:t>
      </w:r>
      <w:r w:rsidR="00CF2BFC" w:rsidRPr="00363097">
        <w:rPr>
          <w:rFonts w:eastAsia="Arial Unicode MS"/>
          <w:noProof/>
        </w:rPr>
        <w:t xml:space="preserve"> in the Union</w:t>
      </w:r>
      <w:r w:rsidRPr="00363097">
        <w:rPr>
          <w:rFonts w:eastAsia="Arial Unicode MS"/>
          <w:noProof/>
        </w:rPr>
        <w:t xml:space="preserve"> to tackle the fragmented and inefficient situation. </w:t>
      </w:r>
    </w:p>
    <w:p w14:paraId="1FFBC7E4" w14:textId="7A23DCAA"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Views on the main features for a new system were more divided. However, the proposal includes the options that were most favoured by respondents to the public consultation, such as a hybrid scope, calculating the tax base by making as few as possible adjustments to financial accounts, </w:t>
      </w:r>
      <w:r w:rsidR="006E1A56">
        <w:rPr>
          <w:rFonts w:eastAsia="Arial Unicode MS"/>
          <w:noProof/>
        </w:rPr>
        <w:t>allowing</w:t>
      </w:r>
      <w:r w:rsidRPr="00363097">
        <w:rPr>
          <w:rFonts w:eastAsia="Arial Unicode MS"/>
          <w:noProof/>
        </w:rPr>
        <w:t xml:space="preserve"> cross-border loss relief, and a simplification for filing obligations. In respect of transactions with </w:t>
      </w:r>
      <w:r w:rsidR="00DB5FD6" w:rsidRPr="00363097">
        <w:rPr>
          <w:rFonts w:eastAsia="Arial Unicode MS"/>
          <w:noProof/>
        </w:rPr>
        <w:t>associated enterprises</w:t>
      </w:r>
      <w:r w:rsidRPr="00363097">
        <w:rPr>
          <w:rFonts w:eastAsia="Arial Unicode MS"/>
          <w:noProof/>
        </w:rPr>
        <w:t xml:space="preserve"> outside the BEFIT group, transfer pricing rules will continue to apply, but the proposal puts forward benchmarks for a simplified risk assessment framework. The latter was favoured by most respondents.</w:t>
      </w:r>
    </w:p>
    <w:p w14:paraId="19304900"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Collection and use of expertise</w:t>
      </w:r>
    </w:p>
    <w:p w14:paraId="6C6D504D"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Commission has relied on the expertise of its Joint Research Centre, which used the CORTAX model to study the possible impacts of the initiative. The CORTAX model is a general equilibrium model designed to evaluate the effects of corporate tax reforms in 27 Member States, using detailed data from various sources. </w:t>
      </w:r>
    </w:p>
    <w:p w14:paraId="38AE88DE"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Commission did not rely on external expertise in preparing this proposal. </w:t>
      </w:r>
    </w:p>
    <w:p w14:paraId="1AC57FE5" w14:textId="77777777" w:rsidR="00081B7A" w:rsidRPr="00363097" w:rsidRDefault="00081B7A" w:rsidP="00081B7A">
      <w:pPr>
        <w:pStyle w:val="ManualHeading2"/>
        <w:rPr>
          <w:rFonts w:eastAsia="Arial Unicode MS"/>
          <w:noProof/>
          <w:bdr w:val="nil"/>
          <w:lang w:val="en-US" w:eastAsia="en-GB"/>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bdr w:val="nil"/>
          <w:lang w:val="en-US" w:eastAsia="en-GB"/>
        </w:rPr>
        <w:t>Impact assessment</w:t>
      </w:r>
    </w:p>
    <w:p w14:paraId="25C84677" w14:textId="1F5A9D96" w:rsidR="009B5391" w:rsidRPr="00363097" w:rsidRDefault="00081B7A" w:rsidP="00EE2AEF">
      <w:pPr>
        <w:pBdr>
          <w:top w:val="nil"/>
          <w:left w:val="nil"/>
          <w:bottom w:val="nil"/>
          <w:right w:val="nil"/>
          <w:between w:val="nil"/>
          <w:bar w:val="nil"/>
        </w:pBdr>
        <w:spacing w:before="0" w:after="240"/>
        <w:rPr>
          <w:noProof/>
        </w:rPr>
      </w:pPr>
      <w:r w:rsidRPr="00363097">
        <w:rPr>
          <w:noProof/>
        </w:rPr>
        <w:t xml:space="preserve">An impact assessment was carried out to prepare this initiative, </w:t>
      </w:r>
      <w:r w:rsidR="00021027">
        <w:rPr>
          <w:noProof/>
        </w:rPr>
        <w:t>as well as</w:t>
      </w:r>
      <w:r w:rsidRPr="00363097">
        <w:rPr>
          <w:noProof/>
        </w:rPr>
        <w:t xml:space="preserve"> the proposal for a Directive on </w:t>
      </w:r>
      <w:r w:rsidR="0066253A">
        <w:rPr>
          <w:noProof/>
        </w:rPr>
        <w:t>T</w:t>
      </w:r>
      <w:r w:rsidR="0066253A" w:rsidRPr="00363097">
        <w:rPr>
          <w:noProof/>
        </w:rPr>
        <w:t xml:space="preserve">ransfer </w:t>
      </w:r>
      <w:r w:rsidR="0066253A">
        <w:rPr>
          <w:noProof/>
        </w:rPr>
        <w:t>P</w:t>
      </w:r>
      <w:r w:rsidR="0066253A" w:rsidRPr="00363097">
        <w:rPr>
          <w:noProof/>
        </w:rPr>
        <w:t>ricing</w:t>
      </w:r>
      <w:r w:rsidRPr="00363097">
        <w:rPr>
          <w:noProof/>
        </w:rPr>
        <w:t xml:space="preserve">. The draft impact assessment report was submitted to the Commission’s Regulatory Scrutiny Board (RSB) on 26 April and </w:t>
      </w:r>
      <w:r w:rsidR="00871395" w:rsidRPr="00363097">
        <w:rPr>
          <w:noProof/>
        </w:rPr>
        <w:t xml:space="preserve">a </w:t>
      </w:r>
      <w:r w:rsidRPr="00363097">
        <w:rPr>
          <w:noProof/>
        </w:rPr>
        <w:t>meeting was held on 24 May 2023. The RSB delivered a positive opinion</w:t>
      </w:r>
      <w:r w:rsidRPr="00363097">
        <w:rPr>
          <w:rStyle w:val="FootnoteReference0"/>
          <w:noProof/>
        </w:rPr>
        <w:footnoteReference w:id="20"/>
      </w:r>
      <w:r w:rsidRPr="00363097">
        <w:rPr>
          <w:noProof/>
        </w:rPr>
        <w:t xml:space="preserve"> with reservations on 26 May </w:t>
      </w:r>
      <w:r w:rsidR="005578CD" w:rsidRPr="00363097">
        <w:rPr>
          <w:noProof/>
        </w:rPr>
        <w:t>202</w:t>
      </w:r>
      <w:r w:rsidR="005578CD">
        <w:rPr>
          <w:noProof/>
        </w:rPr>
        <w:t>3</w:t>
      </w:r>
      <w:r w:rsidRPr="00363097">
        <w:rPr>
          <w:noProof/>
        </w:rPr>
        <w:t>, suggesting areas for further improvement. Main areas for improvement were: to draw a clearer link to previous proposals and ongoing international tax developments, a more detailed description of the compliance cost estimates, a better explanation of the costs and benefits and a clearer description of the monitoring arrangements.</w:t>
      </w:r>
      <w:r w:rsidR="002D5B88">
        <w:rPr>
          <w:noProof/>
        </w:rPr>
        <w:t xml:space="preserve"> </w:t>
      </w:r>
    </w:p>
    <w:p w14:paraId="2855A836" w14:textId="77777777" w:rsidR="001458F8" w:rsidRDefault="00081B7A" w:rsidP="00EE2AEF">
      <w:pPr>
        <w:pBdr>
          <w:top w:val="nil"/>
          <w:left w:val="nil"/>
          <w:bottom w:val="nil"/>
          <w:right w:val="nil"/>
          <w:between w:val="nil"/>
          <w:bar w:val="nil"/>
        </w:pBdr>
        <w:spacing w:before="0" w:after="240"/>
        <w:rPr>
          <w:noProof/>
        </w:rPr>
      </w:pPr>
      <w:r w:rsidRPr="00363097">
        <w:rPr>
          <w:noProof/>
        </w:rPr>
        <w:t>A revised impact assessment report addressing these reservations</w:t>
      </w:r>
      <w:r w:rsidR="00871395" w:rsidRPr="00363097">
        <w:rPr>
          <w:noProof/>
        </w:rPr>
        <w:t xml:space="preserve"> was prepared</w:t>
      </w:r>
      <w:r w:rsidR="006227B4" w:rsidRPr="00363097">
        <w:rPr>
          <w:noProof/>
        </w:rPr>
        <w:t xml:space="preserve">. For </w:t>
      </w:r>
      <w:r w:rsidR="0099537A" w:rsidRPr="00363097">
        <w:rPr>
          <w:noProof/>
        </w:rPr>
        <w:t xml:space="preserve">example, </w:t>
      </w:r>
      <w:r w:rsidR="0099537A" w:rsidRPr="00363097">
        <w:rPr>
          <w:noProof/>
          <w:lang w:eastAsia="en-GB"/>
        </w:rPr>
        <w:t>the</w:t>
      </w:r>
      <w:r w:rsidR="00D53B4F" w:rsidRPr="00363097">
        <w:rPr>
          <w:noProof/>
          <w:lang w:eastAsia="en-GB"/>
        </w:rPr>
        <w:t xml:space="preserve"> lessons learned from previous corporate tax initiatives have been clarified and the link</w:t>
      </w:r>
      <w:r w:rsidR="00E1182D" w:rsidRPr="00363097">
        <w:rPr>
          <w:noProof/>
          <w:lang w:eastAsia="en-GB"/>
        </w:rPr>
        <w:t xml:space="preserve">s with the OECD Two-Pillar Approach </w:t>
      </w:r>
      <w:r w:rsidR="00FA7FD5" w:rsidRPr="00363097">
        <w:rPr>
          <w:noProof/>
          <w:lang w:eastAsia="en-GB"/>
        </w:rPr>
        <w:t>have been added.</w:t>
      </w:r>
      <w:r w:rsidR="00562367" w:rsidRPr="00363097">
        <w:rPr>
          <w:noProof/>
          <w:lang w:eastAsia="en-GB"/>
        </w:rPr>
        <w:t xml:space="preserve"> The</w:t>
      </w:r>
      <w:r w:rsidR="00F77999" w:rsidRPr="00363097">
        <w:rPr>
          <w:noProof/>
          <w:lang w:eastAsia="en-GB"/>
        </w:rPr>
        <w:t xml:space="preserve"> </w:t>
      </w:r>
      <w:r w:rsidR="002419C4" w:rsidRPr="00363097">
        <w:rPr>
          <w:noProof/>
          <w:lang w:eastAsia="en-GB"/>
        </w:rPr>
        <w:t xml:space="preserve">estimates of </w:t>
      </w:r>
      <w:r w:rsidR="00F77999" w:rsidRPr="00363097">
        <w:rPr>
          <w:noProof/>
          <w:lang w:eastAsia="en-GB"/>
        </w:rPr>
        <w:t>compliance costs have</w:t>
      </w:r>
      <w:r w:rsidR="000A50B4" w:rsidRPr="00363097">
        <w:rPr>
          <w:noProof/>
          <w:lang w:eastAsia="en-GB"/>
        </w:rPr>
        <w:t xml:space="preserve"> also</w:t>
      </w:r>
      <w:r w:rsidR="002419C4" w:rsidRPr="00363097">
        <w:rPr>
          <w:noProof/>
          <w:lang w:eastAsia="en-GB"/>
        </w:rPr>
        <w:t xml:space="preserve"> been </w:t>
      </w:r>
      <w:r w:rsidR="001C0C56" w:rsidRPr="00363097">
        <w:rPr>
          <w:noProof/>
          <w:lang w:eastAsia="en-GB"/>
        </w:rPr>
        <w:t>ampli</w:t>
      </w:r>
      <w:r w:rsidR="00372D92" w:rsidRPr="00363097">
        <w:rPr>
          <w:noProof/>
          <w:lang w:eastAsia="en-GB"/>
        </w:rPr>
        <w:t>fied</w:t>
      </w:r>
      <w:r w:rsidR="004E479E" w:rsidRPr="00363097">
        <w:rPr>
          <w:noProof/>
          <w:lang w:eastAsia="en-GB"/>
        </w:rPr>
        <w:t xml:space="preserve"> </w:t>
      </w:r>
      <w:r w:rsidR="001128CE" w:rsidRPr="00363097">
        <w:rPr>
          <w:noProof/>
          <w:lang w:eastAsia="en-GB"/>
        </w:rPr>
        <w:t>to the extent possible based on available data.</w:t>
      </w:r>
      <w:r w:rsidRPr="00363097">
        <w:rPr>
          <w:noProof/>
        </w:rPr>
        <w:t xml:space="preserve"> </w:t>
      </w:r>
    </w:p>
    <w:p w14:paraId="69EEFA9A" w14:textId="77777777" w:rsidR="00EE2AEF" w:rsidRPr="00EE2AEF" w:rsidRDefault="00EE2AEF" w:rsidP="00EE2AEF">
      <w:pPr>
        <w:pBdr>
          <w:top w:val="nil"/>
          <w:left w:val="nil"/>
          <w:bottom w:val="nil"/>
          <w:right w:val="nil"/>
          <w:between w:val="nil"/>
          <w:bar w:val="nil"/>
        </w:pBdr>
        <w:spacing w:before="0" w:after="240"/>
        <w:rPr>
          <w:rFonts w:eastAsia="Arial Unicode MS"/>
          <w:noProof/>
        </w:rPr>
      </w:pPr>
      <w:bookmarkStart w:id="1" w:name="_Hlk144890417"/>
      <w:r w:rsidRPr="00EE2AEF">
        <w:rPr>
          <w:rFonts w:eastAsia="Arial Unicode MS"/>
          <w:noProof/>
        </w:rPr>
        <w:t>It was found necessary that the initiatives assessed in the report that received the positive opinion with reservation from the Regulatory Scrutiny Board will be presented as separate proposals. For this reason, the said impact assessment report only assesses the impact of the proposals for a Council Directive on BEFIT and for a Council Directive on Transfer Pricing.</w:t>
      </w:r>
    </w:p>
    <w:p w14:paraId="1010D2AB" w14:textId="77777777" w:rsidR="00EE2AEF" w:rsidRPr="00EE2AEF" w:rsidRDefault="00EE2AEF" w:rsidP="00EE2AEF">
      <w:pPr>
        <w:pBdr>
          <w:top w:val="nil"/>
          <w:left w:val="nil"/>
          <w:bottom w:val="nil"/>
          <w:right w:val="nil"/>
          <w:between w:val="nil"/>
          <w:bar w:val="nil"/>
        </w:pBdr>
        <w:spacing w:before="0" w:after="240"/>
        <w:rPr>
          <w:rFonts w:eastAsia="Arial Unicode MS"/>
          <w:noProof/>
        </w:rPr>
      </w:pPr>
      <w:r w:rsidRPr="00EE2AEF">
        <w:rPr>
          <w:rFonts w:eastAsia="Arial Unicode MS"/>
          <w:noProof/>
        </w:rPr>
        <w:t>The impact assessment report to</w:t>
      </w:r>
      <w:r w:rsidRPr="00490768">
        <w:rPr>
          <w:noProof/>
        </w:rPr>
        <w:t xml:space="preserve"> this proposal represents faithfully the analysis</w:t>
      </w:r>
      <w:r>
        <w:rPr>
          <w:noProof/>
        </w:rPr>
        <w:t xml:space="preserve"> on</w:t>
      </w:r>
      <w:r w:rsidRPr="00490768">
        <w:rPr>
          <w:noProof/>
        </w:rPr>
        <w:t xml:space="preserve"> </w:t>
      </w:r>
      <w:r>
        <w:rPr>
          <w:noProof/>
        </w:rPr>
        <w:t xml:space="preserve">BEFIT and Transfer Pricing </w:t>
      </w:r>
      <w:r w:rsidRPr="00490768">
        <w:rPr>
          <w:noProof/>
        </w:rPr>
        <w:t xml:space="preserve">contained in the scrutinised draft impact assessment and integrates the recommendations of </w:t>
      </w:r>
      <w:r w:rsidRPr="00EE2AEF">
        <w:rPr>
          <w:rFonts w:eastAsia="Arial Unicode MS"/>
          <w:noProof/>
        </w:rPr>
        <w:t xml:space="preserve">the Regulatory Scrutiny Board in that regard. </w:t>
      </w:r>
    </w:p>
    <w:bookmarkEnd w:id="1"/>
    <w:p w14:paraId="3FE5F233" w14:textId="7C8DABD1" w:rsidR="00567DBA" w:rsidRPr="00363097" w:rsidRDefault="00081B7A" w:rsidP="00081B7A">
      <w:pPr>
        <w:pBdr>
          <w:top w:val="nil"/>
          <w:left w:val="nil"/>
          <w:bottom w:val="nil"/>
          <w:right w:val="nil"/>
          <w:between w:val="nil"/>
          <w:bar w:val="nil"/>
        </w:pBdr>
        <w:spacing w:before="0" w:after="240"/>
        <w:rPr>
          <w:noProof/>
        </w:rPr>
      </w:pPr>
      <w:r w:rsidRPr="00363097">
        <w:rPr>
          <w:noProof/>
        </w:rPr>
        <w:t xml:space="preserve">The report assesses the impact on the basis of several policy options. </w:t>
      </w:r>
      <w:r w:rsidR="00C97D64" w:rsidRPr="00363097">
        <w:rPr>
          <w:noProof/>
        </w:rPr>
        <w:t xml:space="preserve">For the scope of BEFIT, </w:t>
      </w:r>
      <w:r w:rsidR="00D75895" w:rsidRPr="00363097">
        <w:rPr>
          <w:noProof/>
        </w:rPr>
        <w:t>the options cover</w:t>
      </w:r>
      <w:r w:rsidR="00230638" w:rsidRPr="00363097">
        <w:rPr>
          <w:noProof/>
        </w:rPr>
        <w:t xml:space="preserve"> mandatory,</w:t>
      </w:r>
      <w:r w:rsidR="00D75895" w:rsidRPr="00363097">
        <w:rPr>
          <w:noProof/>
        </w:rPr>
        <w:t xml:space="preserve"> optional, and</w:t>
      </w:r>
      <w:r w:rsidR="00230638" w:rsidRPr="00363097">
        <w:rPr>
          <w:noProof/>
        </w:rPr>
        <w:t xml:space="preserve"> hybrid, i.e., mandatory for some </w:t>
      </w:r>
      <w:r w:rsidR="00941F9F" w:rsidRPr="00363097">
        <w:rPr>
          <w:noProof/>
        </w:rPr>
        <w:t xml:space="preserve">groups </w:t>
      </w:r>
      <w:r w:rsidR="00230638" w:rsidRPr="00363097">
        <w:rPr>
          <w:noProof/>
        </w:rPr>
        <w:t>while it remains optional for others.</w:t>
      </w:r>
      <w:r w:rsidR="00DC1001" w:rsidRPr="00363097">
        <w:rPr>
          <w:noProof/>
        </w:rPr>
        <w:t xml:space="preserve"> For the </w:t>
      </w:r>
      <w:r w:rsidR="009D6A69" w:rsidRPr="00363097">
        <w:rPr>
          <w:noProof/>
        </w:rPr>
        <w:t xml:space="preserve">computation of the tax base, the options cover </w:t>
      </w:r>
      <w:r w:rsidR="00141EF8" w:rsidRPr="00363097">
        <w:rPr>
          <w:noProof/>
        </w:rPr>
        <w:t xml:space="preserve">limited adjustments to the financial statements and a </w:t>
      </w:r>
      <w:r w:rsidR="00DC5532" w:rsidRPr="00363097">
        <w:rPr>
          <w:noProof/>
        </w:rPr>
        <w:t xml:space="preserve">comprehensive </w:t>
      </w:r>
      <w:r w:rsidR="001114D8" w:rsidRPr="00363097">
        <w:rPr>
          <w:noProof/>
        </w:rPr>
        <w:t>set of</w:t>
      </w:r>
      <w:r w:rsidR="00941F9F" w:rsidRPr="00363097">
        <w:rPr>
          <w:noProof/>
        </w:rPr>
        <w:t xml:space="preserve"> tax</w:t>
      </w:r>
      <w:r w:rsidR="001114D8" w:rsidRPr="00363097">
        <w:rPr>
          <w:noProof/>
        </w:rPr>
        <w:t xml:space="preserve"> rules.</w:t>
      </w:r>
      <w:r w:rsidR="002B5E35" w:rsidRPr="00363097">
        <w:rPr>
          <w:noProof/>
        </w:rPr>
        <w:t xml:space="preserve"> For </w:t>
      </w:r>
      <w:r w:rsidR="00BB0091" w:rsidRPr="00363097">
        <w:rPr>
          <w:noProof/>
        </w:rPr>
        <w:t xml:space="preserve">the </w:t>
      </w:r>
      <w:r w:rsidR="002B5E35" w:rsidRPr="00363097">
        <w:rPr>
          <w:noProof/>
        </w:rPr>
        <w:t>allocation of the tax base</w:t>
      </w:r>
      <w:r w:rsidR="00BB0091" w:rsidRPr="00363097">
        <w:rPr>
          <w:noProof/>
        </w:rPr>
        <w:t xml:space="preserve">, the options cover </w:t>
      </w:r>
      <w:r w:rsidR="00AE0F88" w:rsidRPr="00363097">
        <w:rPr>
          <w:noProof/>
        </w:rPr>
        <w:t xml:space="preserve">a formula without intangible assets, </w:t>
      </w:r>
      <w:r w:rsidR="00AF3AEC" w:rsidRPr="00363097">
        <w:rPr>
          <w:noProof/>
        </w:rPr>
        <w:t xml:space="preserve">a formula including </w:t>
      </w:r>
      <w:r w:rsidR="006E2536" w:rsidRPr="00363097">
        <w:rPr>
          <w:noProof/>
        </w:rPr>
        <w:t>intangible assets and</w:t>
      </w:r>
      <w:r w:rsidR="00C73DC2" w:rsidRPr="00363097">
        <w:rPr>
          <w:noProof/>
        </w:rPr>
        <w:t xml:space="preserve"> a transiti</w:t>
      </w:r>
      <w:r w:rsidR="003B19AE" w:rsidRPr="00363097">
        <w:rPr>
          <w:noProof/>
        </w:rPr>
        <w:t>on</w:t>
      </w:r>
      <w:r w:rsidR="00C73DC2" w:rsidRPr="00363097">
        <w:rPr>
          <w:noProof/>
        </w:rPr>
        <w:t xml:space="preserve"> </w:t>
      </w:r>
      <w:r w:rsidR="005C5424" w:rsidRPr="00363097">
        <w:rPr>
          <w:noProof/>
        </w:rPr>
        <w:t>allocation method.</w:t>
      </w:r>
      <w:r w:rsidR="00830E40" w:rsidRPr="00363097">
        <w:rPr>
          <w:noProof/>
        </w:rPr>
        <w:t xml:space="preserve"> For </w:t>
      </w:r>
      <w:r w:rsidR="007C2293">
        <w:rPr>
          <w:noProof/>
        </w:rPr>
        <w:t>transactions with related parties outside the BEFIT group</w:t>
      </w:r>
      <w:r w:rsidR="00A135CA" w:rsidRPr="00363097">
        <w:rPr>
          <w:noProof/>
        </w:rPr>
        <w:t xml:space="preserve">, the options cover </w:t>
      </w:r>
      <w:r w:rsidR="00B46FC0" w:rsidRPr="00363097">
        <w:rPr>
          <w:noProof/>
        </w:rPr>
        <w:t xml:space="preserve">keeping </w:t>
      </w:r>
      <w:r w:rsidR="007C2293">
        <w:rPr>
          <w:noProof/>
        </w:rPr>
        <w:t xml:space="preserve">the </w:t>
      </w:r>
      <w:r w:rsidR="00B46FC0" w:rsidRPr="00363097">
        <w:rPr>
          <w:noProof/>
        </w:rPr>
        <w:t xml:space="preserve">status quo and </w:t>
      </w:r>
      <w:r w:rsidR="002E278D" w:rsidRPr="00363097">
        <w:rPr>
          <w:noProof/>
        </w:rPr>
        <w:t>introducing a ‘traffic light system’ as</w:t>
      </w:r>
      <w:r w:rsidR="0018270B">
        <w:rPr>
          <w:noProof/>
        </w:rPr>
        <w:t xml:space="preserve"> a risk assessment</w:t>
      </w:r>
      <w:r w:rsidR="002E278D" w:rsidRPr="00363097">
        <w:rPr>
          <w:noProof/>
        </w:rPr>
        <w:t xml:space="preserve"> tool.</w:t>
      </w:r>
      <w:r w:rsidR="005A0F47" w:rsidRPr="00363097">
        <w:rPr>
          <w:noProof/>
        </w:rPr>
        <w:t xml:space="preserve"> For the administration</w:t>
      </w:r>
      <w:r w:rsidR="0074758E" w:rsidRPr="00363097">
        <w:rPr>
          <w:noProof/>
        </w:rPr>
        <w:t xml:space="preserve">, the options cover an advanced one-stop-shop, a limited one-stop-shop and </w:t>
      </w:r>
      <w:r w:rsidR="00CB6997" w:rsidRPr="00363097">
        <w:rPr>
          <w:noProof/>
        </w:rPr>
        <w:t>a hybrid one</w:t>
      </w:r>
      <w:r w:rsidR="003A4203" w:rsidRPr="00363097">
        <w:rPr>
          <w:noProof/>
        </w:rPr>
        <w:t>-</w:t>
      </w:r>
      <w:r w:rsidR="00CB6997" w:rsidRPr="00363097">
        <w:rPr>
          <w:noProof/>
        </w:rPr>
        <w:t>stop</w:t>
      </w:r>
      <w:r w:rsidR="003A4203" w:rsidRPr="00363097">
        <w:rPr>
          <w:noProof/>
        </w:rPr>
        <w:t>-</w:t>
      </w:r>
      <w:r w:rsidR="00CB6997" w:rsidRPr="00363097">
        <w:rPr>
          <w:noProof/>
        </w:rPr>
        <w:t>shop.</w:t>
      </w:r>
    </w:p>
    <w:p w14:paraId="73895D46" w14:textId="77777777"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To assess these options, the report examines three ‘Versions’ of BEFIT, i.e. three combinations of the various options. </w:t>
      </w:r>
      <w:r w:rsidR="0079737F" w:rsidRPr="00363097">
        <w:rPr>
          <w:noProof/>
        </w:rPr>
        <w:t xml:space="preserve">As the assessment of transfer pricing options will be contained in a separate proposal, </w:t>
      </w:r>
      <w:r w:rsidR="0070655F" w:rsidRPr="00363097">
        <w:rPr>
          <w:noProof/>
        </w:rPr>
        <w:t>it will not be summarised for the purposes of this Directive.</w:t>
      </w:r>
    </w:p>
    <w:p w14:paraId="77CC42F5" w14:textId="77777777" w:rsidR="00625031" w:rsidRPr="00363097" w:rsidRDefault="00081B7A" w:rsidP="00081B7A">
      <w:pPr>
        <w:rPr>
          <w:b/>
          <w:bCs/>
          <w:noProof/>
        </w:rPr>
      </w:pPr>
      <w:r w:rsidRPr="00363097">
        <w:rPr>
          <w:b/>
          <w:bCs/>
          <w:noProof/>
        </w:rPr>
        <w:t xml:space="preserve">Version 1 – BEFIT “Comprehensive”: </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363097" w14:paraId="1C5ADDC6" w14:textId="77777777" w:rsidTr="00315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EECE1" w:themeFill="background2"/>
          </w:tcPr>
          <w:p w14:paraId="7231AD02" w14:textId="77777777" w:rsidR="00625031" w:rsidRPr="00363097" w:rsidRDefault="00625031" w:rsidP="00315A73">
            <w:pPr>
              <w:jc w:val="center"/>
              <w:rPr>
                <w:noProof/>
              </w:rPr>
            </w:pPr>
            <w:r w:rsidRPr="00363097">
              <w:rPr>
                <w:noProof/>
              </w:rPr>
              <w:t>Scope</w:t>
            </w:r>
          </w:p>
        </w:tc>
        <w:tc>
          <w:tcPr>
            <w:tcW w:w="1842" w:type="dxa"/>
            <w:shd w:val="clear" w:color="auto" w:fill="EEECE1" w:themeFill="background2"/>
          </w:tcPr>
          <w:p w14:paraId="76C7173D" w14:textId="77777777" w:rsidR="00625031" w:rsidRPr="00363097" w:rsidRDefault="00625031" w:rsidP="00315A73">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w:t>
            </w:r>
            <w:r w:rsidR="00291AE0" w:rsidRPr="00363097">
              <w:rPr>
                <w:noProof/>
              </w:rPr>
              <w:t xml:space="preserve"> Compu</w:t>
            </w:r>
            <w:r w:rsidR="005F4236" w:rsidRPr="00363097">
              <w:rPr>
                <w:noProof/>
              </w:rPr>
              <w:t>tation</w:t>
            </w:r>
          </w:p>
        </w:tc>
        <w:tc>
          <w:tcPr>
            <w:tcW w:w="1843" w:type="dxa"/>
            <w:shd w:val="clear" w:color="auto" w:fill="EEECE1" w:themeFill="background2"/>
          </w:tcPr>
          <w:p w14:paraId="4ED3868E" w14:textId="77777777" w:rsidR="00625031" w:rsidRPr="00363097" w:rsidRDefault="004F28CC" w:rsidP="00315A73">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 Allocation</w:t>
            </w:r>
          </w:p>
        </w:tc>
        <w:tc>
          <w:tcPr>
            <w:tcW w:w="2078" w:type="dxa"/>
            <w:shd w:val="clear" w:color="auto" w:fill="EEECE1" w:themeFill="background2"/>
          </w:tcPr>
          <w:p w14:paraId="23DDD81E" w14:textId="77777777" w:rsidR="00625031" w:rsidRPr="00363097" w:rsidRDefault="008744E0" w:rsidP="00315A73">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 xml:space="preserve">Transfer Pricing </w:t>
            </w:r>
            <w:r w:rsidR="00341039" w:rsidRPr="00363097">
              <w:rPr>
                <w:noProof/>
              </w:rPr>
              <w:t>Risk Assessment</w:t>
            </w:r>
          </w:p>
        </w:tc>
        <w:tc>
          <w:tcPr>
            <w:tcW w:w="1858" w:type="dxa"/>
            <w:shd w:val="clear" w:color="auto" w:fill="EEECE1" w:themeFill="background2"/>
          </w:tcPr>
          <w:p w14:paraId="10B8CB45" w14:textId="77777777" w:rsidR="00625031" w:rsidRPr="00363097" w:rsidRDefault="003B71AF" w:rsidP="00315A73">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Administration</w:t>
            </w:r>
          </w:p>
        </w:tc>
      </w:tr>
      <w:tr w:rsidR="00363097" w:rsidRPr="00363097" w14:paraId="7D8E3064" w14:textId="77777777" w:rsidTr="00315A73">
        <w:tc>
          <w:tcPr>
            <w:cnfStyle w:val="001000000000" w:firstRow="0" w:lastRow="0" w:firstColumn="1" w:lastColumn="0" w:oddVBand="0" w:evenVBand="0" w:oddHBand="0" w:evenHBand="0" w:firstRowFirstColumn="0" w:firstRowLastColumn="0" w:lastRowFirstColumn="0" w:lastRowLastColumn="0"/>
            <w:tcW w:w="1668" w:type="dxa"/>
          </w:tcPr>
          <w:p w14:paraId="64FAC83F" w14:textId="77777777" w:rsidR="00625031" w:rsidRPr="00363097" w:rsidRDefault="003B71AF" w:rsidP="00315A73">
            <w:pPr>
              <w:jc w:val="left"/>
              <w:rPr>
                <w:b w:val="0"/>
                <w:noProof/>
              </w:rPr>
            </w:pPr>
            <w:r w:rsidRPr="00363097">
              <w:rPr>
                <w:b w:val="0"/>
                <w:noProof/>
              </w:rPr>
              <w:t>Mandatory for all</w:t>
            </w:r>
            <w:r w:rsidR="00FA164C" w:rsidRPr="00363097">
              <w:rPr>
                <w:b w:val="0"/>
                <w:noProof/>
              </w:rPr>
              <w:t xml:space="preserve"> groups</w:t>
            </w:r>
          </w:p>
        </w:tc>
        <w:tc>
          <w:tcPr>
            <w:tcW w:w="1842" w:type="dxa"/>
          </w:tcPr>
          <w:p w14:paraId="03E1187E" w14:textId="77777777" w:rsidR="00625031" w:rsidRPr="00363097" w:rsidRDefault="008744E0" w:rsidP="00315A73">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Comprehensive</w:t>
            </w:r>
            <w:r w:rsidR="002C16B5" w:rsidRPr="00363097">
              <w:rPr>
                <w:noProof/>
              </w:rPr>
              <w:t xml:space="preserve"> set of rules</w:t>
            </w:r>
          </w:p>
        </w:tc>
        <w:tc>
          <w:tcPr>
            <w:tcW w:w="1843" w:type="dxa"/>
          </w:tcPr>
          <w:p w14:paraId="6D755A0F" w14:textId="77777777" w:rsidR="00625031" w:rsidRPr="00363097" w:rsidRDefault="002C16B5" w:rsidP="00315A73">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Formula including intangible assets</w:t>
            </w:r>
          </w:p>
        </w:tc>
        <w:tc>
          <w:tcPr>
            <w:tcW w:w="2078" w:type="dxa"/>
          </w:tcPr>
          <w:p w14:paraId="4A0CEBCF" w14:textId="77777777" w:rsidR="00625031" w:rsidRPr="00363097" w:rsidRDefault="00074CF1" w:rsidP="00315A73">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Traffic light system</w:t>
            </w:r>
          </w:p>
        </w:tc>
        <w:tc>
          <w:tcPr>
            <w:tcW w:w="1858" w:type="dxa"/>
          </w:tcPr>
          <w:p w14:paraId="6CBF2F80" w14:textId="77777777" w:rsidR="00625031" w:rsidRPr="00363097" w:rsidRDefault="00E51854" w:rsidP="00315A73">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Advanced one-stop-shop</w:t>
            </w:r>
          </w:p>
        </w:tc>
      </w:tr>
    </w:tbl>
    <w:p w14:paraId="52E365F0" w14:textId="7270B118" w:rsidR="00081B7A" w:rsidRPr="00363097" w:rsidRDefault="00081B7A" w:rsidP="008E65BD">
      <w:pPr>
        <w:spacing w:after="240"/>
        <w:rPr>
          <w:b/>
          <w:bCs/>
          <w:noProof/>
        </w:rPr>
      </w:pPr>
      <w:r w:rsidRPr="00363097">
        <w:rPr>
          <w:noProof/>
        </w:rPr>
        <w:t xml:space="preserve">This version would propose rules that are mandatory to all </w:t>
      </w:r>
      <w:r w:rsidR="000D709E" w:rsidRPr="00363097">
        <w:rPr>
          <w:noProof/>
        </w:rPr>
        <w:t>taxpayers,</w:t>
      </w:r>
      <w:r w:rsidRPr="00363097">
        <w:rPr>
          <w:noProof/>
        </w:rPr>
        <w:t xml:space="preserve"> and it would involve the highest degree of harmonisation as well as immediate application. This combination of options would ensure the broadest scope possible and, as a result, the most extensive simplification for businesses</w:t>
      </w:r>
      <w:r w:rsidR="00CF2BFC" w:rsidRPr="00363097">
        <w:rPr>
          <w:noProof/>
        </w:rPr>
        <w:t xml:space="preserve"> in the Union</w:t>
      </w:r>
      <w:r w:rsidRPr="00363097">
        <w:rPr>
          <w:noProof/>
        </w:rPr>
        <w:t xml:space="preserve"> and Member State tax authorities, considering that it would replace current national rules on group taxation in the </w:t>
      </w:r>
      <w:r w:rsidR="00CF2BFC" w:rsidRPr="00363097">
        <w:rPr>
          <w:noProof/>
        </w:rPr>
        <w:t>Union</w:t>
      </w:r>
      <w:r w:rsidRPr="000D709E">
        <w:rPr>
          <w:noProof/>
        </w:rPr>
        <w:t xml:space="preserve">. </w:t>
      </w:r>
    </w:p>
    <w:p w14:paraId="78CA7A88" w14:textId="77777777" w:rsidR="001601A7" w:rsidRPr="00363097" w:rsidRDefault="00081B7A" w:rsidP="00081B7A">
      <w:pPr>
        <w:rPr>
          <w:b/>
          <w:bCs/>
          <w:noProof/>
        </w:rPr>
      </w:pPr>
      <w:r w:rsidRPr="00363097">
        <w:rPr>
          <w:b/>
          <w:bCs/>
          <w:noProof/>
        </w:rPr>
        <w:t xml:space="preserve">Version 2 – BEFIT “Light”: </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363097" w14:paraId="1C090A39" w14:textId="77777777" w:rsidTr="003630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EECE1" w:themeFill="background2"/>
          </w:tcPr>
          <w:p w14:paraId="0ACBA527" w14:textId="77777777" w:rsidR="001601A7" w:rsidRPr="00363097" w:rsidRDefault="001601A7">
            <w:pPr>
              <w:jc w:val="center"/>
              <w:rPr>
                <w:noProof/>
              </w:rPr>
            </w:pPr>
            <w:r w:rsidRPr="00363097">
              <w:rPr>
                <w:noProof/>
              </w:rPr>
              <w:t>Scope</w:t>
            </w:r>
          </w:p>
        </w:tc>
        <w:tc>
          <w:tcPr>
            <w:tcW w:w="0" w:type="dxa"/>
            <w:shd w:val="clear" w:color="auto" w:fill="EEECE1" w:themeFill="background2"/>
          </w:tcPr>
          <w:p w14:paraId="418B7274"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w:t>
            </w:r>
            <w:r w:rsidR="005F4236" w:rsidRPr="00363097">
              <w:rPr>
                <w:noProof/>
              </w:rPr>
              <w:t xml:space="preserve"> Computation</w:t>
            </w:r>
          </w:p>
        </w:tc>
        <w:tc>
          <w:tcPr>
            <w:tcW w:w="0" w:type="dxa"/>
            <w:shd w:val="clear" w:color="auto" w:fill="EEECE1" w:themeFill="background2"/>
          </w:tcPr>
          <w:p w14:paraId="1DB2A934"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 Allocation</w:t>
            </w:r>
          </w:p>
        </w:tc>
        <w:tc>
          <w:tcPr>
            <w:tcW w:w="0" w:type="dxa"/>
            <w:shd w:val="clear" w:color="auto" w:fill="EEECE1" w:themeFill="background2"/>
          </w:tcPr>
          <w:p w14:paraId="6A11FA4B"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Transfer Pricing Risk Assessment</w:t>
            </w:r>
          </w:p>
        </w:tc>
        <w:tc>
          <w:tcPr>
            <w:tcW w:w="0" w:type="dxa"/>
            <w:shd w:val="clear" w:color="auto" w:fill="EEECE1" w:themeFill="background2"/>
          </w:tcPr>
          <w:p w14:paraId="4EBBF73F"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Administration</w:t>
            </w:r>
          </w:p>
        </w:tc>
      </w:tr>
      <w:tr w:rsidR="00363097" w:rsidRPr="00363097" w14:paraId="47DAC0AD" w14:textId="77777777">
        <w:tc>
          <w:tcPr>
            <w:cnfStyle w:val="001000000000" w:firstRow="0" w:lastRow="0" w:firstColumn="1" w:lastColumn="0" w:oddVBand="0" w:evenVBand="0" w:oddHBand="0" w:evenHBand="0" w:firstRowFirstColumn="0" w:firstRowLastColumn="0" w:lastRowFirstColumn="0" w:lastRowLastColumn="0"/>
            <w:tcW w:w="1668" w:type="dxa"/>
          </w:tcPr>
          <w:p w14:paraId="21D9FA7C" w14:textId="77777777" w:rsidR="001601A7" w:rsidRPr="00363097" w:rsidRDefault="001601A7">
            <w:pPr>
              <w:jc w:val="left"/>
              <w:rPr>
                <w:b w:val="0"/>
                <w:noProof/>
              </w:rPr>
            </w:pPr>
            <w:r w:rsidRPr="00363097">
              <w:rPr>
                <w:b w:val="0"/>
                <w:noProof/>
              </w:rPr>
              <w:t>Optional for all groups</w:t>
            </w:r>
          </w:p>
        </w:tc>
        <w:tc>
          <w:tcPr>
            <w:tcW w:w="1842" w:type="dxa"/>
          </w:tcPr>
          <w:p w14:paraId="426B2F5A" w14:textId="77777777" w:rsidR="001601A7" w:rsidRPr="00363097"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Limited tax adjustments</w:t>
            </w:r>
          </w:p>
        </w:tc>
        <w:tc>
          <w:tcPr>
            <w:tcW w:w="1843" w:type="dxa"/>
          </w:tcPr>
          <w:p w14:paraId="25047467" w14:textId="77777777" w:rsidR="001601A7" w:rsidRPr="00363097"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Transitional allocation rule</w:t>
            </w:r>
          </w:p>
        </w:tc>
        <w:tc>
          <w:tcPr>
            <w:tcW w:w="2078" w:type="dxa"/>
          </w:tcPr>
          <w:p w14:paraId="36F24BB1" w14:textId="77777777" w:rsidR="001601A7" w:rsidRPr="00363097"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Keep the current rules</w:t>
            </w:r>
          </w:p>
        </w:tc>
        <w:tc>
          <w:tcPr>
            <w:tcW w:w="1858" w:type="dxa"/>
          </w:tcPr>
          <w:p w14:paraId="084E8897" w14:textId="77777777" w:rsidR="001601A7" w:rsidRPr="00363097"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Limited one-stop-shop</w:t>
            </w:r>
          </w:p>
        </w:tc>
      </w:tr>
    </w:tbl>
    <w:p w14:paraId="2E1E930D" w14:textId="77777777" w:rsidR="00081B7A" w:rsidRPr="00363097" w:rsidRDefault="00081B7A" w:rsidP="008E65BD">
      <w:pPr>
        <w:spacing w:after="240"/>
        <w:rPr>
          <w:b/>
          <w:bCs/>
          <w:noProof/>
        </w:rPr>
      </w:pPr>
      <w:r w:rsidRPr="00363097">
        <w:rPr>
          <w:noProof/>
        </w:rPr>
        <w:t>This version would propose rules that are mostly optional, with the least degree of harmonisation and planned for gradual application. This combination of options would bring along some changes to the status quo, but these would be narrower in scope, less comprehensive, and with provision for gradual application.</w:t>
      </w:r>
    </w:p>
    <w:p w14:paraId="65FC2A45" w14:textId="77777777" w:rsidR="001601A7" w:rsidRPr="00363097" w:rsidRDefault="00081B7A" w:rsidP="008E65BD">
      <w:pPr>
        <w:pBdr>
          <w:top w:val="nil"/>
          <w:left w:val="nil"/>
          <w:bottom w:val="nil"/>
          <w:right w:val="nil"/>
          <w:between w:val="nil"/>
          <w:bar w:val="nil"/>
        </w:pBdr>
        <w:spacing w:before="0"/>
        <w:rPr>
          <w:b/>
          <w:bCs/>
          <w:noProof/>
        </w:rPr>
      </w:pPr>
      <w:r w:rsidRPr="00363097">
        <w:rPr>
          <w:b/>
          <w:bCs/>
          <w:noProof/>
        </w:rPr>
        <w:t>Version 3 – BEFIT “Composite”:</w:t>
      </w:r>
    </w:p>
    <w:tbl>
      <w:tblPr>
        <w:tblStyle w:val="GridTable1Light"/>
        <w:tblW w:w="0" w:type="auto"/>
        <w:tblLook w:val="04A0" w:firstRow="1" w:lastRow="0" w:firstColumn="1" w:lastColumn="0" w:noHBand="0" w:noVBand="1"/>
      </w:tblPr>
      <w:tblGrid>
        <w:gridCol w:w="1668"/>
        <w:gridCol w:w="1842"/>
        <w:gridCol w:w="1843"/>
        <w:gridCol w:w="2078"/>
        <w:gridCol w:w="1858"/>
      </w:tblGrid>
      <w:tr w:rsidR="00363097" w:rsidRPr="00363097" w14:paraId="771C1528" w14:textId="77777777" w:rsidTr="00315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EEECE1" w:themeFill="background2"/>
          </w:tcPr>
          <w:p w14:paraId="15EE7D06" w14:textId="77777777" w:rsidR="001601A7" w:rsidRPr="00363097" w:rsidRDefault="001601A7">
            <w:pPr>
              <w:jc w:val="center"/>
              <w:rPr>
                <w:noProof/>
              </w:rPr>
            </w:pPr>
            <w:r w:rsidRPr="00363097">
              <w:rPr>
                <w:noProof/>
              </w:rPr>
              <w:t>Scope</w:t>
            </w:r>
          </w:p>
        </w:tc>
        <w:tc>
          <w:tcPr>
            <w:tcW w:w="1842" w:type="dxa"/>
            <w:shd w:val="clear" w:color="auto" w:fill="EEECE1" w:themeFill="background2"/>
          </w:tcPr>
          <w:p w14:paraId="793F0E7E"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w:t>
            </w:r>
            <w:r w:rsidR="005F4236" w:rsidRPr="00363097">
              <w:rPr>
                <w:noProof/>
              </w:rPr>
              <w:t xml:space="preserve"> Computation</w:t>
            </w:r>
          </w:p>
        </w:tc>
        <w:tc>
          <w:tcPr>
            <w:tcW w:w="1843" w:type="dxa"/>
            <w:shd w:val="clear" w:color="auto" w:fill="EEECE1" w:themeFill="background2"/>
          </w:tcPr>
          <w:p w14:paraId="031BE446"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Tax Base Allocation</w:t>
            </w:r>
          </w:p>
        </w:tc>
        <w:tc>
          <w:tcPr>
            <w:tcW w:w="2078" w:type="dxa"/>
            <w:shd w:val="clear" w:color="auto" w:fill="EEECE1" w:themeFill="background2"/>
          </w:tcPr>
          <w:p w14:paraId="60110581"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Transfer Pricing Risk Assessment</w:t>
            </w:r>
          </w:p>
        </w:tc>
        <w:tc>
          <w:tcPr>
            <w:tcW w:w="1858" w:type="dxa"/>
            <w:shd w:val="clear" w:color="auto" w:fill="EEECE1" w:themeFill="background2"/>
          </w:tcPr>
          <w:p w14:paraId="080D08ED" w14:textId="77777777" w:rsidR="001601A7" w:rsidRPr="00363097" w:rsidRDefault="001601A7">
            <w:pPr>
              <w:jc w:val="center"/>
              <w:cnfStyle w:val="100000000000" w:firstRow="1" w:lastRow="0" w:firstColumn="0" w:lastColumn="0" w:oddVBand="0" w:evenVBand="0" w:oddHBand="0" w:evenHBand="0" w:firstRowFirstColumn="0" w:firstRowLastColumn="0" w:lastRowFirstColumn="0" w:lastRowLastColumn="0"/>
              <w:rPr>
                <w:noProof/>
              </w:rPr>
            </w:pPr>
            <w:r w:rsidRPr="00363097">
              <w:rPr>
                <w:noProof/>
              </w:rPr>
              <w:t>Administration</w:t>
            </w:r>
          </w:p>
        </w:tc>
      </w:tr>
      <w:tr w:rsidR="00363097" w:rsidRPr="00363097" w14:paraId="64F50F80" w14:textId="77777777">
        <w:tc>
          <w:tcPr>
            <w:cnfStyle w:val="001000000000" w:firstRow="0" w:lastRow="0" w:firstColumn="1" w:lastColumn="0" w:oddVBand="0" w:evenVBand="0" w:oddHBand="0" w:evenHBand="0" w:firstRowFirstColumn="0" w:firstRowLastColumn="0" w:lastRowFirstColumn="0" w:lastRowLastColumn="0"/>
            <w:tcW w:w="1668" w:type="dxa"/>
          </w:tcPr>
          <w:p w14:paraId="0B648E0E" w14:textId="77777777" w:rsidR="001601A7" w:rsidRPr="00363097" w:rsidRDefault="004F5F1A">
            <w:pPr>
              <w:jc w:val="left"/>
              <w:rPr>
                <w:b w:val="0"/>
                <w:noProof/>
              </w:rPr>
            </w:pPr>
            <w:r w:rsidRPr="00363097">
              <w:rPr>
                <w:b w:val="0"/>
                <w:noProof/>
              </w:rPr>
              <w:t>Hybrid</w:t>
            </w:r>
          </w:p>
        </w:tc>
        <w:tc>
          <w:tcPr>
            <w:tcW w:w="1842" w:type="dxa"/>
          </w:tcPr>
          <w:p w14:paraId="2BAA5F91" w14:textId="77777777" w:rsidR="001601A7" w:rsidRPr="00363097" w:rsidRDefault="00824F4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Limited tax adjustments</w:t>
            </w:r>
          </w:p>
        </w:tc>
        <w:tc>
          <w:tcPr>
            <w:tcW w:w="1843" w:type="dxa"/>
          </w:tcPr>
          <w:p w14:paraId="42210528" w14:textId="77777777" w:rsidR="001601A7" w:rsidRPr="00363097" w:rsidRDefault="00E74F68">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Transitional allocation rule</w:t>
            </w:r>
          </w:p>
        </w:tc>
        <w:tc>
          <w:tcPr>
            <w:tcW w:w="2078" w:type="dxa"/>
          </w:tcPr>
          <w:p w14:paraId="07CFB450" w14:textId="77777777" w:rsidR="001601A7" w:rsidRPr="00363097" w:rsidRDefault="001601A7">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Traffic light system</w:t>
            </w:r>
          </w:p>
        </w:tc>
        <w:tc>
          <w:tcPr>
            <w:tcW w:w="1858" w:type="dxa"/>
          </w:tcPr>
          <w:p w14:paraId="4645204D" w14:textId="77777777" w:rsidR="001601A7" w:rsidRPr="00363097" w:rsidRDefault="00E74F68">
            <w:pPr>
              <w:jc w:val="left"/>
              <w:cnfStyle w:val="000000000000" w:firstRow="0" w:lastRow="0" w:firstColumn="0" w:lastColumn="0" w:oddVBand="0" w:evenVBand="0" w:oddHBand="0" w:evenHBand="0" w:firstRowFirstColumn="0" w:firstRowLastColumn="0" w:lastRowFirstColumn="0" w:lastRowLastColumn="0"/>
              <w:rPr>
                <w:noProof/>
              </w:rPr>
            </w:pPr>
            <w:r w:rsidRPr="00363097">
              <w:rPr>
                <w:noProof/>
              </w:rPr>
              <w:t>Hybrid</w:t>
            </w:r>
            <w:r w:rsidR="001601A7" w:rsidRPr="00363097">
              <w:rPr>
                <w:noProof/>
              </w:rPr>
              <w:t xml:space="preserve"> one-stop-shop</w:t>
            </w:r>
          </w:p>
        </w:tc>
      </w:tr>
    </w:tbl>
    <w:p w14:paraId="055076A2" w14:textId="77777777" w:rsidR="0018270B" w:rsidRDefault="00081B7A" w:rsidP="008E65BD">
      <w:pPr>
        <w:pBdr>
          <w:top w:val="nil"/>
          <w:left w:val="nil"/>
          <w:bottom w:val="nil"/>
          <w:right w:val="nil"/>
          <w:between w:val="nil"/>
          <w:bar w:val="nil"/>
        </w:pBdr>
        <w:spacing w:after="240"/>
        <w:rPr>
          <w:noProof/>
        </w:rPr>
      </w:pPr>
      <w:r w:rsidRPr="00363097">
        <w:rPr>
          <w:noProof/>
        </w:rPr>
        <w:t>This is a third ‘in-between version’ which is a compilation of elements of mandatory harmonisation and gradual application. BEFIT “Composite” provides for a hybrid approach regarding its application and</w:t>
      </w:r>
      <w:r w:rsidR="00721C64" w:rsidRPr="00363097">
        <w:rPr>
          <w:noProof/>
        </w:rPr>
        <w:t xml:space="preserve"> </w:t>
      </w:r>
      <w:r w:rsidRPr="00363097">
        <w:rPr>
          <w:noProof/>
        </w:rPr>
        <w:t xml:space="preserve">scope. It would ensure common and mandatory rules targeted at large groups that are most likely to have cross-border structures and activities and could be expected to therefore benefit the most from the simplification that BEFIT offers. </w:t>
      </w:r>
    </w:p>
    <w:p w14:paraId="191DA222" w14:textId="62056DC1" w:rsidR="00081B7A" w:rsidRPr="00363097" w:rsidRDefault="00081B7A" w:rsidP="008E65BD">
      <w:pPr>
        <w:pBdr>
          <w:top w:val="nil"/>
          <w:left w:val="nil"/>
          <w:bottom w:val="nil"/>
          <w:right w:val="nil"/>
          <w:between w:val="nil"/>
          <w:bar w:val="nil"/>
        </w:pBdr>
        <w:spacing w:after="240"/>
        <w:rPr>
          <w:rFonts w:eastAsia="Arial Unicode MS"/>
          <w:noProof/>
        </w:rPr>
      </w:pPr>
      <w:r w:rsidRPr="00363097">
        <w:rPr>
          <w:b/>
          <w:bCs/>
          <w:noProof/>
        </w:rPr>
        <w:t xml:space="preserve">The impact assessment concludes that Version 3 is the preferred policy package. </w:t>
      </w:r>
      <w:r w:rsidRPr="00363097">
        <w:rPr>
          <w:noProof/>
        </w:rPr>
        <w:t>It not only proves effective in achieving the specific objectives of the initiative but</w:t>
      </w:r>
      <w:r w:rsidR="00FB2723" w:rsidRPr="00363097">
        <w:rPr>
          <w:noProof/>
        </w:rPr>
        <w:t>,</w:t>
      </w:r>
      <w:r w:rsidRPr="00363097">
        <w:rPr>
          <w:noProof/>
        </w:rPr>
        <w:t xml:space="preserve"> in addition, demonstrates efficiency, as its limited mandatory scope is delineated to include solely those groups who can mostly benefit from the common rules and can afford the transition, and optional for those groups below the threshold. </w:t>
      </w:r>
    </w:p>
    <w:p w14:paraId="20E1AE4C" w14:textId="725C383D" w:rsidR="000476AF"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impact assessment includes a cost-benefit analysis of the initiative, which is expected to be positive. Among the </w:t>
      </w:r>
      <w:r w:rsidRPr="00363097">
        <w:rPr>
          <w:rFonts w:eastAsia="Arial Unicode MS"/>
          <w:b/>
          <w:bCs/>
          <w:noProof/>
        </w:rPr>
        <w:t>benefits</w:t>
      </w:r>
      <w:r w:rsidRPr="00363097">
        <w:rPr>
          <w:rFonts w:eastAsia="Arial Unicode MS"/>
          <w:noProof/>
        </w:rPr>
        <w:t xml:space="preserve"> for businesses</w:t>
      </w:r>
      <w:r w:rsidR="00CF2BFC" w:rsidRPr="00363097">
        <w:rPr>
          <w:rFonts w:eastAsia="Arial Unicode MS"/>
          <w:noProof/>
        </w:rPr>
        <w:t xml:space="preserve"> in the Union</w:t>
      </w:r>
      <w:r w:rsidRPr="00363097">
        <w:rPr>
          <w:rFonts w:eastAsia="Arial Unicode MS"/>
          <w:noProof/>
        </w:rPr>
        <w:t xml:space="preserve"> under this option, the simplifications that the initiative would introduce have the potential to reduce current tax compliance costs per firm</w:t>
      </w:r>
      <w:r w:rsidRPr="00363097">
        <w:rPr>
          <w:noProof/>
        </w:rPr>
        <w:t xml:space="preserve"> and </w:t>
      </w:r>
      <w:r w:rsidR="003B6B0E">
        <w:rPr>
          <w:rFonts w:eastAsia="Arial Unicode MS"/>
          <w:noProof/>
        </w:rPr>
        <w:t>are</w:t>
      </w:r>
      <w:r w:rsidR="003B6B0E" w:rsidRPr="00363097">
        <w:rPr>
          <w:rFonts w:eastAsia="Arial Unicode MS"/>
          <w:noProof/>
        </w:rPr>
        <w:t xml:space="preserve"> </w:t>
      </w:r>
      <w:r w:rsidRPr="00363097">
        <w:rPr>
          <w:rFonts w:eastAsia="Arial Unicode MS"/>
          <w:noProof/>
        </w:rPr>
        <w:t xml:space="preserve">expected to stimulate investment and growth and contribute to ensuring more sustainable tax revenues for Member States. </w:t>
      </w:r>
    </w:p>
    <w:p w14:paraId="0CE85914"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w:t>
      </w:r>
      <w:r w:rsidRPr="00363097">
        <w:rPr>
          <w:rFonts w:eastAsia="Arial Unicode MS"/>
          <w:b/>
          <w:bCs/>
          <w:noProof/>
        </w:rPr>
        <w:t>costs of the proposal</w:t>
      </w:r>
      <w:r w:rsidRPr="00363097">
        <w:rPr>
          <w:rFonts w:eastAsia="Arial Unicode MS"/>
          <w:noProof/>
        </w:rPr>
        <w:t xml:space="preserve"> cannot be determined with any precision because the BEFIT proposal does not have a precedent and there is no dedicated data that can be used reliably for concrete estimates. Nonetheless, the report indicates that the following costs are expected for the implementation of the common rules under this proposal: ongoing operational costs of an administrative nature, short-term (possibly, one-off) adjustment costs, related to updating IT systems, and the training of company staff and tax administrations to adjust to the new system. These estimates can be found in Annex 3 to the impact assessment report. </w:t>
      </w:r>
    </w:p>
    <w:p w14:paraId="48AE01F9"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Regulatory fitness and simplification</w:t>
      </w:r>
    </w:p>
    <w:p w14:paraId="568E7FA7" w14:textId="39FEEAC4"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proposal is aimed at reducing regulatory burdens for both taxpayers and tax administrations. </w:t>
      </w:r>
      <w:r w:rsidR="00FB2723" w:rsidRPr="00363097">
        <w:rPr>
          <w:rFonts w:eastAsia="Arial Unicode MS"/>
          <w:noProof/>
        </w:rPr>
        <w:t>T</w:t>
      </w:r>
      <w:r w:rsidRPr="00363097">
        <w:rPr>
          <w:rFonts w:eastAsia="Arial Unicode MS"/>
          <w:noProof/>
        </w:rPr>
        <w:t>ax</w:t>
      </w:r>
      <w:r w:rsidR="007076B3" w:rsidRPr="00363097">
        <w:rPr>
          <w:rFonts w:eastAsia="Arial Unicode MS"/>
          <w:noProof/>
        </w:rPr>
        <w:t xml:space="preserve"> </w:t>
      </w:r>
      <w:r w:rsidRPr="00363097">
        <w:rPr>
          <w:rFonts w:eastAsia="Arial Unicode MS"/>
          <w:noProof/>
        </w:rPr>
        <w:t>compliance costs are a burden for businesses and their reduction will be a major advantage in the implementation of the initiative. The estimated reduction in compliance costs feature</w:t>
      </w:r>
      <w:r w:rsidR="009276E5">
        <w:rPr>
          <w:rFonts w:eastAsia="Arial Unicode MS"/>
          <w:noProof/>
        </w:rPr>
        <w:t>s</w:t>
      </w:r>
      <w:r w:rsidRPr="00363097">
        <w:rPr>
          <w:rFonts w:eastAsia="Arial Unicode MS"/>
          <w:noProof/>
        </w:rPr>
        <w:t xml:space="preserve"> in the impact assessment</w:t>
      </w:r>
      <w:r w:rsidR="0018270B">
        <w:rPr>
          <w:rFonts w:eastAsia="Arial Unicode MS"/>
          <w:noProof/>
        </w:rPr>
        <w:t xml:space="preserve"> report</w:t>
      </w:r>
      <w:r w:rsidRPr="00363097">
        <w:rPr>
          <w:rFonts w:eastAsia="Arial Unicode MS"/>
          <w:noProof/>
        </w:rPr>
        <w:t xml:space="preserve">. </w:t>
      </w:r>
    </w:p>
    <w:p w14:paraId="33C40D79" w14:textId="6173D819"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To meet the objectives of simplifying tax rules, stimulating growth and investment, while also ensuring fair and sustainable tax revenues, in a proportionate manner, the preferred option of the initiative is a hybrid scope for cross-border businesses in the </w:t>
      </w:r>
      <w:r w:rsidR="00CF2BFC" w:rsidRPr="00363097">
        <w:rPr>
          <w:rFonts w:eastAsia="Arial Unicode MS"/>
          <w:noProof/>
        </w:rPr>
        <w:t>Union</w:t>
      </w:r>
      <w:r w:rsidRPr="00363097">
        <w:rPr>
          <w:rFonts w:eastAsia="Arial Unicode MS"/>
          <w:noProof/>
        </w:rPr>
        <w:t xml:space="preserve">. Businesses in the </w:t>
      </w:r>
      <w:r w:rsidR="00CF2BFC" w:rsidRPr="00363097">
        <w:rPr>
          <w:rFonts w:eastAsia="Arial Unicode MS"/>
          <w:noProof/>
        </w:rPr>
        <w:t>Union</w:t>
      </w:r>
      <w:r w:rsidRPr="00363097">
        <w:rPr>
          <w:rFonts w:eastAsia="Arial Unicode MS"/>
          <w:noProof/>
        </w:rPr>
        <w:t xml:space="preserve">, other than the </w:t>
      </w:r>
      <w:r w:rsidR="00CF2BFC" w:rsidRPr="00363097">
        <w:rPr>
          <w:rFonts w:eastAsia="Arial Unicode MS"/>
          <w:noProof/>
        </w:rPr>
        <w:t xml:space="preserve">Union </w:t>
      </w:r>
      <w:r w:rsidRPr="00363097">
        <w:rPr>
          <w:rFonts w:eastAsia="Arial Unicode MS"/>
          <w:noProof/>
        </w:rPr>
        <w:t>sub-set of the largest groups, which are also in scope of the Pillar 2 Directive, are exempted from the mandatory scope of the initiative. For the largest groups, the BEFIT rules will be mandatory, in order to ensure consistency and coherence.</w:t>
      </w:r>
      <w:r w:rsidR="003A7C43">
        <w:rPr>
          <w:rFonts w:eastAsia="Arial Unicode MS"/>
          <w:noProof/>
        </w:rPr>
        <w:t xml:space="preserve"> </w:t>
      </w:r>
      <w:r w:rsidRPr="00363097">
        <w:rPr>
          <w:rFonts w:eastAsia="Arial Unicode MS"/>
          <w:noProof/>
        </w:rPr>
        <w:t xml:space="preserve">Other groups below the threshold, including SME groups, will have the option to apply the BEFIT rules, depending on the structure of their business. This voluntary scope should ensure that the proposal effectively reduces regulatory burdens. Businesses are likely to opt in when they can benefit from the simplification that the rules offer. If this is not the case, they can continue to apply the existing rules. In this way, the scope of the proposal ensures that compliance costs for SMEs are kept low. Finally, as the proposal is primarily aimed to address the needs of cross-border businesses which have taxable presence in more than one Member States, many micro-enterprises will effectively be out of scope. </w:t>
      </w:r>
    </w:p>
    <w:p w14:paraId="0345B2B4" w14:textId="38AFC9C4"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Tax administrations should also benefit from the expected decrease in transfer pricing issues, as</w:t>
      </w:r>
      <w:r w:rsidR="00915BF0" w:rsidRPr="00363097">
        <w:rPr>
          <w:rFonts w:eastAsia="Arial Unicode MS"/>
          <w:noProof/>
        </w:rPr>
        <w:t xml:space="preserve"> the necessity of</w:t>
      </w:r>
      <w:r w:rsidR="00FB1BE4" w:rsidRPr="00363097">
        <w:rPr>
          <w:rFonts w:eastAsia="Arial Unicode MS"/>
          <w:noProof/>
        </w:rPr>
        <w:t xml:space="preserve"> </w:t>
      </w:r>
      <w:r w:rsidR="00127C37" w:rsidRPr="00363097">
        <w:rPr>
          <w:rFonts w:eastAsia="Arial Unicode MS"/>
          <w:noProof/>
        </w:rPr>
        <w:t>thorough</w:t>
      </w:r>
      <w:r w:rsidR="00BA5A9C" w:rsidRPr="00363097">
        <w:rPr>
          <w:rFonts w:eastAsia="Arial Unicode MS"/>
          <w:noProof/>
        </w:rPr>
        <w:t xml:space="preserve"> </w:t>
      </w:r>
      <w:r w:rsidR="00684E44" w:rsidRPr="00363097">
        <w:rPr>
          <w:rFonts w:eastAsia="Arial Unicode MS"/>
          <w:noProof/>
        </w:rPr>
        <w:t>assessments of</w:t>
      </w:r>
      <w:r w:rsidRPr="00363097">
        <w:rPr>
          <w:rFonts w:eastAsia="Arial Unicode MS"/>
          <w:noProof/>
        </w:rPr>
        <w:t xml:space="preserve"> consistency with the arm’s length principle will be </w:t>
      </w:r>
      <w:r w:rsidR="00915BF0" w:rsidRPr="00363097">
        <w:rPr>
          <w:rFonts w:eastAsia="Arial Unicode MS"/>
          <w:noProof/>
        </w:rPr>
        <w:t xml:space="preserve">reduced </w:t>
      </w:r>
      <w:r w:rsidRPr="00363097">
        <w:rPr>
          <w:rFonts w:eastAsia="Arial Unicode MS"/>
          <w:noProof/>
        </w:rPr>
        <w:t>for intra-group transactions under BEFIT rules.</w:t>
      </w:r>
      <w:r w:rsidR="006A3BCB" w:rsidRPr="00363097">
        <w:rPr>
          <w:rFonts w:eastAsia="Arial Unicode MS"/>
          <w:noProof/>
        </w:rPr>
        <w:t xml:space="preserve"> After the transition period,</w:t>
      </w:r>
      <w:r w:rsidR="00C23D2C" w:rsidRPr="00363097">
        <w:rPr>
          <w:rFonts w:eastAsia="Arial Unicode MS"/>
          <w:noProof/>
        </w:rPr>
        <w:t xml:space="preserve"> the need for</w:t>
      </w:r>
      <w:r w:rsidR="006A3BCB" w:rsidRPr="00363097">
        <w:rPr>
          <w:rFonts w:eastAsia="Arial Unicode MS"/>
          <w:noProof/>
        </w:rPr>
        <w:t xml:space="preserve"> pricing</w:t>
      </w:r>
      <w:r w:rsidR="009C6878" w:rsidRPr="00363097">
        <w:rPr>
          <w:rFonts w:eastAsia="Arial Unicode MS"/>
          <w:noProof/>
        </w:rPr>
        <w:t xml:space="preserve"> </w:t>
      </w:r>
      <w:r w:rsidR="00C23D2C" w:rsidRPr="00363097">
        <w:rPr>
          <w:rFonts w:eastAsia="Arial Unicode MS"/>
          <w:noProof/>
        </w:rPr>
        <w:t>such</w:t>
      </w:r>
      <w:r w:rsidR="009C6878" w:rsidRPr="00363097">
        <w:rPr>
          <w:rFonts w:eastAsia="Arial Unicode MS"/>
          <w:noProof/>
        </w:rPr>
        <w:t xml:space="preserve"> intra-group transactions </w:t>
      </w:r>
      <w:r w:rsidR="00561312" w:rsidRPr="00363097">
        <w:rPr>
          <w:rFonts w:eastAsia="Arial Unicode MS"/>
          <w:noProof/>
        </w:rPr>
        <w:t xml:space="preserve">in consistency </w:t>
      </w:r>
      <w:r w:rsidR="003D23E7" w:rsidRPr="00363097">
        <w:rPr>
          <w:rFonts w:eastAsia="Arial Unicode MS"/>
          <w:noProof/>
        </w:rPr>
        <w:t xml:space="preserve">with the arm’s length principle </w:t>
      </w:r>
      <w:r w:rsidR="009C6878" w:rsidRPr="00363097">
        <w:rPr>
          <w:rFonts w:eastAsia="Arial Unicode MS"/>
          <w:noProof/>
        </w:rPr>
        <w:t xml:space="preserve">might even be </w:t>
      </w:r>
      <w:r w:rsidR="0099572E" w:rsidRPr="00363097">
        <w:rPr>
          <w:rFonts w:eastAsia="Arial Unicode MS"/>
          <w:noProof/>
        </w:rPr>
        <w:t>made redundant for tax purposes</w:t>
      </w:r>
      <w:r w:rsidR="00C23D2C" w:rsidRPr="00363097">
        <w:rPr>
          <w:rFonts w:eastAsia="Arial Unicode MS"/>
          <w:noProof/>
        </w:rPr>
        <w:t>.</w:t>
      </w:r>
      <w:r w:rsidRPr="00363097">
        <w:rPr>
          <w:rFonts w:eastAsia="Arial Unicode MS"/>
          <w:noProof/>
        </w:rPr>
        <w:t xml:space="preserve"> There should also be a reduced number of disputes to the extent that the establishment of BEFIT teams allow tax administrations to agree on </w:t>
      </w:r>
      <w:r w:rsidR="00394EFD" w:rsidRPr="00363097">
        <w:rPr>
          <w:noProof/>
          <w:lang w:val="en-US"/>
        </w:rPr>
        <w:t xml:space="preserve">a degree of </w:t>
      </w:r>
      <w:r w:rsidRPr="00363097">
        <w:rPr>
          <w:rFonts w:eastAsia="Arial Unicode MS"/>
          <w:noProof/>
        </w:rPr>
        <w:t>early certainty and resolve arising problems</w:t>
      </w:r>
      <w:r w:rsidR="003A7C43">
        <w:rPr>
          <w:rFonts w:eastAsia="Arial Unicode MS"/>
          <w:noProof/>
        </w:rPr>
        <w:t xml:space="preserve"> </w:t>
      </w:r>
      <w:r w:rsidRPr="00363097">
        <w:rPr>
          <w:rFonts w:eastAsia="Arial Unicode MS"/>
          <w:noProof/>
        </w:rPr>
        <w:t xml:space="preserve">in a more efficient manner through consultation and coordination. </w:t>
      </w:r>
    </w:p>
    <w:p w14:paraId="23E54B68" w14:textId="77777777" w:rsidR="00081B7A" w:rsidRPr="00363097" w:rsidRDefault="00081B7A" w:rsidP="00081B7A">
      <w:pPr>
        <w:pStyle w:val="ManualHeading2"/>
        <w:rPr>
          <w:rFonts w:eastAsia="Arial Unicode MS"/>
          <w:noProof/>
          <w:u w:color="000000"/>
          <w:bdr w:val="nil"/>
          <w:lang w:val="en-US" w:eastAsia="en-GB"/>
        </w:rPr>
      </w:pPr>
      <w:r w:rsidRPr="00363097">
        <w:rPr>
          <w:rFonts w:eastAsia="Arial Unicode MS"/>
          <w:noProof/>
          <w:u w:color="000000"/>
          <w:bdr w:val="nil"/>
          <w:lang w:val="en-US" w:eastAsia="en-GB"/>
        </w:rPr>
        <w:t>•</w:t>
      </w:r>
      <w:r w:rsidRPr="00363097">
        <w:rPr>
          <w:rFonts w:eastAsia="Arial Unicode MS"/>
          <w:noProof/>
          <w:u w:color="000000"/>
          <w:bdr w:val="nil"/>
          <w:lang w:val="en-US" w:eastAsia="en-GB"/>
        </w:rPr>
        <w:tab/>
        <w:t>Fundamental rights</w:t>
      </w:r>
    </w:p>
    <w:p w14:paraId="2E8A881C" w14:textId="1BA0E379" w:rsidR="00081B7A" w:rsidRPr="00363097" w:rsidRDefault="00081B7A" w:rsidP="00081B7A">
      <w:pPr>
        <w:pBdr>
          <w:top w:val="nil"/>
          <w:left w:val="nil"/>
          <w:bottom w:val="nil"/>
          <w:right w:val="nil"/>
          <w:between w:val="nil"/>
          <w:bar w:val="nil"/>
        </w:pBdr>
        <w:spacing w:before="0" w:after="240"/>
        <w:rPr>
          <w:noProof/>
        </w:rPr>
      </w:pPr>
      <w:r w:rsidRPr="00363097">
        <w:rPr>
          <w:noProof/>
        </w:rPr>
        <w:t xml:space="preserve">It is not expected that there would be a considerable effect on fundamental rights and the proposed measures are compatible with the rights, freedoms and principles in the Charter of fundamental rights of the </w:t>
      </w:r>
      <w:r w:rsidR="00CF2BFC" w:rsidRPr="00363097">
        <w:rPr>
          <w:noProof/>
        </w:rPr>
        <w:t>European Union</w:t>
      </w:r>
      <w:r w:rsidRPr="00363097">
        <w:rPr>
          <w:noProof/>
        </w:rPr>
        <w:t>.</w:t>
      </w:r>
      <w:r w:rsidRPr="00363097">
        <w:rPr>
          <w:rStyle w:val="FootnoteReference0"/>
          <w:noProof/>
        </w:rPr>
        <w:footnoteReference w:id="21"/>
      </w:r>
      <w:r w:rsidRPr="00363097">
        <w:rPr>
          <w:noProof/>
        </w:rPr>
        <w:t xml:space="preserve"> By levelling the playing field, removing cross-border barriers, and providing more tax certainty, the proposal will also contribute to preventing any discrimination or unjustified restrictions on the freedoms related to conducting a business. </w:t>
      </w:r>
    </w:p>
    <w:p w14:paraId="139474EA" w14:textId="512B20F7" w:rsidR="00FD1A0D" w:rsidRPr="00363097" w:rsidRDefault="00353759" w:rsidP="009C124F">
      <w:pPr>
        <w:rPr>
          <w:noProof/>
        </w:rPr>
      </w:pPr>
      <w:r w:rsidRPr="00363097">
        <w:rPr>
          <w:noProof/>
        </w:rPr>
        <w:t>D</w:t>
      </w:r>
      <w:r w:rsidR="002C2277" w:rsidRPr="00363097">
        <w:rPr>
          <w:noProof/>
        </w:rPr>
        <w:t xml:space="preserve">ata protection </w:t>
      </w:r>
      <w:r w:rsidR="006827DF" w:rsidRPr="00363097">
        <w:rPr>
          <w:noProof/>
        </w:rPr>
        <w:t xml:space="preserve">rights covered by </w:t>
      </w:r>
      <w:r w:rsidR="006373DF" w:rsidRPr="00363097">
        <w:rPr>
          <w:noProof/>
        </w:rPr>
        <w:t>the Charter</w:t>
      </w:r>
      <w:r w:rsidR="00DF0B95" w:rsidRPr="00363097">
        <w:rPr>
          <w:noProof/>
        </w:rPr>
        <w:t xml:space="preserve"> and the </w:t>
      </w:r>
      <w:r w:rsidR="003E2787" w:rsidRPr="00363097">
        <w:rPr>
          <w:noProof/>
        </w:rPr>
        <w:t>General Data Protection Regulation (GDPR)</w:t>
      </w:r>
      <w:r w:rsidR="00FD7A24" w:rsidRPr="00363097">
        <w:rPr>
          <w:rStyle w:val="FootnoteReference0"/>
          <w:noProof/>
        </w:rPr>
        <w:footnoteReference w:id="22"/>
      </w:r>
      <w:r w:rsidR="00FD1A0D" w:rsidRPr="00363097">
        <w:rPr>
          <w:noProof/>
        </w:rPr>
        <w:t xml:space="preserve"> are safeguarded. </w:t>
      </w:r>
      <w:r w:rsidR="00651DC3" w:rsidRPr="00363097">
        <w:rPr>
          <w:noProof/>
        </w:rPr>
        <w:t>P</w:t>
      </w:r>
      <w:r w:rsidR="00FD1A0D" w:rsidRPr="00363097">
        <w:rPr>
          <w:noProof/>
        </w:rPr>
        <w:t>ersonal data</w:t>
      </w:r>
      <w:r w:rsidR="00856FDC" w:rsidRPr="00363097">
        <w:rPr>
          <w:noProof/>
        </w:rPr>
        <w:t>, e.</w:t>
      </w:r>
      <w:r w:rsidR="006229ED" w:rsidRPr="00363097">
        <w:rPr>
          <w:noProof/>
        </w:rPr>
        <w:t>g</w:t>
      </w:r>
      <w:r w:rsidR="00856FDC" w:rsidRPr="00363097">
        <w:rPr>
          <w:noProof/>
        </w:rPr>
        <w:t>.</w:t>
      </w:r>
      <w:r w:rsidR="00936644" w:rsidRPr="00363097">
        <w:rPr>
          <w:noProof/>
        </w:rPr>
        <w:t>,</w:t>
      </w:r>
      <w:r w:rsidR="00856FDC" w:rsidRPr="00363097">
        <w:rPr>
          <w:noProof/>
        </w:rPr>
        <w:t xml:space="preserve"> </w:t>
      </w:r>
      <w:r w:rsidR="006229ED" w:rsidRPr="00363097">
        <w:rPr>
          <w:noProof/>
        </w:rPr>
        <w:t>information about</w:t>
      </w:r>
      <w:r w:rsidR="00856FDC" w:rsidRPr="00363097">
        <w:rPr>
          <w:noProof/>
        </w:rPr>
        <w:t xml:space="preserve"> ownership</w:t>
      </w:r>
      <w:r w:rsidR="00936644" w:rsidRPr="00363097">
        <w:rPr>
          <w:noProof/>
        </w:rPr>
        <w:t xml:space="preserve"> interests in </w:t>
      </w:r>
      <w:r w:rsidR="00C024DB" w:rsidRPr="00363097">
        <w:rPr>
          <w:noProof/>
        </w:rPr>
        <w:t>a</w:t>
      </w:r>
      <w:r w:rsidR="00D558F0" w:rsidRPr="00363097">
        <w:rPr>
          <w:noProof/>
        </w:rPr>
        <w:t xml:space="preserve"> BEFIT group</w:t>
      </w:r>
      <w:r w:rsidR="00856FDC" w:rsidRPr="00363097">
        <w:rPr>
          <w:noProof/>
        </w:rPr>
        <w:t>,</w:t>
      </w:r>
      <w:r w:rsidR="00FD1A0D" w:rsidRPr="00363097">
        <w:rPr>
          <w:noProof/>
        </w:rPr>
        <w:t xml:space="preserve"> </w:t>
      </w:r>
      <w:r w:rsidR="00651DC3" w:rsidRPr="00363097">
        <w:rPr>
          <w:noProof/>
        </w:rPr>
        <w:t>might be processed by ta</w:t>
      </w:r>
      <w:r w:rsidR="00F723C7" w:rsidRPr="00363097">
        <w:rPr>
          <w:noProof/>
        </w:rPr>
        <w:t>x administrations</w:t>
      </w:r>
      <w:r w:rsidR="003A49FE" w:rsidRPr="00363097">
        <w:rPr>
          <w:noProof/>
        </w:rPr>
        <w:t xml:space="preserve"> but</w:t>
      </w:r>
      <w:r w:rsidR="00FD1A0D" w:rsidRPr="00363097">
        <w:rPr>
          <w:noProof/>
        </w:rPr>
        <w:t xml:space="preserve"> only for the purpose of</w:t>
      </w:r>
      <w:r w:rsidR="00D82222" w:rsidRPr="00D82222">
        <w:rPr>
          <w:noProof/>
        </w:rPr>
        <w:t xml:space="preserve"> </w:t>
      </w:r>
      <w:r w:rsidR="00D82222">
        <w:rPr>
          <w:noProof/>
        </w:rPr>
        <w:t xml:space="preserve">applying Chapter IV as well as for the purpose of examining and reaching consensus on the content of the BEFIT information return and processing and assessing individual tax returns under Chapter V. </w:t>
      </w:r>
      <w:r w:rsidR="00FD1A0D" w:rsidRPr="00363097">
        <w:rPr>
          <w:noProof/>
        </w:rPr>
        <w:t xml:space="preserve">Personal data </w:t>
      </w:r>
      <w:r w:rsidR="00856FDC" w:rsidRPr="00363097">
        <w:rPr>
          <w:noProof/>
        </w:rPr>
        <w:t>may</w:t>
      </w:r>
      <w:r w:rsidR="00FD1A0D" w:rsidRPr="00363097">
        <w:rPr>
          <w:noProof/>
        </w:rPr>
        <w:t xml:space="preserve"> be transmitted only between</w:t>
      </w:r>
      <w:r w:rsidR="00856FDC" w:rsidRPr="00363097">
        <w:rPr>
          <w:noProof/>
        </w:rPr>
        <w:t xml:space="preserve"> ta</w:t>
      </w:r>
      <w:r w:rsidR="00042AAD" w:rsidRPr="00363097">
        <w:rPr>
          <w:noProof/>
        </w:rPr>
        <w:t>x administrations</w:t>
      </w:r>
      <w:r w:rsidR="00FD1A0D" w:rsidRPr="00363097">
        <w:rPr>
          <w:noProof/>
        </w:rPr>
        <w:t xml:space="preserve"> which are involved in the </w:t>
      </w:r>
      <w:r w:rsidR="00042AAD" w:rsidRPr="00363097">
        <w:rPr>
          <w:noProof/>
        </w:rPr>
        <w:t>administration of a particular BEFIT group</w:t>
      </w:r>
      <w:r w:rsidR="00FD1A0D" w:rsidRPr="00363097">
        <w:rPr>
          <w:noProof/>
        </w:rPr>
        <w:t xml:space="preserve">. The amount of personal data to be transmitted will be limited to what is necessary to </w:t>
      </w:r>
      <w:r w:rsidR="00B5708C" w:rsidRPr="00363097">
        <w:rPr>
          <w:noProof/>
        </w:rPr>
        <w:t xml:space="preserve">ensure </w:t>
      </w:r>
      <w:r w:rsidR="001D53CF" w:rsidRPr="00363097">
        <w:rPr>
          <w:noProof/>
        </w:rPr>
        <w:t>compliance</w:t>
      </w:r>
      <w:r w:rsidR="00232492" w:rsidRPr="00363097">
        <w:rPr>
          <w:noProof/>
        </w:rPr>
        <w:t xml:space="preserve"> and </w:t>
      </w:r>
      <w:r w:rsidR="00FD1A0D" w:rsidRPr="00363097">
        <w:rPr>
          <w:noProof/>
        </w:rPr>
        <w:t>detect tax fraud</w:t>
      </w:r>
      <w:r w:rsidR="00195C78" w:rsidRPr="00363097">
        <w:rPr>
          <w:noProof/>
        </w:rPr>
        <w:t>, evasion, or avoidance</w:t>
      </w:r>
      <w:r w:rsidR="00FD1A0D" w:rsidRPr="00363097">
        <w:rPr>
          <w:noProof/>
        </w:rPr>
        <w:t xml:space="preserve"> in line with the GDPR requirements. Personal data will be retained only as long as necessary for this purpose</w:t>
      </w:r>
      <w:r w:rsidR="00F5281A" w:rsidRPr="00F5281A">
        <w:rPr>
          <w:noProof/>
          <w:szCs w:val="24"/>
        </w:rPr>
        <w:t xml:space="preserve"> </w:t>
      </w:r>
      <w:r w:rsidR="00F5281A" w:rsidRPr="00363097">
        <w:rPr>
          <w:noProof/>
          <w:szCs w:val="24"/>
        </w:rPr>
        <w:t>but in any case, no longer than 10 years</w:t>
      </w:r>
      <w:r w:rsidR="00FD1A0D" w:rsidRPr="00363097">
        <w:rPr>
          <w:noProof/>
        </w:rPr>
        <w:t xml:space="preserve">. </w:t>
      </w:r>
    </w:p>
    <w:p w14:paraId="4155E736" w14:textId="77777777" w:rsidR="00AF456D" w:rsidRPr="00363097" w:rsidRDefault="00347D71" w:rsidP="00347D71">
      <w:pPr>
        <w:pStyle w:val="ManualHeading2"/>
        <w:rPr>
          <w:noProof/>
        </w:rPr>
      </w:pPr>
      <w:r w:rsidRPr="00363097">
        <w:rPr>
          <w:rFonts w:eastAsia="Arial Unicode MS"/>
          <w:noProof/>
          <w:lang w:val="en-US" w:eastAsia="en-GB"/>
        </w:rPr>
        <w:t>•</w:t>
      </w:r>
      <w:r w:rsidRPr="00363097">
        <w:rPr>
          <w:noProof/>
        </w:rPr>
        <w:tab/>
        <w:t>Other impacts</w:t>
      </w:r>
    </w:p>
    <w:p w14:paraId="1793D0EC" w14:textId="77777777" w:rsidR="00584FC6" w:rsidRPr="00363097" w:rsidRDefault="00584FC6" w:rsidP="00584FC6">
      <w:pPr>
        <w:pBdr>
          <w:top w:val="nil"/>
          <w:left w:val="nil"/>
          <w:bottom w:val="nil"/>
          <w:right w:val="nil"/>
          <w:between w:val="nil"/>
          <w:bar w:val="nil"/>
        </w:pBdr>
        <w:spacing w:before="0" w:after="240"/>
        <w:rPr>
          <w:rFonts w:eastAsia="Arial Unicode MS"/>
          <w:noProof/>
        </w:rPr>
      </w:pPr>
      <w:r w:rsidRPr="00363097">
        <w:rPr>
          <w:rFonts w:eastAsia="Arial Unicode MS"/>
          <w:noProof/>
          <w:lang w:val="en-US" w:eastAsia="en-GB"/>
        </w:rPr>
        <w:t xml:space="preserve">There are no other significant impacts. </w:t>
      </w:r>
      <w:r w:rsidRPr="00363097">
        <w:rPr>
          <w:rFonts w:eastAsia="Arial Unicode MS"/>
          <w:noProof/>
        </w:rPr>
        <w:t>The proposal concerns groups of companies in all sectors which are subject to corporate income tax in a Member State. The proposal does not, as such, affect the present way of doing business and is not expected to have a direct impact on the objectives of the European Green Deal or European environmental legislation. Indirectly, it may be considered that the resources freed from tax compliance costs could be used by companies to invest in more environmentally sustainable production methods if the companies wish to do so.</w:t>
      </w:r>
    </w:p>
    <w:p w14:paraId="1CC29A18" w14:textId="77777777" w:rsidR="00347D71" w:rsidRPr="00363097" w:rsidRDefault="00A21ADF" w:rsidP="00383EE5">
      <w:pPr>
        <w:rPr>
          <w:noProof/>
        </w:rPr>
      </w:pPr>
      <w:r w:rsidRPr="00363097">
        <w:rPr>
          <w:noProof/>
        </w:rPr>
        <w:t>The proposal upholds the</w:t>
      </w:r>
      <w:r w:rsidR="00AB1BBF" w:rsidRPr="00363097">
        <w:rPr>
          <w:noProof/>
        </w:rPr>
        <w:t xml:space="preserve"> </w:t>
      </w:r>
      <w:r w:rsidRPr="00363097">
        <w:rPr>
          <w:noProof/>
        </w:rPr>
        <w:t>‘digital by default’ principles and contributes to achieving the European way for a digital society and economy.</w:t>
      </w:r>
    </w:p>
    <w:p w14:paraId="709E5293" w14:textId="77777777" w:rsidR="00D64E75" w:rsidRPr="00363097" w:rsidRDefault="00D64E75" w:rsidP="00383EE5">
      <w:pPr>
        <w:rPr>
          <w:noProof/>
        </w:rPr>
      </w:pPr>
      <w:r w:rsidRPr="00363097">
        <w:rPr>
          <w:noProof/>
        </w:rPr>
        <w:t xml:space="preserve">The relevant Sustainable Development Goals partially addressed by the </w:t>
      </w:r>
      <w:r w:rsidR="004C52D8" w:rsidRPr="00363097">
        <w:rPr>
          <w:noProof/>
        </w:rPr>
        <w:t>proposal</w:t>
      </w:r>
      <w:r w:rsidRPr="00363097">
        <w:rPr>
          <w:noProof/>
        </w:rPr>
        <w:t xml:space="preserve"> are</w:t>
      </w:r>
      <w:r w:rsidR="00845950" w:rsidRPr="00363097">
        <w:rPr>
          <w:noProof/>
        </w:rPr>
        <w:t xml:space="preserve"> n</w:t>
      </w:r>
      <w:r w:rsidR="00DC4C5D" w:rsidRPr="00363097">
        <w:rPr>
          <w:noProof/>
        </w:rPr>
        <w:t>umber</w:t>
      </w:r>
      <w:r w:rsidRPr="00363097">
        <w:rPr>
          <w:noProof/>
        </w:rPr>
        <w:t xml:space="preserve"> 8 (Decent work and economic growth)</w:t>
      </w:r>
      <w:r w:rsidR="007E2E48" w:rsidRPr="00363097">
        <w:rPr>
          <w:noProof/>
        </w:rPr>
        <w:t xml:space="preserve"> and </w:t>
      </w:r>
      <w:r w:rsidRPr="00363097">
        <w:rPr>
          <w:noProof/>
        </w:rPr>
        <w:t xml:space="preserve">9 (Industry, innovation and infrastructure) as presented in Annex 3 of the impact assessment. </w:t>
      </w:r>
    </w:p>
    <w:p w14:paraId="04D2B2AA" w14:textId="77777777" w:rsidR="00081B7A" w:rsidRPr="00363097" w:rsidRDefault="00081B7A" w:rsidP="00081B7A">
      <w:pPr>
        <w:pStyle w:val="ManualHeading1"/>
        <w:rPr>
          <w:noProof/>
        </w:rPr>
      </w:pPr>
      <w:r w:rsidRPr="00363097">
        <w:rPr>
          <w:noProof/>
        </w:rPr>
        <w:t>4.</w:t>
      </w:r>
      <w:r w:rsidRPr="00363097">
        <w:rPr>
          <w:noProof/>
        </w:rPr>
        <w:tab/>
        <w:t>BUDGETARY IMPLICATIONS</w:t>
      </w:r>
    </w:p>
    <w:p w14:paraId="221CCE8B"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rFonts w:eastAsia="Arial Unicode MS"/>
          <w:noProof/>
        </w:rPr>
        <w:t xml:space="preserve">The initiative will have budgetary implications for the Commission linked to the BEFIT collaborative tool. </w:t>
      </w:r>
      <w:bookmarkStart w:id="2" w:name="_Hlk139284743"/>
      <w:r w:rsidRPr="00363097">
        <w:rPr>
          <w:rFonts w:eastAsia="Arial Unicode MS"/>
          <w:noProof/>
        </w:rPr>
        <w:t xml:space="preserve">Tax administrations will need to coordinate closely and to use communication tools for BEFIT teams under this initiative. </w:t>
      </w:r>
      <w:r w:rsidRPr="00363097">
        <w:rPr>
          <w:noProof/>
        </w:rPr>
        <w:t xml:space="preserve">To facilitate the operation and communication of BEFIT teams, the Commission will adopt the necessary practical arrangements, including measures to standardise the communication of the information between the members of BEFIT teams through making use of a BEFIT collaborative tool. The Commission will be responsible for the development of this tool (one-off cost), as well as the hosting, content management, encryption, and its annual maintenance. The costs for such BEFIT collaborative tool are estimated at around EUR 300 000 one-off (for the first year) and around EUR 600 000 on a yearly basis for running the BEFIT collaborative tool. </w:t>
      </w:r>
      <w:r w:rsidR="000C5314" w:rsidRPr="00363097">
        <w:rPr>
          <w:noProof/>
        </w:rPr>
        <w:t>These costs will</w:t>
      </w:r>
      <w:r w:rsidRPr="00363097">
        <w:rPr>
          <w:noProof/>
        </w:rPr>
        <w:t xml:space="preserve"> be </w:t>
      </w:r>
      <w:r w:rsidR="000C5314" w:rsidRPr="00363097">
        <w:rPr>
          <w:noProof/>
        </w:rPr>
        <w:t>financed from within</w:t>
      </w:r>
      <w:r w:rsidRPr="00363097">
        <w:rPr>
          <w:noProof/>
        </w:rPr>
        <w:t xml:space="preserve"> the </w:t>
      </w:r>
      <w:r w:rsidR="000C5314" w:rsidRPr="00363097">
        <w:rPr>
          <w:noProof/>
        </w:rPr>
        <w:t>foreseen envelope for the Fiscalis programme.</w:t>
      </w:r>
      <w:r w:rsidRPr="00363097">
        <w:rPr>
          <w:noProof/>
        </w:rPr>
        <w:t xml:space="preserve"> Details can be found in the legislative financial statement to this proposal. </w:t>
      </w:r>
    </w:p>
    <w:bookmarkEnd w:id="2"/>
    <w:p w14:paraId="462C7978" w14:textId="77777777" w:rsidR="00081B7A" w:rsidRPr="00363097" w:rsidRDefault="00081B7A" w:rsidP="00081B7A">
      <w:pPr>
        <w:pStyle w:val="ManualHeading1"/>
        <w:rPr>
          <w:noProof/>
        </w:rPr>
      </w:pPr>
      <w:r w:rsidRPr="00363097">
        <w:rPr>
          <w:noProof/>
        </w:rPr>
        <w:t>5.</w:t>
      </w:r>
      <w:r w:rsidRPr="00363097">
        <w:rPr>
          <w:noProof/>
        </w:rPr>
        <w:tab/>
        <w:t>OTHER ELEMENTS</w:t>
      </w:r>
    </w:p>
    <w:p w14:paraId="333CDBAB" w14:textId="77777777" w:rsidR="00081B7A" w:rsidRPr="00363097" w:rsidRDefault="00081B7A" w:rsidP="00081B7A">
      <w:pPr>
        <w:pStyle w:val="ManualHeading2"/>
        <w:rPr>
          <w:rFonts w:eastAsia="Arial Unicode MS"/>
          <w:noProof/>
          <w:bdr w:val="nil"/>
          <w:lang w:val="en-US" w:eastAsia="en-GB"/>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bdr w:val="nil"/>
          <w:lang w:val="en-US" w:eastAsia="en-GB"/>
        </w:rPr>
        <w:t>Implementation plans and monitoring, evaluation and reporting arrangements</w:t>
      </w:r>
    </w:p>
    <w:p w14:paraId="40C3F840" w14:textId="77777777" w:rsidR="00081B7A" w:rsidRPr="00363097" w:rsidRDefault="00081B7A" w:rsidP="00081B7A">
      <w:pPr>
        <w:pBdr>
          <w:top w:val="nil"/>
          <w:left w:val="nil"/>
          <w:bottom w:val="nil"/>
          <w:right w:val="nil"/>
          <w:between w:val="nil"/>
          <w:bar w:val="nil"/>
        </w:pBdr>
        <w:spacing w:before="0" w:after="240"/>
        <w:rPr>
          <w:rFonts w:eastAsia="Arial Unicode MS"/>
          <w:noProof/>
        </w:rPr>
      </w:pPr>
      <w:r w:rsidRPr="00363097">
        <w:rPr>
          <w:noProof/>
        </w:rPr>
        <w:t xml:space="preserve">For the purpose of monitoring and evaluating the implementation of the Directive, it will initially be necessary to give Member States time and all necessary assistance, in order to properly implement the </w:t>
      </w:r>
      <w:r w:rsidR="00CF2BFC" w:rsidRPr="00363097">
        <w:rPr>
          <w:noProof/>
        </w:rPr>
        <w:t xml:space="preserve">European Union </w:t>
      </w:r>
      <w:r w:rsidRPr="00363097">
        <w:rPr>
          <w:noProof/>
        </w:rPr>
        <w:t>rules. The Commission will evaluate the application of the Directive five years after its entry into force and report to Council on its operation. Member States should communicate to the Commission the text of the provisions of national law which they will adopt in the field covered by this Directive and should also provide any relevant information they have that the Commission may require for evaluation purposes.</w:t>
      </w:r>
    </w:p>
    <w:p w14:paraId="391793E1" w14:textId="19EB89FE" w:rsidR="00081B7A" w:rsidRPr="00363097" w:rsidRDefault="00081B7A" w:rsidP="00081B7A">
      <w:pPr>
        <w:rPr>
          <w:noProof/>
        </w:rPr>
      </w:pPr>
      <w:r w:rsidRPr="00363097">
        <w:rPr>
          <w:rFonts w:eastAsia="Arial Unicode MS"/>
          <w:noProof/>
        </w:rPr>
        <w:t>In addition to an evaluation, the</w:t>
      </w:r>
      <w:r w:rsidRPr="00363097">
        <w:rPr>
          <w:noProof/>
        </w:rPr>
        <w:t xml:space="preserve"> effectiveness and efficiency of the initiative </w:t>
      </w:r>
      <w:r w:rsidRPr="00363097">
        <w:rPr>
          <w:rFonts w:eastAsiaTheme="majorEastAsia"/>
          <w:noProof/>
        </w:rPr>
        <w:t xml:space="preserve">will be regularly and continuously monitored </w:t>
      </w:r>
      <w:r w:rsidRPr="00363097">
        <w:rPr>
          <w:noProof/>
        </w:rPr>
        <w:t>using the following pre-defined indicators</w:t>
      </w:r>
      <w:r w:rsidRPr="00363097">
        <w:rPr>
          <w:rFonts w:eastAsiaTheme="majorEastAsia"/>
          <w:noProof/>
        </w:rPr>
        <w:t xml:space="preserve">: implementation and initial BEFIT running costs; </w:t>
      </w:r>
      <w:r w:rsidRPr="00363097">
        <w:rPr>
          <w:noProof/>
        </w:rPr>
        <w:t xml:space="preserve">number of groups of companies in the mandatory scope of the proposal, as well as the number of companies that voluntarily opted in; evolution of the compliance costs; and the number of double taxation disputes. This is set out in more detail in the impact assessment </w:t>
      </w:r>
      <w:r w:rsidR="009F0777">
        <w:rPr>
          <w:noProof/>
        </w:rPr>
        <w:t xml:space="preserve">report </w:t>
      </w:r>
      <w:r w:rsidRPr="00363097">
        <w:rPr>
          <w:noProof/>
        </w:rPr>
        <w:t xml:space="preserve">accompanying this proposal. </w:t>
      </w:r>
    </w:p>
    <w:p w14:paraId="5890F667" w14:textId="77777777" w:rsidR="00081B7A" w:rsidRPr="00363097" w:rsidRDefault="00081B7A" w:rsidP="00081B7A">
      <w:pPr>
        <w:pStyle w:val="ManualHeading2"/>
        <w:rPr>
          <w:rFonts w:eastAsia="Arial Unicode MS"/>
          <w:noProof/>
          <w:bdr w:val="nil"/>
          <w:lang w:val="en-US" w:eastAsia="en-GB"/>
        </w:rPr>
      </w:pPr>
      <w:r w:rsidRPr="00363097">
        <w:rPr>
          <w:rFonts w:eastAsia="Arial Unicode MS"/>
          <w:noProof/>
          <w:bdr w:val="nil"/>
          <w:lang w:val="en-US" w:eastAsia="en-GB"/>
        </w:rPr>
        <w:t>•</w:t>
      </w:r>
      <w:r w:rsidRPr="00363097">
        <w:rPr>
          <w:rFonts w:eastAsia="Arial Unicode MS"/>
          <w:noProof/>
          <w:u w:color="000000"/>
          <w:bdr w:val="nil"/>
          <w:lang w:val="en-US" w:eastAsia="en-GB"/>
        </w:rPr>
        <w:tab/>
      </w:r>
      <w:r w:rsidRPr="00363097">
        <w:rPr>
          <w:rFonts w:eastAsia="Arial Unicode MS"/>
          <w:noProof/>
          <w:bdr w:val="nil"/>
          <w:lang w:val="en-US" w:eastAsia="en-GB"/>
        </w:rPr>
        <w:t>Detailed explanation of the specific provisions of the proposal</w:t>
      </w:r>
    </w:p>
    <w:p w14:paraId="4C49BB30" w14:textId="77777777" w:rsidR="00B21E06" w:rsidRPr="00363097" w:rsidRDefault="00081B7A" w:rsidP="00B21E06">
      <w:pPr>
        <w:rPr>
          <w:rFonts w:eastAsia="Times New Roman"/>
          <w:noProof/>
          <w:lang w:eastAsia="en-GB"/>
        </w:rPr>
      </w:pPr>
      <w:r w:rsidRPr="00363097">
        <w:rPr>
          <w:rFonts w:eastAsia="Times New Roman"/>
          <w:noProof/>
          <w:lang w:eastAsia="en-GB"/>
        </w:rPr>
        <w:t>The proposal establishes a</w:t>
      </w:r>
      <w:r w:rsidR="00C70277" w:rsidRPr="00363097">
        <w:rPr>
          <w:rFonts w:eastAsia="Times New Roman"/>
          <w:noProof/>
          <w:lang w:eastAsia="en-GB"/>
        </w:rPr>
        <w:t xml:space="preserve"> common set of rules to determine the tax base of companies that are part of </w:t>
      </w:r>
      <w:r w:rsidR="00F2117D" w:rsidRPr="00363097">
        <w:rPr>
          <w:rFonts w:eastAsia="Times New Roman"/>
          <w:noProof/>
          <w:lang w:eastAsia="en-GB"/>
        </w:rPr>
        <w:t xml:space="preserve">a </w:t>
      </w:r>
      <w:r w:rsidR="00C70277" w:rsidRPr="00363097">
        <w:rPr>
          <w:rFonts w:eastAsia="Times New Roman"/>
          <w:noProof/>
          <w:lang w:eastAsia="en-GB"/>
        </w:rPr>
        <w:t>group which</w:t>
      </w:r>
      <w:r w:rsidR="001F712A" w:rsidRPr="00363097">
        <w:rPr>
          <w:rFonts w:eastAsia="Times New Roman"/>
          <w:noProof/>
          <w:lang w:eastAsia="en-GB"/>
        </w:rPr>
        <w:t xml:space="preserve"> prepare consolidated financial statements and which</w:t>
      </w:r>
      <w:r w:rsidR="00C70277" w:rsidRPr="00363097">
        <w:rPr>
          <w:rFonts w:eastAsia="Times New Roman"/>
          <w:noProof/>
          <w:lang w:eastAsia="en-GB"/>
        </w:rPr>
        <w:t xml:space="preserve"> </w:t>
      </w:r>
      <w:r w:rsidRPr="00363097">
        <w:rPr>
          <w:rFonts w:eastAsia="Times New Roman"/>
          <w:noProof/>
          <w:lang w:eastAsia="en-GB"/>
        </w:rPr>
        <w:t xml:space="preserve">are subject to corporate income taxation in </w:t>
      </w:r>
      <w:r w:rsidR="003D2C6F" w:rsidRPr="00363097">
        <w:rPr>
          <w:rFonts w:eastAsia="Times New Roman"/>
          <w:noProof/>
          <w:lang w:eastAsia="en-GB"/>
        </w:rPr>
        <w:t>a</w:t>
      </w:r>
      <w:r w:rsidR="00C70277" w:rsidRPr="00363097">
        <w:rPr>
          <w:rFonts w:eastAsia="Times New Roman"/>
          <w:noProof/>
          <w:lang w:eastAsia="en-GB"/>
        </w:rPr>
        <w:t xml:space="preserve"> </w:t>
      </w:r>
      <w:r w:rsidRPr="00363097">
        <w:rPr>
          <w:rFonts w:eastAsia="Times New Roman"/>
          <w:noProof/>
          <w:lang w:eastAsia="en-GB"/>
        </w:rPr>
        <w:t xml:space="preserve">Member State. </w:t>
      </w:r>
    </w:p>
    <w:p w14:paraId="439EFE3F" w14:textId="77777777" w:rsidR="00081B7A" w:rsidRPr="00363097" w:rsidRDefault="00081B7A" w:rsidP="001B2161">
      <w:pPr>
        <w:rPr>
          <w:rFonts w:eastAsia="Times New Roman"/>
          <w:noProof/>
          <w:lang w:eastAsia="en-GB"/>
        </w:rPr>
      </w:pPr>
      <w:r w:rsidRPr="00363097">
        <w:rPr>
          <w:rFonts w:eastAsia="Times New Roman"/>
          <w:noProof/>
          <w:lang w:eastAsia="en-GB"/>
        </w:rPr>
        <w:t xml:space="preserve">The </w:t>
      </w:r>
      <w:r w:rsidR="00F2117D" w:rsidRPr="00363097">
        <w:rPr>
          <w:rFonts w:eastAsia="Times New Roman"/>
          <w:noProof/>
          <w:lang w:eastAsia="en-GB"/>
        </w:rPr>
        <w:t>main</w:t>
      </w:r>
      <w:r w:rsidRPr="00363097">
        <w:rPr>
          <w:rFonts w:eastAsia="Times New Roman"/>
          <w:noProof/>
          <w:lang w:eastAsia="en-GB"/>
        </w:rPr>
        <w:t xml:space="preserve"> </w:t>
      </w:r>
      <w:r w:rsidR="001B2161" w:rsidRPr="00363097">
        <w:rPr>
          <w:rFonts w:eastAsia="Times New Roman"/>
          <w:noProof/>
          <w:lang w:eastAsia="en-GB"/>
        </w:rPr>
        <w:t>aspects</w:t>
      </w:r>
      <w:r w:rsidRPr="00363097">
        <w:rPr>
          <w:rFonts w:eastAsia="Times New Roman"/>
          <w:noProof/>
          <w:lang w:eastAsia="en-GB"/>
        </w:rPr>
        <w:t xml:space="preserve"> </w:t>
      </w:r>
      <w:r w:rsidR="00F2117D" w:rsidRPr="00363097">
        <w:rPr>
          <w:rFonts w:eastAsia="Times New Roman"/>
          <w:noProof/>
          <w:lang w:eastAsia="en-GB"/>
        </w:rPr>
        <w:t>of the proposals</w:t>
      </w:r>
      <w:r w:rsidRPr="00363097">
        <w:rPr>
          <w:rFonts w:eastAsia="Times New Roman"/>
          <w:noProof/>
          <w:lang w:eastAsia="en-GB"/>
        </w:rPr>
        <w:t xml:space="preserve"> are</w:t>
      </w:r>
      <w:r w:rsidRPr="00363097">
        <w:rPr>
          <w:noProof/>
        </w:rPr>
        <w:t xml:space="preserve"> as follows</w:t>
      </w:r>
      <w:r w:rsidR="00B21E06" w:rsidRPr="00363097">
        <w:rPr>
          <w:noProof/>
        </w:rPr>
        <w:t>:</w:t>
      </w:r>
      <w:r w:rsidRPr="00363097">
        <w:rPr>
          <w:noProof/>
        </w:rPr>
        <w:t xml:space="preserve"> </w:t>
      </w:r>
    </w:p>
    <w:p w14:paraId="458CA09C" w14:textId="77777777" w:rsidR="00081B7A" w:rsidRPr="00363097" w:rsidRDefault="00081B7A" w:rsidP="00081B7A">
      <w:pPr>
        <w:spacing w:before="240" w:line="276" w:lineRule="auto"/>
        <w:rPr>
          <w:rFonts w:eastAsia="Times New Roman"/>
          <w:bCs/>
          <w:noProof/>
          <w:lang w:eastAsia="en-GB"/>
        </w:rPr>
      </w:pPr>
      <w:r w:rsidRPr="00363097">
        <w:rPr>
          <w:rFonts w:eastAsia="Times New Roman"/>
          <w:b/>
          <w:noProof/>
          <w:lang w:eastAsia="en-GB"/>
        </w:rPr>
        <w:t>A hybrid scope for mandatory and optional application</w:t>
      </w:r>
    </w:p>
    <w:p w14:paraId="3EFA65D3"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Under the general provisions of Chapter I, the proposal defines a hybrid scope for the application of the rules under </w:t>
      </w:r>
      <w:r w:rsidR="00684124" w:rsidRPr="00363097">
        <w:rPr>
          <w:rFonts w:eastAsia="Times New Roman"/>
          <w:noProof/>
          <w:lang w:eastAsia="en-GB"/>
        </w:rPr>
        <w:t>this Directive</w:t>
      </w:r>
      <w:r w:rsidRPr="00363097">
        <w:rPr>
          <w:rFonts w:eastAsia="Times New Roman"/>
          <w:noProof/>
          <w:lang w:eastAsia="en-GB"/>
        </w:rPr>
        <w:t xml:space="preserve">. The </w:t>
      </w:r>
      <w:r w:rsidRPr="00363097">
        <w:rPr>
          <w:rFonts w:eastAsia="Times New Roman"/>
          <w:b/>
          <w:noProof/>
          <w:lang w:eastAsia="en-GB"/>
        </w:rPr>
        <w:t>mandatory scope</w:t>
      </w:r>
      <w:r w:rsidRPr="00363097">
        <w:rPr>
          <w:rFonts w:eastAsia="Times New Roman"/>
          <w:noProof/>
          <w:lang w:eastAsia="en-GB"/>
        </w:rPr>
        <w:t xml:space="preserve"> comprises the same groups as Pillar 2 (i.e.</w:t>
      </w:r>
      <w:r w:rsidR="00B04F98" w:rsidRPr="00363097">
        <w:rPr>
          <w:rFonts w:eastAsia="Times New Roman"/>
          <w:noProof/>
          <w:lang w:eastAsia="en-GB"/>
        </w:rPr>
        <w:t>,</w:t>
      </w:r>
      <w:r w:rsidRPr="00363097">
        <w:rPr>
          <w:rFonts w:eastAsia="Times New Roman"/>
          <w:noProof/>
          <w:lang w:eastAsia="en-GB"/>
        </w:rPr>
        <w:t xml:space="preserve"> </w:t>
      </w:r>
      <w:r w:rsidR="00F2117D" w:rsidRPr="00363097">
        <w:rPr>
          <w:rFonts w:eastAsia="Times New Roman"/>
          <w:noProof/>
          <w:lang w:eastAsia="en-GB"/>
        </w:rPr>
        <w:t xml:space="preserve">groups with </w:t>
      </w:r>
      <w:r w:rsidRPr="00363097">
        <w:rPr>
          <w:rFonts w:eastAsia="Times New Roman"/>
          <w:noProof/>
          <w:lang w:eastAsia="en-GB"/>
        </w:rPr>
        <w:t xml:space="preserve">annual combined revenues of at least EUR 750 million) but is limited to the </w:t>
      </w:r>
      <w:r w:rsidR="00CF2BFC" w:rsidRPr="00363097">
        <w:rPr>
          <w:rFonts w:eastAsia="Times New Roman"/>
          <w:noProof/>
          <w:lang w:eastAsia="en-GB"/>
        </w:rPr>
        <w:t xml:space="preserve">Union </w:t>
      </w:r>
      <w:r w:rsidRPr="00363097">
        <w:rPr>
          <w:rFonts w:eastAsia="Times New Roman"/>
          <w:noProof/>
          <w:lang w:eastAsia="en-GB"/>
        </w:rPr>
        <w:t xml:space="preserve">sub-set of entities that meet the 75% ownership threshold (Articles 5-6). For groups headquartered in third countries, their </w:t>
      </w:r>
      <w:r w:rsidR="00CF2BFC" w:rsidRPr="00363097">
        <w:rPr>
          <w:rFonts w:eastAsia="Times New Roman"/>
          <w:noProof/>
          <w:lang w:eastAsia="en-GB"/>
        </w:rPr>
        <w:t xml:space="preserve">Union </w:t>
      </w:r>
      <w:r w:rsidRPr="00363097">
        <w:rPr>
          <w:rFonts w:eastAsia="Times New Roman"/>
          <w:noProof/>
          <w:lang w:eastAsia="en-GB"/>
        </w:rPr>
        <w:t xml:space="preserve">sub-set will need to additionally raise at least EUR 50 million annual combined revenues </w:t>
      </w:r>
      <w:r w:rsidRPr="00363097">
        <w:rPr>
          <w:noProof/>
          <w:lang w:val="en-IE" w:eastAsia="en-IE"/>
        </w:rPr>
        <w:t xml:space="preserve">in </w:t>
      </w:r>
      <w:r w:rsidRPr="00363097">
        <w:rPr>
          <w:noProof/>
        </w:rPr>
        <w:t>at least two of the four fiscal years immediately preceding the fiscal year</w:t>
      </w:r>
      <w:r w:rsidRPr="00363097">
        <w:rPr>
          <w:noProof/>
          <w:lang w:val="en-IE" w:eastAsia="en-IE"/>
        </w:rPr>
        <w:t xml:space="preserve"> in which the group started to apply this Directive</w:t>
      </w:r>
      <w:r w:rsidRPr="00363097">
        <w:rPr>
          <w:rFonts w:eastAsia="Times New Roman"/>
          <w:noProof/>
          <w:lang w:eastAsia="en-GB"/>
        </w:rPr>
        <w:t xml:space="preserve"> and this will have to account for at least 5% of the total revenues of the group (Article 2, paragraph 4). This materiality threshold further ensures that the requirements of the proposal are proportionate to its benefits.</w:t>
      </w:r>
    </w:p>
    <w:p w14:paraId="272131BC" w14:textId="77777777" w:rsidR="00081B7A" w:rsidRPr="00363097" w:rsidRDefault="00081B7A" w:rsidP="00081B7A">
      <w:pPr>
        <w:rPr>
          <w:rFonts w:eastAsia="Times New Roman"/>
          <w:noProof/>
          <w:lang w:eastAsia="en-GB"/>
        </w:rPr>
      </w:pPr>
      <w:r w:rsidRPr="00363097">
        <w:rPr>
          <w:rFonts w:eastAsia="Times New Roman"/>
          <w:noProof/>
          <w:lang w:eastAsia="en-GB"/>
        </w:rPr>
        <w:t>The choice to align the mandatory scope with Pillar 2 was made with the knowledge that these taxpayers already implement several relevant features as part of the Pillar 2 Directive</w:t>
      </w:r>
      <w:r w:rsidR="00C40DEF" w:rsidRPr="00363097">
        <w:rPr>
          <w:rFonts w:eastAsia="Times New Roman"/>
          <w:noProof/>
          <w:lang w:eastAsia="en-GB"/>
        </w:rPr>
        <w:t xml:space="preserve">, for example with regard to the </w:t>
      </w:r>
      <w:r w:rsidR="00D37E7B" w:rsidRPr="00363097">
        <w:rPr>
          <w:rFonts w:eastAsia="Times New Roman"/>
          <w:noProof/>
          <w:lang w:eastAsia="en-GB"/>
        </w:rPr>
        <w:t>computation</w:t>
      </w:r>
      <w:r w:rsidR="00C40DEF" w:rsidRPr="00363097">
        <w:rPr>
          <w:rFonts w:eastAsia="Times New Roman"/>
          <w:noProof/>
          <w:lang w:eastAsia="en-GB"/>
        </w:rPr>
        <w:t xml:space="preserve"> of the tax</w:t>
      </w:r>
      <w:r w:rsidR="00D37E7B" w:rsidRPr="00363097">
        <w:rPr>
          <w:rFonts w:eastAsia="Times New Roman"/>
          <w:noProof/>
          <w:lang w:eastAsia="en-GB"/>
        </w:rPr>
        <w:t>able result.</w:t>
      </w:r>
      <w:r w:rsidR="005C1B73" w:rsidRPr="00363097">
        <w:rPr>
          <w:rFonts w:eastAsia="Times New Roman"/>
          <w:noProof/>
          <w:lang w:eastAsia="en-GB"/>
        </w:rPr>
        <w:t xml:space="preserve"> </w:t>
      </w:r>
      <w:r w:rsidRPr="00363097">
        <w:rPr>
          <w:rFonts w:eastAsia="Times New Roman"/>
          <w:noProof/>
          <w:lang w:eastAsia="en-GB"/>
        </w:rPr>
        <w:t xml:space="preserve">It thus strikes a balance between achieving necessary changes in a consistent manner on one hand, and keeping the system simple, on the other hand. </w:t>
      </w:r>
    </w:p>
    <w:p w14:paraId="3F7DCA38"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Other, smaller groups can </w:t>
      </w:r>
      <w:r w:rsidRPr="00363097">
        <w:rPr>
          <w:noProof/>
        </w:rPr>
        <w:t>opt in</w:t>
      </w:r>
      <w:r w:rsidRPr="00363097">
        <w:rPr>
          <w:rFonts w:eastAsia="Times New Roman"/>
          <w:noProof/>
          <w:lang w:eastAsia="en-GB"/>
        </w:rPr>
        <w:t xml:space="preserve"> if </w:t>
      </w:r>
      <w:r w:rsidR="00F2117D" w:rsidRPr="00363097">
        <w:rPr>
          <w:rFonts w:eastAsia="Times New Roman"/>
          <w:noProof/>
          <w:lang w:eastAsia="en-GB"/>
        </w:rPr>
        <w:t xml:space="preserve">they so wish, </w:t>
      </w:r>
      <w:r w:rsidRPr="00363097">
        <w:rPr>
          <w:rFonts w:eastAsia="Times New Roman"/>
          <w:noProof/>
          <w:lang w:eastAsia="en-GB"/>
        </w:rPr>
        <w:t xml:space="preserve">provided they prepare consolidated financial statements. This </w:t>
      </w:r>
      <w:r w:rsidRPr="00363097">
        <w:rPr>
          <w:rFonts w:eastAsia="Times New Roman"/>
          <w:b/>
          <w:noProof/>
          <w:lang w:eastAsia="en-GB"/>
        </w:rPr>
        <w:t>voluntary scope</w:t>
      </w:r>
      <w:r w:rsidRPr="00363097">
        <w:rPr>
          <w:rFonts w:eastAsia="Times New Roman"/>
          <w:noProof/>
          <w:lang w:eastAsia="en-GB"/>
        </w:rPr>
        <w:t xml:space="preserve"> could be of particular interest to </w:t>
      </w:r>
      <w:r w:rsidR="005C3122" w:rsidRPr="00363097">
        <w:rPr>
          <w:rFonts w:eastAsia="Times New Roman"/>
          <w:noProof/>
          <w:lang w:eastAsia="en-GB"/>
        </w:rPr>
        <w:t>smaller</w:t>
      </w:r>
      <w:r w:rsidR="00F2117D" w:rsidRPr="00363097">
        <w:rPr>
          <w:rFonts w:eastAsia="Times New Roman"/>
          <w:noProof/>
          <w:lang w:eastAsia="en-GB"/>
        </w:rPr>
        <w:t xml:space="preserve"> groups </w:t>
      </w:r>
      <w:r w:rsidRPr="00363097">
        <w:rPr>
          <w:rFonts w:eastAsia="Times New Roman"/>
          <w:noProof/>
          <w:lang w:eastAsia="en-GB"/>
        </w:rPr>
        <w:t>that operate cross-border, as they have less resources to dedicate to compliance with multiple national corporate tax systems</w:t>
      </w:r>
      <w:r w:rsidRPr="00363097">
        <w:rPr>
          <w:noProof/>
        </w:rPr>
        <w:t>.</w:t>
      </w:r>
      <w:r w:rsidRPr="00363097">
        <w:rPr>
          <w:rFonts w:eastAsia="Times New Roman"/>
          <w:noProof/>
          <w:lang w:eastAsia="en-GB"/>
        </w:rPr>
        <w:t xml:space="preserve"> </w:t>
      </w:r>
    </w:p>
    <w:p w14:paraId="57C3A6C6" w14:textId="7E9C73AD" w:rsidR="00081B7A" w:rsidRPr="00363097" w:rsidRDefault="00081B7A" w:rsidP="00081B7A">
      <w:pPr>
        <w:rPr>
          <w:rFonts w:eastAsia="Times New Roman"/>
          <w:noProof/>
          <w:lang w:eastAsia="en-GB"/>
        </w:rPr>
      </w:pPr>
      <w:r w:rsidRPr="00363097">
        <w:rPr>
          <w:rFonts w:eastAsia="Times New Roman"/>
          <w:noProof/>
          <w:lang w:eastAsia="en-GB"/>
        </w:rPr>
        <w:t xml:space="preserve">When a group applies or chooses to apply the rules </w:t>
      </w:r>
      <w:r w:rsidR="009D40EC">
        <w:rPr>
          <w:rFonts w:eastAsia="Times New Roman"/>
          <w:noProof/>
          <w:lang w:eastAsia="en-GB"/>
        </w:rPr>
        <w:t>of</w:t>
      </w:r>
      <w:r w:rsidR="009D40EC" w:rsidRPr="00363097">
        <w:rPr>
          <w:rFonts w:eastAsia="Times New Roman"/>
          <w:noProof/>
          <w:lang w:eastAsia="en-GB"/>
        </w:rPr>
        <w:t xml:space="preserve"> </w:t>
      </w:r>
      <w:r w:rsidR="00684124" w:rsidRPr="00363097">
        <w:rPr>
          <w:rFonts w:eastAsia="Times New Roman"/>
          <w:noProof/>
          <w:lang w:eastAsia="en-GB"/>
        </w:rPr>
        <w:t>this Directive</w:t>
      </w:r>
      <w:r w:rsidRPr="00363097">
        <w:rPr>
          <w:rFonts w:eastAsia="Times New Roman"/>
          <w:noProof/>
          <w:lang w:eastAsia="en-GB"/>
        </w:rPr>
        <w:t xml:space="preserve">, the framework will apply to </w:t>
      </w:r>
      <w:r w:rsidRPr="00363097">
        <w:rPr>
          <w:rFonts w:eastAsia="Times New Roman"/>
          <w:b/>
          <w:noProof/>
          <w:lang w:eastAsia="en-GB"/>
        </w:rPr>
        <w:t>the whole ‘BEFIT group’</w:t>
      </w:r>
      <w:r w:rsidRPr="00363097">
        <w:rPr>
          <w:rFonts w:eastAsia="Times New Roman"/>
          <w:noProof/>
          <w:lang w:eastAsia="en-GB"/>
        </w:rPr>
        <w:t>, i.e.</w:t>
      </w:r>
      <w:r w:rsidR="00E02D0D" w:rsidRPr="00363097">
        <w:rPr>
          <w:rFonts w:eastAsia="Times New Roman"/>
          <w:noProof/>
          <w:lang w:eastAsia="en-GB"/>
        </w:rPr>
        <w:t>,</w:t>
      </w:r>
      <w:r w:rsidRPr="00363097">
        <w:rPr>
          <w:rFonts w:eastAsia="Times New Roman"/>
          <w:noProof/>
          <w:lang w:eastAsia="en-GB"/>
        </w:rPr>
        <w:t xml:space="preserve"> the sub-set of all </w:t>
      </w:r>
      <w:r w:rsidR="00CF2BFC" w:rsidRPr="00363097">
        <w:rPr>
          <w:rFonts w:eastAsia="Times New Roman"/>
          <w:noProof/>
          <w:lang w:eastAsia="en-GB"/>
        </w:rPr>
        <w:t xml:space="preserve">Union </w:t>
      </w:r>
      <w:r w:rsidRPr="00363097">
        <w:rPr>
          <w:rFonts w:eastAsia="Times New Roman"/>
          <w:noProof/>
          <w:lang w:eastAsia="en-GB"/>
        </w:rPr>
        <w:t xml:space="preserve">tax resident companies and </w:t>
      </w:r>
      <w:r w:rsidR="00CF2BFC" w:rsidRPr="00363097">
        <w:rPr>
          <w:rFonts w:eastAsia="Times New Roman"/>
          <w:noProof/>
          <w:lang w:eastAsia="en-GB"/>
        </w:rPr>
        <w:t>Union</w:t>
      </w:r>
      <w:r w:rsidRPr="00363097">
        <w:rPr>
          <w:rFonts w:eastAsia="Times New Roman"/>
          <w:noProof/>
          <w:lang w:eastAsia="en-GB"/>
        </w:rPr>
        <w:t>-located permanent establishments of the group that meet the ownership threshold</w:t>
      </w:r>
      <w:r w:rsidR="00704CA8" w:rsidRPr="00363097">
        <w:rPr>
          <w:rFonts w:eastAsia="Times New Roman"/>
          <w:noProof/>
          <w:lang w:eastAsia="en-GB"/>
        </w:rPr>
        <w:t xml:space="preserve"> of 75%</w:t>
      </w:r>
      <w:r w:rsidRPr="00363097">
        <w:rPr>
          <w:rFonts w:eastAsia="Times New Roman"/>
          <w:noProof/>
          <w:lang w:eastAsia="en-GB"/>
        </w:rPr>
        <w:t xml:space="preserve">, called the ‘BEFIT group members’. The scope is contained within these entities. </w:t>
      </w:r>
    </w:p>
    <w:p w14:paraId="07E1F15E" w14:textId="61AF9EFA" w:rsidR="00081B7A" w:rsidRPr="00363097" w:rsidRDefault="00081B7A" w:rsidP="00081B7A">
      <w:pPr>
        <w:rPr>
          <w:rFonts w:eastAsia="Times New Roman"/>
          <w:noProof/>
          <w:lang w:eastAsia="en-GB"/>
        </w:rPr>
      </w:pPr>
      <w:r w:rsidRPr="00363097">
        <w:rPr>
          <w:rFonts w:eastAsia="Times New Roman"/>
          <w:noProof/>
          <w:lang w:eastAsia="en-GB"/>
        </w:rPr>
        <w:t xml:space="preserve">The proposal does not exclude any sectors from its scope. </w:t>
      </w:r>
      <w:r w:rsidRPr="00363097">
        <w:rPr>
          <w:rFonts w:eastAsia="Times New Roman"/>
          <w:b/>
          <w:noProof/>
          <w:lang w:eastAsia="en-GB"/>
        </w:rPr>
        <w:t>Sector-specific characteristics</w:t>
      </w:r>
      <w:r w:rsidRPr="00363097">
        <w:rPr>
          <w:rFonts w:eastAsia="Times New Roman"/>
          <w:noProof/>
          <w:lang w:eastAsia="en-GB"/>
        </w:rPr>
        <w:t xml:space="preserve"> are reflected in relevant parts of the proposal. This is in particular the case for international transport </w:t>
      </w:r>
      <w:r w:rsidR="00077E11" w:rsidRPr="00363097">
        <w:rPr>
          <w:rFonts w:eastAsia="Times New Roman"/>
          <w:noProof/>
          <w:lang w:eastAsia="en-GB"/>
        </w:rPr>
        <w:t>and</w:t>
      </w:r>
      <w:r w:rsidRPr="00363097">
        <w:rPr>
          <w:rFonts w:eastAsia="Times New Roman"/>
          <w:noProof/>
          <w:lang w:eastAsia="en-GB"/>
        </w:rPr>
        <w:t xml:space="preserve"> extractive </w:t>
      </w:r>
      <w:r w:rsidR="000B3842">
        <w:rPr>
          <w:rFonts w:eastAsia="Times New Roman"/>
          <w:noProof/>
          <w:lang w:eastAsia="en-GB"/>
        </w:rPr>
        <w:t>activities</w:t>
      </w:r>
      <w:r w:rsidRPr="00363097">
        <w:rPr>
          <w:rFonts w:eastAsia="Times New Roman"/>
          <w:noProof/>
          <w:lang w:eastAsia="en-GB"/>
        </w:rPr>
        <w:t xml:space="preserve">. </w:t>
      </w:r>
      <w:r w:rsidR="0066285E" w:rsidRPr="00363097">
        <w:rPr>
          <w:rFonts w:eastAsia="Times New Roman"/>
          <w:noProof/>
          <w:lang w:eastAsia="en-GB"/>
        </w:rPr>
        <w:t>For example, s</w:t>
      </w:r>
      <w:r w:rsidRPr="00363097">
        <w:rPr>
          <w:rFonts w:eastAsia="Times New Roman"/>
          <w:noProof/>
          <w:lang w:eastAsia="en-GB"/>
        </w:rPr>
        <w:t xml:space="preserve">hipping income is often subject to special tax regimes which are tailored to the realities in this sector. The proposal acknowledges this and carves out shipping income covered by a tonnage tax regime from the BEFIT tax base. </w:t>
      </w:r>
    </w:p>
    <w:p w14:paraId="01F56B29" w14:textId="77777777" w:rsidR="00081B7A" w:rsidRPr="00363097" w:rsidRDefault="00081B7A" w:rsidP="00081B7A">
      <w:pPr>
        <w:spacing w:before="240" w:line="276" w:lineRule="auto"/>
        <w:rPr>
          <w:rFonts w:eastAsia="Times New Roman"/>
          <w:bCs/>
          <w:noProof/>
          <w:lang w:eastAsia="en-GB"/>
        </w:rPr>
      </w:pPr>
      <w:r w:rsidRPr="00363097">
        <w:rPr>
          <w:rFonts w:eastAsia="Times New Roman"/>
          <w:b/>
          <w:noProof/>
          <w:lang w:eastAsia="en-GB"/>
        </w:rPr>
        <w:t>Calculation of the preliminary tax result of each BEFIT group member using a simplified method</w:t>
      </w:r>
    </w:p>
    <w:p w14:paraId="3F1CA65D" w14:textId="2972C5DF" w:rsidR="00B45CE2" w:rsidRPr="00363097" w:rsidRDefault="00081B7A" w:rsidP="00081B7A">
      <w:pPr>
        <w:rPr>
          <w:rFonts w:eastAsia="Times New Roman"/>
          <w:noProof/>
          <w:lang w:eastAsia="en-GB"/>
        </w:rPr>
      </w:pPr>
      <w:r w:rsidRPr="00363097">
        <w:rPr>
          <w:rFonts w:eastAsia="Times New Roman"/>
          <w:noProof/>
          <w:lang w:eastAsia="en-GB"/>
        </w:rPr>
        <w:t xml:space="preserve">Chapter II includes the rules for the determination of the preliminary tax result of each BEFIT group member. </w:t>
      </w:r>
      <w:r w:rsidR="00B45CE2" w:rsidRPr="00363097">
        <w:rPr>
          <w:rFonts w:eastAsia="Times New Roman"/>
          <w:noProof/>
          <w:lang w:eastAsia="en-GB"/>
        </w:rPr>
        <w:t xml:space="preserve">This is done by applying the adjustments of Section 2 </w:t>
      </w:r>
      <w:r w:rsidR="005D0D72" w:rsidRPr="00363097">
        <w:rPr>
          <w:rFonts w:eastAsia="Times New Roman"/>
          <w:noProof/>
          <w:lang w:eastAsia="en-GB"/>
        </w:rPr>
        <w:t xml:space="preserve">and </w:t>
      </w:r>
      <w:r w:rsidR="00CF37F8">
        <w:rPr>
          <w:rFonts w:eastAsia="Times New Roman"/>
          <w:noProof/>
          <w:lang w:eastAsia="en-GB"/>
        </w:rPr>
        <w:t xml:space="preserve">3 and </w:t>
      </w:r>
      <w:r w:rsidR="005D0D72" w:rsidRPr="00363097">
        <w:rPr>
          <w:rFonts w:eastAsia="Times New Roman"/>
          <w:noProof/>
          <w:lang w:eastAsia="en-GB"/>
        </w:rPr>
        <w:t xml:space="preserve">the rules of Section </w:t>
      </w:r>
      <w:r w:rsidR="009B5D5B">
        <w:rPr>
          <w:rFonts w:eastAsia="Times New Roman"/>
          <w:noProof/>
          <w:lang w:eastAsia="en-GB"/>
        </w:rPr>
        <w:t>4</w:t>
      </w:r>
      <w:r w:rsidR="009B5D5B" w:rsidRPr="00363097">
        <w:rPr>
          <w:rFonts w:eastAsia="Times New Roman"/>
          <w:noProof/>
          <w:lang w:eastAsia="en-GB"/>
        </w:rPr>
        <w:t xml:space="preserve"> </w:t>
      </w:r>
      <w:r w:rsidR="005D1078" w:rsidRPr="00363097">
        <w:rPr>
          <w:rFonts w:eastAsia="Times New Roman"/>
          <w:noProof/>
          <w:lang w:eastAsia="en-GB"/>
        </w:rPr>
        <w:t xml:space="preserve">on timing and quantification issues </w:t>
      </w:r>
      <w:r w:rsidR="00B45CE2" w:rsidRPr="00363097">
        <w:rPr>
          <w:rFonts w:eastAsia="Times New Roman"/>
          <w:noProof/>
          <w:lang w:eastAsia="en-GB"/>
        </w:rPr>
        <w:t>to the net income or loss as stated in the financial accounts.</w:t>
      </w:r>
    </w:p>
    <w:p w14:paraId="4927068B" w14:textId="0FC9D195" w:rsidR="00081B7A" w:rsidRPr="00363097" w:rsidRDefault="00081B7A" w:rsidP="00081B7A">
      <w:pPr>
        <w:rPr>
          <w:rFonts w:eastAsia="Times New Roman"/>
          <w:noProof/>
          <w:lang w:eastAsia="en-GB"/>
        </w:rPr>
      </w:pPr>
      <w:r w:rsidRPr="00363097">
        <w:rPr>
          <w:rFonts w:eastAsia="Times New Roman"/>
          <w:noProof/>
          <w:lang w:eastAsia="en-GB"/>
        </w:rPr>
        <w:t>Like in Pillar 2,</w:t>
      </w:r>
      <w:r w:rsidR="00F01EAA">
        <w:rPr>
          <w:rFonts w:eastAsia="Times New Roman"/>
          <w:noProof/>
          <w:lang w:eastAsia="en-GB"/>
        </w:rPr>
        <w:t xml:space="preserve"> the </w:t>
      </w:r>
      <w:r w:rsidR="00A118D5">
        <w:rPr>
          <w:rFonts w:eastAsia="Times New Roman"/>
          <w:noProof/>
          <w:lang w:eastAsia="en-GB"/>
        </w:rPr>
        <w:t xml:space="preserve">starting point </w:t>
      </w:r>
      <w:r w:rsidR="000A6287">
        <w:rPr>
          <w:rFonts w:eastAsia="Times New Roman"/>
          <w:noProof/>
          <w:lang w:eastAsia="en-GB"/>
        </w:rPr>
        <w:t xml:space="preserve">is </w:t>
      </w:r>
      <w:r w:rsidR="00A4023D">
        <w:rPr>
          <w:rFonts w:eastAsia="Times New Roman"/>
          <w:noProof/>
          <w:lang w:eastAsia="en-GB"/>
        </w:rPr>
        <w:t xml:space="preserve">the </w:t>
      </w:r>
      <w:r w:rsidR="005F2F59">
        <w:rPr>
          <w:rFonts w:eastAsia="Times New Roman"/>
          <w:noProof/>
          <w:lang w:eastAsia="en-GB"/>
        </w:rPr>
        <w:t>accounting result from the financial accounts</w:t>
      </w:r>
      <w:r w:rsidR="00512D14">
        <w:rPr>
          <w:rFonts w:eastAsia="Times New Roman"/>
          <w:noProof/>
          <w:lang w:eastAsia="en-GB"/>
        </w:rPr>
        <w:t xml:space="preserve">, which must be </w:t>
      </w:r>
      <w:r w:rsidR="00854EFB">
        <w:rPr>
          <w:rFonts w:eastAsia="Times New Roman"/>
          <w:noProof/>
          <w:lang w:eastAsia="en-GB"/>
        </w:rPr>
        <w:t>determined under</w:t>
      </w:r>
      <w:r w:rsidR="0099281A">
        <w:rPr>
          <w:rFonts w:eastAsia="Times New Roman"/>
          <w:noProof/>
          <w:lang w:eastAsia="en-GB"/>
        </w:rPr>
        <w:t xml:space="preserve"> one single </w:t>
      </w:r>
      <w:r w:rsidR="009C7E9A">
        <w:rPr>
          <w:rFonts w:eastAsia="Times New Roman"/>
          <w:noProof/>
          <w:lang w:eastAsia="en-GB"/>
        </w:rPr>
        <w:t xml:space="preserve">accounting standard </w:t>
      </w:r>
      <w:r w:rsidR="00F65909">
        <w:rPr>
          <w:rFonts w:eastAsia="Times New Roman"/>
          <w:noProof/>
          <w:lang w:eastAsia="en-GB"/>
        </w:rPr>
        <w:t xml:space="preserve">for the </w:t>
      </w:r>
      <w:r w:rsidR="00C334D7">
        <w:rPr>
          <w:rFonts w:eastAsia="Times New Roman"/>
          <w:noProof/>
          <w:lang w:eastAsia="en-GB"/>
        </w:rPr>
        <w:t>BEFIT group</w:t>
      </w:r>
      <w:r w:rsidR="004E6F33">
        <w:rPr>
          <w:rFonts w:eastAsia="Times New Roman"/>
          <w:noProof/>
          <w:lang w:eastAsia="en-GB"/>
        </w:rPr>
        <w:t xml:space="preserve">. </w:t>
      </w:r>
      <w:r w:rsidR="00D3080A">
        <w:rPr>
          <w:rFonts w:eastAsia="Times New Roman"/>
          <w:noProof/>
          <w:lang w:eastAsia="en-GB"/>
        </w:rPr>
        <w:t>To this aim, the financial accounts of each BEFIT group member must be reconciled</w:t>
      </w:r>
      <w:r w:rsidR="00C334D7">
        <w:rPr>
          <w:rFonts w:eastAsia="Times New Roman"/>
          <w:noProof/>
          <w:lang w:eastAsia="en-GB"/>
        </w:rPr>
        <w:t xml:space="preserve"> with</w:t>
      </w:r>
      <w:r w:rsidR="00D3080A">
        <w:rPr>
          <w:rFonts w:eastAsia="Times New Roman"/>
          <w:noProof/>
          <w:lang w:eastAsia="en-GB"/>
        </w:rPr>
        <w:t xml:space="preserve"> </w:t>
      </w:r>
      <w:r w:rsidR="00C334D7" w:rsidRPr="00363097">
        <w:rPr>
          <w:rFonts w:eastAsia="Times New Roman"/>
          <w:noProof/>
          <w:lang w:eastAsia="en-GB"/>
        </w:rPr>
        <w:t>the accounting standard of the ultimate parent entity, or if the group is headquartered outside of the Union, th</w:t>
      </w:r>
      <w:r w:rsidR="00E26FB8">
        <w:rPr>
          <w:rFonts w:eastAsia="Times New Roman"/>
          <w:noProof/>
          <w:lang w:eastAsia="en-GB"/>
        </w:rPr>
        <w:t>e one</w:t>
      </w:r>
      <w:r w:rsidR="00C334D7" w:rsidRPr="00363097">
        <w:rPr>
          <w:rFonts w:eastAsia="Times New Roman"/>
          <w:noProof/>
          <w:lang w:eastAsia="en-GB"/>
        </w:rPr>
        <w:t xml:space="preserve"> of the filing entity</w:t>
      </w:r>
      <w:r w:rsidR="00E26FB8">
        <w:rPr>
          <w:rFonts w:eastAsia="Times New Roman"/>
          <w:noProof/>
          <w:lang w:eastAsia="en-GB"/>
        </w:rPr>
        <w:t xml:space="preserve">. </w:t>
      </w:r>
      <w:r w:rsidRPr="00363097">
        <w:rPr>
          <w:rFonts w:eastAsia="Times New Roman"/>
          <w:noProof/>
          <w:lang w:eastAsia="en-GB"/>
        </w:rPr>
        <w:t xml:space="preserve">The accounting standard must be accepted under </w:t>
      </w:r>
      <w:r w:rsidR="00CF2BFC" w:rsidRPr="00363097">
        <w:rPr>
          <w:rFonts w:eastAsia="Times New Roman"/>
          <w:noProof/>
          <w:lang w:eastAsia="en-GB"/>
        </w:rPr>
        <w:t xml:space="preserve">European Union </w:t>
      </w:r>
      <w:r w:rsidRPr="00363097">
        <w:rPr>
          <w:rFonts w:eastAsia="Times New Roman"/>
          <w:noProof/>
          <w:lang w:eastAsia="en-GB"/>
        </w:rPr>
        <w:t>law, which essentially means it must either be the national</w:t>
      </w:r>
      <w:r w:rsidR="00F27814" w:rsidRPr="00363097">
        <w:rPr>
          <w:rFonts w:eastAsia="Times New Roman"/>
          <w:noProof/>
          <w:lang w:eastAsia="en-GB"/>
        </w:rPr>
        <w:t xml:space="preserve"> generally accepted</w:t>
      </w:r>
      <w:r w:rsidR="00D941C7" w:rsidRPr="00363097">
        <w:rPr>
          <w:rFonts w:eastAsia="Times New Roman"/>
          <w:noProof/>
          <w:lang w:eastAsia="en-GB"/>
        </w:rPr>
        <w:t xml:space="preserve"> accounting principles</w:t>
      </w:r>
      <w:r w:rsidR="00F27814" w:rsidRPr="00363097">
        <w:rPr>
          <w:rFonts w:eastAsia="Times New Roman"/>
          <w:noProof/>
          <w:lang w:eastAsia="en-GB"/>
        </w:rPr>
        <w:t xml:space="preserve"> (</w:t>
      </w:r>
      <w:r w:rsidRPr="00363097">
        <w:rPr>
          <w:rFonts w:eastAsia="Times New Roman"/>
          <w:noProof/>
          <w:lang w:eastAsia="en-GB"/>
        </w:rPr>
        <w:t>GAAP</w:t>
      </w:r>
      <w:r w:rsidR="00F27814" w:rsidRPr="00363097">
        <w:rPr>
          <w:rFonts w:eastAsia="Times New Roman"/>
          <w:noProof/>
          <w:lang w:eastAsia="en-GB"/>
        </w:rPr>
        <w:t xml:space="preserve">) </w:t>
      </w:r>
      <w:r w:rsidRPr="00363097">
        <w:rPr>
          <w:rFonts w:eastAsia="Times New Roman"/>
          <w:noProof/>
          <w:lang w:eastAsia="en-GB"/>
        </w:rPr>
        <w:t>of one of the Member States or</w:t>
      </w:r>
      <w:r w:rsidR="00F27814" w:rsidRPr="00363097">
        <w:rPr>
          <w:rFonts w:eastAsia="Times New Roman"/>
          <w:noProof/>
          <w:lang w:eastAsia="en-GB"/>
        </w:rPr>
        <w:t xml:space="preserve"> </w:t>
      </w:r>
      <w:r w:rsidR="00A01D0F">
        <w:rPr>
          <w:rFonts w:eastAsia="Times New Roman"/>
          <w:noProof/>
          <w:lang w:eastAsia="en-GB"/>
        </w:rPr>
        <w:t xml:space="preserve">the </w:t>
      </w:r>
      <w:r w:rsidR="00F27814" w:rsidRPr="00363097">
        <w:rPr>
          <w:rFonts w:eastAsia="Times New Roman"/>
          <w:noProof/>
          <w:lang w:eastAsia="en-GB"/>
        </w:rPr>
        <w:t>international</w:t>
      </w:r>
      <w:r w:rsidR="00F8331A" w:rsidRPr="00363097">
        <w:rPr>
          <w:rFonts w:eastAsia="Times New Roman"/>
          <w:noProof/>
          <w:lang w:eastAsia="en-GB"/>
        </w:rPr>
        <w:t xml:space="preserve"> financing </w:t>
      </w:r>
      <w:r w:rsidR="000A20D4" w:rsidRPr="00363097">
        <w:rPr>
          <w:rFonts w:eastAsia="Times New Roman"/>
          <w:noProof/>
          <w:lang w:eastAsia="en-GB"/>
        </w:rPr>
        <w:t>reporting standards (</w:t>
      </w:r>
      <w:r w:rsidRPr="00363097">
        <w:rPr>
          <w:rFonts w:eastAsia="Times New Roman"/>
          <w:noProof/>
          <w:lang w:eastAsia="en-GB"/>
        </w:rPr>
        <w:t>IFRS</w:t>
      </w:r>
      <w:r w:rsidR="000A20D4" w:rsidRPr="00363097">
        <w:rPr>
          <w:rFonts w:eastAsia="Times New Roman"/>
          <w:noProof/>
          <w:lang w:eastAsia="en-GB"/>
        </w:rPr>
        <w:t>)</w:t>
      </w:r>
      <w:r w:rsidR="00B45CE2" w:rsidRPr="00363097">
        <w:rPr>
          <w:rFonts w:eastAsia="Times New Roman"/>
          <w:noProof/>
          <w:lang w:eastAsia="en-GB"/>
        </w:rPr>
        <w:t>, as</w:t>
      </w:r>
      <w:r w:rsidR="006D21B6">
        <w:rPr>
          <w:rFonts w:eastAsia="Times New Roman"/>
          <w:noProof/>
          <w:lang w:eastAsia="en-GB"/>
        </w:rPr>
        <w:t xml:space="preserve"> </w:t>
      </w:r>
      <w:r w:rsidRPr="00363097">
        <w:rPr>
          <w:rFonts w:eastAsia="Times New Roman"/>
          <w:noProof/>
          <w:lang w:eastAsia="en-GB"/>
        </w:rPr>
        <w:t xml:space="preserve">set out in Article 7. </w:t>
      </w:r>
    </w:p>
    <w:p w14:paraId="7932DB48"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In the interest of simplification, adjustments </w:t>
      </w:r>
      <w:r w:rsidR="00B45CE2" w:rsidRPr="00363097">
        <w:rPr>
          <w:rFonts w:eastAsia="Times New Roman"/>
          <w:noProof/>
          <w:lang w:eastAsia="en-GB"/>
        </w:rPr>
        <w:t xml:space="preserve">are kept </w:t>
      </w:r>
      <w:r w:rsidRPr="00363097">
        <w:rPr>
          <w:rFonts w:eastAsia="Times New Roman"/>
          <w:noProof/>
          <w:lang w:eastAsia="en-GB"/>
        </w:rPr>
        <w:t>to the minimum necessary, rather than put</w:t>
      </w:r>
      <w:r w:rsidR="00B45CE2" w:rsidRPr="00363097">
        <w:rPr>
          <w:rFonts w:eastAsia="Times New Roman"/>
          <w:noProof/>
          <w:lang w:eastAsia="en-GB"/>
        </w:rPr>
        <w:t>ting</w:t>
      </w:r>
      <w:r w:rsidRPr="00363097">
        <w:rPr>
          <w:rFonts w:eastAsia="Times New Roman"/>
          <w:noProof/>
          <w:lang w:eastAsia="en-GB"/>
        </w:rPr>
        <w:t xml:space="preserve"> together a detailed corporate tax framework. </w:t>
      </w:r>
      <w:r w:rsidR="00B45CE2" w:rsidRPr="00363097">
        <w:rPr>
          <w:rFonts w:eastAsia="Times New Roman"/>
          <w:noProof/>
          <w:lang w:eastAsia="en-GB"/>
        </w:rPr>
        <w:t xml:space="preserve">Therefore, </w:t>
      </w:r>
      <w:r w:rsidRPr="00363097">
        <w:rPr>
          <w:rFonts w:eastAsia="Times New Roman"/>
          <w:noProof/>
          <w:lang w:eastAsia="en-GB"/>
        </w:rPr>
        <w:t xml:space="preserve">BEFIT </w:t>
      </w:r>
      <w:r w:rsidR="00B45CE2" w:rsidRPr="00363097">
        <w:rPr>
          <w:rFonts w:eastAsia="Times New Roman"/>
          <w:noProof/>
          <w:lang w:eastAsia="en-GB"/>
        </w:rPr>
        <w:t>includes</w:t>
      </w:r>
      <w:r w:rsidRPr="00363097">
        <w:rPr>
          <w:rFonts w:eastAsia="Times New Roman"/>
          <w:noProof/>
          <w:lang w:eastAsia="en-GB"/>
        </w:rPr>
        <w:t xml:space="preserve"> fewer tax adjustments than Pillar 2 which has a different purpose, namely to calculate the appropriate qualifying income for the level of tax due. </w:t>
      </w:r>
    </w:p>
    <w:p w14:paraId="2F1362BA" w14:textId="1ABAA7C6" w:rsidR="00081B7A" w:rsidRPr="00363097" w:rsidRDefault="00081B7A" w:rsidP="00081B7A">
      <w:pPr>
        <w:rPr>
          <w:rFonts w:eastAsia="Times New Roman"/>
          <w:noProof/>
          <w:lang w:eastAsia="en-GB"/>
        </w:rPr>
      </w:pPr>
      <w:r w:rsidRPr="00363097">
        <w:rPr>
          <w:rFonts w:eastAsia="Times New Roman"/>
          <w:noProof/>
          <w:lang w:eastAsia="en-GB"/>
        </w:rPr>
        <w:t xml:space="preserve">The BEFIT adjustments are </w:t>
      </w:r>
      <w:r w:rsidR="00B45CE2" w:rsidRPr="00363097">
        <w:rPr>
          <w:rFonts w:eastAsia="Times New Roman"/>
          <w:noProof/>
          <w:lang w:eastAsia="en-GB"/>
        </w:rPr>
        <w:t xml:space="preserve">listed </w:t>
      </w:r>
      <w:r w:rsidRPr="00363097">
        <w:rPr>
          <w:rFonts w:eastAsia="Times New Roman"/>
          <w:noProof/>
          <w:lang w:eastAsia="en-GB"/>
        </w:rPr>
        <w:t xml:space="preserve">under Section 2. </w:t>
      </w:r>
      <w:r w:rsidR="00B45CE2" w:rsidRPr="00363097">
        <w:rPr>
          <w:rFonts w:eastAsia="Times New Roman"/>
          <w:b/>
          <w:noProof/>
          <w:lang w:eastAsia="en-GB"/>
        </w:rPr>
        <w:t>T</w:t>
      </w:r>
      <w:r w:rsidRPr="00363097">
        <w:rPr>
          <w:rFonts w:eastAsia="Times New Roman"/>
          <w:b/>
          <w:noProof/>
          <w:lang w:eastAsia="en-GB"/>
        </w:rPr>
        <w:t>he following items are included</w:t>
      </w:r>
      <w:r w:rsidRPr="00363097">
        <w:rPr>
          <w:rFonts w:eastAsia="Times New Roman"/>
          <w:noProof/>
          <w:lang w:eastAsia="en-GB"/>
        </w:rPr>
        <w:t xml:space="preserve">, i.e. added back in case they </w:t>
      </w:r>
      <w:r w:rsidR="000F5FB6">
        <w:rPr>
          <w:rFonts w:eastAsia="Times New Roman"/>
          <w:noProof/>
          <w:lang w:eastAsia="en-GB"/>
        </w:rPr>
        <w:t>were</w:t>
      </w:r>
      <w:r w:rsidRPr="00363097">
        <w:rPr>
          <w:rFonts w:eastAsia="Times New Roman"/>
          <w:noProof/>
          <w:lang w:eastAsia="en-GB"/>
        </w:rPr>
        <w:t xml:space="preserve"> deducted</w:t>
      </w:r>
      <w:r w:rsidR="000F5FB6">
        <w:rPr>
          <w:rFonts w:eastAsia="Times New Roman"/>
          <w:noProof/>
          <w:lang w:eastAsia="en-GB"/>
        </w:rPr>
        <w:t xml:space="preserve"> or not already </w:t>
      </w:r>
      <w:r w:rsidRPr="00363097">
        <w:rPr>
          <w:rFonts w:eastAsia="Times New Roman"/>
          <w:noProof/>
          <w:lang w:eastAsia="en-GB"/>
        </w:rPr>
        <w:t>recorded in the financial accounting statements: financial assets held for trading (Article 11),</w:t>
      </w:r>
      <w:r w:rsidR="000F5FB6">
        <w:rPr>
          <w:rFonts w:eastAsia="Times New Roman"/>
          <w:noProof/>
          <w:lang w:eastAsia="en-GB"/>
        </w:rPr>
        <w:t xml:space="preserve"> </w:t>
      </w:r>
      <w:r w:rsidR="00723814" w:rsidRPr="00363097">
        <w:rPr>
          <w:rFonts w:eastAsia="Times New Roman"/>
          <w:noProof/>
          <w:lang w:eastAsia="en-GB"/>
        </w:rPr>
        <w:t xml:space="preserve">borrowing costs that are paid to parties outside the BEFIT group in excess of the interest limitation rule of the ATAD (Article 13), </w:t>
      </w:r>
      <w:r w:rsidRPr="00363097">
        <w:rPr>
          <w:rFonts w:eastAsia="Times New Roman"/>
          <w:noProof/>
          <w:lang w:eastAsia="en-GB"/>
        </w:rPr>
        <w:t>fair value adjustments and capital gains received by life insurance undertakings in the context of unit-linked/index-linked contracts (Article 14), fines, penalties and illegal payments such as bribes (Article 16), and corporate taxes that were already paid or top-up taxes in application of Pillar 2 (Article 17).</w:t>
      </w:r>
    </w:p>
    <w:p w14:paraId="15BF3FEE" w14:textId="7EF16AD7" w:rsidR="00081B7A" w:rsidRPr="00363097" w:rsidRDefault="00081B7A" w:rsidP="00081B7A">
      <w:pPr>
        <w:rPr>
          <w:rFonts w:eastAsia="Times New Roman"/>
          <w:noProof/>
          <w:lang w:eastAsia="en-GB"/>
        </w:rPr>
      </w:pPr>
      <w:r w:rsidRPr="00363097">
        <w:rPr>
          <w:rFonts w:eastAsia="Times New Roman"/>
          <w:b/>
          <w:bCs/>
          <w:noProof/>
          <w:lang w:eastAsia="en-GB"/>
        </w:rPr>
        <w:t>The following items are excluded</w:t>
      </w:r>
      <w:r w:rsidRPr="00363097">
        <w:rPr>
          <w:rFonts w:eastAsia="Times New Roman"/>
          <w:noProof/>
          <w:lang w:eastAsia="en-GB"/>
        </w:rPr>
        <w:t>, i.e</w:t>
      </w:r>
      <w:r w:rsidRPr="00363097">
        <w:rPr>
          <w:noProof/>
        </w:rPr>
        <w:t>. subtracted from the financial net income or loss</w:t>
      </w:r>
      <w:r w:rsidRPr="00363097">
        <w:rPr>
          <w:rFonts w:eastAsia="Times New Roman"/>
          <w:noProof/>
          <w:lang w:eastAsia="en-GB"/>
        </w:rPr>
        <w:t xml:space="preserve"> if they were in the financial accounts: dividends and capital gains or losses on shares or ownership interests, in the case of significant ownership and unless they are held for trading or by a life insurance undertaking (Articles 8-11 and Article 14), the profit or losses from permanent establishments (Article 12), shipping income subject to </w:t>
      </w:r>
      <w:r w:rsidRPr="00363097">
        <w:rPr>
          <w:noProof/>
        </w:rPr>
        <w:t xml:space="preserve">a </w:t>
      </w:r>
      <w:r w:rsidR="004A6FE5" w:rsidRPr="00363097">
        <w:rPr>
          <w:noProof/>
          <w:lang w:val="en-IE"/>
        </w:rPr>
        <w:t xml:space="preserve">national tonnage tax regime </w:t>
      </w:r>
      <w:r w:rsidRPr="00363097">
        <w:rPr>
          <w:rFonts w:eastAsia="Times New Roman"/>
          <w:noProof/>
          <w:lang w:eastAsia="en-GB"/>
        </w:rPr>
        <w:t>(Article 15), rollover relief for gains on assets that are replaced (Article 18), acquisition, construction and improvement costs of depreciable assets, because these costs will already be part of the depreciation base, as well as subsidies directly linked to this, because subsidies should neither be in the depreciation nor tax base (Article 19), unrealised gains or losses from currency exchange fluctuations on fixed assets (Article 20). The rule in Article 21 also</w:t>
      </w:r>
      <w:r w:rsidR="0052797E" w:rsidRPr="00363097">
        <w:rPr>
          <w:rFonts w:eastAsia="Times New Roman"/>
          <w:noProof/>
          <w:lang w:eastAsia="en-GB"/>
        </w:rPr>
        <w:t xml:space="preserve"> excludes</w:t>
      </w:r>
      <w:r w:rsidR="00FC7EEE" w:rsidRPr="00363097">
        <w:rPr>
          <w:rFonts w:eastAsia="Times New Roman"/>
          <w:noProof/>
          <w:lang w:eastAsia="en-GB"/>
        </w:rPr>
        <w:t xml:space="preserve"> any amount relatin</w:t>
      </w:r>
      <w:r w:rsidR="00E82815" w:rsidRPr="00363097">
        <w:rPr>
          <w:rFonts w:eastAsia="Times New Roman"/>
          <w:noProof/>
          <w:lang w:eastAsia="en-GB"/>
        </w:rPr>
        <w:t xml:space="preserve">g to the </w:t>
      </w:r>
      <w:r w:rsidRPr="00363097">
        <w:rPr>
          <w:rFonts w:eastAsia="Times New Roman"/>
          <w:noProof/>
          <w:lang w:eastAsia="en-GB"/>
        </w:rPr>
        <w:t xml:space="preserve">post-allocation adjustments </w:t>
      </w:r>
      <w:r w:rsidR="00215F3B" w:rsidRPr="00363097">
        <w:rPr>
          <w:rFonts w:eastAsia="Times New Roman"/>
          <w:noProof/>
          <w:lang w:eastAsia="en-GB"/>
        </w:rPr>
        <w:t xml:space="preserve">listed in </w:t>
      </w:r>
      <w:r w:rsidRPr="00363097">
        <w:rPr>
          <w:rFonts w:eastAsia="Times New Roman"/>
          <w:noProof/>
          <w:lang w:eastAsia="en-GB"/>
        </w:rPr>
        <w:t>Article 48 (explained below)</w:t>
      </w:r>
      <w:r w:rsidR="00215F3B" w:rsidRPr="00363097">
        <w:rPr>
          <w:rFonts w:eastAsia="Times New Roman"/>
          <w:noProof/>
          <w:lang w:eastAsia="en-GB"/>
        </w:rPr>
        <w:t xml:space="preserve">. </w:t>
      </w:r>
      <w:r w:rsidR="00BC687D" w:rsidRPr="00363097">
        <w:rPr>
          <w:rFonts w:eastAsia="Times New Roman"/>
          <w:noProof/>
          <w:lang w:eastAsia="en-GB"/>
        </w:rPr>
        <w:t>Consequently, these items are not</w:t>
      </w:r>
      <w:r w:rsidRPr="00363097">
        <w:rPr>
          <w:rFonts w:eastAsia="Times New Roman"/>
          <w:noProof/>
          <w:lang w:eastAsia="en-GB"/>
        </w:rPr>
        <w:t xml:space="preserve"> part of the preliminary tax result</w:t>
      </w:r>
      <w:r w:rsidR="00DF03AD">
        <w:rPr>
          <w:rFonts w:eastAsia="Times New Roman"/>
          <w:noProof/>
          <w:lang w:eastAsia="en-GB"/>
        </w:rPr>
        <w:t>,</w:t>
      </w:r>
      <w:r w:rsidR="006D5BA4" w:rsidRPr="00363097">
        <w:rPr>
          <w:rFonts w:eastAsia="Times New Roman"/>
          <w:noProof/>
          <w:lang w:eastAsia="en-GB"/>
        </w:rPr>
        <w:t xml:space="preserve"> which prevents</w:t>
      </w:r>
      <w:r w:rsidRPr="00363097">
        <w:rPr>
          <w:rFonts w:eastAsia="Times New Roman"/>
          <w:noProof/>
          <w:lang w:eastAsia="en-GB"/>
        </w:rPr>
        <w:t xml:space="preserve"> a risk that they are accounted for twice.</w:t>
      </w:r>
    </w:p>
    <w:p w14:paraId="65045670" w14:textId="7F5A1B10" w:rsidR="00081B7A" w:rsidRPr="00363097" w:rsidRDefault="00081B7A" w:rsidP="00081B7A">
      <w:pPr>
        <w:rPr>
          <w:rFonts w:eastAsia="Times New Roman"/>
          <w:noProof/>
          <w:lang w:eastAsia="en-GB"/>
        </w:rPr>
      </w:pPr>
      <w:r w:rsidRPr="00363097">
        <w:rPr>
          <w:rFonts w:eastAsia="Times New Roman"/>
          <w:noProof/>
          <w:lang w:eastAsia="en-GB"/>
        </w:rPr>
        <w:t xml:space="preserve">In addition, </w:t>
      </w:r>
      <w:r w:rsidR="00A2180A" w:rsidRPr="00363097">
        <w:rPr>
          <w:rFonts w:eastAsia="Times New Roman"/>
          <w:noProof/>
          <w:lang w:eastAsia="en-GB"/>
        </w:rPr>
        <w:t>S</w:t>
      </w:r>
      <w:r w:rsidRPr="00363097">
        <w:rPr>
          <w:rFonts w:eastAsia="Times New Roman"/>
          <w:noProof/>
          <w:lang w:eastAsia="en-GB"/>
        </w:rPr>
        <w:t xml:space="preserve">ection </w:t>
      </w:r>
      <w:r w:rsidR="00A2180A" w:rsidRPr="00363097">
        <w:rPr>
          <w:rFonts w:eastAsia="Times New Roman"/>
          <w:noProof/>
          <w:lang w:eastAsia="en-GB"/>
        </w:rPr>
        <w:t>3</w:t>
      </w:r>
      <w:r w:rsidRPr="00363097">
        <w:rPr>
          <w:rFonts w:eastAsia="Times New Roman"/>
          <w:noProof/>
          <w:lang w:eastAsia="en-GB"/>
        </w:rPr>
        <w:t xml:space="preserve"> consists of a common set of </w:t>
      </w:r>
      <w:r w:rsidRPr="00363097">
        <w:rPr>
          <w:rFonts w:eastAsia="Times New Roman"/>
          <w:b/>
          <w:noProof/>
          <w:lang w:eastAsia="en-GB"/>
        </w:rPr>
        <w:t>tax depreciation</w:t>
      </w:r>
      <w:r w:rsidRPr="00363097">
        <w:rPr>
          <w:rFonts w:eastAsia="Times New Roman"/>
          <w:noProof/>
          <w:lang w:eastAsia="en-GB"/>
        </w:rPr>
        <w:t xml:space="preserve"> rules. This is an important adjustment for tax purposes, but the proposal remains closer to financial accounting than national tax depreciation rules. Fixed tangible assets valued below EUR 5 000 will be immediately expensed. Other assets are always depreciated on a straight-line basis, i.e. distributed equally over the duration of the asset. In principle, the duration will correspond to the useful life in the financial accounts. For immovable property,</w:t>
      </w:r>
      <w:r w:rsidR="0066297D">
        <w:rPr>
          <w:rFonts w:eastAsia="Times New Roman"/>
          <w:noProof/>
          <w:lang w:eastAsia="en-GB"/>
        </w:rPr>
        <w:t xml:space="preserve"> including industrial buildings,</w:t>
      </w:r>
      <w:r w:rsidRPr="00363097">
        <w:rPr>
          <w:rFonts w:eastAsia="Times New Roman"/>
          <w:noProof/>
          <w:lang w:eastAsia="en-GB"/>
        </w:rPr>
        <w:t xml:space="preserve"> the duration is</w:t>
      </w:r>
      <w:r w:rsidR="0066297D">
        <w:rPr>
          <w:rFonts w:eastAsia="Times New Roman"/>
          <w:noProof/>
          <w:lang w:eastAsia="en-GB"/>
        </w:rPr>
        <w:t>,</w:t>
      </w:r>
      <w:r w:rsidRPr="00363097">
        <w:rPr>
          <w:rFonts w:eastAsia="Times New Roman"/>
          <w:noProof/>
          <w:lang w:eastAsia="en-GB"/>
        </w:rPr>
        <w:t xml:space="preserve"> </w:t>
      </w:r>
      <w:r w:rsidR="0066297D" w:rsidRPr="00363097">
        <w:rPr>
          <w:rFonts w:eastAsia="Times New Roman"/>
          <w:noProof/>
          <w:lang w:eastAsia="en-GB"/>
        </w:rPr>
        <w:t xml:space="preserve">however, </w:t>
      </w:r>
      <w:r w:rsidRPr="00363097">
        <w:rPr>
          <w:rFonts w:eastAsia="Times New Roman"/>
          <w:noProof/>
          <w:lang w:eastAsia="en-GB"/>
        </w:rPr>
        <w:t xml:space="preserve">set at </w:t>
      </w:r>
      <w:r w:rsidR="003C7EF3">
        <w:rPr>
          <w:rFonts w:eastAsia="Times New Roman"/>
          <w:noProof/>
          <w:lang w:eastAsia="en-GB"/>
        </w:rPr>
        <w:t>28</w:t>
      </w:r>
      <w:r w:rsidR="003C7EF3" w:rsidRPr="00363097">
        <w:rPr>
          <w:rFonts w:eastAsia="Times New Roman"/>
          <w:noProof/>
          <w:lang w:eastAsia="en-GB"/>
        </w:rPr>
        <w:t xml:space="preserve"> </w:t>
      </w:r>
      <w:r w:rsidRPr="00363097">
        <w:rPr>
          <w:rFonts w:eastAsia="Times New Roman"/>
          <w:noProof/>
          <w:lang w:eastAsia="en-GB"/>
        </w:rPr>
        <w:t xml:space="preserve">years as a general rule. For fixed intangible assets, this will correspond to the period of legal protection, e.g. intellectual property rights, or if that is not the case, </w:t>
      </w:r>
      <w:r w:rsidR="0066297D">
        <w:rPr>
          <w:rFonts w:eastAsia="Times New Roman"/>
          <w:noProof/>
          <w:lang w:eastAsia="en-GB"/>
        </w:rPr>
        <w:t>5</w:t>
      </w:r>
      <w:r w:rsidR="0066297D" w:rsidRPr="00363097">
        <w:rPr>
          <w:rFonts w:eastAsia="Times New Roman"/>
          <w:noProof/>
          <w:lang w:eastAsia="en-GB"/>
        </w:rPr>
        <w:t xml:space="preserve"> </w:t>
      </w:r>
      <w:r w:rsidRPr="00363097">
        <w:rPr>
          <w:rFonts w:eastAsia="Times New Roman"/>
          <w:noProof/>
          <w:lang w:eastAsia="en-GB"/>
        </w:rPr>
        <w:t xml:space="preserve">years. Goodwill is also depreciated if it is acquired, and accordingly, present in the financial accounts. </w:t>
      </w:r>
    </w:p>
    <w:p w14:paraId="727503BD" w14:textId="0E9CA3E8" w:rsidR="00081B7A" w:rsidRPr="00363097" w:rsidRDefault="00081B7A" w:rsidP="00081B7A">
      <w:pPr>
        <w:rPr>
          <w:rFonts w:eastAsia="Times New Roman"/>
          <w:noProof/>
          <w:lang w:eastAsia="en-GB"/>
        </w:rPr>
      </w:pPr>
      <w:r w:rsidRPr="00363097">
        <w:rPr>
          <w:rFonts w:eastAsia="Times New Roman"/>
          <w:noProof/>
          <w:lang w:eastAsia="en-GB"/>
        </w:rPr>
        <w:t xml:space="preserve">Under Section </w:t>
      </w:r>
      <w:r w:rsidR="00DF03AD">
        <w:rPr>
          <w:rFonts w:eastAsia="Times New Roman"/>
          <w:noProof/>
          <w:lang w:eastAsia="en-GB"/>
        </w:rPr>
        <w:t>4</w:t>
      </w:r>
      <w:r w:rsidRPr="00363097">
        <w:rPr>
          <w:rFonts w:eastAsia="Times New Roman"/>
          <w:noProof/>
          <w:lang w:eastAsia="en-GB"/>
        </w:rPr>
        <w:t xml:space="preserve">, the proposal addresses </w:t>
      </w:r>
      <w:r w:rsidRPr="00363097">
        <w:rPr>
          <w:rFonts w:eastAsia="Times New Roman"/>
          <w:b/>
          <w:noProof/>
          <w:lang w:eastAsia="en-GB"/>
        </w:rPr>
        <w:t>timing and quantification issues</w:t>
      </w:r>
      <w:r w:rsidRPr="00363097">
        <w:rPr>
          <w:rFonts w:eastAsia="Times New Roman"/>
          <w:noProof/>
          <w:lang w:eastAsia="en-GB"/>
        </w:rPr>
        <w:t xml:space="preserve"> which are needed for tax purposes in order to avoid abuses. Differences between the cost of stocks and work-in-progress should for instance be measured consistently using the first-in-first-out method</w:t>
      </w:r>
      <w:r w:rsidR="00E55EFD">
        <w:rPr>
          <w:rFonts w:eastAsia="Times New Roman"/>
          <w:noProof/>
          <w:lang w:eastAsia="en-GB"/>
        </w:rPr>
        <w:t xml:space="preserve"> or the </w:t>
      </w:r>
      <w:r w:rsidR="00A75C80">
        <w:rPr>
          <w:rFonts w:eastAsia="Times New Roman"/>
          <w:noProof/>
          <w:lang w:eastAsia="en-GB"/>
        </w:rPr>
        <w:t>weighted average cost method</w:t>
      </w:r>
      <w:r w:rsidRPr="00363097">
        <w:rPr>
          <w:rFonts w:eastAsia="Times New Roman"/>
          <w:noProof/>
          <w:lang w:eastAsia="en-GB"/>
        </w:rPr>
        <w:t xml:space="preserve"> (Article 29). Provisions are excluded if they are not legally required or cannot be reliably estimated (Article 30). Bad debts can only be deducted if all reasonable steps to obtain payment from the debtor have been exhausted or </w:t>
      </w:r>
      <w:r w:rsidR="00E55EFD">
        <w:rPr>
          <w:rFonts w:eastAsia="Times New Roman"/>
          <w:noProof/>
          <w:lang w:eastAsia="en-GB"/>
        </w:rPr>
        <w:t xml:space="preserve">if </w:t>
      </w:r>
      <w:r w:rsidRPr="00363097">
        <w:rPr>
          <w:rFonts w:eastAsia="Times New Roman"/>
          <w:noProof/>
          <w:lang w:eastAsia="en-GB"/>
        </w:rPr>
        <w:t xml:space="preserve">the amount that will be lost can be reliably estimated, </w:t>
      </w:r>
      <w:r w:rsidR="00821CA5">
        <w:rPr>
          <w:rFonts w:eastAsia="Times New Roman"/>
          <w:noProof/>
          <w:lang w:eastAsia="en-GB"/>
        </w:rPr>
        <w:t>never</w:t>
      </w:r>
      <w:r w:rsidR="00821CA5" w:rsidRPr="00363097">
        <w:rPr>
          <w:rFonts w:eastAsia="Times New Roman"/>
          <w:noProof/>
          <w:lang w:eastAsia="en-GB"/>
        </w:rPr>
        <w:t xml:space="preserve"> </w:t>
      </w:r>
      <w:r w:rsidR="00E55EFD">
        <w:rPr>
          <w:rFonts w:eastAsia="Times New Roman"/>
          <w:noProof/>
          <w:lang w:eastAsia="en-GB"/>
        </w:rPr>
        <w:t xml:space="preserve">if </w:t>
      </w:r>
      <w:r w:rsidRPr="00363097">
        <w:rPr>
          <w:rFonts w:eastAsia="Times New Roman"/>
          <w:noProof/>
          <w:lang w:eastAsia="en-GB"/>
        </w:rPr>
        <w:t>the debtor is a</w:t>
      </w:r>
      <w:r w:rsidR="00DB5FD6" w:rsidRPr="00363097">
        <w:rPr>
          <w:rFonts w:eastAsia="Times New Roman"/>
          <w:noProof/>
          <w:lang w:eastAsia="en-GB"/>
        </w:rPr>
        <w:t>n</w:t>
      </w:r>
      <w:r w:rsidRPr="00363097">
        <w:rPr>
          <w:rFonts w:eastAsia="Times New Roman"/>
          <w:noProof/>
          <w:lang w:eastAsia="en-GB"/>
        </w:rPr>
        <w:t xml:space="preserve"> </w:t>
      </w:r>
      <w:r w:rsidR="00DB5FD6" w:rsidRPr="00363097">
        <w:rPr>
          <w:rFonts w:eastAsia="Times New Roman"/>
          <w:noProof/>
          <w:lang w:eastAsia="en-GB"/>
        </w:rPr>
        <w:t xml:space="preserve">associated enterprise </w:t>
      </w:r>
      <w:r w:rsidRPr="00363097">
        <w:rPr>
          <w:rFonts w:eastAsia="Times New Roman"/>
          <w:noProof/>
          <w:lang w:eastAsia="en-GB"/>
        </w:rPr>
        <w:t>(Article 31). Revenues and costs from long-term contracts only count for the year when they were accrued or incurred (Article 32). The treatment hedging instruments must follow the tax treatment of the hedged item (Article 33).</w:t>
      </w:r>
    </w:p>
    <w:p w14:paraId="0E1D6FEF" w14:textId="7EB3683F" w:rsidR="00081B7A" w:rsidRPr="00363097" w:rsidRDefault="00081B7A" w:rsidP="00081B7A">
      <w:pPr>
        <w:rPr>
          <w:rFonts w:eastAsia="Times New Roman"/>
          <w:noProof/>
          <w:lang w:eastAsia="en-GB"/>
        </w:rPr>
      </w:pPr>
      <w:r w:rsidRPr="00363097">
        <w:rPr>
          <w:rFonts w:eastAsia="Times New Roman"/>
          <w:noProof/>
          <w:lang w:eastAsia="en-GB"/>
        </w:rPr>
        <w:t xml:space="preserve">Finally, under Section </w:t>
      </w:r>
      <w:r w:rsidR="00DF03AD">
        <w:rPr>
          <w:rFonts w:eastAsia="Times New Roman"/>
          <w:noProof/>
          <w:lang w:eastAsia="en-GB"/>
        </w:rPr>
        <w:t>5</w:t>
      </w:r>
      <w:r w:rsidRPr="00363097">
        <w:rPr>
          <w:rFonts w:eastAsia="Times New Roman"/>
          <w:noProof/>
          <w:lang w:eastAsia="en-GB"/>
        </w:rPr>
        <w:t xml:space="preserve">, the proposal also includes rules that are necessary for entities </w:t>
      </w:r>
      <w:r w:rsidRPr="00363097">
        <w:rPr>
          <w:rFonts w:eastAsia="Times New Roman"/>
          <w:b/>
          <w:noProof/>
          <w:lang w:eastAsia="en-GB"/>
        </w:rPr>
        <w:t xml:space="preserve">entering or </w:t>
      </w:r>
      <w:r w:rsidRPr="00363097">
        <w:rPr>
          <w:rFonts w:eastAsia="Times New Roman"/>
          <w:b/>
          <w:bCs/>
          <w:noProof/>
          <w:lang w:eastAsia="en-GB"/>
        </w:rPr>
        <w:t>leaving</w:t>
      </w:r>
      <w:r w:rsidRPr="00363097">
        <w:rPr>
          <w:rFonts w:eastAsia="Times New Roman"/>
          <w:b/>
          <w:noProof/>
          <w:lang w:eastAsia="en-GB"/>
        </w:rPr>
        <w:t xml:space="preserve"> the BEFIT group</w:t>
      </w:r>
      <w:r w:rsidRPr="00363097">
        <w:rPr>
          <w:rFonts w:eastAsia="Times New Roman"/>
          <w:noProof/>
          <w:lang w:eastAsia="en-GB"/>
        </w:rPr>
        <w:t xml:space="preserve">. For example, losses that were incurred before the new member entered the BEFIT group, should not be included at the expense of the tax base of other Member States where the BEFIT group has members. These losses should be set off against the allocated share, so after aggregation and allocation (Article 38 </w:t>
      </w:r>
      <w:r w:rsidRPr="00363097">
        <w:rPr>
          <w:rFonts w:eastAsia="Times New Roman"/>
          <w:i/>
          <w:noProof/>
          <w:lang w:eastAsia="en-GB"/>
        </w:rPr>
        <w:t xml:space="preserve">in conjunction with </w:t>
      </w:r>
      <w:r w:rsidRPr="00363097">
        <w:rPr>
          <w:rFonts w:eastAsia="Times New Roman"/>
          <w:noProof/>
          <w:lang w:eastAsia="en-GB"/>
        </w:rPr>
        <w:t>48, paragraph 1, point (</w:t>
      </w:r>
      <w:r w:rsidR="00DF03AD">
        <w:rPr>
          <w:rFonts w:eastAsia="Times New Roman"/>
          <w:noProof/>
          <w:lang w:eastAsia="en-GB"/>
        </w:rPr>
        <w:t>a</w:t>
      </w:r>
      <w:r w:rsidRPr="00363097">
        <w:rPr>
          <w:rFonts w:eastAsia="Times New Roman"/>
          <w:noProof/>
          <w:lang w:eastAsia="en-GB"/>
        </w:rPr>
        <w:t xml:space="preserve">)). The rules also deal with </w:t>
      </w:r>
      <w:r w:rsidRPr="00363097">
        <w:rPr>
          <w:rFonts w:eastAsia="Times New Roman"/>
          <w:b/>
          <w:noProof/>
          <w:lang w:eastAsia="en-GB"/>
        </w:rPr>
        <w:t>business reorganisations</w:t>
      </w:r>
      <w:r w:rsidRPr="00363097">
        <w:rPr>
          <w:rFonts w:eastAsia="Times New Roman"/>
          <w:noProof/>
          <w:lang w:eastAsia="en-GB"/>
        </w:rPr>
        <w:t xml:space="preserve">, to clarify for instance that the Merger Directive takes precedence (Article 40). There is also an anti-abuse rule to ensure that capital gains on assets are included in the preliminary tax result when the </w:t>
      </w:r>
      <w:r w:rsidRPr="00363097">
        <w:rPr>
          <w:noProof/>
        </w:rPr>
        <w:t>assets are moved within the group, without tax implications, to a group member which is then sold out of the group.</w:t>
      </w:r>
      <w:r w:rsidRPr="00363097">
        <w:rPr>
          <w:rFonts w:eastAsia="Times New Roman"/>
          <w:noProof/>
          <w:lang w:eastAsia="en-GB"/>
        </w:rPr>
        <w:t xml:space="preserve"> This would normally benefit from a tax exemption for share disposals but should not be allowed, unless it can be justified from a commercial perspective (Article 41).</w:t>
      </w:r>
    </w:p>
    <w:p w14:paraId="1A5BEA7C" w14:textId="77777777" w:rsidR="00081B7A" w:rsidRPr="00363097" w:rsidRDefault="00081B7A" w:rsidP="00081B7A">
      <w:pPr>
        <w:spacing w:before="240" w:line="276" w:lineRule="auto"/>
        <w:rPr>
          <w:rFonts w:eastAsia="Times New Roman"/>
          <w:noProof/>
          <w:lang w:eastAsia="en-GB"/>
        </w:rPr>
      </w:pPr>
      <w:r w:rsidRPr="00363097">
        <w:rPr>
          <w:rFonts w:eastAsia="Times New Roman"/>
          <w:b/>
          <w:noProof/>
          <w:lang w:eastAsia="en-GB"/>
        </w:rPr>
        <w:t>Aggregation of the preliminary tax results into a single tax base and allocation of this aggregated tax base to eligible BEFIT group members</w:t>
      </w:r>
      <w:r w:rsidRPr="00363097">
        <w:rPr>
          <w:rFonts w:eastAsia="Times New Roman"/>
          <w:noProof/>
          <w:lang w:eastAsia="en-GB"/>
        </w:rPr>
        <w:t xml:space="preserve"> </w:t>
      </w:r>
    </w:p>
    <w:p w14:paraId="533F5589"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Chapter III contains the rules for the aggregation and allocation of the tax base. First, the preliminary tax results of all members of the BEFIT group are </w:t>
      </w:r>
      <w:r w:rsidRPr="00363097">
        <w:rPr>
          <w:noProof/>
        </w:rPr>
        <w:t xml:space="preserve">aggregated into a single “pool” at </w:t>
      </w:r>
      <w:r w:rsidR="00CF2BFC" w:rsidRPr="00363097">
        <w:rPr>
          <w:noProof/>
        </w:rPr>
        <w:t xml:space="preserve">Union </w:t>
      </w:r>
      <w:r w:rsidRPr="00363097">
        <w:rPr>
          <w:noProof/>
        </w:rPr>
        <w:t xml:space="preserve">group level, which will be </w:t>
      </w:r>
      <w:r w:rsidRPr="00363097">
        <w:rPr>
          <w:b/>
          <w:noProof/>
        </w:rPr>
        <w:t>the ‘BEFIT tax base’</w:t>
      </w:r>
      <w:r w:rsidRPr="00363097">
        <w:rPr>
          <w:rFonts w:eastAsia="Times New Roman"/>
          <w:noProof/>
          <w:lang w:eastAsia="en-GB"/>
        </w:rPr>
        <w:t xml:space="preserve">. This is described in Articles 42-44 and features </w:t>
      </w:r>
      <w:r w:rsidR="00FB3D35" w:rsidRPr="00363097">
        <w:rPr>
          <w:rFonts w:eastAsia="Times New Roman"/>
          <w:noProof/>
          <w:lang w:eastAsia="en-GB"/>
        </w:rPr>
        <w:t xml:space="preserve">several </w:t>
      </w:r>
      <w:r w:rsidRPr="00363097">
        <w:rPr>
          <w:rFonts w:eastAsia="Times New Roman"/>
          <w:noProof/>
          <w:lang w:eastAsia="en-GB"/>
        </w:rPr>
        <w:t xml:space="preserve">important advantages: </w:t>
      </w:r>
    </w:p>
    <w:p w14:paraId="3FC15557" w14:textId="774834CD" w:rsidR="00081B7A" w:rsidRPr="00363097" w:rsidRDefault="00081B7A" w:rsidP="00A9571C">
      <w:pPr>
        <w:pStyle w:val="Bullet0"/>
        <w:numPr>
          <w:ilvl w:val="0"/>
          <w:numId w:val="76"/>
        </w:numPr>
        <w:rPr>
          <w:noProof/>
          <w:lang w:eastAsia="en-GB"/>
        </w:rPr>
      </w:pPr>
      <w:r w:rsidRPr="00363097">
        <w:rPr>
          <w:b/>
          <w:noProof/>
          <w:lang w:eastAsia="en-GB"/>
        </w:rPr>
        <w:t>Cross-border loss</w:t>
      </w:r>
      <w:r w:rsidR="00A75C80">
        <w:rPr>
          <w:b/>
          <w:noProof/>
          <w:lang w:eastAsia="en-GB"/>
        </w:rPr>
        <w:t xml:space="preserve"> </w:t>
      </w:r>
      <w:r w:rsidRPr="00363097">
        <w:rPr>
          <w:b/>
          <w:noProof/>
          <w:lang w:eastAsia="en-GB"/>
        </w:rPr>
        <w:t>relief</w:t>
      </w:r>
      <w:r w:rsidRPr="00363097">
        <w:rPr>
          <w:noProof/>
          <w:lang w:eastAsia="en-GB"/>
        </w:rPr>
        <w:t xml:space="preserve">: it will allow groups to set off losses across borders. Today, this is only rarely possible, which can result in over-taxation of the profits of the group and disincentivise businesses from operating across borders in the </w:t>
      </w:r>
      <w:r w:rsidR="00995C4D">
        <w:rPr>
          <w:noProof/>
          <w:lang w:eastAsia="en-GB"/>
        </w:rPr>
        <w:t>i</w:t>
      </w:r>
      <w:r w:rsidR="00995C4D" w:rsidRPr="00363097">
        <w:rPr>
          <w:noProof/>
          <w:lang w:eastAsia="en-GB"/>
        </w:rPr>
        <w:t xml:space="preserve">nternal </w:t>
      </w:r>
      <w:r w:rsidR="00CF2BFC" w:rsidRPr="00363097">
        <w:rPr>
          <w:noProof/>
          <w:lang w:eastAsia="en-GB"/>
        </w:rPr>
        <w:t>market</w:t>
      </w:r>
      <w:r w:rsidRPr="00363097">
        <w:rPr>
          <w:noProof/>
          <w:lang w:eastAsia="en-GB"/>
        </w:rPr>
        <w:t xml:space="preserve">, and; </w:t>
      </w:r>
    </w:p>
    <w:p w14:paraId="76F3CC02" w14:textId="44227A98" w:rsidR="00081B7A" w:rsidRPr="00363097" w:rsidRDefault="00B21562" w:rsidP="00455CBB">
      <w:pPr>
        <w:pStyle w:val="Bullet0"/>
        <w:rPr>
          <w:noProof/>
          <w:sz w:val="22"/>
          <w:lang w:val="en-US"/>
        </w:rPr>
      </w:pPr>
      <w:r w:rsidRPr="00363097">
        <w:rPr>
          <w:b/>
          <w:noProof/>
          <w:lang w:eastAsia="en-GB"/>
        </w:rPr>
        <w:t xml:space="preserve">Facilitation </w:t>
      </w:r>
      <w:r w:rsidR="00081B7A" w:rsidRPr="00363097">
        <w:rPr>
          <w:b/>
          <w:noProof/>
          <w:lang w:eastAsia="en-GB"/>
        </w:rPr>
        <w:t>of transfer pricing</w:t>
      </w:r>
      <w:r w:rsidR="00CB7DF8" w:rsidRPr="00363097">
        <w:rPr>
          <w:b/>
          <w:noProof/>
          <w:lang w:eastAsia="en-GB"/>
        </w:rPr>
        <w:t xml:space="preserve"> com</w:t>
      </w:r>
      <w:r w:rsidR="00EC4B50" w:rsidRPr="00363097">
        <w:rPr>
          <w:b/>
          <w:noProof/>
          <w:lang w:eastAsia="en-GB"/>
        </w:rPr>
        <w:t>pliance</w:t>
      </w:r>
      <w:r w:rsidR="00081B7A" w:rsidRPr="00363097">
        <w:rPr>
          <w:noProof/>
          <w:lang w:eastAsia="en-GB"/>
        </w:rPr>
        <w:t xml:space="preserve">: </w:t>
      </w:r>
      <w:r w:rsidR="00030721" w:rsidRPr="00363097">
        <w:rPr>
          <w:noProof/>
          <w:lang w:val="en-US"/>
        </w:rPr>
        <w:t>during the</w:t>
      </w:r>
      <w:r w:rsidR="00FC4319" w:rsidRPr="00363097">
        <w:rPr>
          <w:noProof/>
          <w:lang w:val="en-US"/>
        </w:rPr>
        <w:t xml:space="preserve"> transition perio</w:t>
      </w:r>
      <w:r w:rsidR="006050F8" w:rsidRPr="00363097">
        <w:rPr>
          <w:noProof/>
          <w:lang w:val="en-US"/>
        </w:rPr>
        <w:t>d</w:t>
      </w:r>
      <w:r w:rsidR="00030721" w:rsidRPr="00363097">
        <w:rPr>
          <w:noProof/>
          <w:lang w:val="en-US"/>
        </w:rPr>
        <w:t>,</w:t>
      </w:r>
      <w:r w:rsidR="006050F8" w:rsidRPr="00363097">
        <w:rPr>
          <w:noProof/>
          <w:lang w:val="en-US"/>
        </w:rPr>
        <w:t xml:space="preserve"> </w:t>
      </w:r>
      <w:r w:rsidR="00C71BAD" w:rsidRPr="00363097">
        <w:rPr>
          <w:noProof/>
          <w:lang w:val="en-US"/>
        </w:rPr>
        <w:t xml:space="preserve">the outcome of </w:t>
      </w:r>
      <w:r w:rsidR="006050F8" w:rsidRPr="00363097">
        <w:rPr>
          <w:noProof/>
          <w:lang w:val="en-US"/>
        </w:rPr>
        <w:t>i</w:t>
      </w:r>
      <w:r w:rsidR="00FB68EF" w:rsidRPr="00363097">
        <w:rPr>
          <w:noProof/>
          <w:lang w:val="en-US"/>
        </w:rPr>
        <w:t>ntra-</w:t>
      </w:r>
      <w:r w:rsidR="009A5111" w:rsidRPr="00363097">
        <w:rPr>
          <w:noProof/>
          <w:lang w:val="en-US"/>
        </w:rPr>
        <w:t xml:space="preserve">BEFIT </w:t>
      </w:r>
      <w:r w:rsidR="00FB68EF" w:rsidRPr="00363097">
        <w:rPr>
          <w:noProof/>
          <w:lang w:val="en-US"/>
        </w:rPr>
        <w:t xml:space="preserve">group transactions </w:t>
      </w:r>
      <w:r w:rsidR="00A91306" w:rsidRPr="00363097">
        <w:rPr>
          <w:noProof/>
          <w:lang w:val="en-US"/>
        </w:rPr>
        <w:t xml:space="preserve">will </w:t>
      </w:r>
      <w:r w:rsidR="00AF64B7" w:rsidRPr="00363097">
        <w:rPr>
          <w:noProof/>
          <w:lang w:val="en-US"/>
        </w:rPr>
        <w:t>be a determining factor to</w:t>
      </w:r>
      <w:r w:rsidR="00851FC2" w:rsidRPr="00363097">
        <w:rPr>
          <w:noProof/>
          <w:lang w:val="en-US"/>
        </w:rPr>
        <w:t xml:space="preserve"> </w:t>
      </w:r>
      <w:r w:rsidR="002E662A" w:rsidRPr="00363097">
        <w:rPr>
          <w:noProof/>
          <w:lang w:val="en-US"/>
        </w:rPr>
        <w:t xml:space="preserve">how </w:t>
      </w:r>
      <w:r w:rsidR="006050F8" w:rsidRPr="00363097">
        <w:rPr>
          <w:noProof/>
          <w:lang w:val="en-US"/>
        </w:rPr>
        <w:t>t</w:t>
      </w:r>
      <w:r w:rsidR="00967164" w:rsidRPr="00363097">
        <w:rPr>
          <w:noProof/>
          <w:lang w:val="en-US"/>
        </w:rPr>
        <w:t>he</w:t>
      </w:r>
      <w:r w:rsidR="009E298B" w:rsidRPr="00363097">
        <w:rPr>
          <w:noProof/>
          <w:lang w:val="en-US"/>
        </w:rPr>
        <w:t xml:space="preserve"> </w:t>
      </w:r>
      <w:r w:rsidR="00967164" w:rsidRPr="00363097">
        <w:rPr>
          <w:noProof/>
          <w:lang w:val="en-US"/>
        </w:rPr>
        <w:t>(aggregated</w:t>
      </w:r>
      <w:r w:rsidR="009E298B" w:rsidRPr="00363097">
        <w:rPr>
          <w:noProof/>
          <w:lang w:val="en-US"/>
        </w:rPr>
        <w:t>) B</w:t>
      </w:r>
      <w:r w:rsidR="00204979" w:rsidRPr="00363097">
        <w:rPr>
          <w:noProof/>
          <w:lang w:val="en-US"/>
        </w:rPr>
        <w:t>E</w:t>
      </w:r>
      <w:r w:rsidR="009E298B" w:rsidRPr="00363097">
        <w:rPr>
          <w:noProof/>
          <w:lang w:val="en-US"/>
        </w:rPr>
        <w:t xml:space="preserve">FIT tax base </w:t>
      </w:r>
      <w:r w:rsidR="00E1380D" w:rsidRPr="00363097">
        <w:rPr>
          <w:noProof/>
          <w:lang w:val="en-US"/>
        </w:rPr>
        <w:t xml:space="preserve">will </w:t>
      </w:r>
      <w:r w:rsidR="009E298B" w:rsidRPr="00363097">
        <w:rPr>
          <w:noProof/>
          <w:lang w:val="en-US"/>
        </w:rPr>
        <w:t xml:space="preserve">be allocated </w:t>
      </w:r>
      <w:r w:rsidR="00030721" w:rsidRPr="00363097">
        <w:rPr>
          <w:noProof/>
          <w:lang w:val="en-US"/>
        </w:rPr>
        <w:t xml:space="preserve">to the </w:t>
      </w:r>
      <w:r w:rsidR="00204979" w:rsidRPr="00363097">
        <w:rPr>
          <w:noProof/>
          <w:lang w:val="en-US"/>
        </w:rPr>
        <w:t xml:space="preserve">BEFIT </w:t>
      </w:r>
      <w:r w:rsidR="00030721" w:rsidRPr="00363097">
        <w:rPr>
          <w:noProof/>
          <w:lang w:val="en-US"/>
        </w:rPr>
        <w:t>group</w:t>
      </w:r>
      <w:r w:rsidR="00D54715" w:rsidRPr="00363097">
        <w:rPr>
          <w:noProof/>
          <w:lang w:val="en-US"/>
        </w:rPr>
        <w:t xml:space="preserve"> members</w:t>
      </w:r>
      <w:r w:rsidR="009A5111" w:rsidRPr="00363097">
        <w:rPr>
          <w:noProof/>
          <w:lang w:val="en-US"/>
        </w:rPr>
        <w:t xml:space="preserve">. Given this importance of the pricing of intra-BEFIT group </w:t>
      </w:r>
      <w:r w:rsidR="00347490" w:rsidRPr="00363097">
        <w:rPr>
          <w:noProof/>
          <w:lang w:val="en-US"/>
        </w:rPr>
        <w:t xml:space="preserve">transactions </w:t>
      </w:r>
      <w:r w:rsidR="009A5111" w:rsidRPr="00363097">
        <w:rPr>
          <w:noProof/>
          <w:lang w:val="en-US"/>
        </w:rPr>
        <w:t xml:space="preserve">for tax purposes, </w:t>
      </w:r>
      <w:r w:rsidR="00923B71" w:rsidRPr="00363097">
        <w:rPr>
          <w:noProof/>
          <w:lang w:val="en-US"/>
        </w:rPr>
        <w:t xml:space="preserve">the requirement for </w:t>
      </w:r>
      <w:r w:rsidR="00DB3E5E" w:rsidRPr="00363097">
        <w:rPr>
          <w:noProof/>
          <w:lang w:val="en-US"/>
        </w:rPr>
        <w:t xml:space="preserve">their </w:t>
      </w:r>
      <w:r w:rsidR="00A95DEF" w:rsidRPr="00363097">
        <w:rPr>
          <w:noProof/>
          <w:lang w:val="en-US"/>
        </w:rPr>
        <w:t xml:space="preserve">consistency with the arm’s </w:t>
      </w:r>
      <w:r w:rsidR="00923B71" w:rsidRPr="00363097">
        <w:rPr>
          <w:noProof/>
          <w:lang w:val="en-US"/>
        </w:rPr>
        <w:t xml:space="preserve">length principle will be retained but at the same time, </w:t>
      </w:r>
      <w:r w:rsidR="006D7BE6" w:rsidRPr="00363097">
        <w:rPr>
          <w:noProof/>
          <w:lang w:val="en-US"/>
        </w:rPr>
        <w:t>BEFIT group members</w:t>
      </w:r>
      <w:r w:rsidR="00923B71" w:rsidRPr="00363097">
        <w:rPr>
          <w:noProof/>
          <w:lang w:val="en-US"/>
        </w:rPr>
        <w:t xml:space="preserve"> will benefit from increased tax certainty (a comfort zone) if</w:t>
      </w:r>
      <w:r w:rsidR="00CA7C69" w:rsidRPr="00363097">
        <w:rPr>
          <w:noProof/>
          <w:lang w:val="en-US"/>
        </w:rPr>
        <w:t>,</w:t>
      </w:r>
      <w:r w:rsidR="00923B71" w:rsidRPr="00363097">
        <w:rPr>
          <w:noProof/>
          <w:lang w:val="en-US"/>
        </w:rPr>
        <w:t xml:space="preserve"> </w:t>
      </w:r>
      <w:r w:rsidR="00CA7C69" w:rsidRPr="00363097">
        <w:rPr>
          <w:noProof/>
          <w:lang w:val="en-US"/>
        </w:rPr>
        <w:t xml:space="preserve">as a result of their </w:t>
      </w:r>
      <w:r w:rsidR="006D7BE6" w:rsidRPr="00363097">
        <w:rPr>
          <w:noProof/>
          <w:lang w:val="en-US"/>
        </w:rPr>
        <w:t>intra-BEFIT group transactions</w:t>
      </w:r>
      <w:r w:rsidR="00CA7C69" w:rsidRPr="00363097">
        <w:rPr>
          <w:noProof/>
          <w:lang w:val="en-US"/>
        </w:rPr>
        <w:t>,</w:t>
      </w:r>
      <w:r w:rsidR="006D7BE6" w:rsidRPr="00363097">
        <w:rPr>
          <w:noProof/>
          <w:lang w:val="en-US"/>
        </w:rPr>
        <w:t xml:space="preserve"> </w:t>
      </w:r>
      <w:r w:rsidR="00D93AE2" w:rsidRPr="00363097">
        <w:rPr>
          <w:noProof/>
          <w:lang w:val="en-US"/>
        </w:rPr>
        <w:t>the</w:t>
      </w:r>
      <w:r w:rsidR="005D4987" w:rsidRPr="00363097">
        <w:rPr>
          <w:noProof/>
          <w:lang w:val="en-US"/>
        </w:rPr>
        <w:t xml:space="preserve">ir expenses </w:t>
      </w:r>
      <w:r w:rsidR="006D382F">
        <w:rPr>
          <w:noProof/>
          <w:lang w:val="en-US"/>
        </w:rPr>
        <w:t>or income</w:t>
      </w:r>
      <w:r w:rsidR="005D4987" w:rsidRPr="00363097">
        <w:rPr>
          <w:noProof/>
          <w:lang w:val="en-US"/>
        </w:rPr>
        <w:t xml:space="preserve"> remain within a limit of </w:t>
      </w:r>
      <w:r w:rsidR="00334C0F" w:rsidRPr="00363097">
        <w:rPr>
          <w:noProof/>
          <w:lang w:val="en-US"/>
        </w:rPr>
        <w:t>less than</w:t>
      </w:r>
      <w:r w:rsidR="00D93AE2" w:rsidRPr="00363097">
        <w:rPr>
          <w:noProof/>
          <w:lang w:val="en-US"/>
        </w:rPr>
        <w:t xml:space="preserve"> 10% increas</w:t>
      </w:r>
      <w:r w:rsidR="00334C0F" w:rsidRPr="00363097">
        <w:rPr>
          <w:noProof/>
          <w:lang w:val="en-US"/>
        </w:rPr>
        <w:t xml:space="preserve">e </w:t>
      </w:r>
      <w:r w:rsidR="00C90570">
        <w:rPr>
          <w:noProof/>
          <w:lang w:val="en-US"/>
        </w:rPr>
        <w:t>compared to the</w:t>
      </w:r>
      <w:r w:rsidR="00BD17C6">
        <w:rPr>
          <w:noProof/>
          <w:lang w:val="en-US"/>
        </w:rPr>
        <w:t xml:space="preserve"> average of the previous three fiscal years</w:t>
      </w:r>
      <w:r w:rsidR="00334C0F" w:rsidRPr="00363097">
        <w:rPr>
          <w:noProof/>
          <w:lang w:val="en-US"/>
        </w:rPr>
        <w:t>. This system allows a degree of</w:t>
      </w:r>
      <w:r w:rsidR="00212033" w:rsidRPr="00363097">
        <w:rPr>
          <w:noProof/>
          <w:lang w:val="en-US"/>
        </w:rPr>
        <w:t xml:space="preserve"> certainty and </w:t>
      </w:r>
      <w:r w:rsidR="00C55CF4" w:rsidRPr="00363097">
        <w:rPr>
          <w:noProof/>
          <w:lang w:eastAsia="en-GB"/>
        </w:rPr>
        <w:t>paves the way for a</w:t>
      </w:r>
      <w:r w:rsidR="003E65AA" w:rsidRPr="00363097">
        <w:rPr>
          <w:noProof/>
          <w:lang w:eastAsia="en-GB"/>
        </w:rPr>
        <w:t xml:space="preserve"> possible</w:t>
      </w:r>
      <w:r w:rsidR="00C55CF4" w:rsidRPr="00363097">
        <w:rPr>
          <w:noProof/>
          <w:lang w:eastAsia="en-GB"/>
        </w:rPr>
        <w:t xml:space="preserve"> elimination of</w:t>
      </w:r>
      <w:r w:rsidR="00DB0D55" w:rsidRPr="00363097">
        <w:rPr>
          <w:noProof/>
          <w:lang w:eastAsia="en-GB"/>
        </w:rPr>
        <w:t xml:space="preserve"> the need for pricing the</w:t>
      </w:r>
      <w:r w:rsidR="00334C0F" w:rsidRPr="00363097">
        <w:rPr>
          <w:noProof/>
          <w:lang w:eastAsia="en-GB"/>
        </w:rPr>
        <w:t xml:space="preserve"> intra-BEFIT group</w:t>
      </w:r>
      <w:r w:rsidR="00DB0D55" w:rsidRPr="00363097">
        <w:rPr>
          <w:noProof/>
          <w:lang w:eastAsia="en-GB"/>
        </w:rPr>
        <w:t xml:space="preserve"> transactions</w:t>
      </w:r>
      <w:r w:rsidR="003E65AA" w:rsidRPr="00363097">
        <w:rPr>
          <w:noProof/>
          <w:lang w:eastAsia="en-GB"/>
        </w:rPr>
        <w:t xml:space="preserve"> in consistency with the arm’s length principle should a </w:t>
      </w:r>
      <w:r w:rsidR="000E2616" w:rsidRPr="00363097">
        <w:rPr>
          <w:noProof/>
          <w:lang w:eastAsia="en-GB"/>
        </w:rPr>
        <w:t xml:space="preserve">factor-based </w:t>
      </w:r>
      <w:r w:rsidR="003E65AA" w:rsidRPr="00363097">
        <w:rPr>
          <w:noProof/>
          <w:lang w:eastAsia="en-GB"/>
        </w:rPr>
        <w:t xml:space="preserve">formula be agreed </w:t>
      </w:r>
      <w:r w:rsidR="000E2616" w:rsidRPr="00363097">
        <w:rPr>
          <w:noProof/>
          <w:lang w:eastAsia="en-GB"/>
        </w:rPr>
        <w:t xml:space="preserve">as a permanent way for allocating the </w:t>
      </w:r>
      <w:r w:rsidR="003E7CA9" w:rsidRPr="00363097">
        <w:rPr>
          <w:noProof/>
          <w:lang w:eastAsia="en-GB"/>
        </w:rPr>
        <w:t>BEFIT</w:t>
      </w:r>
      <w:r w:rsidR="000E2616" w:rsidRPr="00363097">
        <w:rPr>
          <w:noProof/>
          <w:lang w:eastAsia="en-GB"/>
        </w:rPr>
        <w:t xml:space="preserve"> tax base</w:t>
      </w:r>
      <w:r w:rsidR="00DB0D55" w:rsidRPr="00363097">
        <w:rPr>
          <w:noProof/>
          <w:lang w:eastAsia="en-GB"/>
        </w:rPr>
        <w:t>.</w:t>
      </w:r>
      <w:r w:rsidR="00081B7A" w:rsidRPr="00363097">
        <w:rPr>
          <w:noProof/>
          <w:lang w:eastAsia="en-GB"/>
        </w:rPr>
        <w:t xml:space="preserve"> </w:t>
      </w:r>
    </w:p>
    <w:p w14:paraId="01E66E07" w14:textId="6D966185" w:rsidR="00081B7A" w:rsidRPr="00363097" w:rsidRDefault="00081B7A" w:rsidP="00363097">
      <w:pPr>
        <w:pStyle w:val="Bullet0"/>
        <w:rPr>
          <w:noProof/>
          <w:lang w:eastAsia="en-GB"/>
        </w:rPr>
      </w:pPr>
      <w:r w:rsidRPr="00363097">
        <w:rPr>
          <w:noProof/>
          <w:lang w:eastAsia="en-GB"/>
        </w:rPr>
        <w:t xml:space="preserve">There will also be no </w:t>
      </w:r>
      <w:r w:rsidRPr="00363097">
        <w:rPr>
          <w:b/>
          <w:noProof/>
          <w:lang w:eastAsia="en-GB"/>
        </w:rPr>
        <w:t>withholding taxes</w:t>
      </w:r>
      <w:r w:rsidRPr="00363097">
        <w:rPr>
          <w:noProof/>
          <w:lang w:eastAsia="en-GB"/>
        </w:rPr>
        <w:t xml:space="preserve"> on transactions such as interest and royalty payments within the BEFIT group, as long as the beneficial owner of the payment is a BEFIT group member. </w:t>
      </w:r>
      <w:r w:rsidR="00C910D3" w:rsidRPr="00363097">
        <w:rPr>
          <w:noProof/>
          <w:lang w:eastAsia="en-GB"/>
        </w:rPr>
        <w:t>Within the BEFIT group</w:t>
      </w:r>
      <w:r w:rsidR="00946F9A" w:rsidRPr="00363097">
        <w:rPr>
          <w:noProof/>
          <w:lang w:eastAsia="en-GB"/>
        </w:rPr>
        <w:t xml:space="preserve">, </w:t>
      </w:r>
      <w:r w:rsidR="007B3E0A" w:rsidRPr="00363097">
        <w:rPr>
          <w:noProof/>
          <w:lang w:eastAsia="en-GB"/>
        </w:rPr>
        <w:t>t</w:t>
      </w:r>
      <w:r w:rsidR="00946F9A" w:rsidRPr="00363097">
        <w:rPr>
          <w:noProof/>
          <w:lang w:eastAsia="en-GB"/>
        </w:rPr>
        <w:t xml:space="preserve">here is </w:t>
      </w:r>
      <w:r w:rsidR="00D0378D" w:rsidRPr="00363097">
        <w:rPr>
          <w:noProof/>
          <w:lang w:eastAsia="en-GB"/>
        </w:rPr>
        <w:t xml:space="preserve">in principle </w:t>
      </w:r>
      <w:r w:rsidR="00946F9A" w:rsidRPr="00363097">
        <w:rPr>
          <w:noProof/>
          <w:lang w:eastAsia="en-GB"/>
        </w:rPr>
        <w:t xml:space="preserve">no need to tax these </w:t>
      </w:r>
      <w:r w:rsidR="007B3E0A" w:rsidRPr="00363097">
        <w:rPr>
          <w:noProof/>
          <w:lang w:eastAsia="en-GB"/>
        </w:rPr>
        <w:t xml:space="preserve">transactions individually </w:t>
      </w:r>
      <w:r w:rsidR="00F40C24" w:rsidRPr="00363097">
        <w:rPr>
          <w:noProof/>
          <w:lang w:eastAsia="en-GB"/>
        </w:rPr>
        <w:t>as they will</w:t>
      </w:r>
      <w:r w:rsidR="0070595B" w:rsidRPr="00363097">
        <w:rPr>
          <w:noProof/>
          <w:lang w:eastAsia="en-GB"/>
        </w:rPr>
        <w:t xml:space="preserve"> be </w:t>
      </w:r>
      <w:r w:rsidR="007056DF" w:rsidRPr="00363097">
        <w:rPr>
          <w:noProof/>
          <w:lang w:eastAsia="en-GB"/>
        </w:rPr>
        <w:t>included</w:t>
      </w:r>
      <w:r w:rsidR="0070595B" w:rsidRPr="00363097">
        <w:rPr>
          <w:noProof/>
          <w:lang w:eastAsia="en-GB"/>
        </w:rPr>
        <w:t xml:space="preserve"> in the </w:t>
      </w:r>
      <w:r w:rsidR="007056DF" w:rsidRPr="00363097">
        <w:rPr>
          <w:noProof/>
          <w:lang w:eastAsia="en-GB"/>
        </w:rPr>
        <w:t>aggregated BEFIT tax base</w:t>
      </w:r>
      <w:r w:rsidR="0070595B" w:rsidRPr="00363097">
        <w:rPr>
          <w:noProof/>
          <w:lang w:eastAsia="en-GB"/>
        </w:rPr>
        <w:t xml:space="preserve"> </w:t>
      </w:r>
      <w:r w:rsidR="001E5FEC" w:rsidRPr="00363097">
        <w:rPr>
          <w:noProof/>
          <w:lang w:eastAsia="en-GB"/>
        </w:rPr>
        <w:t xml:space="preserve">but it is also critical to ensure that </w:t>
      </w:r>
      <w:r w:rsidR="00295B02" w:rsidRPr="00363097">
        <w:rPr>
          <w:noProof/>
          <w:lang w:eastAsia="en-GB"/>
        </w:rPr>
        <w:t xml:space="preserve">such payments </w:t>
      </w:r>
      <w:r w:rsidR="00B30CD5" w:rsidRPr="00363097">
        <w:rPr>
          <w:noProof/>
          <w:lang w:eastAsia="en-GB"/>
        </w:rPr>
        <w:t>are</w:t>
      </w:r>
      <w:r w:rsidR="00295B02" w:rsidRPr="00363097">
        <w:rPr>
          <w:noProof/>
          <w:lang w:eastAsia="en-GB"/>
        </w:rPr>
        <w:t xml:space="preserve"> not used </w:t>
      </w:r>
      <w:r w:rsidR="00D77E21" w:rsidRPr="00363097">
        <w:rPr>
          <w:noProof/>
          <w:lang w:eastAsia="en-GB"/>
        </w:rPr>
        <w:t xml:space="preserve">to shift profits out of the group </w:t>
      </w:r>
      <w:r w:rsidR="000649DB" w:rsidRPr="00363097">
        <w:rPr>
          <w:noProof/>
          <w:lang w:eastAsia="en-GB"/>
        </w:rPr>
        <w:t xml:space="preserve">at low tax. This is why </w:t>
      </w:r>
      <w:r w:rsidR="00C55FBB" w:rsidRPr="00363097">
        <w:rPr>
          <w:noProof/>
          <w:lang w:eastAsia="en-GB"/>
        </w:rPr>
        <w:t xml:space="preserve">national </w:t>
      </w:r>
      <w:r w:rsidR="00DE034A" w:rsidRPr="00363097">
        <w:rPr>
          <w:noProof/>
          <w:lang w:eastAsia="en-GB"/>
        </w:rPr>
        <w:t>competent authorities will retain the right to review whether their recipient is a beneficial owner</w:t>
      </w:r>
      <w:r w:rsidR="00C910D3" w:rsidRPr="00363097">
        <w:rPr>
          <w:noProof/>
          <w:lang w:eastAsia="en-GB"/>
        </w:rPr>
        <w:t>.</w:t>
      </w:r>
    </w:p>
    <w:p w14:paraId="0017BB6B" w14:textId="11FBD933" w:rsidR="00081B7A" w:rsidRPr="00363097" w:rsidRDefault="00081B7A" w:rsidP="00081B7A">
      <w:pPr>
        <w:rPr>
          <w:rFonts w:eastAsia="Times New Roman"/>
          <w:noProof/>
          <w:lang w:eastAsia="en-GB"/>
        </w:rPr>
      </w:pPr>
      <w:r w:rsidRPr="00363097">
        <w:rPr>
          <w:rFonts w:eastAsia="Times New Roman"/>
          <w:noProof/>
          <w:lang w:eastAsia="en-GB"/>
        </w:rPr>
        <w:t xml:space="preserve">There are however </w:t>
      </w:r>
      <w:r w:rsidRPr="00363097">
        <w:rPr>
          <w:rFonts w:eastAsia="Times New Roman"/>
          <w:b/>
          <w:noProof/>
          <w:lang w:eastAsia="en-GB"/>
        </w:rPr>
        <w:t>two exceptions</w:t>
      </w:r>
      <w:r w:rsidRPr="00363097">
        <w:rPr>
          <w:rFonts w:eastAsia="Times New Roman"/>
          <w:noProof/>
          <w:lang w:eastAsia="en-GB"/>
        </w:rPr>
        <w:t xml:space="preserve"> to the aggregation. Income and losses from extractive </w:t>
      </w:r>
      <w:r w:rsidR="000B3842">
        <w:rPr>
          <w:rFonts w:eastAsia="Times New Roman"/>
          <w:noProof/>
          <w:lang w:eastAsia="en-GB"/>
        </w:rPr>
        <w:t>activities</w:t>
      </w:r>
      <w:r w:rsidR="000B3842" w:rsidRPr="00363097">
        <w:rPr>
          <w:rFonts w:eastAsia="Times New Roman"/>
          <w:noProof/>
          <w:lang w:eastAsia="en-GB"/>
        </w:rPr>
        <w:t xml:space="preserve"> </w:t>
      </w:r>
      <w:r w:rsidRPr="00363097">
        <w:rPr>
          <w:rFonts w:eastAsia="Times New Roman"/>
          <w:noProof/>
          <w:lang w:eastAsia="en-GB"/>
        </w:rPr>
        <w:t xml:space="preserve"> are separated from the BEFIT tax base, because they are always allocated to their jurisdiction of origin. The rationale, in line with the </w:t>
      </w:r>
      <w:r w:rsidR="00E50628" w:rsidRPr="00363097">
        <w:rPr>
          <w:rFonts w:eastAsia="Times New Roman"/>
          <w:noProof/>
          <w:lang w:eastAsia="en-GB"/>
        </w:rPr>
        <w:t xml:space="preserve">OECD/G20 Inclusive Framework </w:t>
      </w:r>
      <w:r w:rsidRPr="00363097">
        <w:rPr>
          <w:rFonts w:eastAsia="Times New Roman"/>
          <w:noProof/>
          <w:lang w:eastAsia="en-GB"/>
        </w:rPr>
        <w:t>Two</w:t>
      </w:r>
      <w:r w:rsidR="00E50628" w:rsidRPr="00363097">
        <w:rPr>
          <w:rFonts w:eastAsia="Times New Roman"/>
          <w:noProof/>
          <w:lang w:eastAsia="en-GB"/>
        </w:rPr>
        <w:t>-</w:t>
      </w:r>
      <w:r w:rsidRPr="00363097">
        <w:rPr>
          <w:rFonts w:eastAsia="Times New Roman"/>
          <w:noProof/>
          <w:lang w:eastAsia="en-GB"/>
        </w:rPr>
        <w:t>Pillar Approach, is that the taxation of these activities should be based on the origin, i.e. the place of extraction (Article 46). Revenues and expenses from shipping</w:t>
      </w:r>
      <w:r w:rsidR="003349CB" w:rsidRPr="00363097">
        <w:rPr>
          <w:rFonts w:eastAsia="Times New Roman"/>
          <w:noProof/>
          <w:lang w:eastAsia="en-GB"/>
        </w:rPr>
        <w:t xml:space="preserve"> </w:t>
      </w:r>
      <w:r w:rsidR="001A3757" w:rsidRPr="00363097">
        <w:rPr>
          <w:rFonts w:eastAsia="Times New Roman"/>
          <w:noProof/>
          <w:lang w:eastAsia="en-GB"/>
        </w:rPr>
        <w:t>which is</w:t>
      </w:r>
      <w:r w:rsidR="003349CB" w:rsidRPr="00363097">
        <w:rPr>
          <w:rFonts w:eastAsia="Times New Roman"/>
          <w:noProof/>
          <w:lang w:eastAsia="en-GB"/>
        </w:rPr>
        <w:t xml:space="preserve"> not covered by a to</w:t>
      </w:r>
      <w:r w:rsidR="003D540B" w:rsidRPr="00363097">
        <w:rPr>
          <w:rFonts w:eastAsia="Times New Roman"/>
          <w:noProof/>
          <w:lang w:eastAsia="en-GB"/>
        </w:rPr>
        <w:t>nnage tax regime</w:t>
      </w:r>
      <w:r w:rsidRPr="00363097">
        <w:rPr>
          <w:rFonts w:eastAsia="Times New Roman"/>
          <w:noProof/>
          <w:lang w:eastAsia="en-GB"/>
        </w:rPr>
        <w:t xml:space="preserve"> or </w:t>
      </w:r>
      <w:r w:rsidR="002A393C" w:rsidRPr="00363097">
        <w:rPr>
          <w:rFonts w:eastAsia="Times New Roman"/>
          <w:noProof/>
          <w:lang w:eastAsia="en-GB"/>
        </w:rPr>
        <w:t xml:space="preserve">from </w:t>
      </w:r>
      <w:r w:rsidRPr="00363097">
        <w:rPr>
          <w:rFonts w:eastAsia="Times New Roman"/>
          <w:noProof/>
          <w:lang w:eastAsia="en-GB"/>
        </w:rPr>
        <w:t xml:space="preserve">air transport are </w:t>
      </w:r>
      <w:r w:rsidR="003D540B" w:rsidRPr="00363097">
        <w:rPr>
          <w:rFonts w:eastAsia="Times New Roman"/>
          <w:noProof/>
          <w:lang w:eastAsia="en-GB"/>
        </w:rPr>
        <w:t>also not allocate</w:t>
      </w:r>
      <w:r w:rsidR="006D611F" w:rsidRPr="00363097">
        <w:rPr>
          <w:rFonts w:eastAsia="Times New Roman"/>
          <w:noProof/>
          <w:lang w:eastAsia="en-GB"/>
        </w:rPr>
        <w:t>d</w:t>
      </w:r>
      <w:r w:rsidR="00640711" w:rsidRPr="00363097">
        <w:rPr>
          <w:rFonts w:eastAsia="Times New Roman"/>
          <w:noProof/>
          <w:lang w:eastAsia="en-GB"/>
        </w:rPr>
        <w:t>.</w:t>
      </w:r>
      <w:r w:rsidR="00714EBE" w:rsidRPr="00363097">
        <w:rPr>
          <w:rFonts w:eastAsia="Times New Roman"/>
          <w:noProof/>
          <w:lang w:eastAsia="en-GB"/>
        </w:rPr>
        <w:t xml:space="preserve"> I</w:t>
      </w:r>
      <w:r w:rsidR="00640711" w:rsidRPr="00363097">
        <w:rPr>
          <w:rFonts w:eastAsia="Times New Roman"/>
          <w:noProof/>
          <w:lang w:eastAsia="en-GB"/>
        </w:rPr>
        <w:t>n line with the approach in</w:t>
      </w:r>
      <w:r w:rsidR="000404AE" w:rsidRPr="00363097">
        <w:rPr>
          <w:rFonts w:eastAsia="Times New Roman"/>
          <w:noProof/>
          <w:lang w:eastAsia="en-GB"/>
        </w:rPr>
        <w:t xml:space="preserve"> Article 8 of</w:t>
      </w:r>
      <w:r w:rsidR="00640711" w:rsidRPr="00363097">
        <w:rPr>
          <w:rFonts w:eastAsia="Times New Roman"/>
          <w:noProof/>
          <w:lang w:eastAsia="en-GB"/>
        </w:rPr>
        <w:t xml:space="preserve"> the OECD model tax convention</w:t>
      </w:r>
      <w:r w:rsidR="004E2A31" w:rsidRPr="00363097">
        <w:rPr>
          <w:rFonts w:eastAsia="Times New Roman"/>
          <w:noProof/>
          <w:lang w:eastAsia="en-GB"/>
        </w:rPr>
        <w:t xml:space="preserve">, such activities are taxed only in the </w:t>
      </w:r>
      <w:r w:rsidR="00736E1C" w:rsidRPr="00363097">
        <w:rPr>
          <w:rFonts w:eastAsia="Times New Roman"/>
          <w:noProof/>
          <w:lang w:eastAsia="en-GB"/>
        </w:rPr>
        <w:t xml:space="preserve">State where the company operating the ships or aircrafts </w:t>
      </w:r>
      <w:r w:rsidR="00F2163F" w:rsidRPr="00363097">
        <w:rPr>
          <w:rFonts w:eastAsia="Times New Roman"/>
          <w:noProof/>
          <w:lang w:eastAsia="en-GB"/>
        </w:rPr>
        <w:t>is</w:t>
      </w:r>
      <w:r w:rsidR="00736E1C" w:rsidRPr="00363097">
        <w:rPr>
          <w:rFonts w:eastAsia="Times New Roman"/>
          <w:noProof/>
          <w:lang w:eastAsia="en-GB"/>
        </w:rPr>
        <w:t xml:space="preserve"> located</w:t>
      </w:r>
      <w:r w:rsidRPr="00363097">
        <w:rPr>
          <w:rFonts w:eastAsia="Times New Roman"/>
          <w:noProof/>
          <w:lang w:eastAsia="en-GB"/>
        </w:rPr>
        <w:t xml:space="preserve"> (Article 47).</w:t>
      </w:r>
    </w:p>
    <w:p w14:paraId="297DA62E"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Next, the aggregated tax base will be allocated to the members of each BEFIT group based on a transition allocation rule, which </w:t>
      </w:r>
      <w:r w:rsidR="00DF49AF" w:rsidRPr="00363097">
        <w:rPr>
          <w:rFonts w:eastAsia="Times New Roman"/>
          <w:noProof/>
          <w:lang w:eastAsia="en-GB"/>
        </w:rPr>
        <w:t>uses</w:t>
      </w:r>
      <w:r w:rsidR="00B64DB0" w:rsidRPr="00363097">
        <w:rPr>
          <w:rFonts w:eastAsia="Times New Roman"/>
          <w:noProof/>
          <w:lang w:eastAsia="en-GB"/>
        </w:rPr>
        <w:t xml:space="preserve"> </w:t>
      </w:r>
      <w:r w:rsidR="00C5756C" w:rsidRPr="00363097">
        <w:rPr>
          <w:noProof/>
          <w:lang w:eastAsia="en-GB"/>
        </w:rPr>
        <w:t xml:space="preserve">each </w:t>
      </w:r>
      <w:r w:rsidR="00B64DB0" w:rsidRPr="00363097">
        <w:rPr>
          <w:noProof/>
          <w:lang w:eastAsia="en-GB"/>
        </w:rPr>
        <w:t xml:space="preserve">BEFIT </w:t>
      </w:r>
      <w:r w:rsidR="00C5756C" w:rsidRPr="00363097">
        <w:rPr>
          <w:noProof/>
          <w:lang w:eastAsia="en-GB"/>
        </w:rPr>
        <w:t xml:space="preserve">group member’s percentage </w:t>
      </w:r>
      <w:r w:rsidR="00F83742" w:rsidRPr="00363097">
        <w:rPr>
          <w:noProof/>
          <w:lang w:eastAsia="en-GB"/>
        </w:rPr>
        <w:t>of</w:t>
      </w:r>
      <w:r w:rsidR="00C5756C" w:rsidRPr="00363097">
        <w:rPr>
          <w:noProof/>
          <w:lang w:eastAsia="en-GB"/>
        </w:rPr>
        <w:t xml:space="preserve"> an aggregated tax base </w:t>
      </w:r>
      <w:r w:rsidR="007B3324" w:rsidRPr="00363097">
        <w:rPr>
          <w:noProof/>
          <w:lang w:eastAsia="en-GB"/>
        </w:rPr>
        <w:t xml:space="preserve">calculated as </w:t>
      </w:r>
      <w:r w:rsidR="00F647B4" w:rsidRPr="00363097">
        <w:rPr>
          <w:noProof/>
          <w:lang w:eastAsia="en-GB"/>
        </w:rPr>
        <w:t xml:space="preserve">the average of the </w:t>
      </w:r>
      <w:r w:rsidR="001262AA" w:rsidRPr="00363097">
        <w:rPr>
          <w:noProof/>
          <w:lang w:eastAsia="en-GB"/>
        </w:rPr>
        <w:t>taxable results in the</w:t>
      </w:r>
      <w:r w:rsidR="00F647B4" w:rsidRPr="00363097">
        <w:rPr>
          <w:noProof/>
          <w:lang w:eastAsia="en-GB"/>
        </w:rPr>
        <w:t xml:space="preserve"> </w:t>
      </w:r>
      <w:r w:rsidR="00C5756C" w:rsidRPr="00363097">
        <w:rPr>
          <w:noProof/>
          <w:lang w:eastAsia="en-GB"/>
        </w:rPr>
        <w:t>previous</w:t>
      </w:r>
      <w:r w:rsidR="00F647B4" w:rsidRPr="00363097">
        <w:rPr>
          <w:noProof/>
          <w:lang w:eastAsia="en-GB"/>
        </w:rPr>
        <w:t xml:space="preserve"> three</w:t>
      </w:r>
      <w:r w:rsidR="00C5756C" w:rsidRPr="00363097">
        <w:rPr>
          <w:noProof/>
          <w:lang w:eastAsia="en-GB"/>
        </w:rPr>
        <w:t xml:space="preserve"> fiscal years.</w:t>
      </w:r>
      <w:r w:rsidR="00CE509C" w:rsidRPr="00363097">
        <w:rPr>
          <w:rFonts w:eastAsia="Times New Roman"/>
          <w:noProof/>
          <w:lang w:eastAsia="en-GB"/>
        </w:rPr>
        <w:t xml:space="preserve"> This may</w:t>
      </w:r>
      <w:r w:rsidRPr="00363097">
        <w:rPr>
          <w:rFonts w:eastAsia="Times New Roman"/>
          <w:noProof/>
          <w:lang w:eastAsia="en-GB"/>
        </w:rPr>
        <w:t xml:space="preserve"> pave the way for a permanent allocation method that </w:t>
      </w:r>
      <w:r w:rsidR="004757ED" w:rsidRPr="00363097">
        <w:rPr>
          <w:rFonts w:eastAsia="Times New Roman"/>
          <w:noProof/>
          <w:lang w:eastAsia="en-GB"/>
        </w:rPr>
        <w:t xml:space="preserve">could </w:t>
      </w:r>
      <w:r w:rsidRPr="00363097">
        <w:rPr>
          <w:rFonts w:eastAsia="Times New Roman"/>
          <w:noProof/>
          <w:lang w:eastAsia="en-GB"/>
        </w:rPr>
        <w:t>be based on a formulary apportionment. A proposal that lays down a transition</w:t>
      </w:r>
      <w:r w:rsidR="00910FD2" w:rsidRPr="00363097">
        <w:rPr>
          <w:rFonts w:eastAsia="Times New Roman"/>
          <w:noProof/>
          <w:lang w:eastAsia="en-GB"/>
        </w:rPr>
        <w:t>al</w:t>
      </w:r>
      <w:r w:rsidRPr="00363097">
        <w:rPr>
          <w:rFonts w:eastAsia="Times New Roman"/>
          <w:noProof/>
          <w:lang w:eastAsia="en-GB"/>
        </w:rPr>
        <w:t xml:space="preserve"> solution will have the advantage of using more recent </w:t>
      </w:r>
      <w:r w:rsidR="008655FC" w:rsidRPr="00363097">
        <w:rPr>
          <w:rFonts w:eastAsia="Times New Roman"/>
          <w:noProof/>
          <w:lang w:eastAsia="en-GB"/>
        </w:rPr>
        <w:t>Coun</w:t>
      </w:r>
      <w:r w:rsidR="008C7AA6" w:rsidRPr="00363097">
        <w:rPr>
          <w:rFonts w:eastAsia="Times New Roman"/>
          <w:noProof/>
          <w:lang w:eastAsia="en-GB"/>
        </w:rPr>
        <w:t xml:space="preserve">ty-by-Country </w:t>
      </w:r>
      <w:r w:rsidR="00806F6A" w:rsidRPr="00363097">
        <w:rPr>
          <w:rFonts w:eastAsia="Times New Roman"/>
          <w:noProof/>
          <w:lang w:eastAsia="en-GB"/>
        </w:rPr>
        <w:t>R</w:t>
      </w:r>
      <w:r w:rsidR="008C7AA6" w:rsidRPr="00363097">
        <w:rPr>
          <w:rFonts w:eastAsia="Times New Roman"/>
          <w:noProof/>
          <w:lang w:eastAsia="en-GB"/>
        </w:rPr>
        <w:t>eporting (</w:t>
      </w:r>
      <w:r w:rsidRPr="00363097">
        <w:rPr>
          <w:noProof/>
        </w:rPr>
        <w:t>CbCR</w:t>
      </w:r>
      <w:r w:rsidR="008C7AA6" w:rsidRPr="00363097">
        <w:rPr>
          <w:noProof/>
        </w:rPr>
        <w:t>)</w:t>
      </w:r>
      <w:r w:rsidRPr="00363097">
        <w:rPr>
          <w:rFonts w:eastAsia="Times New Roman"/>
          <w:noProof/>
          <w:lang w:eastAsia="en-GB"/>
        </w:rPr>
        <w:t xml:space="preserve"> data </w:t>
      </w:r>
      <w:r w:rsidRPr="00363097">
        <w:rPr>
          <w:noProof/>
        </w:rPr>
        <w:t xml:space="preserve">and the information gathered from the </w:t>
      </w:r>
      <w:r w:rsidR="00BF6B65" w:rsidRPr="00363097">
        <w:rPr>
          <w:noProof/>
        </w:rPr>
        <w:t>first years of the</w:t>
      </w:r>
      <w:r w:rsidRPr="00363097">
        <w:rPr>
          <w:noProof/>
        </w:rPr>
        <w:t xml:space="preserve"> application of BEFIT</w:t>
      </w:r>
      <w:r w:rsidR="00A67EBE" w:rsidRPr="00363097">
        <w:rPr>
          <w:noProof/>
        </w:rPr>
        <w:t xml:space="preserve"> in the design of a permanent </w:t>
      </w:r>
      <w:r w:rsidR="001047CC" w:rsidRPr="00363097">
        <w:rPr>
          <w:noProof/>
        </w:rPr>
        <w:t>allocation method</w:t>
      </w:r>
      <w:r w:rsidRPr="00363097">
        <w:rPr>
          <w:noProof/>
        </w:rPr>
        <w:t>. It will also allow</w:t>
      </w:r>
      <w:r w:rsidRPr="00363097">
        <w:rPr>
          <w:rFonts w:eastAsia="Times New Roman"/>
          <w:noProof/>
          <w:lang w:eastAsia="en-GB"/>
        </w:rPr>
        <w:t xml:space="preserve"> for a more thorough assessment of the impact that the implementation of the </w:t>
      </w:r>
      <w:r w:rsidRPr="00363097">
        <w:rPr>
          <w:noProof/>
        </w:rPr>
        <w:t>OECD</w:t>
      </w:r>
      <w:r w:rsidR="00E50628" w:rsidRPr="00363097">
        <w:rPr>
          <w:noProof/>
        </w:rPr>
        <w:t>/G20 Inclusive Framework</w:t>
      </w:r>
      <w:r w:rsidRPr="00363097">
        <w:rPr>
          <w:noProof/>
        </w:rPr>
        <w:t xml:space="preserve"> Two-Pillar Approach</w:t>
      </w:r>
      <w:r w:rsidRPr="00363097">
        <w:rPr>
          <w:rFonts w:eastAsia="Times New Roman"/>
          <w:noProof/>
          <w:lang w:eastAsia="en-GB"/>
        </w:rPr>
        <w:t xml:space="preserve"> is expected to have on national and the BEFIT tax bases. </w:t>
      </w:r>
    </w:p>
    <w:p w14:paraId="545D06EC"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The proposal also accommodates </w:t>
      </w:r>
      <w:r w:rsidRPr="00363097">
        <w:rPr>
          <w:rFonts w:eastAsia="Times New Roman"/>
          <w:b/>
          <w:noProof/>
          <w:lang w:eastAsia="en-GB"/>
        </w:rPr>
        <w:t>distribution-based tax systems</w:t>
      </w:r>
      <w:r w:rsidRPr="00363097">
        <w:rPr>
          <w:rFonts w:eastAsia="Times New Roman"/>
          <w:noProof/>
          <w:lang w:eastAsia="en-GB"/>
        </w:rPr>
        <w:t xml:space="preserve"> and to this effect, provides for the necessary adjustment, which will allow their companies to participate in a BEFIT group. In this case, the taxation of corporate income is not on a yearly basis, but upon distribution of the profits. Accordingly, the allocated part of the aggregated tax base would be carried forward each year in proportion to the income that has not been distributed that year (Article 49). </w:t>
      </w:r>
    </w:p>
    <w:p w14:paraId="0FDF8143" w14:textId="6B39D39F" w:rsidR="00081B7A" w:rsidRPr="00363097" w:rsidRDefault="00081B7A" w:rsidP="00081B7A">
      <w:pPr>
        <w:rPr>
          <w:rFonts w:eastAsia="Times New Roman"/>
          <w:noProof/>
          <w:lang w:eastAsia="en-GB"/>
        </w:rPr>
      </w:pPr>
      <w:r w:rsidRPr="00363097">
        <w:rPr>
          <w:rFonts w:eastAsia="Times New Roman"/>
          <w:noProof/>
          <w:lang w:eastAsia="en-GB"/>
        </w:rPr>
        <w:t xml:space="preserve">Finally, upon allocation, each BEFIT group member will have a part. On this part, the group member will have to apply </w:t>
      </w:r>
      <w:r w:rsidRPr="00363097">
        <w:rPr>
          <w:rFonts w:eastAsia="Times New Roman"/>
          <w:b/>
          <w:noProof/>
          <w:lang w:eastAsia="en-GB"/>
        </w:rPr>
        <w:t>additional adjustments</w:t>
      </w:r>
      <w:r w:rsidRPr="00363097">
        <w:rPr>
          <w:rFonts w:eastAsia="Times New Roman"/>
          <w:noProof/>
          <w:lang w:eastAsia="en-GB"/>
        </w:rPr>
        <w:t xml:space="preserve"> in its tax assessment (Article 48, paragraph 1). These mostly include technical corrections that are necessary for the coherence of the system. For example, several items should not be included in the preliminary tax result, in order to avoid that they are shared among all Member States, but these items should still be accounted for (e.g. pre-BEFIT losses). Other amounts, such as gifts, donations</w:t>
      </w:r>
      <w:r w:rsidR="00B969AB">
        <w:rPr>
          <w:rFonts w:eastAsia="Times New Roman"/>
          <w:noProof/>
          <w:lang w:eastAsia="en-GB"/>
        </w:rPr>
        <w:t xml:space="preserve"> and</w:t>
      </w:r>
      <w:r w:rsidRPr="00363097">
        <w:rPr>
          <w:rFonts w:eastAsia="Times New Roman"/>
          <w:noProof/>
          <w:lang w:eastAsia="en-GB"/>
        </w:rPr>
        <w:t xml:space="preserve"> pension provisions are very dependent on national law requirements and are therefore most appropriate on the allocated part. </w:t>
      </w:r>
    </w:p>
    <w:p w14:paraId="0C6EAA54"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Importantly, in order to ensure Member States’ full competence over their tax rate policies, Member States will be free to further apply any deductions, tax incentives, or base increases to their allocated parts, without restrictions (Article 48, paragraph 2). The only requirement that Member States will need to respect in this regard, are the rules of the Pillar 2 Directive for a global minimum effective level of taxation. </w:t>
      </w:r>
    </w:p>
    <w:p w14:paraId="0C891AD5" w14:textId="77777777" w:rsidR="00081B7A" w:rsidRPr="00363097" w:rsidRDefault="00081B7A" w:rsidP="00081B7A">
      <w:pPr>
        <w:spacing w:before="240" w:line="276" w:lineRule="auto"/>
        <w:rPr>
          <w:rFonts w:eastAsia="Times New Roman"/>
          <w:bCs/>
          <w:noProof/>
          <w:lang w:eastAsia="en-GB"/>
        </w:rPr>
      </w:pPr>
      <w:r w:rsidRPr="00363097">
        <w:rPr>
          <w:rFonts w:eastAsia="Times New Roman"/>
          <w:b/>
          <w:noProof/>
          <w:lang w:eastAsia="en-GB"/>
        </w:rPr>
        <w:t xml:space="preserve">‘Traffic light system’ to facilitate transfer pricing compliance with </w:t>
      </w:r>
      <w:r w:rsidR="00DB5FD6" w:rsidRPr="00363097">
        <w:rPr>
          <w:rFonts w:eastAsia="Times New Roman"/>
          <w:b/>
          <w:noProof/>
          <w:lang w:eastAsia="en-GB"/>
        </w:rPr>
        <w:t>associated enterprises</w:t>
      </w:r>
      <w:r w:rsidRPr="00363097">
        <w:rPr>
          <w:rFonts w:eastAsia="Times New Roman"/>
          <w:b/>
          <w:noProof/>
          <w:lang w:eastAsia="en-GB"/>
        </w:rPr>
        <w:t xml:space="preserve"> outside the BEFIT group</w:t>
      </w:r>
    </w:p>
    <w:p w14:paraId="02D70758" w14:textId="74228A74" w:rsidR="00081B7A" w:rsidRPr="00363097" w:rsidRDefault="005F02D0" w:rsidP="00081B7A">
      <w:pPr>
        <w:rPr>
          <w:rFonts w:eastAsia="Times New Roman"/>
          <w:noProof/>
          <w:lang w:eastAsia="en-GB"/>
        </w:rPr>
      </w:pPr>
      <w:r w:rsidRPr="00363097">
        <w:rPr>
          <w:rFonts w:eastAsia="Times New Roman"/>
          <w:noProof/>
          <w:lang w:eastAsia="en-GB"/>
        </w:rPr>
        <w:t xml:space="preserve">With regard to </w:t>
      </w:r>
      <w:r w:rsidR="00736EAA" w:rsidRPr="00363097">
        <w:rPr>
          <w:rFonts w:eastAsia="Times New Roman"/>
          <w:noProof/>
          <w:lang w:eastAsia="en-GB"/>
        </w:rPr>
        <w:t>transactions with associated enterprises outside the BEFIT group, i.e. entities of the group that are not in the Union or that do not meet the 75% ownership threshold</w:t>
      </w:r>
      <w:r w:rsidR="005621D8">
        <w:rPr>
          <w:rFonts w:eastAsia="Times New Roman"/>
          <w:noProof/>
          <w:lang w:eastAsia="en-GB"/>
        </w:rPr>
        <w:t xml:space="preserve">, </w:t>
      </w:r>
      <w:r w:rsidR="00081B7A" w:rsidRPr="00363097">
        <w:rPr>
          <w:rFonts w:eastAsia="Times New Roman"/>
          <w:noProof/>
          <w:lang w:eastAsia="en-GB"/>
        </w:rPr>
        <w:t xml:space="preserve"> Chapter IV aims to facilitate compliance by providing a risk assessment tool (‘traffic light system’) with benchmarks. </w:t>
      </w:r>
    </w:p>
    <w:p w14:paraId="0E4163A8"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This feature of BEFIT focuses on simplifying compliance with transfer pricing and does not interfere with </w:t>
      </w:r>
      <w:r w:rsidR="00472979" w:rsidRPr="00363097">
        <w:rPr>
          <w:rFonts w:eastAsia="Times New Roman"/>
          <w:noProof/>
          <w:lang w:eastAsia="en-GB"/>
        </w:rPr>
        <w:t>the substantive rules</w:t>
      </w:r>
      <w:r w:rsidRPr="00363097">
        <w:rPr>
          <w:rFonts w:eastAsia="Times New Roman"/>
          <w:noProof/>
          <w:lang w:eastAsia="en-GB"/>
        </w:rPr>
        <w:t xml:space="preserve"> that determine whether a certain transaction has been priced at arm’s length. In addition, its material scope is confined to low-risk activities, which normally do not involve extensive discretion in their pricing, as they do not give rise to high residual profits. This is a clear distinction from the Directive on transfer pricing, which </w:t>
      </w:r>
      <w:r w:rsidR="00A65673" w:rsidRPr="00363097">
        <w:rPr>
          <w:rFonts w:eastAsia="Times New Roman"/>
          <w:noProof/>
          <w:lang w:eastAsia="en-GB"/>
        </w:rPr>
        <w:t>relates to the substantive rules and</w:t>
      </w:r>
      <w:r w:rsidRPr="00363097">
        <w:rPr>
          <w:rFonts w:eastAsia="Times New Roman"/>
          <w:noProof/>
          <w:lang w:eastAsia="en-GB"/>
        </w:rPr>
        <w:t xml:space="preserve"> has a broader scope, potentially covering the entire array of transfer pricing topics, and features a separate function. </w:t>
      </w:r>
      <w:r w:rsidR="007D08BA" w:rsidRPr="00363097">
        <w:rPr>
          <w:rFonts w:eastAsia="Times New Roman"/>
          <w:noProof/>
          <w:lang w:eastAsia="en-GB"/>
        </w:rPr>
        <w:t>The Directive on transfer pricing</w:t>
      </w:r>
      <w:r w:rsidRPr="00363097">
        <w:rPr>
          <w:rFonts w:eastAsia="Times New Roman"/>
          <w:noProof/>
          <w:lang w:eastAsia="en-GB"/>
        </w:rPr>
        <w:t xml:space="preserve"> thus endorses the OECD transfer pricing guidelines and constitutes a steppingstone for Member States to agree common approaches to specific transfer pricing themes, in particular those in which administrative practice has so far been disparate across the EU.</w:t>
      </w:r>
    </w:p>
    <w:p w14:paraId="7D98EFB5"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The traffic light system will apply to </w:t>
      </w:r>
      <w:r w:rsidRPr="00363097">
        <w:rPr>
          <w:rFonts w:eastAsia="Times New Roman"/>
          <w:b/>
          <w:noProof/>
          <w:lang w:eastAsia="en-GB"/>
        </w:rPr>
        <w:t>low-risk activities</w:t>
      </w:r>
      <w:r w:rsidRPr="00363097">
        <w:rPr>
          <w:rFonts w:eastAsia="Times New Roman"/>
          <w:noProof/>
          <w:lang w:eastAsia="en-GB"/>
        </w:rPr>
        <w:t xml:space="preserve"> defined in Article 50: (i) distribution activities by low-risk distributors, and (ii) manufacturing activities by contract manufacturers. To qualify, the distributor or manufacturer must use a reliable, one-sided method based on the OECD Transfer Pricing Guidelines, and in any case, they cannot qualify if they hold the intellectual property rights or some of the risks related to the products. This is because intangible assets and risks often lack comparable transactions. </w:t>
      </w:r>
    </w:p>
    <w:p w14:paraId="6F30F520" w14:textId="77777777" w:rsidR="00081B7A" w:rsidRPr="00363097" w:rsidRDefault="00081B7A" w:rsidP="00081B7A">
      <w:pPr>
        <w:rPr>
          <w:rFonts w:eastAsia="Times New Roman"/>
          <w:noProof/>
          <w:lang w:eastAsia="en-GB"/>
        </w:rPr>
      </w:pPr>
      <w:r w:rsidRPr="00363097">
        <w:rPr>
          <w:rFonts w:eastAsia="Times New Roman"/>
          <w:noProof/>
          <w:lang w:eastAsia="en-GB"/>
        </w:rPr>
        <w:t xml:space="preserve">For these activities, the proposal suggests using </w:t>
      </w:r>
      <w:r w:rsidRPr="00363097">
        <w:rPr>
          <w:rFonts w:eastAsia="Times New Roman"/>
          <w:b/>
          <w:noProof/>
          <w:lang w:eastAsia="en-GB"/>
        </w:rPr>
        <w:t>‘Public Benchmarks’</w:t>
      </w:r>
      <w:r w:rsidRPr="00363097">
        <w:rPr>
          <w:rFonts w:eastAsia="Times New Roman"/>
          <w:noProof/>
          <w:lang w:eastAsia="en-GB"/>
        </w:rPr>
        <w:t xml:space="preserve"> which will be profit markers set at </w:t>
      </w:r>
      <w:r w:rsidR="00CF2BFC" w:rsidRPr="00363097">
        <w:rPr>
          <w:rFonts w:eastAsia="Times New Roman"/>
          <w:noProof/>
          <w:lang w:eastAsia="en-GB"/>
        </w:rPr>
        <w:t xml:space="preserve">Union </w:t>
      </w:r>
      <w:r w:rsidRPr="00363097">
        <w:rPr>
          <w:rFonts w:eastAsia="Times New Roman"/>
          <w:noProof/>
          <w:lang w:eastAsia="en-GB"/>
        </w:rPr>
        <w:t xml:space="preserve">level with the help of an expert group (Article 53). Operationally, if the profit performance of a low-risk distributor or contract manufacturer is low compared to the average ranges in this benchmark, its transactions will be assessed as ‘high-risk’ and vice versa. In this way, the transactions can fall within </w:t>
      </w:r>
      <w:r w:rsidRPr="00363097">
        <w:rPr>
          <w:rFonts w:eastAsia="Times New Roman"/>
          <w:b/>
          <w:noProof/>
          <w:lang w:eastAsia="en-GB"/>
        </w:rPr>
        <w:t>three risk zones (low/medium/high)</w:t>
      </w:r>
      <w:r w:rsidRPr="00363097">
        <w:rPr>
          <w:rFonts w:eastAsia="Times New Roman"/>
          <w:noProof/>
          <w:lang w:eastAsia="en-GB"/>
        </w:rPr>
        <w:t>. Member State tax administrations would be expected to focus their efforts to the high-risk zones (Article 51). It is accordingly referred to as a ‘traffic light system’.</w:t>
      </w:r>
    </w:p>
    <w:p w14:paraId="4438CEED" w14:textId="77777777" w:rsidR="00081B7A" w:rsidRPr="00363097" w:rsidRDefault="00081B7A" w:rsidP="00081B7A">
      <w:pPr>
        <w:rPr>
          <w:noProof/>
        </w:rPr>
      </w:pPr>
      <w:r w:rsidRPr="00363097">
        <w:rPr>
          <w:rFonts w:eastAsia="Times New Roman"/>
          <w:noProof/>
          <w:lang w:eastAsia="en-GB"/>
        </w:rPr>
        <w:t>As such, the tool will allow Member States to use their resources more efficiently and it will offer businesses a higher level of predictability regarding the acceptability of their transfer prices on the condition that they comply with pre-set margins</w:t>
      </w:r>
      <w:r w:rsidRPr="00363097">
        <w:rPr>
          <w:noProof/>
        </w:rPr>
        <w:t xml:space="preserve">. </w:t>
      </w:r>
    </w:p>
    <w:p w14:paraId="52672F24" w14:textId="77777777" w:rsidR="00081B7A" w:rsidRPr="00363097" w:rsidRDefault="00081B7A" w:rsidP="00081B7A">
      <w:pPr>
        <w:spacing w:before="240" w:line="276" w:lineRule="auto"/>
        <w:rPr>
          <w:rFonts w:eastAsia="Times New Roman"/>
          <w:b/>
          <w:noProof/>
          <w:lang w:eastAsia="en-GB"/>
        </w:rPr>
      </w:pPr>
      <w:r w:rsidRPr="00363097">
        <w:rPr>
          <w:rFonts w:eastAsia="Times New Roman"/>
          <w:b/>
          <w:noProof/>
          <w:lang w:eastAsia="en-GB"/>
        </w:rPr>
        <w:t>Administration of the system: a ‘One-Stop-Shop’ and a ‘BEFIT team’</w:t>
      </w:r>
    </w:p>
    <w:p w14:paraId="5B885823" w14:textId="7E8A3E59" w:rsidR="00081B7A" w:rsidRPr="00363097" w:rsidRDefault="00081B7A" w:rsidP="00081B7A">
      <w:pPr>
        <w:rPr>
          <w:rFonts w:eastAsia="Times New Roman"/>
          <w:noProof/>
          <w:lang w:eastAsia="en-GB"/>
        </w:rPr>
      </w:pPr>
      <w:r w:rsidRPr="00363097">
        <w:rPr>
          <w:rFonts w:eastAsia="Times New Roman"/>
          <w:noProof/>
          <w:lang w:eastAsia="en-GB"/>
        </w:rPr>
        <w:t>The administration of the system is outlined in Chapter V. Common substantive rules also require a common administrative framework. This will allow additional simplification of the current systems and should gradually free up resources for administrations and business</w:t>
      </w:r>
      <w:r w:rsidR="001062A8">
        <w:rPr>
          <w:rFonts w:eastAsia="Times New Roman"/>
          <w:noProof/>
          <w:lang w:eastAsia="en-GB"/>
        </w:rPr>
        <w:t>es</w:t>
      </w:r>
      <w:r w:rsidRPr="00363097">
        <w:rPr>
          <w:rFonts w:eastAsia="Times New Roman"/>
          <w:noProof/>
          <w:lang w:eastAsia="en-GB"/>
        </w:rPr>
        <w:t xml:space="preserve">. </w:t>
      </w:r>
    </w:p>
    <w:p w14:paraId="18AA0B50" w14:textId="77777777" w:rsidR="00081B7A" w:rsidRPr="00363097" w:rsidRDefault="00081B7A" w:rsidP="00081B7A">
      <w:pPr>
        <w:rPr>
          <w:rFonts w:eastAsia="Times New Roman"/>
          <w:noProof/>
          <w:lang w:eastAsia="en-GB"/>
        </w:rPr>
      </w:pPr>
      <w:r w:rsidRPr="00363097">
        <w:rPr>
          <w:rFonts w:eastAsia="Times New Roman"/>
          <w:b/>
          <w:noProof/>
          <w:lang w:eastAsia="en-GB"/>
        </w:rPr>
        <w:t>A one-stop-shop</w:t>
      </w:r>
      <w:r w:rsidRPr="00363097">
        <w:rPr>
          <w:rFonts w:eastAsia="Times New Roman"/>
          <w:noProof/>
          <w:lang w:eastAsia="en-GB"/>
        </w:rPr>
        <w:t xml:space="preserve"> will allow businesses to deal with one single authority in the </w:t>
      </w:r>
      <w:r w:rsidR="00CF2BFC" w:rsidRPr="00363097">
        <w:rPr>
          <w:rFonts w:eastAsia="Times New Roman"/>
          <w:noProof/>
          <w:lang w:eastAsia="en-GB"/>
        </w:rPr>
        <w:t xml:space="preserve">Union </w:t>
      </w:r>
      <w:r w:rsidRPr="00363097">
        <w:rPr>
          <w:rFonts w:eastAsia="Times New Roman"/>
          <w:noProof/>
          <w:lang w:eastAsia="en-GB"/>
        </w:rPr>
        <w:t xml:space="preserve">for filing obligations, whenever feasible. The ‘filing entity’, which is in principle the ultimate parent entity, will file one information return for the whole BEFIT group (the ‘BEFIT Information Return’) with only its own tax administration (the ‘filing authority’), which will share this with the other Member States where the group operates (Article 57). Each BEFIT group member will also file an individual tax return </w:t>
      </w:r>
      <w:r w:rsidR="002B6BCF" w:rsidRPr="00363097">
        <w:rPr>
          <w:rFonts w:eastAsia="Times New Roman"/>
          <w:noProof/>
          <w:lang w:eastAsia="en-GB"/>
        </w:rPr>
        <w:t>to their local tax administration</w:t>
      </w:r>
      <w:r w:rsidRPr="00363097">
        <w:rPr>
          <w:rFonts w:eastAsia="Times New Roman"/>
          <w:noProof/>
          <w:lang w:eastAsia="en-GB"/>
        </w:rPr>
        <w:t xml:space="preserve"> to be able to apply domestically set adjustments to their allocated part (Article 62). Taken together with the BEFIT Information Return, this will allow each tax administration to assess its BEFIT group members’ tax liabilities as efficiently as possible (Article 64). </w:t>
      </w:r>
    </w:p>
    <w:p w14:paraId="4E80B24F" w14:textId="3F2562F6" w:rsidR="00081B7A" w:rsidRPr="00363097" w:rsidRDefault="00081B7A" w:rsidP="00081B7A">
      <w:pPr>
        <w:rPr>
          <w:rFonts w:eastAsia="Times New Roman"/>
          <w:noProof/>
          <w:lang w:eastAsia="en-GB"/>
        </w:rPr>
      </w:pPr>
      <w:r w:rsidRPr="00363097">
        <w:rPr>
          <w:rFonts w:eastAsia="Times New Roman"/>
          <w:noProof/>
          <w:lang w:eastAsia="en-GB"/>
        </w:rPr>
        <w:t xml:space="preserve">For each BEFIT group, there will also be a so-called </w:t>
      </w:r>
      <w:r w:rsidRPr="00363097">
        <w:rPr>
          <w:rFonts w:eastAsia="Times New Roman"/>
          <w:b/>
          <w:noProof/>
          <w:lang w:eastAsia="en-GB"/>
        </w:rPr>
        <w:t xml:space="preserve">‘BEFIT </w:t>
      </w:r>
      <w:r w:rsidRPr="00363097">
        <w:rPr>
          <w:rFonts w:eastAsia="Times New Roman"/>
          <w:b/>
          <w:bCs/>
          <w:noProof/>
          <w:lang w:eastAsia="en-GB"/>
        </w:rPr>
        <w:t>Team’</w:t>
      </w:r>
      <w:r w:rsidRPr="00363097">
        <w:rPr>
          <w:rFonts w:eastAsia="Times New Roman"/>
          <w:noProof/>
          <w:lang w:eastAsia="en-GB"/>
        </w:rPr>
        <w:t xml:space="preserve"> which will bring together </w:t>
      </w:r>
      <w:r w:rsidR="00DC262C">
        <w:rPr>
          <w:rFonts w:eastAsia="Times New Roman"/>
          <w:noProof/>
          <w:lang w:eastAsia="en-GB"/>
        </w:rPr>
        <w:t>representatives of each relevant tax administration</w:t>
      </w:r>
      <w:r w:rsidRPr="00363097">
        <w:rPr>
          <w:rFonts w:eastAsia="Times New Roman"/>
          <w:noProof/>
          <w:lang w:eastAsia="en-GB"/>
        </w:rPr>
        <w:t xml:space="preserve"> from the Member States where the group operates (Article 60). Instead of each Member State separately dedicating human resources to assess the tax liabilities of the same cross-border group, the members of each BEFIT Team will be sharing information, coordinating, providing </w:t>
      </w:r>
      <w:r w:rsidR="001A6FE6" w:rsidRPr="00363097">
        <w:rPr>
          <w:noProof/>
          <w:lang w:val="en-US"/>
        </w:rPr>
        <w:t xml:space="preserve">a degree of </w:t>
      </w:r>
      <w:r w:rsidRPr="00363097">
        <w:rPr>
          <w:rFonts w:eastAsia="Times New Roman"/>
          <w:noProof/>
          <w:lang w:eastAsia="en-GB"/>
        </w:rPr>
        <w:t xml:space="preserve">early certainty on specific topics and resolving issues through an online collaborative tool (Article 61). </w:t>
      </w:r>
    </w:p>
    <w:p w14:paraId="3A456E05" w14:textId="77777777" w:rsidR="00081B7A" w:rsidRPr="00363097" w:rsidRDefault="00081B7A" w:rsidP="00081B7A">
      <w:pPr>
        <w:rPr>
          <w:rFonts w:eastAsia="Times New Roman"/>
          <w:noProof/>
          <w:lang w:eastAsia="en-GB"/>
        </w:rPr>
      </w:pPr>
      <w:r w:rsidRPr="00363097">
        <w:rPr>
          <w:rFonts w:eastAsia="Times New Roman"/>
          <w:b/>
          <w:noProof/>
          <w:lang w:eastAsia="en-GB"/>
        </w:rPr>
        <w:t>Audits</w:t>
      </w:r>
      <w:r w:rsidRPr="00363097">
        <w:rPr>
          <w:rFonts w:eastAsia="Times New Roman"/>
          <w:noProof/>
          <w:lang w:eastAsia="en-GB"/>
        </w:rPr>
        <w:t xml:space="preserve"> will remain at Member State level and it will be possible for Member States to request joint audits and create an obligation on the other side to accept it. Following the outcome of an audit, the BEFIT team will also facilitate rectifications (Article </w:t>
      </w:r>
      <w:r w:rsidR="006424BF" w:rsidRPr="00363097">
        <w:rPr>
          <w:rFonts w:eastAsia="Times New Roman"/>
          <w:noProof/>
          <w:lang w:eastAsia="en-GB"/>
        </w:rPr>
        <w:t>65</w:t>
      </w:r>
      <w:r w:rsidRPr="00363097">
        <w:rPr>
          <w:rFonts w:eastAsia="Times New Roman"/>
          <w:noProof/>
          <w:lang w:eastAsia="en-GB"/>
        </w:rPr>
        <w:t>).</w:t>
      </w:r>
    </w:p>
    <w:p w14:paraId="149A902F" w14:textId="77777777" w:rsidR="00081B7A" w:rsidRPr="00363097" w:rsidRDefault="00081B7A" w:rsidP="00081B7A">
      <w:pPr>
        <w:rPr>
          <w:rFonts w:eastAsia="Times New Roman"/>
          <w:noProof/>
          <w:lang w:eastAsia="en-GB"/>
        </w:rPr>
        <w:sectPr w:rsidR="00081B7A" w:rsidRPr="00363097" w:rsidSect="008D52AB">
          <w:footerReference w:type="default" r:id="rId14"/>
          <w:footerReference w:type="first" r:id="rId15"/>
          <w:pgSz w:w="11907" w:h="16839"/>
          <w:pgMar w:top="1134" w:right="1417" w:bottom="1134" w:left="1417" w:header="709" w:footer="709" w:gutter="0"/>
          <w:cols w:space="708"/>
          <w:docGrid w:linePitch="360"/>
        </w:sectPr>
      </w:pPr>
      <w:r w:rsidRPr="00363097">
        <w:rPr>
          <w:rFonts w:eastAsia="Times New Roman"/>
          <w:noProof/>
          <w:lang w:eastAsia="en-GB"/>
        </w:rPr>
        <w:t xml:space="preserve">The proposal also ensures that </w:t>
      </w:r>
      <w:r w:rsidRPr="00363097">
        <w:rPr>
          <w:rFonts w:eastAsia="Times New Roman"/>
          <w:b/>
          <w:noProof/>
          <w:lang w:eastAsia="en-GB"/>
        </w:rPr>
        <w:t xml:space="preserve">appeals </w:t>
      </w:r>
      <w:r w:rsidR="00FB5D1A" w:rsidRPr="00363097">
        <w:rPr>
          <w:rFonts w:eastAsia="Times New Roman"/>
          <w:bCs/>
          <w:noProof/>
          <w:lang w:eastAsia="en-GB"/>
        </w:rPr>
        <w:t>against</w:t>
      </w:r>
      <w:r w:rsidR="00D55E7F" w:rsidRPr="00363097">
        <w:rPr>
          <w:rFonts w:eastAsia="Times New Roman"/>
          <w:bCs/>
          <w:noProof/>
          <w:lang w:eastAsia="en-GB"/>
        </w:rPr>
        <w:t xml:space="preserve"> the content of the BEFIT information return</w:t>
      </w:r>
      <w:r w:rsidR="00B247B6" w:rsidRPr="00363097">
        <w:rPr>
          <w:rFonts w:eastAsia="Times New Roman"/>
          <w:bCs/>
          <w:noProof/>
          <w:lang w:eastAsia="en-GB"/>
        </w:rPr>
        <w:t xml:space="preserve"> may be brought to an administrative body in the Member State</w:t>
      </w:r>
      <w:r w:rsidR="002A7E96" w:rsidRPr="00363097">
        <w:rPr>
          <w:rFonts w:eastAsia="Times New Roman"/>
          <w:bCs/>
          <w:noProof/>
          <w:lang w:eastAsia="en-GB"/>
        </w:rPr>
        <w:t xml:space="preserve"> of the ‘</w:t>
      </w:r>
      <w:r w:rsidR="00813A09" w:rsidRPr="00363097">
        <w:rPr>
          <w:rFonts w:eastAsia="Times New Roman"/>
          <w:bCs/>
          <w:noProof/>
          <w:lang w:eastAsia="en-GB"/>
        </w:rPr>
        <w:t>filing authority’</w:t>
      </w:r>
      <w:r w:rsidR="00045204" w:rsidRPr="00363097">
        <w:rPr>
          <w:rFonts w:eastAsia="Times New Roman"/>
          <w:bCs/>
          <w:noProof/>
          <w:lang w:eastAsia="en-GB"/>
        </w:rPr>
        <w:t>.</w:t>
      </w:r>
      <w:r w:rsidR="00890FC4" w:rsidRPr="00363097">
        <w:rPr>
          <w:rFonts w:eastAsia="Times New Roman"/>
          <w:bCs/>
          <w:noProof/>
          <w:lang w:eastAsia="en-GB"/>
        </w:rPr>
        <w:t xml:space="preserve"> Likewise, </w:t>
      </w:r>
      <w:r w:rsidR="007126C5" w:rsidRPr="00363097">
        <w:rPr>
          <w:rFonts w:eastAsia="Times New Roman"/>
          <w:bCs/>
          <w:noProof/>
          <w:lang w:eastAsia="en-GB"/>
        </w:rPr>
        <w:t xml:space="preserve">appeals against the individual tax assessments may be brought to an administrative body of the Member State in which the </w:t>
      </w:r>
      <w:r w:rsidR="00356A2E" w:rsidRPr="00363097">
        <w:rPr>
          <w:rFonts w:eastAsia="Times New Roman"/>
          <w:bCs/>
          <w:noProof/>
          <w:lang w:eastAsia="en-GB"/>
        </w:rPr>
        <w:t>BEFIT group member is resident for tax purposes.</w:t>
      </w:r>
      <w:r w:rsidR="00045204" w:rsidRPr="00363097">
        <w:rPr>
          <w:rFonts w:eastAsia="Times New Roman"/>
          <w:bCs/>
          <w:noProof/>
          <w:lang w:eastAsia="en-GB"/>
        </w:rPr>
        <w:t xml:space="preserve"> </w:t>
      </w:r>
      <w:r w:rsidR="00045204" w:rsidRPr="00363097">
        <w:rPr>
          <w:rFonts w:eastAsia="Times New Roman"/>
          <w:noProof/>
          <w:lang w:eastAsia="en-GB"/>
        </w:rPr>
        <w:t xml:space="preserve">When such appeal </w:t>
      </w:r>
      <w:r w:rsidRPr="00363097">
        <w:rPr>
          <w:rFonts w:eastAsia="Times New Roman"/>
          <w:noProof/>
          <w:lang w:eastAsia="en-GB"/>
        </w:rPr>
        <w:t xml:space="preserve">affects the BEFIT tax base, the necessary amendments can be made across the group </w:t>
      </w:r>
      <w:r w:rsidR="00D725B2" w:rsidRPr="00363097">
        <w:rPr>
          <w:rFonts w:eastAsia="Times New Roman"/>
          <w:noProof/>
          <w:lang w:eastAsia="en-GB"/>
        </w:rPr>
        <w:t xml:space="preserve">through a coordinated process </w:t>
      </w:r>
      <w:r w:rsidR="00FD0281" w:rsidRPr="00363097">
        <w:rPr>
          <w:rFonts w:eastAsia="Times New Roman"/>
          <w:noProof/>
          <w:lang w:eastAsia="en-GB"/>
        </w:rPr>
        <w:t xml:space="preserve">established by the </w:t>
      </w:r>
      <w:r w:rsidR="00D725B2" w:rsidRPr="00363097">
        <w:rPr>
          <w:rFonts w:eastAsia="Times New Roman"/>
          <w:noProof/>
          <w:lang w:eastAsia="en-GB"/>
        </w:rPr>
        <w:t>‘BEFIT Teams’</w:t>
      </w:r>
      <w:r w:rsidR="00FD0281" w:rsidRPr="00363097">
        <w:rPr>
          <w:rFonts w:eastAsia="Times New Roman"/>
          <w:noProof/>
          <w:lang w:eastAsia="en-GB"/>
        </w:rPr>
        <w:t xml:space="preserve"> </w:t>
      </w:r>
      <w:r w:rsidRPr="00363097">
        <w:rPr>
          <w:rFonts w:eastAsia="Times New Roman"/>
          <w:noProof/>
          <w:lang w:eastAsia="en-GB"/>
        </w:rPr>
        <w:t>(Articles 6</w:t>
      </w:r>
      <w:r w:rsidR="00275273" w:rsidRPr="00363097">
        <w:rPr>
          <w:rFonts w:eastAsia="Times New Roman"/>
          <w:noProof/>
          <w:lang w:eastAsia="en-GB"/>
        </w:rPr>
        <w:t>6</w:t>
      </w:r>
      <w:r w:rsidRPr="00363097">
        <w:rPr>
          <w:rFonts w:eastAsia="Times New Roman"/>
          <w:noProof/>
          <w:lang w:eastAsia="en-GB"/>
        </w:rPr>
        <w:t>-7</w:t>
      </w:r>
      <w:r w:rsidR="00275273" w:rsidRPr="00363097">
        <w:rPr>
          <w:rFonts w:eastAsia="Times New Roman"/>
          <w:noProof/>
          <w:lang w:eastAsia="en-GB"/>
        </w:rPr>
        <w:t>0</w:t>
      </w:r>
      <w:r w:rsidRPr="00363097">
        <w:rPr>
          <w:rFonts w:eastAsia="Times New Roman"/>
          <w:noProof/>
          <w:lang w:eastAsia="en-GB"/>
        </w:rPr>
        <w:t>)</w:t>
      </w:r>
      <w:r w:rsidR="005D41B9">
        <w:rPr>
          <w:rFonts w:eastAsia="Times New Roman"/>
          <w:noProof/>
          <w:lang w:eastAsia="en-GB"/>
        </w:rPr>
        <w:t>.</w:t>
      </w:r>
    </w:p>
    <w:p w14:paraId="0C4E7801" w14:textId="212DCAC2" w:rsidR="006C1A08" w:rsidRDefault="00C21874" w:rsidP="00C21874">
      <w:pPr>
        <w:pStyle w:val="Rfrenceinterinstitutionnelle"/>
        <w:rPr>
          <w:noProof/>
        </w:rPr>
      </w:pPr>
      <w:r w:rsidRPr="00C21874">
        <w:t>2023/0321 (CNS)</w:t>
      </w:r>
    </w:p>
    <w:p w14:paraId="089A10CD" w14:textId="7F9F0290" w:rsidR="00081B7A" w:rsidRPr="00363097" w:rsidRDefault="00831040" w:rsidP="00831040">
      <w:pPr>
        <w:pStyle w:val="Statut"/>
        <w:rPr>
          <w:noProof/>
        </w:rPr>
      </w:pPr>
      <w:r w:rsidRPr="00831040">
        <w:rPr>
          <w:noProof/>
        </w:rPr>
        <w:t>Proposal for a</w:t>
      </w:r>
    </w:p>
    <w:p w14:paraId="19834504" w14:textId="3053E02F" w:rsidR="00081B7A" w:rsidRPr="00363097" w:rsidRDefault="00831040" w:rsidP="00831040">
      <w:pPr>
        <w:pStyle w:val="Typedudocument"/>
        <w:rPr>
          <w:noProof/>
        </w:rPr>
      </w:pPr>
      <w:r w:rsidRPr="00831040">
        <w:rPr>
          <w:noProof/>
        </w:rPr>
        <w:t>COUNCIL DIRECTIVE</w:t>
      </w:r>
    </w:p>
    <w:p w14:paraId="5BFB7B4D" w14:textId="5F57E666" w:rsidR="00081B7A" w:rsidRPr="00363097" w:rsidRDefault="00831040" w:rsidP="00831040">
      <w:pPr>
        <w:pStyle w:val="Titreobjet"/>
        <w:rPr>
          <w:noProof/>
        </w:rPr>
      </w:pPr>
      <w:r w:rsidRPr="00831040">
        <w:rPr>
          <w:noProof/>
        </w:rPr>
        <w:t>on Business in Europe: Framework for Income Taxation (BEFIT)</w:t>
      </w:r>
    </w:p>
    <w:p w14:paraId="59B61270" w14:textId="77777777" w:rsidR="00D62D38" w:rsidRDefault="00D62D38" w:rsidP="00D62D38">
      <w:pPr>
        <w:pStyle w:val="Institutionquiagit"/>
        <w:rPr>
          <w:noProof/>
        </w:rPr>
      </w:pPr>
      <w:r w:rsidRPr="00D62D38">
        <w:rPr>
          <w:noProof/>
        </w:rPr>
        <w:t>THE COUNCIL OF THE EUROPEAN UNION,</w:t>
      </w:r>
    </w:p>
    <w:p w14:paraId="38EE27E2" w14:textId="77777777" w:rsidR="00D62D38" w:rsidRDefault="00D62D38" w:rsidP="00081B7A">
      <w:pPr>
        <w:rPr>
          <w:noProof/>
        </w:rPr>
      </w:pPr>
      <w:r w:rsidRPr="00D62D38">
        <w:rPr>
          <w:noProof/>
        </w:rPr>
        <w:t>Having regard to the Treaty on the Functioning of the European Union, and in particular Article 115 thereof,</w:t>
      </w:r>
    </w:p>
    <w:p w14:paraId="237CD0BC" w14:textId="77777777" w:rsidR="00081B7A" w:rsidRPr="00363097" w:rsidRDefault="00081B7A" w:rsidP="00081B7A">
      <w:pPr>
        <w:rPr>
          <w:noProof/>
        </w:rPr>
      </w:pPr>
      <w:r w:rsidRPr="00363097">
        <w:rPr>
          <w:noProof/>
        </w:rPr>
        <w:t>Having regard to the proposal from the European Commission,</w:t>
      </w:r>
    </w:p>
    <w:p w14:paraId="066088A7" w14:textId="77777777" w:rsidR="00081B7A" w:rsidRPr="00363097" w:rsidRDefault="00081B7A" w:rsidP="00081B7A">
      <w:pPr>
        <w:rPr>
          <w:noProof/>
        </w:rPr>
      </w:pPr>
      <w:r w:rsidRPr="00363097">
        <w:rPr>
          <w:noProof/>
        </w:rPr>
        <w:t>After transmission of the draft legislative act to the national parliaments,</w:t>
      </w:r>
    </w:p>
    <w:p w14:paraId="406725AA" w14:textId="77777777" w:rsidR="00081B7A" w:rsidRPr="00363097" w:rsidRDefault="00081B7A" w:rsidP="00081B7A">
      <w:pPr>
        <w:rPr>
          <w:noProof/>
        </w:rPr>
      </w:pPr>
      <w:r w:rsidRPr="00363097">
        <w:rPr>
          <w:noProof/>
        </w:rPr>
        <w:t>Having regard to the opinion of the European Parliament</w:t>
      </w:r>
      <w:r w:rsidRPr="00363097">
        <w:rPr>
          <w:rStyle w:val="FootnoteReference0"/>
          <w:noProof/>
        </w:rPr>
        <w:footnoteReference w:id="23"/>
      </w:r>
      <w:r w:rsidRPr="00363097">
        <w:rPr>
          <w:noProof/>
        </w:rPr>
        <w:t>,</w:t>
      </w:r>
    </w:p>
    <w:p w14:paraId="501CD109" w14:textId="77777777" w:rsidR="00081B7A" w:rsidRPr="00363097" w:rsidRDefault="00081B7A" w:rsidP="00081B7A">
      <w:pPr>
        <w:rPr>
          <w:noProof/>
        </w:rPr>
      </w:pPr>
      <w:r w:rsidRPr="00363097">
        <w:rPr>
          <w:noProof/>
        </w:rPr>
        <w:t>Having regard to the opinion of the European Economic and Social Committee</w:t>
      </w:r>
      <w:r w:rsidRPr="00363097">
        <w:rPr>
          <w:rStyle w:val="FootnoteReference0"/>
          <w:noProof/>
        </w:rPr>
        <w:footnoteReference w:id="24"/>
      </w:r>
      <w:r w:rsidRPr="00363097">
        <w:rPr>
          <w:noProof/>
        </w:rPr>
        <w:t>,</w:t>
      </w:r>
    </w:p>
    <w:p w14:paraId="7C8C1DC8" w14:textId="77777777" w:rsidR="00081B7A" w:rsidRPr="00363097" w:rsidRDefault="00081B7A" w:rsidP="00081B7A">
      <w:pPr>
        <w:rPr>
          <w:noProof/>
        </w:rPr>
      </w:pPr>
      <w:r w:rsidRPr="00363097">
        <w:rPr>
          <w:noProof/>
        </w:rPr>
        <w:t>Acting in accordance with a special legislative procedure,</w:t>
      </w:r>
    </w:p>
    <w:p w14:paraId="265F87DB" w14:textId="77777777" w:rsidR="00081B7A" w:rsidRPr="00363097" w:rsidRDefault="00081B7A" w:rsidP="00081B7A">
      <w:pPr>
        <w:rPr>
          <w:noProof/>
        </w:rPr>
      </w:pPr>
      <w:r w:rsidRPr="00363097">
        <w:rPr>
          <w:noProof/>
        </w:rPr>
        <w:t>Whereas:</w:t>
      </w:r>
    </w:p>
    <w:p w14:paraId="39EB9C53" w14:textId="34A94176" w:rsidR="00081B7A" w:rsidRPr="00832681" w:rsidRDefault="00634583" w:rsidP="00634583">
      <w:pPr>
        <w:pStyle w:val="ManualConsidrant"/>
        <w:rPr>
          <w:noProof/>
        </w:rPr>
      </w:pPr>
      <w:r w:rsidRPr="00634583">
        <w:t>(1)</w:t>
      </w:r>
      <w:r w:rsidRPr="00634583">
        <w:tab/>
      </w:r>
      <w:r w:rsidR="00081B7A" w:rsidRPr="00832681">
        <w:rPr>
          <w:noProof/>
        </w:rPr>
        <w:t>Within the U</w:t>
      </w:r>
      <w:r w:rsidR="000F2E0B" w:rsidRPr="00832681">
        <w:rPr>
          <w:noProof/>
        </w:rPr>
        <w:t>nion</w:t>
      </w:r>
      <w:r w:rsidR="00081B7A" w:rsidRPr="00832681">
        <w:rPr>
          <w:noProof/>
        </w:rPr>
        <w:t xml:space="preserve"> there is currently no common approach to the computation of the taxable base for businesses. Therefore, U</w:t>
      </w:r>
      <w:r w:rsidR="000F2E0B" w:rsidRPr="00832681">
        <w:rPr>
          <w:noProof/>
        </w:rPr>
        <w:t>nion</w:t>
      </w:r>
      <w:r w:rsidR="00081B7A" w:rsidRPr="00832681">
        <w:rPr>
          <w:noProof/>
        </w:rPr>
        <w:t xml:space="preserve"> businesses are obliged to comply with a different corporate tax system in each Member State in which they operate. </w:t>
      </w:r>
    </w:p>
    <w:p w14:paraId="1ED8E5BC" w14:textId="0D208C0B" w:rsidR="00081B7A" w:rsidRPr="00832681" w:rsidRDefault="00634583" w:rsidP="00634583">
      <w:pPr>
        <w:pStyle w:val="ManualConsidrant"/>
        <w:rPr>
          <w:noProof/>
        </w:rPr>
      </w:pPr>
      <w:r w:rsidRPr="00634583">
        <w:t>(2)</w:t>
      </w:r>
      <w:r w:rsidRPr="00634583">
        <w:tab/>
      </w:r>
      <w:r w:rsidR="00081B7A" w:rsidRPr="00832681">
        <w:rPr>
          <w:noProof/>
        </w:rPr>
        <w:t>The existence of 27 different corporate income tax systems in the U</w:t>
      </w:r>
      <w:r w:rsidR="000F2E0B" w:rsidRPr="00832681">
        <w:rPr>
          <w:noProof/>
        </w:rPr>
        <w:t>nion</w:t>
      </w:r>
      <w:r w:rsidR="00081B7A" w:rsidRPr="00832681">
        <w:rPr>
          <w:noProof/>
        </w:rPr>
        <w:t xml:space="preserve"> gives rise to complexity in tax compliance and leads to </w:t>
      </w:r>
      <w:r w:rsidR="005427AE" w:rsidRPr="00832681">
        <w:rPr>
          <w:noProof/>
        </w:rPr>
        <w:t>unfair competition</w:t>
      </w:r>
      <w:r w:rsidR="00081B7A" w:rsidRPr="00832681">
        <w:rPr>
          <w:noProof/>
        </w:rPr>
        <w:t xml:space="preserve"> for businesses. Th</w:t>
      </w:r>
      <w:r w:rsidR="000F2E0B" w:rsidRPr="00832681">
        <w:rPr>
          <w:noProof/>
        </w:rPr>
        <w:t>at</w:t>
      </w:r>
      <w:r w:rsidR="00081B7A" w:rsidRPr="00832681">
        <w:rPr>
          <w:noProof/>
        </w:rPr>
        <w:t xml:space="preserve"> has become more evident as globalisation and digitalisation of the economy have significantly altered the perception of land borders and business models. As governments have tried to adapt to th</w:t>
      </w:r>
      <w:r w:rsidR="000F2E0B" w:rsidRPr="00832681">
        <w:rPr>
          <w:noProof/>
        </w:rPr>
        <w:t>at</w:t>
      </w:r>
      <w:r w:rsidR="00081B7A" w:rsidRPr="00832681">
        <w:rPr>
          <w:noProof/>
        </w:rPr>
        <w:t xml:space="preserve"> new reality, a fragmented response among Member States has led to further distortions in the internal market. The</w:t>
      </w:r>
      <w:r w:rsidR="00081B7A" w:rsidRPr="00832681" w:rsidDel="000A6202">
        <w:rPr>
          <w:noProof/>
        </w:rPr>
        <w:t xml:space="preserve"> </w:t>
      </w:r>
      <w:r w:rsidR="00081B7A" w:rsidRPr="00832681">
        <w:rPr>
          <w:noProof/>
        </w:rPr>
        <w:t>various legal frameworks inevitably lead to different tax administration practices across the Member States as well. This often entails long procedures characterised by unpredictability and inconsistency along with high compliance costs.</w:t>
      </w:r>
    </w:p>
    <w:p w14:paraId="01F21F03" w14:textId="7E2FDC3A" w:rsidR="00081B7A" w:rsidRPr="00832681" w:rsidRDefault="00634583" w:rsidP="00634583">
      <w:pPr>
        <w:pStyle w:val="ManualConsidrant"/>
        <w:rPr>
          <w:noProof/>
        </w:rPr>
      </w:pPr>
      <w:r w:rsidRPr="00634583">
        <w:t>(3)</w:t>
      </w:r>
      <w:r w:rsidRPr="00634583">
        <w:tab/>
      </w:r>
      <w:r w:rsidR="00081B7A" w:rsidRPr="00832681">
        <w:rPr>
          <w:noProof/>
        </w:rPr>
        <w:t xml:space="preserve">Albeit different in their design, the fundamental features of corporate income tax systems are similar as they lay down rules aiming towards the same objective, i.e., to arrive at a taxable base for businesses. In this vein, it would be important for businesses which operate </w:t>
      </w:r>
      <w:r w:rsidR="005427AE" w:rsidRPr="00832681">
        <w:rPr>
          <w:noProof/>
        </w:rPr>
        <w:t xml:space="preserve">on </w:t>
      </w:r>
      <w:r w:rsidR="00081B7A" w:rsidRPr="00832681">
        <w:rPr>
          <w:noProof/>
        </w:rPr>
        <w:t xml:space="preserve">the </w:t>
      </w:r>
      <w:r w:rsidR="00371C81" w:rsidRPr="00832681">
        <w:rPr>
          <w:noProof/>
        </w:rPr>
        <w:t xml:space="preserve">internal </w:t>
      </w:r>
      <w:r w:rsidR="00E076CA" w:rsidRPr="00832681">
        <w:rPr>
          <w:noProof/>
        </w:rPr>
        <w:t>m</w:t>
      </w:r>
      <w:r w:rsidR="00081B7A" w:rsidRPr="00832681">
        <w:rPr>
          <w:noProof/>
        </w:rPr>
        <w:t>arket that</w:t>
      </w:r>
      <w:r w:rsidR="00AE1C9C">
        <w:rPr>
          <w:noProof/>
        </w:rPr>
        <w:t xml:space="preserve"> Member</w:t>
      </w:r>
      <w:r w:rsidR="00081B7A" w:rsidRPr="00832681">
        <w:rPr>
          <w:noProof/>
        </w:rPr>
        <w:t xml:space="preserve"> States introduce a common legal framework to harmonise the fundamental features of corporate income tax systems with a view to simplifying tax rules and ensuring a </w:t>
      </w:r>
      <w:r w:rsidR="00CF2BFC" w:rsidRPr="00832681">
        <w:rPr>
          <w:noProof/>
        </w:rPr>
        <w:t>fair competition</w:t>
      </w:r>
      <w:r w:rsidR="00081B7A" w:rsidRPr="00832681">
        <w:rPr>
          <w:noProof/>
        </w:rPr>
        <w:t>.</w:t>
      </w:r>
    </w:p>
    <w:p w14:paraId="409C7508" w14:textId="00A2BCC1" w:rsidR="00081B7A" w:rsidRPr="00832681" w:rsidRDefault="00634583" w:rsidP="00634583">
      <w:pPr>
        <w:pStyle w:val="ManualConsidrant"/>
        <w:rPr>
          <w:noProof/>
        </w:rPr>
      </w:pPr>
      <w:r w:rsidRPr="00634583">
        <w:t>(4)</w:t>
      </w:r>
      <w:r w:rsidRPr="00634583">
        <w:tab/>
      </w:r>
      <w:r w:rsidR="004435EB" w:rsidRPr="00832681">
        <w:rPr>
          <w:noProof/>
        </w:rPr>
        <w:t>On</w:t>
      </w:r>
      <w:r w:rsidR="00FD4CE7" w:rsidRPr="00832681">
        <w:rPr>
          <w:noProof/>
        </w:rPr>
        <w:t xml:space="preserve"> 9 June 2023, </w:t>
      </w:r>
      <w:r w:rsidR="00081B7A" w:rsidRPr="00832681">
        <w:rPr>
          <w:noProof/>
        </w:rPr>
        <w:t>13</w:t>
      </w:r>
      <w:r w:rsidR="00FD4CE7" w:rsidRPr="00832681">
        <w:rPr>
          <w:noProof/>
        </w:rPr>
        <w:t>9</w:t>
      </w:r>
      <w:r w:rsidR="00081B7A" w:rsidRPr="00832681">
        <w:rPr>
          <w:noProof/>
        </w:rPr>
        <w:t xml:space="preserve"> jurisdictions</w:t>
      </w:r>
      <w:r w:rsidR="00FB7E5B" w:rsidRPr="00832681">
        <w:rPr>
          <w:noProof/>
        </w:rPr>
        <w:t>,</w:t>
      </w:r>
      <w:r w:rsidR="00081B7A" w:rsidRPr="00832681">
        <w:rPr>
          <w:noProof/>
        </w:rPr>
        <w:t xml:space="preserve"> which are members of the OECD/G20 Inclusive Framework</w:t>
      </w:r>
      <w:r w:rsidR="00FB7E5B" w:rsidRPr="00832681">
        <w:rPr>
          <w:noProof/>
        </w:rPr>
        <w:t>,</w:t>
      </w:r>
      <w:r w:rsidR="00081B7A" w:rsidRPr="00832681">
        <w:rPr>
          <w:noProof/>
        </w:rPr>
        <w:t xml:space="preserve"> </w:t>
      </w:r>
      <w:r w:rsidR="009C0C89" w:rsidRPr="00832681">
        <w:rPr>
          <w:noProof/>
        </w:rPr>
        <w:t xml:space="preserve">had </w:t>
      </w:r>
      <w:r w:rsidR="00FD4CE7" w:rsidRPr="00832681">
        <w:rPr>
          <w:noProof/>
        </w:rPr>
        <w:t xml:space="preserve">joined the October 2021 Statement on a </w:t>
      </w:r>
      <w:r w:rsidR="00081B7A" w:rsidRPr="00832681">
        <w:rPr>
          <w:noProof/>
        </w:rPr>
        <w:t>“Two Pillar Solution</w:t>
      </w:r>
      <w:r w:rsidR="00FD4CE7" w:rsidRPr="00832681">
        <w:rPr>
          <w:noProof/>
        </w:rPr>
        <w:t xml:space="preserve"> to address the tax challenges arising from the digitalisation of the economy</w:t>
      </w:r>
      <w:r w:rsidR="000404EF">
        <w:rPr>
          <w:noProof/>
        </w:rPr>
        <w:t>”</w:t>
      </w:r>
      <w:r w:rsidR="00045084" w:rsidRPr="00917A44">
        <w:rPr>
          <w:rStyle w:val="FootnoteReference0"/>
          <w:noProof/>
        </w:rPr>
        <w:footnoteReference w:id="25"/>
      </w:r>
      <w:r w:rsidR="00FB7E5B" w:rsidRPr="00832681">
        <w:rPr>
          <w:noProof/>
        </w:rPr>
        <w:t xml:space="preserve">. </w:t>
      </w:r>
      <w:r w:rsidR="000858F7" w:rsidRPr="00832681">
        <w:rPr>
          <w:noProof/>
        </w:rPr>
        <w:t xml:space="preserve">With that </w:t>
      </w:r>
      <w:r w:rsidR="009A31BD" w:rsidRPr="00832681">
        <w:rPr>
          <w:noProof/>
        </w:rPr>
        <w:t>S</w:t>
      </w:r>
      <w:r w:rsidR="000858F7" w:rsidRPr="00832681">
        <w:rPr>
          <w:noProof/>
        </w:rPr>
        <w:t xml:space="preserve">tatement, Member States agreed (i) to a review exercise that calculates potential minimum tax liability of large multinational groups starting from financial accounting, as parts of Pillar 2 and (ii) to partially re-allocate taxable profits on the basis of a formulary apportionment as part of Pillar 1. </w:t>
      </w:r>
      <w:r w:rsidR="00FB7E5B" w:rsidRPr="00832681">
        <w:rPr>
          <w:noProof/>
        </w:rPr>
        <w:t>T</w:t>
      </w:r>
      <w:r w:rsidR="00081B7A" w:rsidRPr="00832681">
        <w:rPr>
          <w:noProof/>
        </w:rPr>
        <w:t>he design of a common framework to address the tax challenges arising from digitalisation and globalisation should draw inspiration from the achievements of th</w:t>
      </w:r>
      <w:r w:rsidR="000F2E0B" w:rsidRPr="00832681">
        <w:rPr>
          <w:noProof/>
        </w:rPr>
        <w:t>at</w:t>
      </w:r>
      <w:r w:rsidR="00081B7A" w:rsidRPr="00832681">
        <w:rPr>
          <w:noProof/>
        </w:rPr>
        <w:t xml:space="preserve"> exercise. As the </w:t>
      </w:r>
      <w:r w:rsidR="00045084" w:rsidRPr="00832681">
        <w:rPr>
          <w:noProof/>
        </w:rPr>
        <w:t xml:space="preserve">implementation of </w:t>
      </w:r>
      <w:r w:rsidR="00324D00" w:rsidRPr="00832681">
        <w:rPr>
          <w:noProof/>
        </w:rPr>
        <w:t>P</w:t>
      </w:r>
      <w:r w:rsidR="00371C81" w:rsidRPr="00832681">
        <w:rPr>
          <w:noProof/>
        </w:rPr>
        <w:t xml:space="preserve">illar </w:t>
      </w:r>
      <w:r w:rsidR="000404EF">
        <w:rPr>
          <w:noProof/>
        </w:rPr>
        <w:t>2</w:t>
      </w:r>
      <w:r w:rsidR="00081B7A" w:rsidRPr="00832681">
        <w:rPr>
          <w:noProof/>
        </w:rPr>
        <w:t xml:space="preserve"> has unanimously been adopted by Member States via Council Directive (EU) 2022/2523</w:t>
      </w:r>
      <w:r w:rsidR="00081B7A" w:rsidRPr="00917A44">
        <w:rPr>
          <w:rStyle w:val="FootnoteReference0"/>
          <w:noProof/>
        </w:rPr>
        <w:footnoteReference w:id="26"/>
      </w:r>
      <w:r w:rsidR="00081B7A" w:rsidRPr="00832681">
        <w:rPr>
          <w:noProof/>
        </w:rPr>
        <w:t xml:space="preserve">, a common corporate tax framework in the Union should build upon concepts, such as the scope and computation of the tax base, which both businesses and Member States are already familiar with. </w:t>
      </w:r>
    </w:p>
    <w:p w14:paraId="4D427D90" w14:textId="6763F45F" w:rsidR="00081B7A" w:rsidRPr="00832681" w:rsidRDefault="00634583" w:rsidP="00634583">
      <w:pPr>
        <w:pStyle w:val="ManualConsidrant"/>
        <w:rPr>
          <w:noProof/>
        </w:rPr>
      </w:pPr>
      <w:r w:rsidRPr="00634583">
        <w:t>(5)</w:t>
      </w:r>
      <w:r w:rsidRPr="00634583">
        <w:tab/>
      </w:r>
      <w:r w:rsidR="00081B7A" w:rsidRPr="00832681">
        <w:rPr>
          <w:noProof/>
        </w:rPr>
        <w:t xml:space="preserve">The environment for doing business in the </w:t>
      </w:r>
      <w:r w:rsidR="000F2E0B" w:rsidRPr="00832681">
        <w:rPr>
          <w:noProof/>
        </w:rPr>
        <w:t xml:space="preserve">internal </w:t>
      </w:r>
      <w:r w:rsidR="00CF2BFC" w:rsidRPr="00832681">
        <w:rPr>
          <w:noProof/>
        </w:rPr>
        <w:t>market</w:t>
      </w:r>
      <w:r w:rsidR="00081B7A" w:rsidRPr="00832681">
        <w:rPr>
          <w:noProof/>
        </w:rPr>
        <w:t xml:space="preserve"> should </w:t>
      </w:r>
      <w:r w:rsidR="00E076CA" w:rsidRPr="00832681">
        <w:rPr>
          <w:noProof/>
        </w:rPr>
        <w:t>be made</w:t>
      </w:r>
      <w:r w:rsidR="00081B7A" w:rsidRPr="00832681">
        <w:rPr>
          <w:noProof/>
        </w:rPr>
        <w:t xml:space="preserve"> more attractive with the aim to</w:t>
      </w:r>
      <w:r w:rsidR="00081B7A" w:rsidRPr="00832681" w:rsidDel="00EA3795">
        <w:rPr>
          <w:noProof/>
        </w:rPr>
        <w:t xml:space="preserve"> </w:t>
      </w:r>
      <w:r w:rsidR="00081B7A" w:rsidRPr="00832681">
        <w:rPr>
          <w:noProof/>
        </w:rPr>
        <w:t>stimulate growth and investment in the U</w:t>
      </w:r>
      <w:r w:rsidR="000F2E0B" w:rsidRPr="00832681">
        <w:rPr>
          <w:noProof/>
        </w:rPr>
        <w:t>nion</w:t>
      </w:r>
      <w:r w:rsidR="00081B7A" w:rsidRPr="00832681">
        <w:rPr>
          <w:noProof/>
        </w:rPr>
        <w:t xml:space="preserve">. For this purpose, </w:t>
      </w:r>
      <w:r w:rsidR="00E076CA" w:rsidRPr="00832681">
        <w:rPr>
          <w:noProof/>
        </w:rPr>
        <w:t>the enactment of</w:t>
      </w:r>
      <w:r w:rsidR="00081B7A" w:rsidRPr="00832681">
        <w:rPr>
          <w:noProof/>
        </w:rPr>
        <w:t xml:space="preserve"> a common framework of corporate tax rules</w:t>
      </w:r>
      <w:r w:rsidR="00E076CA" w:rsidRPr="00832681">
        <w:rPr>
          <w:noProof/>
        </w:rPr>
        <w:t xml:space="preserve"> should be </w:t>
      </w:r>
      <w:r w:rsidR="007771ED" w:rsidRPr="00832681">
        <w:rPr>
          <w:noProof/>
        </w:rPr>
        <w:t>prioritised</w:t>
      </w:r>
      <w:r w:rsidR="00081B7A" w:rsidRPr="00832681">
        <w:rPr>
          <w:noProof/>
        </w:rPr>
        <w:t>, in order to</w:t>
      </w:r>
      <w:r w:rsidR="00081B7A" w:rsidRPr="00832681" w:rsidDel="00FC7BFD">
        <w:rPr>
          <w:noProof/>
        </w:rPr>
        <w:t xml:space="preserve"> </w:t>
      </w:r>
      <w:r w:rsidR="00081B7A" w:rsidRPr="00832681">
        <w:rPr>
          <w:noProof/>
        </w:rPr>
        <w:t xml:space="preserve">make it </w:t>
      </w:r>
      <w:r w:rsidR="001E2612" w:rsidRPr="00832681">
        <w:rPr>
          <w:noProof/>
        </w:rPr>
        <w:t xml:space="preserve">easier </w:t>
      </w:r>
      <w:r w:rsidR="00081B7A" w:rsidRPr="00832681">
        <w:rPr>
          <w:noProof/>
        </w:rPr>
        <w:t xml:space="preserve">for businesses to comply with </w:t>
      </w:r>
      <w:r w:rsidR="00E076CA" w:rsidRPr="00832681">
        <w:rPr>
          <w:noProof/>
        </w:rPr>
        <w:t xml:space="preserve">such rules </w:t>
      </w:r>
      <w:r w:rsidR="00081B7A" w:rsidRPr="00832681">
        <w:rPr>
          <w:noProof/>
        </w:rPr>
        <w:t xml:space="preserve">when they operate across borders and also </w:t>
      </w:r>
      <w:r w:rsidR="00E076CA" w:rsidRPr="00832681">
        <w:rPr>
          <w:noProof/>
        </w:rPr>
        <w:t xml:space="preserve">to </w:t>
      </w:r>
      <w:r w:rsidR="00081B7A" w:rsidRPr="00832681">
        <w:rPr>
          <w:noProof/>
        </w:rPr>
        <w:t>encourage those who wish to</w:t>
      </w:r>
      <w:r w:rsidR="00640182" w:rsidRPr="00832681">
        <w:rPr>
          <w:noProof/>
        </w:rPr>
        <w:t xml:space="preserve"> further</w:t>
      </w:r>
      <w:r w:rsidR="00081B7A" w:rsidRPr="00832681">
        <w:rPr>
          <w:noProof/>
        </w:rPr>
        <w:t xml:space="preserve"> expand abroad</w:t>
      </w:r>
      <w:r w:rsidR="00640182" w:rsidRPr="00832681">
        <w:rPr>
          <w:noProof/>
        </w:rPr>
        <w:t xml:space="preserve"> </w:t>
      </w:r>
      <w:r w:rsidR="00081B7A" w:rsidRPr="00832681">
        <w:rPr>
          <w:noProof/>
        </w:rPr>
        <w:t xml:space="preserve">to do so. A single set of corporate tax rules for international activity </w:t>
      </w:r>
      <w:r w:rsidR="001E2612" w:rsidRPr="00832681">
        <w:rPr>
          <w:noProof/>
        </w:rPr>
        <w:t>is</w:t>
      </w:r>
      <w:r w:rsidR="00081B7A" w:rsidRPr="00832681">
        <w:rPr>
          <w:noProof/>
        </w:rPr>
        <w:t xml:space="preserve"> expected to result in enhanced tax certainty and less tax disputes, as it would tackle distortions and decrease the number of cases of double and over-taxation. Furthermore, as tax revenue sustainability is key to Member States’ budgets, including to invest in infrastructure</w:t>
      </w:r>
      <w:r w:rsidR="00E076CA" w:rsidRPr="00832681">
        <w:rPr>
          <w:noProof/>
        </w:rPr>
        <w:t>,</w:t>
      </w:r>
      <w:r w:rsidR="00CA1363" w:rsidRPr="00832681">
        <w:rPr>
          <w:noProof/>
        </w:rPr>
        <w:t xml:space="preserve"> </w:t>
      </w:r>
      <w:r w:rsidR="000F2E0B" w:rsidRPr="00832681">
        <w:rPr>
          <w:noProof/>
        </w:rPr>
        <w:t>research and development</w:t>
      </w:r>
      <w:r w:rsidR="00081B7A" w:rsidRPr="00832681">
        <w:rPr>
          <w:noProof/>
        </w:rPr>
        <w:t xml:space="preserve"> and to deliver public services, it would be critical to ensure for the future that the allocation of revenues is performed in accordance with a tool based on solid parameters that cannot be abused.</w:t>
      </w:r>
    </w:p>
    <w:p w14:paraId="0AD7DD00" w14:textId="08E57FC9" w:rsidR="00081B7A" w:rsidRPr="00832681" w:rsidRDefault="00634583" w:rsidP="00634583">
      <w:pPr>
        <w:pStyle w:val="ManualConsidrant"/>
        <w:rPr>
          <w:noProof/>
        </w:rPr>
      </w:pPr>
      <w:r w:rsidRPr="00634583">
        <w:t>(6)</w:t>
      </w:r>
      <w:r w:rsidRPr="00634583">
        <w:tab/>
      </w:r>
      <w:r w:rsidR="00081B7A" w:rsidRPr="00832681">
        <w:rPr>
          <w:noProof/>
        </w:rPr>
        <w:t>It is indeed critical to create a system that achieves a degree of uniformity across the U</w:t>
      </w:r>
      <w:r w:rsidR="000F2E0B" w:rsidRPr="00832681">
        <w:rPr>
          <w:noProof/>
        </w:rPr>
        <w:t>nion</w:t>
      </w:r>
      <w:r w:rsidR="00081B7A" w:rsidRPr="00832681">
        <w:rPr>
          <w:noProof/>
        </w:rPr>
        <w:t>, at least amongst the taxpayers that it is chiefly addressed to. Accordingly, and considering the efforts that both tax administrations and businesses have made in order to implement the framework of a global minimum level of taxation, it would be important to capitalise on this achievement and design rules that remain as close as possible to the OECD/G20 Model Rules and Directive</w:t>
      </w:r>
      <w:r w:rsidR="00CA1363" w:rsidRPr="00832681">
        <w:rPr>
          <w:noProof/>
        </w:rPr>
        <w:t xml:space="preserve"> </w:t>
      </w:r>
      <w:r w:rsidR="000F2E0B" w:rsidRPr="00832681">
        <w:rPr>
          <w:noProof/>
        </w:rPr>
        <w:t>(EU) 2022/2523</w:t>
      </w:r>
      <w:r w:rsidR="00081B7A" w:rsidRPr="00832681">
        <w:rPr>
          <w:noProof/>
        </w:rPr>
        <w:t>. On this basis, the common framework</w:t>
      </w:r>
      <w:r w:rsidR="00081B7A" w:rsidRPr="00832681" w:rsidDel="00200ABD">
        <w:rPr>
          <w:noProof/>
        </w:rPr>
        <w:t xml:space="preserve"> </w:t>
      </w:r>
      <w:r w:rsidR="00081B7A" w:rsidRPr="00832681">
        <w:rPr>
          <w:noProof/>
        </w:rPr>
        <w:t xml:space="preserve">of rules </w:t>
      </w:r>
      <w:r w:rsidR="001E2612" w:rsidRPr="00832681">
        <w:rPr>
          <w:noProof/>
        </w:rPr>
        <w:t xml:space="preserve">should be </w:t>
      </w:r>
      <w:r w:rsidR="00081B7A" w:rsidRPr="00832681">
        <w:rPr>
          <w:noProof/>
        </w:rPr>
        <w:t>mandatory for groups with a taxable presence in the U</w:t>
      </w:r>
      <w:r w:rsidR="00181EBC" w:rsidRPr="00832681">
        <w:rPr>
          <w:noProof/>
        </w:rPr>
        <w:t>nion</w:t>
      </w:r>
      <w:r w:rsidR="00081B7A" w:rsidRPr="00832681">
        <w:rPr>
          <w:noProof/>
        </w:rPr>
        <w:t xml:space="preserve"> provided that they have annual combined revenues of more than EUR 750 000 000 based on their consolidated financial statements. In this way, the scope would thus be targeted at businesses that are most likely to have cross-border activities and, thereby, </w:t>
      </w:r>
      <w:r w:rsidR="00531E5C" w:rsidRPr="00832681">
        <w:rPr>
          <w:noProof/>
        </w:rPr>
        <w:t xml:space="preserve">can </w:t>
      </w:r>
      <w:r w:rsidR="00081B7A" w:rsidRPr="00832681">
        <w:rPr>
          <w:noProof/>
        </w:rPr>
        <w:t xml:space="preserve">benefit from the simplification which a common legal framework would offer. The threshold would also provide alignment with Directive </w:t>
      </w:r>
      <w:r w:rsidR="00BF4B28" w:rsidRPr="00832681">
        <w:rPr>
          <w:noProof/>
        </w:rPr>
        <w:t>(EU) 2022/2523</w:t>
      </w:r>
      <w:r w:rsidR="00081B7A" w:rsidRPr="00832681">
        <w:rPr>
          <w:noProof/>
        </w:rPr>
        <w:t xml:space="preserve"> for a consistent approach in the Union.</w:t>
      </w:r>
    </w:p>
    <w:p w14:paraId="1645FAC1" w14:textId="0CCF5466" w:rsidR="00081B7A" w:rsidRPr="00832681" w:rsidRDefault="00634583" w:rsidP="00634583">
      <w:pPr>
        <w:pStyle w:val="ManualConsidrant"/>
        <w:rPr>
          <w:noProof/>
        </w:rPr>
      </w:pPr>
      <w:r w:rsidRPr="00634583">
        <w:t>(7)</w:t>
      </w:r>
      <w:r w:rsidRPr="00634583">
        <w:tab/>
      </w:r>
      <w:r w:rsidR="00081B7A" w:rsidRPr="00832681">
        <w:rPr>
          <w:noProof/>
        </w:rPr>
        <w:t>Although the threshold would be determined on the basis of the combined revenues of the group</w:t>
      </w:r>
      <w:r w:rsidR="009124DD" w:rsidRPr="00832681">
        <w:rPr>
          <w:noProof/>
        </w:rPr>
        <w:t xml:space="preserve"> on a global basis</w:t>
      </w:r>
      <w:r w:rsidR="00081B7A" w:rsidRPr="00832681">
        <w:rPr>
          <w:noProof/>
        </w:rPr>
        <w:t xml:space="preserve">, the remit of the provisions should be limited to members of the group </w:t>
      </w:r>
      <w:r w:rsidR="00181EBC" w:rsidRPr="00832681">
        <w:rPr>
          <w:noProof/>
        </w:rPr>
        <w:t xml:space="preserve">operating on </w:t>
      </w:r>
      <w:r w:rsidR="00081B7A" w:rsidRPr="00832681">
        <w:rPr>
          <w:noProof/>
        </w:rPr>
        <w:t xml:space="preserve">the </w:t>
      </w:r>
      <w:r w:rsidR="00181EBC" w:rsidRPr="00832681">
        <w:rPr>
          <w:noProof/>
        </w:rPr>
        <w:t>internal m</w:t>
      </w:r>
      <w:r w:rsidR="00081B7A" w:rsidRPr="00832681">
        <w:rPr>
          <w:noProof/>
        </w:rPr>
        <w:t xml:space="preserve">arket as </w:t>
      </w:r>
      <w:r w:rsidR="00181EBC" w:rsidRPr="00832681">
        <w:rPr>
          <w:noProof/>
        </w:rPr>
        <w:t xml:space="preserve">Union </w:t>
      </w:r>
      <w:r w:rsidR="00081B7A" w:rsidRPr="00832681">
        <w:rPr>
          <w:noProof/>
        </w:rPr>
        <w:t>law only applies within the Union and does not bind non-</w:t>
      </w:r>
      <w:r w:rsidR="002E7E35" w:rsidRPr="00832681">
        <w:rPr>
          <w:noProof/>
        </w:rPr>
        <w:t xml:space="preserve">Member </w:t>
      </w:r>
      <w:r w:rsidR="00081B7A" w:rsidRPr="00832681">
        <w:rPr>
          <w:noProof/>
        </w:rPr>
        <w:t xml:space="preserve">States. </w:t>
      </w:r>
      <w:r w:rsidR="00DF53EB" w:rsidRPr="00832681">
        <w:rPr>
          <w:noProof/>
        </w:rPr>
        <w:t>O</w:t>
      </w:r>
      <w:r w:rsidR="00081B7A" w:rsidRPr="00832681">
        <w:rPr>
          <w:noProof/>
        </w:rPr>
        <w:t>nly the U</w:t>
      </w:r>
      <w:r w:rsidR="002E7E35" w:rsidRPr="00832681">
        <w:rPr>
          <w:noProof/>
        </w:rPr>
        <w:t>nion</w:t>
      </w:r>
      <w:r w:rsidR="00081B7A" w:rsidRPr="00832681">
        <w:rPr>
          <w:noProof/>
        </w:rPr>
        <w:t xml:space="preserve"> sub-set of </w:t>
      </w:r>
      <w:r w:rsidR="009124DD" w:rsidRPr="00832681">
        <w:rPr>
          <w:noProof/>
        </w:rPr>
        <w:t xml:space="preserve">such a </w:t>
      </w:r>
      <w:r w:rsidR="00081B7A" w:rsidRPr="00832681">
        <w:rPr>
          <w:noProof/>
        </w:rPr>
        <w:t xml:space="preserve">group should </w:t>
      </w:r>
      <w:r w:rsidR="00DF53EB" w:rsidRPr="00832681">
        <w:rPr>
          <w:noProof/>
        </w:rPr>
        <w:t xml:space="preserve">therefore </w:t>
      </w:r>
      <w:r w:rsidR="00081B7A" w:rsidRPr="00832681">
        <w:rPr>
          <w:noProof/>
        </w:rPr>
        <w:t xml:space="preserve">be captured. This would include companies which are resident for tax purposes in a Member State and their permanent establishments operating in a Member State as well as the permanent establishments in the Union of </w:t>
      </w:r>
      <w:r w:rsidR="002929E3">
        <w:rPr>
          <w:noProof/>
        </w:rPr>
        <w:t>third country</w:t>
      </w:r>
      <w:r w:rsidR="00081B7A" w:rsidRPr="00832681">
        <w:rPr>
          <w:noProof/>
        </w:rPr>
        <w:t xml:space="preserve"> companies of the same group. Considering that the concept of a permanent establishment is dealt with within bilateral tax treaties and national law and although the definition features some common principles, there is still</w:t>
      </w:r>
      <w:r w:rsidR="00081B7A" w:rsidRPr="00832681" w:rsidDel="00741FED">
        <w:rPr>
          <w:noProof/>
        </w:rPr>
        <w:t xml:space="preserve"> </w:t>
      </w:r>
      <w:r w:rsidR="00081B7A" w:rsidRPr="00832681">
        <w:rPr>
          <w:noProof/>
        </w:rPr>
        <w:t xml:space="preserve">a degree of divergence worldwide. Consequently, it would be a pragmatic approach to rely on the existing double taxation treaties and national rules of the Member States, rather than attempt full harmonisation through secondary Union law. </w:t>
      </w:r>
    </w:p>
    <w:p w14:paraId="15B188F8" w14:textId="79C81B61" w:rsidR="00081B7A" w:rsidRPr="00832681" w:rsidRDefault="00634583" w:rsidP="00634583">
      <w:pPr>
        <w:pStyle w:val="ManualConsidrant"/>
        <w:rPr>
          <w:noProof/>
        </w:rPr>
      </w:pPr>
      <w:r w:rsidRPr="00634583">
        <w:t>(8)</w:t>
      </w:r>
      <w:r w:rsidRPr="00634583">
        <w:tab/>
      </w:r>
      <w:r w:rsidR="00081B7A" w:rsidRPr="00832681">
        <w:rPr>
          <w:noProof/>
        </w:rPr>
        <w:t xml:space="preserve">To ensure proportionality and the well-functioning of the common framework, group members, including companies resident in a Member State, their permanent establishments and permanent establishments </w:t>
      </w:r>
      <w:r w:rsidR="00B86E34" w:rsidRPr="00832681">
        <w:rPr>
          <w:noProof/>
        </w:rPr>
        <w:t xml:space="preserve">in the Union </w:t>
      </w:r>
      <w:r w:rsidR="00081B7A" w:rsidRPr="00832681">
        <w:rPr>
          <w:noProof/>
        </w:rPr>
        <w:t xml:space="preserve">which are members of a group headquartered outside the Union, with limited activity in the </w:t>
      </w:r>
      <w:r w:rsidR="00B86E34" w:rsidRPr="00832681">
        <w:rPr>
          <w:noProof/>
        </w:rPr>
        <w:t>interna</w:t>
      </w:r>
      <w:r w:rsidR="007771ED" w:rsidRPr="00832681">
        <w:rPr>
          <w:noProof/>
        </w:rPr>
        <w:t>l</w:t>
      </w:r>
      <w:r w:rsidR="00B86E34" w:rsidRPr="00832681">
        <w:rPr>
          <w:noProof/>
        </w:rPr>
        <w:t xml:space="preserve"> m</w:t>
      </w:r>
      <w:r w:rsidR="00081B7A" w:rsidRPr="00832681">
        <w:rPr>
          <w:noProof/>
        </w:rPr>
        <w:t>arket</w:t>
      </w:r>
      <w:r w:rsidR="00081B7A" w:rsidRPr="00832681" w:rsidDel="00EF5C2A">
        <w:rPr>
          <w:noProof/>
        </w:rPr>
        <w:t xml:space="preserve"> </w:t>
      </w:r>
      <w:r w:rsidR="00B86E34" w:rsidRPr="00832681">
        <w:rPr>
          <w:noProof/>
        </w:rPr>
        <w:t xml:space="preserve">should </w:t>
      </w:r>
      <w:r w:rsidR="00081B7A" w:rsidRPr="00832681">
        <w:rPr>
          <w:noProof/>
        </w:rPr>
        <w:t>be excluded from the scope through a materiality threshold.</w:t>
      </w:r>
    </w:p>
    <w:p w14:paraId="56E0572D" w14:textId="0AF87C60" w:rsidR="00081B7A" w:rsidRPr="00832681" w:rsidRDefault="00634583" w:rsidP="00634583">
      <w:pPr>
        <w:pStyle w:val="ManualConsidrant"/>
        <w:rPr>
          <w:noProof/>
        </w:rPr>
      </w:pPr>
      <w:r w:rsidRPr="00634583">
        <w:t>(9)</w:t>
      </w:r>
      <w:r w:rsidRPr="00634583">
        <w:tab/>
      </w:r>
      <w:r w:rsidR="00B86E34" w:rsidRPr="00832681">
        <w:rPr>
          <w:noProof/>
        </w:rPr>
        <w:t>T</w:t>
      </w:r>
      <w:r w:rsidR="00081B7A" w:rsidRPr="00832681">
        <w:rPr>
          <w:noProof/>
        </w:rPr>
        <w:t xml:space="preserve">he objective of simplifying the current </w:t>
      </w:r>
      <w:r w:rsidR="00B86E34" w:rsidRPr="00832681">
        <w:rPr>
          <w:noProof/>
        </w:rPr>
        <w:t xml:space="preserve">rules </w:t>
      </w:r>
      <w:r w:rsidR="00081B7A" w:rsidRPr="00832681">
        <w:rPr>
          <w:noProof/>
        </w:rPr>
        <w:t>underscores the envisaged initiative</w:t>
      </w:r>
      <w:r w:rsidR="00B86E34" w:rsidRPr="00832681">
        <w:rPr>
          <w:noProof/>
        </w:rPr>
        <w:t>. Therefore</w:t>
      </w:r>
      <w:r w:rsidR="00C547D6">
        <w:rPr>
          <w:noProof/>
        </w:rPr>
        <w:t>,</w:t>
      </w:r>
      <w:r w:rsidR="00B86E34" w:rsidRPr="00832681">
        <w:rPr>
          <w:noProof/>
        </w:rPr>
        <w:t xml:space="preserve"> t</w:t>
      </w:r>
      <w:r w:rsidR="00081B7A" w:rsidRPr="00832681">
        <w:rPr>
          <w:noProof/>
        </w:rPr>
        <w:t xml:space="preserve">he rules on the computation of the tax base should be built by applying a limited series of tax adjustments to the financial statements of each group member. These limited adjustments would represent common adjustments that are necessary to convert the financial accounting statements into a tax base. </w:t>
      </w:r>
      <w:r w:rsidR="008B4762" w:rsidRPr="00832681">
        <w:rPr>
          <w:noProof/>
        </w:rPr>
        <w:t>Considering the need for alignment with Directive (EU) 2022/2523, the adjustments should resonate with that framework, which should also facilitate implementation for Member States and businesses that would already be familiar with the general principles.</w:t>
      </w:r>
    </w:p>
    <w:p w14:paraId="777D4551" w14:textId="2BF90318" w:rsidR="00081B7A" w:rsidRPr="00832681" w:rsidRDefault="00634583" w:rsidP="00634583">
      <w:pPr>
        <w:pStyle w:val="ManualConsidrant"/>
        <w:rPr>
          <w:noProof/>
        </w:rPr>
      </w:pPr>
      <w:r w:rsidRPr="00634583">
        <w:t>(10)</w:t>
      </w:r>
      <w:r w:rsidRPr="00634583">
        <w:tab/>
      </w:r>
      <w:r w:rsidR="00081B7A" w:rsidRPr="00832681">
        <w:rPr>
          <w:noProof/>
        </w:rPr>
        <w:t>Given that</w:t>
      </w:r>
      <w:r w:rsidR="005B7991" w:rsidRPr="00832681">
        <w:rPr>
          <w:noProof/>
        </w:rPr>
        <w:t>, with the aim to bring simplification,</w:t>
      </w:r>
      <w:r w:rsidR="00081B7A" w:rsidRPr="00832681" w:rsidDel="00FE28B3">
        <w:rPr>
          <w:noProof/>
        </w:rPr>
        <w:t xml:space="preserve"> </w:t>
      </w:r>
      <w:r w:rsidR="00081B7A" w:rsidRPr="00832681">
        <w:rPr>
          <w:noProof/>
        </w:rPr>
        <w:t xml:space="preserve">the financial accounts will be used as a starting point for </w:t>
      </w:r>
      <w:r w:rsidR="00690300" w:rsidRPr="00832681">
        <w:rPr>
          <w:noProof/>
        </w:rPr>
        <w:t>computing the tax b</w:t>
      </w:r>
      <w:r w:rsidR="00013184" w:rsidRPr="00832681">
        <w:rPr>
          <w:noProof/>
        </w:rPr>
        <w:t>ase</w:t>
      </w:r>
      <w:r w:rsidR="000D4042" w:rsidRPr="00832681">
        <w:rPr>
          <w:noProof/>
        </w:rPr>
        <w:t xml:space="preserve"> of each </w:t>
      </w:r>
      <w:r w:rsidR="005D5AAE" w:rsidRPr="00832681">
        <w:rPr>
          <w:noProof/>
        </w:rPr>
        <w:t>group member</w:t>
      </w:r>
      <w:r w:rsidR="00081B7A" w:rsidRPr="00832681">
        <w:rPr>
          <w:noProof/>
        </w:rPr>
        <w:t xml:space="preserve">, it </w:t>
      </w:r>
      <w:r w:rsidR="00466F0F" w:rsidRPr="00832681">
        <w:rPr>
          <w:noProof/>
        </w:rPr>
        <w:t>is</w:t>
      </w:r>
      <w:r w:rsidR="00081B7A" w:rsidRPr="00832681">
        <w:rPr>
          <w:noProof/>
        </w:rPr>
        <w:t xml:space="preserve"> necessary to draft </w:t>
      </w:r>
      <w:r w:rsidR="003C0C46" w:rsidRPr="00832681">
        <w:rPr>
          <w:noProof/>
        </w:rPr>
        <w:t xml:space="preserve">tax </w:t>
      </w:r>
      <w:r w:rsidR="00081B7A" w:rsidRPr="00832681">
        <w:rPr>
          <w:noProof/>
        </w:rPr>
        <w:t xml:space="preserve">rules in </w:t>
      </w:r>
      <w:r w:rsidR="00270BE8" w:rsidRPr="00832681">
        <w:rPr>
          <w:noProof/>
        </w:rPr>
        <w:t xml:space="preserve">such </w:t>
      </w:r>
      <w:r w:rsidR="00081B7A" w:rsidRPr="00832681">
        <w:rPr>
          <w:noProof/>
        </w:rPr>
        <w:t xml:space="preserve">a way that they </w:t>
      </w:r>
      <w:r w:rsidR="00B9616D" w:rsidRPr="00832681">
        <w:rPr>
          <w:noProof/>
        </w:rPr>
        <w:t>stay as close as possible</w:t>
      </w:r>
      <w:r w:rsidR="00C62BF9" w:rsidRPr="00832681">
        <w:rPr>
          <w:noProof/>
        </w:rPr>
        <w:t xml:space="preserve"> to</w:t>
      </w:r>
      <w:r w:rsidR="00913BBF" w:rsidRPr="00832681">
        <w:rPr>
          <w:noProof/>
        </w:rPr>
        <w:t xml:space="preserve"> </w:t>
      </w:r>
      <w:r w:rsidR="00081B7A" w:rsidRPr="00832681">
        <w:rPr>
          <w:noProof/>
        </w:rPr>
        <w:t xml:space="preserve">financial accounting. </w:t>
      </w:r>
      <w:r w:rsidR="00690300" w:rsidRPr="00832681">
        <w:rPr>
          <w:noProof/>
        </w:rPr>
        <w:t>In the cases where</w:t>
      </w:r>
      <w:r w:rsidR="00081B7A" w:rsidRPr="00832681">
        <w:rPr>
          <w:noProof/>
        </w:rPr>
        <w:t xml:space="preserve"> </w:t>
      </w:r>
      <w:r w:rsidR="003C0C46" w:rsidRPr="00832681">
        <w:rPr>
          <w:noProof/>
        </w:rPr>
        <w:t xml:space="preserve">this is possible, </w:t>
      </w:r>
      <w:r w:rsidR="00081B7A" w:rsidRPr="00832681">
        <w:rPr>
          <w:noProof/>
        </w:rPr>
        <w:t xml:space="preserve">the financial accounting treatment of an asset or liability would </w:t>
      </w:r>
      <w:r w:rsidR="003C0C46" w:rsidRPr="00832681">
        <w:rPr>
          <w:noProof/>
        </w:rPr>
        <w:t xml:space="preserve">not change </w:t>
      </w:r>
      <w:r w:rsidR="00CF10DC" w:rsidRPr="00832681">
        <w:rPr>
          <w:noProof/>
        </w:rPr>
        <w:t>for the purpose of taxation</w:t>
      </w:r>
      <w:r w:rsidR="00312B45" w:rsidRPr="00832681">
        <w:rPr>
          <w:noProof/>
        </w:rPr>
        <w:t xml:space="preserve"> and consequently</w:t>
      </w:r>
      <w:r w:rsidR="00690300" w:rsidRPr="00832681">
        <w:rPr>
          <w:noProof/>
        </w:rPr>
        <w:t>,</w:t>
      </w:r>
      <w:r w:rsidR="00081B7A" w:rsidRPr="00832681">
        <w:rPr>
          <w:noProof/>
        </w:rPr>
        <w:t xml:space="preserve"> no adjustments would be required.</w:t>
      </w:r>
      <w:r w:rsidR="002A1370" w:rsidRPr="00832681">
        <w:rPr>
          <w:noProof/>
        </w:rPr>
        <w:t xml:space="preserve"> Accordingly,</w:t>
      </w:r>
      <w:r w:rsidR="00CF51A9" w:rsidRPr="00832681">
        <w:rPr>
          <w:noProof/>
        </w:rPr>
        <w:t xml:space="preserve"> </w:t>
      </w:r>
      <w:r w:rsidR="00B97C64" w:rsidRPr="00832681">
        <w:rPr>
          <w:noProof/>
        </w:rPr>
        <w:t>it is also necessary</w:t>
      </w:r>
      <w:r w:rsidR="00977F2F" w:rsidRPr="00832681">
        <w:rPr>
          <w:noProof/>
        </w:rPr>
        <w:t xml:space="preserve"> that</w:t>
      </w:r>
      <w:r w:rsidR="00CF51A9" w:rsidRPr="00832681">
        <w:rPr>
          <w:noProof/>
        </w:rPr>
        <w:t xml:space="preserve"> </w:t>
      </w:r>
      <w:r w:rsidR="001E3FA5" w:rsidRPr="00832681">
        <w:rPr>
          <w:noProof/>
        </w:rPr>
        <w:t xml:space="preserve">in line with the rationale of taxation, </w:t>
      </w:r>
      <w:r w:rsidR="00EC5AD0" w:rsidRPr="00832681">
        <w:rPr>
          <w:noProof/>
        </w:rPr>
        <w:t>other</w:t>
      </w:r>
      <w:r w:rsidR="00CF51A9" w:rsidRPr="00832681">
        <w:rPr>
          <w:noProof/>
        </w:rPr>
        <w:t xml:space="preserve"> elements of the </w:t>
      </w:r>
      <w:r w:rsidR="0027579B" w:rsidRPr="00832681">
        <w:rPr>
          <w:noProof/>
        </w:rPr>
        <w:t>tax base</w:t>
      </w:r>
      <w:r w:rsidR="00EF293D" w:rsidRPr="00832681">
        <w:rPr>
          <w:noProof/>
        </w:rPr>
        <w:t xml:space="preserve"> </w:t>
      </w:r>
      <w:r w:rsidR="00917159" w:rsidRPr="00832681">
        <w:rPr>
          <w:noProof/>
        </w:rPr>
        <w:t xml:space="preserve">be treated </w:t>
      </w:r>
      <w:r w:rsidR="00A10438" w:rsidRPr="00832681">
        <w:rPr>
          <w:noProof/>
        </w:rPr>
        <w:t xml:space="preserve">for tax purposes in a different way compared to </w:t>
      </w:r>
      <w:r w:rsidR="0027689C" w:rsidRPr="00832681">
        <w:rPr>
          <w:noProof/>
        </w:rPr>
        <w:t xml:space="preserve">how they are qualified under financial </w:t>
      </w:r>
      <w:r w:rsidR="00A10438" w:rsidRPr="00832681">
        <w:rPr>
          <w:noProof/>
        </w:rPr>
        <w:t>accounting.</w:t>
      </w:r>
    </w:p>
    <w:p w14:paraId="1BD92AD1" w14:textId="6C73A7CB" w:rsidR="00081B7A" w:rsidRPr="00832681" w:rsidRDefault="00634583" w:rsidP="00634583">
      <w:pPr>
        <w:pStyle w:val="ManualConsidrant"/>
        <w:rPr>
          <w:noProof/>
        </w:rPr>
      </w:pPr>
      <w:r w:rsidRPr="00634583">
        <w:t>(11)</w:t>
      </w:r>
      <w:r w:rsidRPr="00634583">
        <w:tab/>
      </w:r>
      <w:r w:rsidR="00EB23E4" w:rsidRPr="00832681">
        <w:rPr>
          <w:noProof/>
        </w:rPr>
        <w:t>A</w:t>
      </w:r>
      <w:r w:rsidR="00081B7A" w:rsidRPr="00832681">
        <w:rPr>
          <w:noProof/>
        </w:rPr>
        <w:t>ccordingly</w:t>
      </w:r>
      <w:r w:rsidR="00EB23E4" w:rsidRPr="00832681">
        <w:rPr>
          <w:noProof/>
        </w:rPr>
        <w:t>, it is</w:t>
      </w:r>
      <w:r w:rsidR="00081B7A" w:rsidRPr="00832681">
        <w:rPr>
          <w:noProof/>
        </w:rPr>
        <w:t xml:space="preserve"> essential to address specific sectors of activity, notably international shipping, that require certain sector-specific adjustments. For group members</w:t>
      </w:r>
      <w:r w:rsidR="00EB23E4" w:rsidRPr="00832681">
        <w:rPr>
          <w:noProof/>
        </w:rPr>
        <w:t xml:space="preserve"> in this sector</w:t>
      </w:r>
      <w:r w:rsidR="00081B7A" w:rsidRPr="00832681">
        <w:rPr>
          <w:noProof/>
        </w:rPr>
        <w:t xml:space="preserve">, the financial accounts would have to be adjusted, in order to exclude an amount (profit or loss) covered by a </w:t>
      </w:r>
      <w:r w:rsidR="005353B1" w:rsidRPr="00832681">
        <w:rPr>
          <w:noProof/>
        </w:rPr>
        <w:t>tonnage</w:t>
      </w:r>
      <w:r w:rsidR="00081B7A" w:rsidRPr="00832681">
        <w:rPr>
          <w:noProof/>
        </w:rPr>
        <w:t xml:space="preserve"> tax regime. Special tax regimes for international shipping, often referred to as </w:t>
      </w:r>
      <w:r w:rsidR="000048C4" w:rsidRPr="00832681">
        <w:rPr>
          <w:noProof/>
        </w:rPr>
        <w:t>‘</w:t>
      </w:r>
      <w:r w:rsidR="00A97395" w:rsidRPr="00832681">
        <w:rPr>
          <w:noProof/>
        </w:rPr>
        <w:t>T</w:t>
      </w:r>
      <w:r w:rsidR="00081B7A" w:rsidRPr="00832681">
        <w:rPr>
          <w:noProof/>
        </w:rPr>
        <w:t>onnage tax regimes</w:t>
      </w:r>
      <w:r w:rsidR="000048C4" w:rsidRPr="00832681">
        <w:rPr>
          <w:noProof/>
        </w:rPr>
        <w:t>’</w:t>
      </w:r>
      <w:r w:rsidR="00081B7A" w:rsidRPr="00832681">
        <w:rPr>
          <w:noProof/>
        </w:rPr>
        <w:t xml:space="preserve"> would normally allow for tax</w:t>
      </w:r>
      <w:r w:rsidR="00960E5F" w:rsidRPr="00832681">
        <w:rPr>
          <w:noProof/>
        </w:rPr>
        <w:t>ation</w:t>
      </w:r>
      <w:r w:rsidR="00081B7A" w:rsidRPr="00832681">
        <w:rPr>
          <w:noProof/>
        </w:rPr>
        <w:t xml:space="preserve"> on the basis of the tonnage (i.e., the carrying capacity) of ships operated by a group member rather than the actual profits or losses incurred by the group member</w:t>
      </w:r>
      <w:r w:rsidR="00E3350F" w:rsidRPr="00832681">
        <w:rPr>
          <w:noProof/>
        </w:rPr>
        <w:t xml:space="preserve"> through </w:t>
      </w:r>
      <w:r w:rsidR="00DB0501" w:rsidRPr="00832681">
        <w:rPr>
          <w:noProof/>
        </w:rPr>
        <w:t xml:space="preserve">activities </w:t>
      </w:r>
      <w:r w:rsidR="00B6377D" w:rsidRPr="00832681">
        <w:rPr>
          <w:noProof/>
        </w:rPr>
        <w:t>eligible for</w:t>
      </w:r>
      <w:r w:rsidR="00DB0501" w:rsidRPr="00832681">
        <w:rPr>
          <w:noProof/>
        </w:rPr>
        <w:t xml:space="preserve"> tonnage tax</w:t>
      </w:r>
      <w:r w:rsidR="00081B7A" w:rsidRPr="00832681">
        <w:rPr>
          <w:noProof/>
        </w:rPr>
        <w:t xml:space="preserve">. An exclusion of such an amount would, therefore, build on the different acknowledged approaches for the computation of the tax base and would ensure a suitable </w:t>
      </w:r>
      <w:r w:rsidR="00654D38" w:rsidRPr="00832681">
        <w:rPr>
          <w:noProof/>
        </w:rPr>
        <w:t xml:space="preserve">consistency with the </w:t>
      </w:r>
      <w:r w:rsidR="00081B7A" w:rsidRPr="00832681">
        <w:rPr>
          <w:noProof/>
        </w:rPr>
        <w:t xml:space="preserve">different policy objectives </w:t>
      </w:r>
      <w:r w:rsidR="00654D38" w:rsidRPr="00832681">
        <w:rPr>
          <w:noProof/>
        </w:rPr>
        <w:t xml:space="preserve">of </w:t>
      </w:r>
      <w:r w:rsidR="00081B7A" w:rsidRPr="00832681">
        <w:rPr>
          <w:noProof/>
        </w:rPr>
        <w:t xml:space="preserve">the </w:t>
      </w:r>
      <w:r w:rsidR="00EB23E4" w:rsidRPr="00832681">
        <w:rPr>
          <w:noProof/>
        </w:rPr>
        <w:t>internal m</w:t>
      </w:r>
      <w:r w:rsidR="00081B7A" w:rsidRPr="00832681">
        <w:rPr>
          <w:noProof/>
        </w:rPr>
        <w:t>arket.</w:t>
      </w:r>
    </w:p>
    <w:p w14:paraId="754C4719" w14:textId="2CF5CAD9" w:rsidR="00081B7A" w:rsidRPr="00832681" w:rsidRDefault="00634583" w:rsidP="00634583">
      <w:pPr>
        <w:pStyle w:val="ManualConsidrant"/>
        <w:rPr>
          <w:noProof/>
        </w:rPr>
      </w:pPr>
      <w:r w:rsidRPr="00634583">
        <w:t>(12)</w:t>
      </w:r>
      <w:r w:rsidRPr="00634583">
        <w:tab/>
      </w:r>
      <w:r w:rsidR="00CF4C39" w:rsidRPr="00832681">
        <w:rPr>
          <w:noProof/>
        </w:rPr>
        <w:t>To achieve</w:t>
      </w:r>
      <w:r w:rsidR="00081B7A" w:rsidRPr="00832681">
        <w:rPr>
          <w:noProof/>
        </w:rPr>
        <w:t xml:space="preserve"> the key objective </w:t>
      </w:r>
      <w:r w:rsidR="00CF4C39" w:rsidRPr="00832681">
        <w:rPr>
          <w:noProof/>
        </w:rPr>
        <w:t xml:space="preserve">of </w:t>
      </w:r>
      <w:r w:rsidR="00081B7A" w:rsidRPr="00832681">
        <w:rPr>
          <w:noProof/>
        </w:rPr>
        <w:t>creat</w:t>
      </w:r>
      <w:r w:rsidR="00654D38" w:rsidRPr="00832681">
        <w:rPr>
          <w:noProof/>
        </w:rPr>
        <w:t>ing</w:t>
      </w:r>
      <w:r w:rsidR="00081B7A" w:rsidRPr="00832681">
        <w:rPr>
          <w:noProof/>
        </w:rPr>
        <w:t xml:space="preserve"> a simplified corporate tax framework, the preliminary tax results for each group member </w:t>
      </w:r>
      <w:r w:rsidR="00CF4C39" w:rsidRPr="00832681">
        <w:rPr>
          <w:noProof/>
        </w:rPr>
        <w:t xml:space="preserve">should be aggregated </w:t>
      </w:r>
      <w:r w:rsidR="00081B7A" w:rsidRPr="00832681">
        <w:rPr>
          <w:noProof/>
        </w:rPr>
        <w:t xml:space="preserve">into one single common tax base, in order to subsequently allocate this base to eligible group members. The tax adjustments to the financial statements would </w:t>
      </w:r>
      <w:r w:rsidR="00C40E84" w:rsidRPr="00832681">
        <w:rPr>
          <w:noProof/>
        </w:rPr>
        <w:t>produce</w:t>
      </w:r>
      <w:r w:rsidR="00081B7A" w:rsidRPr="00832681">
        <w:rPr>
          <w:noProof/>
        </w:rPr>
        <w:t xml:space="preserve"> preliminary tax result</w:t>
      </w:r>
      <w:r w:rsidR="00C40E84" w:rsidRPr="00832681">
        <w:rPr>
          <w:noProof/>
        </w:rPr>
        <w:t>s</w:t>
      </w:r>
      <w:r w:rsidR="00081B7A" w:rsidRPr="00832681">
        <w:rPr>
          <w:noProof/>
        </w:rPr>
        <w:t xml:space="preserve"> for each group member</w:t>
      </w:r>
      <w:r w:rsidR="00035E41">
        <w:rPr>
          <w:noProof/>
        </w:rPr>
        <w:t>. These results would then be</w:t>
      </w:r>
      <w:r w:rsidR="00081B7A" w:rsidRPr="00832681">
        <w:rPr>
          <w:noProof/>
        </w:rPr>
        <w:t xml:space="preserve"> aggregated</w:t>
      </w:r>
      <w:r w:rsidR="005B0FE7">
        <w:rPr>
          <w:noProof/>
        </w:rPr>
        <w:t xml:space="preserve">, which </w:t>
      </w:r>
      <w:r w:rsidR="005B0FE7" w:rsidRPr="00832681">
        <w:rPr>
          <w:noProof/>
        </w:rPr>
        <w:t>would allow for cross-border loss relief between BEFIT group members</w:t>
      </w:r>
      <w:r w:rsidR="005B0FE7">
        <w:rPr>
          <w:noProof/>
        </w:rPr>
        <w:t>,</w:t>
      </w:r>
      <w:r w:rsidR="00081B7A" w:rsidRPr="00832681">
        <w:rPr>
          <w:noProof/>
        </w:rPr>
        <w:t xml:space="preserve"> and subsequently</w:t>
      </w:r>
      <w:r w:rsidR="00BA6DD0">
        <w:rPr>
          <w:noProof/>
        </w:rPr>
        <w:t>, the aggregated tax base would be</w:t>
      </w:r>
      <w:r w:rsidR="00081B7A" w:rsidRPr="00832681">
        <w:rPr>
          <w:noProof/>
        </w:rPr>
        <w:t xml:space="preserve"> allocated to group members based on a transition allocation rule</w:t>
      </w:r>
      <w:r w:rsidR="00306963">
        <w:rPr>
          <w:noProof/>
        </w:rPr>
        <w:t>; this</w:t>
      </w:r>
      <w:r w:rsidR="00081B7A" w:rsidRPr="00832681">
        <w:rPr>
          <w:noProof/>
        </w:rPr>
        <w:t xml:space="preserve"> would pave the way towards a permanent mechanism. Th</w:t>
      </w:r>
      <w:r w:rsidR="00C459B3" w:rsidRPr="00832681">
        <w:rPr>
          <w:noProof/>
        </w:rPr>
        <w:t>at permanent mechanism</w:t>
      </w:r>
      <w:r w:rsidR="00081B7A" w:rsidRPr="00832681">
        <w:rPr>
          <w:noProof/>
        </w:rPr>
        <w:t xml:space="preserve"> could be</w:t>
      </w:r>
      <w:r w:rsidR="003A7C43">
        <w:rPr>
          <w:noProof/>
        </w:rPr>
        <w:t xml:space="preserve"> </w:t>
      </w:r>
      <w:r w:rsidR="00081B7A" w:rsidRPr="00832681">
        <w:rPr>
          <w:noProof/>
        </w:rPr>
        <w:t>based on a formulary apportionment</w:t>
      </w:r>
      <w:r w:rsidR="00C459B3" w:rsidRPr="00832681">
        <w:rPr>
          <w:noProof/>
        </w:rPr>
        <w:t xml:space="preserve"> and would </w:t>
      </w:r>
      <w:r w:rsidR="00ED6FCD" w:rsidRPr="00832681">
        <w:rPr>
          <w:noProof/>
        </w:rPr>
        <w:t>render</w:t>
      </w:r>
      <w:r w:rsidR="00E02EF6" w:rsidRPr="00832681">
        <w:rPr>
          <w:noProof/>
        </w:rPr>
        <w:t xml:space="preserve"> the need for intra-BEFIT group transactions to be consistent with the arm’s length principle</w:t>
      </w:r>
      <w:r w:rsidR="00ED6FCD" w:rsidRPr="00832681">
        <w:rPr>
          <w:noProof/>
        </w:rPr>
        <w:t xml:space="preserve"> redundant.</w:t>
      </w:r>
      <w:r w:rsidR="00E02EF6" w:rsidRPr="00832681">
        <w:rPr>
          <w:noProof/>
        </w:rPr>
        <w:t xml:space="preserve"> </w:t>
      </w:r>
      <w:r w:rsidR="00ED6FCD" w:rsidRPr="00832681">
        <w:rPr>
          <w:noProof/>
        </w:rPr>
        <w:t xml:space="preserve">It </w:t>
      </w:r>
      <w:r w:rsidR="00C459B3" w:rsidRPr="00832681">
        <w:rPr>
          <w:noProof/>
        </w:rPr>
        <w:t>would have the advantage of using more recent country-by-country reporting (‘CbCR’) data and the information gathered during the transition period</w:t>
      </w:r>
      <w:r w:rsidR="00081B7A" w:rsidRPr="00832681">
        <w:rPr>
          <w:noProof/>
        </w:rPr>
        <w:t xml:space="preserve">. This will also allow for a more thorough assessment of the impact that the implementation of the </w:t>
      </w:r>
      <w:r w:rsidR="00394AE1" w:rsidRPr="00832681">
        <w:rPr>
          <w:noProof/>
        </w:rPr>
        <w:t>two</w:t>
      </w:r>
      <w:r w:rsidR="005A34CA">
        <w:rPr>
          <w:noProof/>
        </w:rPr>
        <w:t>-</w:t>
      </w:r>
      <w:r w:rsidR="00394AE1" w:rsidRPr="00832681">
        <w:rPr>
          <w:noProof/>
        </w:rPr>
        <w:t>pillar</w:t>
      </w:r>
      <w:r w:rsidR="00081B7A" w:rsidRPr="00832681">
        <w:rPr>
          <w:noProof/>
        </w:rPr>
        <w:t xml:space="preserve"> </w:t>
      </w:r>
      <w:r w:rsidR="00394AE1" w:rsidRPr="00832681">
        <w:rPr>
          <w:noProof/>
        </w:rPr>
        <w:t>a</w:t>
      </w:r>
      <w:r w:rsidR="00081B7A" w:rsidRPr="00832681">
        <w:rPr>
          <w:noProof/>
        </w:rPr>
        <w:t xml:space="preserve">pproach is expected to have on national </w:t>
      </w:r>
      <w:r w:rsidR="009141B6" w:rsidRPr="00832681">
        <w:rPr>
          <w:noProof/>
        </w:rPr>
        <w:t xml:space="preserve">tax bases </w:t>
      </w:r>
      <w:r w:rsidR="00081B7A" w:rsidRPr="00832681">
        <w:rPr>
          <w:noProof/>
        </w:rPr>
        <w:t xml:space="preserve">and the BEFIT </w:t>
      </w:r>
      <w:r w:rsidR="00BA6450" w:rsidRPr="00832681">
        <w:rPr>
          <w:noProof/>
        </w:rPr>
        <w:t xml:space="preserve">group </w:t>
      </w:r>
      <w:r w:rsidR="00081B7A" w:rsidRPr="00832681">
        <w:rPr>
          <w:noProof/>
        </w:rPr>
        <w:t xml:space="preserve">tax bases. In this way, it would still become possible to materialise the key objective of tax neutrality in the internal market, which would reduce instances of double and over-taxation and enhance tax certainty with the aim </w:t>
      </w:r>
      <w:r w:rsidR="00B64149" w:rsidRPr="00832681">
        <w:rPr>
          <w:noProof/>
        </w:rPr>
        <w:t>of reducing the number of</w:t>
      </w:r>
      <w:r w:rsidR="00081B7A" w:rsidRPr="00832681">
        <w:rPr>
          <w:noProof/>
        </w:rPr>
        <w:t xml:space="preserve"> tax disputes. </w:t>
      </w:r>
    </w:p>
    <w:p w14:paraId="0A508C9C" w14:textId="700C8FCE" w:rsidR="00081B7A" w:rsidRPr="00832681" w:rsidRDefault="00634583" w:rsidP="00634583">
      <w:pPr>
        <w:pStyle w:val="ManualConsidrant"/>
        <w:rPr>
          <w:noProof/>
        </w:rPr>
      </w:pPr>
      <w:r w:rsidRPr="00634583">
        <w:t>(13)</w:t>
      </w:r>
      <w:r w:rsidRPr="00634583">
        <w:tab/>
      </w:r>
      <w:r w:rsidR="00CA4051" w:rsidRPr="00832681">
        <w:rPr>
          <w:noProof/>
        </w:rPr>
        <w:t>The</w:t>
      </w:r>
      <w:r w:rsidR="00081B7A" w:rsidRPr="00832681">
        <w:rPr>
          <w:noProof/>
        </w:rPr>
        <w:t xml:space="preserve"> aggregation of the tax results amongst group members would not be a suitable measure for certain sectors, such as </w:t>
      </w:r>
      <w:r w:rsidR="00D52BB2">
        <w:rPr>
          <w:noProof/>
        </w:rPr>
        <w:t>extracti</w:t>
      </w:r>
      <w:r w:rsidR="0027695A">
        <w:rPr>
          <w:noProof/>
        </w:rPr>
        <w:t>ve</w:t>
      </w:r>
      <w:r w:rsidR="00D52BB2">
        <w:rPr>
          <w:noProof/>
        </w:rPr>
        <w:t xml:space="preserve"> </w:t>
      </w:r>
      <w:r w:rsidR="0027695A">
        <w:rPr>
          <w:noProof/>
        </w:rPr>
        <w:t>activities</w:t>
      </w:r>
      <w:r w:rsidR="00081B7A" w:rsidRPr="00832681">
        <w:rPr>
          <w:noProof/>
        </w:rPr>
        <w:t xml:space="preserve"> as well as international shipping</w:t>
      </w:r>
      <w:r w:rsidR="00B46112">
        <w:rPr>
          <w:noProof/>
        </w:rPr>
        <w:t>, inland waterways transport</w:t>
      </w:r>
      <w:r w:rsidR="00081B7A" w:rsidRPr="00832681">
        <w:rPr>
          <w:noProof/>
        </w:rPr>
        <w:t xml:space="preserve"> and air transport. It would therefore be important to exclude those from the aggregation as their characteristics do not fit in such context.</w:t>
      </w:r>
      <w:r w:rsidR="002C17BD" w:rsidRPr="00832681">
        <w:rPr>
          <w:noProof/>
        </w:rPr>
        <w:t xml:space="preserve"> Any amount of the profit or loss of companies that operate in </w:t>
      </w:r>
      <w:r w:rsidR="00882547" w:rsidRPr="00832681">
        <w:rPr>
          <w:noProof/>
        </w:rPr>
        <w:t xml:space="preserve">the field of </w:t>
      </w:r>
      <w:r w:rsidR="002C17BD" w:rsidRPr="00832681">
        <w:rPr>
          <w:noProof/>
        </w:rPr>
        <w:t xml:space="preserve">international traffic which is </w:t>
      </w:r>
      <w:r w:rsidR="00081B7A" w:rsidRPr="00832681">
        <w:rPr>
          <w:noProof/>
        </w:rPr>
        <w:t>not covered by a tonnage tax regime</w:t>
      </w:r>
      <w:r w:rsidR="002C17BD" w:rsidRPr="00832681">
        <w:rPr>
          <w:noProof/>
        </w:rPr>
        <w:t xml:space="preserve"> (and thus excluded from the </w:t>
      </w:r>
      <w:r w:rsidR="001319AC" w:rsidRPr="00832681">
        <w:rPr>
          <w:noProof/>
        </w:rPr>
        <w:t>preliminary tax results</w:t>
      </w:r>
      <w:r w:rsidR="002C17BD" w:rsidRPr="00832681">
        <w:rPr>
          <w:noProof/>
        </w:rPr>
        <w:t>)</w:t>
      </w:r>
      <w:r w:rsidR="00081B7A" w:rsidRPr="00832681">
        <w:rPr>
          <w:noProof/>
        </w:rPr>
        <w:t>, would have to be kept out of the aggregation</w:t>
      </w:r>
      <w:r w:rsidR="00081B7A" w:rsidRPr="00832681" w:rsidDel="00E112C7">
        <w:rPr>
          <w:noProof/>
        </w:rPr>
        <w:t xml:space="preserve"> </w:t>
      </w:r>
      <w:r w:rsidR="00081B7A" w:rsidRPr="00832681">
        <w:rPr>
          <w:noProof/>
        </w:rPr>
        <w:t xml:space="preserve">while it would </w:t>
      </w:r>
      <w:r w:rsidR="00593588" w:rsidRPr="00832681">
        <w:rPr>
          <w:noProof/>
        </w:rPr>
        <w:t xml:space="preserve">be </w:t>
      </w:r>
      <w:r w:rsidR="00081B7A" w:rsidRPr="00832681">
        <w:rPr>
          <w:noProof/>
        </w:rPr>
        <w:t>compute</w:t>
      </w:r>
      <w:r w:rsidR="002C17BD" w:rsidRPr="00832681">
        <w:rPr>
          <w:noProof/>
        </w:rPr>
        <w:t>d</w:t>
      </w:r>
      <w:r w:rsidR="00081B7A" w:rsidRPr="00832681">
        <w:rPr>
          <w:noProof/>
        </w:rPr>
        <w:t xml:space="preserve"> </w:t>
      </w:r>
      <w:r w:rsidR="002C17BD" w:rsidRPr="00832681">
        <w:rPr>
          <w:noProof/>
        </w:rPr>
        <w:t>by applying the common corporate tax</w:t>
      </w:r>
      <w:r w:rsidR="002C17BD" w:rsidRPr="00832681" w:rsidDel="00E112C7">
        <w:rPr>
          <w:noProof/>
        </w:rPr>
        <w:t xml:space="preserve"> </w:t>
      </w:r>
      <w:r w:rsidR="002C17BD" w:rsidRPr="00832681">
        <w:rPr>
          <w:noProof/>
        </w:rPr>
        <w:t>rules</w:t>
      </w:r>
      <w:r w:rsidR="00081B7A" w:rsidRPr="00832681">
        <w:rPr>
          <w:noProof/>
        </w:rPr>
        <w:t>.</w:t>
      </w:r>
    </w:p>
    <w:p w14:paraId="4F2F0055" w14:textId="38E97A7B" w:rsidR="00081B7A" w:rsidRPr="00832681" w:rsidRDefault="00634583" w:rsidP="00634583">
      <w:pPr>
        <w:pStyle w:val="ManualConsidrant"/>
        <w:rPr>
          <w:noProof/>
        </w:rPr>
      </w:pPr>
      <w:r w:rsidRPr="00634583">
        <w:t>(14)</w:t>
      </w:r>
      <w:r w:rsidRPr="00634583">
        <w:tab/>
      </w:r>
      <w:r w:rsidR="00081B7A" w:rsidRPr="00832681">
        <w:rPr>
          <w:noProof/>
        </w:rPr>
        <w:t xml:space="preserve">To provide space for growth and investment, Member States would also be allowed to individually apply additional post-allocation adjustments (e.g. tax treatment of pension contributions) in areas not covered by the common </w:t>
      </w:r>
      <w:r w:rsidR="006F5D71" w:rsidRPr="00832681">
        <w:rPr>
          <w:noProof/>
        </w:rPr>
        <w:t>framework</w:t>
      </w:r>
      <w:r w:rsidR="00081B7A" w:rsidRPr="00832681">
        <w:rPr>
          <w:noProof/>
        </w:rPr>
        <w:t>.</w:t>
      </w:r>
      <w:r w:rsidR="00DA154D" w:rsidRPr="00832681">
        <w:rPr>
          <w:noProof/>
        </w:rPr>
        <w:t xml:space="preserve"> Member States would also be free to further adjust their allocated share without</w:t>
      </w:r>
      <w:r w:rsidR="00081B7A" w:rsidRPr="00832681">
        <w:rPr>
          <w:noProof/>
        </w:rPr>
        <w:t xml:space="preserve"> a ceiling </w:t>
      </w:r>
      <w:r w:rsidR="00DA154D" w:rsidRPr="00832681">
        <w:rPr>
          <w:noProof/>
        </w:rPr>
        <w:t xml:space="preserve">in order to ensure that </w:t>
      </w:r>
      <w:r w:rsidR="00081B7A" w:rsidRPr="00832681">
        <w:rPr>
          <w:noProof/>
        </w:rPr>
        <w:t xml:space="preserve">Member States </w:t>
      </w:r>
      <w:r w:rsidR="00DA154D" w:rsidRPr="00832681">
        <w:rPr>
          <w:noProof/>
        </w:rPr>
        <w:t>can</w:t>
      </w:r>
      <w:r w:rsidR="00081B7A" w:rsidRPr="00832681">
        <w:rPr>
          <w:noProof/>
        </w:rPr>
        <w:t xml:space="preserve"> make their national policy choices in this area. Most importantly, Directive </w:t>
      </w:r>
      <w:r w:rsidR="00BF4B28" w:rsidRPr="00832681">
        <w:rPr>
          <w:noProof/>
        </w:rPr>
        <w:t>(EU) 2022/2523</w:t>
      </w:r>
      <w:r w:rsidR="00081B7A" w:rsidRPr="00832681">
        <w:rPr>
          <w:noProof/>
        </w:rPr>
        <w:t xml:space="preserve"> would </w:t>
      </w:r>
      <w:r w:rsidR="00744B6E" w:rsidRPr="00832681">
        <w:rPr>
          <w:noProof/>
        </w:rPr>
        <w:t xml:space="preserve">effectively </w:t>
      </w:r>
      <w:r w:rsidR="00081B7A" w:rsidRPr="00832681">
        <w:rPr>
          <w:noProof/>
        </w:rPr>
        <w:t>set a ceiling which would effectively ensure that the effective tax rate is at least 15%.</w:t>
      </w:r>
    </w:p>
    <w:p w14:paraId="592C978A" w14:textId="3B655137" w:rsidR="00081B7A" w:rsidRPr="00832681" w:rsidRDefault="00634583" w:rsidP="00634583">
      <w:pPr>
        <w:pStyle w:val="ManualConsidrant"/>
        <w:rPr>
          <w:noProof/>
        </w:rPr>
      </w:pPr>
      <w:r w:rsidRPr="00634583">
        <w:t>(15)</w:t>
      </w:r>
      <w:r w:rsidRPr="00634583">
        <w:tab/>
      </w:r>
      <w:r w:rsidR="00703723" w:rsidRPr="00832681">
        <w:rPr>
          <w:noProof/>
        </w:rPr>
        <w:t>S</w:t>
      </w:r>
      <w:r w:rsidR="00081B7A" w:rsidRPr="00832681">
        <w:rPr>
          <w:noProof/>
        </w:rPr>
        <w:t xml:space="preserve">ome Member States operate corporate tax systems which are built on principles </w:t>
      </w:r>
      <w:r w:rsidR="000048C4" w:rsidRPr="00832681">
        <w:rPr>
          <w:noProof/>
        </w:rPr>
        <w:t xml:space="preserve">that differ </w:t>
      </w:r>
      <w:r w:rsidR="00081B7A" w:rsidRPr="00832681">
        <w:rPr>
          <w:noProof/>
        </w:rPr>
        <w:t xml:space="preserve">from the </w:t>
      </w:r>
      <w:r w:rsidR="00703723" w:rsidRPr="00832681">
        <w:rPr>
          <w:noProof/>
        </w:rPr>
        <w:t xml:space="preserve">most common </w:t>
      </w:r>
      <w:r w:rsidR="00081B7A" w:rsidRPr="00832681">
        <w:rPr>
          <w:noProof/>
        </w:rPr>
        <w:t>approach, such as distribution</w:t>
      </w:r>
      <w:r w:rsidR="00703723" w:rsidRPr="00832681">
        <w:rPr>
          <w:noProof/>
        </w:rPr>
        <w:t>-</w:t>
      </w:r>
      <w:r w:rsidR="00081B7A" w:rsidRPr="00832681">
        <w:rPr>
          <w:noProof/>
        </w:rPr>
        <w:t>based tax systems</w:t>
      </w:r>
      <w:r w:rsidR="00703723" w:rsidRPr="00832681">
        <w:rPr>
          <w:noProof/>
        </w:rPr>
        <w:t>. It is therefore of</w:t>
      </w:r>
      <w:r w:rsidR="00081B7A" w:rsidRPr="00832681">
        <w:rPr>
          <w:noProof/>
        </w:rPr>
        <w:t xml:space="preserve"> prime importance to put in place the necessary adjustments, in order to ensure a workable interaction with </w:t>
      </w:r>
      <w:r w:rsidR="00D8287A" w:rsidRPr="00832681">
        <w:rPr>
          <w:noProof/>
        </w:rPr>
        <w:t xml:space="preserve">those </w:t>
      </w:r>
      <w:r w:rsidR="00081B7A" w:rsidRPr="00832681">
        <w:rPr>
          <w:noProof/>
        </w:rPr>
        <w:t xml:space="preserve">systems. </w:t>
      </w:r>
      <w:r w:rsidR="00932C0E" w:rsidRPr="00832681">
        <w:rPr>
          <w:noProof/>
        </w:rPr>
        <w:t>The</w:t>
      </w:r>
      <w:r w:rsidR="00081B7A" w:rsidRPr="00832681">
        <w:rPr>
          <w:noProof/>
        </w:rPr>
        <w:t xml:space="preserve"> solution could</w:t>
      </w:r>
      <w:r w:rsidR="00BA6450" w:rsidRPr="00832681">
        <w:rPr>
          <w:noProof/>
        </w:rPr>
        <w:t xml:space="preserve"> </w:t>
      </w:r>
      <w:r w:rsidR="00081B7A" w:rsidRPr="00832681">
        <w:rPr>
          <w:noProof/>
        </w:rPr>
        <w:t>be sought in certain post-allocation adjustments. These</w:t>
      </w:r>
      <w:r w:rsidR="00081B7A" w:rsidRPr="00832681" w:rsidDel="007732C7">
        <w:rPr>
          <w:noProof/>
        </w:rPr>
        <w:t xml:space="preserve"> </w:t>
      </w:r>
      <w:r w:rsidR="00081B7A" w:rsidRPr="00832681">
        <w:rPr>
          <w:noProof/>
        </w:rPr>
        <w:t xml:space="preserve">would entail that the part which would be allocated to a group member under a distribution-based system has to be modified in proportion to the distributions made during the fiscal year. The essence of a distribution-based tax system would be </w:t>
      </w:r>
      <w:r w:rsidR="00932C0E" w:rsidRPr="00832681">
        <w:rPr>
          <w:noProof/>
        </w:rPr>
        <w:t xml:space="preserve">fully </w:t>
      </w:r>
      <w:r w:rsidR="00081B7A" w:rsidRPr="00832681">
        <w:rPr>
          <w:noProof/>
        </w:rPr>
        <w:t>retained, considering that</w:t>
      </w:r>
      <w:r w:rsidR="00081B7A" w:rsidRPr="00832681" w:rsidDel="00E20D78">
        <w:rPr>
          <w:noProof/>
        </w:rPr>
        <w:t xml:space="preserve"> </w:t>
      </w:r>
      <w:r w:rsidR="00081B7A" w:rsidRPr="00832681">
        <w:rPr>
          <w:noProof/>
        </w:rPr>
        <w:t>the distribution marks a timing point for taxing the allocated part and accordingly determine how much of this would need to be taxed. In this regard, it should be envisaged to operate a carry-forward mechanism,</w:t>
      </w:r>
      <w:r w:rsidR="00081B7A" w:rsidRPr="00832681" w:rsidDel="00432156">
        <w:rPr>
          <w:noProof/>
        </w:rPr>
        <w:t xml:space="preserve"> </w:t>
      </w:r>
      <w:r w:rsidR="00081B7A" w:rsidRPr="00832681">
        <w:rPr>
          <w:noProof/>
        </w:rPr>
        <w:t>to ensure that the allocated part which is not taxed in the current year would be taxable in the following years.</w:t>
      </w:r>
    </w:p>
    <w:p w14:paraId="1EBE8118" w14:textId="6357D3CD" w:rsidR="00081B7A" w:rsidRPr="00832681" w:rsidRDefault="00634583" w:rsidP="00634583">
      <w:pPr>
        <w:pStyle w:val="ManualConsidrant"/>
        <w:rPr>
          <w:noProof/>
        </w:rPr>
      </w:pPr>
      <w:r w:rsidRPr="00634583">
        <w:t>(16)</w:t>
      </w:r>
      <w:r w:rsidRPr="00634583">
        <w:tab/>
      </w:r>
      <w:r w:rsidR="00081B7A" w:rsidRPr="00832681">
        <w:rPr>
          <w:noProof/>
        </w:rPr>
        <w:t xml:space="preserve">As relations within a group represent only part of the commercial activity of a group of companies, the transactions between members of a group and </w:t>
      </w:r>
      <w:r w:rsidR="00104008" w:rsidRPr="00832681">
        <w:rPr>
          <w:noProof/>
        </w:rPr>
        <w:t>associated enterprises</w:t>
      </w:r>
      <w:r w:rsidR="00081B7A" w:rsidRPr="00832681">
        <w:rPr>
          <w:noProof/>
        </w:rPr>
        <w:t xml:space="preserve"> outside the group constitute another essential aspect to look at. To address this external aspect and as the number of transfer pricing disputes has lately risen considerably, especially with respect to the pricing considerations for routine activities, it would be very useful to provide for a simplified approach to transfer pricing compliance which would decrease compliance costs for the businesses and improve the efficiency of tax administrations in the use of human capital.</w:t>
      </w:r>
      <w:r w:rsidR="00081B7A" w:rsidRPr="00832681" w:rsidDel="00896D3F">
        <w:rPr>
          <w:noProof/>
        </w:rPr>
        <w:t xml:space="preserve"> </w:t>
      </w:r>
      <w:r w:rsidR="00081B7A" w:rsidRPr="00832681">
        <w:rPr>
          <w:noProof/>
        </w:rPr>
        <w:t>To this aim, it would be important to enact a common risk assessment framework for transfer pricing based on a</w:t>
      </w:r>
      <w:r w:rsidR="00140F27" w:rsidRPr="00832681">
        <w:rPr>
          <w:noProof/>
        </w:rPr>
        <w:t xml:space="preserve"> commonly accepted</w:t>
      </w:r>
      <w:r w:rsidR="00081B7A" w:rsidRPr="00832681">
        <w:rPr>
          <w:noProof/>
        </w:rPr>
        <w:t xml:space="preserve"> benchmark analysis. This </w:t>
      </w:r>
      <w:r w:rsidR="00D8287A" w:rsidRPr="00832681">
        <w:rPr>
          <w:noProof/>
        </w:rPr>
        <w:t>assessment</w:t>
      </w:r>
      <w:r w:rsidR="00081B7A" w:rsidRPr="00832681">
        <w:rPr>
          <w:noProof/>
        </w:rPr>
        <w:t xml:space="preserve"> would </w:t>
      </w:r>
      <w:r w:rsidR="00D8287A" w:rsidRPr="00832681">
        <w:rPr>
          <w:noProof/>
        </w:rPr>
        <w:t>investigate</w:t>
      </w:r>
      <w:r w:rsidR="00081B7A" w:rsidRPr="00832681">
        <w:rPr>
          <w:noProof/>
        </w:rPr>
        <w:t xml:space="preserve"> the margins of Earnings Before Interest and Tax for entities operating independently within the </w:t>
      </w:r>
      <w:r w:rsidR="005F3FE6" w:rsidRPr="00832681">
        <w:rPr>
          <w:noProof/>
        </w:rPr>
        <w:t>in</w:t>
      </w:r>
      <w:r w:rsidR="00CF2BFC" w:rsidRPr="00832681">
        <w:rPr>
          <w:noProof/>
        </w:rPr>
        <w:t>ternal market</w:t>
      </w:r>
      <w:r w:rsidR="00081B7A" w:rsidRPr="00832681">
        <w:rPr>
          <w:noProof/>
        </w:rPr>
        <w:t xml:space="preserve">. The profit markers so obtained should then be published, to be used as a self-assessment risk tool, and enable groups operating in the </w:t>
      </w:r>
      <w:r w:rsidR="005F3FE6" w:rsidRPr="00832681">
        <w:rPr>
          <w:noProof/>
        </w:rPr>
        <w:t>i</w:t>
      </w:r>
      <w:r w:rsidR="00CF2BFC" w:rsidRPr="00832681">
        <w:rPr>
          <w:noProof/>
        </w:rPr>
        <w:t>nternal market</w:t>
      </w:r>
      <w:r w:rsidR="00081B7A" w:rsidRPr="00832681">
        <w:rPr>
          <w:noProof/>
        </w:rPr>
        <w:t xml:space="preserve"> to know in advance the arm’s length returns (market based) that they are expected to achieve in transactions with </w:t>
      </w:r>
      <w:r w:rsidR="00511A4D" w:rsidRPr="00832681">
        <w:rPr>
          <w:noProof/>
        </w:rPr>
        <w:t>associated enterprises</w:t>
      </w:r>
      <w:r w:rsidR="00081B7A" w:rsidRPr="00832681">
        <w:rPr>
          <w:noProof/>
        </w:rPr>
        <w:t>. Each transaction within the scope of the system should be assessed as being of low, medium or high risk, depending on how this compares to the profit markers</w:t>
      </w:r>
      <w:r w:rsidR="00264457" w:rsidRPr="00832681">
        <w:rPr>
          <w:noProof/>
        </w:rPr>
        <w:t>,</w:t>
      </w:r>
      <w:r w:rsidR="00081B7A" w:rsidRPr="00832681">
        <w:rPr>
          <w:noProof/>
        </w:rPr>
        <w:t xml:space="preserve"> </w:t>
      </w:r>
      <w:r w:rsidR="004E30E7" w:rsidRPr="00832681">
        <w:rPr>
          <w:noProof/>
        </w:rPr>
        <w:t>which will be set through an implementin</w:t>
      </w:r>
      <w:r w:rsidR="00041424" w:rsidRPr="00832681">
        <w:rPr>
          <w:noProof/>
        </w:rPr>
        <w:t xml:space="preserve">g act and </w:t>
      </w:r>
      <w:r w:rsidR="003C0BB9" w:rsidRPr="00832681">
        <w:rPr>
          <w:noProof/>
        </w:rPr>
        <w:t>published on the website of the Commission</w:t>
      </w:r>
      <w:r w:rsidR="00081B7A" w:rsidRPr="00832681">
        <w:rPr>
          <w:noProof/>
        </w:rPr>
        <w:t>.</w:t>
      </w:r>
    </w:p>
    <w:p w14:paraId="0D6B4825" w14:textId="26DF65F9" w:rsidR="00081B7A" w:rsidRPr="00832681" w:rsidRDefault="00634583" w:rsidP="00634583">
      <w:pPr>
        <w:pStyle w:val="ManualConsidrant"/>
        <w:rPr>
          <w:noProof/>
        </w:rPr>
      </w:pPr>
      <w:r w:rsidRPr="00634583">
        <w:t>(17)</w:t>
      </w:r>
      <w:r w:rsidRPr="00634583">
        <w:tab/>
      </w:r>
      <w:r w:rsidR="00081B7A" w:rsidRPr="00832681">
        <w:rPr>
          <w:noProof/>
        </w:rPr>
        <w:t>A common framework for corporate taxation would necessarily feature a</w:t>
      </w:r>
      <w:r w:rsidR="006F5D71" w:rsidRPr="00832681">
        <w:rPr>
          <w:noProof/>
        </w:rPr>
        <w:t>n</w:t>
      </w:r>
      <w:r w:rsidR="00081B7A" w:rsidRPr="00832681">
        <w:rPr>
          <w:noProof/>
        </w:rPr>
        <w:t xml:space="preserve"> administration</w:t>
      </w:r>
      <w:r w:rsidR="006F5D71" w:rsidRPr="00832681">
        <w:rPr>
          <w:noProof/>
        </w:rPr>
        <w:t xml:space="preserve"> system</w:t>
      </w:r>
      <w:r w:rsidR="00081B7A" w:rsidRPr="00832681">
        <w:rPr>
          <w:noProof/>
        </w:rPr>
        <w:t xml:space="preserve">, which should ideally provide for </w:t>
      </w:r>
      <w:r w:rsidR="006E3825" w:rsidRPr="00363097">
        <w:rPr>
          <w:noProof/>
          <w:lang w:val="en-US"/>
        </w:rPr>
        <w:t xml:space="preserve">a degree of </w:t>
      </w:r>
      <w:r w:rsidR="00081B7A" w:rsidRPr="00832681">
        <w:rPr>
          <w:noProof/>
        </w:rPr>
        <w:t xml:space="preserve">tax certainty and simplification. To promote uniformity, the administration system would have to build on the importance of operating a centralised point of reference for dealing with a number of common issues, such as an Information Return for the entire group, and ensuring an adequate degree of coordination and collaboration amongst national tax administrations. At the same time, the </w:t>
      </w:r>
      <w:r w:rsidR="006F5D71" w:rsidRPr="00832681">
        <w:rPr>
          <w:noProof/>
        </w:rPr>
        <w:t>administration</w:t>
      </w:r>
      <w:r w:rsidR="00081B7A" w:rsidRPr="00832681">
        <w:rPr>
          <w:noProof/>
        </w:rPr>
        <w:t xml:space="preserve"> system should fully respect national tax sovereignty as local tax returns, audits and dispute settlement would have to remain primarily at the level of the Member States.</w:t>
      </w:r>
    </w:p>
    <w:p w14:paraId="67BB5F6C" w14:textId="7FD4EEF0" w:rsidR="00081B7A" w:rsidRPr="00832681" w:rsidRDefault="00634583" w:rsidP="00634583">
      <w:pPr>
        <w:pStyle w:val="ManualConsidrant"/>
        <w:rPr>
          <w:noProof/>
        </w:rPr>
      </w:pPr>
      <w:r w:rsidRPr="00634583">
        <w:t>(18)</w:t>
      </w:r>
      <w:r w:rsidRPr="00634583">
        <w:tab/>
      </w:r>
      <w:r w:rsidR="00081B7A" w:rsidRPr="00832681">
        <w:rPr>
          <w:noProof/>
        </w:rPr>
        <w:t>To ensure that the rules of the common framework are implemented and enforced correctly, Member States should lay down rules on penalties applicable to infringements of national provisions adopted pursuant to this Directive. Such penalties should be effective, proportionate and dissuasive.</w:t>
      </w:r>
    </w:p>
    <w:p w14:paraId="1A48A3FA" w14:textId="07310D39" w:rsidR="00081B7A" w:rsidRPr="00832681" w:rsidRDefault="00634583" w:rsidP="00634583">
      <w:pPr>
        <w:pStyle w:val="ManualConsidrant"/>
        <w:rPr>
          <w:noProof/>
        </w:rPr>
      </w:pPr>
      <w:r w:rsidRPr="00634583">
        <w:t>(19)</w:t>
      </w:r>
      <w:r w:rsidRPr="00634583">
        <w:tab/>
      </w:r>
      <w:r w:rsidR="00081B7A" w:rsidRPr="00832681">
        <w:rPr>
          <w:noProof/>
        </w:rPr>
        <w:t xml:space="preserve">To optimise the benefits of having a common legal framework for computing the corporate tax base in the </w:t>
      </w:r>
      <w:r w:rsidR="003F493A" w:rsidRPr="00832681">
        <w:rPr>
          <w:noProof/>
        </w:rPr>
        <w:t>internal m</w:t>
      </w:r>
      <w:r w:rsidR="00081B7A" w:rsidRPr="00832681">
        <w:rPr>
          <w:noProof/>
        </w:rPr>
        <w:t xml:space="preserve">arket, the application of the rules should be optional for groups, including SME groups, who earn annual combined revenues of less than EUR 750 000 000 as long as they prepare consolidated financial statements and have a taxable presence in the Union. By keeping the application of the rules open to groups of a smaller size, more groups with cross-border structures and activities may benefit from the simplification </w:t>
      </w:r>
      <w:r w:rsidR="00792B62" w:rsidRPr="00832681">
        <w:rPr>
          <w:noProof/>
        </w:rPr>
        <w:t>that</w:t>
      </w:r>
      <w:r w:rsidR="00081B7A" w:rsidRPr="00832681">
        <w:rPr>
          <w:noProof/>
        </w:rPr>
        <w:t xml:space="preserve"> the common framework offers. </w:t>
      </w:r>
    </w:p>
    <w:p w14:paraId="6FC77D51" w14:textId="3716F7E6" w:rsidR="00081B7A" w:rsidRPr="00832681" w:rsidRDefault="00634583" w:rsidP="00634583">
      <w:pPr>
        <w:pStyle w:val="ManualConsidrant"/>
        <w:rPr>
          <w:noProof/>
        </w:rPr>
      </w:pPr>
      <w:r w:rsidRPr="00634583">
        <w:t>(20)</w:t>
      </w:r>
      <w:r w:rsidRPr="00634583">
        <w:tab/>
      </w:r>
      <w:r w:rsidR="00081B7A" w:rsidRPr="00832681">
        <w:rPr>
          <w:noProof/>
        </w:rPr>
        <w:t>In order to supplement or amend</w:t>
      </w:r>
      <w:r w:rsidR="0080350E">
        <w:rPr>
          <w:noProof/>
        </w:rPr>
        <w:t>, as the case may be,</w:t>
      </w:r>
      <w:r w:rsidR="00081B7A" w:rsidRPr="00832681">
        <w:rPr>
          <w:noProof/>
        </w:rPr>
        <w:t xml:space="preserve"> certain non-essential elements of this Directive, the power to adopt acts in accordance with Article 290 of the Treaty on the Functioning of the European Union should be delegated to the Commission in respect of (i) </w:t>
      </w:r>
      <w:r w:rsidR="00AA16A5" w:rsidRPr="00832681">
        <w:rPr>
          <w:noProof/>
        </w:rPr>
        <w:t xml:space="preserve">amending </w:t>
      </w:r>
      <w:r w:rsidR="00081B7A" w:rsidRPr="00832681">
        <w:rPr>
          <w:noProof/>
        </w:rPr>
        <w:t xml:space="preserve">Annexes I and II, as appropriate; and (ii) </w:t>
      </w:r>
      <w:r w:rsidR="00901DF5">
        <w:rPr>
          <w:noProof/>
        </w:rPr>
        <w:t xml:space="preserve">supplementing by </w:t>
      </w:r>
      <w:r w:rsidR="00081B7A" w:rsidRPr="00832681">
        <w:rPr>
          <w:noProof/>
        </w:rPr>
        <w:t>laying down additional rules for insurance undertakings, in particular with regard to the new I</w:t>
      </w:r>
      <w:r w:rsidR="00EA59E0" w:rsidRPr="00832681">
        <w:rPr>
          <w:noProof/>
        </w:rPr>
        <w:t xml:space="preserve">nternational </w:t>
      </w:r>
      <w:r w:rsidR="00081B7A" w:rsidRPr="00832681">
        <w:rPr>
          <w:noProof/>
        </w:rPr>
        <w:t>F</w:t>
      </w:r>
      <w:r w:rsidR="00EA59E0" w:rsidRPr="00832681">
        <w:rPr>
          <w:noProof/>
        </w:rPr>
        <w:t xml:space="preserve">inancial </w:t>
      </w:r>
      <w:r w:rsidR="00081B7A" w:rsidRPr="00832681">
        <w:rPr>
          <w:noProof/>
        </w:rPr>
        <w:t>R</w:t>
      </w:r>
      <w:r w:rsidR="00EA59E0" w:rsidRPr="00832681">
        <w:rPr>
          <w:noProof/>
        </w:rPr>
        <w:t xml:space="preserve">eporting </w:t>
      </w:r>
      <w:r w:rsidR="00CD14A9" w:rsidRPr="00832681">
        <w:rPr>
          <w:noProof/>
        </w:rPr>
        <w:t>Standard (</w:t>
      </w:r>
      <w:r w:rsidR="00081B7A" w:rsidRPr="00832681">
        <w:rPr>
          <w:noProof/>
        </w:rPr>
        <w:t>IFRS</w:t>
      </w:r>
      <w:r w:rsidR="00CD14A9" w:rsidRPr="00832681">
        <w:rPr>
          <w:noProof/>
        </w:rPr>
        <w:t>)</w:t>
      </w:r>
      <w:r w:rsidR="005F3FE6" w:rsidRPr="00832681">
        <w:rPr>
          <w:noProof/>
        </w:rPr>
        <w:t xml:space="preserve"> </w:t>
      </w:r>
      <w:r w:rsidR="00081B7A" w:rsidRPr="00832681">
        <w:rPr>
          <w:noProof/>
        </w:rPr>
        <w:t xml:space="preserve">17 </w:t>
      </w:r>
      <w:r w:rsidR="00EA59E0" w:rsidRPr="00832681">
        <w:rPr>
          <w:noProof/>
        </w:rPr>
        <w:t>Insurance Contracts</w:t>
      </w:r>
      <w:r w:rsidR="00081B7A" w:rsidRPr="00832681">
        <w:rPr>
          <w:noProof/>
        </w:rPr>
        <w:t>.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00081B7A" w:rsidRPr="00917A44">
        <w:rPr>
          <w:rStyle w:val="FootnoteReference0"/>
          <w:noProof/>
        </w:rPr>
        <w:footnoteReference w:id="27"/>
      </w:r>
      <w:r w:rsidR="00081B7A" w:rsidRPr="00832681">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531F81EA" w14:textId="5579A760" w:rsidR="00081B7A" w:rsidRPr="00832681" w:rsidRDefault="00634583" w:rsidP="00634583">
      <w:pPr>
        <w:pStyle w:val="ManualConsidrant"/>
        <w:rPr>
          <w:noProof/>
        </w:rPr>
      </w:pPr>
      <w:r w:rsidRPr="00634583">
        <w:t>(21)</w:t>
      </w:r>
      <w:r w:rsidRPr="00634583">
        <w:tab/>
      </w:r>
      <w:r w:rsidR="00081B7A" w:rsidRPr="00832681">
        <w:rPr>
          <w:noProof/>
        </w:rPr>
        <w:t xml:space="preserve">In order to ensure uniform conditions for the implementation and functioning of the </w:t>
      </w:r>
      <w:r w:rsidR="005F3FE6" w:rsidRPr="00832681">
        <w:rPr>
          <w:noProof/>
        </w:rPr>
        <w:t xml:space="preserve">so-called ‘BEFIT </w:t>
      </w:r>
      <w:r w:rsidR="00081B7A" w:rsidRPr="00832681">
        <w:rPr>
          <w:noProof/>
        </w:rPr>
        <w:t>teams</w:t>
      </w:r>
      <w:r w:rsidR="00724D19" w:rsidRPr="00832681">
        <w:rPr>
          <w:noProof/>
        </w:rPr>
        <w:t>’</w:t>
      </w:r>
      <w:r w:rsidR="00081B7A" w:rsidRPr="00832681">
        <w:rPr>
          <w:noProof/>
        </w:rPr>
        <w:t xml:space="preserve"> set up in this Directive</w:t>
      </w:r>
      <w:r w:rsidR="005F3FE6" w:rsidRPr="00832681">
        <w:rPr>
          <w:noProof/>
        </w:rPr>
        <w:t xml:space="preserve"> </w:t>
      </w:r>
      <w:r w:rsidR="003D050B" w:rsidRPr="00832681">
        <w:rPr>
          <w:noProof/>
        </w:rPr>
        <w:t>to</w:t>
      </w:r>
      <w:r w:rsidR="005F3FE6" w:rsidRPr="00832681">
        <w:rPr>
          <w:noProof/>
        </w:rPr>
        <w:t xml:space="preserve"> bring together </w:t>
      </w:r>
      <w:r w:rsidR="00DC262C">
        <w:rPr>
          <w:rFonts w:eastAsia="Times New Roman"/>
          <w:noProof/>
          <w:lang w:eastAsia="en-GB"/>
        </w:rPr>
        <w:t>representatives of each relevant tax administration</w:t>
      </w:r>
      <w:r w:rsidR="005F3FE6" w:rsidRPr="00832681">
        <w:rPr>
          <w:noProof/>
        </w:rPr>
        <w:t xml:space="preserve"> from the Member States where the group operates</w:t>
      </w:r>
      <w:r w:rsidR="00081B7A" w:rsidRPr="00832681">
        <w:rPr>
          <w:noProof/>
        </w:rPr>
        <w:t xml:space="preserve"> </w:t>
      </w:r>
      <w:r w:rsidR="00325B53" w:rsidRPr="00832681">
        <w:rPr>
          <w:noProof/>
        </w:rPr>
        <w:t xml:space="preserve">as well as </w:t>
      </w:r>
      <w:r w:rsidR="004811E1" w:rsidRPr="00832681">
        <w:rPr>
          <w:noProof/>
        </w:rPr>
        <w:t xml:space="preserve">to </w:t>
      </w:r>
      <w:r w:rsidR="009273BB" w:rsidRPr="00832681">
        <w:rPr>
          <w:noProof/>
        </w:rPr>
        <w:t>set profit margins for certain routine transactions between BEFIT grou</w:t>
      </w:r>
      <w:r w:rsidR="003D050B" w:rsidRPr="00832681">
        <w:rPr>
          <w:noProof/>
        </w:rPr>
        <w:t>p</w:t>
      </w:r>
      <w:r w:rsidR="009273BB" w:rsidRPr="00832681">
        <w:rPr>
          <w:noProof/>
        </w:rPr>
        <w:t xml:space="preserve"> members and their associated enterprises outside the BEFIT group, </w:t>
      </w:r>
      <w:r w:rsidR="00081B7A" w:rsidRPr="00832681">
        <w:rPr>
          <w:noProof/>
        </w:rPr>
        <w:t>implementing powers should be conferred on the Commission. Those powers should be exercised in accordance with Regulation (EU) No 182/2011 of the European Parliament and of the Council</w:t>
      </w:r>
      <w:r w:rsidR="00081B7A" w:rsidRPr="00917A44">
        <w:rPr>
          <w:rStyle w:val="FootnoteReference0"/>
          <w:noProof/>
        </w:rPr>
        <w:footnoteReference w:id="28"/>
      </w:r>
      <w:r w:rsidR="00081B7A" w:rsidRPr="00832681">
        <w:rPr>
          <w:noProof/>
        </w:rPr>
        <w:t>.</w:t>
      </w:r>
      <w:r w:rsidR="005F3FE6" w:rsidRPr="00832681">
        <w:rPr>
          <w:noProof/>
        </w:rPr>
        <w:t xml:space="preserve"> </w:t>
      </w:r>
    </w:p>
    <w:p w14:paraId="7AC7C0A7" w14:textId="0C37D882" w:rsidR="00A72EC0" w:rsidRPr="00832681" w:rsidRDefault="00634583" w:rsidP="00634583">
      <w:pPr>
        <w:pStyle w:val="ManualConsidrant"/>
        <w:rPr>
          <w:noProof/>
        </w:rPr>
      </w:pPr>
      <w:r w:rsidRPr="00634583">
        <w:t>(22)</w:t>
      </w:r>
      <w:r w:rsidRPr="00634583">
        <w:tab/>
      </w:r>
      <w:r w:rsidR="00081B7A" w:rsidRPr="00832681">
        <w:rPr>
          <w:noProof/>
        </w:rPr>
        <w:t>Any processing of personal data carried out within the framework of this Directive should comply with Regulation (EU) 2016/679 of the European Parliament and of the Council</w:t>
      </w:r>
      <w:r w:rsidR="00081B7A" w:rsidRPr="00917A44">
        <w:rPr>
          <w:rStyle w:val="FootnoteReference0"/>
          <w:noProof/>
        </w:rPr>
        <w:footnoteReference w:id="29"/>
      </w:r>
      <w:r w:rsidR="00081B7A" w:rsidRPr="00832681">
        <w:rPr>
          <w:noProof/>
        </w:rPr>
        <w:t>.</w:t>
      </w:r>
      <w:r w:rsidR="000E5615" w:rsidRPr="00832681">
        <w:rPr>
          <w:noProof/>
        </w:rPr>
        <w:t xml:space="preserve"> </w:t>
      </w:r>
      <w:r w:rsidR="00A72EC0" w:rsidRPr="00832681">
        <w:rPr>
          <w:noProof/>
        </w:rPr>
        <w:t xml:space="preserve">Member States may process personal data under this Directive </w:t>
      </w:r>
      <w:r w:rsidR="00851AF6">
        <w:rPr>
          <w:noProof/>
          <w:szCs w:val="24"/>
        </w:rPr>
        <w:t>solely</w:t>
      </w:r>
      <w:r w:rsidR="00851AF6">
        <w:rPr>
          <w:noProof/>
          <w:color w:val="548235"/>
          <w:szCs w:val="24"/>
        </w:rPr>
        <w:t xml:space="preserve"> </w:t>
      </w:r>
      <w:r w:rsidR="00CD0C2B">
        <w:rPr>
          <w:noProof/>
        </w:rPr>
        <w:t>for the purpose of</w:t>
      </w:r>
      <w:r w:rsidR="00640D47">
        <w:rPr>
          <w:noProof/>
        </w:rPr>
        <w:t xml:space="preserve"> </w:t>
      </w:r>
      <w:r w:rsidR="00DA438C">
        <w:rPr>
          <w:noProof/>
        </w:rPr>
        <w:t xml:space="preserve">applying </w:t>
      </w:r>
      <w:r w:rsidR="00DA77FF">
        <w:rPr>
          <w:noProof/>
        </w:rPr>
        <w:t>Chapter IV as well as for the purpose of</w:t>
      </w:r>
      <w:r w:rsidR="00DA438C">
        <w:rPr>
          <w:noProof/>
        </w:rPr>
        <w:t xml:space="preserve"> </w:t>
      </w:r>
      <w:r w:rsidR="00525E48">
        <w:rPr>
          <w:noProof/>
        </w:rPr>
        <w:t xml:space="preserve">examining and </w:t>
      </w:r>
      <w:r w:rsidR="00BD2565">
        <w:rPr>
          <w:noProof/>
        </w:rPr>
        <w:t>reaching consensus on the content of</w:t>
      </w:r>
      <w:r w:rsidR="00095278">
        <w:rPr>
          <w:noProof/>
        </w:rPr>
        <w:t xml:space="preserve"> the </w:t>
      </w:r>
      <w:r w:rsidR="00C50603">
        <w:rPr>
          <w:noProof/>
        </w:rPr>
        <w:t xml:space="preserve">BEFIT </w:t>
      </w:r>
      <w:r w:rsidR="00BD2565">
        <w:rPr>
          <w:noProof/>
        </w:rPr>
        <w:t xml:space="preserve">information return </w:t>
      </w:r>
      <w:r w:rsidR="00E86767">
        <w:rPr>
          <w:noProof/>
        </w:rPr>
        <w:t xml:space="preserve">and </w:t>
      </w:r>
      <w:r w:rsidR="00DA438C">
        <w:rPr>
          <w:noProof/>
        </w:rPr>
        <w:t>processing and assessing</w:t>
      </w:r>
      <w:r w:rsidR="00BD2565">
        <w:rPr>
          <w:noProof/>
        </w:rPr>
        <w:t xml:space="preserve"> individual tax returns </w:t>
      </w:r>
      <w:r w:rsidR="00DA77FF">
        <w:rPr>
          <w:noProof/>
        </w:rPr>
        <w:t>under</w:t>
      </w:r>
      <w:r w:rsidR="00BD2565">
        <w:rPr>
          <w:noProof/>
        </w:rPr>
        <w:t xml:space="preserve"> Chapter V</w:t>
      </w:r>
      <w:r w:rsidR="00CD0C2B">
        <w:rPr>
          <w:noProof/>
        </w:rPr>
        <w:t>.</w:t>
      </w:r>
    </w:p>
    <w:p w14:paraId="5C36ADEB" w14:textId="12BD88DA" w:rsidR="00A72EC0" w:rsidRPr="00832681" w:rsidRDefault="00634583" w:rsidP="00634583">
      <w:pPr>
        <w:pStyle w:val="ManualConsidrant"/>
        <w:rPr>
          <w:noProof/>
        </w:rPr>
      </w:pPr>
      <w:r w:rsidRPr="00634583">
        <w:t>(23)</w:t>
      </w:r>
      <w:r w:rsidRPr="00634583">
        <w:tab/>
      </w:r>
      <w:r w:rsidR="00A72EC0" w:rsidRPr="00832681">
        <w:rPr>
          <w:noProof/>
        </w:rPr>
        <w:t xml:space="preserve">The retention period of 10 years is justified in order to allow Member States to comply with most statute of limitations. </w:t>
      </w:r>
    </w:p>
    <w:p w14:paraId="7CBE9F09" w14:textId="33C7CAD8" w:rsidR="00562EB5" w:rsidRPr="006B487B" w:rsidRDefault="00634583" w:rsidP="00634583">
      <w:pPr>
        <w:pStyle w:val="ManualConsidrant"/>
        <w:rPr>
          <w:rFonts w:eastAsia="Calibri"/>
          <w:noProof/>
          <w:szCs w:val="24"/>
        </w:rPr>
      </w:pPr>
      <w:r w:rsidRPr="00634583">
        <w:t>(24)</w:t>
      </w:r>
      <w:r w:rsidRPr="00634583">
        <w:tab/>
      </w:r>
      <w:r w:rsidR="00562EB5">
        <w:rPr>
          <w:noProof/>
        </w:rPr>
        <w:t>T</w:t>
      </w:r>
      <w:r w:rsidR="00562EB5" w:rsidRPr="00490768">
        <w:rPr>
          <w:noProof/>
        </w:rPr>
        <w:t xml:space="preserve">o allow businesses to directly enjoy the benefits of the internal market without incurring an unnecessary additional administrative burden, </w:t>
      </w:r>
      <w:r w:rsidR="00562EB5">
        <w:rPr>
          <w:noProof/>
          <w:lang w:eastAsia="en-GB"/>
        </w:rPr>
        <w:t>i</w:t>
      </w:r>
      <w:r w:rsidR="00562EB5" w:rsidRPr="00490768">
        <w:rPr>
          <w:noProof/>
          <w:lang w:eastAsia="en-GB"/>
        </w:rPr>
        <w:t xml:space="preserve">nformation on the tax provisions set out in this Directive should be made accessible through the Single Digital Gateway </w:t>
      </w:r>
      <w:r w:rsidR="00562EB5">
        <w:rPr>
          <w:noProof/>
          <w:lang w:eastAsia="en-GB"/>
        </w:rPr>
        <w:t xml:space="preserve">(‘SDG’) </w:t>
      </w:r>
      <w:r w:rsidR="00562EB5" w:rsidRPr="00490768">
        <w:rPr>
          <w:noProof/>
          <w:lang w:eastAsia="en-GB"/>
        </w:rPr>
        <w:t>in accordance with Regulation (EU) 2018/1724</w:t>
      </w:r>
      <w:r w:rsidR="00562EB5">
        <w:rPr>
          <w:rStyle w:val="FootnoteReference0"/>
          <w:noProof/>
          <w:lang w:eastAsia="en-GB"/>
        </w:rPr>
        <w:footnoteReference w:id="30"/>
      </w:r>
      <w:r w:rsidR="00562EB5">
        <w:rPr>
          <w:noProof/>
          <w:lang w:eastAsia="en-GB"/>
        </w:rPr>
        <w:t xml:space="preserve">. The SDG provides a one-stop-shop for cross-border users for the online </w:t>
      </w:r>
      <w:r w:rsidR="00562EB5" w:rsidRPr="00490768">
        <w:rPr>
          <w:noProof/>
          <w:lang w:eastAsia="en-GB"/>
        </w:rPr>
        <w:t xml:space="preserve">provision of information, procedures and assistance services relevant to the functioning of the internal market. </w:t>
      </w:r>
    </w:p>
    <w:p w14:paraId="38BAF5E6" w14:textId="2986CF34" w:rsidR="00081B7A" w:rsidRPr="00832681" w:rsidRDefault="00634583" w:rsidP="00634583">
      <w:pPr>
        <w:pStyle w:val="ManualConsidrant"/>
        <w:rPr>
          <w:noProof/>
        </w:rPr>
      </w:pPr>
      <w:r w:rsidRPr="00634583">
        <w:t>(25)</w:t>
      </w:r>
      <w:r w:rsidRPr="00634583">
        <w:tab/>
      </w:r>
      <w:r w:rsidR="00081B7A" w:rsidRPr="00832681">
        <w:rPr>
          <w:noProof/>
        </w:rPr>
        <w:t>Since the objective of this Directive cannot sufficiently be achieved by the Member States but can rather, by reason of the existing challenges which are caused by the interaction between 27 different corporate tax systems,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w:t>
      </w:r>
      <w:r w:rsidR="00B21458">
        <w:rPr>
          <w:noProof/>
        </w:rPr>
        <w:t>.</w:t>
      </w:r>
    </w:p>
    <w:p w14:paraId="7778571C" w14:textId="49F3D031" w:rsidR="006949FF" w:rsidRPr="00832681" w:rsidRDefault="00634583" w:rsidP="00634583">
      <w:pPr>
        <w:pStyle w:val="ManualConsidrant"/>
        <w:rPr>
          <w:noProof/>
        </w:rPr>
      </w:pPr>
      <w:r w:rsidRPr="00634583">
        <w:t>(26)</w:t>
      </w:r>
      <w:r w:rsidRPr="00634583">
        <w:tab/>
      </w:r>
      <w:r w:rsidR="006949FF" w:rsidRPr="00832681">
        <w:rPr>
          <w:noProof/>
        </w:rPr>
        <w:t xml:space="preserve">The European Data Protection Supervisor was consulted in accordance with Article 42(1) of Regulation (EU) 2018/1725 of the European Parliament and of the Council and delivered its </w:t>
      </w:r>
      <w:r w:rsidR="002322DF" w:rsidRPr="00832681">
        <w:rPr>
          <w:noProof/>
        </w:rPr>
        <w:t xml:space="preserve">informal </w:t>
      </w:r>
      <w:r w:rsidR="006949FF" w:rsidRPr="00832681">
        <w:rPr>
          <w:noProof/>
        </w:rPr>
        <w:t xml:space="preserve">opinion on </w:t>
      </w:r>
      <w:r w:rsidR="00C84159">
        <w:rPr>
          <w:noProof/>
        </w:rPr>
        <w:t>18 August 2023</w:t>
      </w:r>
      <w:r w:rsidR="006949FF" w:rsidRPr="00832681">
        <w:rPr>
          <w:noProof/>
        </w:rPr>
        <w:t>.</w:t>
      </w:r>
    </w:p>
    <w:p w14:paraId="5EB2D637" w14:textId="2A494339" w:rsidR="00081B7A" w:rsidRPr="00363097" w:rsidRDefault="00081B7A" w:rsidP="00081B7A">
      <w:pPr>
        <w:pStyle w:val="Formuledadoption"/>
        <w:rPr>
          <w:noProof/>
        </w:rPr>
      </w:pPr>
      <w:r w:rsidRPr="00363097">
        <w:rPr>
          <w:noProof/>
        </w:rPr>
        <w:t>HAS ADOPTED THIS DIRECTIVE</w:t>
      </w:r>
      <w:r w:rsidR="00D42E10">
        <w:rPr>
          <w:noProof/>
        </w:rPr>
        <w:t>:</w:t>
      </w:r>
    </w:p>
    <w:p w14:paraId="0DD0DE5D" w14:textId="77777777" w:rsidR="00081B7A" w:rsidRPr="00363097" w:rsidRDefault="00081B7A" w:rsidP="006B487B">
      <w:pPr>
        <w:pStyle w:val="ChapterTitle2"/>
        <w:rPr>
          <w:rFonts w:eastAsia="Times New Roman"/>
          <w:noProof/>
          <w:lang w:val="en-IE" w:eastAsia="en-IE"/>
        </w:rPr>
      </w:pPr>
      <w:bookmarkStart w:id="3" w:name="Scope"/>
      <w:bookmarkStart w:id="4" w:name="_Chapter_I_SUBJECT"/>
      <w:bookmarkEnd w:id="3"/>
      <w:bookmarkEnd w:id="4"/>
      <w:r w:rsidRPr="00363097">
        <w:rPr>
          <w:noProof/>
          <w:lang w:val="en-IE"/>
        </w:rPr>
        <w:t>CHAPTER I</w:t>
      </w:r>
      <w:r w:rsidRPr="00363097">
        <w:rPr>
          <w:noProof/>
          <w:lang w:val="en-IE"/>
        </w:rPr>
        <w:br/>
      </w:r>
      <w:r w:rsidRPr="00363097">
        <w:rPr>
          <w:rFonts w:eastAsia="Times New Roman"/>
          <w:noProof/>
          <w:lang w:val="en-IE" w:eastAsia="en-IE"/>
        </w:rPr>
        <w:t>GENERAL PROVISIONS</w:t>
      </w:r>
    </w:p>
    <w:p w14:paraId="20EF5C38" w14:textId="77777777" w:rsidR="00D561CE" w:rsidRPr="00363097" w:rsidRDefault="00D561CE" w:rsidP="006B487B">
      <w:pPr>
        <w:pStyle w:val="Titrearticle2"/>
        <w:rPr>
          <w:b/>
          <w:i w:val="0"/>
          <w:iCs/>
          <w:noProof/>
          <w:lang w:val="en-IE" w:eastAsia="en-IE"/>
        </w:rPr>
      </w:pPr>
      <w:bookmarkStart w:id="5" w:name="_Ref134609304"/>
      <w:r w:rsidRPr="00363097">
        <w:rPr>
          <w:noProof/>
          <w:lang w:val="en-IE" w:eastAsia="en-IE"/>
        </w:rPr>
        <w:t>Article 1</w:t>
      </w:r>
      <w:r w:rsidRPr="00363097">
        <w:rPr>
          <w:noProof/>
        </w:rPr>
        <w:br/>
      </w:r>
      <w:r w:rsidRPr="00363097">
        <w:rPr>
          <w:b/>
          <w:i w:val="0"/>
          <w:iCs/>
          <w:noProof/>
          <w:lang w:val="en-IE" w:eastAsia="en-IE"/>
        </w:rPr>
        <w:t>Subject matter</w:t>
      </w:r>
    </w:p>
    <w:p w14:paraId="19B1A04B" w14:textId="4E5264DA" w:rsidR="00D561CE" w:rsidRPr="00363097" w:rsidRDefault="00634583" w:rsidP="00634583">
      <w:pPr>
        <w:pStyle w:val="ManualNumPar1"/>
        <w:rPr>
          <w:noProof/>
        </w:rPr>
      </w:pPr>
      <w:r w:rsidRPr="00634583">
        <w:t>1.</w:t>
      </w:r>
      <w:r w:rsidRPr="00634583">
        <w:tab/>
      </w:r>
      <w:r w:rsidR="00D561CE" w:rsidRPr="00363097">
        <w:rPr>
          <w:noProof/>
        </w:rPr>
        <w:t xml:space="preserve">This Directive lays </w:t>
      </w:r>
      <w:r w:rsidR="00D561CE" w:rsidRPr="00363097">
        <w:rPr>
          <w:noProof/>
          <w:lang w:eastAsia="en-IE"/>
        </w:rPr>
        <w:t>down</w:t>
      </w:r>
      <w:r w:rsidR="00D561CE" w:rsidRPr="00363097">
        <w:rPr>
          <w:noProof/>
        </w:rPr>
        <w:t xml:space="preserve"> a </w:t>
      </w:r>
      <w:r w:rsidR="0037278F" w:rsidRPr="00363097">
        <w:rPr>
          <w:noProof/>
        </w:rPr>
        <w:t>common framework for corporate income taxation</w:t>
      </w:r>
      <w:r w:rsidR="00C4153C">
        <w:rPr>
          <w:noProof/>
        </w:rPr>
        <w:t xml:space="preserve"> </w:t>
      </w:r>
      <w:r w:rsidR="0037278F" w:rsidRPr="00363097">
        <w:rPr>
          <w:noProof/>
        </w:rPr>
        <w:t xml:space="preserve">in the Union </w:t>
      </w:r>
      <w:r w:rsidR="00C4153C">
        <w:rPr>
          <w:noProof/>
        </w:rPr>
        <w:t xml:space="preserve">for certain </w:t>
      </w:r>
      <w:r w:rsidR="005B313B">
        <w:rPr>
          <w:noProof/>
        </w:rPr>
        <w:t>groups</w:t>
      </w:r>
      <w:r w:rsidR="00C4153C">
        <w:rPr>
          <w:noProof/>
        </w:rPr>
        <w:t>.</w:t>
      </w:r>
    </w:p>
    <w:p w14:paraId="4E5F2FD1" w14:textId="04B92879" w:rsidR="007D415A" w:rsidRPr="00363097" w:rsidRDefault="00634583" w:rsidP="00634583">
      <w:pPr>
        <w:pStyle w:val="ManualNumPar1"/>
        <w:rPr>
          <w:noProof/>
        </w:rPr>
      </w:pPr>
      <w:r w:rsidRPr="00634583">
        <w:t>2.</w:t>
      </w:r>
      <w:r w:rsidRPr="00634583">
        <w:tab/>
      </w:r>
      <w:r w:rsidR="00D561CE" w:rsidRPr="00363097">
        <w:rPr>
          <w:noProof/>
        </w:rPr>
        <w:t xml:space="preserve">For </w:t>
      </w:r>
      <w:r w:rsidR="00D561CE" w:rsidRPr="00363097">
        <w:rPr>
          <w:noProof/>
          <w:lang w:eastAsia="en-IE"/>
        </w:rPr>
        <w:t>the</w:t>
      </w:r>
      <w:r w:rsidR="00D561CE" w:rsidRPr="00363097">
        <w:rPr>
          <w:noProof/>
        </w:rPr>
        <w:t xml:space="preserve"> purpose of paragraph 1, this Directive lays down rules</w:t>
      </w:r>
      <w:r w:rsidR="007D415A" w:rsidRPr="00363097">
        <w:rPr>
          <w:noProof/>
        </w:rPr>
        <w:t xml:space="preserve">: </w:t>
      </w:r>
    </w:p>
    <w:p w14:paraId="34BA4536" w14:textId="6C5C0B70" w:rsidR="007D415A" w:rsidRPr="00363097" w:rsidRDefault="007D415A" w:rsidP="00CD1E29">
      <w:pPr>
        <w:pStyle w:val="Point1"/>
        <w:rPr>
          <w:noProof/>
        </w:rPr>
      </w:pPr>
      <w:r w:rsidRPr="00363097">
        <w:rPr>
          <w:noProof/>
        </w:rPr>
        <w:t>(a)</w:t>
      </w:r>
      <w:r w:rsidRPr="00363097">
        <w:rPr>
          <w:noProof/>
        </w:rPr>
        <w:tab/>
        <w:t>on delineating a group for the purposes of this Directive (‘BEFIT group’);</w:t>
      </w:r>
    </w:p>
    <w:p w14:paraId="68FDEBC0" w14:textId="222FBE9A" w:rsidR="007D415A" w:rsidRPr="00363097" w:rsidRDefault="007D415A" w:rsidP="00CD1E29">
      <w:pPr>
        <w:pStyle w:val="Point1"/>
        <w:rPr>
          <w:noProof/>
        </w:rPr>
      </w:pPr>
      <w:r w:rsidRPr="00363097">
        <w:rPr>
          <w:noProof/>
        </w:rPr>
        <w:t>(b)</w:t>
      </w:r>
      <w:r w:rsidRPr="00363097">
        <w:rPr>
          <w:noProof/>
        </w:rPr>
        <w:tab/>
        <w:t xml:space="preserve">for calculating an aggregated tax base for the </w:t>
      </w:r>
      <w:r w:rsidR="00900EEF" w:rsidRPr="00363097">
        <w:rPr>
          <w:noProof/>
        </w:rPr>
        <w:t>companies and permanent establishment</w:t>
      </w:r>
      <w:r w:rsidR="005D24CD" w:rsidRPr="00363097">
        <w:rPr>
          <w:noProof/>
        </w:rPr>
        <w:t>s</w:t>
      </w:r>
      <w:r w:rsidR="00900EEF" w:rsidRPr="00363097">
        <w:rPr>
          <w:noProof/>
        </w:rPr>
        <w:t xml:space="preserve"> of the BEFIT </w:t>
      </w:r>
      <w:r w:rsidRPr="00363097">
        <w:rPr>
          <w:noProof/>
        </w:rPr>
        <w:t>group (‘</w:t>
      </w:r>
      <w:r w:rsidR="00900EEF" w:rsidRPr="00363097">
        <w:rPr>
          <w:noProof/>
        </w:rPr>
        <w:t>BEFIT group member’ and ‘BEFIT tax base’</w:t>
      </w:r>
      <w:r w:rsidRPr="00363097">
        <w:rPr>
          <w:noProof/>
        </w:rPr>
        <w:t>);</w:t>
      </w:r>
    </w:p>
    <w:p w14:paraId="704A1B5C" w14:textId="1CAFD79D" w:rsidR="007D415A" w:rsidRPr="00363097" w:rsidRDefault="007D415A" w:rsidP="00CD1E29">
      <w:pPr>
        <w:pStyle w:val="Point1"/>
        <w:rPr>
          <w:noProof/>
        </w:rPr>
      </w:pPr>
      <w:r w:rsidRPr="00363097">
        <w:rPr>
          <w:noProof/>
        </w:rPr>
        <w:t>(c)</w:t>
      </w:r>
      <w:r w:rsidRPr="00363097">
        <w:rPr>
          <w:noProof/>
        </w:rPr>
        <w:tab/>
        <w:t xml:space="preserve">for allocating the BEFIT tax base to eligible </w:t>
      </w:r>
      <w:r w:rsidR="00B11A62" w:rsidRPr="00363097">
        <w:rPr>
          <w:noProof/>
        </w:rPr>
        <w:t>BEFIT group members</w:t>
      </w:r>
      <w:r w:rsidRPr="00363097">
        <w:rPr>
          <w:noProof/>
        </w:rPr>
        <w:t>;</w:t>
      </w:r>
    </w:p>
    <w:p w14:paraId="660886DD" w14:textId="5EA73A49" w:rsidR="007D415A" w:rsidRPr="00363097" w:rsidRDefault="007D415A" w:rsidP="00CD1E29">
      <w:pPr>
        <w:pStyle w:val="Point1"/>
        <w:rPr>
          <w:noProof/>
        </w:rPr>
      </w:pPr>
      <w:r w:rsidRPr="00363097">
        <w:rPr>
          <w:noProof/>
        </w:rPr>
        <w:t>(d)</w:t>
      </w:r>
      <w:r w:rsidRPr="00363097">
        <w:rPr>
          <w:noProof/>
        </w:rPr>
        <w:tab/>
        <w:t>simplifying transfer pricing risk assessments for transactions with associated enterprises outside the group;</w:t>
      </w:r>
    </w:p>
    <w:p w14:paraId="702AC298" w14:textId="5073E20D" w:rsidR="007D415A" w:rsidRPr="00363097" w:rsidRDefault="007D415A" w:rsidP="00CD1E29">
      <w:pPr>
        <w:pStyle w:val="Point1"/>
        <w:rPr>
          <w:noProof/>
        </w:rPr>
      </w:pPr>
      <w:r w:rsidRPr="00363097">
        <w:rPr>
          <w:noProof/>
        </w:rPr>
        <w:t>(e)</w:t>
      </w:r>
      <w:r w:rsidRPr="00363097">
        <w:rPr>
          <w:noProof/>
        </w:rPr>
        <w:tab/>
        <w:t>for the administration of the common legal framework.</w:t>
      </w:r>
    </w:p>
    <w:p w14:paraId="33783A27" w14:textId="425CFF41" w:rsidR="00DD63A4" w:rsidRPr="00363097" w:rsidRDefault="00634583" w:rsidP="00634583">
      <w:pPr>
        <w:pStyle w:val="ManualNumPar1"/>
        <w:rPr>
          <w:noProof/>
          <w:lang w:val="en-IE" w:eastAsia="en-IE"/>
        </w:rPr>
      </w:pPr>
      <w:r w:rsidRPr="00634583">
        <w:t>3.</w:t>
      </w:r>
      <w:r w:rsidRPr="00634583">
        <w:tab/>
      </w:r>
      <w:r w:rsidR="00DD63A4" w:rsidRPr="00363097">
        <w:rPr>
          <w:noProof/>
          <w:lang w:val="en-IE" w:eastAsia="en-IE"/>
        </w:rPr>
        <w:t>A company or a permanent establishment which is subject to this Directive shall cease to be subject to the national corporate tax law</w:t>
      </w:r>
      <w:r w:rsidR="001C6735" w:rsidRPr="00363097">
        <w:rPr>
          <w:noProof/>
          <w:lang w:val="en-IE" w:eastAsia="en-IE"/>
        </w:rPr>
        <w:t xml:space="preserve"> in all Member States where it is established</w:t>
      </w:r>
      <w:r w:rsidR="00DD63A4" w:rsidRPr="00363097">
        <w:rPr>
          <w:noProof/>
          <w:lang w:val="en-IE" w:eastAsia="en-IE"/>
        </w:rPr>
        <w:t xml:space="preserve"> in respect </w:t>
      </w:r>
      <w:r w:rsidR="00DD63A4" w:rsidRPr="00363097">
        <w:rPr>
          <w:noProof/>
          <w:lang w:val="en-IE"/>
        </w:rPr>
        <w:t>of all matters</w:t>
      </w:r>
      <w:r w:rsidR="00DD63A4" w:rsidRPr="00363097">
        <w:rPr>
          <w:noProof/>
          <w:lang w:val="en-IE" w:eastAsia="en-IE"/>
        </w:rPr>
        <w:t xml:space="preserve"> regulated by this Directive, unless otherwise stated</w:t>
      </w:r>
      <w:r w:rsidR="00900EEF" w:rsidRPr="00363097">
        <w:rPr>
          <w:noProof/>
          <w:lang w:val="en-IE" w:eastAsia="en-IE"/>
        </w:rPr>
        <w:t xml:space="preserve"> in this Directive</w:t>
      </w:r>
      <w:r w:rsidR="00DD63A4" w:rsidRPr="00363097">
        <w:rPr>
          <w:noProof/>
          <w:lang w:val="en-IE" w:eastAsia="en-IE"/>
        </w:rPr>
        <w:t xml:space="preserve">. </w:t>
      </w:r>
    </w:p>
    <w:p w14:paraId="265BCA9A" w14:textId="77777777" w:rsidR="00081B7A" w:rsidRPr="00363097" w:rsidRDefault="00081B7A" w:rsidP="006B487B">
      <w:pPr>
        <w:pStyle w:val="Titrearticle2"/>
        <w:rPr>
          <w:b/>
          <w:i w:val="0"/>
          <w:noProof/>
          <w:lang w:val="en-IE" w:eastAsia="en-IE"/>
        </w:rPr>
      </w:pPr>
      <w:bookmarkStart w:id="6" w:name="_Hlk144130423"/>
      <w:r w:rsidRPr="00363097">
        <w:rPr>
          <w:noProof/>
          <w:lang w:val="en-IE" w:eastAsia="en-IE"/>
        </w:rPr>
        <w:t>Article 2</w:t>
      </w:r>
      <w:bookmarkEnd w:id="5"/>
      <w:r w:rsidRPr="00363097">
        <w:rPr>
          <w:noProof/>
          <w:lang w:val="en-IE" w:eastAsia="en-IE"/>
        </w:rPr>
        <w:br/>
      </w:r>
      <w:r w:rsidRPr="00363097">
        <w:rPr>
          <w:b/>
          <w:i w:val="0"/>
          <w:noProof/>
          <w:lang w:val="en-IE" w:eastAsia="en-IE"/>
        </w:rPr>
        <w:t>Scope</w:t>
      </w:r>
    </w:p>
    <w:p w14:paraId="2A784705" w14:textId="6E8A1538" w:rsidR="00785FE0" w:rsidRPr="00363097" w:rsidRDefault="00634583" w:rsidP="00634583">
      <w:pPr>
        <w:pStyle w:val="ManualNumPar1"/>
        <w:rPr>
          <w:noProof/>
        </w:rPr>
      </w:pPr>
      <w:r w:rsidRPr="00634583">
        <w:t>1.</w:t>
      </w:r>
      <w:r w:rsidRPr="00634583">
        <w:tab/>
      </w:r>
      <w:r w:rsidR="00081B7A" w:rsidRPr="00363097">
        <w:rPr>
          <w:noProof/>
        </w:rPr>
        <w:t>This Directive appl</w:t>
      </w:r>
      <w:r w:rsidR="00B07CB5" w:rsidRPr="00363097">
        <w:rPr>
          <w:noProof/>
        </w:rPr>
        <w:t>ies</w:t>
      </w:r>
      <w:r w:rsidR="00081B7A" w:rsidRPr="00363097">
        <w:rPr>
          <w:noProof/>
        </w:rPr>
        <w:t xml:space="preserve"> to </w:t>
      </w:r>
      <w:r w:rsidR="00081B7A" w:rsidRPr="00CD1E29">
        <w:rPr>
          <w:noProof/>
        </w:rPr>
        <w:t>companies</w:t>
      </w:r>
      <w:r w:rsidR="00081B7A" w:rsidRPr="00363097">
        <w:rPr>
          <w:noProof/>
        </w:rPr>
        <w:t xml:space="preserve"> resident for tax purposes in a Member State, including their permanent establishments located in other Member States, and to permanent establishments located in Member States of entities resident for tax purposes in a third country (‘third-country entities’)</w:t>
      </w:r>
      <w:r w:rsidR="008842F2" w:rsidRPr="00363097">
        <w:rPr>
          <w:noProof/>
        </w:rPr>
        <w:t>, which comply with the following criteria:</w:t>
      </w:r>
    </w:p>
    <w:p w14:paraId="634952D2" w14:textId="77777777" w:rsidR="00081B7A" w:rsidRPr="00363097" w:rsidDel="00243F27" w:rsidRDefault="00CD1E29" w:rsidP="00CD1E29">
      <w:pPr>
        <w:pStyle w:val="Point1"/>
        <w:rPr>
          <w:rStyle w:val="num"/>
          <w:noProof/>
        </w:rPr>
      </w:pPr>
      <w:r>
        <w:rPr>
          <w:noProof/>
        </w:rPr>
        <w:t>(a)</w:t>
      </w:r>
      <w:r>
        <w:rPr>
          <w:noProof/>
        </w:rPr>
        <w:tab/>
      </w:r>
      <w:r w:rsidR="008842F2" w:rsidRPr="00363097">
        <w:rPr>
          <w:noProof/>
        </w:rPr>
        <w:t>they</w:t>
      </w:r>
      <w:r w:rsidR="00081B7A" w:rsidRPr="00363097">
        <w:rPr>
          <w:noProof/>
        </w:rPr>
        <w:t xml:space="preserve"> belong</w:t>
      </w:r>
      <w:r w:rsidR="004A1E23" w:rsidRPr="00363097">
        <w:rPr>
          <w:noProof/>
        </w:rPr>
        <w:t xml:space="preserve"> </w:t>
      </w:r>
      <w:r w:rsidR="00081B7A" w:rsidRPr="00363097">
        <w:rPr>
          <w:noProof/>
        </w:rPr>
        <w:t xml:space="preserve">to </w:t>
      </w:r>
      <w:r w:rsidR="009E6DE3" w:rsidRPr="00363097">
        <w:rPr>
          <w:noProof/>
        </w:rPr>
        <w:t>a domestic group or</w:t>
      </w:r>
      <w:r w:rsidR="00081B7A" w:rsidRPr="00363097">
        <w:rPr>
          <w:noProof/>
        </w:rPr>
        <w:t xml:space="preserve"> to a multinational enterprise group </w:t>
      </w:r>
      <w:r w:rsidR="009E6DE3" w:rsidRPr="00363097">
        <w:rPr>
          <w:noProof/>
        </w:rPr>
        <w:t>(‘MNE</w:t>
      </w:r>
      <w:r w:rsidR="00D56654" w:rsidRPr="00363097">
        <w:rPr>
          <w:noProof/>
        </w:rPr>
        <w:t xml:space="preserve"> group</w:t>
      </w:r>
      <w:r w:rsidR="009E6DE3" w:rsidRPr="00363097">
        <w:rPr>
          <w:noProof/>
        </w:rPr>
        <w:t>)</w:t>
      </w:r>
      <w:r w:rsidR="00081B7A" w:rsidRPr="00363097">
        <w:rPr>
          <w:noProof/>
        </w:rPr>
        <w:t xml:space="preserve"> which prepares consolidated financial statements and </w:t>
      </w:r>
      <w:bookmarkStart w:id="7" w:name="_Hlk144114391"/>
      <w:r w:rsidR="00081B7A" w:rsidRPr="00363097">
        <w:rPr>
          <w:noProof/>
        </w:rPr>
        <w:t xml:space="preserve">had annual combined revenues of EUR 750 000 000 or more </w:t>
      </w:r>
      <w:bookmarkStart w:id="8" w:name="_Hlk144114357"/>
      <w:r w:rsidR="00081B7A" w:rsidRPr="00363097">
        <w:rPr>
          <w:noProof/>
        </w:rPr>
        <w:t xml:space="preserve">in at least two of the </w:t>
      </w:r>
      <w:r w:rsidR="00ED1643" w:rsidRPr="00363097">
        <w:rPr>
          <w:noProof/>
        </w:rPr>
        <w:t xml:space="preserve">last </w:t>
      </w:r>
      <w:r w:rsidR="00081B7A" w:rsidRPr="00363097">
        <w:rPr>
          <w:noProof/>
        </w:rPr>
        <w:t>four fiscal years</w:t>
      </w:r>
      <w:bookmarkEnd w:id="7"/>
      <w:bookmarkEnd w:id="8"/>
      <w:r w:rsidR="00ED1643" w:rsidRPr="00363097">
        <w:rPr>
          <w:noProof/>
        </w:rPr>
        <w:t>;</w:t>
      </w:r>
      <w:r w:rsidR="00081B7A" w:rsidRPr="00363097">
        <w:rPr>
          <w:noProof/>
        </w:rPr>
        <w:t xml:space="preserve"> </w:t>
      </w:r>
    </w:p>
    <w:p w14:paraId="0EFB317C" w14:textId="77777777" w:rsidR="00DD63A4" w:rsidRPr="00363097" w:rsidRDefault="00CD1E29" w:rsidP="00CD1E29">
      <w:pPr>
        <w:pStyle w:val="Point1"/>
        <w:rPr>
          <w:noProof/>
        </w:rPr>
      </w:pPr>
      <w:r>
        <w:rPr>
          <w:noProof/>
        </w:rPr>
        <w:t>(b)</w:t>
      </w:r>
      <w:r w:rsidR="00081B7A" w:rsidRPr="00363097">
        <w:rPr>
          <w:noProof/>
        </w:rPr>
        <w:tab/>
      </w:r>
      <w:r w:rsidR="00DD63A4" w:rsidRPr="00363097">
        <w:rPr>
          <w:noProof/>
        </w:rPr>
        <w:t xml:space="preserve">in respect of companies, in addition: </w:t>
      </w:r>
    </w:p>
    <w:p w14:paraId="55A62ACD" w14:textId="77777777" w:rsidR="00081B7A" w:rsidRPr="00363097" w:rsidRDefault="00DD63A4" w:rsidP="00CD1E29">
      <w:pPr>
        <w:pStyle w:val="Point2"/>
        <w:rPr>
          <w:noProof/>
        </w:rPr>
      </w:pPr>
      <w:r w:rsidRPr="00363097">
        <w:rPr>
          <w:noProof/>
        </w:rPr>
        <w:t>(i)</w:t>
      </w:r>
      <w:r w:rsidRPr="00363097">
        <w:rPr>
          <w:noProof/>
        </w:rPr>
        <w:tab/>
      </w:r>
      <w:r w:rsidR="00E55495" w:rsidRPr="00363097">
        <w:rPr>
          <w:noProof/>
        </w:rPr>
        <w:t>they</w:t>
      </w:r>
      <w:r w:rsidR="00081B7A" w:rsidRPr="00363097">
        <w:rPr>
          <w:noProof/>
        </w:rPr>
        <w:t xml:space="preserve"> take one of the forms listed in Annex I; </w:t>
      </w:r>
    </w:p>
    <w:p w14:paraId="62C4E29F" w14:textId="77777777" w:rsidR="00081B7A" w:rsidRPr="00363097" w:rsidRDefault="00DD63A4" w:rsidP="00CD1E29">
      <w:pPr>
        <w:pStyle w:val="Point2"/>
        <w:rPr>
          <w:noProof/>
        </w:rPr>
      </w:pPr>
      <w:r w:rsidRPr="00363097">
        <w:rPr>
          <w:noProof/>
        </w:rPr>
        <w:t>(ii)</w:t>
      </w:r>
      <w:r w:rsidR="00081B7A" w:rsidRPr="00363097">
        <w:rPr>
          <w:noProof/>
        </w:rPr>
        <w:tab/>
      </w:r>
      <w:r w:rsidR="00E55495" w:rsidRPr="00363097">
        <w:rPr>
          <w:noProof/>
        </w:rPr>
        <w:t>they are</w:t>
      </w:r>
      <w:r w:rsidR="00081B7A" w:rsidRPr="00363097">
        <w:rPr>
          <w:noProof/>
        </w:rPr>
        <w:t xml:space="preserve"> subject to one of the corporate taxes listed in Annex </w:t>
      </w:r>
      <w:r w:rsidR="00802990" w:rsidRPr="00363097">
        <w:rPr>
          <w:noProof/>
        </w:rPr>
        <w:t>I</w:t>
      </w:r>
      <w:r w:rsidR="00081B7A" w:rsidRPr="00363097">
        <w:rPr>
          <w:noProof/>
        </w:rPr>
        <w:t>I</w:t>
      </w:r>
      <w:r w:rsidR="00B33BF8" w:rsidRPr="00363097">
        <w:rPr>
          <w:noProof/>
        </w:rPr>
        <w:t>,</w:t>
      </w:r>
      <w:r w:rsidR="00081B7A" w:rsidRPr="00363097">
        <w:rPr>
          <w:noProof/>
        </w:rPr>
        <w:t xml:space="preserve"> or to a similar tax subsequently introduced;</w:t>
      </w:r>
    </w:p>
    <w:p w14:paraId="3636DA09" w14:textId="77777777" w:rsidR="00081B7A" w:rsidRPr="00363097" w:rsidRDefault="00081B7A" w:rsidP="00CD1E29">
      <w:pPr>
        <w:pStyle w:val="Point2"/>
        <w:rPr>
          <w:noProof/>
        </w:rPr>
      </w:pPr>
      <w:r w:rsidRPr="00363097">
        <w:rPr>
          <w:noProof/>
        </w:rPr>
        <w:t>(</w:t>
      </w:r>
      <w:r w:rsidR="00DD63A4" w:rsidRPr="00363097">
        <w:rPr>
          <w:noProof/>
        </w:rPr>
        <w:t>iii</w:t>
      </w:r>
      <w:r w:rsidRPr="00363097">
        <w:rPr>
          <w:noProof/>
        </w:rPr>
        <w:t>)</w:t>
      </w:r>
      <w:r w:rsidRPr="00363097">
        <w:rPr>
          <w:noProof/>
        </w:rPr>
        <w:tab/>
      </w:r>
      <w:r w:rsidR="00E55495" w:rsidRPr="00363097">
        <w:rPr>
          <w:noProof/>
        </w:rPr>
        <w:t>they are</w:t>
      </w:r>
      <w:r w:rsidRPr="00363097">
        <w:rPr>
          <w:noProof/>
        </w:rPr>
        <w:t xml:space="preserve"> the ultimate parent entity (</w:t>
      </w:r>
      <w:r w:rsidR="003D591D" w:rsidRPr="00363097">
        <w:rPr>
          <w:noProof/>
        </w:rPr>
        <w:t>‘</w:t>
      </w:r>
      <w:r w:rsidRPr="00363097">
        <w:rPr>
          <w:noProof/>
        </w:rPr>
        <w:t>UPE</w:t>
      </w:r>
      <w:r w:rsidR="003D591D" w:rsidRPr="00363097">
        <w:rPr>
          <w:noProof/>
        </w:rPr>
        <w:t>’</w:t>
      </w:r>
      <w:r w:rsidRPr="00363097">
        <w:rPr>
          <w:noProof/>
        </w:rPr>
        <w:t xml:space="preserve">) or </w:t>
      </w:r>
      <w:r w:rsidR="00802990" w:rsidRPr="00363097">
        <w:rPr>
          <w:noProof/>
        </w:rPr>
        <w:t xml:space="preserve">their </w:t>
      </w:r>
      <w:r w:rsidRPr="00363097">
        <w:rPr>
          <w:noProof/>
        </w:rPr>
        <w:t xml:space="preserve">assets, liabilities, income, </w:t>
      </w:r>
      <w:r w:rsidR="00802990" w:rsidRPr="00363097">
        <w:rPr>
          <w:noProof/>
        </w:rPr>
        <w:t>expenses,</w:t>
      </w:r>
      <w:r w:rsidRPr="00363097">
        <w:rPr>
          <w:noProof/>
        </w:rPr>
        <w:t xml:space="preserve"> and cash flows shall be consolidated on a line-by-line basis by the ultimate parent entity</w:t>
      </w:r>
      <w:r w:rsidR="004A1E23" w:rsidRPr="00363097">
        <w:rPr>
          <w:noProof/>
        </w:rPr>
        <w:t>;</w:t>
      </w:r>
      <w:r w:rsidRPr="00363097">
        <w:rPr>
          <w:noProof/>
        </w:rPr>
        <w:t xml:space="preserve"> </w:t>
      </w:r>
    </w:p>
    <w:p w14:paraId="715750CD" w14:textId="77777777" w:rsidR="00081B7A" w:rsidRPr="00363097" w:rsidRDefault="00B5529E" w:rsidP="00CD1E29">
      <w:pPr>
        <w:pStyle w:val="Point1"/>
        <w:rPr>
          <w:rFonts w:eastAsia="Calibri"/>
          <w:noProof/>
          <w:szCs w:val="24"/>
          <w:lang w:val="en-IE" w:eastAsia="en-IE"/>
        </w:rPr>
      </w:pPr>
      <w:r w:rsidRPr="00363097">
        <w:rPr>
          <w:noProof/>
          <w:lang w:val="en-IE" w:eastAsia="en-IE"/>
        </w:rPr>
        <w:t>(</w:t>
      </w:r>
      <w:r w:rsidR="00DD63A4" w:rsidRPr="00363097">
        <w:rPr>
          <w:noProof/>
          <w:lang w:val="en-IE" w:eastAsia="en-IE"/>
        </w:rPr>
        <w:t>c</w:t>
      </w:r>
      <w:r w:rsidR="00E55495" w:rsidRPr="00363097">
        <w:rPr>
          <w:noProof/>
          <w:lang w:val="en-IE" w:eastAsia="en-IE"/>
        </w:rPr>
        <w:t>)</w:t>
      </w:r>
      <w:r w:rsidR="00785FE0" w:rsidRPr="00363097">
        <w:rPr>
          <w:noProof/>
          <w:lang w:val="en-IE" w:eastAsia="en-IE"/>
        </w:rPr>
        <w:tab/>
      </w:r>
      <w:r w:rsidR="00E55495" w:rsidRPr="00363097">
        <w:rPr>
          <w:noProof/>
          <w:lang w:val="en-IE" w:eastAsia="en-IE"/>
        </w:rPr>
        <w:t>i</w:t>
      </w:r>
      <w:r w:rsidRPr="00363097">
        <w:rPr>
          <w:noProof/>
          <w:lang w:val="en-IE" w:eastAsia="en-IE"/>
        </w:rPr>
        <w:t>n respect of</w:t>
      </w:r>
      <w:r w:rsidR="00081B7A" w:rsidRPr="00363097">
        <w:rPr>
          <w:noProof/>
          <w:lang w:val="en-IE" w:eastAsia="en-IE"/>
        </w:rPr>
        <w:t xml:space="preserve"> permanent establishment</w:t>
      </w:r>
      <w:r w:rsidRPr="00363097">
        <w:rPr>
          <w:noProof/>
          <w:lang w:val="en-IE" w:eastAsia="en-IE"/>
        </w:rPr>
        <w:t>s, in addition</w:t>
      </w:r>
      <w:r w:rsidR="00081B7A" w:rsidRPr="00363097">
        <w:rPr>
          <w:noProof/>
          <w:lang w:val="en-IE" w:eastAsia="en-IE"/>
        </w:rPr>
        <w:t xml:space="preserve">: </w:t>
      </w:r>
    </w:p>
    <w:p w14:paraId="3DC3B7E4" w14:textId="77777777" w:rsidR="00081B7A" w:rsidRPr="00363097" w:rsidRDefault="00081B7A" w:rsidP="00CD1E29">
      <w:pPr>
        <w:pStyle w:val="Point2"/>
        <w:rPr>
          <w:noProof/>
          <w:lang w:val="en-IE" w:eastAsia="en-IE"/>
        </w:rPr>
      </w:pPr>
      <w:r w:rsidRPr="00363097">
        <w:rPr>
          <w:noProof/>
          <w:lang w:val="en-IE" w:eastAsia="en-IE"/>
        </w:rPr>
        <w:t>(</w:t>
      </w:r>
      <w:r w:rsidR="00D477D9" w:rsidRPr="00363097">
        <w:rPr>
          <w:noProof/>
          <w:lang w:val="en-IE" w:eastAsia="en-IE"/>
        </w:rPr>
        <w:t>i</w:t>
      </w:r>
      <w:r w:rsidRPr="00363097">
        <w:rPr>
          <w:noProof/>
          <w:lang w:val="en-IE" w:eastAsia="en-IE"/>
        </w:rPr>
        <w:t>)</w:t>
      </w:r>
      <w:r w:rsidR="009E6DE3" w:rsidRPr="00363097">
        <w:rPr>
          <w:noProof/>
          <w:lang w:val="en-IE" w:eastAsia="en-IE"/>
        </w:rPr>
        <w:tab/>
      </w:r>
      <w:r w:rsidR="0016664F" w:rsidRPr="00363097">
        <w:rPr>
          <w:noProof/>
          <w:lang w:val="en-IE" w:eastAsia="en-IE"/>
        </w:rPr>
        <w:t>they</w:t>
      </w:r>
      <w:r w:rsidRPr="00363097">
        <w:rPr>
          <w:noProof/>
          <w:lang w:val="en-IE" w:eastAsia="en-IE"/>
        </w:rPr>
        <w:t xml:space="preserve"> </w:t>
      </w:r>
      <w:r w:rsidR="004A1E23" w:rsidRPr="00363097">
        <w:rPr>
          <w:noProof/>
          <w:lang w:val="en-IE" w:eastAsia="en-IE"/>
        </w:rPr>
        <w:t>are</w:t>
      </w:r>
      <w:r w:rsidRPr="00363097">
        <w:rPr>
          <w:noProof/>
          <w:lang w:val="en-IE" w:eastAsia="en-IE"/>
        </w:rPr>
        <w:t xml:space="preserve"> subject to one of the corporate taxes listed in Annex I</w:t>
      </w:r>
      <w:r w:rsidR="00802990" w:rsidRPr="00363097">
        <w:rPr>
          <w:noProof/>
          <w:lang w:val="en-IE" w:eastAsia="en-IE"/>
        </w:rPr>
        <w:t xml:space="preserve">I </w:t>
      </w:r>
      <w:r w:rsidRPr="00363097">
        <w:rPr>
          <w:noProof/>
          <w:lang w:val="en-IE" w:eastAsia="en-IE"/>
        </w:rPr>
        <w:t xml:space="preserve">or to a similar tax subsequently introduced; </w:t>
      </w:r>
    </w:p>
    <w:p w14:paraId="18728391" w14:textId="0D7780A6" w:rsidR="00081B7A" w:rsidRPr="00363097" w:rsidRDefault="00081B7A" w:rsidP="00CD1E29">
      <w:pPr>
        <w:pStyle w:val="Point2"/>
        <w:rPr>
          <w:noProof/>
          <w:lang w:val="en-IE" w:eastAsia="en-IE"/>
        </w:rPr>
      </w:pPr>
      <w:r w:rsidRPr="00363097">
        <w:rPr>
          <w:noProof/>
          <w:lang w:val="en-IE" w:eastAsia="en-IE"/>
        </w:rPr>
        <w:t>(</w:t>
      </w:r>
      <w:r w:rsidR="00D477D9" w:rsidRPr="00363097">
        <w:rPr>
          <w:noProof/>
          <w:lang w:val="en-IE" w:eastAsia="en-IE"/>
        </w:rPr>
        <w:t>ii</w:t>
      </w:r>
      <w:r w:rsidRPr="00363097">
        <w:rPr>
          <w:noProof/>
          <w:lang w:val="en-IE" w:eastAsia="en-IE"/>
        </w:rPr>
        <w:t>)</w:t>
      </w:r>
      <w:r w:rsidR="009E6DE3" w:rsidRPr="006B487B">
        <w:rPr>
          <w:noProof/>
          <w:lang w:val="en-IE"/>
        </w:rPr>
        <w:tab/>
      </w:r>
      <w:r w:rsidR="0016664F" w:rsidRPr="00363097">
        <w:rPr>
          <w:noProof/>
          <w:lang w:val="en-IE" w:eastAsia="en-IE"/>
        </w:rPr>
        <w:t>they</w:t>
      </w:r>
      <w:r w:rsidRPr="00363097">
        <w:rPr>
          <w:noProof/>
          <w:lang w:val="en-IE" w:eastAsia="en-IE"/>
        </w:rPr>
        <w:t xml:space="preserve"> </w:t>
      </w:r>
      <w:r w:rsidR="004A1E23" w:rsidRPr="00363097">
        <w:rPr>
          <w:noProof/>
          <w:lang w:val="en-IE" w:eastAsia="en-IE"/>
        </w:rPr>
        <w:t>are</w:t>
      </w:r>
      <w:r w:rsidRPr="00363097">
        <w:rPr>
          <w:noProof/>
          <w:lang w:val="en-IE" w:eastAsia="en-IE"/>
        </w:rPr>
        <w:t xml:space="preserve"> a permanent establishment of the ultimate parent entity or of a</w:t>
      </w:r>
      <w:r w:rsidR="002B6AA7">
        <w:rPr>
          <w:noProof/>
          <w:lang w:val="en-IE" w:eastAsia="en-IE"/>
        </w:rPr>
        <w:t>n</w:t>
      </w:r>
      <w:r w:rsidRPr="00363097">
        <w:rPr>
          <w:noProof/>
          <w:lang w:val="en-IE" w:eastAsia="en-IE"/>
        </w:rPr>
        <w:t xml:space="preserve"> </w:t>
      </w:r>
      <w:r w:rsidR="002B6AA7">
        <w:rPr>
          <w:noProof/>
          <w:lang w:val="en-IE" w:eastAsia="en-IE"/>
        </w:rPr>
        <w:t>entity</w:t>
      </w:r>
      <w:r w:rsidRPr="00363097">
        <w:rPr>
          <w:noProof/>
          <w:lang w:val="en-IE" w:eastAsia="en-IE"/>
        </w:rPr>
        <w:t xml:space="preserve"> whose assets, liabilities, income, expenses and cash flows </w:t>
      </w:r>
      <w:r w:rsidR="00802990" w:rsidRPr="00363097">
        <w:rPr>
          <w:noProof/>
          <w:lang w:val="en-IE" w:eastAsia="en-IE"/>
        </w:rPr>
        <w:t xml:space="preserve">shall be </w:t>
      </w:r>
      <w:r w:rsidRPr="00363097">
        <w:rPr>
          <w:noProof/>
          <w:lang w:val="en-IE" w:eastAsia="en-IE"/>
        </w:rPr>
        <w:t>consolidated on a line-by-line basis by the ultimate parent entity.</w:t>
      </w:r>
    </w:p>
    <w:p w14:paraId="7C2E0E11" w14:textId="6957F620" w:rsidR="00CD1E29" w:rsidRPr="00CD1E29" w:rsidRDefault="00634583" w:rsidP="00634583">
      <w:pPr>
        <w:pStyle w:val="ManualNumPar1"/>
        <w:rPr>
          <w:noProof/>
        </w:rPr>
      </w:pPr>
      <w:r w:rsidRPr="00634583">
        <w:t>2.</w:t>
      </w:r>
      <w:r w:rsidRPr="00634583">
        <w:tab/>
      </w:r>
      <w:r w:rsidR="00081B7A" w:rsidRPr="00CD1E29">
        <w:rPr>
          <w:noProof/>
        </w:rPr>
        <w:t xml:space="preserve">By way of derogation from paragraph 1, this Directive shall not apply to companies or permanent establishments with an ultimate parent entity outside the Union </w:t>
      </w:r>
      <w:r w:rsidR="00FC6F09" w:rsidRPr="00CD1E29">
        <w:rPr>
          <w:noProof/>
        </w:rPr>
        <w:t>where</w:t>
      </w:r>
      <w:r w:rsidR="00081B7A" w:rsidRPr="00CD1E29">
        <w:rPr>
          <w:noProof/>
        </w:rPr>
        <w:t xml:space="preserve"> the combined revenues of the group in the Union either do not exceed 5% of the total revenues for the group based on its consolidated financial statements or the amount of EUR 50 million in at least two of the </w:t>
      </w:r>
      <w:r w:rsidR="00ED1643" w:rsidRPr="00CD1E29">
        <w:rPr>
          <w:noProof/>
        </w:rPr>
        <w:t xml:space="preserve">last </w:t>
      </w:r>
      <w:r w:rsidR="00081B7A" w:rsidRPr="00CD1E29">
        <w:rPr>
          <w:noProof/>
        </w:rPr>
        <w:t xml:space="preserve">four fiscal years. This shall be without prejudice to the right of opting in under paragraph </w:t>
      </w:r>
      <w:r w:rsidR="00033BC4" w:rsidRPr="00CD1E29">
        <w:rPr>
          <w:noProof/>
        </w:rPr>
        <w:t>7</w:t>
      </w:r>
      <w:r w:rsidR="00081B7A" w:rsidRPr="00CD1E29">
        <w:rPr>
          <w:noProof/>
        </w:rPr>
        <w:t>.</w:t>
      </w:r>
    </w:p>
    <w:p w14:paraId="0DDE8B74" w14:textId="5325B9DB" w:rsidR="000C5C2C" w:rsidRPr="00363097" w:rsidRDefault="00634583" w:rsidP="00634583">
      <w:pPr>
        <w:pStyle w:val="ManualNumPar1"/>
        <w:rPr>
          <w:noProof/>
          <w:lang w:val="en-IE" w:eastAsia="en-IE"/>
        </w:rPr>
      </w:pPr>
      <w:r w:rsidRPr="00634583">
        <w:t>3.</w:t>
      </w:r>
      <w:r w:rsidRPr="00634583">
        <w:tab/>
      </w:r>
      <w:r w:rsidR="00081B7A" w:rsidRPr="00CD1E29">
        <w:rPr>
          <w:noProof/>
        </w:rPr>
        <w:t xml:space="preserve">Where two or more groups merge to form a single group, the threshold of EUR 750 000 000 referred to in paragraph 1 shall be deemed to be met for any fiscal year prior to the merger if the sum of the combined revenues of the merging groups for that </w:t>
      </w:r>
      <w:r w:rsidR="00081B7A" w:rsidRPr="00363097">
        <w:rPr>
          <w:noProof/>
          <w:lang w:val="en-IE" w:eastAsia="en-IE"/>
        </w:rPr>
        <w:t xml:space="preserve">fiscal year, as included in each of their consolidated financial statements, is EUR 750 000 000 or more. The </w:t>
      </w:r>
      <w:r w:rsidR="00690459" w:rsidRPr="00363097">
        <w:rPr>
          <w:noProof/>
          <w:lang w:val="en-IE" w:eastAsia="en-IE"/>
        </w:rPr>
        <w:t xml:space="preserve">companies and permanent establishments members of that </w:t>
      </w:r>
      <w:r w:rsidR="00FF7263" w:rsidRPr="00363097">
        <w:rPr>
          <w:noProof/>
          <w:lang w:val="en-IE" w:eastAsia="en-IE"/>
        </w:rPr>
        <w:t xml:space="preserve">newly formed </w:t>
      </w:r>
      <w:r w:rsidR="00690459" w:rsidRPr="00363097">
        <w:rPr>
          <w:noProof/>
          <w:lang w:val="en-IE" w:eastAsia="en-IE"/>
        </w:rPr>
        <w:t>group</w:t>
      </w:r>
      <w:r w:rsidR="00081B7A" w:rsidRPr="00363097">
        <w:rPr>
          <w:noProof/>
          <w:lang w:val="en-IE" w:eastAsia="en-IE"/>
        </w:rPr>
        <w:t xml:space="preserve"> shall become subject to this Directive if </w:t>
      </w:r>
      <w:r w:rsidR="00992BDB" w:rsidRPr="00363097">
        <w:rPr>
          <w:noProof/>
          <w:lang w:val="en-IE" w:eastAsia="en-IE"/>
        </w:rPr>
        <w:t>that</w:t>
      </w:r>
      <w:r w:rsidR="00081B7A" w:rsidRPr="00363097">
        <w:rPr>
          <w:noProof/>
          <w:lang w:val="en-IE" w:eastAsia="en-IE"/>
        </w:rPr>
        <w:t xml:space="preserve"> threshold was met in at least two of the </w:t>
      </w:r>
      <w:r w:rsidR="00327A87" w:rsidRPr="00363097">
        <w:rPr>
          <w:noProof/>
          <w:lang w:val="en-IE" w:eastAsia="en-IE"/>
        </w:rPr>
        <w:t xml:space="preserve">last </w:t>
      </w:r>
      <w:r w:rsidR="00081B7A" w:rsidRPr="00363097">
        <w:rPr>
          <w:noProof/>
          <w:lang w:val="en-IE" w:eastAsia="en-IE"/>
        </w:rPr>
        <w:t>four fiscal years.</w:t>
      </w:r>
    </w:p>
    <w:p w14:paraId="2D989C8F" w14:textId="27145C4D" w:rsidR="00FF7263" w:rsidRPr="00363097" w:rsidRDefault="00634583" w:rsidP="00634583">
      <w:pPr>
        <w:pStyle w:val="ManualNumPar1"/>
        <w:rPr>
          <w:noProof/>
          <w:lang w:val="en-IE" w:eastAsia="en-IE"/>
        </w:rPr>
      </w:pPr>
      <w:r w:rsidRPr="00634583">
        <w:t>4.</w:t>
      </w:r>
      <w:r w:rsidRPr="00634583">
        <w:tab/>
      </w:r>
      <w:r w:rsidR="00081B7A" w:rsidRPr="00363097">
        <w:rPr>
          <w:noProof/>
          <w:lang w:val="en-IE" w:eastAsia="en-IE"/>
        </w:rPr>
        <w:t xml:space="preserve">Where a </w:t>
      </w:r>
      <w:r w:rsidR="00081B7A" w:rsidRPr="00363097">
        <w:rPr>
          <w:noProof/>
          <w:lang w:val="en-IE"/>
        </w:rPr>
        <w:t>company</w:t>
      </w:r>
      <w:r w:rsidR="00081B7A" w:rsidRPr="00363097">
        <w:rPr>
          <w:noProof/>
          <w:lang w:val="en-IE" w:eastAsia="en-IE"/>
        </w:rPr>
        <w:t xml:space="preserve"> that is not a member of a group (the ‘target’) is acquired by another company or a group (the ‘acquiring entity’) and either the target or the acquiring entity did not have consolidated financial statements in any of the four fiscal years immediately preceding the fiscal year of the acquisition, the threshold of annual combined revenues of EUR 750 000 000 referred to in paragraph 1 shall be deemed to be met for that year if the sum of the revenues included in the financial statements or consolidated financial statements of the target and the acquiring entity for that fiscal year is EUR 750 000 000 or more. The acquiring entity shall become subject to this Directive if </w:t>
      </w:r>
      <w:r w:rsidR="00FF7263" w:rsidRPr="00363097">
        <w:rPr>
          <w:noProof/>
          <w:lang w:val="en-IE" w:eastAsia="en-IE"/>
        </w:rPr>
        <w:t xml:space="preserve">that </w:t>
      </w:r>
      <w:r w:rsidR="00081B7A" w:rsidRPr="00363097">
        <w:rPr>
          <w:noProof/>
          <w:lang w:val="en-IE" w:eastAsia="en-IE"/>
        </w:rPr>
        <w:t xml:space="preserve">threshold was met in </w:t>
      </w:r>
      <w:r w:rsidR="00081B7A" w:rsidRPr="00363097">
        <w:rPr>
          <w:noProof/>
        </w:rPr>
        <w:t>at least two of the four fiscal years immediately preceding the fiscal year</w:t>
      </w:r>
      <w:r w:rsidR="00081B7A" w:rsidRPr="00363097">
        <w:rPr>
          <w:noProof/>
          <w:lang w:val="en-IE" w:eastAsia="en-IE"/>
        </w:rPr>
        <w:t xml:space="preserve"> in which th</w:t>
      </w:r>
      <w:r w:rsidR="00A8021C" w:rsidRPr="00363097">
        <w:rPr>
          <w:noProof/>
          <w:lang w:val="en-IE" w:eastAsia="en-IE"/>
        </w:rPr>
        <w:t>is</w:t>
      </w:r>
      <w:r w:rsidR="00081B7A" w:rsidRPr="00363097">
        <w:rPr>
          <w:noProof/>
          <w:lang w:val="en-IE" w:eastAsia="en-IE"/>
        </w:rPr>
        <w:t xml:space="preserve"> </w:t>
      </w:r>
      <w:r w:rsidR="001870B1" w:rsidRPr="00363097">
        <w:rPr>
          <w:noProof/>
          <w:lang w:val="en-IE" w:eastAsia="en-IE"/>
        </w:rPr>
        <w:t>Directive</w:t>
      </w:r>
      <w:r w:rsidR="00081B7A" w:rsidRPr="00363097">
        <w:rPr>
          <w:noProof/>
          <w:lang w:val="en-IE" w:eastAsia="en-IE"/>
        </w:rPr>
        <w:t xml:space="preserve"> started to apply </w:t>
      </w:r>
      <w:r w:rsidR="001870B1" w:rsidRPr="00363097">
        <w:rPr>
          <w:noProof/>
          <w:lang w:val="en-IE" w:eastAsia="en-IE"/>
        </w:rPr>
        <w:t>to the acquiring entity</w:t>
      </w:r>
      <w:r w:rsidR="00081B7A" w:rsidRPr="00363097">
        <w:rPr>
          <w:noProof/>
          <w:lang w:val="en-IE" w:eastAsia="en-IE"/>
        </w:rPr>
        <w:t>.</w:t>
      </w:r>
    </w:p>
    <w:p w14:paraId="52BAF55C" w14:textId="24608D2A" w:rsidR="00081B7A" w:rsidRPr="00363097" w:rsidRDefault="00634583" w:rsidP="00634583">
      <w:pPr>
        <w:pStyle w:val="ManualNumPar1"/>
        <w:rPr>
          <w:noProof/>
          <w:lang w:val="en-IE" w:eastAsia="en-IE"/>
        </w:rPr>
      </w:pPr>
      <w:r w:rsidRPr="00634583">
        <w:t>5.</w:t>
      </w:r>
      <w:r w:rsidRPr="00634583">
        <w:tab/>
      </w:r>
      <w:r w:rsidR="00081B7A" w:rsidRPr="00363097">
        <w:rPr>
          <w:noProof/>
          <w:lang w:val="en-IE" w:eastAsia="en-IE"/>
        </w:rPr>
        <w:t>Where there is a demerger of a group into two or more groups (the ‘demerged groups’), the threshold of EUR 750 000 000 referred to in paragraph 1 shall be deemed to be met by each of the demerged groups where:</w:t>
      </w:r>
    </w:p>
    <w:p w14:paraId="6963BB56" w14:textId="77777777" w:rsidR="00081B7A" w:rsidRPr="00363097" w:rsidRDefault="00081B7A" w:rsidP="00CD1E29">
      <w:pPr>
        <w:pStyle w:val="Point1"/>
        <w:rPr>
          <w:noProof/>
          <w:lang w:val="en-IE" w:eastAsia="en-IE"/>
        </w:rPr>
      </w:pPr>
      <w:r w:rsidRPr="00363097">
        <w:rPr>
          <w:noProof/>
        </w:rPr>
        <w:t>(</w:t>
      </w:r>
      <w:r w:rsidR="009E40F3" w:rsidRPr="00363097">
        <w:rPr>
          <w:noProof/>
        </w:rPr>
        <w:t>a</w:t>
      </w:r>
      <w:r w:rsidRPr="00363097">
        <w:rPr>
          <w:noProof/>
        </w:rPr>
        <w:t>)</w:t>
      </w:r>
      <w:r w:rsidRPr="00363097">
        <w:rPr>
          <w:noProof/>
        </w:rPr>
        <w:tab/>
      </w:r>
      <w:r w:rsidRPr="00363097">
        <w:rPr>
          <w:noProof/>
          <w:lang w:val="en-IE" w:eastAsia="en-IE"/>
        </w:rPr>
        <w:t xml:space="preserve">in the first fiscal year ending after the demerger, each of the demerged groups has annual combined revenues of EUR 750 000 000 or more in that fiscal year; </w:t>
      </w:r>
    </w:p>
    <w:p w14:paraId="3216C82E" w14:textId="77777777" w:rsidR="00081B7A" w:rsidRPr="00363097" w:rsidRDefault="00081B7A" w:rsidP="00CD1E29">
      <w:pPr>
        <w:pStyle w:val="Point1"/>
        <w:rPr>
          <w:noProof/>
          <w:lang w:val="en-IE" w:eastAsia="en-IE"/>
        </w:rPr>
      </w:pPr>
      <w:r w:rsidRPr="00363097">
        <w:rPr>
          <w:noProof/>
        </w:rPr>
        <w:t>(</w:t>
      </w:r>
      <w:r w:rsidR="009E40F3" w:rsidRPr="00363097">
        <w:rPr>
          <w:noProof/>
        </w:rPr>
        <w:t>b</w:t>
      </w:r>
      <w:r w:rsidRPr="00363097">
        <w:rPr>
          <w:noProof/>
        </w:rPr>
        <w:t>)</w:t>
      </w:r>
      <w:r w:rsidRPr="00363097">
        <w:rPr>
          <w:noProof/>
        </w:rPr>
        <w:tab/>
      </w:r>
      <w:r w:rsidRPr="00363097">
        <w:rPr>
          <w:noProof/>
          <w:lang w:val="en-IE" w:eastAsia="en-IE"/>
        </w:rPr>
        <w:t>in the second to fourth fiscal years ending after the demerger, each of the demerged groups has annual combined revenues of EUR 750 000 000 or more in at least two of those fiscal years.</w:t>
      </w:r>
    </w:p>
    <w:p w14:paraId="2F0A62CE" w14:textId="60C944C8" w:rsidR="00081B7A" w:rsidRPr="00363097" w:rsidRDefault="00634583" w:rsidP="00634583">
      <w:pPr>
        <w:pStyle w:val="ManualNumPar1"/>
        <w:rPr>
          <w:noProof/>
          <w:lang w:val="en-IE" w:eastAsia="en-IE"/>
        </w:rPr>
      </w:pPr>
      <w:r w:rsidRPr="00634583">
        <w:t>6.</w:t>
      </w:r>
      <w:r w:rsidRPr="00634583">
        <w:tab/>
      </w:r>
      <w:r w:rsidR="00081B7A" w:rsidRPr="00363097">
        <w:rPr>
          <w:noProof/>
          <w:lang w:val="en-IE" w:eastAsia="en-IE"/>
        </w:rPr>
        <w:t xml:space="preserve">Where one or more of the four fiscal years referred to in </w:t>
      </w:r>
      <w:r w:rsidR="00F04CC4" w:rsidRPr="00363097">
        <w:rPr>
          <w:noProof/>
          <w:lang w:val="en-IE" w:eastAsia="en-IE"/>
        </w:rPr>
        <w:t>this Article</w:t>
      </w:r>
      <w:r w:rsidR="00081B7A" w:rsidRPr="00363097">
        <w:rPr>
          <w:noProof/>
          <w:lang w:val="en-IE" w:eastAsia="en-IE"/>
        </w:rPr>
        <w:t xml:space="preserve"> is longer or shorter than 12 months, the revenue thresholds referred to shall be adjusted proportionally for each of those fiscal years.</w:t>
      </w:r>
    </w:p>
    <w:p w14:paraId="3C7D475D" w14:textId="38E5BE7B" w:rsidR="005C72ED" w:rsidRPr="00363097" w:rsidRDefault="00634583" w:rsidP="00634583">
      <w:pPr>
        <w:pStyle w:val="ManualNumPar1"/>
        <w:rPr>
          <w:noProof/>
          <w:lang w:val="en-IE" w:eastAsia="en-IE"/>
        </w:rPr>
      </w:pPr>
      <w:r w:rsidRPr="00634583">
        <w:t>7.</w:t>
      </w:r>
      <w:r w:rsidRPr="00634583">
        <w:tab/>
      </w:r>
      <w:r w:rsidR="005C72ED" w:rsidRPr="00363097">
        <w:rPr>
          <w:noProof/>
          <w:lang w:val="en-IE" w:eastAsia="en-IE"/>
        </w:rPr>
        <w:t>Member States shall ensure that c</w:t>
      </w:r>
      <w:r w:rsidR="00081B7A" w:rsidRPr="00363097">
        <w:rPr>
          <w:noProof/>
          <w:lang w:val="en-IE" w:eastAsia="en-IE"/>
        </w:rPr>
        <w:t xml:space="preserve">ompanies which are resident for tax purposes in a Member State and fulfil the conditions </w:t>
      </w:r>
      <w:r w:rsidR="0056660E" w:rsidRPr="00363097">
        <w:rPr>
          <w:noProof/>
          <w:lang w:val="en-IE" w:eastAsia="en-IE"/>
        </w:rPr>
        <w:t xml:space="preserve">laid down in </w:t>
      </w:r>
      <w:r w:rsidR="00081B7A" w:rsidRPr="00363097">
        <w:rPr>
          <w:noProof/>
          <w:lang w:val="en-IE" w:eastAsia="en-IE"/>
        </w:rPr>
        <w:t xml:space="preserve">paragraph </w:t>
      </w:r>
      <w:r w:rsidR="00651D4E" w:rsidRPr="00363097">
        <w:rPr>
          <w:noProof/>
          <w:lang w:val="en-IE" w:eastAsia="en-IE"/>
        </w:rPr>
        <w:t>1</w:t>
      </w:r>
      <w:r w:rsidR="00081B7A" w:rsidRPr="00363097">
        <w:rPr>
          <w:noProof/>
          <w:lang w:val="en-IE" w:eastAsia="en-IE"/>
        </w:rPr>
        <w:t xml:space="preserve">, </w:t>
      </w:r>
      <w:r w:rsidR="0056660E" w:rsidRPr="00363097">
        <w:rPr>
          <w:noProof/>
          <w:lang w:val="en-IE" w:eastAsia="en-IE"/>
        </w:rPr>
        <w:t>point (b),</w:t>
      </w:r>
      <w:r w:rsidR="00081B7A" w:rsidRPr="00363097">
        <w:rPr>
          <w:noProof/>
          <w:lang w:val="en-IE" w:eastAsia="en-IE"/>
        </w:rPr>
        <w:t xml:space="preserve"> including their permanent establishments located in other Member States, </w:t>
      </w:r>
      <w:r w:rsidR="00081B7A" w:rsidRPr="00363097">
        <w:rPr>
          <w:noProof/>
        </w:rPr>
        <w:t xml:space="preserve">as well as permanent establishments, located in Member States, of third-country entities which fulfil the conditions of paragraph </w:t>
      </w:r>
      <w:r w:rsidR="00651D4E" w:rsidRPr="00363097">
        <w:rPr>
          <w:noProof/>
        </w:rPr>
        <w:t>1</w:t>
      </w:r>
      <w:r w:rsidR="0056660E" w:rsidRPr="00363097">
        <w:rPr>
          <w:noProof/>
        </w:rPr>
        <w:t>, point (</w:t>
      </w:r>
      <w:r w:rsidR="00FF7263" w:rsidRPr="00363097">
        <w:rPr>
          <w:noProof/>
        </w:rPr>
        <w:t>c</w:t>
      </w:r>
      <w:r w:rsidR="0056660E" w:rsidRPr="00363097">
        <w:rPr>
          <w:noProof/>
        </w:rPr>
        <w:t xml:space="preserve">), </w:t>
      </w:r>
      <w:r w:rsidR="00081B7A" w:rsidRPr="00363097">
        <w:rPr>
          <w:noProof/>
          <w:lang w:val="en-IE" w:eastAsia="en-IE"/>
        </w:rPr>
        <w:t xml:space="preserve">may </w:t>
      </w:r>
      <w:r w:rsidR="00EF276F" w:rsidRPr="00363097">
        <w:rPr>
          <w:noProof/>
          <w:lang w:val="en-IE" w:eastAsia="en-IE"/>
        </w:rPr>
        <w:t xml:space="preserve">choose </w:t>
      </w:r>
      <w:r w:rsidR="00081B7A" w:rsidRPr="00363097">
        <w:rPr>
          <w:noProof/>
          <w:lang w:val="en-IE" w:eastAsia="en-IE"/>
        </w:rPr>
        <w:t xml:space="preserve">to </w:t>
      </w:r>
      <w:r w:rsidR="00EF276F" w:rsidRPr="00363097">
        <w:rPr>
          <w:noProof/>
          <w:lang w:val="en-IE" w:eastAsia="en-IE"/>
        </w:rPr>
        <w:t>be covered by</w:t>
      </w:r>
      <w:r w:rsidR="00081B7A" w:rsidRPr="00363097">
        <w:rPr>
          <w:noProof/>
          <w:lang w:val="en-IE" w:eastAsia="en-IE"/>
        </w:rPr>
        <w:t xml:space="preserve"> this Directive if they belong to an MNE group or domestic group which prepares consolidated financial statements but does not fulfil the conditions laid down in paragraph 1</w:t>
      </w:r>
      <w:r w:rsidR="0056660E" w:rsidRPr="00363097">
        <w:rPr>
          <w:noProof/>
          <w:lang w:val="en-IE" w:eastAsia="en-IE"/>
        </w:rPr>
        <w:t>, point (a)</w:t>
      </w:r>
      <w:r w:rsidR="00081B7A" w:rsidRPr="00363097">
        <w:rPr>
          <w:noProof/>
          <w:lang w:val="en-IE" w:eastAsia="en-IE"/>
        </w:rPr>
        <w:t xml:space="preserve"> regarding the threshold of EUR 750 000 000. </w:t>
      </w:r>
    </w:p>
    <w:p w14:paraId="2D277C0D" w14:textId="0BA7A15A" w:rsidR="005C72ED" w:rsidRPr="00363097" w:rsidRDefault="00634583" w:rsidP="00634583">
      <w:pPr>
        <w:pStyle w:val="ManualNumPar1"/>
        <w:rPr>
          <w:noProof/>
          <w:lang w:val="en-IE" w:eastAsia="en-IE"/>
        </w:rPr>
      </w:pPr>
      <w:r w:rsidRPr="00634583">
        <w:t>8.</w:t>
      </w:r>
      <w:r w:rsidRPr="00634583">
        <w:tab/>
      </w:r>
      <w:r w:rsidR="005C72ED" w:rsidRPr="00363097">
        <w:rPr>
          <w:noProof/>
        </w:rPr>
        <w:t>The Commission shall be empowered to adopt delegated acts in accordance with Article 74 to amend Annexes I and II to take account of changes to the laws of the Member States concerning company forms and corporate taxes.</w:t>
      </w:r>
    </w:p>
    <w:bookmarkEnd w:id="6"/>
    <w:p w14:paraId="5ECEBA37" w14:textId="77777777" w:rsidR="00646169" w:rsidRPr="00363097" w:rsidRDefault="00081B7A" w:rsidP="006B487B">
      <w:pPr>
        <w:pStyle w:val="Titrearticle2"/>
        <w:rPr>
          <w:noProof/>
          <w:lang w:val="en-IE" w:eastAsia="en-IE"/>
        </w:rPr>
      </w:pPr>
      <w:r w:rsidRPr="00363097">
        <w:rPr>
          <w:noProof/>
          <w:lang w:val="en-IE" w:eastAsia="en-IE"/>
        </w:rPr>
        <w:t>Article 3</w:t>
      </w:r>
      <w:r w:rsidR="00CD1E29">
        <w:rPr>
          <w:noProof/>
          <w:lang w:val="en-IE" w:eastAsia="en-IE"/>
        </w:rPr>
        <w:br/>
      </w:r>
      <w:r w:rsidRPr="00CD1E29">
        <w:rPr>
          <w:b/>
          <w:bCs/>
          <w:noProof/>
          <w:lang w:val="en-IE" w:eastAsia="en-IE"/>
        </w:rPr>
        <w:t>Definitions</w:t>
      </w:r>
    </w:p>
    <w:p w14:paraId="3BCAB25D" w14:textId="77777777" w:rsidR="00081B7A" w:rsidRPr="00363097" w:rsidRDefault="00081B7A" w:rsidP="00CD1E29">
      <w:pPr>
        <w:rPr>
          <w:noProof/>
          <w:lang w:val="en-IE" w:eastAsia="en-IE"/>
        </w:rPr>
      </w:pPr>
      <w:r w:rsidRPr="00363097">
        <w:rPr>
          <w:noProof/>
          <w:lang w:val="en-IE" w:eastAsia="en-IE"/>
        </w:rPr>
        <w:t>For the purposes of this</w:t>
      </w:r>
      <w:r w:rsidR="00D56654" w:rsidRPr="00363097">
        <w:rPr>
          <w:noProof/>
          <w:lang w:val="en-IE" w:eastAsia="en-IE"/>
        </w:rPr>
        <w:t xml:space="preserve"> Directive</w:t>
      </w:r>
      <w:r w:rsidRPr="00363097">
        <w:rPr>
          <w:noProof/>
          <w:lang w:val="en-IE" w:eastAsia="en-IE"/>
        </w:rPr>
        <w:t xml:space="preserve">, the following definitions shall apply: </w:t>
      </w:r>
    </w:p>
    <w:p w14:paraId="6A296037" w14:textId="77777777" w:rsidR="00E11A21" w:rsidRPr="00363097" w:rsidRDefault="00CD1E29" w:rsidP="00CD1E29">
      <w:pPr>
        <w:pStyle w:val="Point0"/>
        <w:rPr>
          <w:noProof/>
          <w:szCs w:val="24"/>
          <w:lang w:val="en-IE" w:eastAsia="en-IE"/>
        </w:rPr>
      </w:pPr>
      <w:r>
        <w:rPr>
          <w:noProof/>
          <w:lang w:val="en-IE" w:eastAsia="en-IE"/>
        </w:rPr>
        <w:t>(1)</w:t>
      </w:r>
      <w:r>
        <w:rPr>
          <w:noProof/>
          <w:lang w:val="en-IE" w:eastAsia="en-IE"/>
        </w:rPr>
        <w:tab/>
      </w:r>
      <w:r w:rsidR="00E11A21" w:rsidRPr="00363097">
        <w:rPr>
          <w:noProof/>
          <w:lang w:val="en-IE" w:eastAsia="en-IE"/>
        </w:rPr>
        <w:t>‘</w:t>
      </w:r>
      <w:r w:rsidR="00E11A21" w:rsidRPr="00363097">
        <w:rPr>
          <w:noProof/>
          <w:lang w:val="en-IE"/>
        </w:rPr>
        <w:t>group’</w:t>
      </w:r>
      <w:r w:rsidR="00E11A21" w:rsidRPr="00363097">
        <w:rPr>
          <w:noProof/>
          <w:lang w:val="en-IE" w:eastAsia="en-IE"/>
        </w:rPr>
        <w:t xml:space="preserve"> means: </w:t>
      </w:r>
    </w:p>
    <w:p w14:paraId="505D144B" w14:textId="77777777" w:rsidR="00E11A21" w:rsidRPr="00363097" w:rsidRDefault="00E11A21" w:rsidP="00CD1E29">
      <w:pPr>
        <w:pStyle w:val="Point1"/>
        <w:rPr>
          <w:rFonts w:eastAsia="Calibri"/>
          <w:noProof/>
          <w:lang w:val="en-IE" w:eastAsia="en-IE"/>
        </w:rPr>
      </w:pPr>
      <w:r w:rsidRPr="00363097">
        <w:rPr>
          <w:noProof/>
        </w:rPr>
        <w:t>(a)</w:t>
      </w:r>
      <w:r w:rsidRPr="00363097">
        <w:rPr>
          <w:noProof/>
        </w:rPr>
        <w:tab/>
      </w:r>
      <w:r w:rsidRPr="00363097">
        <w:rPr>
          <w:noProof/>
          <w:lang w:val="en-IE" w:eastAsia="en-IE"/>
        </w:rPr>
        <w:t>a collection of entities which are related through ownership or control as defined by the acceptable financial accounting standard for the preparation of consolidated financial statements by the ultimate parent entity, including any entity that may have been excluded from the consolidated financial statements of the ultimate parent entity solely based on its small size, on materiality grounds or on the grounds that it is held for sale; or</w:t>
      </w:r>
    </w:p>
    <w:p w14:paraId="1DE053D2" w14:textId="77777777" w:rsidR="00E11A21" w:rsidRPr="00363097" w:rsidRDefault="00E11A21" w:rsidP="00CD1E29">
      <w:pPr>
        <w:pStyle w:val="Point1"/>
        <w:rPr>
          <w:noProof/>
          <w:lang w:val="en-IE" w:eastAsia="en-IE"/>
        </w:rPr>
      </w:pPr>
      <w:r w:rsidRPr="00363097">
        <w:rPr>
          <w:noProof/>
        </w:rPr>
        <w:t>(b)</w:t>
      </w:r>
      <w:r w:rsidRPr="00363097">
        <w:rPr>
          <w:noProof/>
        </w:rPr>
        <w:tab/>
      </w:r>
      <w:r w:rsidRPr="00363097">
        <w:rPr>
          <w:noProof/>
          <w:lang w:val="en-IE" w:eastAsia="en-IE"/>
        </w:rPr>
        <w:t>a</w:t>
      </w:r>
      <w:r w:rsidR="009557B0" w:rsidRPr="00363097">
        <w:rPr>
          <w:noProof/>
          <w:lang w:val="en-IE" w:eastAsia="en-IE"/>
        </w:rPr>
        <w:t>n</w:t>
      </w:r>
      <w:r w:rsidRPr="00363097">
        <w:rPr>
          <w:noProof/>
          <w:lang w:val="en-IE" w:eastAsia="en-IE"/>
        </w:rPr>
        <w:t xml:space="preserve"> entity that </w:t>
      </w:r>
      <w:r w:rsidR="009557B0" w:rsidRPr="00363097">
        <w:rPr>
          <w:noProof/>
          <w:lang w:val="en-IE" w:eastAsia="en-IE"/>
        </w:rPr>
        <w:t xml:space="preserve">includes the net income or loss of </w:t>
      </w:r>
      <w:r w:rsidR="00006C7A" w:rsidRPr="00363097">
        <w:rPr>
          <w:noProof/>
          <w:lang w:val="en-IE" w:eastAsia="en-IE"/>
        </w:rPr>
        <w:t>one or more</w:t>
      </w:r>
      <w:r w:rsidR="009557B0" w:rsidRPr="00363097">
        <w:rPr>
          <w:noProof/>
          <w:lang w:val="en-IE" w:eastAsia="en-IE"/>
        </w:rPr>
        <w:t xml:space="preserve"> permanent establishment in its financial statements (‘</w:t>
      </w:r>
      <w:r w:rsidR="009A554A" w:rsidRPr="00363097">
        <w:rPr>
          <w:noProof/>
          <w:lang w:val="en-IE" w:eastAsia="en-IE"/>
        </w:rPr>
        <w:t>head office’)</w:t>
      </w:r>
      <w:r w:rsidRPr="00363097">
        <w:rPr>
          <w:noProof/>
          <w:lang w:val="en-IE" w:eastAsia="en-IE"/>
        </w:rPr>
        <w:t>, provided that it is not part of another group as defined in point (a);</w:t>
      </w:r>
    </w:p>
    <w:p w14:paraId="41FC5935" w14:textId="77777777" w:rsidR="00E11A21" w:rsidRPr="00363097" w:rsidRDefault="00CD1E29" w:rsidP="00CD1E29">
      <w:pPr>
        <w:pStyle w:val="Point0"/>
        <w:rPr>
          <w:noProof/>
          <w:lang w:val="en-IE" w:eastAsia="en-IE"/>
        </w:rPr>
      </w:pPr>
      <w:r>
        <w:rPr>
          <w:noProof/>
          <w:lang w:val="en-IE" w:eastAsia="en-IE"/>
        </w:rPr>
        <w:t>(2)</w:t>
      </w:r>
      <w:r>
        <w:rPr>
          <w:noProof/>
          <w:lang w:val="en-IE" w:eastAsia="en-IE"/>
        </w:rPr>
        <w:tab/>
      </w:r>
      <w:r w:rsidR="00E11A21" w:rsidRPr="00363097">
        <w:rPr>
          <w:noProof/>
          <w:lang w:val="en-IE" w:eastAsia="en-IE"/>
        </w:rPr>
        <w:t>‘domestic group’ means any group of which all entities are located in the same Member State;</w:t>
      </w:r>
    </w:p>
    <w:p w14:paraId="08F72FC2" w14:textId="77777777" w:rsidR="00E11A21" w:rsidRPr="00363097" w:rsidRDefault="00CD1E29" w:rsidP="00CD1E29">
      <w:pPr>
        <w:pStyle w:val="Point0"/>
        <w:rPr>
          <w:noProof/>
          <w:lang w:val="en-IE" w:eastAsia="en-IE"/>
        </w:rPr>
      </w:pPr>
      <w:r>
        <w:rPr>
          <w:noProof/>
          <w:lang w:val="en-IE" w:eastAsia="en-IE"/>
        </w:rPr>
        <w:t>(3)</w:t>
      </w:r>
      <w:r>
        <w:rPr>
          <w:noProof/>
          <w:lang w:val="en-IE" w:eastAsia="en-IE"/>
        </w:rPr>
        <w:tab/>
      </w:r>
      <w:r w:rsidR="00E11A21" w:rsidRPr="00363097">
        <w:rPr>
          <w:noProof/>
          <w:lang w:val="en-IE" w:eastAsia="en-IE"/>
        </w:rPr>
        <w:t>‘MNE group’ means any multinational group that includes at least one entity or permanent establishment which is not located in the jurisdiction of the ultimate parent entity (‘UPE’);</w:t>
      </w:r>
    </w:p>
    <w:p w14:paraId="0DEFCF5D" w14:textId="77777777" w:rsidR="00E11A21" w:rsidRPr="00363097" w:rsidRDefault="00CD1E29" w:rsidP="00CD1E29">
      <w:pPr>
        <w:pStyle w:val="Point0"/>
        <w:rPr>
          <w:noProof/>
          <w:lang w:val="en-IE" w:eastAsia="en-IE"/>
        </w:rPr>
      </w:pPr>
      <w:r>
        <w:rPr>
          <w:noProof/>
          <w:lang w:val="en-IE" w:eastAsia="en-IE"/>
        </w:rPr>
        <w:t>(4)</w:t>
      </w:r>
      <w:r>
        <w:rPr>
          <w:noProof/>
          <w:lang w:val="en-IE" w:eastAsia="en-IE"/>
        </w:rPr>
        <w:tab/>
      </w:r>
      <w:r w:rsidR="00E11A21" w:rsidRPr="00363097">
        <w:rPr>
          <w:noProof/>
          <w:lang w:val="en-IE" w:eastAsia="en-IE"/>
        </w:rPr>
        <w:t xml:space="preserve">‘fiscal year’ means the accounting period with respect to which the ultimate parent entity prepares its consolidated financial statements. </w:t>
      </w:r>
    </w:p>
    <w:p w14:paraId="43F2EADE" w14:textId="77777777" w:rsidR="00081B7A" w:rsidRPr="00363097" w:rsidRDefault="00CD1E29" w:rsidP="00CD1E29">
      <w:pPr>
        <w:pStyle w:val="Point0"/>
        <w:rPr>
          <w:noProof/>
          <w:lang w:val="en-IE" w:eastAsia="en-IE"/>
        </w:rPr>
      </w:pPr>
      <w:r>
        <w:rPr>
          <w:noProof/>
          <w:lang w:val="en-IE" w:eastAsia="en-IE"/>
        </w:rPr>
        <w:t>(5)</w:t>
      </w:r>
      <w:r>
        <w:rPr>
          <w:noProof/>
          <w:lang w:val="en-IE" w:eastAsia="en-IE"/>
        </w:rPr>
        <w:tab/>
      </w:r>
      <w:r w:rsidR="00081B7A" w:rsidRPr="00363097">
        <w:rPr>
          <w:noProof/>
          <w:lang w:val="en-IE" w:eastAsia="en-IE"/>
        </w:rPr>
        <w:t xml:space="preserve">‘consolidated financial statements’ means the financial statements where the assets, liabilities, income, expenses and cash flows of an entity and those of </w:t>
      </w:r>
      <w:r w:rsidR="00081B7A" w:rsidRPr="00363097">
        <w:rPr>
          <w:noProof/>
        </w:rPr>
        <w:t xml:space="preserve">its subsidiaries, which are controlled by the former, </w:t>
      </w:r>
      <w:r w:rsidR="00081B7A" w:rsidRPr="00363097">
        <w:rPr>
          <w:noProof/>
          <w:lang w:val="en-IE" w:eastAsia="en-IE"/>
        </w:rPr>
        <w:t xml:space="preserve">are presented as those of a single economic unit; </w:t>
      </w:r>
    </w:p>
    <w:p w14:paraId="59291672" w14:textId="77777777" w:rsidR="00E11A21" w:rsidRPr="00363097" w:rsidRDefault="00CD1E29" w:rsidP="00CD1E29">
      <w:pPr>
        <w:pStyle w:val="Point0"/>
        <w:rPr>
          <w:noProof/>
          <w:szCs w:val="24"/>
          <w:lang w:val="en-IE" w:eastAsia="en-IE"/>
        </w:rPr>
      </w:pPr>
      <w:r>
        <w:rPr>
          <w:noProof/>
          <w:lang w:val="en-IE" w:eastAsia="en-IE"/>
        </w:rPr>
        <w:t>(6)</w:t>
      </w:r>
      <w:r>
        <w:rPr>
          <w:noProof/>
          <w:lang w:val="en-IE" w:eastAsia="en-IE"/>
        </w:rPr>
        <w:tab/>
      </w:r>
      <w:r w:rsidR="00E11A21" w:rsidRPr="00363097">
        <w:rPr>
          <w:noProof/>
          <w:lang w:val="en-IE" w:eastAsia="en-IE"/>
        </w:rPr>
        <w:t>‘entity’ means any legal arrangement that prepares separate financial accounts or any legal person;</w:t>
      </w:r>
    </w:p>
    <w:p w14:paraId="184EFE6A" w14:textId="77777777" w:rsidR="00E11A21" w:rsidRPr="00363097" w:rsidRDefault="00CD1E29" w:rsidP="00CD1E29">
      <w:pPr>
        <w:pStyle w:val="Point0"/>
        <w:rPr>
          <w:noProof/>
          <w:lang w:val="en-IE" w:eastAsia="en-IE"/>
        </w:rPr>
      </w:pPr>
      <w:r>
        <w:rPr>
          <w:noProof/>
          <w:lang w:val="en-IE" w:eastAsia="en-IE"/>
        </w:rPr>
        <w:t>(7)</w:t>
      </w:r>
      <w:r>
        <w:rPr>
          <w:noProof/>
          <w:lang w:val="en-IE" w:eastAsia="en-IE"/>
        </w:rPr>
        <w:tab/>
      </w:r>
      <w:r w:rsidR="00E11A21" w:rsidRPr="00363097">
        <w:rPr>
          <w:noProof/>
          <w:lang w:val="en-IE" w:eastAsia="en-IE"/>
        </w:rPr>
        <w:t xml:space="preserve">‘ultimate parent entity’ means: </w:t>
      </w:r>
    </w:p>
    <w:p w14:paraId="2982EAAC" w14:textId="77777777" w:rsidR="00CD1E29" w:rsidRDefault="00E11A21" w:rsidP="00CD1E29">
      <w:pPr>
        <w:pStyle w:val="Point1"/>
        <w:rPr>
          <w:noProof/>
          <w:lang w:val="en-IE" w:eastAsia="en-IE"/>
        </w:rPr>
      </w:pPr>
      <w:r w:rsidRPr="00363097">
        <w:rPr>
          <w:noProof/>
        </w:rPr>
        <w:t>(a)</w:t>
      </w:r>
      <w:r w:rsidRPr="00363097">
        <w:rPr>
          <w:noProof/>
        </w:rPr>
        <w:tab/>
      </w:r>
      <w:r w:rsidRPr="00363097">
        <w:rPr>
          <w:noProof/>
          <w:lang w:val="en-IE" w:eastAsia="en-IE"/>
        </w:rPr>
        <w:t>an entity that owns, directly or indirectly, a controlling interest in any other entity and that is not owned, directly or indirectly, by another entity with a controlling interest in it; or</w:t>
      </w:r>
    </w:p>
    <w:p w14:paraId="1E718AE0" w14:textId="77777777" w:rsidR="00E11A21" w:rsidRPr="00363097" w:rsidRDefault="00E11A21" w:rsidP="00CD1E29">
      <w:pPr>
        <w:pStyle w:val="Point1"/>
        <w:rPr>
          <w:noProof/>
          <w:lang w:val="en-IE" w:eastAsia="en-IE"/>
        </w:rPr>
      </w:pPr>
      <w:r w:rsidRPr="00363097">
        <w:rPr>
          <w:noProof/>
        </w:rPr>
        <w:t>(b)</w:t>
      </w:r>
      <w:r w:rsidRPr="00363097">
        <w:rPr>
          <w:noProof/>
        </w:rPr>
        <w:tab/>
      </w:r>
      <w:r w:rsidRPr="00363097">
        <w:rPr>
          <w:noProof/>
          <w:lang w:val="en-IE" w:eastAsia="en-IE"/>
        </w:rPr>
        <w:t xml:space="preserve">the </w:t>
      </w:r>
      <w:r w:rsidR="00CC318A" w:rsidRPr="00363097">
        <w:rPr>
          <w:noProof/>
          <w:lang w:val="en-IE"/>
        </w:rPr>
        <w:t>head office</w:t>
      </w:r>
      <w:r w:rsidRPr="00363097">
        <w:rPr>
          <w:noProof/>
          <w:lang w:val="en-IE"/>
        </w:rPr>
        <w:t xml:space="preserve"> of a group as defined in point (</w:t>
      </w:r>
      <w:r w:rsidR="001E5B5D" w:rsidRPr="00363097">
        <w:rPr>
          <w:noProof/>
          <w:lang w:val="en-IE" w:eastAsia="en-IE"/>
        </w:rPr>
        <w:t>1</w:t>
      </w:r>
      <w:r w:rsidRPr="00363097">
        <w:rPr>
          <w:noProof/>
          <w:lang w:val="en-IE" w:eastAsia="en-IE"/>
        </w:rPr>
        <w:t>)(b</w:t>
      </w:r>
      <w:r w:rsidRPr="00363097">
        <w:rPr>
          <w:noProof/>
          <w:lang w:val="en-IE"/>
        </w:rPr>
        <w:t>);</w:t>
      </w:r>
      <w:r w:rsidRPr="00363097">
        <w:rPr>
          <w:noProof/>
          <w:lang w:val="en-IE" w:eastAsia="en-IE"/>
        </w:rPr>
        <w:t xml:space="preserve"> </w:t>
      </w:r>
    </w:p>
    <w:p w14:paraId="04E9644F" w14:textId="77777777" w:rsidR="00E11A21" w:rsidRPr="00363097" w:rsidRDefault="00CD1E29" w:rsidP="00CD1E29">
      <w:pPr>
        <w:pStyle w:val="Point0"/>
        <w:rPr>
          <w:noProof/>
          <w:szCs w:val="24"/>
          <w:lang w:val="en-IE" w:eastAsia="en-IE"/>
        </w:rPr>
      </w:pPr>
      <w:r>
        <w:rPr>
          <w:noProof/>
          <w:lang w:val="en-IE" w:eastAsia="en-IE"/>
        </w:rPr>
        <w:t>(8)</w:t>
      </w:r>
      <w:r>
        <w:rPr>
          <w:noProof/>
          <w:lang w:val="en-IE" w:eastAsia="en-IE"/>
        </w:rPr>
        <w:tab/>
      </w:r>
      <w:r w:rsidR="00E11A21" w:rsidRPr="00363097">
        <w:rPr>
          <w:noProof/>
          <w:lang w:val="en-IE" w:eastAsia="en-IE"/>
        </w:rPr>
        <w:t>‘ownership interest’ means any equity interest that carries rights to the profits, capital or reserves of an entity or of a permanent establishment;</w:t>
      </w:r>
    </w:p>
    <w:p w14:paraId="08B9CF45" w14:textId="77777777" w:rsidR="00081B7A" w:rsidRPr="00363097" w:rsidRDefault="00CD1E29" w:rsidP="00CD1E29">
      <w:pPr>
        <w:pStyle w:val="Point0"/>
        <w:rPr>
          <w:noProof/>
          <w:lang w:val="en-IE" w:eastAsia="en-IE"/>
        </w:rPr>
      </w:pPr>
      <w:r>
        <w:rPr>
          <w:noProof/>
          <w:lang w:val="en-IE" w:eastAsia="en-IE"/>
        </w:rPr>
        <w:t>(9)</w:t>
      </w:r>
      <w:r>
        <w:rPr>
          <w:noProof/>
          <w:lang w:val="en-IE" w:eastAsia="en-IE"/>
        </w:rPr>
        <w:tab/>
      </w:r>
      <w:r w:rsidR="00081B7A" w:rsidRPr="00363097">
        <w:rPr>
          <w:noProof/>
          <w:lang w:val="en-IE" w:eastAsia="en-IE"/>
        </w:rPr>
        <w:t>‘controlling interest’ means an ownership interest in an entity whereby the interest holder is required to consolidate the assets, liabilities, income, expenses and cash flows of the entity on a line-by-line basis;</w:t>
      </w:r>
      <w:r w:rsidR="001566B3" w:rsidRPr="00363097">
        <w:rPr>
          <w:noProof/>
          <w:lang w:val="en-IE" w:eastAsia="en-IE"/>
        </w:rPr>
        <w:t xml:space="preserve"> </w:t>
      </w:r>
    </w:p>
    <w:p w14:paraId="5B512FC1" w14:textId="77777777" w:rsidR="00E11A21" w:rsidRPr="00363097" w:rsidRDefault="00CD1E29" w:rsidP="00CD1E29">
      <w:pPr>
        <w:pStyle w:val="Point0"/>
        <w:rPr>
          <w:noProof/>
          <w:lang w:val="en-IE" w:eastAsia="en-IE"/>
        </w:rPr>
      </w:pPr>
      <w:r>
        <w:rPr>
          <w:noProof/>
          <w:lang w:val="en-IE" w:eastAsia="en-IE"/>
        </w:rPr>
        <w:t>(10)</w:t>
      </w:r>
      <w:r>
        <w:rPr>
          <w:noProof/>
          <w:lang w:val="en-IE" w:eastAsia="en-IE"/>
        </w:rPr>
        <w:tab/>
      </w:r>
      <w:r w:rsidR="00E11A21" w:rsidRPr="00363097">
        <w:rPr>
          <w:noProof/>
          <w:lang w:val="en-IE" w:eastAsia="en-IE"/>
        </w:rPr>
        <w:t xml:space="preserve">‘filing entity’ means one of the following: </w:t>
      </w:r>
    </w:p>
    <w:p w14:paraId="54A1E6F7" w14:textId="77777777" w:rsidR="00E11A21" w:rsidRPr="00363097" w:rsidRDefault="00E11A21" w:rsidP="00CD1E29">
      <w:pPr>
        <w:pStyle w:val="Point1"/>
        <w:rPr>
          <w:rFonts w:eastAsia="Calibri"/>
          <w:noProof/>
        </w:rPr>
      </w:pPr>
      <w:r w:rsidRPr="00363097">
        <w:rPr>
          <w:noProof/>
        </w:rPr>
        <w:t>(a)</w:t>
      </w:r>
      <w:r w:rsidRPr="00363097">
        <w:rPr>
          <w:noProof/>
        </w:rPr>
        <w:tab/>
        <w:t xml:space="preserve">the ultimate parent entity, when located in a Member State; or </w:t>
      </w:r>
    </w:p>
    <w:p w14:paraId="62266220" w14:textId="77777777" w:rsidR="00E11A21" w:rsidRPr="00363097" w:rsidRDefault="00E11A21" w:rsidP="00CD1E29">
      <w:pPr>
        <w:pStyle w:val="Point1"/>
        <w:rPr>
          <w:noProof/>
        </w:rPr>
      </w:pPr>
      <w:r w:rsidRPr="00363097">
        <w:rPr>
          <w:noProof/>
        </w:rPr>
        <w:t>(b)</w:t>
      </w:r>
      <w:r w:rsidRPr="00363097">
        <w:rPr>
          <w:noProof/>
        </w:rPr>
        <w:tab/>
        <w:t>if the ultimate parent entity is not located in a Member State, the entity located in a Member State, that has been appointed by the BEFIT group to fulfil the obligations in relation to the BEFIT group information return set out in Article 57 on behalf of the BEFIT group.</w:t>
      </w:r>
    </w:p>
    <w:p w14:paraId="758F6201" w14:textId="77777777" w:rsidR="00081B7A" w:rsidRPr="00363097" w:rsidRDefault="00CD1E29" w:rsidP="00CD1E29">
      <w:pPr>
        <w:pStyle w:val="Point0"/>
        <w:rPr>
          <w:noProof/>
          <w:lang w:val="en-IE" w:eastAsia="en-IE"/>
        </w:rPr>
      </w:pPr>
      <w:r>
        <w:rPr>
          <w:noProof/>
          <w:lang w:val="en-IE" w:eastAsia="en-IE"/>
        </w:rPr>
        <w:t>(11)</w:t>
      </w:r>
      <w:r>
        <w:rPr>
          <w:noProof/>
          <w:lang w:val="en-IE" w:eastAsia="en-IE"/>
        </w:rPr>
        <w:tab/>
      </w:r>
      <w:r w:rsidR="00081B7A" w:rsidRPr="00363097">
        <w:rPr>
          <w:noProof/>
          <w:lang w:val="en-IE" w:eastAsia="en-IE"/>
        </w:rPr>
        <w:t>‘acceptable accounting standard in the U</w:t>
      </w:r>
      <w:r w:rsidR="00A469D6" w:rsidRPr="00363097">
        <w:rPr>
          <w:noProof/>
          <w:lang w:val="en-IE" w:eastAsia="en-IE"/>
        </w:rPr>
        <w:t>nion</w:t>
      </w:r>
      <w:r w:rsidR="00081B7A" w:rsidRPr="00363097">
        <w:rPr>
          <w:noProof/>
          <w:lang w:val="en-IE" w:eastAsia="en-IE"/>
        </w:rPr>
        <w:t>’ means the International Financial Reporting Standards as adopted by the Union pursuant to Regulation (EC) No 1606/2002 of the European Parliament and of the Council</w:t>
      </w:r>
      <w:r w:rsidR="00081B7A" w:rsidRPr="00363097">
        <w:rPr>
          <w:rStyle w:val="FootnoteReference0"/>
          <w:noProof/>
        </w:rPr>
        <w:footnoteReference w:id="31"/>
      </w:r>
      <w:r w:rsidR="00081B7A" w:rsidRPr="00363097">
        <w:rPr>
          <w:noProof/>
          <w:lang w:val="en-IE" w:eastAsia="en-IE"/>
        </w:rPr>
        <w:t xml:space="preserve"> and the generally accepted accounting principles of the Member States;</w:t>
      </w:r>
    </w:p>
    <w:p w14:paraId="18AFAE49" w14:textId="77777777" w:rsidR="00E11A21" w:rsidRPr="00363097" w:rsidRDefault="00CD1E29" w:rsidP="00CD1E29">
      <w:pPr>
        <w:pStyle w:val="Point0"/>
        <w:rPr>
          <w:noProof/>
          <w:lang w:val="en-IE" w:eastAsia="en-IE"/>
        </w:rPr>
      </w:pPr>
      <w:r>
        <w:rPr>
          <w:noProof/>
          <w:lang w:val="en-IE" w:eastAsia="en-IE"/>
        </w:rPr>
        <w:t>(12)</w:t>
      </w:r>
      <w:r>
        <w:rPr>
          <w:noProof/>
          <w:lang w:val="en-IE" w:eastAsia="en-IE"/>
        </w:rPr>
        <w:tab/>
      </w:r>
      <w:r w:rsidR="00E11A21" w:rsidRPr="00363097">
        <w:rPr>
          <w:noProof/>
          <w:lang w:val="en-IE" w:eastAsia="en-IE"/>
        </w:rPr>
        <w:t xml:space="preserve">‘financial accounting net income or loss’ means </w:t>
      </w:r>
      <w:r w:rsidR="00E11A21" w:rsidRPr="00363097">
        <w:rPr>
          <w:noProof/>
        </w:rPr>
        <w:t>the net profit or loss determined for a BEFIT group member, under a single common acceptable accounting standard in the Union before any consolidation adjustments for eliminating intra-BEFIT group transactions, in accordance with Article 7.</w:t>
      </w:r>
    </w:p>
    <w:p w14:paraId="26BDEBFB" w14:textId="77777777" w:rsidR="00EE1D5E" w:rsidRPr="00363097" w:rsidRDefault="00CD1E29" w:rsidP="00CD1E29">
      <w:pPr>
        <w:pStyle w:val="Point0"/>
        <w:rPr>
          <w:noProof/>
          <w:lang w:val="en-IE" w:eastAsia="en-IE"/>
        </w:rPr>
      </w:pPr>
      <w:r>
        <w:rPr>
          <w:noProof/>
          <w:lang w:val="en-IE" w:eastAsia="en-IE"/>
        </w:rPr>
        <w:t>(13)</w:t>
      </w:r>
      <w:r>
        <w:rPr>
          <w:noProof/>
          <w:lang w:val="en-IE" w:eastAsia="en-IE"/>
        </w:rPr>
        <w:tab/>
      </w:r>
      <w:r w:rsidR="00EE1D5E" w:rsidRPr="00363097">
        <w:rPr>
          <w:noProof/>
          <w:lang w:val="en-IE" w:eastAsia="en-IE"/>
        </w:rPr>
        <w:t>‘</w:t>
      </w:r>
      <w:r w:rsidR="00EE1D5E" w:rsidRPr="00363097">
        <w:rPr>
          <w:noProof/>
        </w:rPr>
        <w:t xml:space="preserve">Insurance undertaking’ means </w:t>
      </w:r>
      <w:r w:rsidR="00EE1D5E" w:rsidRPr="00363097">
        <w:rPr>
          <w:noProof/>
          <w:lang w:val="en-IE" w:eastAsia="en-IE"/>
        </w:rPr>
        <w:t>an insurance undertaking as defined in Article 13, point (1), of Directive 2009/138/EC of the European Parliament and of the Council</w:t>
      </w:r>
      <w:r w:rsidR="00EE1D5E" w:rsidRPr="00363097">
        <w:rPr>
          <w:rStyle w:val="FootnoteReference0"/>
          <w:noProof/>
        </w:rPr>
        <w:footnoteReference w:id="32"/>
      </w:r>
      <w:r w:rsidR="00EE1D5E" w:rsidRPr="00363097">
        <w:rPr>
          <w:noProof/>
          <w:lang w:val="en-IE" w:eastAsia="en-IE"/>
        </w:rPr>
        <w:t xml:space="preserve">; </w:t>
      </w:r>
    </w:p>
    <w:p w14:paraId="5F12BE45" w14:textId="77777777" w:rsidR="00854146" w:rsidRPr="00363097" w:rsidRDefault="00CD1E29" w:rsidP="00CD1E29">
      <w:pPr>
        <w:pStyle w:val="Point0"/>
        <w:rPr>
          <w:noProof/>
          <w:lang w:val="en-IE" w:eastAsia="en-IE"/>
        </w:rPr>
      </w:pPr>
      <w:r>
        <w:rPr>
          <w:noProof/>
        </w:rPr>
        <w:t>(14)</w:t>
      </w:r>
      <w:r>
        <w:rPr>
          <w:noProof/>
        </w:rPr>
        <w:tab/>
      </w:r>
      <w:r w:rsidR="00854146" w:rsidRPr="00363097">
        <w:rPr>
          <w:noProof/>
        </w:rPr>
        <w:t>‘Unit-linked/index-linked life insurance’ means life insurance policies where the investment gains and losses or interests/dividends accruing on the underlying investments of the insurance undertaking are fully allocated to policyholders over time;</w:t>
      </w:r>
    </w:p>
    <w:p w14:paraId="6D1A3ED8" w14:textId="77777777" w:rsidR="00081B7A" w:rsidRPr="00363097" w:rsidRDefault="00CD1E29" w:rsidP="00CD1E29">
      <w:pPr>
        <w:pStyle w:val="Point0"/>
        <w:rPr>
          <w:noProof/>
          <w:lang w:val="en-IE" w:eastAsia="en-IE"/>
        </w:rPr>
      </w:pPr>
      <w:r>
        <w:rPr>
          <w:noProof/>
          <w:lang w:val="en-IE" w:eastAsia="en-IE"/>
        </w:rPr>
        <w:t>(15)</w:t>
      </w:r>
      <w:r>
        <w:rPr>
          <w:noProof/>
          <w:lang w:val="en-IE" w:eastAsia="en-IE"/>
        </w:rPr>
        <w:tab/>
      </w:r>
      <w:r w:rsidR="00081B7A" w:rsidRPr="00363097">
        <w:rPr>
          <w:noProof/>
          <w:lang w:val="en-IE" w:eastAsia="en-IE"/>
        </w:rPr>
        <w:t>‘economic owner’ means the person who receives substantially all the benefits and bears all the risks attached to a fixed asset, regardless of whether that person is the legal owner. A taxpayer who has the right to possess, use and dispose of a fixed asset</w:t>
      </w:r>
      <w:r w:rsidR="00081B7A" w:rsidRPr="00363097">
        <w:rPr>
          <w:noProof/>
        </w:rPr>
        <w:t xml:space="preserve"> </w:t>
      </w:r>
      <w:r w:rsidR="00081B7A" w:rsidRPr="00363097">
        <w:rPr>
          <w:noProof/>
          <w:lang w:val="en-IE" w:eastAsia="en-IE"/>
        </w:rPr>
        <w:t>and bears the risk of its loss or destruction shall in any event be considered the</w:t>
      </w:r>
      <w:r w:rsidR="00081B7A" w:rsidRPr="00363097">
        <w:rPr>
          <w:noProof/>
        </w:rPr>
        <w:t xml:space="preserve"> </w:t>
      </w:r>
      <w:r w:rsidR="00081B7A" w:rsidRPr="00363097">
        <w:rPr>
          <w:noProof/>
          <w:lang w:val="en-IE" w:eastAsia="en-IE"/>
        </w:rPr>
        <w:t>economic owner;</w:t>
      </w:r>
    </w:p>
    <w:p w14:paraId="22E9E63F" w14:textId="77777777" w:rsidR="00EE1D5E" w:rsidRPr="00363097" w:rsidRDefault="00CD1E29" w:rsidP="00CD1E29">
      <w:pPr>
        <w:pStyle w:val="Point0"/>
        <w:rPr>
          <w:noProof/>
          <w:lang w:val="en-IE" w:eastAsia="en-IE"/>
        </w:rPr>
      </w:pPr>
      <w:r>
        <w:rPr>
          <w:noProof/>
          <w:lang w:val="en-IE" w:eastAsia="en-IE"/>
        </w:rPr>
        <w:t>(16)</w:t>
      </w:r>
      <w:r>
        <w:rPr>
          <w:noProof/>
          <w:lang w:val="en-IE" w:eastAsia="en-IE"/>
        </w:rPr>
        <w:tab/>
      </w:r>
      <w:r w:rsidR="00EE1D5E" w:rsidRPr="00363097">
        <w:rPr>
          <w:noProof/>
          <w:lang w:val="en-IE" w:eastAsia="en-IE"/>
        </w:rPr>
        <w:t>‘baseline allocation’ means the method for sharing the BEFIT tax base among BEFIT group members in each fiscal year of the transition period in accordance with Article 45.</w:t>
      </w:r>
    </w:p>
    <w:p w14:paraId="0232C972" w14:textId="3CAE37A2" w:rsidR="00081B7A" w:rsidRPr="00363097" w:rsidRDefault="00CD1E29" w:rsidP="00CD1E29">
      <w:pPr>
        <w:pStyle w:val="Point0"/>
        <w:rPr>
          <w:noProof/>
          <w:lang w:val="en-IE" w:eastAsia="en-IE"/>
        </w:rPr>
      </w:pPr>
      <w:r>
        <w:rPr>
          <w:noProof/>
          <w:lang w:val="en-IE" w:eastAsia="en-IE"/>
        </w:rPr>
        <w:t>(17)</w:t>
      </w:r>
      <w:r>
        <w:rPr>
          <w:noProof/>
          <w:lang w:val="en-IE" w:eastAsia="en-IE"/>
        </w:rPr>
        <w:tab/>
      </w:r>
      <w:r w:rsidR="00081B7A" w:rsidRPr="00363097">
        <w:rPr>
          <w:noProof/>
          <w:lang w:val="en-IE" w:eastAsia="en-IE"/>
        </w:rPr>
        <w:t>‘filing authority’ means the competent authority of the Member State in which the filing entity is resident for tax purposes or, where it concerns a permanent establishment of a non-resident taxpayer, the Member State in which that permanent establishment is situated.</w:t>
      </w:r>
    </w:p>
    <w:p w14:paraId="7166C39F" w14:textId="77777777" w:rsidR="00081B7A" w:rsidRPr="00363097" w:rsidRDefault="00081B7A" w:rsidP="006B487B">
      <w:pPr>
        <w:pStyle w:val="ChapterTitle2"/>
        <w:rPr>
          <w:rFonts w:eastAsia="Times New Roman"/>
          <w:noProof/>
          <w:lang w:val="en-IE" w:eastAsia="en-IE"/>
        </w:rPr>
      </w:pPr>
      <w:r w:rsidRPr="00363097">
        <w:rPr>
          <w:noProof/>
          <w:lang w:val="en-IE"/>
        </w:rPr>
        <w:t>CHAPTER II</w:t>
      </w:r>
      <w:r w:rsidRPr="00363097">
        <w:rPr>
          <w:noProof/>
          <w:lang w:val="en-IE"/>
        </w:rPr>
        <w:br/>
      </w:r>
      <w:r w:rsidRPr="00363097">
        <w:rPr>
          <w:rFonts w:eastAsia="Times New Roman"/>
          <w:bCs/>
          <w:noProof/>
          <w:lang w:val="en-IE" w:eastAsia="en-IE"/>
        </w:rPr>
        <w:t>DETERMINATION OF THE PRELIMINARY TAX RESULT</w:t>
      </w:r>
    </w:p>
    <w:p w14:paraId="0E6BA739" w14:textId="77777777" w:rsidR="00081B7A" w:rsidRPr="00363097" w:rsidRDefault="00081B7A" w:rsidP="00081B7A">
      <w:pPr>
        <w:pStyle w:val="SectionTitle"/>
        <w:rPr>
          <w:noProof/>
          <w:lang w:val="en-IE"/>
        </w:rPr>
      </w:pPr>
      <w:r w:rsidRPr="00363097">
        <w:rPr>
          <w:noProof/>
          <w:lang w:val="en-IE"/>
        </w:rPr>
        <w:t>Section 1</w:t>
      </w:r>
      <w:r w:rsidRPr="00363097">
        <w:rPr>
          <w:noProof/>
          <w:lang w:val="en-IE"/>
        </w:rPr>
        <w:br/>
        <w:t>General provisions</w:t>
      </w:r>
    </w:p>
    <w:p w14:paraId="52FAF4DF" w14:textId="77777777" w:rsidR="00081B7A" w:rsidRPr="00363097" w:rsidRDefault="00081B7A" w:rsidP="006B487B">
      <w:pPr>
        <w:pStyle w:val="Titrearticle2"/>
        <w:rPr>
          <w:b/>
          <w:bCs/>
          <w:noProof/>
          <w:lang w:val="en-IE"/>
        </w:rPr>
      </w:pPr>
      <w:r w:rsidRPr="00363097">
        <w:rPr>
          <w:noProof/>
          <w:lang w:val="en-IE"/>
        </w:rPr>
        <w:t>Article 4</w:t>
      </w:r>
      <w:r w:rsidRPr="00363097">
        <w:rPr>
          <w:noProof/>
          <w:lang w:val="en-IE"/>
        </w:rPr>
        <w:br/>
      </w:r>
      <w:r w:rsidRPr="00363097">
        <w:rPr>
          <w:b/>
          <w:bCs/>
          <w:noProof/>
          <w:lang w:val="en-IE"/>
        </w:rPr>
        <w:t>General principles</w:t>
      </w:r>
    </w:p>
    <w:p w14:paraId="0090ED93" w14:textId="155226CF" w:rsidR="00081B7A" w:rsidRPr="00363097" w:rsidRDefault="00634583" w:rsidP="00634583">
      <w:pPr>
        <w:pStyle w:val="ManualNumPar1"/>
        <w:rPr>
          <w:rFonts w:eastAsia="Calibri"/>
          <w:noProof/>
          <w:lang w:val="en-IE"/>
        </w:rPr>
      </w:pPr>
      <w:bookmarkStart w:id="9" w:name="_Hlk143686044"/>
      <w:r w:rsidRPr="00634583">
        <w:t>1.</w:t>
      </w:r>
      <w:r w:rsidRPr="00634583">
        <w:tab/>
      </w:r>
      <w:r w:rsidR="00081B7A" w:rsidRPr="00363097">
        <w:rPr>
          <w:noProof/>
          <w:lang w:val="en-IE"/>
        </w:rPr>
        <w:t xml:space="preserve">The preliminary tax result of each BEFIT group member shall be determined, for each fiscal year, based on its financial accounting net income or loss as adjusted in accordance with </w:t>
      </w:r>
      <w:r w:rsidR="00961593" w:rsidRPr="00363097">
        <w:rPr>
          <w:noProof/>
          <w:lang w:val="en-IE"/>
        </w:rPr>
        <w:t>Article</w:t>
      </w:r>
      <w:r w:rsidR="00CE177B" w:rsidRPr="00363097">
        <w:rPr>
          <w:noProof/>
          <w:lang w:val="en-IE"/>
        </w:rPr>
        <w:t xml:space="preserve"> 8 to 41</w:t>
      </w:r>
      <w:r w:rsidR="00961593" w:rsidRPr="00363097">
        <w:rPr>
          <w:noProof/>
          <w:lang w:val="en-IE"/>
        </w:rPr>
        <w:t xml:space="preserve"> of </w:t>
      </w:r>
      <w:r w:rsidR="00081B7A" w:rsidRPr="00363097">
        <w:rPr>
          <w:noProof/>
          <w:lang w:val="en-IE"/>
        </w:rPr>
        <w:t xml:space="preserve">this Directive. </w:t>
      </w:r>
    </w:p>
    <w:bookmarkEnd w:id="9"/>
    <w:p w14:paraId="52F6DCB8" w14:textId="71098577"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Expenses that are included in the financial accounting net income or loss of a BEFIT group member shall be deductible from its preliminary tax result only to the extent that they are incurred in its direct business interest. </w:t>
      </w:r>
    </w:p>
    <w:p w14:paraId="637E6126" w14:textId="77777777" w:rsidR="00081B7A" w:rsidRPr="00363097" w:rsidRDefault="00081B7A" w:rsidP="006B487B">
      <w:pPr>
        <w:pStyle w:val="Titrearticle2"/>
        <w:rPr>
          <w:b/>
          <w:bCs/>
          <w:noProof/>
          <w:lang w:val="en-IE"/>
        </w:rPr>
      </w:pPr>
      <w:r w:rsidRPr="00363097">
        <w:rPr>
          <w:noProof/>
          <w:szCs w:val="24"/>
          <w:lang w:val="en-IE"/>
        </w:rPr>
        <w:t>Article 5</w:t>
      </w:r>
      <w:r w:rsidRPr="00363097">
        <w:rPr>
          <w:noProof/>
          <w:szCs w:val="24"/>
          <w:lang w:val="en-IE"/>
        </w:rPr>
        <w:br/>
      </w:r>
      <w:r w:rsidRPr="00363097">
        <w:rPr>
          <w:b/>
          <w:bCs/>
          <w:noProof/>
          <w:lang w:val="en-IE"/>
        </w:rPr>
        <w:t>Structure of a BEFIT group</w:t>
      </w:r>
    </w:p>
    <w:p w14:paraId="0261E01A" w14:textId="1F288881" w:rsidR="00081B7A" w:rsidRPr="00363097" w:rsidRDefault="00634583" w:rsidP="00634583">
      <w:pPr>
        <w:pStyle w:val="ManualNumPar1"/>
        <w:rPr>
          <w:noProof/>
          <w:lang w:val="en-IE"/>
        </w:rPr>
      </w:pPr>
      <w:r w:rsidRPr="00634583">
        <w:t>1.</w:t>
      </w:r>
      <w:r w:rsidRPr="00634583">
        <w:tab/>
      </w:r>
      <w:r w:rsidR="00081B7A" w:rsidRPr="00363097">
        <w:rPr>
          <w:noProof/>
          <w:lang w:val="en-IE"/>
        </w:rPr>
        <w:t>A BEFIT group shall be formed where two or more companies or permanent establishments which fall within the scope of this Directive meet the following conditions:</w:t>
      </w:r>
    </w:p>
    <w:p w14:paraId="7FDEEB21" w14:textId="77777777" w:rsidR="00081B7A" w:rsidRPr="00363097" w:rsidRDefault="00081B7A" w:rsidP="00455793">
      <w:pPr>
        <w:pStyle w:val="Point1"/>
        <w:rPr>
          <w:noProof/>
        </w:rPr>
      </w:pPr>
      <w:r w:rsidRPr="00363097">
        <w:rPr>
          <w:noProof/>
        </w:rPr>
        <w:t>(</w:t>
      </w:r>
      <w:r w:rsidR="00D17FA2" w:rsidRPr="00363097">
        <w:rPr>
          <w:noProof/>
        </w:rPr>
        <w:t>a</w:t>
      </w:r>
      <w:r w:rsidRPr="00363097">
        <w:rPr>
          <w:noProof/>
        </w:rPr>
        <w:t>)</w:t>
      </w:r>
      <w:r w:rsidRPr="00363097">
        <w:rPr>
          <w:noProof/>
        </w:rPr>
        <w:tab/>
      </w:r>
      <w:r w:rsidR="00B252B7" w:rsidRPr="00363097">
        <w:rPr>
          <w:noProof/>
        </w:rPr>
        <w:t>t</w:t>
      </w:r>
      <w:r w:rsidRPr="00363097">
        <w:rPr>
          <w:noProof/>
        </w:rPr>
        <w:t>he company is either the ultimate parent entity of the group or any other company of the group in which the ultimate parent entity holds, directly or indirectly, at least 75% of the ownership rights or of the rights giving entitlement to profit;</w:t>
      </w:r>
    </w:p>
    <w:p w14:paraId="25EF5F35" w14:textId="77777777" w:rsidR="00081B7A" w:rsidRPr="00363097" w:rsidRDefault="00081B7A" w:rsidP="00455793">
      <w:pPr>
        <w:pStyle w:val="Point1"/>
        <w:rPr>
          <w:noProof/>
        </w:rPr>
      </w:pPr>
      <w:r w:rsidRPr="00363097">
        <w:rPr>
          <w:noProof/>
        </w:rPr>
        <w:t>(</w:t>
      </w:r>
      <w:r w:rsidR="00D17FA2" w:rsidRPr="00363097">
        <w:rPr>
          <w:noProof/>
        </w:rPr>
        <w:t>b</w:t>
      </w:r>
      <w:r w:rsidRPr="00363097">
        <w:rPr>
          <w:noProof/>
        </w:rPr>
        <w:t>)</w:t>
      </w:r>
      <w:r w:rsidRPr="00363097">
        <w:rPr>
          <w:noProof/>
        </w:rPr>
        <w:tab/>
      </w:r>
      <w:r w:rsidR="00B252B7" w:rsidRPr="00363097">
        <w:rPr>
          <w:noProof/>
        </w:rPr>
        <w:t>t</w:t>
      </w:r>
      <w:r w:rsidRPr="00363097">
        <w:rPr>
          <w:noProof/>
        </w:rPr>
        <w:t xml:space="preserve">he </w:t>
      </w:r>
      <w:r w:rsidRPr="00363097" w:rsidDel="00CE177B">
        <w:rPr>
          <w:noProof/>
        </w:rPr>
        <w:t>head office</w:t>
      </w:r>
      <w:r w:rsidRPr="00363097">
        <w:rPr>
          <w:noProof/>
        </w:rPr>
        <w:t xml:space="preserve"> of the permanent establishment is either the ultimate parent entity of the group or any other member (company or entity) of the group in which the ultimate parent entity holds, directly or indirectly, at least 75% of the ownership rights or of the rights giving entitlement to profit. </w:t>
      </w:r>
    </w:p>
    <w:p w14:paraId="6B24355D" w14:textId="56DE09BD" w:rsidR="00081B7A" w:rsidRPr="00363097" w:rsidRDefault="00634583" w:rsidP="00634583">
      <w:pPr>
        <w:pStyle w:val="ManualNumPar1"/>
        <w:rPr>
          <w:noProof/>
          <w:lang w:val="en-IE"/>
        </w:rPr>
      </w:pPr>
      <w:r w:rsidRPr="00634583">
        <w:t>2.</w:t>
      </w:r>
      <w:r w:rsidRPr="00634583">
        <w:tab/>
      </w:r>
      <w:r w:rsidR="00081B7A" w:rsidRPr="00363097">
        <w:rPr>
          <w:noProof/>
          <w:lang w:val="en-IE"/>
        </w:rPr>
        <w:t>For the purpose of calculating the threshold referred to in paragraph 1, points (</w:t>
      </w:r>
      <w:r w:rsidR="00D17FA2" w:rsidRPr="00363097">
        <w:rPr>
          <w:noProof/>
          <w:lang w:val="en-IE"/>
        </w:rPr>
        <w:t>a</w:t>
      </w:r>
      <w:r w:rsidR="00081B7A" w:rsidRPr="00363097">
        <w:rPr>
          <w:noProof/>
          <w:lang w:val="en-IE"/>
        </w:rPr>
        <w:t>) and (</w:t>
      </w:r>
      <w:r w:rsidR="00D17FA2" w:rsidRPr="00363097">
        <w:rPr>
          <w:noProof/>
          <w:lang w:val="en-IE"/>
        </w:rPr>
        <w:t>b</w:t>
      </w:r>
      <w:r w:rsidR="00081B7A" w:rsidRPr="00363097">
        <w:rPr>
          <w:noProof/>
          <w:lang w:val="en-IE"/>
        </w:rPr>
        <w:t>)</w:t>
      </w:r>
      <w:r w:rsidR="000C302B" w:rsidRPr="00363097">
        <w:rPr>
          <w:noProof/>
          <w:lang w:val="en-IE"/>
        </w:rPr>
        <w:t>,</w:t>
      </w:r>
      <w:r w:rsidR="00081B7A" w:rsidRPr="00363097">
        <w:rPr>
          <w:noProof/>
          <w:lang w:val="en-IE"/>
        </w:rPr>
        <w:t xml:space="preserve"> the ownership rights and the rights giving entitlement to profit in a company that belongs to a group shall be calculated by multiplying the interests held, directly and indirectly, at each tier. </w:t>
      </w:r>
    </w:p>
    <w:p w14:paraId="67202B11" w14:textId="77777777" w:rsidR="00081B7A" w:rsidRPr="00363097" w:rsidRDefault="00081B7A" w:rsidP="006B487B">
      <w:pPr>
        <w:pStyle w:val="Titrearticle2"/>
        <w:rPr>
          <w:b/>
          <w:bCs/>
          <w:noProof/>
        </w:rPr>
      </w:pPr>
      <w:r w:rsidRPr="00363097">
        <w:rPr>
          <w:noProof/>
          <w:lang w:val="en-IE"/>
        </w:rPr>
        <w:t xml:space="preserve">Article 6 </w:t>
      </w:r>
      <w:r w:rsidRPr="00363097">
        <w:rPr>
          <w:noProof/>
          <w:lang w:val="en-IE"/>
        </w:rPr>
        <w:br/>
      </w:r>
      <w:r w:rsidRPr="00363097">
        <w:rPr>
          <w:b/>
          <w:bCs/>
          <w:noProof/>
        </w:rPr>
        <w:t>Holding period requirements</w:t>
      </w:r>
    </w:p>
    <w:p w14:paraId="582115CC" w14:textId="24D9E976" w:rsidR="00081B7A" w:rsidRPr="00363097" w:rsidRDefault="00634583" w:rsidP="00634583">
      <w:pPr>
        <w:pStyle w:val="ManualNumPar1"/>
        <w:rPr>
          <w:noProof/>
          <w:lang w:val="en-IE"/>
        </w:rPr>
      </w:pPr>
      <w:r w:rsidRPr="00634583">
        <w:t>1.</w:t>
      </w:r>
      <w:r w:rsidRPr="00634583">
        <w:tab/>
      </w:r>
      <w:r w:rsidR="00081B7A" w:rsidRPr="00363097">
        <w:rPr>
          <w:noProof/>
          <w:lang w:val="en-IE"/>
        </w:rPr>
        <w:t>A BEFIT group member shall meet the thresholds referred to in Article 5</w:t>
      </w:r>
      <w:r w:rsidR="00420D24" w:rsidRPr="00363097">
        <w:rPr>
          <w:noProof/>
          <w:lang w:val="en-IE"/>
        </w:rPr>
        <w:t>(1)</w:t>
      </w:r>
      <w:r w:rsidR="007E4268" w:rsidRPr="00363097">
        <w:rPr>
          <w:noProof/>
          <w:lang w:val="en-IE"/>
        </w:rPr>
        <w:t xml:space="preserve"> </w:t>
      </w:r>
      <w:r w:rsidR="00081B7A" w:rsidRPr="00363097">
        <w:rPr>
          <w:noProof/>
          <w:lang w:val="en-IE"/>
        </w:rPr>
        <w:t xml:space="preserve">without interruption, throughout the fiscal year. </w:t>
      </w:r>
    </w:p>
    <w:p w14:paraId="084E1F29" w14:textId="39B30BD6" w:rsidR="00081B7A" w:rsidRPr="00363097" w:rsidRDefault="00634583" w:rsidP="00634583">
      <w:pPr>
        <w:pStyle w:val="ManualNumPar1"/>
        <w:rPr>
          <w:noProof/>
          <w:lang w:val="en-IE"/>
        </w:rPr>
      </w:pPr>
      <w:r w:rsidRPr="00634583">
        <w:t>2.</w:t>
      </w:r>
      <w:r w:rsidRPr="00634583">
        <w:tab/>
      </w:r>
      <w:r w:rsidR="00081B7A" w:rsidRPr="00363097">
        <w:rPr>
          <w:noProof/>
          <w:lang w:val="en-IE"/>
        </w:rPr>
        <w:t>A company or a permanent establishment shall become a BEFIT group member on the date that the thresholds referred to in Article 5(1) are reached. The thresholds shall be met for at least nine consecutive months</w:t>
      </w:r>
      <w:r w:rsidR="00D23184" w:rsidRPr="00363097">
        <w:rPr>
          <w:noProof/>
          <w:lang w:val="en-IE"/>
        </w:rPr>
        <w:t>. If</w:t>
      </w:r>
      <w:r w:rsidR="00081B7A" w:rsidRPr="00363097">
        <w:rPr>
          <w:noProof/>
          <w:lang w:val="en-IE"/>
        </w:rPr>
        <w:t xml:space="preserve"> a company or, as applicable</w:t>
      </w:r>
      <w:r w:rsidR="00B13004" w:rsidRPr="00363097">
        <w:rPr>
          <w:noProof/>
          <w:lang w:val="en-IE"/>
        </w:rPr>
        <w:t>,</w:t>
      </w:r>
      <w:r w:rsidR="00081B7A" w:rsidRPr="00363097">
        <w:rPr>
          <w:noProof/>
          <w:lang w:val="en-IE"/>
        </w:rPr>
        <w:t xml:space="preserve"> a permanent establishment </w:t>
      </w:r>
      <w:r w:rsidR="00F24664" w:rsidRPr="00363097">
        <w:rPr>
          <w:noProof/>
          <w:lang w:val="en-IE"/>
        </w:rPr>
        <w:t>fails to meet the thresholds for the required period, it</w:t>
      </w:r>
      <w:r w:rsidR="00081B7A" w:rsidRPr="00363097">
        <w:rPr>
          <w:noProof/>
          <w:lang w:val="en-IE"/>
        </w:rPr>
        <w:t xml:space="preserve"> shall be treated as if it has never been a BEFIT group member. </w:t>
      </w:r>
    </w:p>
    <w:p w14:paraId="380E1886" w14:textId="55BC73CB"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A company or a permanent establishment ceases to be a BEFIT group member on the day that follows the one on which it no longer meets the thresholds referred to in Article 5(1). </w:t>
      </w:r>
    </w:p>
    <w:p w14:paraId="0FCFA21A" w14:textId="77777777" w:rsidR="00081B7A" w:rsidRPr="00363097" w:rsidRDefault="00081B7A" w:rsidP="006B487B">
      <w:pPr>
        <w:pStyle w:val="Titrearticle2"/>
        <w:rPr>
          <w:b/>
          <w:bCs/>
          <w:noProof/>
          <w:lang w:val="en-IE"/>
        </w:rPr>
      </w:pPr>
      <w:r w:rsidRPr="00363097">
        <w:rPr>
          <w:noProof/>
          <w:lang w:val="en-IE"/>
        </w:rPr>
        <w:t>Article 7</w:t>
      </w:r>
      <w:r w:rsidRPr="00363097">
        <w:rPr>
          <w:noProof/>
          <w:lang w:val="en-IE"/>
        </w:rPr>
        <w:br/>
      </w:r>
      <w:r w:rsidRPr="00363097">
        <w:rPr>
          <w:b/>
          <w:bCs/>
          <w:noProof/>
          <w:lang w:val="en-IE"/>
        </w:rPr>
        <w:t>Financial accounts as a basis for computing the preliminary tax result</w:t>
      </w:r>
    </w:p>
    <w:p w14:paraId="2B8A759F" w14:textId="46A226EF" w:rsidR="00081B7A" w:rsidRPr="00363097" w:rsidRDefault="00634583" w:rsidP="00634583">
      <w:pPr>
        <w:pStyle w:val="ManualNumPar1"/>
        <w:rPr>
          <w:rFonts w:asciiTheme="minorHAnsi" w:hAnsiTheme="minorHAnsi" w:cstheme="minorBidi"/>
          <w:noProof/>
          <w:sz w:val="22"/>
        </w:rPr>
      </w:pPr>
      <w:r w:rsidRPr="00634583">
        <w:t>1.</w:t>
      </w:r>
      <w:r w:rsidRPr="00634583">
        <w:tab/>
      </w:r>
      <w:r w:rsidR="00081B7A" w:rsidRPr="00363097">
        <w:rPr>
          <w:noProof/>
        </w:rPr>
        <w:t>The preliminary tax result of a BEFIT group member shall be computed by making the adjustments set out in Articles 8 to 41 to its financial accounting net income or loss for the fiscal year, as determined under a single common acceptable accounting standard in the U</w:t>
      </w:r>
      <w:r w:rsidR="00C5541E" w:rsidRPr="00363097">
        <w:rPr>
          <w:noProof/>
        </w:rPr>
        <w:t>nion</w:t>
      </w:r>
      <w:r w:rsidR="00081B7A" w:rsidRPr="00363097">
        <w:rPr>
          <w:noProof/>
        </w:rPr>
        <w:t xml:space="preserve"> before any consolidation adjustments for eliminating intra-BEFIT group transactions.</w:t>
      </w:r>
      <w:r w:rsidR="00081B7A" w:rsidRPr="00363097">
        <w:rPr>
          <w:rFonts w:asciiTheme="minorHAnsi" w:hAnsiTheme="minorHAnsi" w:cstheme="minorBidi"/>
          <w:noProof/>
          <w:sz w:val="22"/>
        </w:rPr>
        <w:t xml:space="preserve"> </w:t>
      </w:r>
    </w:p>
    <w:p w14:paraId="79CF14BF" w14:textId="2EBDE90B" w:rsidR="00081B7A" w:rsidRPr="00363097" w:rsidRDefault="00634583" w:rsidP="00634583">
      <w:pPr>
        <w:pStyle w:val="ManualNumPar1"/>
        <w:rPr>
          <w:noProof/>
        </w:rPr>
      </w:pPr>
      <w:r w:rsidRPr="00634583">
        <w:t>2.</w:t>
      </w:r>
      <w:r w:rsidRPr="00634583">
        <w:tab/>
      </w:r>
      <w:r w:rsidR="00081B7A" w:rsidRPr="00363097">
        <w:rPr>
          <w:noProof/>
        </w:rPr>
        <w:t>The acceptable accounting standard in the Union to be used by the BEFIT group members for the purpose of paragraph 1 shall be</w:t>
      </w:r>
      <w:r w:rsidR="004E0D7B" w:rsidRPr="00363097">
        <w:rPr>
          <w:noProof/>
        </w:rPr>
        <w:t xml:space="preserve"> </w:t>
      </w:r>
      <w:r w:rsidR="00081B7A" w:rsidRPr="00363097">
        <w:rPr>
          <w:noProof/>
        </w:rPr>
        <w:t xml:space="preserve">the acceptable accounting standard in the Union which is used in the preparation of the consolidated financial statements of the ultimate parent entity where the latter is resident for tax purposes in a Member State. </w:t>
      </w:r>
    </w:p>
    <w:p w14:paraId="185BE83D" w14:textId="77777777" w:rsidR="00081B7A" w:rsidRPr="00363097" w:rsidRDefault="00081B7A" w:rsidP="00501613">
      <w:pPr>
        <w:pStyle w:val="Text1"/>
        <w:rPr>
          <w:noProof/>
        </w:rPr>
      </w:pPr>
      <w:r w:rsidRPr="00363097">
        <w:rPr>
          <w:noProof/>
        </w:rPr>
        <w:t>Where the ultimate parent entity is not resident for tax purposes in a Member State, the acceptable accounting standard in the Union shall be the standard in force in the Member State where the filing entity is resident for tax purposes.</w:t>
      </w:r>
    </w:p>
    <w:p w14:paraId="18E92196" w14:textId="76657EC9" w:rsidR="00081B7A" w:rsidRPr="00363097" w:rsidRDefault="00634583" w:rsidP="00634583">
      <w:pPr>
        <w:pStyle w:val="ManualNumPar1"/>
        <w:rPr>
          <w:noProof/>
        </w:rPr>
      </w:pPr>
      <w:r w:rsidRPr="00634583">
        <w:t>3.</w:t>
      </w:r>
      <w:r w:rsidRPr="00634583">
        <w:tab/>
      </w:r>
      <w:r w:rsidR="00081B7A" w:rsidRPr="00363097">
        <w:rPr>
          <w:noProof/>
        </w:rPr>
        <w:t xml:space="preserve">Where a BEFIT group member is a permanent establishment, its financial accounting net income or loss shall be either: </w:t>
      </w:r>
    </w:p>
    <w:p w14:paraId="42BA3E86" w14:textId="23D21AA0" w:rsidR="00081B7A" w:rsidRPr="00363097" w:rsidRDefault="00081B7A" w:rsidP="00081B7A">
      <w:pPr>
        <w:pStyle w:val="Point1"/>
        <w:rPr>
          <w:noProof/>
        </w:rPr>
      </w:pPr>
      <w:r w:rsidRPr="00363097">
        <w:rPr>
          <w:noProof/>
        </w:rPr>
        <w:t>(</w:t>
      </w:r>
      <w:r w:rsidR="00D17FA2" w:rsidRPr="00363097">
        <w:rPr>
          <w:noProof/>
        </w:rPr>
        <w:t>a</w:t>
      </w:r>
      <w:r w:rsidRPr="00363097">
        <w:rPr>
          <w:noProof/>
        </w:rPr>
        <w:t>)</w:t>
      </w:r>
      <w:r w:rsidRPr="00363097">
        <w:rPr>
          <w:noProof/>
        </w:rPr>
        <w:tab/>
        <w:t>the net income or loss reflected in its own separate financial accounts</w:t>
      </w:r>
      <w:r w:rsidR="00227312">
        <w:rPr>
          <w:noProof/>
        </w:rPr>
        <w:t xml:space="preserve">, </w:t>
      </w:r>
      <w:r w:rsidR="00750C0A">
        <w:rPr>
          <w:noProof/>
        </w:rPr>
        <w:t xml:space="preserve">as determined </w:t>
      </w:r>
      <w:r w:rsidR="00227312">
        <w:rPr>
          <w:noProof/>
        </w:rPr>
        <w:t>in accordance with paragraphs 1 and 2</w:t>
      </w:r>
      <w:r w:rsidRPr="00363097">
        <w:rPr>
          <w:noProof/>
        </w:rPr>
        <w:t>; or</w:t>
      </w:r>
    </w:p>
    <w:p w14:paraId="7DFD7C02" w14:textId="77777777" w:rsidR="00081B7A" w:rsidRPr="00363097" w:rsidRDefault="00081B7A" w:rsidP="00081B7A">
      <w:pPr>
        <w:pStyle w:val="Point1"/>
        <w:rPr>
          <w:noProof/>
        </w:rPr>
      </w:pPr>
      <w:r w:rsidRPr="00363097">
        <w:rPr>
          <w:noProof/>
        </w:rPr>
        <w:t>(</w:t>
      </w:r>
      <w:r w:rsidR="00D17FA2" w:rsidRPr="00363097">
        <w:rPr>
          <w:noProof/>
        </w:rPr>
        <w:t>b</w:t>
      </w:r>
      <w:r w:rsidRPr="00363097">
        <w:rPr>
          <w:noProof/>
        </w:rPr>
        <w:t>)</w:t>
      </w:r>
      <w:r w:rsidRPr="00363097">
        <w:rPr>
          <w:noProof/>
        </w:rPr>
        <w:tab/>
      </w:r>
      <w:r w:rsidR="008E2828" w:rsidRPr="00363097">
        <w:rPr>
          <w:noProof/>
        </w:rPr>
        <w:t>in the absence of</w:t>
      </w:r>
      <w:r w:rsidRPr="00363097">
        <w:rPr>
          <w:noProof/>
        </w:rPr>
        <w:t xml:space="preserve"> separate financial accounts, the </w:t>
      </w:r>
      <w:r w:rsidR="008E2828" w:rsidRPr="00363097">
        <w:rPr>
          <w:noProof/>
        </w:rPr>
        <w:t xml:space="preserve">net income or loss </w:t>
      </w:r>
      <w:r w:rsidRPr="00363097">
        <w:rPr>
          <w:noProof/>
        </w:rPr>
        <w:t>that would have been reflected in its separate financial accounts if they had been prepared on a standalone basis and in accordance with the acceptable standard in the Union determined in accordance with paragraph</w:t>
      </w:r>
      <w:r w:rsidR="00255F07" w:rsidRPr="00363097">
        <w:rPr>
          <w:noProof/>
        </w:rPr>
        <w:t>s</w:t>
      </w:r>
      <w:r w:rsidRPr="00363097">
        <w:rPr>
          <w:noProof/>
        </w:rPr>
        <w:t xml:space="preserve"> 1 </w:t>
      </w:r>
      <w:r w:rsidR="00255F07" w:rsidRPr="00363097">
        <w:rPr>
          <w:noProof/>
        </w:rPr>
        <w:t xml:space="preserve">and </w:t>
      </w:r>
      <w:r w:rsidRPr="00363097">
        <w:rPr>
          <w:noProof/>
        </w:rPr>
        <w:t xml:space="preserve">2. </w:t>
      </w:r>
    </w:p>
    <w:p w14:paraId="008B570F" w14:textId="2F0538EC" w:rsidR="00081B7A" w:rsidRPr="00363097" w:rsidRDefault="00634583" w:rsidP="00634583">
      <w:pPr>
        <w:pStyle w:val="ManualNumPar1"/>
        <w:rPr>
          <w:rFonts w:eastAsia="Calibri"/>
          <w:noProof/>
        </w:rPr>
      </w:pPr>
      <w:r w:rsidRPr="00634583">
        <w:t>4.</w:t>
      </w:r>
      <w:r w:rsidRPr="00634583">
        <w:tab/>
      </w:r>
      <w:r w:rsidR="00D707D8" w:rsidRPr="00363097">
        <w:rPr>
          <w:noProof/>
        </w:rPr>
        <w:t xml:space="preserve">By way of derogation from </w:t>
      </w:r>
      <w:r w:rsidR="00081B7A" w:rsidRPr="00363097">
        <w:rPr>
          <w:noProof/>
        </w:rPr>
        <w:t>paragraph 1, where a Member State applies national law which allows groups to prepare, audit and publish financial statements on a jurisdictional basis, the preliminary tax result and the allocation of the BEFIT tax base of the BEFIT group members that are resident for tax purposes in that Member State may also be computed on a jurisdictional basis, provided that the group can identify separately, for each BEFIT group member, the data necessary to calculate such preliminary tax result and post-allocation adjustments in accordance with this Directive.</w:t>
      </w:r>
    </w:p>
    <w:p w14:paraId="7C979783" w14:textId="77777777" w:rsidR="00D707D8" w:rsidRPr="00363097" w:rsidRDefault="00081B7A" w:rsidP="00363097">
      <w:pPr>
        <w:pStyle w:val="SectionTitle"/>
        <w:spacing w:after="0"/>
        <w:rPr>
          <w:noProof/>
        </w:rPr>
      </w:pPr>
      <w:r w:rsidRPr="00363097">
        <w:rPr>
          <w:noProof/>
        </w:rPr>
        <w:t xml:space="preserve">Section 2 </w:t>
      </w:r>
    </w:p>
    <w:p w14:paraId="5E9C7E37" w14:textId="77777777" w:rsidR="00081B7A" w:rsidRPr="00363097" w:rsidRDefault="00081B7A" w:rsidP="00081B7A">
      <w:pPr>
        <w:pStyle w:val="SectionTitle"/>
        <w:rPr>
          <w:noProof/>
          <w:lang w:val="en-IE"/>
        </w:rPr>
      </w:pPr>
      <w:r w:rsidRPr="00363097">
        <w:rPr>
          <w:noProof/>
        </w:rPr>
        <w:t>Adjustments to the financial accounting net income or loss</w:t>
      </w:r>
    </w:p>
    <w:p w14:paraId="34A2F280" w14:textId="77777777" w:rsidR="00081B7A" w:rsidRPr="00363097" w:rsidRDefault="00081B7A" w:rsidP="006B487B">
      <w:pPr>
        <w:pStyle w:val="Titrearticle2"/>
        <w:rPr>
          <w:b/>
          <w:bCs/>
          <w:noProof/>
          <w:lang w:val="en-IE"/>
        </w:rPr>
      </w:pPr>
      <w:r w:rsidRPr="00363097">
        <w:rPr>
          <w:noProof/>
          <w:lang w:val="en-IE"/>
        </w:rPr>
        <w:t xml:space="preserve">Article 8 </w:t>
      </w:r>
      <w:r w:rsidRPr="00363097">
        <w:rPr>
          <w:noProof/>
          <w:lang w:val="en-IE"/>
        </w:rPr>
        <w:br/>
      </w:r>
      <w:r w:rsidRPr="00363097">
        <w:rPr>
          <w:b/>
          <w:bCs/>
          <w:noProof/>
          <w:lang w:val="en-IE"/>
        </w:rPr>
        <w:t>Dividends and other distributions</w:t>
      </w:r>
    </w:p>
    <w:p w14:paraId="6A3DEF44" w14:textId="77777777" w:rsidR="00081B7A" w:rsidRPr="00363097" w:rsidRDefault="00081B7A" w:rsidP="00081B7A">
      <w:pPr>
        <w:spacing w:before="0" w:after="200" w:line="276" w:lineRule="auto"/>
        <w:rPr>
          <w:noProof/>
          <w:lang w:val="en-IE"/>
        </w:rPr>
      </w:pPr>
      <w:r w:rsidRPr="00363097">
        <w:rPr>
          <w:noProof/>
          <w:lang w:val="en-IE"/>
        </w:rPr>
        <w:t>With the exception of financial assets held for trading, as referred to in Article 11(1), and investments made for the benefit of life insurance policyholders bearing the investment risk in the context of a unit</w:t>
      </w:r>
      <w:r w:rsidR="00A06816" w:rsidRPr="00363097">
        <w:rPr>
          <w:noProof/>
          <w:lang w:val="en-IE"/>
        </w:rPr>
        <w:t>-</w:t>
      </w:r>
      <w:r w:rsidRPr="00363097">
        <w:rPr>
          <w:noProof/>
          <w:lang w:val="en-IE"/>
        </w:rPr>
        <w:t xml:space="preserve">linked/index-linked life insurance policy, as referred to in Article 14, the financial accounting net income or loss of a BEFIT group member shall be adjusted to exclude 95% of the amount of dividends or other distributions received or accrued during the fiscal year, provided that at the date of distribution, the ownership interest is held by the BEFIT group member for more than one year and this interest carries right to more than 10% of the profits, capital, reserves or voting rights. </w:t>
      </w:r>
    </w:p>
    <w:p w14:paraId="6510EA94" w14:textId="77777777" w:rsidR="00081B7A" w:rsidRPr="00363097" w:rsidRDefault="00081B7A" w:rsidP="006B487B">
      <w:pPr>
        <w:pStyle w:val="Titrearticle2"/>
        <w:rPr>
          <w:b/>
          <w:bCs/>
          <w:noProof/>
          <w:lang w:val="en-IE"/>
        </w:rPr>
      </w:pPr>
      <w:r w:rsidRPr="00363097">
        <w:rPr>
          <w:noProof/>
          <w:lang w:val="en-IE"/>
        </w:rPr>
        <w:t>Article 9</w:t>
      </w:r>
      <w:r w:rsidRPr="00363097">
        <w:rPr>
          <w:noProof/>
          <w:lang w:val="en-IE"/>
        </w:rPr>
        <w:br/>
      </w:r>
      <w:r w:rsidRPr="00363097">
        <w:rPr>
          <w:b/>
          <w:bCs/>
          <w:noProof/>
          <w:lang w:val="en-IE"/>
        </w:rPr>
        <w:t>Gains or losses from the disposition of shares</w:t>
      </w:r>
    </w:p>
    <w:p w14:paraId="550418AA" w14:textId="77777777" w:rsidR="00081B7A" w:rsidRPr="00363097" w:rsidRDefault="00081B7A" w:rsidP="00081B7A">
      <w:pPr>
        <w:keepNext/>
        <w:spacing w:before="0" w:after="200" w:line="276" w:lineRule="auto"/>
        <w:rPr>
          <w:noProof/>
          <w:lang w:val="en-IE"/>
        </w:rPr>
      </w:pPr>
      <w:r w:rsidRPr="00363097">
        <w:rPr>
          <w:noProof/>
          <w:lang w:val="en-IE"/>
        </w:rPr>
        <w:t>With the exception of financial assets held for trading, as referred to in Article 11(1), and investments made for the benefit of life insurance policyholders bearing the investment risk in the context of a unit</w:t>
      </w:r>
      <w:r w:rsidR="001A4147" w:rsidRPr="00363097">
        <w:rPr>
          <w:noProof/>
          <w:lang w:val="en-IE"/>
        </w:rPr>
        <w:t>-</w:t>
      </w:r>
      <w:r w:rsidRPr="00363097">
        <w:rPr>
          <w:noProof/>
          <w:lang w:val="en-IE"/>
        </w:rPr>
        <w:t xml:space="preserve">linked/index-linked life insurance policy, as referred to in Article 14, the financial accounting net income or loss of a BEFIT group member shall be adjusted to exclude 95% of the amount of gain </w:t>
      </w:r>
      <w:r w:rsidRPr="00363097">
        <w:rPr>
          <w:noProof/>
        </w:rPr>
        <w:t xml:space="preserve">or loss arising from the disposition of an ownership interest, </w:t>
      </w:r>
      <w:r w:rsidRPr="00363097">
        <w:rPr>
          <w:noProof/>
          <w:lang w:val="en-IE"/>
        </w:rPr>
        <w:t xml:space="preserve">provided that at the date of disposition, the ownership interest is held by the BEFIT group member for more than one year and this interest carries </w:t>
      </w:r>
      <w:r w:rsidR="00A20846" w:rsidRPr="00363097">
        <w:rPr>
          <w:noProof/>
          <w:lang w:val="en-IE"/>
        </w:rPr>
        <w:t xml:space="preserve">a </w:t>
      </w:r>
      <w:r w:rsidRPr="00363097">
        <w:rPr>
          <w:noProof/>
          <w:lang w:val="en-IE"/>
        </w:rPr>
        <w:t>right to more than 10% of the profits, capital, reserves or voting rights.</w:t>
      </w:r>
    </w:p>
    <w:p w14:paraId="193316FD" w14:textId="77777777" w:rsidR="00081B7A" w:rsidRPr="00363097" w:rsidRDefault="00081B7A" w:rsidP="006B487B">
      <w:pPr>
        <w:pStyle w:val="Titrearticle2"/>
        <w:rPr>
          <w:b/>
          <w:bCs/>
          <w:noProof/>
          <w:lang w:val="en-IE"/>
        </w:rPr>
      </w:pPr>
      <w:r w:rsidRPr="00363097">
        <w:rPr>
          <w:noProof/>
          <w:lang w:val="en-IE"/>
        </w:rPr>
        <w:t>Article 10</w:t>
      </w:r>
      <w:r w:rsidRPr="00363097">
        <w:rPr>
          <w:noProof/>
          <w:lang w:val="en-IE"/>
        </w:rPr>
        <w:br/>
      </w:r>
      <w:r w:rsidRPr="00363097">
        <w:rPr>
          <w:b/>
          <w:bCs/>
          <w:noProof/>
          <w:lang w:val="en-IE"/>
        </w:rPr>
        <w:t>Changes in fair value</w:t>
      </w:r>
    </w:p>
    <w:p w14:paraId="5805AA98" w14:textId="77777777" w:rsidR="00081B7A" w:rsidRPr="00363097" w:rsidRDefault="00081B7A" w:rsidP="00081B7A">
      <w:pPr>
        <w:spacing w:before="0" w:after="200" w:line="276" w:lineRule="auto"/>
        <w:rPr>
          <w:noProof/>
          <w:lang w:val="en-IE"/>
        </w:rPr>
      </w:pPr>
      <w:r w:rsidRPr="00363097">
        <w:rPr>
          <w:noProof/>
          <w:lang w:val="en-IE"/>
        </w:rPr>
        <w:t>With the exception of financial assets held for trading, as referred to in Article 11(1), and investments made for the benefit of life insurance policyholders bearing the investment risk in the context of a unit</w:t>
      </w:r>
      <w:r w:rsidR="001A4147" w:rsidRPr="00363097">
        <w:rPr>
          <w:noProof/>
          <w:lang w:val="en-IE"/>
        </w:rPr>
        <w:t>-</w:t>
      </w:r>
      <w:r w:rsidRPr="00363097">
        <w:rPr>
          <w:noProof/>
          <w:lang w:val="en-IE"/>
        </w:rPr>
        <w:t>linked/index-linked life insurance policy, as referred to in Article 14, the financial accounting net income or loss of a BEFIT group member shall be adjusted to exclude</w:t>
      </w:r>
      <w:r w:rsidR="003A7C43">
        <w:rPr>
          <w:noProof/>
          <w:lang w:val="en-IE"/>
        </w:rPr>
        <w:t xml:space="preserve"> </w:t>
      </w:r>
      <w:r w:rsidR="00063489" w:rsidRPr="00363097">
        <w:rPr>
          <w:noProof/>
          <w:lang w:val="en-IE"/>
        </w:rPr>
        <w:t>the amount of</w:t>
      </w:r>
      <w:r w:rsidRPr="00363097">
        <w:rPr>
          <w:noProof/>
          <w:lang w:val="en-IE"/>
        </w:rPr>
        <w:t xml:space="preserve"> gain </w:t>
      </w:r>
      <w:r w:rsidRPr="00363097">
        <w:rPr>
          <w:noProof/>
        </w:rPr>
        <w:t xml:space="preserve">or loss arising from changes in the fair value of an ownership interest, </w:t>
      </w:r>
      <w:r w:rsidRPr="00363097">
        <w:rPr>
          <w:noProof/>
          <w:lang w:val="en-IE"/>
        </w:rPr>
        <w:t>provided that at the date of disposition, the ownership interest is held by the BEFIT group member for more than one year and this interest carries right to more than 10% of the profits, capital, reserves or voting rights.</w:t>
      </w:r>
    </w:p>
    <w:p w14:paraId="6C6E7C62" w14:textId="77777777" w:rsidR="00081B7A" w:rsidRPr="00363097" w:rsidRDefault="00081B7A" w:rsidP="006B487B">
      <w:pPr>
        <w:pStyle w:val="Titrearticle2"/>
        <w:rPr>
          <w:b/>
          <w:bCs/>
          <w:noProof/>
          <w:lang w:val="en-IE"/>
        </w:rPr>
      </w:pPr>
      <w:r w:rsidRPr="00363097">
        <w:rPr>
          <w:noProof/>
          <w:szCs w:val="24"/>
          <w:lang w:val="en-IE"/>
        </w:rPr>
        <w:t>Article 11</w:t>
      </w:r>
      <w:r w:rsidRPr="00363097">
        <w:rPr>
          <w:noProof/>
          <w:szCs w:val="24"/>
          <w:lang w:val="en-IE"/>
        </w:rPr>
        <w:br/>
      </w:r>
      <w:r w:rsidRPr="00363097">
        <w:rPr>
          <w:b/>
          <w:bCs/>
          <w:noProof/>
          <w:lang w:val="en-IE"/>
        </w:rPr>
        <w:t>Financial assets held for trading</w:t>
      </w:r>
    </w:p>
    <w:p w14:paraId="65A69C68" w14:textId="1B65E4BF" w:rsidR="00081B7A" w:rsidRPr="00363097" w:rsidRDefault="00634583" w:rsidP="00634583">
      <w:pPr>
        <w:pStyle w:val="ManualNumPar1"/>
        <w:rPr>
          <w:rFonts w:eastAsia="Calibri"/>
          <w:noProof/>
          <w:lang w:val="en-IE"/>
        </w:rPr>
      </w:pPr>
      <w:r w:rsidRPr="00634583">
        <w:t>1.</w:t>
      </w:r>
      <w:r w:rsidRPr="00634583">
        <w:tab/>
      </w:r>
      <w:r w:rsidR="00081B7A" w:rsidRPr="00363097">
        <w:rPr>
          <w:noProof/>
          <w:lang w:val="en-IE"/>
        </w:rPr>
        <w:t xml:space="preserve">A financial asset or liability shall be treated as being held for trading by a BEFIT group member where it meets any of the following conditions: </w:t>
      </w:r>
    </w:p>
    <w:p w14:paraId="43CB35B2" w14:textId="77777777" w:rsidR="00081B7A" w:rsidRPr="00363097" w:rsidRDefault="00081B7A" w:rsidP="00081B7A">
      <w:pPr>
        <w:pStyle w:val="Point1"/>
        <w:rPr>
          <w:noProof/>
          <w:lang w:val="en-IE"/>
        </w:rPr>
      </w:pPr>
      <w:r w:rsidRPr="00363097">
        <w:rPr>
          <w:noProof/>
          <w:lang w:val="en-IE"/>
        </w:rPr>
        <w:t>(</w:t>
      </w:r>
      <w:r w:rsidR="00D17FA2" w:rsidRPr="00363097">
        <w:rPr>
          <w:noProof/>
          <w:lang w:val="en-IE"/>
        </w:rPr>
        <w:t>a</w:t>
      </w:r>
      <w:r w:rsidRPr="00363097">
        <w:rPr>
          <w:noProof/>
          <w:lang w:val="en-IE"/>
        </w:rPr>
        <w:t>)</w:t>
      </w:r>
      <w:r w:rsidRPr="00363097">
        <w:rPr>
          <w:noProof/>
          <w:lang w:val="en-IE"/>
        </w:rPr>
        <w:tab/>
        <w:t xml:space="preserve">it is acquired or incurred mainly for the purpose of selling it or repurchasing it in the short term; </w:t>
      </w:r>
    </w:p>
    <w:p w14:paraId="65D7C76D" w14:textId="77777777" w:rsidR="00081B7A" w:rsidRPr="00363097" w:rsidRDefault="00081B7A" w:rsidP="00081B7A">
      <w:pPr>
        <w:pStyle w:val="Point1"/>
        <w:rPr>
          <w:bCs/>
          <w:noProof/>
          <w:lang w:val="en-IE"/>
        </w:rPr>
      </w:pPr>
      <w:r w:rsidRPr="00363097">
        <w:rPr>
          <w:noProof/>
          <w:lang w:val="en-IE"/>
        </w:rPr>
        <w:t>(</w:t>
      </w:r>
      <w:r w:rsidR="00D17FA2" w:rsidRPr="00363097">
        <w:rPr>
          <w:noProof/>
          <w:lang w:val="en-IE"/>
        </w:rPr>
        <w:t>b</w:t>
      </w:r>
      <w:r w:rsidRPr="00363097">
        <w:rPr>
          <w:noProof/>
          <w:lang w:val="en-IE"/>
        </w:rPr>
        <w:t>)</w:t>
      </w:r>
      <w:r w:rsidRPr="00363097">
        <w:rPr>
          <w:noProof/>
          <w:lang w:val="en-IE"/>
        </w:rPr>
        <w:tab/>
        <w:t xml:space="preserve">it is part of a portfolio of identified financial instruments, including derivatives, that are managed together and for which there is evidence of a recent actual pattern of short-term profit taking. </w:t>
      </w:r>
    </w:p>
    <w:p w14:paraId="220A91AB" w14:textId="40FF40CE"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Where a financial asset or liability which is held by a BEFIT group member transitions to become an asset or liability held for trading or vice versa, the financial accounting net income or loss shall be adjusted to include any difference between the fair value calculated at the beginning of the fiscal year or at the date of purchase if later, and its fair value calculated at the end of the same fiscal year. </w:t>
      </w:r>
    </w:p>
    <w:p w14:paraId="0A830446" w14:textId="77777777" w:rsidR="00081B7A" w:rsidRPr="00363097" w:rsidRDefault="00081B7A" w:rsidP="00081B7A">
      <w:pPr>
        <w:pStyle w:val="Text1"/>
        <w:rPr>
          <w:noProof/>
          <w:lang w:val="en-IE"/>
        </w:rPr>
      </w:pPr>
      <w:r w:rsidRPr="00363097">
        <w:rPr>
          <w:noProof/>
          <w:lang w:val="en-IE"/>
        </w:rPr>
        <w:t xml:space="preserve">The fair value of a financial asset or liability at the end of the fiscal year during which it transitioned to become an asset or liability held for trading or vice versa shall also be its fair value at the beginning of the fiscal year following the transition. </w:t>
      </w:r>
    </w:p>
    <w:p w14:paraId="5F4798EA" w14:textId="741411E4" w:rsidR="00081B7A" w:rsidRPr="00363097" w:rsidRDefault="00634583" w:rsidP="00634583">
      <w:pPr>
        <w:pStyle w:val="ManualNumPar1"/>
        <w:rPr>
          <w:rFonts w:eastAsia="Calibri"/>
          <w:noProof/>
          <w:szCs w:val="24"/>
          <w:lang w:val="en-IE"/>
        </w:rPr>
      </w:pPr>
      <w:r w:rsidRPr="00634583">
        <w:t>3.</w:t>
      </w:r>
      <w:r w:rsidRPr="00634583">
        <w:tab/>
      </w:r>
      <w:r w:rsidR="00081B7A" w:rsidRPr="00363097">
        <w:rPr>
          <w:noProof/>
          <w:lang w:val="en-IE"/>
        </w:rPr>
        <w:t xml:space="preserve">The holding period referred to in Article 9 shall begin or be interrupted when the financial asset or liability is no longer held for trading or is transitioned to become an asset or liability held for trading respectively. </w:t>
      </w:r>
    </w:p>
    <w:p w14:paraId="58C23EA5" w14:textId="77777777" w:rsidR="00081B7A" w:rsidRPr="00363097" w:rsidRDefault="00081B7A" w:rsidP="006B487B">
      <w:pPr>
        <w:pStyle w:val="Titrearticle2"/>
        <w:rPr>
          <w:b/>
          <w:bCs/>
          <w:noProof/>
          <w:lang w:val="en-IE"/>
        </w:rPr>
      </w:pPr>
      <w:r w:rsidRPr="00363097">
        <w:rPr>
          <w:iCs/>
          <w:noProof/>
          <w:lang w:val="en-IE"/>
        </w:rPr>
        <w:t>Article 12</w:t>
      </w:r>
      <w:r w:rsidRPr="00363097">
        <w:rPr>
          <w:iCs/>
          <w:noProof/>
          <w:lang w:val="en-IE"/>
        </w:rPr>
        <w:br/>
      </w:r>
      <w:r w:rsidRPr="00363097">
        <w:rPr>
          <w:b/>
          <w:bCs/>
          <w:noProof/>
          <w:lang w:val="en-IE"/>
        </w:rPr>
        <w:t>Income or loss of a permanent establishment</w:t>
      </w:r>
    </w:p>
    <w:p w14:paraId="2EEA2086" w14:textId="77777777" w:rsidR="00081B7A" w:rsidRPr="00363097" w:rsidRDefault="00081B7A" w:rsidP="00081B7A">
      <w:pPr>
        <w:spacing w:before="0" w:after="200" w:line="276" w:lineRule="auto"/>
        <w:rPr>
          <w:noProof/>
        </w:rPr>
      </w:pPr>
      <w:r w:rsidRPr="00363097">
        <w:rPr>
          <w:noProof/>
          <w:lang w:val="en-IE"/>
        </w:rPr>
        <w:t>The financial accounting net income or loss of a BEFIT group member shall be adjusted to exclude the amount of income</w:t>
      </w:r>
      <w:r w:rsidRPr="00363097" w:rsidDel="00425016">
        <w:rPr>
          <w:noProof/>
          <w:lang w:val="en-IE"/>
        </w:rPr>
        <w:t xml:space="preserve"> </w:t>
      </w:r>
      <w:r w:rsidRPr="00363097">
        <w:rPr>
          <w:noProof/>
          <w:lang w:val="en-IE"/>
        </w:rPr>
        <w:t>or</w:t>
      </w:r>
      <w:r w:rsidRPr="00363097">
        <w:rPr>
          <w:noProof/>
        </w:rPr>
        <w:t xml:space="preserve"> loss that is attributable to its permanent establishments. </w:t>
      </w:r>
    </w:p>
    <w:p w14:paraId="66EE93B0" w14:textId="77777777" w:rsidR="00081B7A" w:rsidRPr="00363097" w:rsidRDefault="00081B7A" w:rsidP="006B487B">
      <w:pPr>
        <w:pStyle w:val="Titrearticle2"/>
        <w:rPr>
          <w:b/>
          <w:bCs/>
          <w:noProof/>
          <w:lang w:val="en-IE"/>
        </w:rPr>
      </w:pPr>
      <w:r w:rsidRPr="00363097">
        <w:rPr>
          <w:iCs/>
          <w:noProof/>
          <w:lang w:val="en-IE"/>
        </w:rPr>
        <w:t>Article 13</w:t>
      </w:r>
      <w:r w:rsidRPr="00363097">
        <w:rPr>
          <w:iCs/>
          <w:noProof/>
          <w:lang w:val="en-IE"/>
        </w:rPr>
        <w:br/>
      </w:r>
      <w:r w:rsidRPr="00363097">
        <w:rPr>
          <w:b/>
          <w:bCs/>
          <w:noProof/>
          <w:lang w:val="en-IE"/>
        </w:rPr>
        <w:t>Interest limitation rule</w:t>
      </w:r>
    </w:p>
    <w:p w14:paraId="69A4AD10" w14:textId="7E829ED3" w:rsidR="00081B7A" w:rsidRPr="00363097" w:rsidRDefault="00634583" w:rsidP="00634583">
      <w:pPr>
        <w:pStyle w:val="ManualNumPar1"/>
        <w:rPr>
          <w:noProof/>
          <w:szCs w:val="24"/>
          <w:lang w:val="en-IE"/>
        </w:rPr>
      </w:pPr>
      <w:r w:rsidRPr="00634583">
        <w:t>1.</w:t>
      </w:r>
      <w:r w:rsidRPr="00634583">
        <w:tab/>
      </w:r>
      <w:r w:rsidR="00081B7A" w:rsidRPr="00363097">
        <w:rPr>
          <w:noProof/>
          <w:lang w:val="en-IE"/>
        </w:rPr>
        <w:t xml:space="preserve">A BEFIT group member shall adjust its financial accounting net income or loss to include the amount of exceeding borrowing costs, as referred to in Article 2 of </w:t>
      </w:r>
      <w:r w:rsidR="00081B7A" w:rsidRPr="00363097">
        <w:rPr>
          <w:iCs/>
          <w:noProof/>
          <w:lang w:val="en-IE"/>
        </w:rPr>
        <w:t xml:space="preserve">Council Directive (EU) 2016/1164 </w:t>
      </w:r>
      <w:r w:rsidR="00081B7A" w:rsidRPr="00363097">
        <w:rPr>
          <w:iCs/>
          <w:noProof/>
        </w:rPr>
        <w:t>of 12 July 2016 laying down rules against tax avoidance practices that directly affect the functioning of the internal market</w:t>
      </w:r>
      <w:r w:rsidR="00081B7A" w:rsidRPr="00363097">
        <w:rPr>
          <w:rStyle w:val="FootnoteReference0"/>
          <w:iCs/>
          <w:noProof/>
        </w:rPr>
        <w:footnoteReference w:id="33"/>
      </w:r>
      <w:r w:rsidR="00081B7A" w:rsidRPr="00363097">
        <w:rPr>
          <w:iCs/>
          <w:noProof/>
          <w:lang w:val="en-IE"/>
        </w:rPr>
        <w:t>, which is not deductible for tax purposes in accordance with the interest limitation</w:t>
      </w:r>
      <w:r w:rsidR="00081B7A" w:rsidRPr="00363097">
        <w:rPr>
          <w:noProof/>
          <w:lang w:val="en-IE"/>
        </w:rPr>
        <w:t xml:space="preserve"> rules laid down in the national corporate tax law of the Member State where it is resident for tax purposes. </w:t>
      </w:r>
    </w:p>
    <w:p w14:paraId="6D902EC1" w14:textId="637E474F" w:rsidR="00081B7A" w:rsidRPr="00363097" w:rsidRDefault="00634583" w:rsidP="00634583">
      <w:pPr>
        <w:pStyle w:val="ManualNumPar1"/>
        <w:rPr>
          <w:noProof/>
          <w:lang w:val="en-IE"/>
        </w:rPr>
      </w:pPr>
      <w:r w:rsidRPr="00634583">
        <w:t>2.</w:t>
      </w:r>
      <w:r w:rsidRPr="00634583">
        <w:tab/>
      </w:r>
      <w:r w:rsidR="00081B7A" w:rsidRPr="00363097">
        <w:rPr>
          <w:noProof/>
          <w:lang w:val="en-IE"/>
        </w:rPr>
        <w:t>Paragraph 1 shall not apply to exceeding borrowing costs arising from a transaction between BEFIT group members.</w:t>
      </w:r>
    </w:p>
    <w:p w14:paraId="4F5E8A30" w14:textId="77777777" w:rsidR="00081B7A" w:rsidRPr="00363097" w:rsidRDefault="00081B7A" w:rsidP="006B487B">
      <w:pPr>
        <w:pStyle w:val="Titrearticle2"/>
        <w:rPr>
          <w:b/>
          <w:bCs/>
          <w:noProof/>
          <w:lang w:val="en-IE"/>
        </w:rPr>
      </w:pPr>
      <w:r w:rsidRPr="00363097">
        <w:rPr>
          <w:noProof/>
          <w:lang w:val="en-IE"/>
        </w:rPr>
        <w:t>Article 14</w:t>
      </w:r>
      <w:r w:rsidRPr="00363097">
        <w:rPr>
          <w:noProof/>
        </w:rPr>
        <w:br/>
      </w:r>
      <w:r w:rsidRPr="00363097">
        <w:rPr>
          <w:b/>
          <w:bCs/>
          <w:noProof/>
          <w:lang w:val="en-IE"/>
        </w:rPr>
        <w:t>Insurance undertakings</w:t>
      </w:r>
    </w:p>
    <w:p w14:paraId="78E838D0" w14:textId="098C3948" w:rsidR="00081B7A" w:rsidRPr="00363097" w:rsidRDefault="00634583" w:rsidP="00634583">
      <w:pPr>
        <w:pStyle w:val="ManualNumPar1"/>
        <w:rPr>
          <w:rFonts w:eastAsia="Calibri"/>
          <w:noProof/>
        </w:rPr>
      </w:pPr>
      <w:r w:rsidRPr="00634583">
        <w:t>1.</w:t>
      </w:r>
      <w:r w:rsidRPr="00634583">
        <w:tab/>
      </w:r>
      <w:r w:rsidR="00081B7A" w:rsidRPr="00363097">
        <w:rPr>
          <w:noProof/>
          <w:lang w:val="en-IE"/>
        </w:rPr>
        <w:t xml:space="preserve">Where a BEFIT group member is an insurance undertaking which is authorised to operate in a Member State in accordance with </w:t>
      </w:r>
      <w:r w:rsidR="00081B7A" w:rsidRPr="00363097">
        <w:rPr>
          <w:noProof/>
        </w:rPr>
        <w:t>Directive 2009/138/EC, the rules laid down in paragraphs 2 to 4 shall apply</w:t>
      </w:r>
      <w:r w:rsidR="00D17FA2" w:rsidRPr="00363097">
        <w:rPr>
          <w:noProof/>
        </w:rPr>
        <w:t>.</w:t>
      </w:r>
      <w:r w:rsidR="00081B7A" w:rsidRPr="00363097">
        <w:rPr>
          <w:noProof/>
        </w:rPr>
        <w:t xml:space="preserve"> </w:t>
      </w:r>
    </w:p>
    <w:p w14:paraId="7FD87A8C" w14:textId="48CD5D97" w:rsidR="00081B7A" w:rsidRPr="00363097" w:rsidRDefault="00634583" w:rsidP="00634583">
      <w:pPr>
        <w:pStyle w:val="ManualNumPar1"/>
        <w:rPr>
          <w:noProof/>
          <w:lang w:val="en-IE"/>
        </w:rPr>
      </w:pPr>
      <w:r w:rsidRPr="00634583">
        <w:t>2.</w:t>
      </w:r>
      <w:r w:rsidRPr="00634583">
        <w:tab/>
      </w:r>
      <w:r w:rsidR="00081B7A" w:rsidRPr="00363097">
        <w:rPr>
          <w:noProof/>
          <w:lang w:val="en-IE"/>
        </w:rPr>
        <w:t>The amount of technical provisions of insurance undertakings established in compliance with Council Directive 91/674/EEC</w:t>
      </w:r>
      <w:r w:rsidR="00081B7A" w:rsidRPr="00363097">
        <w:rPr>
          <w:rStyle w:val="FootnoteReference0"/>
          <w:noProof/>
          <w:lang w:val="en-IE"/>
        </w:rPr>
        <w:footnoteReference w:id="34"/>
      </w:r>
      <w:r w:rsidR="00081B7A" w:rsidRPr="00363097">
        <w:rPr>
          <w:noProof/>
          <w:lang w:val="en-IE"/>
        </w:rPr>
        <w:t xml:space="preserve"> that were deducted in the financial accounting net income or loss of a BEFIT group member shall be reviewed and adjusted at the end of every fiscal year. In calculating the preliminary tax result in future years, account shall be taken of amounts already deducted.</w:t>
      </w:r>
    </w:p>
    <w:p w14:paraId="2EE237C9" w14:textId="67D09ABE" w:rsidR="00081B7A" w:rsidRPr="00363097" w:rsidRDefault="00634583" w:rsidP="00634583">
      <w:pPr>
        <w:pStyle w:val="ManualNumPar1"/>
        <w:rPr>
          <w:noProof/>
        </w:rPr>
      </w:pPr>
      <w:r w:rsidRPr="00634583">
        <w:t>3.</w:t>
      </w:r>
      <w:r w:rsidRPr="00634583">
        <w:tab/>
      </w:r>
      <w:r w:rsidR="00081B7A" w:rsidRPr="00363097">
        <w:rPr>
          <w:noProof/>
        </w:rPr>
        <w:t xml:space="preserve">The Commission may adopt delegated acts in accordance with Article </w:t>
      </w:r>
      <w:r w:rsidR="00A6299A" w:rsidRPr="00363097">
        <w:rPr>
          <w:noProof/>
        </w:rPr>
        <w:t xml:space="preserve">74 </w:t>
      </w:r>
      <w:r w:rsidR="00356BDA" w:rsidRPr="00363097">
        <w:rPr>
          <w:noProof/>
        </w:rPr>
        <w:t>to supplement this Directive laying</w:t>
      </w:r>
      <w:r w:rsidR="003A7C43">
        <w:rPr>
          <w:noProof/>
        </w:rPr>
        <w:t xml:space="preserve"> </w:t>
      </w:r>
      <w:r w:rsidR="00081B7A" w:rsidRPr="00363097">
        <w:rPr>
          <w:noProof/>
        </w:rPr>
        <w:t>down more detailed rules on the adaptation of the preliminary tax result for insurance undertakings, in the context of the impact of the new I</w:t>
      </w:r>
      <w:r w:rsidR="00EA59E0" w:rsidRPr="00363097">
        <w:rPr>
          <w:noProof/>
        </w:rPr>
        <w:t xml:space="preserve">nternational Financial </w:t>
      </w:r>
      <w:r w:rsidR="00081B7A" w:rsidRPr="00363097">
        <w:rPr>
          <w:noProof/>
        </w:rPr>
        <w:t>R</w:t>
      </w:r>
      <w:r w:rsidR="00EA59E0" w:rsidRPr="00363097">
        <w:rPr>
          <w:noProof/>
        </w:rPr>
        <w:t xml:space="preserve">eporting </w:t>
      </w:r>
      <w:r w:rsidR="001F0E70" w:rsidRPr="00363097">
        <w:rPr>
          <w:noProof/>
        </w:rPr>
        <w:t>Standard (IFRS)</w:t>
      </w:r>
      <w:r w:rsidR="00081B7A" w:rsidRPr="00363097">
        <w:rPr>
          <w:noProof/>
        </w:rPr>
        <w:t xml:space="preserve"> 17 </w:t>
      </w:r>
      <w:r w:rsidR="00C60CB1" w:rsidRPr="00363097">
        <w:rPr>
          <w:noProof/>
        </w:rPr>
        <w:t>on</w:t>
      </w:r>
      <w:r w:rsidR="00081B7A" w:rsidRPr="00363097">
        <w:rPr>
          <w:noProof/>
        </w:rPr>
        <w:t xml:space="preserve"> </w:t>
      </w:r>
      <w:r w:rsidR="00C60CB1" w:rsidRPr="00363097">
        <w:rPr>
          <w:noProof/>
        </w:rPr>
        <w:t>i</w:t>
      </w:r>
      <w:r w:rsidR="00EA59E0" w:rsidRPr="00363097">
        <w:rPr>
          <w:noProof/>
        </w:rPr>
        <w:t xml:space="preserve">nsurance </w:t>
      </w:r>
      <w:r w:rsidR="00C60CB1" w:rsidRPr="00363097">
        <w:rPr>
          <w:noProof/>
        </w:rPr>
        <w:t>c</w:t>
      </w:r>
      <w:r w:rsidR="00EA59E0" w:rsidRPr="00363097">
        <w:rPr>
          <w:noProof/>
        </w:rPr>
        <w:t>ontracts</w:t>
      </w:r>
      <w:r w:rsidR="00081B7A" w:rsidRPr="00363097">
        <w:rPr>
          <w:noProof/>
        </w:rPr>
        <w:t>.</w:t>
      </w:r>
    </w:p>
    <w:p w14:paraId="3782D54A" w14:textId="31D231E3" w:rsidR="00081B7A" w:rsidRPr="00363097" w:rsidRDefault="00634583" w:rsidP="00634583">
      <w:pPr>
        <w:pStyle w:val="ManualNumPar1"/>
        <w:rPr>
          <w:noProof/>
        </w:rPr>
      </w:pPr>
      <w:r w:rsidRPr="00634583">
        <w:t>4.</w:t>
      </w:r>
      <w:r w:rsidRPr="00634583">
        <w:tab/>
      </w:r>
      <w:r w:rsidR="000F59F5" w:rsidRPr="00363097">
        <w:rPr>
          <w:noProof/>
        </w:rPr>
        <w:t xml:space="preserve">Life </w:t>
      </w:r>
      <w:r w:rsidR="001D7C8D" w:rsidRPr="00363097">
        <w:rPr>
          <w:noProof/>
          <w:lang w:val="en-IE"/>
        </w:rPr>
        <w:t xml:space="preserve">insurers </w:t>
      </w:r>
      <w:r w:rsidR="000F59F5" w:rsidRPr="00363097">
        <w:rPr>
          <w:noProof/>
          <w:lang w:val="en-IE"/>
        </w:rPr>
        <w:t xml:space="preserve">in the context of </w:t>
      </w:r>
      <w:r w:rsidR="00854146" w:rsidRPr="00363097">
        <w:rPr>
          <w:noProof/>
          <w:lang w:val="en-IE"/>
        </w:rPr>
        <w:t>unit-linked/index-linked life insurance policy</w:t>
      </w:r>
      <w:r w:rsidR="00854146" w:rsidRPr="00363097">
        <w:rPr>
          <w:noProof/>
        </w:rPr>
        <w:t xml:space="preserve"> </w:t>
      </w:r>
      <w:r w:rsidR="00081B7A" w:rsidRPr="00363097">
        <w:rPr>
          <w:noProof/>
        </w:rPr>
        <w:t xml:space="preserve">shall evaluate the assets at market value and set up the reserve in accordance with the evaluation of the underlying assets. </w:t>
      </w:r>
    </w:p>
    <w:p w14:paraId="313D455C" w14:textId="77777777" w:rsidR="00081B7A" w:rsidRPr="00363097" w:rsidRDefault="00081B7A" w:rsidP="006B487B">
      <w:pPr>
        <w:pStyle w:val="Titrearticle2"/>
        <w:rPr>
          <w:b/>
          <w:bCs/>
          <w:noProof/>
          <w:lang w:val="en-IE"/>
        </w:rPr>
      </w:pPr>
      <w:r w:rsidRPr="00363097">
        <w:rPr>
          <w:noProof/>
          <w:lang w:val="en-IE"/>
        </w:rPr>
        <w:t xml:space="preserve">Article </w:t>
      </w:r>
      <w:r w:rsidRPr="00363097">
        <w:rPr>
          <w:iCs/>
          <w:noProof/>
          <w:lang w:val="en-IE"/>
        </w:rPr>
        <w:t>15</w:t>
      </w:r>
      <w:r w:rsidRPr="00363097">
        <w:rPr>
          <w:iCs/>
          <w:noProof/>
          <w:lang w:val="en-IE"/>
        </w:rPr>
        <w:br/>
      </w:r>
      <w:r w:rsidRPr="00363097">
        <w:rPr>
          <w:b/>
          <w:bCs/>
          <w:noProof/>
          <w:lang w:val="en-IE"/>
        </w:rPr>
        <w:t xml:space="preserve">Shipping activities covered by a </w:t>
      </w:r>
      <w:r w:rsidRPr="00363097">
        <w:rPr>
          <w:b/>
          <w:bCs/>
          <w:iCs/>
          <w:noProof/>
          <w:szCs w:val="24"/>
          <w:lang w:val="en-IE"/>
        </w:rPr>
        <w:t>tonnage</w:t>
      </w:r>
      <w:r w:rsidRPr="00363097">
        <w:rPr>
          <w:b/>
          <w:bCs/>
          <w:noProof/>
          <w:lang w:val="en-IE"/>
        </w:rPr>
        <w:t xml:space="preserve"> tax regime</w:t>
      </w:r>
    </w:p>
    <w:p w14:paraId="169AAD38" w14:textId="4FF85B00" w:rsidR="00081B7A" w:rsidRPr="00363097" w:rsidRDefault="00081B7A" w:rsidP="00081B7A">
      <w:pPr>
        <w:spacing w:before="0" w:after="200" w:line="276" w:lineRule="auto"/>
        <w:rPr>
          <w:noProof/>
          <w:lang w:val="en-IE"/>
        </w:rPr>
      </w:pPr>
      <w:r w:rsidRPr="00363097">
        <w:rPr>
          <w:noProof/>
          <w:lang w:val="en-IE"/>
        </w:rPr>
        <w:t>The financial accounting net income or loss of a BEFIT group member carrying out shipping activities shall be adjusted to exclude the amount of revenues</w:t>
      </w:r>
      <w:r w:rsidR="00812E0C" w:rsidRPr="00363097">
        <w:rPr>
          <w:noProof/>
          <w:lang w:val="en-IE"/>
        </w:rPr>
        <w:t>, expenses and other deductible items</w:t>
      </w:r>
      <w:r w:rsidRPr="00363097">
        <w:rPr>
          <w:noProof/>
          <w:lang w:val="en-IE"/>
        </w:rPr>
        <w:t xml:space="preserve"> derived from such activities covered by a tonnage tax regime.</w:t>
      </w:r>
    </w:p>
    <w:p w14:paraId="46F40C2B" w14:textId="77777777" w:rsidR="00081B7A" w:rsidRPr="00363097" w:rsidRDefault="00081B7A" w:rsidP="006B487B">
      <w:pPr>
        <w:pStyle w:val="Titrearticle2"/>
        <w:rPr>
          <w:b/>
          <w:bCs/>
          <w:noProof/>
          <w:lang w:val="en-IE"/>
        </w:rPr>
      </w:pPr>
      <w:r w:rsidRPr="00363097">
        <w:rPr>
          <w:noProof/>
          <w:lang w:val="en-IE"/>
        </w:rPr>
        <w:t xml:space="preserve">Article </w:t>
      </w:r>
      <w:r w:rsidRPr="00363097">
        <w:rPr>
          <w:iCs/>
          <w:noProof/>
          <w:lang w:val="en-IE"/>
        </w:rPr>
        <w:t>16</w:t>
      </w:r>
      <w:r w:rsidRPr="00363097">
        <w:rPr>
          <w:iCs/>
          <w:noProof/>
          <w:lang w:val="en-IE"/>
        </w:rPr>
        <w:br/>
      </w:r>
      <w:r w:rsidRPr="00363097">
        <w:rPr>
          <w:b/>
          <w:bCs/>
          <w:noProof/>
          <w:lang w:val="en-IE"/>
        </w:rPr>
        <w:t xml:space="preserve">Fines, penalties and </w:t>
      </w:r>
      <w:r w:rsidRPr="00363097">
        <w:rPr>
          <w:b/>
          <w:noProof/>
          <w:lang w:val="en-IE"/>
        </w:rPr>
        <w:t>illegal payments</w:t>
      </w:r>
    </w:p>
    <w:p w14:paraId="1B83AAC2" w14:textId="77777777" w:rsidR="00081B7A" w:rsidRPr="00363097" w:rsidRDefault="00081B7A" w:rsidP="00081B7A">
      <w:pPr>
        <w:spacing w:before="0" w:after="200" w:line="276" w:lineRule="auto"/>
        <w:rPr>
          <w:noProof/>
        </w:rPr>
      </w:pPr>
      <w:r w:rsidRPr="00363097">
        <w:rPr>
          <w:noProof/>
          <w:lang w:val="en-IE"/>
        </w:rPr>
        <w:t xml:space="preserve">The financial accounting net income or loss of a BEFIT group member shall be adjusted to </w:t>
      </w:r>
      <w:r w:rsidR="00844454" w:rsidRPr="00363097">
        <w:rPr>
          <w:noProof/>
          <w:lang w:val="en-IE"/>
        </w:rPr>
        <w:t>include the amount of</w:t>
      </w:r>
      <w:r w:rsidR="0030014F" w:rsidRPr="00363097" w:rsidDel="00844454">
        <w:rPr>
          <w:noProof/>
          <w:lang w:val="en-IE"/>
        </w:rPr>
        <w:t xml:space="preserve"> </w:t>
      </w:r>
      <w:r w:rsidRPr="00363097">
        <w:rPr>
          <w:noProof/>
        </w:rPr>
        <w:t>expenses accrued for payments</w:t>
      </w:r>
      <w:r w:rsidR="004F3EED" w:rsidRPr="00363097">
        <w:rPr>
          <w:noProof/>
        </w:rPr>
        <w:t xml:space="preserve"> found illegal as a result of an audit or investigation by the competent authority</w:t>
      </w:r>
      <w:r w:rsidRPr="00363097">
        <w:rPr>
          <w:noProof/>
        </w:rPr>
        <w:t xml:space="preserve"> as well as fines and penalties, including charges for late payment, that are due to a public authority for breach of any legislation.</w:t>
      </w:r>
    </w:p>
    <w:p w14:paraId="253AA5DA" w14:textId="77777777" w:rsidR="00081B7A" w:rsidRPr="00363097" w:rsidRDefault="00081B7A" w:rsidP="006B487B">
      <w:pPr>
        <w:pStyle w:val="Titrearticle2"/>
        <w:rPr>
          <w:b/>
          <w:bCs/>
          <w:noProof/>
          <w:lang w:val="en-IE"/>
        </w:rPr>
      </w:pPr>
      <w:r w:rsidRPr="00363097">
        <w:rPr>
          <w:noProof/>
          <w:lang w:val="en-IE"/>
        </w:rPr>
        <w:t>Article 17</w:t>
      </w:r>
      <w:r w:rsidRPr="00363097">
        <w:rPr>
          <w:noProof/>
          <w:lang w:val="en-IE"/>
        </w:rPr>
        <w:br/>
      </w:r>
      <w:r w:rsidRPr="00363097">
        <w:rPr>
          <w:b/>
          <w:bCs/>
          <w:noProof/>
          <w:lang w:val="en-IE"/>
        </w:rPr>
        <w:t>Corporate tax</w:t>
      </w:r>
    </w:p>
    <w:p w14:paraId="55F959B6" w14:textId="77777777" w:rsidR="00081B7A" w:rsidRPr="00363097" w:rsidRDefault="00081B7A" w:rsidP="00081B7A">
      <w:pPr>
        <w:keepNext/>
        <w:spacing w:before="0" w:after="200" w:line="276" w:lineRule="auto"/>
        <w:rPr>
          <w:noProof/>
          <w:szCs w:val="24"/>
          <w:lang w:val="en-IE"/>
        </w:rPr>
      </w:pPr>
      <w:r w:rsidRPr="00363097">
        <w:rPr>
          <w:noProof/>
          <w:lang w:val="en-IE"/>
        </w:rPr>
        <w:t xml:space="preserve">The financial accounting net income or loss of a BEFIT group member shall be adjusted to include the amount of any corporate tax, similar taxes on profits and deferred taxes accrued for the fiscal year as well as any amount recorded as current taxes in the financial accounts in relation to the payment of top-up tax due in </w:t>
      </w:r>
      <w:r w:rsidRPr="00363097">
        <w:rPr>
          <w:noProof/>
          <w:szCs w:val="24"/>
          <w:lang w:val="en-IE"/>
        </w:rPr>
        <w:t>accordance</w:t>
      </w:r>
      <w:r w:rsidRPr="00363097">
        <w:rPr>
          <w:noProof/>
          <w:lang w:val="en-IE"/>
        </w:rPr>
        <w:t xml:space="preserve"> with Directive (EU) 2022/2523</w:t>
      </w:r>
      <w:r w:rsidRPr="00363097">
        <w:rPr>
          <w:i/>
          <w:noProof/>
          <w:lang w:val="en-IE"/>
        </w:rPr>
        <w:t xml:space="preserve"> </w:t>
      </w:r>
      <w:r w:rsidRPr="00363097">
        <w:rPr>
          <w:noProof/>
          <w:lang w:val="en-IE"/>
        </w:rPr>
        <w:t xml:space="preserve">or in application of a Qualified Domestic Top-up Tax as referred to in Article 11 of </w:t>
      </w:r>
      <w:r w:rsidRPr="00363097">
        <w:rPr>
          <w:noProof/>
          <w:szCs w:val="24"/>
          <w:lang w:val="en-IE"/>
        </w:rPr>
        <w:t>that</w:t>
      </w:r>
      <w:r w:rsidRPr="00363097">
        <w:rPr>
          <w:noProof/>
          <w:lang w:val="en-IE"/>
        </w:rPr>
        <w:t xml:space="preserve"> Directive. </w:t>
      </w:r>
    </w:p>
    <w:p w14:paraId="59F379D3" w14:textId="77777777" w:rsidR="00081B7A" w:rsidRPr="00363097" w:rsidRDefault="00081B7A" w:rsidP="006B487B">
      <w:pPr>
        <w:pStyle w:val="Titrearticle2"/>
        <w:rPr>
          <w:b/>
          <w:bCs/>
          <w:noProof/>
        </w:rPr>
      </w:pPr>
      <w:r w:rsidRPr="00363097">
        <w:rPr>
          <w:noProof/>
          <w:lang w:val="en-IE"/>
        </w:rPr>
        <w:t>Article 18</w:t>
      </w:r>
      <w:r w:rsidRPr="00363097">
        <w:rPr>
          <w:noProof/>
          <w:lang w:val="en-IE"/>
        </w:rPr>
        <w:br/>
      </w:r>
      <w:r w:rsidRPr="00363097">
        <w:rPr>
          <w:b/>
          <w:bCs/>
          <w:noProof/>
        </w:rPr>
        <w:t>Rollover relief for replacement assets</w:t>
      </w:r>
    </w:p>
    <w:p w14:paraId="6C958444" w14:textId="0C1236EF" w:rsidR="00B65BD7" w:rsidRPr="00363097" w:rsidRDefault="00634583" w:rsidP="00634583">
      <w:pPr>
        <w:pStyle w:val="ManualNumPar1"/>
        <w:rPr>
          <w:noProof/>
        </w:rPr>
      </w:pPr>
      <w:r w:rsidRPr="00634583">
        <w:t>1.</w:t>
      </w:r>
      <w:r w:rsidRPr="00634583">
        <w:tab/>
      </w:r>
      <w:r w:rsidR="00081B7A" w:rsidRPr="00363097">
        <w:rPr>
          <w:noProof/>
        </w:rPr>
        <w:t xml:space="preserve">Where the proceeds from the disposition, including compensation for damage, of a fixed depreciable asset or land, are to be re-invested in a similar asset used for the same or a similar business purpose before the end of the second fiscal year after the fiscal year in which the disposition took place, the amount by which those proceeds exceed the value for tax purposes of the asset may be </w:t>
      </w:r>
      <w:r w:rsidR="007B7982" w:rsidRPr="00363097">
        <w:rPr>
          <w:noProof/>
        </w:rPr>
        <w:t>deducted</w:t>
      </w:r>
      <w:r w:rsidR="00880B1E" w:rsidRPr="00363097">
        <w:rPr>
          <w:noProof/>
        </w:rPr>
        <w:t xml:space="preserve"> </w:t>
      </w:r>
      <w:r w:rsidR="00081B7A" w:rsidRPr="00363097">
        <w:rPr>
          <w:noProof/>
        </w:rPr>
        <w:t xml:space="preserve">in the year of the disposition. An asset which is disposed of voluntarily needs to be owned for a minimum period of three years prior to the disposition. </w:t>
      </w:r>
    </w:p>
    <w:p w14:paraId="3F002521" w14:textId="1CA549F0" w:rsidR="00623C3A" w:rsidRPr="00363097" w:rsidRDefault="00634583" w:rsidP="00634583">
      <w:pPr>
        <w:pStyle w:val="ManualNumPar1"/>
        <w:rPr>
          <w:noProof/>
        </w:rPr>
      </w:pPr>
      <w:r w:rsidRPr="00634583">
        <w:t>2.</w:t>
      </w:r>
      <w:r w:rsidRPr="00634583">
        <w:tab/>
      </w:r>
      <w:r w:rsidR="00081B7A" w:rsidRPr="00363097">
        <w:rPr>
          <w:noProof/>
        </w:rPr>
        <w:t xml:space="preserve">The replacement asset referred to in paragraph 1 may be purchased in the fiscal year prior to the disposition. Where the replacement asset is not purchased before the end of the second fiscal year after the year in which the disposition of the asset took place, </w:t>
      </w:r>
      <w:r w:rsidR="005361D7" w:rsidRPr="00363097">
        <w:rPr>
          <w:noProof/>
        </w:rPr>
        <w:t xml:space="preserve">and except in cases of force majeure, </w:t>
      </w:r>
      <w:r w:rsidR="00081B7A" w:rsidRPr="00363097">
        <w:rPr>
          <w:noProof/>
        </w:rPr>
        <w:t xml:space="preserve">the amount deducted in the year of disposition, increased by 10 %, shall be added to the preliminary tax result in the second fiscal year after the disposition took place. </w:t>
      </w:r>
    </w:p>
    <w:p w14:paraId="039D49B8" w14:textId="77777777" w:rsidR="00081B7A" w:rsidRPr="00363097" w:rsidRDefault="00081B7A" w:rsidP="006B487B">
      <w:pPr>
        <w:pStyle w:val="Titrearticle2"/>
        <w:rPr>
          <w:b/>
          <w:bCs/>
          <w:noProof/>
          <w:lang w:val="en-IE"/>
        </w:rPr>
      </w:pPr>
      <w:r w:rsidRPr="00363097">
        <w:rPr>
          <w:noProof/>
          <w:lang w:val="en-IE"/>
        </w:rPr>
        <w:t>Article 19</w:t>
      </w:r>
      <w:r w:rsidRPr="00363097">
        <w:rPr>
          <w:noProof/>
          <w:lang w:val="en-IE"/>
        </w:rPr>
        <w:br/>
      </w:r>
      <w:r w:rsidR="00C3031D" w:rsidRPr="00363097">
        <w:rPr>
          <w:b/>
          <w:bCs/>
          <w:noProof/>
          <w:lang w:val="en-IE"/>
        </w:rPr>
        <w:t>Revenues</w:t>
      </w:r>
      <w:r w:rsidRPr="00363097">
        <w:rPr>
          <w:b/>
          <w:bCs/>
          <w:noProof/>
          <w:lang w:val="en-IE"/>
        </w:rPr>
        <w:t xml:space="preserve"> and expense in relation to fixed assets subject to depreciation </w:t>
      </w:r>
    </w:p>
    <w:p w14:paraId="4421CC72" w14:textId="387FDF46" w:rsidR="00081B7A" w:rsidRPr="00363097" w:rsidRDefault="00634583" w:rsidP="00634583">
      <w:pPr>
        <w:pStyle w:val="ManualNumPar1"/>
        <w:rPr>
          <w:noProof/>
          <w:lang w:val="en-IE"/>
        </w:rPr>
      </w:pPr>
      <w:r w:rsidRPr="00634583">
        <w:t>1.</w:t>
      </w:r>
      <w:r w:rsidRPr="00634583">
        <w:tab/>
      </w:r>
      <w:r w:rsidR="00081B7A" w:rsidRPr="00363097">
        <w:rPr>
          <w:noProof/>
          <w:lang w:val="en-IE"/>
        </w:rPr>
        <w:t>The financial accounting net income or loss of a BEFIT group member shall be adjusted to exclude the following amounts:</w:t>
      </w:r>
    </w:p>
    <w:p w14:paraId="5FACF885" w14:textId="77777777" w:rsidR="00081B7A" w:rsidRPr="00363097" w:rsidRDefault="00081B7A" w:rsidP="00081B7A">
      <w:pPr>
        <w:pStyle w:val="Point1"/>
        <w:rPr>
          <w:noProof/>
        </w:rPr>
      </w:pPr>
      <w:r w:rsidRPr="00363097">
        <w:rPr>
          <w:noProof/>
          <w:lang w:val="en-IE"/>
        </w:rPr>
        <w:t>(</w:t>
      </w:r>
      <w:r w:rsidR="00024ABF" w:rsidRPr="00363097">
        <w:rPr>
          <w:noProof/>
          <w:lang w:val="en-IE"/>
        </w:rPr>
        <w:t>a</w:t>
      </w:r>
      <w:r w:rsidRPr="00363097">
        <w:rPr>
          <w:noProof/>
          <w:lang w:val="en-IE"/>
        </w:rPr>
        <w:t>)</w:t>
      </w:r>
      <w:r w:rsidRPr="00363097">
        <w:rPr>
          <w:noProof/>
          <w:lang w:val="en-IE"/>
        </w:rPr>
        <w:tab/>
      </w:r>
      <w:r w:rsidRPr="00363097">
        <w:rPr>
          <w:noProof/>
        </w:rPr>
        <w:t>acquisition or construction costs</w:t>
      </w:r>
      <w:r w:rsidR="00C4346E" w:rsidRPr="00363097">
        <w:rPr>
          <w:noProof/>
        </w:rPr>
        <w:t xml:space="preserve"> as well as</w:t>
      </w:r>
      <w:r w:rsidRPr="00363097">
        <w:rPr>
          <w:noProof/>
        </w:rPr>
        <w:t xml:space="preserve"> costs connected with the improvement of fixed assets which are depreciable in accordance with the rules laid down in Section </w:t>
      </w:r>
      <w:r w:rsidR="007812A6" w:rsidRPr="00363097">
        <w:rPr>
          <w:noProof/>
        </w:rPr>
        <w:t>3</w:t>
      </w:r>
      <w:r w:rsidRPr="00363097">
        <w:rPr>
          <w:noProof/>
        </w:rPr>
        <w:t xml:space="preserve">; </w:t>
      </w:r>
      <w:r w:rsidR="00892431" w:rsidRPr="00363097">
        <w:rPr>
          <w:noProof/>
        </w:rPr>
        <w:t>and</w:t>
      </w:r>
    </w:p>
    <w:p w14:paraId="09C6EE9F" w14:textId="77777777" w:rsidR="00081B7A" w:rsidRPr="00363097" w:rsidRDefault="00081B7A" w:rsidP="00081B7A">
      <w:pPr>
        <w:pStyle w:val="Point1"/>
        <w:rPr>
          <w:noProof/>
          <w:lang w:val="en-IE"/>
        </w:rPr>
      </w:pPr>
      <w:r w:rsidRPr="00363097">
        <w:rPr>
          <w:noProof/>
        </w:rPr>
        <w:t>(</w:t>
      </w:r>
      <w:r w:rsidR="00DE1BFF" w:rsidRPr="00363097">
        <w:rPr>
          <w:noProof/>
        </w:rPr>
        <w:t>b</w:t>
      </w:r>
      <w:r w:rsidRPr="00363097">
        <w:rPr>
          <w:noProof/>
        </w:rPr>
        <w:t>)</w:t>
      </w:r>
      <w:r w:rsidRPr="00363097">
        <w:rPr>
          <w:noProof/>
        </w:rPr>
        <w:tab/>
        <w:t xml:space="preserve">subsidies directly linked to the acquisition, construction or improvement of such assets. </w:t>
      </w:r>
    </w:p>
    <w:p w14:paraId="2FBCF73F" w14:textId="4578707A" w:rsidR="00081B7A" w:rsidRPr="00363097" w:rsidRDefault="00634583" w:rsidP="00634583">
      <w:pPr>
        <w:pStyle w:val="ManualNumPar1"/>
        <w:rPr>
          <w:noProof/>
        </w:rPr>
      </w:pPr>
      <w:r w:rsidRPr="00634583">
        <w:t>2.</w:t>
      </w:r>
      <w:r w:rsidRPr="00634583">
        <w:tab/>
      </w:r>
      <w:r w:rsidR="00081B7A" w:rsidRPr="00363097">
        <w:rPr>
          <w:noProof/>
        </w:rPr>
        <w:t>The financial accounting net income or loss of a BEFIT group member shall be adjusted to only include the amount of deduction in respect of the depreciation of fixed assets as determined in</w:t>
      </w:r>
      <w:r w:rsidR="00A77989" w:rsidRPr="00363097">
        <w:rPr>
          <w:noProof/>
        </w:rPr>
        <w:t xml:space="preserve"> Articles </w:t>
      </w:r>
      <w:r w:rsidR="00241F8E" w:rsidRPr="00363097">
        <w:rPr>
          <w:noProof/>
        </w:rPr>
        <w:t>22 to 28</w:t>
      </w:r>
      <w:r w:rsidR="00081B7A" w:rsidRPr="00363097">
        <w:rPr>
          <w:noProof/>
        </w:rPr>
        <w:t xml:space="preserve">. </w:t>
      </w:r>
    </w:p>
    <w:p w14:paraId="7F65E92D" w14:textId="77777777" w:rsidR="00081B7A" w:rsidRPr="00363097" w:rsidRDefault="00081B7A" w:rsidP="006B487B">
      <w:pPr>
        <w:pStyle w:val="Titrearticle2"/>
        <w:rPr>
          <w:b/>
          <w:bCs/>
          <w:noProof/>
          <w:lang w:val="en-IE"/>
        </w:rPr>
      </w:pPr>
      <w:r w:rsidRPr="00363097">
        <w:rPr>
          <w:noProof/>
          <w:lang w:val="en-IE"/>
        </w:rPr>
        <w:t>Article 20</w:t>
      </w:r>
      <w:r w:rsidRPr="00363097">
        <w:rPr>
          <w:noProof/>
          <w:lang w:val="en-IE"/>
        </w:rPr>
        <w:br/>
      </w:r>
      <w:r w:rsidRPr="00363097">
        <w:rPr>
          <w:b/>
          <w:bCs/>
          <w:noProof/>
          <w:lang w:val="en-IE"/>
        </w:rPr>
        <w:t>Currency exchange gain or loss</w:t>
      </w:r>
    </w:p>
    <w:p w14:paraId="03AF5385" w14:textId="77777777" w:rsidR="00081B7A" w:rsidRPr="00363097" w:rsidRDefault="00081B7A" w:rsidP="00A3263D">
      <w:pPr>
        <w:rPr>
          <w:noProof/>
          <w:lang w:val="en-IE"/>
        </w:rPr>
      </w:pPr>
      <w:r w:rsidRPr="00363097">
        <w:rPr>
          <w:noProof/>
          <w:lang w:val="en-IE"/>
        </w:rPr>
        <w:t xml:space="preserve">The financial </w:t>
      </w:r>
      <w:r w:rsidRPr="00A3263D">
        <w:rPr>
          <w:noProof/>
        </w:rPr>
        <w:t>accounting</w:t>
      </w:r>
      <w:r w:rsidRPr="00363097">
        <w:rPr>
          <w:noProof/>
          <w:lang w:val="en-IE"/>
        </w:rPr>
        <w:t xml:space="preserve"> net income or loss of a BEFIT group member shall be adjusted to exclude the following:</w:t>
      </w:r>
    </w:p>
    <w:p w14:paraId="7823C5A4" w14:textId="77777777" w:rsidR="00081B7A" w:rsidRPr="00363097" w:rsidRDefault="00081B7A" w:rsidP="00A3263D">
      <w:pPr>
        <w:pStyle w:val="Point0"/>
        <w:rPr>
          <w:noProof/>
          <w:lang w:val="en-IE"/>
        </w:rPr>
      </w:pPr>
      <w:r w:rsidRPr="00363097">
        <w:rPr>
          <w:noProof/>
          <w:lang w:val="en-IE"/>
        </w:rPr>
        <w:t>(</w:t>
      </w:r>
      <w:r w:rsidR="00024ABF" w:rsidRPr="00363097">
        <w:rPr>
          <w:noProof/>
          <w:lang w:val="en-IE"/>
        </w:rPr>
        <w:t>a</w:t>
      </w:r>
      <w:r w:rsidRPr="00363097">
        <w:rPr>
          <w:noProof/>
          <w:lang w:val="en-IE"/>
        </w:rPr>
        <w:t>)</w:t>
      </w:r>
      <w:r w:rsidRPr="00363097">
        <w:rPr>
          <w:noProof/>
          <w:lang w:val="en-IE"/>
        </w:rPr>
        <w:tab/>
        <w:t>the amount of any unrealised foreign currency exchange gain or loss in relation to fixed assets and liabilities;</w:t>
      </w:r>
    </w:p>
    <w:p w14:paraId="0F622ADA" w14:textId="77777777" w:rsidR="00081B7A" w:rsidRPr="00363097" w:rsidRDefault="00081B7A" w:rsidP="00A3263D">
      <w:pPr>
        <w:pStyle w:val="Point0"/>
        <w:rPr>
          <w:noProof/>
          <w:lang w:val="en-IE"/>
        </w:rPr>
      </w:pPr>
      <w:r w:rsidRPr="00363097">
        <w:rPr>
          <w:noProof/>
          <w:lang w:val="en-IE"/>
        </w:rPr>
        <w:t>(</w:t>
      </w:r>
      <w:r w:rsidR="00024ABF" w:rsidRPr="00363097">
        <w:rPr>
          <w:noProof/>
          <w:lang w:val="en-IE"/>
        </w:rPr>
        <w:t>b</w:t>
      </w:r>
      <w:r w:rsidRPr="00363097">
        <w:rPr>
          <w:noProof/>
          <w:lang w:val="en-IE"/>
        </w:rPr>
        <w:t>)</w:t>
      </w:r>
      <w:r w:rsidRPr="00363097">
        <w:rPr>
          <w:noProof/>
          <w:lang w:val="en-IE"/>
        </w:rPr>
        <w:tab/>
        <w:t xml:space="preserve">the amount of any provision recorded for unrealised foreign currency exchange loss. </w:t>
      </w:r>
    </w:p>
    <w:p w14:paraId="4412B3DA" w14:textId="77777777" w:rsidR="00081B7A" w:rsidRPr="00363097" w:rsidRDefault="00081B7A" w:rsidP="006B487B">
      <w:pPr>
        <w:pStyle w:val="Titrearticle2"/>
        <w:rPr>
          <w:b/>
          <w:bCs/>
          <w:noProof/>
          <w:lang w:val="en-IE"/>
        </w:rPr>
      </w:pPr>
      <w:r w:rsidRPr="00363097">
        <w:rPr>
          <w:noProof/>
          <w:szCs w:val="24"/>
          <w:lang w:val="en-IE"/>
        </w:rPr>
        <w:t>Article 21</w:t>
      </w:r>
      <w:r w:rsidRPr="00363097">
        <w:rPr>
          <w:noProof/>
          <w:szCs w:val="24"/>
          <w:lang w:val="en-IE"/>
        </w:rPr>
        <w:br/>
      </w:r>
      <w:r w:rsidRPr="00363097">
        <w:rPr>
          <w:b/>
          <w:bCs/>
          <w:noProof/>
          <w:lang w:val="en-IE"/>
        </w:rPr>
        <w:t xml:space="preserve">Adjustments in relation to certain items </w:t>
      </w:r>
      <w:r w:rsidRPr="00363097" w:rsidDel="4E201D17">
        <w:rPr>
          <w:b/>
          <w:bCs/>
          <w:noProof/>
          <w:lang w:val="en-IE"/>
        </w:rPr>
        <w:t xml:space="preserve">(items left to </w:t>
      </w:r>
      <w:r w:rsidRPr="00363097">
        <w:rPr>
          <w:b/>
          <w:bCs/>
          <w:noProof/>
          <w:lang w:val="en-IE"/>
        </w:rPr>
        <w:t>Member States</w:t>
      </w:r>
      <w:r w:rsidRPr="00363097" w:rsidDel="4E201D17">
        <w:rPr>
          <w:b/>
          <w:bCs/>
          <w:noProof/>
          <w:lang w:val="en-IE"/>
        </w:rPr>
        <w:t xml:space="preserve"> </w:t>
      </w:r>
      <w:r w:rsidRPr="00363097">
        <w:rPr>
          <w:b/>
          <w:bCs/>
          <w:noProof/>
          <w:lang w:val="en-IE"/>
        </w:rPr>
        <w:t>after allocation</w:t>
      </w:r>
      <w:r w:rsidRPr="00363097" w:rsidDel="4E201D17">
        <w:rPr>
          <w:b/>
          <w:bCs/>
          <w:noProof/>
          <w:lang w:val="en-IE"/>
        </w:rPr>
        <w:t>)</w:t>
      </w:r>
    </w:p>
    <w:p w14:paraId="1C8A970D" w14:textId="05C7ED6A" w:rsidR="00081B7A" w:rsidRPr="00363097" w:rsidRDefault="00081B7A" w:rsidP="00081B7A">
      <w:pPr>
        <w:keepNext/>
        <w:spacing w:before="0" w:after="200" w:line="276" w:lineRule="auto"/>
        <w:rPr>
          <w:noProof/>
          <w:lang w:val="en-IE"/>
        </w:rPr>
      </w:pPr>
      <w:r w:rsidRPr="00363097">
        <w:rPr>
          <w:noProof/>
          <w:lang w:val="en-IE"/>
        </w:rPr>
        <w:t xml:space="preserve">The financial accounting net income or loss of a BEFIT group member shall be adjusted to exclude from the preliminary tax result any amount relating to items listed </w:t>
      </w:r>
      <w:r w:rsidR="00C66510" w:rsidRPr="00363097">
        <w:rPr>
          <w:noProof/>
          <w:lang w:val="en-IE"/>
        </w:rPr>
        <w:t xml:space="preserve">in Article 48(1), </w:t>
      </w:r>
      <w:r w:rsidRPr="00363097">
        <w:rPr>
          <w:noProof/>
          <w:lang w:val="en-IE"/>
        </w:rPr>
        <w:t>points (</w:t>
      </w:r>
      <w:r w:rsidR="00024ABF" w:rsidRPr="00363097">
        <w:rPr>
          <w:noProof/>
          <w:lang w:val="en-IE"/>
        </w:rPr>
        <w:t>a</w:t>
      </w:r>
      <w:r w:rsidRPr="00363097">
        <w:rPr>
          <w:noProof/>
          <w:lang w:val="en-IE"/>
        </w:rPr>
        <w:t>) to (</w:t>
      </w:r>
      <w:r w:rsidR="004C4952">
        <w:rPr>
          <w:noProof/>
          <w:lang w:val="en-IE"/>
        </w:rPr>
        <w:t>j</w:t>
      </w:r>
      <w:r w:rsidRPr="00363097">
        <w:rPr>
          <w:noProof/>
          <w:lang w:val="en-IE"/>
        </w:rPr>
        <w:t xml:space="preserve">). </w:t>
      </w:r>
    </w:p>
    <w:p w14:paraId="0BD193EF" w14:textId="77777777" w:rsidR="00081B7A" w:rsidRPr="00363097" w:rsidRDefault="00081B7A" w:rsidP="00081B7A">
      <w:pPr>
        <w:pStyle w:val="SectionTitle"/>
        <w:rPr>
          <w:noProof/>
        </w:rPr>
      </w:pPr>
      <w:r w:rsidRPr="00363097">
        <w:rPr>
          <w:noProof/>
        </w:rPr>
        <w:t xml:space="preserve">Section </w:t>
      </w:r>
      <w:r w:rsidR="009F2793" w:rsidRPr="00363097">
        <w:rPr>
          <w:noProof/>
        </w:rPr>
        <w:t>3</w:t>
      </w:r>
      <w:r w:rsidRPr="00363097">
        <w:rPr>
          <w:noProof/>
        </w:rPr>
        <w:br/>
        <w:t>Depreciation</w:t>
      </w:r>
    </w:p>
    <w:p w14:paraId="0224F2DF" w14:textId="77777777" w:rsidR="00081B7A" w:rsidRPr="00363097" w:rsidRDefault="00081B7A" w:rsidP="006B487B">
      <w:pPr>
        <w:pStyle w:val="Titrearticle2"/>
        <w:rPr>
          <w:b/>
          <w:bCs/>
          <w:noProof/>
        </w:rPr>
      </w:pPr>
      <w:r w:rsidRPr="00363097">
        <w:rPr>
          <w:iCs/>
          <w:noProof/>
        </w:rPr>
        <w:t>Article 22</w:t>
      </w:r>
      <w:r w:rsidRPr="00363097">
        <w:rPr>
          <w:iCs/>
          <w:noProof/>
        </w:rPr>
        <w:br/>
      </w:r>
      <w:r w:rsidRPr="00363097">
        <w:rPr>
          <w:b/>
          <w:bCs/>
          <w:noProof/>
        </w:rPr>
        <w:t>Depreciation method and duration</w:t>
      </w:r>
    </w:p>
    <w:p w14:paraId="5E860D95" w14:textId="3ACC2A1D" w:rsidR="00081B7A" w:rsidRPr="00363097" w:rsidRDefault="00634583" w:rsidP="00634583">
      <w:pPr>
        <w:pStyle w:val="ManualNumPar1"/>
        <w:rPr>
          <w:noProof/>
          <w:lang w:val="en-IE"/>
        </w:rPr>
      </w:pPr>
      <w:r w:rsidRPr="00634583">
        <w:t>1.</w:t>
      </w:r>
      <w:r w:rsidRPr="00634583">
        <w:tab/>
      </w:r>
      <w:r w:rsidR="00081B7A" w:rsidRPr="00363097">
        <w:rPr>
          <w:noProof/>
          <w:lang w:val="en-IE"/>
        </w:rPr>
        <w:t>The financial accounting net income or loss of a BEFIT group member shall be adjusted to exclude in the fiscal year of acquisition any fixed tangible asset that has a book value before depreciation which is below EUR 5000.</w:t>
      </w:r>
    </w:p>
    <w:p w14:paraId="57C3EC4A" w14:textId="7B16F544" w:rsidR="00081B7A" w:rsidRPr="00363097" w:rsidRDefault="00634583" w:rsidP="00634583">
      <w:pPr>
        <w:pStyle w:val="ManualNumPar1"/>
        <w:rPr>
          <w:noProof/>
        </w:rPr>
      </w:pPr>
      <w:r w:rsidRPr="00634583">
        <w:t>2.</w:t>
      </w:r>
      <w:r w:rsidRPr="00634583">
        <w:tab/>
      </w:r>
      <w:r w:rsidR="00081B7A" w:rsidRPr="00363097">
        <w:rPr>
          <w:noProof/>
        </w:rPr>
        <w:t xml:space="preserve">Where paragraph 1 does not apply, fixed assets shall be depreciated individually over their useful life on a straight-line basis. The useful life of a fixed asset shall be determined as follows: </w:t>
      </w:r>
    </w:p>
    <w:p w14:paraId="124CB797" w14:textId="489DE129" w:rsidR="00081B7A" w:rsidRPr="00363097" w:rsidRDefault="00081B7A" w:rsidP="00081B7A">
      <w:pPr>
        <w:pStyle w:val="Point1"/>
        <w:rPr>
          <w:noProof/>
        </w:rPr>
      </w:pPr>
      <w:r>
        <w:rPr>
          <w:noProof/>
        </w:rPr>
        <w:t>(</w:t>
      </w:r>
      <w:r w:rsidR="1B23E198">
        <w:rPr>
          <w:noProof/>
        </w:rPr>
        <w:t>a</w:t>
      </w:r>
      <w:r>
        <w:rPr>
          <w:noProof/>
        </w:rPr>
        <w:t>)</w:t>
      </w:r>
      <w:r>
        <w:rPr>
          <w:noProof/>
        </w:rPr>
        <w:tab/>
      </w:r>
      <w:r w:rsidR="00CA0F9E">
        <w:rPr>
          <w:noProof/>
        </w:rPr>
        <w:t>all</w:t>
      </w:r>
      <w:r>
        <w:rPr>
          <w:noProof/>
        </w:rPr>
        <w:t xml:space="preserve"> buildings as well as any other type of immovable property </w:t>
      </w:r>
      <w:r w:rsidR="00B1136A">
        <w:rPr>
          <w:noProof/>
        </w:rPr>
        <w:t xml:space="preserve">and structure </w:t>
      </w:r>
      <w:r>
        <w:rPr>
          <w:noProof/>
        </w:rPr>
        <w:t xml:space="preserve">in use for the business: </w:t>
      </w:r>
      <w:r w:rsidR="41822821">
        <w:rPr>
          <w:noProof/>
        </w:rPr>
        <w:t>28</w:t>
      </w:r>
      <w:r>
        <w:rPr>
          <w:noProof/>
        </w:rPr>
        <w:t xml:space="preserve"> years;</w:t>
      </w:r>
    </w:p>
    <w:p w14:paraId="4075B946" w14:textId="09EB38BD" w:rsidR="00081B7A" w:rsidRPr="00363097" w:rsidRDefault="00081B7A" w:rsidP="00081B7A">
      <w:pPr>
        <w:pStyle w:val="Point1"/>
        <w:rPr>
          <w:noProof/>
          <w:szCs w:val="24"/>
        </w:rPr>
      </w:pPr>
      <w:r w:rsidRPr="00363097">
        <w:rPr>
          <w:noProof/>
        </w:rPr>
        <w:t>(</w:t>
      </w:r>
      <w:r w:rsidR="00716A23">
        <w:rPr>
          <w:noProof/>
        </w:rPr>
        <w:t>b</w:t>
      </w:r>
      <w:r w:rsidRPr="00363097">
        <w:rPr>
          <w:noProof/>
        </w:rPr>
        <w:t>)</w:t>
      </w:r>
      <w:r w:rsidRPr="00363097">
        <w:rPr>
          <w:noProof/>
        </w:rPr>
        <w:tab/>
        <w:t xml:space="preserve">all other fixed tangible assets: their useful life as assessed </w:t>
      </w:r>
      <w:r w:rsidR="008839C3">
        <w:rPr>
          <w:noProof/>
        </w:rPr>
        <w:t xml:space="preserve">in accordance with the acceptable accounting standard in the Union </w:t>
      </w:r>
      <w:r w:rsidR="009A2514">
        <w:rPr>
          <w:noProof/>
        </w:rPr>
        <w:t>referred to in Article 7</w:t>
      </w:r>
      <w:r w:rsidRPr="00363097">
        <w:rPr>
          <w:noProof/>
        </w:rPr>
        <w:t xml:space="preserve">; </w:t>
      </w:r>
    </w:p>
    <w:p w14:paraId="7F51909C" w14:textId="2272AEBE" w:rsidR="00081B7A" w:rsidRPr="00363097" w:rsidRDefault="00081B7A" w:rsidP="00081B7A">
      <w:pPr>
        <w:pStyle w:val="Point1"/>
        <w:rPr>
          <w:noProof/>
        </w:rPr>
      </w:pPr>
      <w:r>
        <w:rPr>
          <w:noProof/>
        </w:rPr>
        <w:t>(</w:t>
      </w:r>
      <w:r w:rsidR="00716A23">
        <w:rPr>
          <w:noProof/>
        </w:rPr>
        <w:t>c</w:t>
      </w:r>
      <w:r>
        <w:rPr>
          <w:noProof/>
        </w:rPr>
        <w:t>)</w:t>
      </w:r>
      <w:r>
        <w:rPr>
          <w:noProof/>
        </w:rPr>
        <w:tab/>
        <w:t xml:space="preserve">fixed intangible assets, including acquired goodwill: the period for which the asset enjoys legal protection or for which the right has been granted and, where that period cannot be determined, </w:t>
      </w:r>
      <w:r w:rsidR="5FE4B33D">
        <w:rPr>
          <w:noProof/>
        </w:rPr>
        <w:t>5</w:t>
      </w:r>
      <w:r>
        <w:rPr>
          <w:noProof/>
        </w:rPr>
        <w:t xml:space="preserve"> years. </w:t>
      </w:r>
    </w:p>
    <w:p w14:paraId="7725BD3C" w14:textId="75AFFA01" w:rsidR="00081B7A" w:rsidRPr="00363097" w:rsidRDefault="00634583" w:rsidP="00634583">
      <w:pPr>
        <w:pStyle w:val="ManualNumPar1"/>
        <w:rPr>
          <w:noProof/>
          <w:szCs w:val="24"/>
        </w:rPr>
      </w:pPr>
      <w:r w:rsidRPr="00634583">
        <w:t>3.</w:t>
      </w:r>
      <w:r w:rsidRPr="00634583">
        <w:tab/>
      </w:r>
      <w:r w:rsidR="00081B7A" w:rsidRPr="00363097">
        <w:rPr>
          <w:noProof/>
        </w:rPr>
        <w:t>Second-hand fixed assets shall be depreciated in accordance with paragraph 2, unless the BEFIT group member demonstrates that the estimated remaining useful life of the asset is shorter, in which case it shall be depreciated over that shorter period.</w:t>
      </w:r>
    </w:p>
    <w:p w14:paraId="7DD99DB4" w14:textId="24A66DAA" w:rsidR="00081B7A" w:rsidRPr="00363097" w:rsidRDefault="00081B7A" w:rsidP="00081B7A">
      <w:pPr>
        <w:pStyle w:val="Text1"/>
        <w:rPr>
          <w:noProof/>
        </w:rPr>
      </w:pPr>
      <w:r w:rsidRPr="00363097">
        <w:rPr>
          <w:noProof/>
        </w:rPr>
        <w:t xml:space="preserve">By way of derogation from the first subparagraph, second hand fixed intangible assets shall be depreciated over </w:t>
      </w:r>
      <w:r w:rsidR="00AA49CA">
        <w:rPr>
          <w:noProof/>
        </w:rPr>
        <w:t>5</w:t>
      </w:r>
      <w:r w:rsidR="00AA49CA" w:rsidRPr="00363097">
        <w:rPr>
          <w:noProof/>
        </w:rPr>
        <w:t xml:space="preserve"> </w:t>
      </w:r>
      <w:r w:rsidRPr="00363097">
        <w:rPr>
          <w:noProof/>
        </w:rPr>
        <w:t>years, unless the remaining period for which the asset enjoys legal protection or for which the right has been granted can be determined, in which case it shall be depreciated over that other period.</w:t>
      </w:r>
    </w:p>
    <w:p w14:paraId="20840CC9" w14:textId="6F0032F6" w:rsidR="00081B7A" w:rsidRPr="00363097" w:rsidRDefault="00634583" w:rsidP="00634583">
      <w:pPr>
        <w:pStyle w:val="ManualNumPar1"/>
        <w:rPr>
          <w:noProof/>
        </w:rPr>
      </w:pPr>
      <w:r w:rsidRPr="00634583">
        <w:t>4.</w:t>
      </w:r>
      <w:r w:rsidRPr="00634583">
        <w:tab/>
      </w:r>
      <w:r w:rsidR="00081B7A" w:rsidRPr="00363097">
        <w:rPr>
          <w:noProof/>
        </w:rPr>
        <w:t xml:space="preserve">Depreciation shall be deducted on a monthly basis as from the month of entry into use of the fixed asset. No depreciation shall be deducted in the month of disposition of the asset. </w:t>
      </w:r>
    </w:p>
    <w:p w14:paraId="04EB4162" w14:textId="3D29286A" w:rsidR="00081B7A" w:rsidRPr="00363097" w:rsidRDefault="00634583" w:rsidP="00634583">
      <w:pPr>
        <w:pStyle w:val="ManualNumPar1"/>
        <w:rPr>
          <w:noProof/>
        </w:rPr>
      </w:pPr>
      <w:r w:rsidRPr="00634583">
        <w:t>5.</w:t>
      </w:r>
      <w:r w:rsidRPr="00634583">
        <w:tab/>
      </w:r>
      <w:r w:rsidR="00513C3E" w:rsidRPr="00363097">
        <w:rPr>
          <w:noProof/>
        </w:rPr>
        <w:t>The value for tax purposes of</w:t>
      </w:r>
      <w:r w:rsidR="00081B7A" w:rsidRPr="00363097">
        <w:rPr>
          <w:noProof/>
        </w:rPr>
        <w:t xml:space="preserve"> a fixed asset </w:t>
      </w:r>
      <w:r w:rsidR="00513C3E" w:rsidRPr="00363097">
        <w:rPr>
          <w:noProof/>
        </w:rPr>
        <w:t xml:space="preserve">that </w:t>
      </w:r>
      <w:r w:rsidR="00081B7A" w:rsidRPr="00363097">
        <w:rPr>
          <w:noProof/>
        </w:rPr>
        <w:t>is disposed of</w:t>
      </w:r>
      <w:r w:rsidR="00513C3E" w:rsidRPr="00363097">
        <w:rPr>
          <w:noProof/>
        </w:rPr>
        <w:t>,</w:t>
      </w:r>
      <w:r w:rsidR="00081B7A" w:rsidRPr="00363097">
        <w:rPr>
          <w:noProof/>
        </w:rPr>
        <w:t xml:space="preserve"> or damaged to an extent that it can no longer be used for the business, </w:t>
      </w:r>
      <w:r w:rsidR="00513C3E" w:rsidRPr="00363097">
        <w:rPr>
          <w:noProof/>
        </w:rPr>
        <w:t xml:space="preserve">and </w:t>
      </w:r>
      <w:r w:rsidR="00081B7A" w:rsidRPr="00363097">
        <w:rPr>
          <w:noProof/>
        </w:rPr>
        <w:t>the value for tax purposes of any improvement costs incurred in relation to that asset</w:t>
      </w:r>
      <w:r w:rsidR="00513C3E" w:rsidRPr="00363097">
        <w:rPr>
          <w:noProof/>
        </w:rPr>
        <w:t xml:space="preserve"> shall be deducted from the preliminary tax result in the month of the disposition or damage</w:t>
      </w:r>
      <w:r w:rsidR="00FF401C" w:rsidRPr="00363097">
        <w:rPr>
          <w:noProof/>
        </w:rPr>
        <w:t>.</w:t>
      </w:r>
      <w:r w:rsidR="00EC12DB" w:rsidRPr="00363097">
        <w:rPr>
          <w:noProof/>
        </w:rPr>
        <w:t xml:space="preserve"> </w:t>
      </w:r>
    </w:p>
    <w:p w14:paraId="5037EF38" w14:textId="77777777" w:rsidR="00081B7A" w:rsidRPr="00363097" w:rsidRDefault="00081B7A" w:rsidP="006B487B">
      <w:pPr>
        <w:pStyle w:val="Titrearticle2"/>
        <w:rPr>
          <w:b/>
          <w:bCs/>
          <w:noProof/>
        </w:rPr>
      </w:pPr>
      <w:r w:rsidRPr="00363097">
        <w:rPr>
          <w:iCs/>
          <w:noProof/>
        </w:rPr>
        <w:t>Article 23</w:t>
      </w:r>
      <w:r w:rsidRPr="00363097">
        <w:rPr>
          <w:iCs/>
          <w:noProof/>
        </w:rPr>
        <w:br/>
      </w:r>
      <w:r w:rsidRPr="00363097">
        <w:rPr>
          <w:b/>
          <w:bCs/>
          <w:noProof/>
        </w:rPr>
        <w:t>Entitlement to depreciate</w:t>
      </w:r>
    </w:p>
    <w:p w14:paraId="0CE10E0A" w14:textId="67F856DC" w:rsidR="00081B7A" w:rsidRPr="00363097" w:rsidRDefault="00634583" w:rsidP="00634583">
      <w:pPr>
        <w:pStyle w:val="ManualNumPar1"/>
        <w:rPr>
          <w:noProof/>
        </w:rPr>
      </w:pPr>
      <w:r w:rsidRPr="00634583">
        <w:t>1.</w:t>
      </w:r>
      <w:r w:rsidRPr="00634583">
        <w:tab/>
      </w:r>
      <w:r w:rsidR="00081B7A" w:rsidRPr="00363097">
        <w:rPr>
          <w:noProof/>
        </w:rPr>
        <w:t xml:space="preserve">Subject to paragraph 3, depreciation shall be deducted by the economic owner. </w:t>
      </w:r>
    </w:p>
    <w:p w14:paraId="30E44F2E" w14:textId="12732FAA" w:rsidR="00081B7A" w:rsidRPr="00363097" w:rsidRDefault="00634583" w:rsidP="00634583">
      <w:pPr>
        <w:pStyle w:val="ManualNumPar1"/>
        <w:rPr>
          <w:noProof/>
        </w:rPr>
      </w:pPr>
      <w:r w:rsidRPr="00634583">
        <w:t>2.</w:t>
      </w:r>
      <w:r w:rsidRPr="00634583">
        <w:tab/>
      </w:r>
      <w:r w:rsidR="00081B7A" w:rsidRPr="00363097">
        <w:rPr>
          <w:noProof/>
        </w:rPr>
        <w:t xml:space="preserve">In the case of contracts in which the economic and legal ownership do not coincide, the economic owner shall be entitled to deduct the interest element of the payments from its preliminary tax result, unless that element is not included in the preliminary tax result or tax base of the legal owner, as the case may be, depending on whether the legal owner is another BEFIT group member or not. </w:t>
      </w:r>
    </w:p>
    <w:p w14:paraId="41BE5E5E" w14:textId="71C44AB6" w:rsidR="00081B7A" w:rsidRPr="00363097" w:rsidRDefault="00634583" w:rsidP="00634583">
      <w:pPr>
        <w:pStyle w:val="ManualNumPar1"/>
        <w:rPr>
          <w:noProof/>
        </w:rPr>
      </w:pPr>
      <w:r w:rsidRPr="00634583">
        <w:t>3.</w:t>
      </w:r>
      <w:r w:rsidRPr="00634583">
        <w:tab/>
      </w:r>
      <w:r w:rsidR="00081B7A" w:rsidRPr="00363097">
        <w:rPr>
          <w:noProof/>
        </w:rPr>
        <w:t>If the economic owner of an asset cannot be identified, the legal owner shall be entitled to deduct depreciation. In the case of leasing contracts both the interest and capital element of the lease payments shall be included in the preliminary tax result of the legal owner and if the lessee is a BEFIT group member, these payments shall be excluded from its preliminary tax result.</w:t>
      </w:r>
    </w:p>
    <w:p w14:paraId="3F372101" w14:textId="1DCA379D" w:rsidR="00081B7A" w:rsidRPr="00363097" w:rsidRDefault="00634583" w:rsidP="00634583">
      <w:pPr>
        <w:pStyle w:val="ManualNumPar1"/>
        <w:rPr>
          <w:noProof/>
        </w:rPr>
      </w:pPr>
      <w:r w:rsidRPr="00634583">
        <w:t>4.</w:t>
      </w:r>
      <w:r w:rsidRPr="00634583">
        <w:tab/>
      </w:r>
      <w:r w:rsidR="00081B7A" w:rsidRPr="00363097">
        <w:rPr>
          <w:noProof/>
        </w:rPr>
        <w:t xml:space="preserve">A fixed asset may not be depreciated by more than one taxpayer within a fiscal year, unless either the legal or the economic ownership is shared between more taxpayers, or the economic or legal owner of the asset has changed. </w:t>
      </w:r>
    </w:p>
    <w:p w14:paraId="40F9E992" w14:textId="3A8BBC79" w:rsidR="00081B7A" w:rsidRPr="00363097" w:rsidRDefault="00634583" w:rsidP="00634583">
      <w:pPr>
        <w:pStyle w:val="ManualNumPar1"/>
        <w:rPr>
          <w:noProof/>
        </w:rPr>
      </w:pPr>
      <w:r w:rsidRPr="00634583">
        <w:t>5.</w:t>
      </w:r>
      <w:r w:rsidRPr="00634583">
        <w:tab/>
      </w:r>
      <w:r w:rsidR="00081B7A" w:rsidRPr="00363097">
        <w:rPr>
          <w:noProof/>
        </w:rPr>
        <w:t xml:space="preserve">A BEFIT group member may not disclaim depreciation. </w:t>
      </w:r>
    </w:p>
    <w:p w14:paraId="4E826772" w14:textId="77777777" w:rsidR="00081B7A" w:rsidRPr="00363097" w:rsidRDefault="00081B7A" w:rsidP="006B487B">
      <w:pPr>
        <w:pStyle w:val="Titrearticle2"/>
        <w:rPr>
          <w:b/>
          <w:bCs/>
          <w:noProof/>
        </w:rPr>
      </w:pPr>
      <w:r w:rsidRPr="00363097">
        <w:rPr>
          <w:iCs/>
          <w:noProof/>
        </w:rPr>
        <w:t>Article 24</w:t>
      </w:r>
      <w:r w:rsidRPr="00363097">
        <w:rPr>
          <w:iCs/>
          <w:noProof/>
        </w:rPr>
        <w:br/>
      </w:r>
      <w:r w:rsidRPr="00363097">
        <w:rPr>
          <w:b/>
          <w:bCs/>
          <w:noProof/>
        </w:rPr>
        <w:t>Depreciation base</w:t>
      </w:r>
    </w:p>
    <w:p w14:paraId="7BC75F58" w14:textId="6B9B2949" w:rsidR="00081B7A" w:rsidRPr="00363097" w:rsidRDefault="00634583" w:rsidP="00634583">
      <w:pPr>
        <w:pStyle w:val="ManualNumPar1"/>
        <w:rPr>
          <w:noProof/>
        </w:rPr>
      </w:pPr>
      <w:r w:rsidRPr="00634583">
        <w:t>1.</w:t>
      </w:r>
      <w:r w:rsidRPr="00634583">
        <w:tab/>
      </w:r>
      <w:r w:rsidR="00081B7A" w:rsidRPr="00363097">
        <w:rPr>
          <w:noProof/>
        </w:rPr>
        <w:t xml:space="preserve">The depreciation base shall comprise costs directly connected with the acquisition, construction, or improvement of a fixed asset. Those costs shall not include deductible value added tax, interests, or the result of any revaluation or impairment exercise. </w:t>
      </w:r>
    </w:p>
    <w:p w14:paraId="2AA1B87E" w14:textId="3E80BB38" w:rsidR="00081B7A" w:rsidRPr="00363097" w:rsidRDefault="00634583" w:rsidP="00634583">
      <w:pPr>
        <w:pStyle w:val="ManualNumPar1"/>
        <w:rPr>
          <w:noProof/>
        </w:rPr>
      </w:pPr>
      <w:r w:rsidRPr="00634583">
        <w:t>2.</w:t>
      </w:r>
      <w:r w:rsidRPr="00634583">
        <w:tab/>
      </w:r>
      <w:r w:rsidR="00081B7A" w:rsidRPr="00363097">
        <w:rPr>
          <w:noProof/>
        </w:rPr>
        <w:t xml:space="preserve">The depreciation base of an asset received as a gift shall be its market value as included in the financial accounts of the BEFIT group member. </w:t>
      </w:r>
    </w:p>
    <w:p w14:paraId="192F87A0" w14:textId="550F140B" w:rsidR="00081B7A" w:rsidRPr="00363097" w:rsidRDefault="00634583" w:rsidP="00634583">
      <w:pPr>
        <w:pStyle w:val="ManualNumPar1"/>
        <w:rPr>
          <w:noProof/>
        </w:rPr>
      </w:pPr>
      <w:r w:rsidRPr="00634583">
        <w:t>3.</w:t>
      </w:r>
      <w:r w:rsidRPr="00634583">
        <w:tab/>
      </w:r>
      <w:r w:rsidR="00081B7A" w:rsidRPr="00363097">
        <w:rPr>
          <w:noProof/>
        </w:rPr>
        <w:t>The depreciation base of a fixed asset subject to depreciation shall be reduced by deducting the amount of any public subsidy directly linked to the acquisition, construction, or improvement of the asset, as referred to in Article 19</w:t>
      </w:r>
      <w:r w:rsidR="00183EA0" w:rsidRPr="00363097">
        <w:rPr>
          <w:noProof/>
        </w:rPr>
        <w:t>(1) point (b)</w:t>
      </w:r>
      <w:r w:rsidR="00081B7A" w:rsidRPr="00363097">
        <w:rPr>
          <w:noProof/>
        </w:rPr>
        <w:t xml:space="preserve">. </w:t>
      </w:r>
    </w:p>
    <w:p w14:paraId="0C94A7EF" w14:textId="2118F22B" w:rsidR="00B235EF" w:rsidRDefault="00634583" w:rsidP="00634583">
      <w:pPr>
        <w:pStyle w:val="ManualNumPar1"/>
        <w:rPr>
          <w:noProof/>
        </w:rPr>
      </w:pPr>
      <w:r w:rsidRPr="00634583">
        <w:t>4.</w:t>
      </w:r>
      <w:r w:rsidRPr="00634583">
        <w:tab/>
      </w:r>
      <w:r w:rsidR="00081B7A" w:rsidRPr="00363097">
        <w:rPr>
          <w:noProof/>
        </w:rPr>
        <w:t xml:space="preserve">The depreciation of fixed assets that are not available for use, or that have not been used for more than 12 months for reasons that are not outside the control of the BEFIT group member, shall not be taken into account. </w:t>
      </w:r>
    </w:p>
    <w:p w14:paraId="034B2DA4" w14:textId="6B8E6064" w:rsidR="00081B7A" w:rsidRPr="00363097" w:rsidRDefault="00081B7A" w:rsidP="00D94E87">
      <w:pPr>
        <w:pStyle w:val="Text1"/>
        <w:rPr>
          <w:noProof/>
        </w:rPr>
      </w:pPr>
      <w:r>
        <w:rPr>
          <w:noProof/>
        </w:rPr>
        <w:t xml:space="preserve">Depreciation shall cease from the month that follows the one in which the period referred to in the first subparagraph ended and shall be resumed </w:t>
      </w:r>
      <w:r w:rsidR="00390205">
        <w:rPr>
          <w:noProof/>
        </w:rPr>
        <w:t xml:space="preserve">as of </w:t>
      </w:r>
      <w:r>
        <w:rPr>
          <w:noProof/>
        </w:rPr>
        <w:t>the month that follows th</w:t>
      </w:r>
      <w:r w:rsidR="00796A9F">
        <w:rPr>
          <w:noProof/>
        </w:rPr>
        <w:t xml:space="preserve">e </w:t>
      </w:r>
      <w:r w:rsidR="00390205">
        <w:rPr>
          <w:noProof/>
        </w:rPr>
        <w:t xml:space="preserve">one </w:t>
      </w:r>
      <w:r>
        <w:rPr>
          <w:noProof/>
        </w:rPr>
        <w:t>in which the asset started being used again.</w:t>
      </w:r>
    </w:p>
    <w:p w14:paraId="7622A539" w14:textId="6B07B0DD" w:rsidR="00081B7A" w:rsidRPr="00363097" w:rsidRDefault="00634583" w:rsidP="00634583">
      <w:pPr>
        <w:pStyle w:val="ManualNumPar1"/>
        <w:rPr>
          <w:rFonts w:eastAsia="Calibri"/>
          <w:noProof/>
        </w:rPr>
      </w:pPr>
      <w:r w:rsidRPr="00634583">
        <w:t>5.</w:t>
      </w:r>
      <w:r w:rsidRPr="00634583">
        <w:tab/>
      </w:r>
      <w:r w:rsidR="00081B7A">
        <w:rPr>
          <w:noProof/>
        </w:rPr>
        <w:t>Where a depreciable fixed asset has been disposed of and replaced in accordance with the rules in Article 18, the depreciation base of the replacement asset shall be reduced by the same amount as the amount that was deducted in the year of the disposition.</w:t>
      </w:r>
    </w:p>
    <w:p w14:paraId="2A2961D7" w14:textId="77777777" w:rsidR="00081B7A" w:rsidRPr="00363097" w:rsidRDefault="00081B7A" w:rsidP="006B487B">
      <w:pPr>
        <w:pStyle w:val="Titrearticle2"/>
        <w:rPr>
          <w:b/>
          <w:bCs/>
          <w:noProof/>
          <w:lang w:val="en-IE"/>
        </w:rPr>
      </w:pPr>
      <w:r w:rsidRPr="00363097">
        <w:rPr>
          <w:noProof/>
        </w:rPr>
        <w:t xml:space="preserve">Article 25 </w:t>
      </w:r>
      <w:r w:rsidRPr="00363097">
        <w:rPr>
          <w:noProof/>
        </w:rPr>
        <w:br/>
      </w:r>
      <w:r w:rsidRPr="00363097">
        <w:rPr>
          <w:b/>
          <w:bCs/>
          <w:noProof/>
          <w:lang w:val="en-IE"/>
        </w:rPr>
        <w:t>Fixed asset register</w:t>
      </w:r>
    </w:p>
    <w:p w14:paraId="109B2F54" w14:textId="65C5A995" w:rsidR="00081B7A" w:rsidRPr="00363097" w:rsidRDefault="00634583" w:rsidP="00634583">
      <w:pPr>
        <w:pStyle w:val="ManualNumPar1"/>
        <w:rPr>
          <w:noProof/>
        </w:rPr>
      </w:pPr>
      <w:r w:rsidRPr="00634583">
        <w:t>1.</w:t>
      </w:r>
      <w:r w:rsidRPr="00634583">
        <w:tab/>
      </w:r>
      <w:r w:rsidR="00081B7A" w:rsidRPr="00363097">
        <w:rPr>
          <w:noProof/>
        </w:rPr>
        <w:t xml:space="preserve">Acquisition costs, construction costs or improvement costs, together with the date of entry into use after acquisition, construction or improvement, shall be recorded in a fixed asset register for each fixed asset separately. </w:t>
      </w:r>
    </w:p>
    <w:p w14:paraId="2C73622A" w14:textId="056DF110" w:rsidR="00081B7A" w:rsidRPr="00363097" w:rsidRDefault="00634583" w:rsidP="00634583">
      <w:pPr>
        <w:pStyle w:val="ManualNumPar1"/>
        <w:rPr>
          <w:noProof/>
        </w:rPr>
      </w:pPr>
      <w:r w:rsidRPr="00634583">
        <w:t>2.</w:t>
      </w:r>
      <w:r w:rsidRPr="00634583">
        <w:tab/>
      </w:r>
      <w:r w:rsidR="00081B7A" w:rsidRPr="00363097">
        <w:rPr>
          <w:noProof/>
        </w:rPr>
        <w:t xml:space="preserve">When a fixed asset is disposed of, details of the disposition, including the date thereof, and any proceeds or compensation received as a result of such disposition, shall be recorded in the fixed asset register. </w:t>
      </w:r>
    </w:p>
    <w:p w14:paraId="6189A505" w14:textId="343F8F6C" w:rsidR="00081B7A" w:rsidRPr="00363097" w:rsidRDefault="00634583" w:rsidP="00634583">
      <w:pPr>
        <w:pStyle w:val="ManualNumPar1"/>
        <w:rPr>
          <w:noProof/>
        </w:rPr>
      </w:pPr>
      <w:r w:rsidRPr="00634583">
        <w:t>3.</w:t>
      </w:r>
      <w:r w:rsidRPr="00634583">
        <w:tab/>
      </w:r>
      <w:r w:rsidR="00081B7A" w:rsidRPr="00363097">
        <w:rPr>
          <w:noProof/>
        </w:rPr>
        <w:t xml:space="preserve">The fixed asset register shall be kept in a manner that provides sufficient information, including depreciation data, to calculate the preliminary tax result and shall </w:t>
      </w:r>
      <w:r w:rsidR="004271BE" w:rsidRPr="00363097">
        <w:rPr>
          <w:noProof/>
        </w:rPr>
        <w:t xml:space="preserve">include </w:t>
      </w:r>
      <w:r w:rsidR="00081B7A" w:rsidRPr="00363097">
        <w:rPr>
          <w:noProof/>
        </w:rPr>
        <w:t xml:space="preserve">at least the following information: </w:t>
      </w:r>
    </w:p>
    <w:p w14:paraId="788CA0C2" w14:textId="77777777" w:rsidR="00081B7A" w:rsidRPr="00363097" w:rsidRDefault="00081B7A" w:rsidP="00081B7A">
      <w:pPr>
        <w:pStyle w:val="Point1"/>
        <w:rPr>
          <w:noProof/>
        </w:rPr>
      </w:pPr>
      <w:r w:rsidRPr="00363097">
        <w:rPr>
          <w:noProof/>
        </w:rPr>
        <w:t>(</w:t>
      </w:r>
      <w:r w:rsidR="003D1A22" w:rsidRPr="00363097">
        <w:rPr>
          <w:noProof/>
        </w:rPr>
        <w:t>a</w:t>
      </w:r>
      <w:r w:rsidRPr="00363097">
        <w:rPr>
          <w:noProof/>
        </w:rPr>
        <w:t>)</w:t>
      </w:r>
      <w:r w:rsidRPr="00363097">
        <w:rPr>
          <w:noProof/>
        </w:rPr>
        <w:tab/>
        <w:t xml:space="preserve">identification of the asset; </w:t>
      </w:r>
    </w:p>
    <w:p w14:paraId="46001A8D" w14:textId="77777777" w:rsidR="00081B7A" w:rsidRPr="00363097" w:rsidRDefault="00081B7A" w:rsidP="00081B7A">
      <w:pPr>
        <w:pStyle w:val="Point1"/>
        <w:rPr>
          <w:noProof/>
        </w:rPr>
      </w:pPr>
      <w:r w:rsidRPr="00363097">
        <w:rPr>
          <w:noProof/>
        </w:rPr>
        <w:t>(</w:t>
      </w:r>
      <w:r w:rsidR="003D1A22" w:rsidRPr="00363097">
        <w:rPr>
          <w:noProof/>
        </w:rPr>
        <w:t>b</w:t>
      </w:r>
      <w:r w:rsidRPr="00363097">
        <w:rPr>
          <w:noProof/>
        </w:rPr>
        <w:t>)</w:t>
      </w:r>
      <w:r w:rsidRPr="00363097">
        <w:rPr>
          <w:noProof/>
        </w:rPr>
        <w:tab/>
        <w:t xml:space="preserve">month of entry into use; </w:t>
      </w:r>
    </w:p>
    <w:p w14:paraId="0D07789B" w14:textId="77777777" w:rsidR="00081B7A" w:rsidRPr="00363097" w:rsidRDefault="00081B7A" w:rsidP="00081B7A">
      <w:pPr>
        <w:pStyle w:val="Point1"/>
        <w:rPr>
          <w:rFonts w:eastAsia="Calibri"/>
          <w:noProof/>
        </w:rPr>
      </w:pPr>
      <w:r w:rsidRPr="00363097">
        <w:rPr>
          <w:noProof/>
        </w:rPr>
        <w:t>(</w:t>
      </w:r>
      <w:r w:rsidR="003D1A22" w:rsidRPr="00363097">
        <w:rPr>
          <w:noProof/>
        </w:rPr>
        <w:t>c</w:t>
      </w:r>
      <w:r w:rsidRPr="00363097">
        <w:rPr>
          <w:noProof/>
        </w:rPr>
        <w:t>)</w:t>
      </w:r>
      <w:r w:rsidRPr="00363097">
        <w:rPr>
          <w:noProof/>
        </w:rPr>
        <w:tab/>
        <w:t xml:space="preserve">depreciation base; </w:t>
      </w:r>
    </w:p>
    <w:p w14:paraId="72AA7C91" w14:textId="77777777" w:rsidR="00081B7A" w:rsidRPr="00363097" w:rsidRDefault="00081B7A" w:rsidP="00081B7A">
      <w:pPr>
        <w:pStyle w:val="Point1"/>
        <w:rPr>
          <w:noProof/>
        </w:rPr>
      </w:pPr>
      <w:r w:rsidRPr="00363097">
        <w:rPr>
          <w:noProof/>
        </w:rPr>
        <w:t>(</w:t>
      </w:r>
      <w:r w:rsidR="003D1A22" w:rsidRPr="00363097">
        <w:rPr>
          <w:noProof/>
        </w:rPr>
        <w:t>d</w:t>
      </w:r>
      <w:r w:rsidRPr="00363097">
        <w:rPr>
          <w:noProof/>
        </w:rPr>
        <w:t>)</w:t>
      </w:r>
      <w:r w:rsidRPr="00363097">
        <w:rPr>
          <w:noProof/>
        </w:rPr>
        <w:tab/>
        <w:t xml:space="preserve">useful life in accordance with Article 22; </w:t>
      </w:r>
    </w:p>
    <w:p w14:paraId="1179B19A" w14:textId="77777777" w:rsidR="00081B7A" w:rsidRPr="00363097" w:rsidRDefault="00081B7A" w:rsidP="00081B7A">
      <w:pPr>
        <w:pStyle w:val="Point1"/>
        <w:rPr>
          <w:rFonts w:eastAsia="Calibri"/>
          <w:noProof/>
        </w:rPr>
      </w:pPr>
      <w:r w:rsidRPr="00363097">
        <w:rPr>
          <w:noProof/>
        </w:rPr>
        <w:t>(</w:t>
      </w:r>
      <w:r w:rsidR="003D1A22" w:rsidRPr="00363097">
        <w:rPr>
          <w:noProof/>
        </w:rPr>
        <w:t>e</w:t>
      </w:r>
      <w:r w:rsidRPr="00363097">
        <w:rPr>
          <w:noProof/>
        </w:rPr>
        <w:t>)</w:t>
      </w:r>
      <w:r w:rsidRPr="00363097">
        <w:rPr>
          <w:noProof/>
        </w:rPr>
        <w:tab/>
        <w:t xml:space="preserve">depreciation accumulated during the current tax period; </w:t>
      </w:r>
    </w:p>
    <w:p w14:paraId="049F1C38" w14:textId="77777777" w:rsidR="00081B7A" w:rsidRPr="00363097" w:rsidRDefault="00081B7A" w:rsidP="00081B7A">
      <w:pPr>
        <w:pStyle w:val="Point1"/>
        <w:rPr>
          <w:noProof/>
        </w:rPr>
      </w:pPr>
      <w:r w:rsidRPr="00363097">
        <w:rPr>
          <w:noProof/>
        </w:rPr>
        <w:t>(</w:t>
      </w:r>
      <w:r w:rsidR="003D1A22" w:rsidRPr="00363097">
        <w:rPr>
          <w:noProof/>
        </w:rPr>
        <w:t>f</w:t>
      </w:r>
      <w:r w:rsidRPr="00363097">
        <w:rPr>
          <w:noProof/>
        </w:rPr>
        <w:t>)</w:t>
      </w:r>
      <w:r w:rsidRPr="00363097">
        <w:rPr>
          <w:noProof/>
        </w:rPr>
        <w:tab/>
        <w:t xml:space="preserve">total accumulated depreciation; </w:t>
      </w:r>
    </w:p>
    <w:p w14:paraId="670A3774" w14:textId="77777777" w:rsidR="00081B7A" w:rsidRPr="00363097" w:rsidRDefault="00081B7A" w:rsidP="00081B7A">
      <w:pPr>
        <w:pStyle w:val="Point1"/>
        <w:rPr>
          <w:noProof/>
        </w:rPr>
      </w:pPr>
      <w:r w:rsidRPr="00363097">
        <w:rPr>
          <w:noProof/>
        </w:rPr>
        <w:t>(</w:t>
      </w:r>
      <w:r w:rsidR="003D1A22" w:rsidRPr="00363097">
        <w:rPr>
          <w:noProof/>
        </w:rPr>
        <w:t>g</w:t>
      </w:r>
      <w:r w:rsidRPr="00363097">
        <w:rPr>
          <w:noProof/>
        </w:rPr>
        <w:t>)</w:t>
      </w:r>
      <w:r w:rsidRPr="00363097">
        <w:rPr>
          <w:noProof/>
        </w:rPr>
        <w:tab/>
        <w:t xml:space="preserve">depreciation base net of total accumulated depreciation and net of exceptional decreases in value; </w:t>
      </w:r>
    </w:p>
    <w:p w14:paraId="0DFE564E" w14:textId="77777777" w:rsidR="00081B7A" w:rsidRPr="00363097" w:rsidRDefault="00081B7A" w:rsidP="00081B7A">
      <w:pPr>
        <w:pStyle w:val="Point1"/>
        <w:rPr>
          <w:noProof/>
        </w:rPr>
      </w:pPr>
      <w:r w:rsidRPr="00363097">
        <w:rPr>
          <w:noProof/>
        </w:rPr>
        <w:t>(</w:t>
      </w:r>
      <w:r w:rsidR="003D1A22" w:rsidRPr="00363097">
        <w:rPr>
          <w:noProof/>
        </w:rPr>
        <w:t>h</w:t>
      </w:r>
      <w:r w:rsidRPr="00363097">
        <w:rPr>
          <w:noProof/>
        </w:rPr>
        <w:t>)</w:t>
      </w:r>
      <w:r w:rsidRPr="00363097">
        <w:rPr>
          <w:noProof/>
        </w:rPr>
        <w:tab/>
        <w:t xml:space="preserve">month of discontinuation or resumption of the charging of tax depreciation; </w:t>
      </w:r>
    </w:p>
    <w:p w14:paraId="714196CB" w14:textId="77777777" w:rsidR="00081B7A" w:rsidRPr="00363097" w:rsidRDefault="00081B7A" w:rsidP="00081B7A">
      <w:pPr>
        <w:pStyle w:val="Point1"/>
        <w:rPr>
          <w:noProof/>
        </w:rPr>
      </w:pPr>
      <w:r w:rsidRPr="00363097">
        <w:rPr>
          <w:noProof/>
        </w:rPr>
        <w:t>(</w:t>
      </w:r>
      <w:r w:rsidR="003D1A22" w:rsidRPr="00363097">
        <w:rPr>
          <w:noProof/>
        </w:rPr>
        <w:t>i</w:t>
      </w:r>
      <w:r w:rsidRPr="00363097">
        <w:rPr>
          <w:noProof/>
        </w:rPr>
        <w:t>)</w:t>
      </w:r>
      <w:r w:rsidRPr="00363097">
        <w:rPr>
          <w:noProof/>
        </w:rPr>
        <w:tab/>
        <w:t>month of disposition.</w:t>
      </w:r>
    </w:p>
    <w:p w14:paraId="7C42ED3E" w14:textId="77777777" w:rsidR="00081B7A" w:rsidRPr="00363097" w:rsidRDefault="00081B7A" w:rsidP="006B487B">
      <w:pPr>
        <w:pStyle w:val="Titrearticle2"/>
        <w:rPr>
          <w:b/>
          <w:bCs/>
          <w:noProof/>
        </w:rPr>
      </w:pPr>
      <w:r w:rsidRPr="00363097">
        <w:rPr>
          <w:iCs/>
          <w:noProof/>
          <w:szCs w:val="24"/>
        </w:rPr>
        <w:t>Article 26</w:t>
      </w:r>
      <w:r w:rsidRPr="00363097">
        <w:rPr>
          <w:iCs/>
          <w:noProof/>
          <w:szCs w:val="24"/>
        </w:rPr>
        <w:br/>
      </w:r>
      <w:r w:rsidRPr="00363097">
        <w:rPr>
          <w:b/>
          <w:bCs/>
          <w:noProof/>
        </w:rPr>
        <w:t>Depreciation of improvement costs</w:t>
      </w:r>
    </w:p>
    <w:p w14:paraId="2E945B56" w14:textId="1304A521" w:rsidR="00081B7A" w:rsidRPr="00363097" w:rsidRDefault="00634583" w:rsidP="00634583">
      <w:pPr>
        <w:pStyle w:val="ManualNumPar1"/>
        <w:rPr>
          <w:rFonts w:eastAsia="Calibri"/>
          <w:noProof/>
          <w:szCs w:val="24"/>
        </w:rPr>
      </w:pPr>
      <w:r w:rsidRPr="00634583">
        <w:t>1.</w:t>
      </w:r>
      <w:r w:rsidRPr="00634583">
        <w:tab/>
      </w:r>
      <w:r w:rsidR="00081B7A" w:rsidRPr="00363097">
        <w:rPr>
          <w:noProof/>
        </w:rPr>
        <w:t xml:space="preserve">Improvement costs shall be depreciated in accordance with the rules applicable to the fixed asset which has been improved as if they related to a newly acquired fixed asset, including its useful life in accordance with Article 22(2). </w:t>
      </w:r>
    </w:p>
    <w:p w14:paraId="0C80B6CE" w14:textId="77777777" w:rsidR="00081B7A" w:rsidRPr="00363097" w:rsidRDefault="00081B7A" w:rsidP="00081B7A">
      <w:pPr>
        <w:pStyle w:val="Text1"/>
        <w:rPr>
          <w:noProof/>
        </w:rPr>
      </w:pPr>
      <w:r w:rsidRPr="00363097">
        <w:rPr>
          <w:noProof/>
        </w:rPr>
        <w:t xml:space="preserve">Notwithstanding the first subparagraph, improvement costs relating to fixed assets that are rented shall be depreciated in accordance with Article </w:t>
      </w:r>
      <w:r w:rsidR="00387AB2" w:rsidRPr="00363097">
        <w:rPr>
          <w:noProof/>
        </w:rPr>
        <w:t xml:space="preserve">22(3) and </w:t>
      </w:r>
      <w:r w:rsidRPr="00363097">
        <w:rPr>
          <w:noProof/>
        </w:rPr>
        <w:t xml:space="preserve">23. </w:t>
      </w:r>
    </w:p>
    <w:p w14:paraId="40F1B808" w14:textId="2041AFDE" w:rsidR="00081B7A" w:rsidRPr="00363097" w:rsidRDefault="00634583" w:rsidP="00634583">
      <w:pPr>
        <w:pStyle w:val="ManualNumPar1"/>
        <w:rPr>
          <w:noProof/>
        </w:rPr>
      </w:pPr>
      <w:r w:rsidRPr="00634583">
        <w:t>2.</w:t>
      </w:r>
      <w:r w:rsidRPr="00634583">
        <w:tab/>
      </w:r>
      <w:r w:rsidR="00081B7A" w:rsidRPr="00363097">
        <w:rPr>
          <w:noProof/>
        </w:rPr>
        <w:t>Where the taxpayer demonstrates that the estimated remaining useful life of a depreciable fixed asset is shorter than the useful life of the asset specified in Article 22</w:t>
      </w:r>
      <w:r w:rsidR="003D1A22" w:rsidRPr="00363097">
        <w:rPr>
          <w:noProof/>
        </w:rPr>
        <w:t>(</w:t>
      </w:r>
      <w:r w:rsidR="00081B7A" w:rsidRPr="00363097">
        <w:rPr>
          <w:noProof/>
        </w:rPr>
        <w:t>2</w:t>
      </w:r>
      <w:r w:rsidR="003D1A22" w:rsidRPr="00363097">
        <w:rPr>
          <w:noProof/>
        </w:rPr>
        <w:t>)</w:t>
      </w:r>
      <w:r w:rsidR="00081B7A" w:rsidRPr="00363097">
        <w:rPr>
          <w:noProof/>
        </w:rPr>
        <w:t xml:space="preserve">, improvement costs for that asset shall be depreciated over that shorter period. </w:t>
      </w:r>
    </w:p>
    <w:p w14:paraId="142DD16B" w14:textId="77777777" w:rsidR="00081B7A" w:rsidRPr="00363097" w:rsidRDefault="00081B7A" w:rsidP="006B487B">
      <w:pPr>
        <w:pStyle w:val="Titrearticle2"/>
        <w:rPr>
          <w:b/>
          <w:bCs/>
          <w:noProof/>
        </w:rPr>
      </w:pPr>
      <w:r w:rsidRPr="00363097">
        <w:rPr>
          <w:iCs/>
          <w:noProof/>
        </w:rPr>
        <w:t>Article 27</w:t>
      </w:r>
      <w:r w:rsidRPr="00363097">
        <w:rPr>
          <w:iCs/>
          <w:noProof/>
        </w:rPr>
        <w:br/>
      </w:r>
      <w:r w:rsidRPr="00363097">
        <w:rPr>
          <w:b/>
          <w:bCs/>
          <w:noProof/>
        </w:rPr>
        <w:t>Assets not subject to depreciation</w:t>
      </w:r>
    </w:p>
    <w:p w14:paraId="3CC7A66D" w14:textId="77777777" w:rsidR="00081B7A" w:rsidRPr="00363097" w:rsidRDefault="00081B7A" w:rsidP="00081B7A">
      <w:pPr>
        <w:spacing w:before="0" w:after="200" w:line="276" w:lineRule="auto"/>
        <w:rPr>
          <w:noProof/>
        </w:rPr>
      </w:pPr>
      <w:r w:rsidRPr="00363097">
        <w:rPr>
          <w:noProof/>
        </w:rPr>
        <w:t xml:space="preserve">The following assets shall not be subject to depreciation: </w:t>
      </w:r>
    </w:p>
    <w:p w14:paraId="5248720C" w14:textId="77777777" w:rsidR="00081B7A" w:rsidRPr="00363097" w:rsidRDefault="00081B7A" w:rsidP="00081B7A">
      <w:pPr>
        <w:pStyle w:val="Point0"/>
        <w:rPr>
          <w:rFonts w:eastAsia="Calibri"/>
          <w:noProof/>
          <w:szCs w:val="24"/>
        </w:rPr>
      </w:pPr>
      <w:r w:rsidRPr="00363097">
        <w:rPr>
          <w:noProof/>
        </w:rPr>
        <w:t>(</w:t>
      </w:r>
      <w:r w:rsidR="003D1A22" w:rsidRPr="00363097">
        <w:rPr>
          <w:noProof/>
        </w:rPr>
        <w:t>a</w:t>
      </w:r>
      <w:r w:rsidRPr="00363097">
        <w:rPr>
          <w:noProof/>
        </w:rPr>
        <w:t>)</w:t>
      </w:r>
      <w:r w:rsidRPr="00363097">
        <w:rPr>
          <w:noProof/>
        </w:rPr>
        <w:tab/>
        <w:t xml:space="preserve">fixed tangible assets not subject to wear and tear and obsolescence such as land, fine art, antiques, or jewellery; </w:t>
      </w:r>
    </w:p>
    <w:p w14:paraId="404C1704" w14:textId="77777777" w:rsidR="00081B7A" w:rsidRPr="00363097" w:rsidRDefault="00081B7A" w:rsidP="00081B7A">
      <w:pPr>
        <w:pStyle w:val="Point0"/>
        <w:rPr>
          <w:noProof/>
        </w:rPr>
      </w:pPr>
      <w:r w:rsidRPr="00363097">
        <w:rPr>
          <w:noProof/>
        </w:rPr>
        <w:t>(</w:t>
      </w:r>
      <w:r w:rsidR="003D1A22" w:rsidRPr="00363097">
        <w:rPr>
          <w:noProof/>
        </w:rPr>
        <w:t>b</w:t>
      </w:r>
      <w:r w:rsidRPr="00363097">
        <w:rPr>
          <w:noProof/>
        </w:rPr>
        <w:t>)</w:t>
      </w:r>
      <w:r w:rsidRPr="00363097">
        <w:rPr>
          <w:noProof/>
        </w:rPr>
        <w:tab/>
        <w:t xml:space="preserve">financial assets. </w:t>
      </w:r>
    </w:p>
    <w:p w14:paraId="421BDA6E" w14:textId="77777777" w:rsidR="00081B7A" w:rsidRPr="00363097" w:rsidRDefault="00081B7A" w:rsidP="006B487B">
      <w:pPr>
        <w:pStyle w:val="Titrearticle2"/>
        <w:rPr>
          <w:b/>
          <w:bCs/>
          <w:noProof/>
        </w:rPr>
      </w:pPr>
      <w:r w:rsidRPr="00363097">
        <w:rPr>
          <w:iCs/>
          <w:noProof/>
        </w:rPr>
        <w:t>Article 28</w:t>
      </w:r>
      <w:r w:rsidRPr="00363097">
        <w:rPr>
          <w:iCs/>
          <w:noProof/>
        </w:rPr>
        <w:br/>
      </w:r>
      <w:r w:rsidRPr="00363097">
        <w:rPr>
          <w:b/>
          <w:bCs/>
          <w:noProof/>
        </w:rPr>
        <w:t>Exceptional decrease in value</w:t>
      </w:r>
    </w:p>
    <w:p w14:paraId="41978FF8" w14:textId="484F2B6C" w:rsidR="00081B7A" w:rsidRPr="00363097" w:rsidRDefault="00634583" w:rsidP="00634583">
      <w:pPr>
        <w:pStyle w:val="ManualNumPar1"/>
        <w:rPr>
          <w:noProof/>
        </w:rPr>
      </w:pPr>
      <w:r w:rsidRPr="00634583">
        <w:t>1.</w:t>
      </w:r>
      <w:r w:rsidRPr="00634583">
        <w:tab/>
      </w:r>
      <w:r w:rsidR="00081B7A" w:rsidRPr="00363097">
        <w:rPr>
          <w:noProof/>
        </w:rPr>
        <w:t>A BEFIT group member who demonstrates that a fixed tangible asset not subject to depreciation, as referred to in Article 27, point (</w:t>
      </w:r>
      <w:r w:rsidR="003D1A22" w:rsidRPr="00363097">
        <w:rPr>
          <w:noProof/>
        </w:rPr>
        <w:t>a</w:t>
      </w:r>
      <w:r w:rsidR="00081B7A" w:rsidRPr="00363097">
        <w:rPr>
          <w:noProof/>
        </w:rPr>
        <w:t xml:space="preserve">), has decreased in value at the end of a fiscal year due to force majeure or criminal activities by third parties may deduct from the preliminary tax result an amount equal to that decrease in value. </w:t>
      </w:r>
    </w:p>
    <w:p w14:paraId="6E7AE70C" w14:textId="55C02B6F" w:rsidR="00081B7A" w:rsidRPr="00363097" w:rsidRDefault="00634583" w:rsidP="00634583">
      <w:pPr>
        <w:pStyle w:val="ManualNumPar1"/>
        <w:rPr>
          <w:noProof/>
        </w:rPr>
      </w:pPr>
      <w:r w:rsidRPr="00634583">
        <w:t>2.</w:t>
      </w:r>
      <w:r w:rsidRPr="00634583">
        <w:tab/>
      </w:r>
      <w:r w:rsidR="00081B7A" w:rsidRPr="00363097">
        <w:rPr>
          <w:noProof/>
        </w:rPr>
        <w:t xml:space="preserve">Where the value of an asset that, in a preceding fiscal year has been subject to depreciation as referred to in paragraph 1 subsequently increases, an amount equivalent to that increase shall be added to the preliminary tax result in the year in which that increase takes place. </w:t>
      </w:r>
    </w:p>
    <w:p w14:paraId="7BFE9BE9" w14:textId="77777777" w:rsidR="00081B7A" w:rsidRPr="00363097" w:rsidRDefault="00081B7A" w:rsidP="00081B7A">
      <w:pPr>
        <w:pStyle w:val="Text1"/>
        <w:rPr>
          <w:noProof/>
        </w:rPr>
      </w:pPr>
      <w:r w:rsidRPr="00363097">
        <w:rPr>
          <w:noProof/>
        </w:rPr>
        <w:t xml:space="preserve">However, any such additions, taken together, shall not exceed the amount of the deduction originally granted. </w:t>
      </w:r>
    </w:p>
    <w:p w14:paraId="71B030DA" w14:textId="77777777" w:rsidR="00081B7A" w:rsidRPr="00363097" w:rsidRDefault="00081B7A" w:rsidP="00081B7A">
      <w:pPr>
        <w:pStyle w:val="SectionTitle"/>
        <w:rPr>
          <w:noProof/>
          <w:lang w:val="en-IE"/>
        </w:rPr>
      </w:pPr>
      <w:r w:rsidRPr="00363097">
        <w:rPr>
          <w:noProof/>
          <w:lang w:val="en-IE"/>
        </w:rPr>
        <w:t xml:space="preserve">Section </w:t>
      </w:r>
      <w:r w:rsidR="009F2793" w:rsidRPr="00363097">
        <w:rPr>
          <w:noProof/>
          <w:lang w:val="en-IE"/>
        </w:rPr>
        <w:t>4</w:t>
      </w:r>
      <w:r w:rsidRPr="00363097">
        <w:rPr>
          <w:noProof/>
          <w:lang w:val="en-IE"/>
        </w:rPr>
        <w:br/>
        <w:t>Timing and Quantification Rules</w:t>
      </w:r>
    </w:p>
    <w:p w14:paraId="0F4F1B1A" w14:textId="77777777" w:rsidR="00773D0E" w:rsidRPr="00F7472D" w:rsidRDefault="00081B7A" w:rsidP="006B487B">
      <w:pPr>
        <w:pStyle w:val="Titrearticle2"/>
        <w:rPr>
          <w:b/>
          <w:bCs/>
          <w:noProof/>
        </w:rPr>
      </w:pPr>
      <w:r w:rsidRPr="00363097">
        <w:rPr>
          <w:noProof/>
          <w:lang w:val="en-IE"/>
        </w:rPr>
        <w:t>Article 29</w:t>
      </w:r>
      <w:r w:rsidRPr="00363097">
        <w:rPr>
          <w:iCs/>
          <w:noProof/>
          <w:lang w:val="en-IE"/>
        </w:rPr>
        <w:br/>
      </w:r>
      <w:r w:rsidRPr="00F7472D">
        <w:rPr>
          <w:b/>
          <w:bCs/>
          <w:noProof/>
        </w:rPr>
        <w:t>Stocks and work-in-progress</w:t>
      </w:r>
    </w:p>
    <w:p w14:paraId="68CF6A51" w14:textId="410E1ECB" w:rsidR="000D0733" w:rsidRPr="00F7472D" w:rsidRDefault="00634583" w:rsidP="00634583">
      <w:pPr>
        <w:pStyle w:val="ManualNumPar1"/>
        <w:rPr>
          <w:noProof/>
          <w:lang w:val="en-IE"/>
        </w:rPr>
      </w:pPr>
      <w:r w:rsidRPr="00634583">
        <w:t>1.</w:t>
      </w:r>
      <w:r w:rsidRPr="00634583">
        <w:tab/>
      </w:r>
      <w:r w:rsidR="00773D0E" w:rsidRPr="00F7472D">
        <w:rPr>
          <w:noProof/>
          <w:lang w:val="en-IE"/>
        </w:rPr>
        <w:t xml:space="preserve">The financial accounting net income or loss of a BEFIT group member shall be adjusted </w:t>
      </w:r>
      <w:r w:rsidR="007A03A6">
        <w:rPr>
          <w:noProof/>
          <w:lang w:val="en-IE"/>
        </w:rPr>
        <w:t>by</w:t>
      </w:r>
      <w:r w:rsidR="00773D0E" w:rsidRPr="00F7472D">
        <w:rPr>
          <w:noProof/>
          <w:lang w:val="en-IE"/>
        </w:rPr>
        <w:t xml:space="preserve"> the difference between the value of stocks and work-in-progress at the beginning and the end of the fiscal year, with the exception of stocks and work-in-progress relating to long</w:t>
      </w:r>
      <w:r w:rsidR="00F67EB1" w:rsidRPr="00F7472D">
        <w:rPr>
          <w:noProof/>
          <w:lang w:val="en-IE"/>
        </w:rPr>
        <w:t xml:space="preserve"> term contracts as defined in Article 32.</w:t>
      </w:r>
      <w:r w:rsidR="00773D0E" w:rsidRPr="00F7472D">
        <w:rPr>
          <w:noProof/>
          <w:lang w:val="en-IE"/>
        </w:rPr>
        <w:t xml:space="preserve"> </w:t>
      </w:r>
    </w:p>
    <w:p w14:paraId="782E9644" w14:textId="60B95566"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The costs of stocks and work-in-progress shall be measured consistently by using the first-in first-out method or the weighted-average cost method. </w:t>
      </w:r>
    </w:p>
    <w:p w14:paraId="2E479DAC" w14:textId="531827BD"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The cost of stocks and work-in-progress involving items that ordinarily are not interchangeable and goods or services which are produced or supplied respectively and segregated for specific projects shall be measured individually. </w:t>
      </w:r>
    </w:p>
    <w:p w14:paraId="0C78A9C7" w14:textId="6B5265CC" w:rsidR="00081B7A" w:rsidRPr="00363097" w:rsidRDefault="00634583" w:rsidP="00634583">
      <w:pPr>
        <w:pStyle w:val="ManualNumPar1"/>
        <w:rPr>
          <w:noProof/>
          <w:lang w:val="en-IE"/>
        </w:rPr>
      </w:pPr>
      <w:r w:rsidRPr="00634583">
        <w:t>4.</w:t>
      </w:r>
      <w:r w:rsidRPr="00634583">
        <w:tab/>
      </w:r>
      <w:r w:rsidR="00081B7A" w:rsidRPr="00363097">
        <w:rPr>
          <w:noProof/>
          <w:lang w:val="en-IE"/>
        </w:rPr>
        <w:t xml:space="preserve">A BEFIT group member shall use the same method for the valuation of stocks and work-in-progress that have a similar nature and use. </w:t>
      </w:r>
    </w:p>
    <w:p w14:paraId="0C15E60D" w14:textId="0E298EA7" w:rsidR="00081B7A" w:rsidRPr="00363097" w:rsidRDefault="00634583" w:rsidP="00634583">
      <w:pPr>
        <w:pStyle w:val="ManualNumPar1"/>
        <w:rPr>
          <w:noProof/>
          <w:lang w:val="en-IE"/>
        </w:rPr>
      </w:pPr>
      <w:r w:rsidRPr="00634583">
        <w:t>5.</w:t>
      </w:r>
      <w:r w:rsidRPr="00634583">
        <w:tab/>
      </w:r>
      <w:r w:rsidR="00081B7A" w:rsidRPr="00363097">
        <w:rPr>
          <w:noProof/>
          <w:lang w:val="en-IE"/>
        </w:rPr>
        <w:t xml:space="preserve">The cost of stocks and work-in-progress shall comprise all costs of purchase, direct costs of conversion and other direct costs incurred in bringing them to the location and condition in which they are found in the relevant fiscal year. Costs shall be net of deductible value added tax. </w:t>
      </w:r>
    </w:p>
    <w:p w14:paraId="3F274163" w14:textId="24B350A5" w:rsidR="00081B7A" w:rsidRPr="00363097" w:rsidRDefault="00634583" w:rsidP="00634583">
      <w:pPr>
        <w:pStyle w:val="ManualNumPar1"/>
        <w:rPr>
          <w:noProof/>
          <w:lang w:val="en-IE"/>
        </w:rPr>
      </w:pPr>
      <w:r w:rsidRPr="00634583">
        <w:t>6.</w:t>
      </w:r>
      <w:r w:rsidRPr="00634583">
        <w:tab/>
      </w:r>
      <w:r w:rsidR="00081B7A" w:rsidRPr="00363097">
        <w:rPr>
          <w:noProof/>
          <w:lang w:val="en-IE"/>
        </w:rPr>
        <w:t>Stocks and work-in-progress shall be valued on the last day of the fiscal year at the lower of cost and net realisable value. The net realisable value is the estimated selling price in the ordinary course of business, less the estimated costs of completion and the estimated costs necessary to make the sale.</w:t>
      </w:r>
    </w:p>
    <w:p w14:paraId="60044370" w14:textId="77777777" w:rsidR="00081B7A" w:rsidRPr="00363097" w:rsidRDefault="00081B7A" w:rsidP="006B487B">
      <w:pPr>
        <w:pStyle w:val="Titrearticle2"/>
        <w:rPr>
          <w:noProof/>
        </w:rPr>
      </w:pPr>
      <w:r w:rsidRPr="00363097">
        <w:rPr>
          <w:noProof/>
          <w:szCs w:val="24"/>
          <w:lang w:val="en-IE"/>
        </w:rPr>
        <w:t>Article 30</w:t>
      </w:r>
      <w:r w:rsidRPr="00363097">
        <w:rPr>
          <w:noProof/>
          <w:szCs w:val="24"/>
          <w:lang w:val="en-IE"/>
        </w:rPr>
        <w:br/>
      </w:r>
      <w:r w:rsidRPr="00363097">
        <w:rPr>
          <w:b/>
          <w:bCs/>
          <w:noProof/>
        </w:rPr>
        <w:t>Provisions</w:t>
      </w:r>
    </w:p>
    <w:p w14:paraId="1E9BFCAD" w14:textId="6295B7A6" w:rsidR="00081B7A" w:rsidRPr="00363097" w:rsidRDefault="00634583" w:rsidP="00634583">
      <w:pPr>
        <w:pStyle w:val="ManualNumPar1"/>
        <w:rPr>
          <w:rFonts w:eastAsia="Calibri"/>
          <w:noProof/>
        </w:rPr>
      </w:pPr>
      <w:r w:rsidRPr="00634583">
        <w:t>1.</w:t>
      </w:r>
      <w:r w:rsidRPr="00634583">
        <w:tab/>
      </w:r>
      <w:r w:rsidR="00081B7A">
        <w:rPr>
          <w:noProof/>
        </w:rPr>
        <w:t xml:space="preserve">The financial accounting net income or loss of a BEFIT group member shall be adjusted to </w:t>
      </w:r>
      <w:r w:rsidR="2BC7B46E">
        <w:rPr>
          <w:noProof/>
        </w:rPr>
        <w:t>d</w:t>
      </w:r>
      <w:r w:rsidR="00847C4D">
        <w:rPr>
          <w:noProof/>
        </w:rPr>
        <w:t xml:space="preserve">isallow </w:t>
      </w:r>
      <w:r w:rsidR="00311FDE">
        <w:rPr>
          <w:noProof/>
        </w:rPr>
        <w:t xml:space="preserve">the amount of </w:t>
      </w:r>
      <w:r w:rsidR="00311FDE" w:rsidRPr="10935270">
        <w:rPr>
          <w:noProof/>
          <w:lang w:val="en-IE"/>
        </w:rPr>
        <w:t>any</w:t>
      </w:r>
      <w:r w:rsidR="000D0733" w:rsidRPr="10935270">
        <w:rPr>
          <w:noProof/>
          <w:lang w:val="en-IE"/>
        </w:rPr>
        <w:t xml:space="preserve"> </w:t>
      </w:r>
      <w:r w:rsidR="00081B7A" w:rsidRPr="10935270">
        <w:rPr>
          <w:noProof/>
          <w:lang w:val="en-IE"/>
        </w:rPr>
        <w:t>provision</w:t>
      </w:r>
      <w:r w:rsidR="00081B7A">
        <w:rPr>
          <w:noProof/>
        </w:rPr>
        <w:t xml:space="preserve">. </w:t>
      </w:r>
    </w:p>
    <w:p w14:paraId="61393C48" w14:textId="0F62F676" w:rsidR="00081B7A" w:rsidRPr="00363097" w:rsidRDefault="00634583" w:rsidP="00634583">
      <w:pPr>
        <w:pStyle w:val="ManualNumPar1"/>
        <w:rPr>
          <w:noProof/>
        </w:rPr>
      </w:pPr>
      <w:r w:rsidRPr="00634583">
        <w:t>2.</w:t>
      </w:r>
      <w:r w:rsidRPr="00634583">
        <w:tab/>
      </w:r>
      <w:r w:rsidR="00081B7A">
        <w:rPr>
          <w:noProof/>
        </w:rPr>
        <w:t>By way of derogation from the paragraph</w:t>
      </w:r>
      <w:r w:rsidR="005D2CD9">
        <w:rPr>
          <w:noProof/>
        </w:rPr>
        <w:t xml:space="preserve"> 1</w:t>
      </w:r>
      <w:r w:rsidR="00081B7A">
        <w:rPr>
          <w:noProof/>
        </w:rPr>
        <w:t xml:space="preserve">, the amount of a provision shall </w:t>
      </w:r>
      <w:r w:rsidR="0038031B">
        <w:rPr>
          <w:noProof/>
        </w:rPr>
        <w:t xml:space="preserve">be </w:t>
      </w:r>
      <w:r w:rsidR="00847C4D">
        <w:rPr>
          <w:noProof/>
        </w:rPr>
        <w:t>allowed</w:t>
      </w:r>
      <w:r w:rsidR="00081B7A">
        <w:rPr>
          <w:noProof/>
        </w:rPr>
        <w:t xml:space="preserve"> where, at the end of the fiscal year, the following conditions are met: </w:t>
      </w:r>
    </w:p>
    <w:p w14:paraId="6BCA8247" w14:textId="77777777" w:rsidR="00081B7A" w:rsidRPr="00363097" w:rsidRDefault="00081B7A" w:rsidP="00081B7A">
      <w:pPr>
        <w:pStyle w:val="Point1"/>
        <w:rPr>
          <w:rFonts w:eastAsia="Calibri"/>
          <w:noProof/>
        </w:rPr>
      </w:pPr>
      <w:r w:rsidRPr="00363097">
        <w:rPr>
          <w:noProof/>
        </w:rPr>
        <w:t>(</w:t>
      </w:r>
      <w:r w:rsidR="005E45DB" w:rsidRPr="00363097">
        <w:rPr>
          <w:noProof/>
        </w:rPr>
        <w:t>a</w:t>
      </w:r>
      <w:r w:rsidRPr="00363097">
        <w:rPr>
          <w:noProof/>
        </w:rPr>
        <w:t>)</w:t>
      </w:r>
      <w:r w:rsidRPr="00363097">
        <w:rPr>
          <w:noProof/>
        </w:rPr>
        <w:tab/>
        <w:t xml:space="preserve">the BEFIT group member has a legal or reasonably expected legal obligation; </w:t>
      </w:r>
    </w:p>
    <w:p w14:paraId="52F4BBC1" w14:textId="77777777" w:rsidR="00081B7A" w:rsidRPr="00363097" w:rsidRDefault="00081B7A" w:rsidP="00081B7A">
      <w:pPr>
        <w:pStyle w:val="Point1"/>
        <w:rPr>
          <w:noProof/>
        </w:rPr>
      </w:pPr>
      <w:r w:rsidRPr="00363097">
        <w:rPr>
          <w:noProof/>
        </w:rPr>
        <w:t>(</w:t>
      </w:r>
      <w:r w:rsidR="005E45DB" w:rsidRPr="00363097">
        <w:rPr>
          <w:noProof/>
        </w:rPr>
        <w:t>b</w:t>
      </w:r>
      <w:r w:rsidRPr="00363097">
        <w:rPr>
          <w:noProof/>
        </w:rPr>
        <w:t>)</w:t>
      </w:r>
      <w:r w:rsidRPr="00363097">
        <w:rPr>
          <w:noProof/>
        </w:rPr>
        <w:tab/>
        <w:t xml:space="preserve">such an obligation arises from activities or transactions carried out in that fiscal year or in previous fiscal years; </w:t>
      </w:r>
    </w:p>
    <w:p w14:paraId="11D3AC90" w14:textId="77777777" w:rsidR="0018022B" w:rsidRPr="00363097" w:rsidRDefault="00081B7A" w:rsidP="00081B7A">
      <w:pPr>
        <w:pStyle w:val="Point1"/>
        <w:rPr>
          <w:noProof/>
        </w:rPr>
      </w:pPr>
      <w:r w:rsidRPr="00363097">
        <w:rPr>
          <w:noProof/>
        </w:rPr>
        <w:t>(</w:t>
      </w:r>
      <w:r w:rsidR="005E45DB" w:rsidRPr="00363097">
        <w:rPr>
          <w:noProof/>
        </w:rPr>
        <w:t>c</w:t>
      </w:r>
      <w:r w:rsidRPr="00363097">
        <w:rPr>
          <w:noProof/>
        </w:rPr>
        <w:t>)</w:t>
      </w:r>
      <w:r w:rsidRPr="00363097">
        <w:rPr>
          <w:noProof/>
        </w:rPr>
        <w:tab/>
        <w:t xml:space="preserve">the amount of provision arising from such an obligation can be reliably estimated; </w:t>
      </w:r>
    </w:p>
    <w:p w14:paraId="008FD4CD" w14:textId="77777777" w:rsidR="00081B7A" w:rsidRPr="00363097" w:rsidRDefault="00081B7A" w:rsidP="00081B7A">
      <w:pPr>
        <w:pStyle w:val="Point1"/>
        <w:rPr>
          <w:noProof/>
        </w:rPr>
      </w:pPr>
      <w:r w:rsidRPr="00363097">
        <w:rPr>
          <w:noProof/>
        </w:rPr>
        <w:t>(</w:t>
      </w:r>
      <w:r w:rsidR="005E45DB" w:rsidRPr="00363097">
        <w:rPr>
          <w:noProof/>
        </w:rPr>
        <w:t>d</w:t>
      </w:r>
      <w:r w:rsidRPr="00363097">
        <w:rPr>
          <w:noProof/>
        </w:rPr>
        <w:t>)</w:t>
      </w:r>
      <w:r w:rsidR="005E45DB" w:rsidRPr="00363097">
        <w:rPr>
          <w:noProof/>
        </w:rPr>
        <w:tab/>
      </w:r>
      <w:r w:rsidRPr="00363097">
        <w:rPr>
          <w:noProof/>
        </w:rPr>
        <w:t xml:space="preserve">the </w:t>
      </w:r>
      <w:r w:rsidR="00F20323" w:rsidRPr="00363097">
        <w:rPr>
          <w:noProof/>
        </w:rPr>
        <w:t>amount</w:t>
      </w:r>
      <w:r w:rsidR="008B14C4" w:rsidRPr="00363097">
        <w:rPr>
          <w:noProof/>
        </w:rPr>
        <w:t xml:space="preserve"> </w:t>
      </w:r>
      <w:r w:rsidRPr="00363097">
        <w:rPr>
          <w:noProof/>
        </w:rPr>
        <w:t xml:space="preserve">will result, when settled, in an expense which is deductible under this directive. </w:t>
      </w:r>
    </w:p>
    <w:p w14:paraId="28E370B3" w14:textId="533A8045" w:rsidR="00DD3968" w:rsidRPr="00363097" w:rsidRDefault="00DD3968" w:rsidP="00DD1873">
      <w:pPr>
        <w:pStyle w:val="Text1"/>
        <w:rPr>
          <w:noProof/>
        </w:rPr>
      </w:pPr>
      <w:r w:rsidRPr="00363097">
        <w:rPr>
          <w:noProof/>
        </w:rPr>
        <w:t xml:space="preserve">Notwithstanding the first subparagraph, the financial accounting net income or loss of a BEFIT group member shall always be adjusted to </w:t>
      </w:r>
      <w:r w:rsidR="002C3945">
        <w:rPr>
          <w:noProof/>
        </w:rPr>
        <w:t>disallow</w:t>
      </w:r>
      <w:r w:rsidRPr="00363097">
        <w:rPr>
          <w:noProof/>
        </w:rPr>
        <w:t xml:space="preserve"> the amount of any provision that was recorded regarding contingent losses or future cost increases. </w:t>
      </w:r>
    </w:p>
    <w:p w14:paraId="38674DA8" w14:textId="17D632AE" w:rsidR="00081B7A" w:rsidRPr="00363097" w:rsidRDefault="00634583" w:rsidP="00634583">
      <w:pPr>
        <w:pStyle w:val="ManualNumPar1"/>
        <w:rPr>
          <w:rFonts w:eastAsia="Calibri"/>
          <w:noProof/>
          <w:szCs w:val="24"/>
        </w:rPr>
      </w:pPr>
      <w:r w:rsidRPr="00634583">
        <w:t>3.</w:t>
      </w:r>
      <w:r w:rsidRPr="00634583">
        <w:tab/>
      </w:r>
      <w:r w:rsidR="00081B7A" w:rsidRPr="00363097">
        <w:rPr>
          <w:noProof/>
        </w:rPr>
        <w:t>Where the obligation referred to in paragraph 1</w:t>
      </w:r>
      <w:r w:rsidR="00A6762C" w:rsidRPr="00363097">
        <w:rPr>
          <w:noProof/>
        </w:rPr>
        <w:t>,</w:t>
      </w:r>
      <w:r w:rsidR="00081B7A" w:rsidRPr="00363097">
        <w:rPr>
          <w:noProof/>
        </w:rPr>
        <w:t xml:space="preserve"> </w:t>
      </w:r>
      <w:r w:rsidR="00A6762C" w:rsidRPr="00363097">
        <w:rPr>
          <w:noProof/>
        </w:rPr>
        <w:t xml:space="preserve">second subparagraph, </w:t>
      </w:r>
      <w:r w:rsidR="00B46F1A" w:rsidRPr="00363097">
        <w:rPr>
          <w:noProof/>
        </w:rPr>
        <w:t>point (a),</w:t>
      </w:r>
      <w:r w:rsidR="00081B7A" w:rsidRPr="00363097">
        <w:rPr>
          <w:noProof/>
        </w:rPr>
        <w:t xml:space="preserve"> relates to an activity or transaction which will continue over future fiscal years, the amount of the provision shall be </w:t>
      </w:r>
      <w:r w:rsidR="00F20323" w:rsidRPr="00363097">
        <w:rPr>
          <w:noProof/>
        </w:rPr>
        <w:t>spread</w:t>
      </w:r>
      <w:r w:rsidR="00451606" w:rsidRPr="00363097">
        <w:rPr>
          <w:noProof/>
        </w:rPr>
        <w:t xml:space="preserve"> </w:t>
      </w:r>
      <w:r w:rsidR="00081B7A" w:rsidRPr="00363097">
        <w:rPr>
          <w:noProof/>
        </w:rPr>
        <w:t xml:space="preserve">proportionately over the estimated duration of the activity or transaction. </w:t>
      </w:r>
    </w:p>
    <w:p w14:paraId="6E1B0813" w14:textId="77777777" w:rsidR="00081B7A" w:rsidRPr="00363097" w:rsidRDefault="00081B7A" w:rsidP="00363097">
      <w:pPr>
        <w:pStyle w:val="Text1"/>
        <w:rPr>
          <w:noProof/>
        </w:rPr>
      </w:pPr>
      <w:r w:rsidRPr="00363097">
        <w:rPr>
          <w:noProof/>
        </w:rPr>
        <w:t xml:space="preserve">Provisions under this Article shall be reviewed and adjusted at the end of every fiscal year. In calculating the preliminary tax result in future fiscal years, account shall be taken of amounts that have already been deducted pursuant to this Article. </w:t>
      </w:r>
    </w:p>
    <w:p w14:paraId="1E11A190" w14:textId="77777777" w:rsidR="00081B7A" w:rsidRPr="00363097" w:rsidRDefault="00081B7A" w:rsidP="006B487B">
      <w:pPr>
        <w:pStyle w:val="Titrearticle2"/>
        <w:rPr>
          <w:b/>
          <w:bCs/>
          <w:noProof/>
        </w:rPr>
      </w:pPr>
      <w:r w:rsidRPr="00363097">
        <w:rPr>
          <w:noProof/>
          <w:lang w:val="en-IE"/>
        </w:rPr>
        <w:t>Article 31</w:t>
      </w:r>
      <w:r w:rsidRPr="00363097">
        <w:rPr>
          <w:noProof/>
          <w:lang w:val="en-IE"/>
        </w:rPr>
        <w:br/>
      </w:r>
      <w:r w:rsidRPr="00363097">
        <w:rPr>
          <w:b/>
          <w:bCs/>
          <w:noProof/>
        </w:rPr>
        <w:t>Bad debts</w:t>
      </w:r>
    </w:p>
    <w:p w14:paraId="256FD114" w14:textId="40F1D070" w:rsidR="00081B7A" w:rsidRPr="00363097" w:rsidRDefault="00634583" w:rsidP="00634583">
      <w:pPr>
        <w:pStyle w:val="ManualNumPar1"/>
        <w:rPr>
          <w:noProof/>
        </w:rPr>
      </w:pPr>
      <w:r w:rsidRPr="00634583">
        <w:t>1.</w:t>
      </w:r>
      <w:r w:rsidRPr="00634583">
        <w:tab/>
      </w:r>
      <w:r w:rsidR="00081B7A" w:rsidRPr="00363097">
        <w:rPr>
          <w:noProof/>
        </w:rPr>
        <w:t xml:space="preserve">The financial accounting net income or loss of a BEFIT group member shall be adjusted to </w:t>
      </w:r>
      <w:r w:rsidR="002C3945">
        <w:rPr>
          <w:noProof/>
        </w:rPr>
        <w:t>disallow</w:t>
      </w:r>
      <w:r w:rsidR="00081B7A" w:rsidRPr="00363097">
        <w:rPr>
          <w:noProof/>
        </w:rPr>
        <w:t xml:space="preserve"> the amount of any deduction recorded with respect to a bad debt unless, at the end of the year, the BEFIT group member has not claimed a deduction in accordance with Article 28</w:t>
      </w:r>
      <w:r w:rsidR="00056D66" w:rsidRPr="00363097">
        <w:rPr>
          <w:noProof/>
        </w:rPr>
        <w:t xml:space="preserve"> </w:t>
      </w:r>
      <w:r w:rsidR="00081B7A" w:rsidRPr="00363097">
        <w:rPr>
          <w:noProof/>
        </w:rPr>
        <w:t>and</w:t>
      </w:r>
      <w:r w:rsidR="005E45DB" w:rsidRPr="00363097">
        <w:rPr>
          <w:noProof/>
        </w:rPr>
        <w:t xml:space="preserve"> one of the following requirements are met</w:t>
      </w:r>
      <w:r w:rsidR="00081B7A" w:rsidRPr="00363097">
        <w:rPr>
          <w:noProof/>
        </w:rPr>
        <w:t xml:space="preserve">: </w:t>
      </w:r>
    </w:p>
    <w:p w14:paraId="4DB4B5D8" w14:textId="77777777" w:rsidR="00081B7A" w:rsidRPr="00363097" w:rsidRDefault="00081B7A" w:rsidP="00DD1873">
      <w:pPr>
        <w:pStyle w:val="Point1"/>
        <w:rPr>
          <w:noProof/>
        </w:rPr>
      </w:pPr>
      <w:r w:rsidRPr="00363097">
        <w:rPr>
          <w:noProof/>
        </w:rPr>
        <w:t>(</w:t>
      </w:r>
      <w:r w:rsidR="005E45DB" w:rsidRPr="00363097">
        <w:rPr>
          <w:noProof/>
        </w:rPr>
        <w:t>a</w:t>
      </w:r>
      <w:r w:rsidRPr="00363097">
        <w:rPr>
          <w:noProof/>
        </w:rPr>
        <w:t>)</w:t>
      </w:r>
      <w:r w:rsidRPr="00363097">
        <w:rPr>
          <w:noProof/>
        </w:rPr>
        <w:tab/>
      </w:r>
      <w:r w:rsidR="005E45DB" w:rsidRPr="00363097">
        <w:rPr>
          <w:noProof/>
        </w:rPr>
        <w:t xml:space="preserve">the group member </w:t>
      </w:r>
      <w:r w:rsidRPr="00363097">
        <w:rPr>
          <w:noProof/>
        </w:rPr>
        <w:t>has taken all reasonable steps as referred to in paragraph 2 to pursue payment and it is probable that the debt will not be satisfied wholly or partially; or</w:t>
      </w:r>
    </w:p>
    <w:p w14:paraId="28B1078C" w14:textId="77777777" w:rsidR="00081B7A" w:rsidRPr="00363097" w:rsidRDefault="00081B7A" w:rsidP="00DD1873">
      <w:pPr>
        <w:pStyle w:val="Point1"/>
        <w:rPr>
          <w:noProof/>
        </w:rPr>
      </w:pPr>
      <w:r w:rsidRPr="00363097">
        <w:rPr>
          <w:noProof/>
        </w:rPr>
        <w:t>(</w:t>
      </w:r>
      <w:r w:rsidR="005E45DB" w:rsidRPr="00363097">
        <w:rPr>
          <w:noProof/>
        </w:rPr>
        <w:t>b</w:t>
      </w:r>
      <w:r w:rsidRPr="00363097">
        <w:rPr>
          <w:noProof/>
        </w:rPr>
        <w:t>)</w:t>
      </w:r>
      <w:r w:rsidRPr="00363097">
        <w:rPr>
          <w:noProof/>
        </w:rPr>
        <w:tab/>
      </w:r>
      <w:r w:rsidR="005E45DB" w:rsidRPr="00363097">
        <w:rPr>
          <w:noProof/>
        </w:rPr>
        <w:t xml:space="preserve">the group member </w:t>
      </w:r>
      <w:r w:rsidRPr="00363097">
        <w:rPr>
          <w:noProof/>
        </w:rPr>
        <w:t>has a large number of homogeneous receivables which all derive from the same sector of business activity and is able to reliably estimate the amount of the bad debt receivable on a percentage basis, provided that the value of each homogeneous receivable is lower than 0,1% of the value of all homogeneous receivables. In order to arrive at a reliable estimate, the BEFIT group member shall take into account all relevant factors, including past experience.</w:t>
      </w:r>
    </w:p>
    <w:p w14:paraId="2A7B44CD" w14:textId="03AA8D0D" w:rsidR="00081B7A" w:rsidRPr="00363097" w:rsidRDefault="00634583" w:rsidP="00634583">
      <w:pPr>
        <w:pStyle w:val="ManualNumPar1"/>
        <w:rPr>
          <w:noProof/>
        </w:rPr>
      </w:pPr>
      <w:r w:rsidRPr="00634583">
        <w:t>2.</w:t>
      </w:r>
      <w:r w:rsidRPr="00634583">
        <w:tab/>
      </w:r>
      <w:r w:rsidR="00081B7A" w:rsidRPr="00363097">
        <w:rPr>
          <w:noProof/>
        </w:rPr>
        <w:t xml:space="preserve">In determining whether all reasonable steps to pursue payment have been made, </w:t>
      </w:r>
      <w:r w:rsidR="005C79B2" w:rsidRPr="00363097">
        <w:rPr>
          <w:noProof/>
        </w:rPr>
        <w:t>any</w:t>
      </w:r>
      <w:r w:rsidR="003E22A6" w:rsidRPr="00363097">
        <w:rPr>
          <w:noProof/>
        </w:rPr>
        <w:t xml:space="preserve"> of</w:t>
      </w:r>
      <w:r w:rsidR="007B328C" w:rsidRPr="00363097">
        <w:rPr>
          <w:i/>
          <w:iCs/>
          <w:noProof/>
        </w:rPr>
        <w:t xml:space="preserve"> </w:t>
      </w:r>
      <w:r w:rsidR="00081B7A" w:rsidRPr="00363097">
        <w:rPr>
          <w:noProof/>
        </w:rPr>
        <w:t xml:space="preserve">the following elements shall be taken into account by the BEFIT group member, on the condition that they are based on objective evidence: </w:t>
      </w:r>
    </w:p>
    <w:p w14:paraId="560B3620" w14:textId="77777777" w:rsidR="00081B7A" w:rsidRPr="00363097" w:rsidRDefault="00081B7A" w:rsidP="00081B7A">
      <w:pPr>
        <w:pStyle w:val="Point1"/>
        <w:rPr>
          <w:noProof/>
        </w:rPr>
      </w:pPr>
      <w:r w:rsidRPr="00363097">
        <w:rPr>
          <w:noProof/>
        </w:rPr>
        <w:t>(</w:t>
      </w:r>
      <w:r w:rsidR="005E45DB" w:rsidRPr="00363097">
        <w:rPr>
          <w:noProof/>
        </w:rPr>
        <w:t>a</w:t>
      </w:r>
      <w:r w:rsidRPr="00363097">
        <w:rPr>
          <w:noProof/>
        </w:rPr>
        <w:t>)</w:t>
      </w:r>
      <w:r w:rsidRPr="00363097">
        <w:rPr>
          <w:noProof/>
        </w:rPr>
        <w:tab/>
        <w:t xml:space="preserve">whether the costs of collection are disproportionate to the debt; </w:t>
      </w:r>
    </w:p>
    <w:p w14:paraId="072858AC" w14:textId="2C944927" w:rsidR="00081B7A" w:rsidRPr="00363097" w:rsidRDefault="00081B7A" w:rsidP="00081B7A">
      <w:pPr>
        <w:pStyle w:val="Point1"/>
        <w:rPr>
          <w:noProof/>
        </w:rPr>
      </w:pPr>
      <w:r w:rsidRPr="00363097">
        <w:rPr>
          <w:noProof/>
        </w:rPr>
        <w:t>(</w:t>
      </w:r>
      <w:r w:rsidR="005E45DB" w:rsidRPr="00363097">
        <w:rPr>
          <w:noProof/>
        </w:rPr>
        <w:t>b</w:t>
      </w:r>
      <w:r w:rsidRPr="00363097">
        <w:rPr>
          <w:noProof/>
        </w:rPr>
        <w:t>)</w:t>
      </w:r>
      <w:r w:rsidRPr="00363097">
        <w:rPr>
          <w:noProof/>
        </w:rPr>
        <w:tab/>
        <w:t xml:space="preserve">whether there is any prospect of successful collection, including cases where the debtor has been declared insolvent, legal action has been initiated or a debt collector has been engaged; </w:t>
      </w:r>
    </w:p>
    <w:p w14:paraId="31DE794E" w14:textId="77777777" w:rsidR="00081B7A" w:rsidRPr="00363097" w:rsidRDefault="00081B7A" w:rsidP="00081B7A">
      <w:pPr>
        <w:pStyle w:val="Point1"/>
        <w:rPr>
          <w:noProof/>
        </w:rPr>
      </w:pPr>
      <w:r w:rsidRPr="00363097">
        <w:rPr>
          <w:noProof/>
        </w:rPr>
        <w:t>(</w:t>
      </w:r>
      <w:r w:rsidR="005E45DB" w:rsidRPr="00363097">
        <w:rPr>
          <w:noProof/>
        </w:rPr>
        <w:t>c</w:t>
      </w:r>
      <w:r w:rsidRPr="00363097">
        <w:rPr>
          <w:noProof/>
        </w:rPr>
        <w:t>)</w:t>
      </w:r>
      <w:r w:rsidRPr="00363097">
        <w:rPr>
          <w:noProof/>
        </w:rPr>
        <w:tab/>
        <w:t>whether it is reasonable, in the circumstances, to expect the taxpayer to pursue collection.</w:t>
      </w:r>
    </w:p>
    <w:p w14:paraId="3EE06F5E" w14:textId="5CCB7093" w:rsidR="00081B7A" w:rsidRPr="00363097" w:rsidRDefault="00634583" w:rsidP="00634583">
      <w:pPr>
        <w:pStyle w:val="ManualNumPar1"/>
        <w:rPr>
          <w:noProof/>
        </w:rPr>
      </w:pPr>
      <w:r w:rsidRPr="00634583">
        <w:t>3.</w:t>
      </w:r>
      <w:r w:rsidRPr="00634583">
        <w:tab/>
      </w:r>
      <w:r w:rsidR="00081B7A" w:rsidRPr="00363097">
        <w:rPr>
          <w:noProof/>
        </w:rPr>
        <w:t>Where the bad debt relates to a trade receivable, in addition to the conditions set out in paragraph 1, an amount corresponding to the debt shall be</w:t>
      </w:r>
      <w:r w:rsidR="00A1084B" w:rsidRPr="00363097">
        <w:rPr>
          <w:noProof/>
        </w:rPr>
        <w:t xml:space="preserve"> </w:t>
      </w:r>
      <w:r w:rsidR="00081B7A" w:rsidRPr="00363097">
        <w:rPr>
          <w:noProof/>
        </w:rPr>
        <w:t xml:space="preserve">included in the preliminary tax result as revenue. </w:t>
      </w:r>
    </w:p>
    <w:p w14:paraId="431D2E4F" w14:textId="2A716F66" w:rsidR="00081B7A" w:rsidRPr="00363097" w:rsidRDefault="00634583" w:rsidP="00634583">
      <w:pPr>
        <w:pStyle w:val="ManualNumPar1"/>
        <w:rPr>
          <w:noProof/>
        </w:rPr>
      </w:pPr>
      <w:r w:rsidRPr="00634583">
        <w:t>4.</w:t>
      </w:r>
      <w:r w:rsidRPr="00634583">
        <w:tab/>
      </w:r>
      <w:r w:rsidR="00081B7A" w:rsidRPr="00363097">
        <w:rPr>
          <w:noProof/>
        </w:rPr>
        <w:t xml:space="preserve">Notwithstanding paragraph 1, the financial accounting net income or loss of a BEFIT group member shall be adjusted to </w:t>
      </w:r>
      <w:r w:rsidR="004C7A1A">
        <w:rPr>
          <w:noProof/>
        </w:rPr>
        <w:t>disallow</w:t>
      </w:r>
      <w:r w:rsidR="00081B7A" w:rsidRPr="00363097">
        <w:rPr>
          <w:noProof/>
        </w:rPr>
        <w:t xml:space="preserve"> the amount of any bad debt where the debtor is another BEFIT group member, any other associated enterprise or, when the debtor is an individual, where the debtor, his spouse or lineal ascendant or descendant participates in the management or control of the BEFIT group member or, directly or indirectly, owns capital of the BEFIT group member. </w:t>
      </w:r>
    </w:p>
    <w:p w14:paraId="51865946" w14:textId="18485855" w:rsidR="00081B7A" w:rsidRPr="00363097" w:rsidRDefault="00634583" w:rsidP="00634583">
      <w:pPr>
        <w:pStyle w:val="ManualNumPar1"/>
        <w:rPr>
          <w:noProof/>
        </w:rPr>
      </w:pPr>
      <w:r w:rsidRPr="00634583">
        <w:t>5.</w:t>
      </w:r>
      <w:r w:rsidRPr="00634583">
        <w:tab/>
      </w:r>
      <w:r w:rsidR="00081B7A" w:rsidRPr="00363097">
        <w:rPr>
          <w:noProof/>
        </w:rPr>
        <w:t>Where a BEFIT group member has previously deducted a bad debt which is settled in a following fiscal year, its financial accounting net income or loss for the fiscal year of settlement shall be increased by the amount recovered.</w:t>
      </w:r>
    </w:p>
    <w:p w14:paraId="2A1BC4B2" w14:textId="77777777" w:rsidR="00081B7A" w:rsidRPr="00363097" w:rsidRDefault="00081B7A" w:rsidP="006B487B">
      <w:pPr>
        <w:pStyle w:val="Titrearticle2"/>
        <w:rPr>
          <w:b/>
          <w:bCs/>
          <w:noProof/>
          <w:lang w:val="en-IE"/>
        </w:rPr>
      </w:pPr>
      <w:r w:rsidRPr="00363097">
        <w:rPr>
          <w:noProof/>
          <w:lang w:val="en-IE"/>
        </w:rPr>
        <w:t>Article 32</w:t>
      </w:r>
      <w:r w:rsidRPr="00363097">
        <w:rPr>
          <w:noProof/>
          <w:lang w:val="en-IE"/>
        </w:rPr>
        <w:br/>
      </w:r>
      <w:r w:rsidRPr="00363097">
        <w:rPr>
          <w:b/>
          <w:bCs/>
          <w:noProof/>
        </w:rPr>
        <w:t>Long term contracts</w:t>
      </w:r>
    </w:p>
    <w:p w14:paraId="0655BA95" w14:textId="4B410422" w:rsidR="00081B7A" w:rsidRPr="00363097" w:rsidRDefault="00634583" w:rsidP="00634583">
      <w:pPr>
        <w:pStyle w:val="ManualNumPar1"/>
        <w:rPr>
          <w:noProof/>
        </w:rPr>
      </w:pPr>
      <w:r w:rsidRPr="00634583">
        <w:t>1.</w:t>
      </w:r>
      <w:r w:rsidRPr="00634583">
        <w:tab/>
      </w:r>
      <w:r w:rsidR="00081B7A" w:rsidRPr="00363097">
        <w:rPr>
          <w:noProof/>
        </w:rPr>
        <w:t xml:space="preserve">For the purpose of this Article, a long-term contract means a contract which complies with the following conditions: </w:t>
      </w:r>
    </w:p>
    <w:p w14:paraId="21E39868" w14:textId="77777777" w:rsidR="00081B7A" w:rsidRPr="00363097" w:rsidRDefault="00081B7A" w:rsidP="00081B7A">
      <w:pPr>
        <w:pStyle w:val="Point1"/>
        <w:rPr>
          <w:noProof/>
        </w:rPr>
      </w:pPr>
      <w:r w:rsidRPr="00363097">
        <w:rPr>
          <w:noProof/>
        </w:rPr>
        <w:t>(</w:t>
      </w:r>
      <w:r w:rsidR="006E0296" w:rsidRPr="00363097">
        <w:rPr>
          <w:noProof/>
        </w:rPr>
        <w:t>a</w:t>
      </w:r>
      <w:r w:rsidRPr="00363097">
        <w:rPr>
          <w:noProof/>
        </w:rPr>
        <w:t>)</w:t>
      </w:r>
      <w:r w:rsidRPr="00363097">
        <w:rPr>
          <w:noProof/>
        </w:rPr>
        <w:tab/>
        <w:t xml:space="preserve">it is concluded for the purpose of manufacturing, installing or constructing, or for performing services; </w:t>
      </w:r>
    </w:p>
    <w:p w14:paraId="335AA30D" w14:textId="77777777" w:rsidR="00081B7A" w:rsidRPr="00363097" w:rsidRDefault="00081B7A" w:rsidP="00081B7A">
      <w:pPr>
        <w:pStyle w:val="Point1"/>
        <w:rPr>
          <w:noProof/>
        </w:rPr>
      </w:pPr>
      <w:r w:rsidRPr="00363097">
        <w:rPr>
          <w:noProof/>
        </w:rPr>
        <w:t>(</w:t>
      </w:r>
      <w:r w:rsidR="006E0296" w:rsidRPr="00363097">
        <w:rPr>
          <w:noProof/>
        </w:rPr>
        <w:t>b</w:t>
      </w:r>
      <w:r w:rsidRPr="00363097">
        <w:rPr>
          <w:noProof/>
        </w:rPr>
        <w:t>)</w:t>
      </w:r>
      <w:r w:rsidRPr="00363097">
        <w:rPr>
          <w:noProof/>
        </w:rPr>
        <w:tab/>
        <w:t xml:space="preserve">its term exceeds, or is expected to exceed, 12 months. </w:t>
      </w:r>
    </w:p>
    <w:p w14:paraId="372DF853" w14:textId="36E6B1D5" w:rsidR="00081B7A" w:rsidRPr="00363097" w:rsidRDefault="00634583" w:rsidP="00634583">
      <w:pPr>
        <w:pStyle w:val="ManualNumPar1"/>
        <w:rPr>
          <w:rFonts w:eastAsia="Calibri"/>
          <w:noProof/>
          <w:szCs w:val="24"/>
        </w:rPr>
      </w:pPr>
      <w:r w:rsidRPr="00634583">
        <w:t>2.</w:t>
      </w:r>
      <w:r w:rsidRPr="00634583">
        <w:tab/>
      </w:r>
      <w:r w:rsidR="00081B7A" w:rsidRPr="00363097">
        <w:rPr>
          <w:noProof/>
        </w:rPr>
        <w:t xml:space="preserve">The financial accounting net income or loss of a BEFIT group member shall be adjusted to only include revenues relating to a long-term contract that have been accrued for the amount that corresponds to the part of the long-term contract that has been completed in the relevant fiscal year. </w:t>
      </w:r>
    </w:p>
    <w:p w14:paraId="799C5061" w14:textId="77777777" w:rsidR="00081B7A" w:rsidRPr="00363097" w:rsidRDefault="00081B7A" w:rsidP="00081B7A">
      <w:pPr>
        <w:pStyle w:val="Text1"/>
        <w:rPr>
          <w:noProof/>
        </w:rPr>
      </w:pPr>
      <w:r w:rsidRPr="00363097">
        <w:rPr>
          <w:noProof/>
        </w:rPr>
        <w:t>For that purpose, the percentage of completion of a long-term contract shall be determined by reference to the ratio of costs of that fiscal year to the overall estimated costs of the long-term contract.</w:t>
      </w:r>
    </w:p>
    <w:p w14:paraId="7CC49D55" w14:textId="0D3EA258" w:rsidR="00081B7A" w:rsidRPr="00363097" w:rsidRDefault="00634583" w:rsidP="00634583">
      <w:pPr>
        <w:pStyle w:val="ManualNumPar1"/>
        <w:rPr>
          <w:rFonts w:eastAsia="Calibri"/>
          <w:noProof/>
          <w:szCs w:val="24"/>
        </w:rPr>
      </w:pPr>
      <w:r w:rsidRPr="00634583">
        <w:t>3.</w:t>
      </w:r>
      <w:r w:rsidRPr="00634583">
        <w:tab/>
      </w:r>
      <w:r w:rsidR="00081B7A" w:rsidRPr="00363097">
        <w:rPr>
          <w:noProof/>
        </w:rPr>
        <w:t xml:space="preserve">The financial accounting net income or loss of a BEFIT group member shall be adjusted to </w:t>
      </w:r>
      <w:r w:rsidR="0053669E">
        <w:rPr>
          <w:noProof/>
        </w:rPr>
        <w:t>allow</w:t>
      </w:r>
      <w:r w:rsidR="00081B7A" w:rsidRPr="00363097">
        <w:rPr>
          <w:noProof/>
        </w:rPr>
        <w:t xml:space="preserve"> all costs relating to long-term contracts that were incurred during a fiscal year. </w:t>
      </w:r>
    </w:p>
    <w:p w14:paraId="1DD4CF13" w14:textId="77777777" w:rsidR="00081B7A" w:rsidRPr="00363097" w:rsidRDefault="00081B7A" w:rsidP="006B487B">
      <w:pPr>
        <w:pStyle w:val="Titrearticle2"/>
        <w:rPr>
          <w:b/>
          <w:noProof/>
          <w:lang w:val="en-IE"/>
        </w:rPr>
      </w:pPr>
      <w:r w:rsidRPr="00363097">
        <w:rPr>
          <w:noProof/>
          <w:lang w:val="en-IE"/>
        </w:rPr>
        <w:t>Article 33</w:t>
      </w:r>
      <w:r w:rsidRPr="00363097">
        <w:rPr>
          <w:noProof/>
          <w:lang w:val="en-IE"/>
        </w:rPr>
        <w:br/>
      </w:r>
      <w:r w:rsidRPr="00363097">
        <w:rPr>
          <w:b/>
          <w:noProof/>
          <w:lang w:val="en-IE"/>
        </w:rPr>
        <w:t>Hedging</w:t>
      </w:r>
    </w:p>
    <w:p w14:paraId="0818D5DC" w14:textId="2AB2178F" w:rsidR="00081B7A" w:rsidRPr="00363097" w:rsidRDefault="00634583" w:rsidP="00634583">
      <w:pPr>
        <w:pStyle w:val="ManualNumPar1"/>
        <w:rPr>
          <w:rFonts w:eastAsia="Calibri"/>
          <w:noProof/>
          <w:szCs w:val="24"/>
          <w:lang w:val="en-IE"/>
        </w:rPr>
      </w:pPr>
      <w:bookmarkStart w:id="10" w:name="_Hlk142564876"/>
      <w:r w:rsidRPr="00634583">
        <w:t>1.</w:t>
      </w:r>
      <w:r w:rsidRPr="00634583">
        <w:tab/>
      </w:r>
      <w:r w:rsidR="00081B7A" w:rsidRPr="00363097">
        <w:rPr>
          <w:noProof/>
          <w:lang w:val="en-IE"/>
        </w:rPr>
        <w:t>Ga</w:t>
      </w:r>
      <w:bookmarkEnd w:id="10"/>
      <w:r w:rsidR="00081B7A" w:rsidRPr="00363097">
        <w:rPr>
          <w:noProof/>
          <w:lang w:val="en-IE"/>
        </w:rPr>
        <w:t xml:space="preserve">ins and losses on a hedging instrument, which result from a valuation or acts of disposition, shall be treated by a BEFIT group member in the same manner as the corresponding gains and losses on the hedged item. </w:t>
      </w:r>
    </w:p>
    <w:p w14:paraId="3BD1171D" w14:textId="77777777" w:rsidR="00081B7A" w:rsidRPr="00363097" w:rsidRDefault="00081B7A" w:rsidP="00081B7A">
      <w:pPr>
        <w:pStyle w:val="Text1"/>
        <w:rPr>
          <w:noProof/>
          <w:lang w:val="en-IE"/>
        </w:rPr>
      </w:pPr>
      <w:r w:rsidRPr="00363097">
        <w:rPr>
          <w:noProof/>
          <w:lang w:val="en-IE"/>
        </w:rPr>
        <w:t xml:space="preserve">There is a hedging relationship where the following conditions are met: </w:t>
      </w:r>
    </w:p>
    <w:p w14:paraId="5F70843B" w14:textId="77777777" w:rsidR="00081B7A" w:rsidRPr="00363097" w:rsidRDefault="00081B7A" w:rsidP="00081B7A">
      <w:pPr>
        <w:pStyle w:val="Point1"/>
        <w:rPr>
          <w:noProof/>
          <w:szCs w:val="24"/>
          <w:lang w:val="en-IE"/>
        </w:rPr>
      </w:pPr>
      <w:r w:rsidRPr="00363097">
        <w:rPr>
          <w:noProof/>
          <w:lang w:val="en-IE"/>
        </w:rPr>
        <w:t>(</w:t>
      </w:r>
      <w:r w:rsidR="006E0296" w:rsidRPr="00363097">
        <w:rPr>
          <w:noProof/>
          <w:lang w:val="en-IE"/>
        </w:rPr>
        <w:t>a</w:t>
      </w:r>
      <w:r w:rsidRPr="00363097">
        <w:rPr>
          <w:noProof/>
          <w:lang w:val="en-IE"/>
        </w:rPr>
        <w:t>)</w:t>
      </w:r>
      <w:r w:rsidRPr="00363097">
        <w:rPr>
          <w:noProof/>
          <w:lang w:val="en-IE"/>
        </w:rPr>
        <w:tab/>
        <w:t xml:space="preserve">the hedging relationship is formally designed and documented in advance; </w:t>
      </w:r>
    </w:p>
    <w:p w14:paraId="7A8DBD52" w14:textId="77777777" w:rsidR="00081B7A" w:rsidRPr="00363097" w:rsidRDefault="00081B7A" w:rsidP="00081B7A">
      <w:pPr>
        <w:pStyle w:val="Point1"/>
        <w:rPr>
          <w:noProof/>
          <w:lang w:val="en-IE"/>
        </w:rPr>
      </w:pPr>
      <w:r w:rsidRPr="00363097">
        <w:rPr>
          <w:noProof/>
          <w:lang w:val="en-IE"/>
        </w:rPr>
        <w:t>(</w:t>
      </w:r>
      <w:r w:rsidR="006E0296" w:rsidRPr="00363097">
        <w:rPr>
          <w:noProof/>
          <w:lang w:val="en-IE"/>
        </w:rPr>
        <w:t>b</w:t>
      </w:r>
      <w:r w:rsidRPr="00363097">
        <w:rPr>
          <w:noProof/>
          <w:lang w:val="en-IE"/>
        </w:rPr>
        <w:t>)</w:t>
      </w:r>
      <w:r w:rsidRPr="00363097">
        <w:rPr>
          <w:noProof/>
          <w:lang w:val="en-IE"/>
        </w:rPr>
        <w:tab/>
        <w:t xml:space="preserve">the hedge is expected to be highly effective and the effectiveness can reliably be measured. </w:t>
      </w:r>
    </w:p>
    <w:p w14:paraId="2AA4F697" w14:textId="2C03D93F" w:rsidR="00081B7A" w:rsidRPr="00363097" w:rsidRDefault="00634583" w:rsidP="00634583">
      <w:pPr>
        <w:pStyle w:val="ManualNumPar1"/>
        <w:rPr>
          <w:rFonts w:eastAsia="Calibri"/>
          <w:noProof/>
          <w:szCs w:val="24"/>
          <w:lang w:val="en-IE"/>
        </w:rPr>
      </w:pPr>
      <w:r w:rsidRPr="00634583">
        <w:t>2.</w:t>
      </w:r>
      <w:r w:rsidRPr="00634583">
        <w:tab/>
      </w:r>
      <w:r w:rsidR="00081B7A" w:rsidRPr="00363097">
        <w:rPr>
          <w:noProof/>
          <w:lang w:val="en-IE"/>
        </w:rPr>
        <w:t xml:space="preserve">Where the hedging relationship is interrupted or a financial instrument already held is subsequently treated as a hedging instrument, leading to its transition into a different tax regime, any difference between the new market value of the hedging instrument at the end of the fiscal year and the market value at the beginning of the same tax period shall be included in the preliminary tax result of the BEFIT group member. </w:t>
      </w:r>
    </w:p>
    <w:p w14:paraId="1594C5D1" w14:textId="77777777" w:rsidR="00081B7A" w:rsidRPr="00363097" w:rsidRDefault="00081B7A" w:rsidP="00081B7A">
      <w:pPr>
        <w:pStyle w:val="Text1"/>
        <w:rPr>
          <w:noProof/>
          <w:lang w:val="en-IE"/>
        </w:rPr>
      </w:pPr>
      <w:r w:rsidRPr="00363097">
        <w:rPr>
          <w:noProof/>
          <w:lang w:val="en-IE"/>
        </w:rPr>
        <w:t xml:space="preserve">The market value of the hedging instrument at the end of the fiscal year during which that instrument transitioned to a different tax regime shall coincide with its market value at the beginning of the year following that transition. </w:t>
      </w:r>
    </w:p>
    <w:p w14:paraId="077596EE" w14:textId="77777777" w:rsidR="00081B7A" w:rsidRPr="00363097" w:rsidRDefault="00081B7A" w:rsidP="00081B7A">
      <w:pPr>
        <w:pStyle w:val="SectionTitle"/>
        <w:rPr>
          <w:noProof/>
        </w:rPr>
      </w:pPr>
      <w:r w:rsidRPr="00363097">
        <w:rPr>
          <w:noProof/>
        </w:rPr>
        <w:t xml:space="preserve">Section </w:t>
      </w:r>
      <w:r w:rsidR="009F2793" w:rsidRPr="00363097">
        <w:rPr>
          <w:noProof/>
        </w:rPr>
        <w:t>5</w:t>
      </w:r>
      <w:r w:rsidRPr="00363097">
        <w:rPr>
          <w:noProof/>
        </w:rPr>
        <w:br/>
        <w:t>Entering and Leaving a BEFIT Group and Corporate Restructuring</w:t>
      </w:r>
    </w:p>
    <w:p w14:paraId="452BDE2F" w14:textId="77777777" w:rsidR="00081B7A" w:rsidRPr="00363097" w:rsidRDefault="00081B7A" w:rsidP="006B487B">
      <w:pPr>
        <w:pStyle w:val="Titrearticle2"/>
        <w:rPr>
          <w:b/>
          <w:noProof/>
        </w:rPr>
      </w:pPr>
      <w:r w:rsidRPr="00363097">
        <w:rPr>
          <w:noProof/>
          <w:lang w:val="en-IE"/>
        </w:rPr>
        <w:t>Article 34</w:t>
      </w:r>
      <w:r w:rsidRPr="00363097">
        <w:rPr>
          <w:noProof/>
          <w:lang w:val="en-IE"/>
        </w:rPr>
        <w:br/>
      </w:r>
      <w:r w:rsidRPr="00363097">
        <w:rPr>
          <w:b/>
          <w:bCs/>
          <w:noProof/>
        </w:rPr>
        <w:t xml:space="preserve">Recognition, valuation and timing for depreciation of assets and liabilities </w:t>
      </w:r>
      <w:r w:rsidR="00113D0F">
        <w:rPr>
          <w:b/>
          <w:bCs/>
          <w:noProof/>
        </w:rPr>
        <w:br/>
      </w:r>
      <w:r w:rsidRPr="00363097">
        <w:rPr>
          <w:b/>
          <w:noProof/>
        </w:rPr>
        <w:t>when entering or leaving a BEFIT group</w:t>
      </w:r>
    </w:p>
    <w:p w14:paraId="3EF793FB" w14:textId="29473688" w:rsidR="00081B7A" w:rsidRPr="00363097" w:rsidRDefault="00634583" w:rsidP="00634583">
      <w:pPr>
        <w:pStyle w:val="ManualNumPar1"/>
        <w:rPr>
          <w:noProof/>
        </w:rPr>
      </w:pPr>
      <w:r w:rsidRPr="00634583">
        <w:t>1.</w:t>
      </w:r>
      <w:r w:rsidRPr="00634583">
        <w:tab/>
      </w:r>
      <w:r w:rsidR="00081B7A" w:rsidRPr="00363097">
        <w:rPr>
          <w:noProof/>
        </w:rPr>
        <w:t>All assets and liabilities shall be recognised at their value, as calculated in accordance with the acceptable accounting standard in the Union referred to in Article 7, immediately prior to the date on which this Directive become</w:t>
      </w:r>
      <w:r w:rsidR="00ED1D4A" w:rsidRPr="00363097">
        <w:rPr>
          <w:noProof/>
        </w:rPr>
        <w:t>s</w:t>
      </w:r>
      <w:r w:rsidR="00081B7A" w:rsidRPr="00363097">
        <w:rPr>
          <w:noProof/>
        </w:rPr>
        <w:t xml:space="preserve"> applicable to the BEFIT group member.</w:t>
      </w:r>
    </w:p>
    <w:p w14:paraId="3AF4D508" w14:textId="534C1825" w:rsidR="00081B7A" w:rsidRPr="00363097" w:rsidRDefault="00634583" w:rsidP="00634583">
      <w:pPr>
        <w:pStyle w:val="ManualNumPar1"/>
        <w:rPr>
          <w:noProof/>
        </w:rPr>
      </w:pPr>
      <w:bookmarkStart w:id="11" w:name="_Hlk143265858"/>
      <w:r w:rsidRPr="00634583">
        <w:t>2.</w:t>
      </w:r>
      <w:r w:rsidRPr="00634583">
        <w:tab/>
      </w:r>
      <w:r w:rsidR="00081B7A" w:rsidRPr="00363097">
        <w:rPr>
          <w:noProof/>
        </w:rPr>
        <w:t xml:space="preserve">The assets and liabilities of a company or </w:t>
      </w:r>
      <w:r w:rsidR="00A415FC" w:rsidRPr="00363097">
        <w:rPr>
          <w:noProof/>
        </w:rPr>
        <w:t xml:space="preserve">a </w:t>
      </w:r>
      <w:r w:rsidR="00081B7A" w:rsidRPr="00363097">
        <w:rPr>
          <w:noProof/>
        </w:rPr>
        <w:t xml:space="preserve">permanent establishment to whom this Directive no longer </w:t>
      </w:r>
      <w:r w:rsidR="00265E22" w:rsidRPr="00363097">
        <w:rPr>
          <w:noProof/>
        </w:rPr>
        <w:t xml:space="preserve">applies </w:t>
      </w:r>
      <w:r w:rsidR="00081B7A" w:rsidRPr="00363097">
        <w:rPr>
          <w:noProof/>
        </w:rPr>
        <w:t>shall be recognised at their value as calculated in accordance with this Directive</w:t>
      </w:r>
      <w:bookmarkEnd w:id="11"/>
      <w:r w:rsidR="00081B7A" w:rsidRPr="00363097">
        <w:rPr>
          <w:noProof/>
        </w:rPr>
        <w:t xml:space="preserve">. </w:t>
      </w:r>
    </w:p>
    <w:p w14:paraId="5D9D6D5F" w14:textId="3CEFB6FF" w:rsidR="00081B7A" w:rsidRPr="00363097" w:rsidRDefault="00634583" w:rsidP="00634583">
      <w:pPr>
        <w:pStyle w:val="ManualNumPar1"/>
        <w:rPr>
          <w:noProof/>
        </w:rPr>
      </w:pPr>
      <w:r w:rsidRPr="00634583">
        <w:t>3.</w:t>
      </w:r>
      <w:r w:rsidRPr="00634583">
        <w:tab/>
      </w:r>
      <w:r w:rsidR="00081B7A" w:rsidRPr="00363097">
        <w:rPr>
          <w:noProof/>
        </w:rPr>
        <w:t xml:space="preserve">The depreciation of the assets of a company or </w:t>
      </w:r>
      <w:r w:rsidR="00A415FC" w:rsidRPr="00363097">
        <w:rPr>
          <w:noProof/>
        </w:rPr>
        <w:t xml:space="preserve">a </w:t>
      </w:r>
      <w:r w:rsidR="00081B7A" w:rsidRPr="00363097">
        <w:rPr>
          <w:noProof/>
        </w:rPr>
        <w:t xml:space="preserve">permanent establishment that enters or leaves a BEFIT group in the course of a fiscal year shall be computed in proportion to the number of calendar months during which the company or permanent establishment belonged to the BEFIT group in that fiscal year. </w:t>
      </w:r>
    </w:p>
    <w:p w14:paraId="7B79AAB4" w14:textId="77777777" w:rsidR="00081B7A" w:rsidRPr="00363097" w:rsidRDefault="00081B7A" w:rsidP="006B487B">
      <w:pPr>
        <w:pStyle w:val="Titrearticle2"/>
        <w:rPr>
          <w:b/>
          <w:bCs/>
          <w:noProof/>
        </w:rPr>
      </w:pPr>
      <w:r w:rsidRPr="00363097">
        <w:rPr>
          <w:iCs/>
          <w:noProof/>
          <w:lang w:val="en-IE"/>
        </w:rPr>
        <w:t>Article 35</w:t>
      </w:r>
      <w:r w:rsidRPr="00363097">
        <w:rPr>
          <w:iCs/>
          <w:noProof/>
          <w:lang w:val="en-IE"/>
        </w:rPr>
        <w:br/>
      </w:r>
      <w:r w:rsidRPr="00363097">
        <w:rPr>
          <w:b/>
          <w:bCs/>
          <w:noProof/>
        </w:rPr>
        <w:t>Qualification of fixed assets when entering a BEFIT group</w:t>
      </w:r>
    </w:p>
    <w:p w14:paraId="0596A964" w14:textId="77777777" w:rsidR="00081B7A" w:rsidRPr="00363097" w:rsidRDefault="00081B7A" w:rsidP="00081B7A">
      <w:pPr>
        <w:keepNext/>
        <w:spacing w:line="276" w:lineRule="auto"/>
        <w:contextualSpacing/>
        <w:rPr>
          <w:noProof/>
        </w:rPr>
      </w:pPr>
      <w:r w:rsidRPr="00363097">
        <w:rPr>
          <w:noProof/>
        </w:rPr>
        <w:t xml:space="preserve">Notwithstanding the rules laid out in Chapter II, Section </w:t>
      </w:r>
      <w:r w:rsidR="00A26F2E" w:rsidRPr="00363097">
        <w:rPr>
          <w:noProof/>
        </w:rPr>
        <w:t>3</w:t>
      </w:r>
      <w:r w:rsidRPr="00363097">
        <w:rPr>
          <w:noProof/>
        </w:rPr>
        <w:t xml:space="preserve">, where a company or </w:t>
      </w:r>
      <w:r w:rsidR="007B328C" w:rsidRPr="00363097">
        <w:rPr>
          <w:noProof/>
        </w:rPr>
        <w:t xml:space="preserve">a </w:t>
      </w:r>
      <w:r w:rsidRPr="00363097">
        <w:rPr>
          <w:noProof/>
        </w:rPr>
        <w:t xml:space="preserve">permanent establishment transitions from a Member State’s corporate income tax system to enter a BEFIT group, the following rules shall apply: </w:t>
      </w:r>
    </w:p>
    <w:p w14:paraId="7FED0750" w14:textId="77777777" w:rsidR="00081B7A" w:rsidRPr="00363097" w:rsidRDefault="00081B7A" w:rsidP="00113D0F">
      <w:pPr>
        <w:pStyle w:val="Point0"/>
        <w:rPr>
          <w:noProof/>
          <w:lang w:val="en-IE"/>
        </w:rPr>
      </w:pPr>
      <w:r w:rsidRPr="00363097">
        <w:rPr>
          <w:noProof/>
          <w:lang w:val="en-IE"/>
        </w:rPr>
        <w:t>(</w:t>
      </w:r>
      <w:r w:rsidR="00330A01" w:rsidRPr="00363097">
        <w:rPr>
          <w:noProof/>
          <w:lang w:val="en-IE"/>
        </w:rPr>
        <w:t>a</w:t>
      </w:r>
      <w:r w:rsidRPr="00363097">
        <w:rPr>
          <w:noProof/>
          <w:lang w:val="en-IE"/>
        </w:rPr>
        <w:t>)</w:t>
      </w:r>
      <w:r w:rsidRPr="00363097">
        <w:rPr>
          <w:noProof/>
          <w:lang w:val="en-IE"/>
        </w:rPr>
        <w:tab/>
        <w:t>Where a fixed asset with an accounting value below EUR 5</w:t>
      </w:r>
      <w:r w:rsidR="00330A01" w:rsidRPr="00363097">
        <w:rPr>
          <w:noProof/>
          <w:lang w:val="en-IE"/>
        </w:rPr>
        <w:t xml:space="preserve"> </w:t>
      </w:r>
      <w:r w:rsidRPr="00363097">
        <w:rPr>
          <w:noProof/>
          <w:lang w:val="en-IE"/>
        </w:rPr>
        <w:t>000 has not been, in part or in full, depreciated at the date of entry in the BEFIT group, the BEFIT group member shall adjust its financial accounting net income or loss to</w:t>
      </w:r>
      <w:r w:rsidR="00BB1082" w:rsidRPr="00363097">
        <w:rPr>
          <w:noProof/>
          <w:lang w:val="en-IE"/>
        </w:rPr>
        <w:t xml:space="preserve"> exclude</w:t>
      </w:r>
      <w:r w:rsidRPr="00363097">
        <w:rPr>
          <w:noProof/>
          <w:lang w:val="en-IE"/>
        </w:rPr>
        <w:t xml:space="preserve"> the amount corresponding to the remaining net value of the fixed asset which appears in the individual financial accounts at the date of entry</w:t>
      </w:r>
      <w:r w:rsidR="00FC2CEB" w:rsidRPr="00363097">
        <w:rPr>
          <w:noProof/>
          <w:lang w:val="en-IE"/>
        </w:rPr>
        <w:t>.</w:t>
      </w:r>
      <w:r w:rsidRPr="00363097">
        <w:rPr>
          <w:noProof/>
          <w:lang w:val="en-IE"/>
        </w:rPr>
        <w:t xml:space="preserve">; </w:t>
      </w:r>
    </w:p>
    <w:p w14:paraId="433E8BC9" w14:textId="77777777" w:rsidR="00081B7A" w:rsidRPr="00363097" w:rsidRDefault="00081B7A" w:rsidP="00113D0F">
      <w:pPr>
        <w:pStyle w:val="Point0"/>
        <w:rPr>
          <w:noProof/>
        </w:rPr>
      </w:pPr>
      <w:r w:rsidRPr="00363097">
        <w:rPr>
          <w:noProof/>
          <w:lang w:val="en-IE"/>
        </w:rPr>
        <w:t>(</w:t>
      </w:r>
      <w:r w:rsidR="00330A01" w:rsidRPr="00363097">
        <w:rPr>
          <w:noProof/>
          <w:lang w:val="en-IE"/>
        </w:rPr>
        <w:t>b</w:t>
      </w:r>
      <w:r w:rsidRPr="00363097">
        <w:rPr>
          <w:noProof/>
          <w:lang w:val="en-IE"/>
        </w:rPr>
        <w:t>)</w:t>
      </w:r>
      <w:r w:rsidRPr="00363097">
        <w:rPr>
          <w:noProof/>
          <w:lang w:val="en-IE"/>
        </w:rPr>
        <w:tab/>
        <w:t>Where, at the date of entry in the BEFIT group, one or more fixed asset</w:t>
      </w:r>
      <w:r w:rsidR="00330A01" w:rsidRPr="00363097">
        <w:rPr>
          <w:noProof/>
          <w:lang w:val="en-IE"/>
        </w:rPr>
        <w:t>s</w:t>
      </w:r>
      <w:r w:rsidRPr="00363097">
        <w:rPr>
          <w:noProof/>
          <w:lang w:val="en-IE"/>
        </w:rPr>
        <w:t xml:space="preserve"> have a net value in the individual financial accounts which differs from the net tax value</w:t>
      </w:r>
      <w:r w:rsidR="00ED1D4A" w:rsidRPr="00363097">
        <w:rPr>
          <w:noProof/>
          <w:lang w:val="en-IE"/>
        </w:rPr>
        <w:t>, the total amount corresponding to such difference for all fixed assets concerned shall be pooled for each BEFIT group member in the fiscal year of entry in the BEFIT group and be</w:t>
      </w:r>
      <w:r w:rsidR="00ED1D4A" w:rsidRPr="00363097">
        <w:rPr>
          <w:noProof/>
        </w:rPr>
        <w:t xml:space="preserve"> spread over a period of 5 years in the preliminary tax result</w:t>
      </w:r>
      <w:r w:rsidR="00A775EE" w:rsidRPr="00363097">
        <w:rPr>
          <w:noProof/>
        </w:rPr>
        <w:t>. T</w:t>
      </w:r>
      <w:r w:rsidR="00ED1D4A" w:rsidRPr="00363097">
        <w:rPr>
          <w:noProof/>
        </w:rPr>
        <w:t>he financial accounting net income or loss of each BEFIT group member shall be adjusted accordingly</w:t>
      </w:r>
      <w:r w:rsidR="00ED1D4A" w:rsidRPr="00363097">
        <w:rPr>
          <w:noProof/>
          <w:lang w:val="en-IE"/>
        </w:rPr>
        <w:t>.</w:t>
      </w:r>
    </w:p>
    <w:p w14:paraId="51858472" w14:textId="77777777" w:rsidR="00081B7A" w:rsidRPr="00363097" w:rsidRDefault="00081B7A" w:rsidP="006B487B">
      <w:pPr>
        <w:pStyle w:val="Titrearticle2"/>
        <w:rPr>
          <w:b/>
          <w:bCs/>
          <w:noProof/>
        </w:rPr>
      </w:pPr>
      <w:r w:rsidRPr="00363097">
        <w:rPr>
          <w:noProof/>
          <w:lang w:val="en-IE"/>
        </w:rPr>
        <w:t>Article 36</w:t>
      </w:r>
      <w:r w:rsidRPr="00363097">
        <w:rPr>
          <w:noProof/>
          <w:lang w:val="en-IE"/>
        </w:rPr>
        <w:br/>
      </w:r>
      <w:r w:rsidRPr="00363097">
        <w:rPr>
          <w:b/>
          <w:bCs/>
          <w:noProof/>
        </w:rPr>
        <w:t>Long-term contracts when entering a BEFIT group</w:t>
      </w:r>
    </w:p>
    <w:p w14:paraId="0A36EEDF" w14:textId="293A4EDA" w:rsidR="00081B7A" w:rsidRPr="00363097" w:rsidRDefault="00634583" w:rsidP="00634583">
      <w:pPr>
        <w:pStyle w:val="ManualNumPar1"/>
        <w:rPr>
          <w:noProof/>
        </w:rPr>
      </w:pPr>
      <w:r w:rsidRPr="00634583">
        <w:t>1.</w:t>
      </w:r>
      <w:r w:rsidRPr="00634583">
        <w:tab/>
      </w:r>
      <w:r w:rsidR="00081B7A" w:rsidRPr="00363097">
        <w:rPr>
          <w:noProof/>
        </w:rPr>
        <w:t xml:space="preserve">A company or </w:t>
      </w:r>
      <w:r w:rsidR="00A415FC" w:rsidRPr="00363097">
        <w:rPr>
          <w:noProof/>
        </w:rPr>
        <w:t>a</w:t>
      </w:r>
      <w:r w:rsidR="00081B7A" w:rsidRPr="00363097">
        <w:rPr>
          <w:noProof/>
        </w:rPr>
        <w:t xml:space="preserve"> permanent establishment that enters a BEFIT group shall adjust to include, in accordance with the timing rules of national law, in its share of the BEFIT</w:t>
      </w:r>
      <w:r w:rsidR="00081B7A" w:rsidRPr="00363097">
        <w:rPr>
          <w:b/>
          <w:bCs/>
          <w:noProof/>
        </w:rPr>
        <w:t xml:space="preserve"> </w:t>
      </w:r>
      <w:r w:rsidR="00081B7A" w:rsidRPr="00363097">
        <w:rPr>
          <w:noProof/>
        </w:rPr>
        <w:t xml:space="preserve">tax base as determined in accordance with the rules of Chapter III, the amount of revenues and costs which, pursuant to Article 32, are considered to have accrued or been incurred before this Directive became applicable but were not yet included in its tax base under the previously applicable national corporate tax law. </w:t>
      </w:r>
    </w:p>
    <w:p w14:paraId="7876923D" w14:textId="0735779C" w:rsidR="00081B7A" w:rsidRPr="00363097" w:rsidRDefault="00634583" w:rsidP="00634583">
      <w:pPr>
        <w:pStyle w:val="ManualNumPar1"/>
        <w:rPr>
          <w:noProof/>
        </w:rPr>
      </w:pPr>
      <w:r w:rsidRPr="00634583">
        <w:t>2.</w:t>
      </w:r>
      <w:r w:rsidRPr="00634583">
        <w:tab/>
      </w:r>
      <w:r w:rsidR="00081B7A" w:rsidRPr="00363097">
        <w:rPr>
          <w:noProof/>
        </w:rPr>
        <w:t xml:space="preserve">A company or </w:t>
      </w:r>
      <w:r w:rsidR="00A415FC" w:rsidRPr="00363097">
        <w:rPr>
          <w:noProof/>
        </w:rPr>
        <w:t>a</w:t>
      </w:r>
      <w:r w:rsidR="00081B7A" w:rsidRPr="00363097">
        <w:rPr>
          <w:noProof/>
        </w:rPr>
        <w:t xml:space="preserve"> permanent establishment that enters a BEFIT group shall deduct in the first fiscal year from its share of the BEFIT tax base, as determined in accordance with the rules of Chapter III, the </w:t>
      </w:r>
      <w:r w:rsidR="00B160E2">
        <w:rPr>
          <w:noProof/>
        </w:rPr>
        <w:t>revenues</w:t>
      </w:r>
      <w:r w:rsidR="00B160E2" w:rsidRPr="00363097">
        <w:rPr>
          <w:noProof/>
        </w:rPr>
        <w:t xml:space="preserve"> </w:t>
      </w:r>
      <w:r w:rsidR="00081B7A" w:rsidRPr="00363097">
        <w:rPr>
          <w:noProof/>
        </w:rPr>
        <w:t xml:space="preserve">of a long-term contract which have previously been subject to tax under national corporate tax law at an amount higher than the amount that would have been included in its preliminary tax result pursuant to Article 32. </w:t>
      </w:r>
    </w:p>
    <w:p w14:paraId="77D514F5" w14:textId="6E3520BA" w:rsidR="00081B7A" w:rsidRPr="00363097" w:rsidRDefault="00634583" w:rsidP="00634583">
      <w:pPr>
        <w:pStyle w:val="ManualNumPar1"/>
        <w:rPr>
          <w:noProof/>
        </w:rPr>
      </w:pPr>
      <w:bookmarkStart w:id="12" w:name="_Hlk137205630"/>
      <w:r w:rsidRPr="00634583">
        <w:t>3.</w:t>
      </w:r>
      <w:r w:rsidRPr="00634583">
        <w:tab/>
      </w:r>
      <w:r w:rsidR="00081B7A" w:rsidRPr="00363097">
        <w:rPr>
          <w:noProof/>
        </w:rPr>
        <w:t xml:space="preserve">Where the share of </w:t>
      </w:r>
      <w:r w:rsidR="00A415FC" w:rsidRPr="00363097">
        <w:rPr>
          <w:noProof/>
        </w:rPr>
        <w:t xml:space="preserve">the </w:t>
      </w:r>
      <w:r w:rsidR="00081B7A" w:rsidRPr="00363097">
        <w:rPr>
          <w:noProof/>
        </w:rPr>
        <w:t>BEFIT tax base of a BEFIT group member in a fiscal year is lower than the deductible amounts as determined under paragraph</w:t>
      </w:r>
      <w:r w:rsidR="00C1227B" w:rsidRPr="00363097">
        <w:rPr>
          <w:noProof/>
        </w:rPr>
        <w:t>s</w:t>
      </w:r>
      <w:r w:rsidR="00081B7A" w:rsidRPr="00363097">
        <w:rPr>
          <w:noProof/>
        </w:rPr>
        <w:t xml:space="preserve"> 1 and 2, any unrelieved amount shall be carried forward and offset by the BEFIT group member against its share of </w:t>
      </w:r>
      <w:r w:rsidR="00F87366" w:rsidRPr="00363097">
        <w:rPr>
          <w:noProof/>
        </w:rPr>
        <w:t xml:space="preserve">the </w:t>
      </w:r>
      <w:r w:rsidR="00081B7A" w:rsidRPr="00363097">
        <w:rPr>
          <w:noProof/>
        </w:rPr>
        <w:t>BEFIT tax base in the following fiscal years.</w:t>
      </w:r>
      <w:bookmarkEnd w:id="12"/>
    </w:p>
    <w:p w14:paraId="4492034C" w14:textId="77777777" w:rsidR="00081B7A" w:rsidRPr="00363097" w:rsidRDefault="00081B7A" w:rsidP="006B487B">
      <w:pPr>
        <w:pStyle w:val="Titrearticle2"/>
        <w:rPr>
          <w:b/>
          <w:bCs/>
          <w:noProof/>
        </w:rPr>
      </w:pPr>
      <w:r w:rsidRPr="00363097">
        <w:rPr>
          <w:noProof/>
          <w:lang w:val="en-IE"/>
        </w:rPr>
        <w:t>Article 37</w:t>
      </w:r>
      <w:r w:rsidRPr="00363097">
        <w:rPr>
          <w:noProof/>
          <w:lang w:val="en-IE"/>
        </w:rPr>
        <w:br/>
      </w:r>
      <w:r w:rsidRPr="00363097">
        <w:rPr>
          <w:b/>
          <w:bCs/>
          <w:noProof/>
        </w:rPr>
        <w:t>Provisions, revenues and deductions when entering a BEFIT group</w:t>
      </w:r>
    </w:p>
    <w:p w14:paraId="30956409" w14:textId="1522AC35" w:rsidR="00081B7A" w:rsidRPr="00363097" w:rsidRDefault="00634583" w:rsidP="00634583">
      <w:pPr>
        <w:pStyle w:val="ManualNumPar1"/>
        <w:rPr>
          <w:noProof/>
        </w:rPr>
      </w:pPr>
      <w:r w:rsidRPr="00634583">
        <w:t>1.</w:t>
      </w:r>
      <w:r w:rsidRPr="00634583">
        <w:tab/>
      </w:r>
      <w:r w:rsidR="007E31F7" w:rsidRPr="00363097">
        <w:rPr>
          <w:noProof/>
        </w:rPr>
        <w:t>P</w:t>
      </w:r>
      <w:r w:rsidR="00081B7A" w:rsidRPr="00363097">
        <w:rPr>
          <w:noProof/>
        </w:rPr>
        <w:t>rovisions and bad-debt deductions as referred to in Articles 30 and 31 shall be deductible only to the extent that they arise from activities or transactions that were carried out after this Directive became applicable to the BEFIT group member.</w:t>
      </w:r>
    </w:p>
    <w:p w14:paraId="6E2B768C" w14:textId="311531C2" w:rsidR="00081B7A" w:rsidRPr="00363097" w:rsidRDefault="00634583" w:rsidP="00634583">
      <w:pPr>
        <w:pStyle w:val="ManualNumPar1"/>
        <w:rPr>
          <w:noProof/>
        </w:rPr>
      </w:pPr>
      <w:r w:rsidRPr="00634583">
        <w:t>2.</w:t>
      </w:r>
      <w:r w:rsidRPr="00634583">
        <w:tab/>
      </w:r>
      <w:r w:rsidR="00081B7A" w:rsidRPr="00363097">
        <w:rPr>
          <w:noProof/>
        </w:rPr>
        <w:t>Revenues which pursuant to the applicable acceptable accounting standard in the Union used in accordance with Article 7 are considered to have accrued before this Directive became applicable to a BEFIT group member, but were not included in its tax base under the previously applicable national corporate tax law, shall be added to its allocated part in accordance with the timing rules of the relevant national corporate tax law.</w:t>
      </w:r>
    </w:p>
    <w:p w14:paraId="146FCB6D" w14:textId="2F9CE54B" w:rsidR="00081B7A" w:rsidRPr="00363097" w:rsidRDefault="00634583" w:rsidP="00634583">
      <w:pPr>
        <w:pStyle w:val="ManualNumPar1"/>
        <w:rPr>
          <w:noProof/>
        </w:rPr>
      </w:pPr>
      <w:r w:rsidRPr="00634583">
        <w:t>3.</w:t>
      </w:r>
      <w:r w:rsidRPr="00634583">
        <w:tab/>
      </w:r>
      <w:r w:rsidR="00081B7A" w:rsidRPr="00363097">
        <w:rPr>
          <w:noProof/>
        </w:rPr>
        <w:t>Expenses incurred after this Directive became applicable to a BEFIT group member</w:t>
      </w:r>
      <w:r w:rsidR="007E31F7" w:rsidRPr="00363097">
        <w:rPr>
          <w:noProof/>
        </w:rPr>
        <w:t>, but in relation to activities or transactions that were carried out earlier</w:t>
      </w:r>
      <w:r w:rsidR="00081B7A" w:rsidRPr="00363097">
        <w:rPr>
          <w:noProof/>
        </w:rPr>
        <w:t xml:space="preserve"> and for which no deduction was made under the applicable national corporate tax law shall be deducted against its allocated part. </w:t>
      </w:r>
    </w:p>
    <w:p w14:paraId="1FDBE419" w14:textId="77777777" w:rsidR="00081B7A" w:rsidRPr="00363097" w:rsidRDefault="00081B7A" w:rsidP="00501613">
      <w:pPr>
        <w:pStyle w:val="Text1"/>
        <w:rPr>
          <w:noProof/>
        </w:rPr>
      </w:pPr>
      <w:r w:rsidRPr="00363097">
        <w:rPr>
          <w:noProof/>
        </w:rPr>
        <w:t xml:space="preserve">Where expenses as referred </w:t>
      </w:r>
      <w:r w:rsidR="00607CA5" w:rsidRPr="00363097">
        <w:rPr>
          <w:noProof/>
        </w:rPr>
        <w:t xml:space="preserve">to </w:t>
      </w:r>
      <w:r w:rsidRPr="00363097">
        <w:rPr>
          <w:noProof/>
        </w:rPr>
        <w:t xml:space="preserve">in the first subparagraph are incurred more than five years after a company or </w:t>
      </w:r>
      <w:r w:rsidR="00A415FC" w:rsidRPr="00363097">
        <w:rPr>
          <w:noProof/>
        </w:rPr>
        <w:t xml:space="preserve">a </w:t>
      </w:r>
      <w:r w:rsidRPr="00363097">
        <w:rPr>
          <w:noProof/>
        </w:rPr>
        <w:t>permanent establishment enters a BEFIT group, those expenses shall be deducted from its preliminary tax result before aggregation and profit allocation.</w:t>
      </w:r>
    </w:p>
    <w:p w14:paraId="51CA6235" w14:textId="77777777" w:rsidR="00081B7A" w:rsidRPr="00363097" w:rsidRDefault="00081B7A" w:rsidP="00081B7A">
      <w:pPr>
        <w:pStyle w:val="Text1"/>
        <w:rPr>
          <w:noProof/>
        </w:rPr>
      </w:pPr>
      <w:r w:rsidRPr="00363097">
        <w:rPr>
          <w:noProof/>
        </w:rPr>
        <w:t>Expenses incurred under national corporate tax law that had not yet been deducted when this Directive became applicable to a BEFIT group member shall be deductible only against its allocated part of the BEFIT tax base, as computed in accordance with Chapter III, in equal amounts and spread over five fiscal years. Expenses that involve borrowing costs shall be deductible in accordance with Article 13.</w:t>
      </w:r>
    </w:p>
    <w:p w14:paraId="5C265DE6" w14:textId="77777777" w:rsidR="00081B7A" w:rsidRPr="00363097" w:rsidRDefault="00081B7A" w:rsidP="00081B7A">
      <w:pPr>
        <w:pStyle w:val="Text1"/>
        <w:rPr>
          <w:noProof/>
        </w:rPr>
      </w:pPr>
      <w:r w:rsidRPr="00363097">
        <w:rPr>
          <w:noProof/>
        </w:rPr>
        <w:t xml:space="preserve">Where the share of </w:t>
      </w:r>
      <w:r w:rsidR="00F87366" w:rsidRPr="00363097">
        <w:rPr>
          <w:noProof/>
        </w:rPr>
        <w:t>the</w:t>
      </w:r>
      <w:r w:rsidRPr="00363097">
        <w:rPr>
          <w:noProof/>
        </w:rPr>
        <w:t xml:space="preserve"> BEFIT tax base that has been allocated to a BEFIT group member in a fiscal year is not sufficient to fully deduct the amounts referred to in the first and third subparagraphs, the unrelieved amounts shall be carried forward and offset by the BEFIT group member against its share of </w:t>
      </w:r>
      <w:r w:rsidR="00F87366" w:rsidRPr="00363097">
        <w:rPr>
          <w:noProof/>
        </w:rPr>
        <w:t xml:space="preserve">the </w:t>
      </w:r>
      <w:r w:rsidRPr="00363097">
        <w:rPr>
          <w:noProof/>
        </w:rPr>
        <w:t>BEFIT tax base in the following fiscal years.</w:t>
      </w:r>
    </w:p>
    <w:p w14:paraId="46ED27CE" w14:textId="3EBB3995" w:rsidR="00081B7A" w:rsidRPr="00363097" w:rsidRDefault="00634583" w:rsidP="00634583">
      <w:pPr>
        <w:pStyle w:val="ManualNumPar1"/>
        <w:rPr>
          <w:bCs/>
          <w:noProof/>
          <w:szCs w:val="24"/>
        </w:rPr>
      </w:pPr>
      <w:r w:rsidRPr="00634583">
        <w:t>4.</w:t>
      </w:r>
      <w:r w:rsidRPr="00634583">
        <w:tab/>
      </w:r>
      <w:r w:rsidR="00081B7A" w:rsidRPr="00363097">
        <w:rPr>
          <w:noProof/>
        </w:rPr>
        <w:t>Any amount deducted before this Directive became applicable to a BEFIT group member shall not be deducted again.</w:t>
      </w:r>
    </w:p>
    <w:p w14:paraId="131CEF38" w14:textId="77777777" w:rsidR="00081B7A" w:rsidRPr="00363097" w:rsidRDefault="00081B7A" w:rsidP="006B487B">
      <w:pPr>
        <w:pStyle w:val="Titrearticle2"/>
        <w:rPr>
          <w:b/>
          <w:bCs/>
          <w:noProof/>
        </w:rPr>
      </w:pPr>
      <w:r w:rsidRPr="00363097">
        <w:rPr>
          <w:noProof/>
          <w:lang w:val="en-IE"/>
        </w:rPr>
        <w:t>Article 38</w:t>
      </w:r>
      <w:r w:rsidRPr="00363097">
        <w:rPr>
          <w:noProof/>
          <w:lang w:val="en-IE"/>
        </w:rPr>
        <w:br/>
      </w:r>
      <w:r w:rsidRPr="00363097">
        <w:rPr>
          <w:b/>
          <w:bCs/>
          <w:noProof/>
        </w:rPr>
        <w:t>Pre-entry losses</w:t>
      </w:r>
    </w:p>
    <w:p w14:paraId="5811E19A" w14:textId="77777777" w:rsidR="00081B7A" w:rsidRPr="00363097" w:rsidRDefault="00081B7A" w:rsidP="00081B7A">
      <w:pPr>
        <w:spacing w:before="0" w:after="200" w:line="276" w:lineRule="auto"/>
        <w:rPr>
          <w:noProof/>
        </w:rPr>
      </w:pPr>
      <w:r w:rsidRPr="00363097">
        <w:rPr>
          <w:noProof/>
        </w:rPr>
        <w:t xml:space="preserve">Where a company or </w:t>
      </w:r>
      <w:r w:rsidR="00607CA5" w:rsidRPr="00363097">
        <w:rPr>
          <w:noProof/>
        </w:rPr>
        <w:t>a</w:t>
      </w:r>
      <w:r w:rsidRPr="00363097">
        <w:rPr>
          <w:noProof/>
        </w:rPr>
        <w:t xml:space="preserve"> permanent establishment enters a BEFIT group, any unrelieved losses incurred before the entry date, in accordance with the corporate tax law of the Member State of its tax residence or location respectively, shall be deducted from its share of the BEFIT tax base as determined in accordance with Chapter III. </w:t>
      </w:r>
    </w:p>
    <w:p w14:paraId="4108BBDE" w14:textId="77777777" w:rsidR="00081B7A" w:rsidRPr="00363097" w:rsidRDefault="00081B7A" w:rsidP="006B487B">
      <w:pPr>
        <w:pStyle w:val="Titrearticle2"/>
        <w:rPr>
          <w:b/>
          <w:bCs/>
          <w:noProof/>
        </w:rPr>
      </w:pPr>
      <w:r w:rsidRPr="00363097">
        <w:rPr>
          <w:noProof/>
          <w:lang w:val="en-IE"/>
        </w:rPr>
        <w:t>Article 39</w:t>
      </w:r>
      <w:r w:rsidRPr="00363097">
        <w:rPr>
          <w:noProof/>
          <w:lang w:val="en-IE"/>
        </w:rPr>
        <w:br/>
      </w:r>
      <w:r w:rsidRPr="00363097">
        <w:rPr>
          <w:b/>
          <w:bCs/>
          <w:noProof/>
        </w:rPr>
        <w:t>Termination of a group</w:t>
      </w:r>
    </w:p>
    <w:p w14:paraId="071C1535" w14:textId="29766987" w:rsidR="00081B7A" w:rsidRPr="00363097" w:rsidRDefault="00634583" w:rsidP="00634583">
      <w:pPr>
        <w:pStyle w:val="ManualNumPar1"/>
        <w:rPr>
          <w:noProof/>
        </w:rPr>
      </w:pPr>
      <w:r w:rsidRPr="00634583">
        <w:t>1.</w:t>
      </w:r>
      <w:r w:rsidRPr="00634583">
        <w:tab/>
      </w:r>
      <w:r w:rsidR="00081B7A" w:rsidRPr="00363097">
        <w:rPr>
          <w:noProof/>
        </w:rPr>
        <w:t xml:space="preserve">Where a BEFIT group is terminated, the fiscal year shall be ended and the BEFIT tax base of that fiscal year shall be allocated to each BEFIT group member in accordance with the rules laid down in Chapter III. </w:t>
      </w:r>
    </w:p>
    <w:p w14:paraId="5B6658C3" w14:textId="6BA16396" w:rsidR="00081B7A" w:rsidRPr="00363097" w:rsidRDefault="00634583" w:rsidP="00634583">
      <w:pPr>
        <w:pStyle w:val="ManualNumPar1"/>
        <w:rPr>
          <w:noProof/>
        </w:rPr>
      </w:pPr>
      <w:r w:rsidRPr="00634583">
        <w:t>2.</w:t>
      </w:r>
      <w:r w:rsidRPr="00634583">
        <w:tab/>
      </w:r>
      <w:r w:rsidR="00081B7A" w:rsidRPr="00363097">
        <w:rPr>
          <w:noProof/>
        </w:rPr>
        <w:t xml:space="preserve">The depreciation of the assets of the BEFIT group members in the fiscal year of termination of a BEFIT group shall be computed in proportion to the number of calendar months that the BEFIT group operated in that fiscal year. </w:t>
      </w:r>
    </w:p>
    <w:p w14:paraId="006807C3" w14:textId="77777777" w:rsidR="00081B7A" w:rsidRPr="00363097" w:rsidRDefault="00081B7A" w:rsidP="006B487B">
      <w:pPr>
        <w:pStyle w:val="Titrearticle2"/>
        <w:rPr>
          <w:b/>
          <w:bCs/>
          <w:noProof/>
        </w:rPr>
      </w:pPr>
      <w:r w:rsidRPr="00363097">
        <w:rPr>
          <w:iCs/>
          <w:noProof/>
          <w:lang w:val="en-IE"/>
        </w:rPr>
        <w:t>Article 40</w:t>
      </w:r>
      <w:r w:rsidRPr="00363097">
        <w:rPr>
          <w:iCs/>
          <w:noProof/>
          <w:lang w:val="en-IE"/>
        </w:rPr>
        <w:br/>
      </w:r>
      <w:r w:rsidRPr="00363097">
        <w:rPr>
          <w:b/>
          <w:bCs/>
          <w:noProof/>
        </w:rPr>
        <w:t>Business reorganisations</w:t>
      </w:r>
    </w:p>
    <w:p w14:paraId="31FE6BED" w14:textId="2AD294C0" w:rsidR="004044F3" w:rsidRPr="00363097" w:rsidRDefault="00634583" w:rsidP="00634583">
      <w:pPr>
        <w:pStyle w:val="ManualNumPar1"/>
        <w:rPr>
          <w:bCs/>
          <w:noProof/>
          <w:szCs w:val="24"/>
        </w:rPr>
      </w:pPr>
      <w:r w:rsidRPr="00634583">
        <w:t>1.</w:t>
      </w:r>
      <w:r w:rsidRPr="00634583">
        <w:tab/>
      </w:r>
      <w:r w:rsidR="00863BEF" w:rsidRPr="00363097">
        <w:rPr>
          <w:noProof/>
        </w:rPr>
        <w:t>Without prejudice to Article 9, a</w:t>
      </w:r>
      <w:r w:rsidR="00081B7A" w:rsidRPr="00363097">
        <w:rPr>
          <w:noProof/>
        </w:rPr>
        <w:t xml:space="preserve"> BEFIT group member that disposes of assets and liabilities during a fiscal year shall include the gain or loss arising from such disposition in the computation of its preliminary tax result.</w:t>
      </w:r>
    </w:p>
    <w:p w14:paraId="087F43C3" w14:textId="77777777" w:rsidR="00081B7A" w:rsidRPr="00363097" w:rsidRDefault="00E45923" w:rsidP="00501613">
      <w:pPr>
        <w:pStyle w:val="Text1"/>
        <w:rPr>
          <w:noProof/>
        </w:rPr>
      </w:pPr>
      <w:r w:rsidRPr="00363097">
        <w:rPr>
          <w:noProof/>
        </w:rPr>
        <w:t xml:space="preserve">A BEFIT group member </w:t>
      </w:r>
      <w:r w:rsidR="004528D8" w:rsidRPr="00363097">
        <w:rPr>
          <w:noProof/>
        </w:rPr>
        <w:t xml:space="preserve">that acquires assets and liabilities shall determine its income or loss </w:t>
      </w:r>
      <w:r w:rsidR="005A13EC" w:rsidRPr="00363097">
        <w:rPr>
          <w:noProof/>
        </w:rPr>
        <w:t xml:space="preserve">at the time of disposition </w:t>
      </w:r>
      <w:r w:rsidR="004528D8" w:rsidRPr="00363097">
        <w:rPr>
          <w:noProof/>
        </w:rPr>
        <w:t xml:space="preserve">based on the market value of the acquired assets and liabilities </w:t>
      </w:r>
      <w:r w:rsidR="005A13EC" w:rsidRPr="00363097">
        <w:rPr>
          <w:noProof/>
        </w:rPr>
        <w:t>as it stands at</w:t>
      </w:r>
      <w:r w:rsidR="004528D8" w:rsidRPr="00363097">
        <w:rPr>
          <w:noProof/>
        </w:rPr>
        <w:t xml:space="preserve"> the </w:t>
      </w:r>
      <w:r w:rsidR="005A13EC" w:rsidRPr="00363097">
        <w:rPr>
          <w:noProof/>
        </w:rPr>
        <w:t>time of acquisition</w:t>
      </w:r>
      <w:r w:rsidR="002B043A" w:rsidRPr="00363097">
        <w:rPr>
          <w:noProof/>
        </w:rPr>
        <w:t xml:space="preserve">. </w:t>
      </w:r>
    </w:p>
    <w:p w14:paraId="1557377B" w14:textId="153B9BBE" w:rsidR="00081B7A" w:rsidRPr="00363097" w:rsidRDefault="00634583" w:rsidP="00634583">
      <w:pPr>
        <w:pStyle w:val="ManualNumPar1"/>
        <w:rPr>
          <w:noProof/>
        </w:rPr>
      </w:pPr>
      <w:r w:rsidRPr="00634583">
        <w:t>2.</w:t>
      </w:r>
      <w:r w:rsidRPr="00634583">
        <w:tab/>
      </w:r>
      <w:r w:rsidR="00081B7A" w:rsidRPr="00363097">
        <w:rPr>
          <w:noProof/>
        </w:rPr>
        <w:t>Notwithstanding paragraph 1, where a transfer of assets and liabilities takes place in the context of a reorganisation as defined in Article 2</w:t>
      </w:r>
      <w:r w:rsidR="00081B7A" w:rsidRPr="00363097">
        <w:rPr>
          <w:noProof/>
          <w:szCs w:val="24"/>
        </w:rPr>
        <w:t xml:space="preserve"> </w:t>
      </w:r>
      <w:r w:rsidR="00081B7A" w:rsidRPr="00363097">
        <w:rPr>
          <w:noProof/>
        </w:rPr>
        <w:t xml:space="preserve">of </w:t>
      </w:r>
      <w:r w:rsidR="00081B7A" w:rsidRPr="00363097">
        <w:rPr>
          <w:rFonts w:asciiTheme="minorHAnsi" w:hAnsiTheme="minorHAnsi" w:cstheme="minorBidi"/>
          <w:iCs/>
          <w:noProof/>
          <w:sz w:val="22"/>
        </w:rPr>
        <w:t>C</w:t>
      </w:r>
      <w:r w:rsidR="00081B7A" w:rsidRPr="00363097">
        <w:rPr>
          <w:iCs/>
          <w:noProof/>
        </w:rPr>
        <w:t>ouncil Directive 2009/133/EC</w:t>
      </w:r>
      <w:r w:rsidR="00081B7A" w:rsidRPr="00363097">
        <w:rPr>
          <w:rStyle w:val="FootnoteReference0"/>
          <w:noProof/>
        </w:rPr>
        <w:footnoteReference w:id="35"/>
      </w:r>
      <w:r w:rsidR="00081B7A" w:rsidRPr="00363097">
        <w:rPr>
          <w:noProof/>
          <w:szCs w:val="24"/>
        </w:rPr>
        <w:t xml:space="preserve">: </w:t>
      </w:r>
    </w:p>
    <w:p w14:paraId="4DF82088" w14:textId="77777777" w:rsidR="00081B7A" w:rsidRPr="00363097" w:rsidRDefault="00081B7A" w:rsidP="00081B7A">
      <w:pPr>
        <w:pStyle w:val="Point1"/>
        <w:rPr>
          <w:noProof/>
        </w:rPr>
      </w:pPr>
      <w:r w:rsidRPr="00363097">
        <w:rPr>
          <w:noProof/>
        </w:rPr>
        <w:t>(</w:t>
      </w:r>
      <w:r w:rsidR="00A6762C" w:rsidRPr="00363097">
        <w:rPr>
          <w:noProof/>
        </w:rPr>
        <w:t>a</w:t>
      </w:r>
      <w:r w:rsidRPr="00363097">
        <w:rPr>
          <w:noProof/>
        </w:rPr>
        <w:t>)</w:t>
      </w:r>
      <w:r w:rsidRPr="00363097">
        <w:rPr>
          <w:noProof/>
        </w:rPr>
        <w:tab/>
        <w:t xml:space="preserve">the BEFIT group member that disposes of the assets and liabilities shall exclude any resulting gain or loss from the computation of its preliminary tax result; </w:t>
      </w:r>
    </w:p>
    <w:p w14:paraId="4304D9BF" w14:textId="77777777" w:rsidR="00081B7A" w:rsidRPr="00363097" w:rsidRDefault="00081B7A" w:rsidP="00081B7A">
      <w:pPr>
        <w:pStyle w:val="Point1"/>
        <w:rPr>
          <w:noProof/>
        </w:rPr>
      </w:pPr>
      <w:r w:rsidRPr="00363097">
        <w:rPr>
          <w:noProof/>
        </w:rPr>
        <w:t>(</w:t>
      </w:r>
      <w:r w:rsidR="00A6762C" w:rsidRPr="00363097">
        <w:rPr>
          <w:noProof/>
        </w:rPr>
        <w:t>b</w:t>
      </w:r>
      <w:r w:rsidRPr="00363097">
        <w:rPr>
          <w:noProof/>
        </w:rPr>
        <w:t>)</w:t>
      </w:r>
      <w:r w:rsidRPr="00363097">
        <w:rPr>
          <w:noProof/>
        </w:rPr>
        <w:tab/>
        <w:t xml:space="preserve">the BEFIT group member that acquires the assets and liabilities shall determine its preliminary tax result, in that fiscal year and the following fiscal years, by using the value for tax purposes, as it stands at the </w:t>
      </w:r>
      <w:r w:rsidR="00471AFC" w:rsidRPr="00363097">
        <w:rPr>
          <w:noProof/>
        </w:rPr>
        <w:t>time of the</w:t>
      </w:r>
      <w:r w:rsidRPr="00363097">
        <w:rPr>
          <w:noProof/>
        </w:rPr>
        <w:t xml:space="preserve"> transfer and </w:t>
      </w:r>
      <w:r w:rsidR="00471AFC" w:rsidRPr="00363097">
        <w:rPr>
          <w:noProof/>
        </w:rPr>
        <w:t>a</w:t>
      </w:r>
      <w:r w:rsidRPr="00363097">
        <w:rPr>
          <w:noProof/>
        </w:rPr>
        <w:t xml:space="preserve">s </w:t>
      </w:r>
      <w:r w:rsidR="00471AFC" w:rsidRPr="00363097">
        <w:rPr>
          <w:noProof/>
        </w:rPr>
        <w:t>it</w:t>
      </w:r>
      <w:r w:rsidRPr="00363097">
        <w:rPr>
          <w:noProof/>
        </w:rPr>
        <w:t xml:space="preserve"> is defined under Article 4 of Directive</w:t>
      </w:r>
      <w:r w:rsidR="00F87366" w:rsidRPr="00363097">
        <w:rPr>
          <w:noProof/>
        </w:rPr>
        <w:t xml:space="preserve"> 2009/133/EC</w:t>
      </w:r>
      <w:r w:rsidRPr="00363097">
        <w:rPr>
          <w:noProof/>
        </w:rPr>
        <w:t>.</w:t>
      </w:r>
    </w:p>
    <w:p w14:paraId="2C225426" w14:textId="77777777" w:rsidR="00081B7A" w:rsidRPr="00363097" w:rsidRDefault="00081B7A" w:rsidP="006B487B">
      <w:pPr>
        <w:pStyle w:val="Titrearticle2"/>
        <w:rPr>
          <w:b/>
          <w:bCs/>
          <w:noProof/>
        </w:rPr>
      </w:pPr>
      <w:r w:rsidRPr="00363097">
        <w:rPr>
          <w:noProof/>
          <w:lang w:val="en-IE"/>
        </w:rPr>
        <w:t>Article 41</w:t>
      </w:r>
      <w:r w:rsidRPr="00363097">
        <w:rPr>
          <w:noProof/>
          <w:lang w:val="en-IE"/>
        </w:rPr>
        <w:br/>
      </w:r>
      <w:r w:rsidRPr="00363097">
        <w:rPr>
          <w:b/>
          <w:bCs/>
          <w:noProof/>
        </w:rPr>
        <w:t>Disallowance of exempt share dispositions</w:t>
      </w:r>
    </w:p>
    <w:p w14:paraId="3C02EE87" w14:textId="0C5ADF77" w:rsidR="00B04CC5" w:rsidRPr="00363097" w:rsidRDefault="00634583" w:rsidP="00634583">
      <w:pPr>
        <w:pStyle w:val="ManualNumPar1"/>
        <w:rPr>
          <w:noProof/>
        </w:rPr>
      </w:pPr>
      <w:r w:rsidRPr="00634583">
        <w:t>1.</w:t>
      </w:r>
      <w:r w:rsidRPr="00634583">
        <w:tab/>
      </w:r>
      <w:r w:rsidR="00820397">
        <w:rPr>
          <w:noProof/>
        </w:rPr>
        <w:t>Notwithstanding Article 9, w</w:t>
      </w:r>
      <w:r w:rsidR="00081B7A" w:rsidRPr="00363097">
        <w:rPr>
          <w:noProof/>
        </w:rPr>
        <w:t xml:space="preserve">here, as a result of a disposition of shares, a BEFIT group member leaves the BEFIT group and </w:t>
      </w:r>
      <w:r w:rsidR="005D1D4E" w:rsidRPr="00363097">
        <w:rPr>
          <w:noProof/>
        </w:rPr>
        <w:t xml:space="preserve">during that or the previous fiscal year, </w:t>
      </w:r>
      <w:r w:rsidR="00081B7A" w:rsidRPr="00363097">
        <w:rPr>
          <w:noProof/>
        </w:rPr>
        <w:t>this BEFIT group member acquired, in an intra-BEFIT group transaction, one or more fixed assets, an amount corresponding to the gain or loss arising from the intra-BEFIT group disposition of these fixed assets shall</w:t>
      </w:r>
      <w:r w:rsidR="00C61320">
        <w:rPr>
          <w:noProof/>
        </w:rPr>
        <w:t xml:space="preserve"> </w:t>
      </w:r>
      <w:r w:rsidR="007F07FE">
        <w:rPr>
          <w:noProof/>
        </w:rPr>
        <w:t xml:space="preserve">be </w:t>
      </w:r>
      <w:r w:rsidR="004918D2">
        <w:rPr>
          <w:noProof/>
        </w:rPr>
        <w:t>included in</w:t>
      </w:r>
      <w:r w:rsidR="00081B7A" w:rsidRPr="00363097">
        <w:rPr>
          <w:noProof/>
        </w:rPr>
        <w:t xml:space="preserve"> the </w:t>
      </w:r>
      <w:r w:rsidR="00081B7A" w:rsidRPr="00B235EF">
        <w:rPr>
          <w:noProof/>
          <w:lang w:val="en-IE"/>
        </w:rPr>
        <w:t>financial accounting net income or loss of the BEFIT group member</w:t>
      </w:r>
      <w:bookmarkStart w:id="13" w:name="_Hlk142570618"/>
      <w:r w:rsidR="00081B7A" w:rsidRPr="00B235EF">
        <w:rPr>
          <w:noProof/>
          <w:lang w:val="en-IE"/>
        </w:rPr>
        <w:t xml:space="preserve"> </w:t>
      </w:r>
      <w:bookmarkEnd w:id="13"/>
      <w:r w:rsidR="00103D43" w:rsidRPr="00B235EF">
        <w:rPr>
          <w:noProof/>
          <w:lang w:val="en-IE"/>
        </w:rPr>
        <w:t>which owned the assets prior to the intra</w:t>
      </w:r>
      <w:r w:rsidR="009055C0" w:rsidRPr="00B235EF">
        <w:rPr>
          <w:noProof/>
          <w:lang w:val="en-IE"/>
        </w:rPr>
        <w:t>-</w:t>
      </w:r>
      <w:r w:rsidR="00103D43" w:rsidRPr="00B235EF">
        <w:rPr>
          <w:noProof/>
          <w:lang w:val="en-IE"/>
        </w:rPr>
        <w:t>BEFIT group disposition</w:t>
      </w:r>
      <w:r w:rsidR="009055C0" w:rsidRPr="00B235EF">
        <w:rPr>
          <w:noProof/>
          <w:lang w:val="en-IE"/>
        </w:rPr>
        <w:t>.</w:t>
      </w:r>
    </w:p>
    <w:p w14:paraId="578577C6" w14:textId="77777777" w:rsidR="00081B7A" w:rsidRPr="00363097" w:rsidRDefault="00916A9C" w:rsidP="00363097">
      <w:pPr>
        <w:pStyle w:val="Text1"/>
        <w:rPr>
          <w:noProof/>
        </w:rPr>
      </w:pPr>
      <w:r w:rsidRPr="00363097">
        <w:rPr>
          <w:noProof/>
        </w:rPr>
        <w:t>The first s</w:t>
      </w:r>
      <w:r w:rsidR="00081B7A" w:rsidRPr="00363097">
        <w:rPr>
          <w:noProof/>
        </w:rPr>
        <w:t>ubparagraph</w:t>
      </w:r>
      <w:r w:rsidR="006C3D90" w:rsidRPr="00363097">
        <w:rPr>
          <w:noProof/>
        </w:rPr>
        <w:t xml:space="preserve"> shall not apply if the BEFIT group member demonstrates that the intra-BEFIT group transaction was carried out for valid commercial reasons.</w:t>
      </w:r>
    </w:p>
    <w:p w14:paraId="2D4FB1DE" w14:textId="262FA1B2" w:rsidR="00B235EF" w:rsidRPr="00B235EF" w:rsidRDefault="00634583" w:rsidP="00634583">
      <w:pPr>
        <w:pStyle w:val="ManualNumPar1"/>
        <w:rPr>
          <w:noProof/>
        </w:rPr>
      </w:pPr>
      <w:r w:rsidRPr="00634583">
        <w:t>2.</w:t>
      </w:r>
      <w:r w:rsidRPr="00634583">
        <w:tab/>
      </w:r>
      <w:r w:rsidR="00081B7A" w:rsidRPr="00B235EF">
        <w:rPr>
          <w:noProof/>
        </w:rPr>
        <w:t xml:space="preserve">The amount corresponding to the gain or loss arising from the intra-BEFIT group disposition referred to in paragraph 1 shall be the market value of the fixed assets </w:t>
      </w:r>
      <w:bookmarkStart w:id="14" w:name="_Int_7xRaHdWT"/>
      <w:r w:rsidR="00081B7A" w:rsidRPr="00B235EF">
        <w:rPr>
          <w:noProof/>
        </w:rPr>
        <w:t xml:space="preserve">at the </w:t>
      </w:r>
      <w:bookmarkEnd w:id="14"/>
      <w:r w:rsidR="00F87049" w:rsidRPr="00B235EF">
        <w:rPr>
          <w:noProof/>
        </w:rPr>
        <w:t>time when</w:t>
      </w:r>
      <w:r w:rsidR="00081B7A" w:rsidRPr="00B235EF">
        <w:rPr>
          <w:noProof/>
        </w:rPr>
        <w:t xml:space="preserve"> the BEFIT group member leaves the group less the value for tax purposes of the fixed assets</w:t>
      </w:r>
      <w:r w:rsidR="00AE751E" w:rsidRPr="00B235EF">
        <w:rPr>
          <w:noProof/>
        </w:rPr>
        <w:t xml:space="preserve"> or the costs</w:t>
      </w:r>
      <w:r w:rsidR="0092283E" w:rsidRPr="00B235EF">
        <w:rPr>
          <w:noProof/>
        </w:rPr>
        <w:t xml:space="preserve"> referred to in Article 29</w:t>
      </w:r>
      <w:r w:rsidR="00081B7A" w:rsidRPr="00B235EF">
        <w:rPr>
          <w:noProof/>
        </w:rPr>
        <w:t>.</w:t>
      </w:r>
    </w:p>
    <w:p w14:paraId="55B1F833" w14:textId="3E5A3853" w:rsidR="00081B7A" w:rsidRPr="00B235EF" w:rsidRDefault="00634583" w:rsidP="00634583">
      <w:pPr>
        <w:pStyle w:val="ManualNumPar1"/>
        <w:rPr>
          <w:noProof/>
        </w:rPr>
      </w:pPr>
      <w:r w:rsidRPr="00634583">
        <w:t>3.</w:t>
      </w:r>
      <w:r w:rsidRPr="00634583">
        <w:tab/>
      </w:r>
      <w:r w:rsidR="00081B7A" w:rsidRPr="00B235EF">
        <w:rPr>
          <w:noProof/>
        </w:rPr>
        <w:t xml:space="preserve">The gain or loss arising from the intra-BEFIT group disposition shall be deemed to have been received by the BEFIT group member </w:t>
      </w:r>
      <w:r w:rsidR="0092283E" w:rsidRPr="00B235EF">
        <w:rPr>
          <w:noProof/>
        </w:rPr>
        <w:t xml:space="preserve">that held the asset(s) prior </w:t>
      </w:r>
      <w:r w:rsidR="002D1F96" w:rsidRPr="00B235EF">
        <w:rPr>
          <w:noProof/>
        </w:rPr>
        <w:t>to the intra-BEFIT group transaction referred to in paragraph 1</w:t>
      </w:r>
      <w:r w:rsidR="00C61320" w:rsidRPr="00B235EF">
        <w:rPr>
          <w:noProof/>
        </w:rPr>
        <w:t>.</w:t>
      </w:r>
    </w:p>
    <w:p w14:paraId="278B9E50" w14:textId="77777777" w:rsidR="00081B7A" w:rsidRPr="00363097" w:rsidRDefault="00081B7A" w:rsidP="006B487B">
      <w:pPr>
        <w:pStyle w:val="ChapterTitle2"/>
        <w:rPr>
          <w:noProof/>
        </w:rPr>
      </w:pPr>
      <w:r w:rsidRPr="00363097">
        <w:rPr>
          <w:bCs/>
          <w:noProof/>
        </w:rPr>
        <w:t>CHAPTER III</w:t>
      </w:r>
      <w:r w:rsidRPr="00363097">
        <w:rPr>
          <w:bCs/>
          <w:noProof/>
        </w:rPr>
        <w:br/>
      </w:r>
      <w:r w:rsidRPr="00363097">
        <w:rPr>
          <w:noProof/>
        </w:rPr>
        <w:t>AGGREGATION OF THE PRELIMINARY TAX RESULTS and ALLOCATION OF THE BEFIT TAX BASE</w:t>
      </w:r>
    </w:p>
    <w:p w14:paraId="3245181D" w14:textId="77777777" w:rsidR="00081B7A" w:rsidRPr="00363097" w:rsidRDefault="00081B7A" w:rsidP="00081B7A">
      <w:pPr>
        <w:pStyle w:val="SectionTitle"/>
        <w:rPr>
          <w:noProof/>
          <w:lang w:val="en-IE"/>
        </w:rPr>
      </w:pPr>
      <w:r w:rsidRPr="00363097">
        <w:rPr>
          <w:noProof/>
          <w:lang w:val="en-IE"/>
        </w:rPr>
        <w:t>Section 1</w:t>
      </w:r>
      <w:r w:rsidRPr="00363097">
        <w:rPr>
          <w:noProof/>
          <w:lang w:val="en-IE"/>
        </w:rPr>
        <w:br/>
        <w:t>BEFIT tax base</w:t>
      </w:r>
    </w:p>
    <w:p w14:paraId="1FBADB17" w14:textId="77777777" w:rsidR="00081B7A" w:rsidRPr="00363097" w:rsidRDefault="00081B7A" w:rsidP="006B487B">
      <w:pPr>
        <w:pStyle w:val="Titrearticle2"/>
        <w:rPr>
          <w:b/>
          <w:noProof/>
        </w:rPr>
      </w:pPr>
      <w:r w:rsidRPr="00363097">
        <w:rPr>
          <w:noProof/>
          <w:lang w:val="en-IE"/>
        </w:rPr>
        <w:t>Article 42</w:t>
      </w:r>
      <w:r w:rsidRPr="00363097">
        <w:rPr>
          <w:noProof/>
          <w:lang w:val="en-IE"/>
        </w:rPr>
        <w:br/>
      </w:r>
      <w:r w:rsidRPr="00363097">
        <w:rPr>
          <w:b/>
          <w:noProof/>
        </w:rPr>
        <w:t>Computation of the BEFIT tax base</w:t>
      </w:r>
    </w:p>
    <w:p w14:paraId="5E73D0EE" w14:textId="3ECC4AB1" w:rsidR="00081B7A" w:rsidRDefault="00634583" w:rsidP="00634583">
      <w:pPr>
        <w:pStyle w:val="ManualNumPar1"/>
        <w:rPr>
          <w:noProof/>
          <w:lang w:val="en-IE"/>
        </w:rPr>
      </w:pPr>
      <w:r w:rsidRPr="00634583">
        <w:t>1.</w:t>
      </w:r>
      <w:r w:rsidRPr="00634583">
        <w:tab/>
      </w:r>
      <w:r w:rsidR="00081B7A" w:rsidRPr="00363097">
        <w:rPr>
          <w:noProof/>
          <w:lang w:val="en-IE"/>
        </w:rPr>
        <w:t xml:space="preserve">The preliminary tax results of all BEFIT group members, as determined in accordance with the rules laid down in Chapter II, shall be aggregated to obtain a BEFIT tax base. </w:t>
      </w:r>
    </w:p>
    <w:p w14:paraId="28E9BD38" w14:textId="52A27E18" w:rsidR="00003110" w:rsidRDefault="00634583" w:rsidP="00634583">
      <w:pPr>
        <w:pStyle w:val="ManualNumPar1"/>
        <w:rPr>
          <w:noProof/>
          <w:lang w:val="en-IE"/>
        </w:rPr>
      </w:pPr>
      <w:r w:rsidRPr="00634583">
        <w:t>2.</w:t>
      </w:r>
      <w:r w:rsidRPr="00634583">
        <w:tab/>
      </w:r>
      <w:r w:rsidR="00003110" w:rsidRPr="00C06F44">
        <w:rPr>
          <w:noProof/>
          <w:lang w:val="en-IE"/>
        </w:rPr>
        <w:t xml:space="preserve">Where the BEFIT tax base </w:t>
      </w:r>
      <w:r w:rsidR="00003110">
        <w:rPr>
          <w:noProof/>
          <w:lang w:val="en-IE"/>
        </w:rPr>
        <w:t xml:space="preserve">in a given year </w:t>
      </w:r>
      <w:r w:rsidR="00003110" w:rsidRPr="00C06F44">
        <w:rPr>
          <w:noProof/>
          <w:lang w:val="en-IE"/>
        </w:rPr>
        <w:t>is</w:t>
      </w:r>
      <w:r w:rsidR="00003110">
        <w:rPr>
          <w:noProof/>
          <w:lang w:val="en-IE"/>
        </w:rPr>
        <w:t>:</w:t>
      </w:r>
    </w:p>
    <w:p w14:paraId="2A0CDE6B" w14:textId="55DB1CA4" w:rsidR="00003110" w:rsidRPr="008D7A08" w:rsidRDefault="008D7A08" w:rsidP="008D7A08">
      <w:pPr>
        <w:pStyle w:val="Point1"/>
        <w:rPr>
          <w:noProof/>
        </w:rPr>
      </w:pPr>
      <w:r>
        <w:rPr>
          <w:noProof/>
        </w:rPr>
        <w:t>(a)</w:t>
      </w:r>
      <w:r>
        <w:rPr>
          <w:noProof/>
        </w:rPr>
        <w:tab/>
      </w:r>
      <w:r w:rsidR="00971F55" w:rsidRPr="008D7A08">
        <w:rPr>
          <w:noProof/>
        </w:rPr>
        <w:t>a positive amount, the profit shall be allocated in accordance with Article 45;</w:t>
      </w:r>
    </w:p>
    <w:p w14:paraId="4ABD76E0" w14:textId="51E6B2D1" w:rsidR="00003110" w:rsidRPr="008D7A08" w:rsidRDefault="008D7A08" w:rsidP="008D7A08">
      <w:pPr>
        <w:pStyle w:val="Point1"/>
        <w:rPr>
          <w:noProof/>
        </w:rPr>
      </w:pPr>
      <w:r>
        <w:rPr>
          <w:noProof/>
        </w:rPr>
        <w:t>(b)</w:t>
      </w:r>
      <w:r>
        <w:rPr>
          <w:noProof/>
        </w:rPr>
        <w:tab/>
      </w:r>
      <w:r w:rsidR="00003110" w:rsidRPr="008D7A08">
        <w:rPr>
          <w:noProof/>
        </w:rPr>
        <w:t xml:space="preserve">a negative amount, the loss shall be carried forward and shall be set off against the next positive BEFIT tax base. </w:t>
      </w:r>
    </w:p>
    <w:p w14:paraId="1C23108E" w14:textId="07A4A6DF" w:rsidR="00081B7A" w:rsidRPr="00363097" w:rsidRDefault="00634583" w:rsidP="00634583">
      <w:pPr>
        <w:pStyle w:val="ManualNumPar1"/>
        <w:rPr>
          <w:noProof/>
          <w:lang w:val="en-IE"/>
        </w:rPr>
      </w:pPr>
      <w:r w:rsidRPr="00634583">
        <w:t>3.</w:t>
      </w:r>
      <w:r w:rsidRPr="00634583">
        <w:tab/>
      </w:r>
      <w:r w:rsidR="00081B7A" w:rsidRPr="3836B023">
        <w:rPr>
          <w:noProof/>
          <w:lang w:val="en-IE"/>
        </w:rPr>
        <w:t xml:space="preserve">For the purpose of paragraph 1, the preliminary tax result of each BEFIT group member shall be converted </w:t>
      </w:r>
      <w:r w:rsidR="006E018D" w:rsidRPr="3836B023">
        <w:rPr>
          <w:noProof/>
          <w:lang w:val="en-IE"/>
        </w:rPr>
        <w:t xml:space="preserve">to </w:t>
      </w:r>
      <w:r w:rsidR="00081B7A" w:rsidRPr="3836B023">
        <w:rPr>
          <w:noProof/>
          <w:lang w:val="en-IE"/>
        </w:rPr>
        <w:t>Euro (EUR) at the exchange rate issued by the European Central Bank as it stood on the last day of the calendar year or, if the fiscal year does not coincide with the calendar year, on the last day of the fiscal year.</w:t>
      </w:r>
    </w:p>
    <w:p w14:paraId="083EE61D" w14:textId="77777777" w:rsidR="00081B7A" w:rsidRPr="00363097" w:rsidRDefault="00081B7A" w:rsidP="00081B7A">
      <w:pPr>
        <w:pStyle w:val="Text1"/>
        <w:rPr>
          <w:noProof/>
          <w:lang w:val="en-IE"/>
        </w:rPr>
      </w:pPr>
      <w:r w:rsidRPr="00363097">
        <w:rPr>
          <w:noProof/>
          <w:lang w:val="en-IE"/>
        </w:rPr>
        <w:t xml:space="preserve">By way of derogation from the first subparagraph, where the filing entity is resident for tax purposes in a Member State that has not adopted the EUR, the preliminary tax result of each BEFIT group member shall be converted into the currency that is legal tender in that Member State. </w:t>
      </w:r>
    </w:p>
    <w:p w14:paraId="7D481EF6" w14:textId="77777777" w:rsidR="00081B7A" w:rsidRPr="00363097" w:rsidRDefault="00081B7A" w:rsidP="006B487B">
      <w:pPr>
        <w:pStyle w:val="Titrearticle2"/>
        <w:rPr>
          <w:b/>
          <w:noProof/>
        </w:rPr>
      </w:pPr>
      <w:r w:rsidRPr="00363097">
        <w:rPr>
          <w:noProof/>
          <w:lang w:val="en-IE"/>
        </w:rPr>
        <w:t>Article 43</w:t>
      </w:r>
      <w:r w:rsidRPr="00363097">
        <w:rPr>
          <w:noProof/>
          <w:lang w:val="en-IE"/>
        </w:rPr>
        <w:br/>
      </w:r>
      <w:r w:rsidRPr="00363097">
        <w:rPr>
          <w:b/>
          <w:noProof/>
        </w:rPr>
        <w:t>Withholding taxes and other source taxation</w:t>
      </w:r>
    </w:p>
    <w:p w14:paraId="52D8CC43" w14:textId="31C903D4" w:rsidR="00081B7A" w:rsidRPr="00363097" w:rsidRDefault="00634583" w:rsidP="00634583">
      <w:pPr>
        <w:pStyle w:val="ManualNumPar1"/>
        <w:rPr>
          <w:noProof/>
        </w:rPr>
      </w:pPr>
      <w:r w:rsidRPr="00634583">
        <w:t>1.</w:t>
      </w:r>
      <w:r w:rsidRPr="00634583">
        <w:tab/>
      </w:r>
      <w:r w:rsidR="00081B7A" w:rsidRPr="00363097">
        <w:rPr>
          <w:noProof/>
        </w:rPr>
        <w:t xml:space="preserve">Member States shall not impose withholding taxes or any other source taxation on intra-BEFIT group transactions </w:t>
      </w:r>
      <w:r w:rsidR="008D7960" w:rsidRPr="00363097">
        <w:rPr>
          <w:noProof/>
        </w:rPr>
        <w:t xml:space="preserve">unless </w:t>
      </w:r>
      <w:r w:rsidR="00081B7A" w:rsidRPr="00363097">
        <w:rPr>
          <w:noProof/>
        </w:rPr>
        <w:t xml:space="preserve">the beneficial owner of the payment is </w:t>
      </w:r>
      <w:r w:rsidR="008D7960" w:rsidRPr="00363097">
        <w:rPr>
          <w:noProof/>
        </w:rPr>
        <w:t xml:space="preserve">not </w:t>
      </w:r>
      <w:r w:rsidR="00081B7A" w:rsidRPr="00363097">
        <w:rPr>
          <w:noProof/>
        </w:rPr>
        <w:t xml:space="preserve">a BEFIT group member. </w:t>
      </w:r>
    </w:p>
    <w:p w14:paraId="6220FAC8" w14:textId="7D9E023E" w:rsidR="00081B7A" w:rsidRPr="00363097" w:rsidRDefault="00634583" w:rsidP="00634583">
      <w:pPr>
        <w:pStyle w:val="ManualNumPar1"/>
        <w:rPr>
          <w:noProof/>
        </w:rPr>
      </w:pPr>
      <w:r w:rsidRPr="00634583">
        <w:t>2.</w:t>
      </w:r>
      <w:r w:rsidRPr="00634583">
        <w:tab/>
      </w:r>
      <w:r w:rsidR="00081B7A" w:rsidRPr="00363097">
        <w:rPr>
          <w:noProof/>
        </w:rPr>
        <w:t xml:space="preserve">Where a withholding tax is applied by a Member State in relation to a payment of royalties or interests by a BEFIT group member to a recipient that is not </w:t>
      </w:r>
      <w:r w:rsidR="006E149E" w:rsidRPr="00363097">
        <w:rPr>
          <w:noProof/>
        </w:rPr>
        <w:t xml:space="preserve">a </w:t>
      </w:r>
      <w:r w:rsidR="00081B7A" w:rsidRPr="00363097">
        <w:rPr>
          <w:noProof/>
        </w:rPr>
        <w:t>member of the same BEFIT group</w:t>
      </w:r>
      <w:r w:rsidR="000D159D" w:rsidRPr="00363097">
        <w:rPr>
          <w:noProof/>
        </w:rPr>
        <w:t xml:space="preserve"> or in application of paragraph 1</w:t>
      </w:r>
      <w:r w:rsidR="00081B7A" w:rsidRPr="00363097">
        <w:rPr>
          <w:noProof/>
        </w:rPr>
        <w:t xml:space="preserve">, in accordance with the applicable rules of national law and double taxation conventions, the withholding tax shall be shared, for the fiscal year in which it is charged, amongst Member States using the allocation method referred to in Article 45. </w:t>
      </w:r>
    </w:p>
    <w:p w14:paraId="2641BFB2" w14:textId="77777777" w:rsidR="00081B7A" w:rsidRPr="00363097" w:rsidRDefault="00081B7A" w:rsidP="006B487B">
      <w:pPr>
        <w:pStyle w:val="Titrearticle2"/>
        <w:rPr>
          <w:b/>
          <w:noProof/>
        </w:rPr>
      </w:pPr>
      <w:r w:rsidRPr="00363097">
        <w:rPr>
          <w:noProof/>
          <w:lang w:val="en-IE"/>
        </w:rPr>
        <w:t>Article 44</w:t>
      </w:r>
      <w:r w:rsidRPr="00363097">
        <w:rPr>
          <w:noProof/>
          <w:lang w:val="en-IE"/>
        </w:rPr>
        <w:br/>
      </w:r>
      <w:r w:rsidRPr="00363097">
        <w:rPr>
          <w:b/>
          <w:noProof/>
        </w:rPr>
        <w:t>Tax credits on income taxed at source</w:t>
      </w:r>
    </w:p>
    <w:p w14:paraId="4363DEDD" w14:textId="6CC5DC36" w:rsidR="005D54DF" w:rsidRPr="00363097" w:rsidRDefault="00634583" w:rsidP="00634583">
      <w:pPr>
        <w:pStyle w:val="ManualNumPar1"/>
        <w:rPr>
          <w:noProof/>
        </w:rPr>
      </w:pPr>
      <w:r w:rsidRPr="00634583">
        <w:t>1.</w:t>
      </w:r>
      <w:r w:rsidRPr="00634583">
        <w:tab/>
      </w:r>
      <w:r w:rsidR="00081B7A" w:rsidRPr="00363097">
        <w:rPr>
          <w:noProof/>
        </w:rPr>
        <w:t>Where a BEFIT group member derives income that has been taxed in another Member State or in a third country, a tax credit shall be granted in line with the applicable double taxation convention or its national law and shared amongst the BEFIT group members using the baseline allocation method referred to in Article 45.</w:t>
      </w:r>
    </w:p>
    <w:p w14:paraId="69699DE6" w14:textId="39E6F806" w:rsidR="00081B7A" w:rsidRPr="00C61320" w:rsidRDefault="00634583" w:rsidP="00634583">
      <w:pPr>
        <w:pStyle w:val="ManualNumPar1"/>
        <w:rPr>
          <w:noProof/>
          <w:szCs w:val="24"/>
        </w:rPr>
      </w:pPr>
      <w:r w:rsidRPr="00634583">
        <w:t>2.</w:t>
      </w:r>
      <w:r w:rsidRPr="00634583">
        <w:tab/>
      </w:r>
      <w:r w:rsidR="00081B7A" w:rsidRPr="00363097">
        <w:rPr>
          <w:noProof/>
        </w:rPr>
        <w:t xml:space="preserve">By way of derogation from the first subparagraph, no tax credit shall be granted where the income derived by a BEFIT group member is not included in its financial </w:t>
      </w:r>
      <w:r w:rsidR="00081B7A" w:rsidRPr="00C61320">
        <w:rPr>
          <w:noProof/>
          <w:lang w:val="en-IE"/>
        </w:rPr>
        <w:t xml:space="preserve">accounting net income or loss </w:t>
      </w:r>
      <w:r w:rsidR="00081B7A" w:rsidRPr="00363097">
        <w:rPr>
          <w:noProof/>
        </w:rPr>
        <w:t xml:space="preserve">in accordance with Articles 8, 9 or 12. </w:t>
      </w:r>
    </w:p>
    <w:p w14:paraId="13DB63B0" w14:textId="7AD0DE24" w:rsidR="00081B7A" w:rsidRPr="00C61320" w:rsidRDefault="00634583" w:rsidP="00634583">
      <w:pPr>
        <w:pStyle w:val="ManualNumPar1"/>
        <w:rPr>
          <w:noProof/>
        </w:rPr>
      </w:pPr>
      <w:r w:rsidRPr="00634583">
        <w:t>3.</w:t>
      </w:r>
      <w:r w:rsidRPr="00634583">
        <w:tab/>
      </w:r>
      <w:r w:rsidR="00081B7A" w:rsidRPr="00C61320">
        <w:rPr>
          <w:noProof/>
        </w:rPr>
        <w:t>The tax credit referred to in paragraph 1 shall be calculated separately for each Member State or third country as well as for each type of income. It shall not exceed the amount which results from subjecting the income attributed to a BEFIT group member to the corporate tax rate of the Member State where this BEFIT group member is resident for tax purposes or situated in the form of a permanent establishment.</w:t>
      </w:r>
    </w:p>
    <w:p w14:paraId="4F182C56" w14:textId="4F67F328" w:rsidR="00F904F1" w:rsidRPr="00F904F1" w:rsidRDefault="00F904F1" w:rsidP="006B487B">
      <w:pPr>
        <w:pStyle w:val="Text1"/>
        <w:rPr>
          <w:noProof/>
        </w:rPr>
      </w:pPr>
      <w:r w:rsidRPr="00C61320">
        <w:rPr>
          <w:noProof/>
          <w:szCs w:val="24"/>
        </w:rPr>
        <w:t>In calculating the tax credit referred to in paragraph 1, the amount of income shall be reduced by the amount of related deductible expenses.</w:t>
      </w:r>
    </w:p>
    <w:p w14:paraId="628C1653" w14:textId="77777777" w:rsidR="00081B7A" w:rsidRPr="00363097" w:rsidRDefault="00081B7A" w:rsidP="00081B7A">
      <w:pPr>
        <w:pStyle w:val="SectionTitle"/>
        <w:rPr>
          <w:noProof/>
        </w:rPr>
      </w:pPr>
      <w:r w:rsidRPr="00363097">
        <w:rPr>
          <w:noProof/>
        </w:rPr>
        <w:t>Section 2</w:t>
      </w:r>
      <w:r w:rsidRPr="00363097">
        <w:rPr>
          <w:noProof/>
        </w:rPr>
        <w:br/>
        <w:t>Allocation of the BEFIT Tax Base</w:t>
      </w:r>
    </w:p>
    <w:p w14:paraId="3341619E" w14:textId="77777777" w:rsidR="00081B7A" w:rsidRPr="00363097" w:rsidRDefault="00081B7A" w:rsidP="006B487B">
      <w:pPr>
        <w:pStyle w:val="Titrearticle2"/>
        <w:spacing w:before="240"/>
        <w:rPr>
          <w:b/>
          <w:noProof/>
          <w:lang w:val="en-IE"/>
        </w:rPr>
      </w:pPr>
      <w:bookmarkStart w:id="15" w:name="_Ref136606664"/>
      <w:bookmarkStart w:id="16" w:name="_Ref137205599"/>
      <w:r w:rsidRPr="00363097">
        <w:rPr>
          <w:rFonts w:eastAsia="Times New Roman"/>
          <w:noProof/>
          <w:lang w:val="en-IE" w:eastAsia="en-IE"/>
        </w:rPr>
        <w:t xml:space="preserve">Article </w:t>
      </w:r>
      <w:bookmarkEnd w:id="15"/>
      <w:bookmarkEnd w:id="16"/>
      <w:r w:rsidRPr="00363097">
        <w:rPr>
          <w:rFonts w:eastAsia="Times New Roman"/>
          <w:noProof/>
          <w:lang w:val="en-IE" w:eastAsia="en-IE"/>
        </w:rPr>
        <w:t>45</w:t>
      </w:r>
      <w:r w:rsidR="008E732F">
        <w:rPr>
          <w:rFonts w:eastAsia="Times New Roman"/>
          <w:noProof/>
          <w:lang w:val="en-IE" w:eastAsia="en-IE"/>
        </w:rPr>
        <w:br/>
      </w:r>
      <w:r w:rsidRPr="00363097">
        <w:rPr>
          <w:b/>
          <w:noProof/>
          <w:lang w:val="en-IE"/>
        </w:rPr>
        <w:t>Transition allocation rule</w:t>
      </w:r>
    </w:p>
    <w:p w14:paraId="6E4AC0B7" w14:textId="1C9E2A7E" w:rsidR="00081B7A" w:rsidRPr="00363097" w:rsidRDefault="00634583" w:rsidP="00634583">
      <w:pPr>
        <w:pStyle w:val="ManualNumPar1"/>
        <w:rPr>
          <w:noProof/>
          <w:lang w:val="en-IE" w:eastAsia="en-IE"/>
        </w:rPr>
      </w:pPr>
      <w:r w:rsidRPr="00634583">
        <w:t>1.</w:t>
      </w:r>
      <w:r w:rsidRPr="00634583">
        <w:tab/>
      </w:r>
      <w:r w:rsidR="00081B7A" w:rsidRPr="00363097">
        <w:rPr>
          <w:noProof/>
          <w:lang w:val="en-IE" w:eastAsia="en-IE"/>
        </w:rPr>
        <w:t>For each fiscal year</w:t>
      </w:r>
      <w:r w:rsidR="00081B7A" w:rsidRPr="00363097">
        <w:rPr>
          <w:noProof/>
          <w:lang w:val="en-IE"/>
        </w:rPr>
        <w:t xml:space="preserve"> </w:t>
      </w:r>
      <w:r w:rsidR="00B4124D" w:rsidRPr="00363097">
        <w:rPr>
          <w:noProof/>
          <w:lang w:val="en-IE" w:eastAsia="en-IE"/>
        </w:rPr>
        <w:t>between</w:t>
      </w:r>
      <w:r w:rsidR="00B4124D" w:rsidRPr="006B487B">
        <w:rPr>
          <w:noProof/>
          <w:lang w:val="en-IE"/>
        </w:rPr>
        <w:t xml:space="preserve"> </w:t>
      </w:r>
      <w:r w:rsidR="00C1448A">
        <w:rPr>
          <w:noProof/>
          <w:lang w:val="en-IE" w:eastAsia="en-IE"/>
        </w:rPr>
        <w:t>1 July 2028</w:t>
      </w:r>
      <w:r w:rsidR="004E2017">
        <w:rPr>
          <w:noProof/>
          <w:lang w:val="en-IE" w:eastAsia="en-IE"/>
        </w:rPr>
        <w:t xml:space="preserve"> </w:t>
      </w:r>
      <w:r w:rsidR="00B4124D" w:rsidRPr="00363097">
        <w:rPr>
          <w:noProof/>
          <w:lang w:eastAsia="en-IE"/>
        </w:rPr>
        <w:t xml:space="preserve">and </w:t>
      </w:r>
      <w:r w:rsidR="00C1448A">
        <w:rPr>
          <w:noProof/>
          <w:lang w:eastAsia="en-IE"/>
        </w:rPr>
        <w:t>30 June 2035 at the latest</w:t>
      </w:r>
      <w:r w:rsidR="00FE3EFF">
        <w:rPr>
          <w:noProof/>
          <w:lang w:eastAsia="en-IE"/>
        </w:rPr>
        <w:t xml:space="preserve"> </w:t>
      </w:r>
      <w:r w:rsidR="00B4124D" w:rsidRPr="00363097">
        <w:rPr>
          <w:noProof/>
          <w:lang w:val="en-IE" w:eastAsia="en-IE"/>
        </w:rPr>
        <w:t>(</w:t>
      </w:r>
      <w:r w:rsidR="00081B7A" w:rsidRPr="00363097">
        <w:rPr>
          <w:noProof/>
          <w:lang w:val="en-IE" w:eastAsia="en-IE"/>
        </w:rPr>
        <w:t xml:space="preserve">the </w:t>
      </w:r>
      <w:r w:rsidR="008D7960" w:rsidRPr="00363097">
        <w:rPr>
          <w:noProof/>
          <w:lang w:val="en-IE" w:eastAsia="en-IE"/>
        </w:rPr>
        <w:t>‘</w:t>
      </w:r>
      <w:r w:rsidR="00081B7A" w:rsidRPr="00363097">
        <w:rPr>
          <w:noProof/>
          <w:lang w:val="en-IE" w:eastAsia="en-IE"/>
        </w:rPr>
        <w:t>transition period</w:t>
      </w:r>
      <w:r w:rsidR="00B4124D" w:rsidRPr="00363097">
        <w:rPr>
          <w:noProof/>
          <w:lang w:val="en-IE" w:eastAsia="en-IE"/>
        </w:rPr>
        <w:t>’)</w:t>
      </w:r>
      <w:r w:rsidR="00081B7A" w:rsidRPr="00363097">
        <w:rPr>
          <w:noProof/>
          <w:lang w:val="en-IE" w:eastAsia="en-IE"/>
        </w:rPr>
        <w:t xml:space="preserve">, the BEFIT tax base shall be allocated to the BEFIT group members in accordance with the baseline allocation percentage. </w:t>
      </w:r>
    </w:p>
    <w:p w14:paraId="44D00FE9" w14:textId="5DE75C22" w:rsidR="00B4124D" w:rsidRDefault="00B4124D" w:rsidP="00363097">
      <w:pPr>
        <w:pStyle w:val="Text1"/>
        <w:rPr>
          <w:noProof/>
          <w:lang w:val="en-IE" w:eastAsia="en-IE"/>
        </w:rPr>
      </w:pPr>
      <w:r w:rsidRPr="00363097">
        <w:rPr>
          <w:noProof/>
          <w:lang w:val="en-IE" w:eastAsia="en-IE"/>
        </w:rPr>
        <w:t xml:space="preserve">For groups that become subject to </w:t>
      </w:r>
      <w:r w:rsidR="006524A0" w:rsidRPr="00363097">
        <w:rPr>
          <w:noProof/>
          <w:lang w:val="en-IE" w:eastAsia="en-IE"/>
        </w:rPr>
        <w:t>this Directive</w:t>
      </w:r>
      <w:r w:rsidRPr="00363097">
        <w:rPr>
          <w:noProof/>
          <w:lang w:val="en-IE" w:eastAsia="en-IE"/>
        </w:rPr>
        <w:t xml:space="preserve"> after the end of the first fiscal year</w:t>
      </w:r>
      <w:r w:rsidR="006524A0" w:rsidRPr="00363097">
        <w:rPr>
          <w:noProof/>
          <w:lang w:val="en-IE" w:eastAsia="en-IE"/>
        </w:rPr>
        <w:t xml:space="preserve"> when this Directive starts to apply</w:t>
      </w:r>
      <w:r w:rsidRPr="00363097">
        <w:rPr>
          <w:noProof/>
          <w:lang w:val="en-IE" w:eastAsia="en-IE"/>
        </w:rPr>
        <w:t>, the transition period referred to in the first su</w:t>
      </w:r>
      <w:r w:rsidR="00146DC2" w:rsidRPr="00363097">
        <w:rPr>
          <w:noProof/>
          <w:lang w:val="en-IE" w:eastAsia="en-IE"/>
        </w:rPr>
        <w:t>bp</w:t>
      </w:r>
      <w:r w:rsidRPr="00363097">
        <w:rPr>
          <w:noProof/>
          <w:lang w:val="en-IE" w:eastAsia="en-IE"/>
        </w:rPr>
        <w:t xml:space="preserve">aragraph shall be terminated by </w:t>
      </w:r>
      <w:r w:rsidR="00682D5F">
        <w:rPr>
          <w:noProof/>
          <w:lang w:val="en-IE" w:eastAsia="en-IE"/>
        </w:rPr>
        <w:t xml:space="preserve">30 June 2035 </w:t>
      </w:r>
      <w:r w:rsidR="007871DA">
        <w:rPr>
          <w:noProof/>
          <w:lang w:val="en-IE" w:eastAsia="en-IE"/>
        </w:rPr>
        <w:t>at the latest</w:t>
      </w:r>
      <w:r w:rsidRPr="00363097">
        <w:rPr>
          <w:noProof/>
          <w:lang w:val="en-IE" w:eastAsia="en-IE"/>
        </w:rPr>
        <w:t>.</w:t>
      </w:r>
    </w:p>
    <w:p w14:paraId="7CFF38FB" w14:textId="7C31C6A2" w:rsidR="00081B7A" w:rsidRPr="00363097" w:rsidRDefault="00634583" w:rsidP="00634583">
      <w:pPr>
        <w:pStyle w:val="ManualNumPar1"/>
        <w:rPr>
          <w:noProof/>
          <w:lang w:val="en-IE" w:eastAsia="en-IE"/>
        </w:rPr>
      </w:pPr>
      <w:r w:rsidRPr="00634583">
        <w:t>2.</w:t>
      </w:r>
      <w:r w:rsidRPr="00634583">
        <w:tab/>
      </w:r>
      <w:r w:rsidR="00081B7A" w:rsidRPr="00363097">
        <w:rPr>
          <w:noProof/>
          <w:lang w:val="en-IE" w:eastAsia="en-IE"/>
        </w:rPr>
        <w:t>The baseline allocation percentage for each BEFIT group member shall be the result of the following computation:</w:t>
      </w:r>
    </w:p>
    <w:p w14:paraId="6639DF21" w14:textId="77777777" w:rsidR="00081B7A" w:rsidRPr="00363097" w:rsidRDefault="00081B7A" w:rsidP="008E732F">
      <w:pPr>
        <w:pStyle w:val="Text1"/>
        <w:rPr>
          <w:noProof/>
          <w:lang w:val="en-IE" w:eastAsia="en-IE"/>
        </w:rPr>
      </w:pPr>
      <w:r w:rsidRPr="00363097">
        <w:rPr>
          <w:noProof/>
          <w:lang w:val="en-IE" w:eastAsia="en-IE"/>
        </w:rPr>
        <w:t>Baseline allocation =</w:t>
      </w:r>
      <w:r w:rsidR="003A7C43">
        <w:rPr>
          <w:noProof/>
          <w:lang w:val="en-IE" w:eastAsia="en-IE"/>
        </w:rPr>
        <w:t xml:space="preserve"> </w:t>
      </w:r>
      <m:oMath>
        <m:f>
          <m:fPr>
            <m:ctrlPr>
              <w:rPr>
                <w:rFonts w:ascii="Cambria Math" w:hAnsi="Cambria Math"/>
                <w:noProof/>
                <w:lang w:val="en-IE" w:eastAsia="en-IE"/>
              </w:rPr>
            </m:ctrlPr>
          </m:fPr>
          <m:num>
            <m:r>
              <w:rPr>
                <w:rFonts w:ascii="Cambria Math" w:hAnsi="Cambria Math"/>
                <w:noProof/>
                <w:lang w:val="en-IE" w:eastAsia="en-IE"/>
              </w:rPr>
              <m:t>Taxable</m:t>
            </m:r>
            <m:r>
              <m:rPr>
                <m:sty m:val="p"/>
              </m:rPr>
              <w:rPr>
                <w:rFonts w:ascii="Cambria Math" w:hAnsi="Cambria Math"/>
                <w:noProof/>
                <w:lang w:val="en-IE" w:eastAsia="en-IE"/>
              </w:rPr>
              <m:t xml:space="preserve"> </m:t>
            </m:r>
            <m:r>
              <w:rPr>
                <w:rFonts w:ascii="Cambria Math" w:hAnsi="Cambria Math"/>
                <w:noProof/>
                <w:lang w:val="en-IE" w:eastAsia="en-IE"/>
              </w:rPr>
              <m:t>result</m:t>
            </m:r>
            <m:r>
              <m:rPr>
                <m:sty m:val="p"/>
              </m:rPr>
              <w:rPr>
                <w:rFonts w:ascii="Cambria Math" w:hAnsi="Cambria Math"/>
                <w:noProof/>
                <w:lang w:val="en-IE" w:eastAsia="en-IE"/>
              </w:rPr>
              <m:t xml:space="preserve"> </m:t>
            </m:r>
            <m:r>
              <w:rPr>
                <w:rFonts w:ascii="Cambria Math" w:hAnsi="Cambria Math"/>
                <w:noProof/>
                <w:lang w:val="en-IE" w:eastAsia="en-IE"/>
              </w:rPr>
              <m:t>of</m:t>
            </m:r>
            <m:r>
              <m:rPr>
                <m:sty m:val="p"/>
              </m:rPr>
              <w:rPr>
                <w:rFonts w:ascii="Cambria Math" w:hAnsi="Cambria Math"/>
                <w:noProof/>
                <w:lang w:val="en-IE" w:eastAsia="en-IE"/>
              </w:rPr>
              <m:t xml:space="preserve"> </m:t>
            </m:r>
            <m:r>
              <w:rPr>
                <w:rFonts w:ascii="Cambria Math" w:hAnsi="Cambria Math"/>
                <w:noProof/>
                <w:lang w:val="en-IE" w:eastAsia="en-IE"/>
              </w:rPr>
              <m:t>a</m:t>
            </m:r>
            <m:r>
              <m:rPr>
                <m:sty m:val="p"/>
              </m:rPr>
              <w:rPr>
                <w:rFonts w:ascii="Cambria Math" w:hAnsi="Cambria Math"/>
                <w:noProof/>
                <w:lang w:val="en-IE" w:eastAsia="en-IE"/>
              </w:rPr>
              <m:t xml:space="preserve"> </m:t>
            </m:r>
            <m:r>
              <w:rPr>
                <w:rFonts w:ascii="Cambria Math" w:hAnsi="Cambria Math"/>
                <w:noProof/>
                <w:lang w:val="en-IE" w:eastAsia="en-IE"/>
              </w:rPr>
              <m:t>BEFIT</m:t>
            </m:r>
            <m:r>
              <m:rPr>
                <m:sty m:val="p"/>
              </m:rPr>
              <w:rPr>
                <w:rFonts w:ascii="Cambria Math" w:hAnsi="Cambria Math"/>
                <w:noProof/>
                <w:lang w:val="en-IE" w:eastAsia="en-IE"/>
              </w:rPr>
              <m:t xml:space="preserve"> </m:t>
            </m:r>
            <m:r>
              <w:rPr>
                <w:rFonts w:ascii="Cambria Math" w:hAnsi="Cambria Math"/>
                <w:noProof/>
                <w:lang w:val="en-IE" w:eastAsia="en-IE"/>
              </w:rPr>
              <m:t>group</m:t>
            </m:r>
            <m:r>
              <m:rPr>
                <m:sty m:val="p"/>
              </m:rPr>
              <w:rPr>
                <w:rFonts w:ascii="Cambria Math" w:hAnsi="Cambria Math"/>
                <w:noProof/>
                <w:lang w:val="en-IE" w:eastAsia="en-IE"/>
              </w:rPr>
              <m:t xml:space="preserve"> </m:t>
            </m:r>
            <m:r>
              <w:rPr>
                <w:rFonts w:ascii="Cambria Math" w:hAnsi="Cambria Math"/>
                <w:noProof/>
                <w:lang w:val="en-IE" w:eastAsia="en-IE"/>
              </w:rPr>
              <m:t>member</m:t>
            </m:r>
          </m:num>
          <m:den>
            <m:r>
              <m:rPr>
                <m:sty m:val="p"/>
              </m:rPr>
              <w:rPr>
                <w:rFonts w:ascii="Cambria Math" w:hAnsi="Cambria Math"/>
                <w:noProof/>
                <w:lang w:val="en-IE" w:eastAsia="en-IE"/>
              </w:rPr>
              <m:t xml:space="preserve"> </m:t>
            </m:r>
            <m:r>
              <w:rPr>
                <w:rFonts w:ascii="Cambria Math" w:hAnsi="Cambria Math"/>
                <w:noProof/>
                <w:lang w:val="en-IE" w:eastAsia="en-IE"/>
              </w:rPr>
              <m:t>Total</m:t>
            </m:r>
            <m:r>
              <m:rPr>
                <m:sty m:val="p"/>
              </m:rPr>
              <w:rPr>
                <w:rFonts w:ascii="Cambria Math" w:hAnsi="Cambria Math"/>
                <w:noProof/>
                <w:lang w:val="en-IE" w:eastAsia="en-IE"/>
              </w:rPr>
              <m:t xml:space="preserve"> </m:t>
            </m:r>
            <m:r>
              <w:rPr>
                <w:rFonts w:ascii="Cambria Math" w:hAnsi="Cambria Math"/>
                <w:noProof/>
                <w:lang w:val="en-IE" w:eastAsia="en-IE"/>
              </w:rPr>
              <m:t>taxable</m:t>
            </m:r>
            <m:r>
              <m:rPr>
                <m:sty m:val="p"/>
              </m:rPr>
              <w:rPr>
                <w:rFonts w:ascii="Cambria Math" w:hAnsi="Cambria Math"/>
                <w:noProof/>
                <w:lang w:val="en-IE" w:eastAsia="en-IE"/>
              </w:rPr>
              <m:t xml:space="preserve"> </m:t>
            </m:r>
            <m:r>
              <w:rPr>
                <w:rFonts w:ascii="Cambria Math" w:hAnsi="Cambria Math"/>
                <w:noProof/>
                <w:lang w:val="en-IE" w:eastAsia="en-IE"/>
              </w:rPr>
              <m:t>result</m:t>
            </m:r>
            <m:r>
              <m:rPr>
                <m:sty m:val="p"/>
              </m:rPr>
              <w:rPr>
                <w:rFonts w:ascii="Cambria Math" w:hAnsi="Cambria Math"/>
                <w:noProof/>
                <w:lang w:val="en-IE" w:eastAsia="en-IE"/>
              </w:rPr>
              <m:t xml:space="preserve"> </m:t>
            </m:r>
            <m:r>
              <w:rPr>
                <w:rFonts w:ascii="Cambria Math" w:hAnsi="Cambria Math"/>
                <w:noProof/>
                <w:lang w:val="en-IE" w:eastAsia="en-IE"/>
              </w:rPr>
              <m:t>of</m:t>
            </m:r>
            <m:r>
              <m:rPr>
                <m:sty m:val="p"/>
              </m:rPr>
              <w:rPr>
                <w:rFonts w:ascii="Cambria Math" w:hAnsi="Cambria Math"/>
                <w:noProof/>
                <w:lang w:val="en-IE" w:eastAsia="en-IE"/>
              </w:rPr>
              <m:t xml:space="preserve"> </m:t>
            </m:r>
            <m:r>
              <w:rPr>
                <w:rFonts w:ascii="Cambria Math" w:hAnsi="Cambria Math"/>
                <w:noProof/>
                <w:lang w:val="en-IE" w:eastAsia="en-IE"/>
              </w:rPr>
              <m:t>the</m:t>
            </m:r>
            <m:r>
              <m:rPr>
                <m:sty m:val="p"/>
              </m:rPr>
              <w:rPr>
                <w:rFonts w:ascii="Cambria Math" w:hAnsi="Cambria Math"/>
                <w:noProof/>
                <w:lang w:val="en-IE" w:eastAsia="en-IE"/>
              </w:rPr>
              <m:t xml:space="preserve"> </m:t>
            </m:r>
            <m:r>
              <w:rPr>
                <w:rFonts w:ascii="Cambria Math" w:hAnsi="Cambria Math"/>
                <w:noProof/>
                <w:lang w:val="en-IE" w:eastAsia="en-IE"/>
              </w:rPr>
              <m:t>BEFIT</m:t>
            </m:r>
            <m:r>
              <m:rPr>
                <m:sty m:val="p"/>
              </m:rPr>
              <w:rPr>
                <w:rFonts w:ascii="Cambria Math" w:hAnsi="Cambria Math"/>
                <w:noProof/>
                <w:lang w:val="en-IE" w:eastAsia="en-IE"/>
              </w:rPr>
              <m:t xml:space="preserve"> </m:t>
            </m:r>
            <m:r>
              <w:rPr>
                <w:rFonts w:ascii="Cambria Math" w:hAnsi="Cambria Math"/>
                <w:noProof/>
                <w:lang w:val="en-IE" w:eastAsia="en-IE"/>
              </w:rPr>
              <m:t>group</m:t>
            </m:r>
          </m:den>
        </m:f>
      </m:oMath>
      <w:r w:rsidR="008E732F">
        <w:rPr>
          <w:rStyle w:val="CommentReference"/>
          <w:noProof/>
        </w:rPr>
        <w:t>*</w:t>
      </w:r>
      <w:r w:rsidRPr="00363097">
        <w:rPr>
          <w:noProof/>
          <w:lang w:val="en-IE" w:eastAsia="en-IE"/>
        </w:rPr>
        <w:t>100</w:t>
      </w:r>
    </w:p>
    <w:p w14:paraId="5531EF32" w14:textId="77777777" w:rsidR="00081B7A" w:rsidRPr="008E732F" w:rsidRDefault="00081B7A" w:rsidP="008E732F">
      <w:pPr>
        <w:pStyle w:val="Text1"/>
        <w:rPr>
          <w:noProof/>
          <w:lang w:eastAsia="en-IE"/>
        </w:rPr>
      </w:pPr>
      <w:r w:rsidRPr="00363097">
        <w:rPr>
          <w:noProof/>
          <w:lang w:val="en-IE" w:eastAsia="en-IE"/>
        </w:rPr>
        <w:t xml:space="preserve">Where: </w:t>
      </w:r>
    </w:p>
    <w:p w14:paraId="77B234D1" w14:textId="33BF0458" w:rsidR="00081B7A" w:rsidRPr="00363097" w:rsidRDefault="00081B7A" w:rsidP="00081B7A">
      <w:pPr>
        <w:pStyle w:val="Point1"/>
        <w:rPr>
          <w:noProof/>
          <w:lang w:val="en-IE" w:eastAsia="en-IE"/>
        </w:rPr>
      </w:pPr>
      <w:r w:rsidRPr="00363097">
        <w:rPr>
          <w:noProof/>
          <w:lang w:val="en-IE" w:eastAsia="en-IE"/>
        </w:rPr>
        <w:t>(</w:t>
      </w:r>
      <w:r w:rsidR="005F381D" w:rsidRPr="00363097">
        <w:rPr>
          <w:noProof/>
          <w:lang w:val="en-IE" w:eastAsia="en-IE"/>
        </w:rPr>
        <w:t>a</w:t>
      </w:r>
      <w:r w:rsidRPr="00363097">
        <w:rPr>
          <w:noProof/>
          <w:lang w:val="en-IE" w:eastAsia="en-IE"/>
        </w:rPr>
        <w:t>)</w:t>
      </w:r>
      <w:r w:rsidRPr="00363097">
        <w:rPr>
          <w:noProof/>
          <w:lang w:val="en-IE" w:eastAsia="en-IE"/>
        </w:rPr>
        <w:tab/>
        <w:t xml:space="preserve">the taxable result of a BEFIT group member shall be the average of the taxable results in the three previous fiscal years. </w:t>
      </w:r>
    </w:p>
    <w:p w14:paraId="0AA12619" w14:textId="77777777" w:rsidR="00081B7A" w:rsidRPr="00363097" w:rsidRDefault="00081B7A" w:rsidP="00081B7A">
      <w:pPr>
        <w:pStyle w:val="Text2"/>
        <w:rPr>
          <w:noProof/>
          <w:lang w:val="en-IE" w:eastAsia="en-IE"/>
        </w:rPr>
      </w:pPr>
      <w:r w:rsidRPr="00363097">
        <w:rPr>
          <w:noProof/>
          <w:lang w:val="en-IE" w:eastAsia="en-IE"/>
        </w:rPr>
        <w:t xml:space="preserve">In the first fiscal year </w:t>
      </w:r>
      <w:r w:rsidR="008D7960" w:rsidRPr="00363097">
        <w:rPr>
          <w:noProof/>
          <w:lang w:val="en-IE" w:eastAsia="en-IE"/>
        </w:rPr>
        <w:t xml:space="preserve">in which a </w:t>
      </w:r>
      <w:r w:rsidR="00954BC3" w:rsidRPr="00363097">
        <w:rPr>
          <w:noProof/>
          <w:lang w:val="en-IE" w:eastAsia="en-IE"/>
        </w:rPr>
        <w:t xml:space="preserve">BEFIT </w:t>
      </w:r>
      <w:r w:rsidR="0077065A" w:rsidRPr="00363097">
        <w:rPr>
          <w:noProof/>
          <w:lang w:val="en-IE" w:eastAsia="en-IE"/>
        </w:rPr>
        <w:t>group</w:t>
      </w:r>
      <w:r w:rsidR="0086281F" w:rsidRPr="00363097">
        <w:rPr>
          <w:noProof/>
          <w:lang w:val="en-IE" w:eastAsia="en-IE"/>
        </w:rPr>
        <w:t xml:space="preserve"> </w:t>
      </w:r>
      <w:r w:rsidR="008D7960" w:rsidRPr="00363097">
        <w:rPr>
          <w:noProof/>
          <w:lang w:val="en-IE" w:eastAsia="en-IE"/>
        </w:rPr>
        <w:t>is subject to this Directive</w:t>
      </w:r>
      <w:r w:rsidRPr="00363097">
        <w:rPr>
          <w:noProof/>
          <w:lang w:val="en-IE" w:eastAsia="en-IE"/>
        </w:rPr>
        <w:t>, th</w:t>
      </w:r>
      <w:r w:rsidR="00D20FF2" w:rsidRPr="00363097">
        <w:rPr>
          <w:noProof/>
          <w:lang w:val="en-IE" w:eastAsia="en-IE"/>
        </w:rPr>
        <w:t>o</w:t>
      </w:r>
      <w:r w:rsidRPr="00363097">
        <w:rPr>
          <w:noProof/>
          <w:lang w:val="en-IE" w:eastAsia="en-IE"/>
        </w:rPr>
        <w:t>se taxable results shall be determined in accordance with the national corporate tax rules of the Member State in which the BEFIT group member is resident for tax purposes or is situated in the form of a permanent establishment.</w:t>
      </w:r>
    </w:p>
    <w:p w14:paraId="633F3D69" w14:textId="0FC65A86" w:rsidR="00081B7A" w:rsidRPr="00363097" w:rsidRDefault="00081B7A" w:rsidP="00081B7A">
      <w:pPr>
        <w:pStyle w:val="Text2"/>
        <w:rPr>
          <w:noProof/>
          <w:lang w:val="en-IE" w:eastAsia="en-IE"/>
        </w:rPr>
      </w:pPr>
      <w:r w:rsidRPr="00363097">
        <w:rPr>
          <w:noProof/>
          <w:lang w:val="en-IE" w:eastAsia="en-IE"/>
        </w:rPr>
        <w:t xml:space="preserve">In the second fiscal year </w:t>
      </w:r>
      <w:r w:rsidR="008D7960" w:rsidRPr="00363097">
        <w:rPr>
          <w:noProof/>
          <w:lang w:val="en-IE" w:eastAsia="en-IE"/>
        </w:rPr>
        <w:t xml:space="preserve">in which a </w:t>
      </w:r>
      <w:r w:rsidR="00954BC3" w:rsidRPr="00363097">
        <w:rPr>
          <w:noProof/>
          <w:lang w:val="en-IE" w:eastAsia="en-IE"/>
        </w:rPr>
        <w:t xml:space="preserve">BEFIT </w:t>
      </w:r>
      <w:r w:rsidR="0077065A" w:rsidRPr="00363097">
        <w:rPr>
          <w:noProof/>
          <w:lang w:val="en-IE" w:eastAsia="en-IE"/>
        </w:rPr>
        <w:t>group</w:t>
      </w:r>
      <w:r w:rsidR="0086281F" w:rsidRPr="00363097">
        <w:rPr>
          <w:noProof/>
          <w:lang w:val="en-IE" w:eastAsia="en-IE"/>
        </w:rPr>
        <w:t xml:space="preserve"> </w:t>
      </w:r>
      <w:r w:rsidR="008D7960" w:rsidRPr="00363097">
        <w:rPr>
          <w:noProof/>
          <w:lang w:val="en-IE" w:eastAsia="en-IE"/>
        </w:rPr>
        <w:t>is subject to this Directive</w:t>
      </w:r>
      <w:r w:rsidRPr="00363097">
        <w:rPr>
          <w:noProof/>
          <w:lang w:val="en-IE" w:eastAsia="en-IE"/>
        </w:rPr>
        <w:t>, th</w:t>
      </w:r>
      <w:r w:rsidR="001E0EE2">
        <w:rPr>
          <w:noProof/>
          <w:lang w:val="en-IE" w:eastAsia="en-IE"/>
        </w:rPr>
        <w:t xml:space="preserve">ose </w:t>
      </w:r>
      <w:r w:rsidRPr="00363097">
        <w:rPr>
          <w:noProof/>
          <w:lang w:val="en-IE" w:eastAsia="en-IE"/>
        </w:rPr>
        <w:t xml:space="preserve">taxable results shall be determined, for the first fiscal year </w:t>
      </w:r>
      <w:r w:rsidR="008D7960" w:rsidRPr="00363097">
        <w:rPr>
          <w:noProof/>
          <w:lang w:val="en-IE" w:eastAsia="en-IE"/>
        </w:rPr>
        <w:t xml:space="preserve">in which a </w:t>
      </w:r>
      <w:r w:rsidR="00954BC3" w:rsidRPr="00363097">
        <w:rPr>
          <w:noProof/>
          <w:lang w:val="en-IE" w:eastAsia="en-IE"/>
        </w:rPr>
        <w:t xml:space="preserve">BEFIT </w:t>
      </w:r>
      <w:r w:rsidR="005178A9" w:rsidRPr="00363097">
        <w:rPr>
          <w:noProof/>
          <w:lang w:val="en-IE" w:eastAsia="en-IE"/>
        </w:rPr>
        <w:t>group</w:t>
      </w:r>
      <w:r w:rsidR="00700F23" w:rsidRPr="00363097">
        <w:rPr>
          <w:noProof/>
          <w:lang w:val="en-IE" w:eastAsia="en-IE"/>
        </w:rPr>
        <w:t xml:space="preserve"> </w:t>
      </w:r>
      <w:r w:rsidR="008D7960" w:rsidRPr="00363097">
        <w:rPr>
          <w:noProof/>
          <w:lang w:val="en-IE" w:eastAsia="en-IE"/>
        </w:rPr>
        <w:t>is subject to this Directive</w:t>
      </w:r>
      <w:r w:rsidRPr="00363097">
        <w:rPr>
          <w:noProof/>
          <w:lang w:val="en-IE" w:eastAsia="en-IE"/>
        </w:rPr>
        <w:t>, in accordance with</w:t>
      </w:r>
      <w:r w:rsidR="003A7C43">
        <w:rPr>
          <w:noProof/>
          <w:lang w:val="en-IE" w:eastAsia="en-IE"/>
        </w:rPr>
        <w:t xml:space="preserve"> </w:t>
      </w:r>
      <w:r w:rsidR="00CD557B" w:rsidRPr="00363097">
        <w:rPr>
          <w:noProof/>
          <w:lang w:val="en-IE" w:eastAsia="en-IE"/>
        </w:rPr>
        <w:t>Chapter II of</w:t>
      </w:r>
      <w:r w:rsidRPr="00363097">
        <w:rPr>
          <w:noProof/>
          <w:lang w:val="en-IE" w:eastAsia="en-IE"/>
        </w:rPr>
        <w:t xml:space="preserve"> this Directive and for the two preceding fiscal years, in accordance with the national rules of the respective Member State. </w:t>
      </w:r>
    </w:p>
    <w:p w14:paraId="0C23C50E" w14:textId="478B75CF" w:rsidR="00081B7A" w:rsidRPr="00363097" w:rsidRDefault="00081B7A" w:rsidP="00081B7A">
      <w:pPr>
        <w:pStyle w:val="Text2"/>
        <w:rPr>
          <w:noProof/>
          <w:lang w:eastAsia="en-IE"/>
        </w:rPr>
      </w:pPr>
      <w:r w:rsidRPr="00363097">
        <w:rPr>
          <w:noProof/>
          <w:lang w:val="en-IE" w:eastAsia="en-IE"/>
        </w:rPr>
        <w:t xml:space="preserve">In the third fiscal year </w:t>
      </w:r>
      <w:r w:rsidR="008D7960" w:rsidRPr="00363097">
        <w:rPr>
          <w:noProof/>
          <w:lang w:val="en-IE" w:eastAsia="en-IE"/>
        </w:rPr>
        <w:t>in which a</w:t>
      </w:r>
      <w:r w:rsidR="00954BC3" w:rsidRPr="00363097">
        <w:rPr>
          <w:noProof/>
          <w:lang w:val="en-IE" w:eastAsia="en-IE"/>
        </w:rPr>
        <w:t xml:space="preserve"> BEFIT</w:t>
      </w:r>
      <w:r w:rsidR="008D7960" w:rsidRPr="00363097">
        <w:rPr>
          <w:noProof/>
          <w:lang w:val="en-IE" w:eastAsia="en-IE"/>
        </w:rPr>
        <w:t xml:space="preserve"> </w:t>
      </w:r>
      <w:r w:rsidR="0077065A" w:rsidRPr="00363097">
        <w:rPr>
          <w:noProof/>
          <w:lang w:val="en-IE" w:eastAsia="en-IE"/>
        </w:rPr>
        <w:t>group</w:t>
      </w:r>
      <w:r w:rsidR="008D7960" w:rsidRPr="00363097">
        <w:rPr>
          <w:noProof/>
          <w:lang w:val="en-IE" w:eastAsia="en-IE"/>
        </w:rPr>
        <w:t xml:space="preserve"> is subject to this Directive</w:t>
      </w:r>
      <w:r w:rsidRPr="00363097">
        <w:rPr>
          <w:noProof/>
          <w:lang w:val="en-IE" w:eastAsia="en-IE"/>
        </w:rPr>
        <w:t xml:space="preserve">, </w:t>
      </w:r>
      <w:r w:rsidR="001E0EE2">
        <w:rPr>
          <w:noProof/>
          <w:lang w:val="en-IE" w:eastAsia="en-IE"/>
        </w:rPr>
        <w:t>those</w:t>
      </w:r>
      <w:r w:rsidRPr="00363097">
        <w:rPr>
          <w:noProof/>
          <w:lang w:val="en-IE" w:eastAsia="en-IE"/>
        </w:rPr>
        <w:t xml:space="preserve"> taxable results shall be determined, for the first two fiscal years </w:t>
      </w:r>
      <w:r w:rsidR="0086281F" w:rsidRPr="00363097">
        <w:rPr>
          <w:noProof/>
          <w:lang w:val="en-IE" w:eastAsia="en-IE"/>
        </w:rPr>
        <w:t xml:space="preserve">in which a </w:t>
      </w:r>
      <w:r w:rsidR="00954BC3" w:rsidRPr="00363097">
        <w:rPr>
          <w:noProof/>
          <w:lang w:val="en-IE" w:eastAsia="en-IE"/>
        </w:rPr>
        <w:t xml:space="preserve">BEFIT </w:t>
      </w:r>
      <w:r w:rsidR="0086281F" w:rsidRPr="00363097">
        <w:rPr>
          <w:noProof/>
          <w:lang w:val="en-IE" w:eastAsia="en-IE"/>
        </w:rPr>
        <w:t>group is subject to this Directive</w:t>
      </w:r>
      <w:r w:rsidRPr="00363097">
        <w:rPr>
          <w:noProof/>
          <w:lang w:val="en-IE" w:eastAsia="en-IE"/>
        </w:rPr>
        <w:t xml:space="preserve">, in accordance with </w:t>
      </w:r>
      <w:r w:rsidR="00CD557B" w:rsidRPr="00363097">
        <w:rPr>
          <w:noProof/>
          <w:lang w:val="en-IE" w:eastAsia="en-IE"/>
        </w:rPr>
        <w:t xml:space="preserve">Chapter II of </w:t>
      </w:r>
      <w:r w:rsidRPr="00363097">
        <w:rPr>
          <w:noProof/>
          <w:lang w:val="en-IE" w:eastAsia="en-IE"/>
        </w:rPr>
        <w:t xml:space="preserve">this Directive and for the fiscal year that immediately </w:t>
      </w:r>
      <w:r w:rsidRPr="00363097">
        <w:rPr>
          <w:noProof/>
          <w:lang w:val="en-IE"/>
        </w:rPr>
        <w:t>precedes</w:t>
      </w:r>
      <w:r w:rsidRPr="00363097">
        <w:rPr>
          <w:noProof/>
          <w:lang w:val="en-IE" w:eastAsia="en-IE"/>
        </w:rPr>
        <w:t xml:space="preserve">, in accordance with the national rules of the respective Member State. </w:t>
      </w:r>
    </w:p>
    <w:p w14:paraId="534B70BE" w14:textId="4C3369B4" w:rsidR="008D7960" w:rsidRPr="00363097" w:rsidRDefault="008D7960" w:rsidP="008D7960">
      <w:pPr>
        <w:pStyle w:val="Text2"/>
        <w:rPr>
          <w:noProof/>
          <w:lang w:eastAsia="en-IE"/>
        </w:rPr>
      </w:pPr>
      <w:r w:rsidRPr="00363097">
        <w:rPr>
          <w:noProof/>
          <w:lang w:val="en-IE" w:eastAsia="en-IE"/>
        </w:rPr>
        <w:t xml:space="preserve">As from the fourth fiscal year in which a </w:t>
      </w:r>
      <w:r w:rsidR="00954BC3" w:rsidRPr="00363097">
        <w:rPr>
          <w:noProof/>
          <w:lang w:val="en-IE" w:eastAsia="en-IE"/>
        </w:rPr>
        <w:t xml:space="preserve">BEFIT </w:t>
      </w:r>
      <w:r w:rsidR="0077065A" w:rsidRPr="00363097">
        <w:rPr>
          <w:noProof/>
          <w:lang w:val="en-IE" w:eastAsia="en-IE"/>
        </w:rPr>
        <w:t>group</w:t>
      </w:r>
      <w:r w:rsidR="00ED286B" w:rsidRPr="00363097">
        <w:rPr>
          <w:noProof/>
          <w:lang w:val="en-IE" w:eastAsia="en-IE"/>
        </w:rPr>
        <w:t xml:space="preserve"> </w:t>
      </w:r>
      <w:r w:rsidRPr="00363097">
        <w:rPr>
          <w:noProof/>
          <w:lang w:val="en-IE" w:eastAsia="en-IE"/>
        </w:rPr>
        <w:t xml:space="preserve">is subject to this Directive, </w:t>
      </w:r>
      <w:r w:rsidR="001E0EE2">
        <w:rPr>
          <w:noProof/>
          <w:lang w:val="en-IE" w:eastAsia="en-IE"/>
        </w:rPr>
        <w:t>those</w:t>
      </w:r>
      <w:r w:rsidRPr="00363097">
        <w:rPr>
          <w:noProof/>
          <w:lang w:val="en-IE" w:eastAsia="en-IE"/>
        </w:rPr>
        <w:t xml:space="preserve"> taxable results shall be determined in accordance with</w:t>
      </w:r>
      <w:r w:rsidR="00CD557B" w:rsidRPr="00363097">
        <w:rPr>
          <w:noProof/>
          <w:lang w:val="en-IE" w:eastAsia="en-IE"/>
        </w:rPr>
        <w:t xml:space="preserve"> Chapter II of</w:t>
      </w:r>
      <w:r w:rsidRPr="00363097">
        <w:rPr>
          <w:noProof/>
          <w:lang w:val="en-IE" w:eastAsia="en-IE"/>
        </w:rPr>
        <w:t xml:space="preserve"> this Directive.</w:t>
      </w:r>
    </w:p>
    <w:p w14:paraId="10310DE1" w14:textId="70C8FE31" w:rsidR="00081B7A" w:rsidRPr="00363097" w:rsidRDefault="00081B7A" w:rsidP="00081B7A">
      <w:pPr>
        <w:pStyle w:val="Point1"/>
        <w:rPr>
          <w:noProof/>
          <w:lang w:val="en-IE" w:eastAsia="en-IE"/>
        </w:rPr>
      </w:pPr>
      <w:r w:rsidRPr="00363097">
        <w:rPr>
          <w:noProof/>
          <w:lang w:val="en-IE" w:eastAsia="en-IE"/>
        </w:rPr>
        <w:t>(</w:t>
      </w:r>
      <w:r w:rsidR="005F381D" w:rsidRPr="00363097">
        <w:rPr>
          <w:noProof/>
          <w:lang w:val="en-IE" w:eastAsia="en-IE"/>
        </w:rPr>
        <w:t>b</w:t>
      </w:r>
      <w:r w:rsidRPr="00363097">
        <w:rPr>
          <w:noProof/>
          <w:lang w:val="en-IE" w:eastAsia="en-IE"/>
        </w:rPr>
        <w:t>)</w:t>
      </w:r>
      <w:r w:rsidRPr="00363097">
        <w:rPr>
          <w:noProof/>
          <w:lang w:val="en-IE" w:eastAsia="en-IE"/>
        </w:rPr>
        <w:tab/>
        <w:t>the total taxable result of the BEFIT group shall be the addition</w:t>
      </w:r>
      <w:r w:rsidR="00F3577A">
        <w:rPr>
          <w:noProof/>
          <w:lang w:val="en-IE" w:eastAsia="en-IE"/>
        </w:rPr>
        <w:t xml:space="preserve"> of</w:t>
      </w:r>
      <w:r w:rsidRPr="00363097">
        <w:rPr>
          <w:noProof/>
          <w:lang w:val="en-IE" w:eastAsia="en-IE"/>
        </w:rPr>
        <w:t xml:space="preserve"> </w:t>
      </w:r>
      <w:r w:rsidR="00F3577A" w:rsidRPr="00363097">
        <w:rPr>
          <w:noProof/>
          <w:lang w:val="en-IE" w:eastAsia="en-IE"/>
        </w:rPr>
        <w:t xml:space="preserve">the average </w:t>
      </w:r>
      <w:r w:rsidRPr="00363097">
        <w:rPr>
          <w:noProof/>
          <w:lang w:val="en-IE" w:eastAsia="en-IE"/>
        </w:rPr>
        <w:t>of the taxable results, as referred to in point (</w:t>
      </w:r>
      <w:r w:rsidR="004563D4" w:rsidRPr="00363097">
        <w:rPr>
          <w:noProof/>
          <w:lang w:val="en-IE" w:eastAsia="en-IE"/>
        </w:rPr>
        <w:t>a</w:t>
      </w:r>
      <w:r w:rsidRPr="00363097">
        <w:rPr>
          <w:noProof/>
          <w:lang w:val="en-IE" w:eastAsia="en-IE"/>
        </w:rPr>
        <w:t xml:space="preserve">), of all BEFIT group members in the three previous fiscal years. </w:t>
      </w:r>
    </w:p>
    <w:p w14:paraId="3F0B785B" w14:textId="748973A3" w:rsidR="004871A3" w:rsidRDefault="004871A3" w:rsidP="002A117D">
      <w:pPr>
        <w:pStyle w:val="Text1"/>
        <w:rPr>
          <w:noProof/>
          <w:lang w:val="en-IE" w:eastAsia="en-IE"/>
        </w:rPr>
      </w:pPr>
      <w:r w:rsidRPr="25A87D92">
        <w:rPr>
          <w:noProof/>
          <w:lang w:val="en-IE" w:eastAsia="en-IE"/>
        </w:rPr>
        <w:t>For the purpose</w:t>
      </w:r>
      <w:r w:rsidR="00356B34">
        <w:rPr>
          <w:noProof/>
          <w:lang w:val="en-IE" w:eastAsia="en-IE"/>
        </w:rPr>
        <w:t xml:space="preserve"> of</w:t>
      </w:r>
      <w:r w:rsidRPr="25A87D92">
        <w:rPr>
          <w:noProof/>
          <w:lang w:val="en-IE" w:eastAsia="en-IE"/>
        </w:rPr>
        <w:t xml:space="preserve"> </w:t>
      </w:r>
      <w:r w:rsidR="0064544E">
        <w:rPr>
          <w:noProof/>
          <w:lang w:val="en-IE" w:eastAsia="en-IE"/>
        </w:rPr>
        <w:t>this</w:t>
      </w:r>
      <w:r w:rsidRPr="25A87D92">
        <w:rPr>
          <w:noProof/>
          <w:lang w:val="en-IE" w:eastAsia="en-IE"/>
        </w:rPr>
        <w:t xml:space="preserve"> paragraph, a BEFIT group member </w:t>
      </w:r>
      <w:r w:rsidR="009E0058">
        <w:rPr>
          <w:noProof/>
          <w:lang w:val="en-IE" w:eastAsia="en-IE"/>
        </w:rPr>
        <w:t>with</w:t>
      </w:r>
      <w:r w:rsidRPr="25A87D92">
        <w:rPr>
          <w:noProof/>
          <w:lang w:val="en-IE" w:eastAsia="en-IE"/>
        </w:rPr>
        <w:t xml:space="preserve"> a</w:t>
      </w:r>
      <w:r w:rsidR="00DA5AE4" w:rsidRPr="25A87D92">
        <w:rPr>
          <w:noProof/>
          <w:lang w:val="en-IE" w:eastAsia="en-IE"/>
        </w:rPr>
        <w:t xml:space="preserve"> taxable result that is negative</w:t>
      </w:r>
      <w:r w:rsidR="009E0058">
        <w:rPr>
          <w:noProof/>
          <w:lang w:val="en-IE" w:eastAsia="en-IE"/>
        </w:rPr>
        <w:t xml:space="preserve"> shall have a </w:t>
      </w:r>
      <w:r w:rsidR="00A555C2" w:rsidRPr="25A87D92">
        <w:rPr>
          <w:noProof/>
          <w:lang w:val="en-IE" w:eastAsia="en-IE"/>
        </w:rPr>
        <w:t xml:space="preserve">baseline allocation percentage </w:t>
      </w:r>
      <w:r w:rsidR="002A117D">
        <w:rPr>
          <w:noProof/>
          <w:lang w:val="en-IE" w:eastAsia="en-IE"/>
        </w:rPr>
        <w:t>set at</w:t>
      </w:r>
      <w:r w:rsidR="00A555C2" w:rsidRPr="25A87D92">
        <w:rPr>
          <w:noProof/>
          <w:lang w:val="en-IE" w:eastAsia="en-IE"/>
        </w:rPr>
        <w:t xml:space="preserve"> zero. </w:t>
      </w:r>
    </w:p>
    <w:p w14:paraId="44EE36F2" w14:textId="36D09D5D" w:rsidR="008D7960" w:rsidRPr="00363097" w:rsidRDefault="00634583" w:rsidP="00634583">
      <w:pPr>
        <w:pStyle w:val="ManualNumPar1"/>
        <w:rPr>
          <w:noProof/>
          <w:lang w:val="en-IE" w:eastAsia="en-IE"/>
        </w:rPr>
      </w:pPr>
      <w:r w:rsidRPr="00634583">
        <w:t>3.</w:t>
      </w:r>
      <w:r w:rsidRPr="00634583">
        <w:tab/>
      </w:r>
      <w:r w:rsidR="008D7960" w:rsidRPr="25A87D92">
        <w:rPr>
          <w:noProof/>
          <w:lang w:val="en-IE" w:eastAsia="en-IE"/>
        </w:rPr>
        <w:t xml:space="preserve">For the purpose of paragraph 2, Member States shall structure their risk assessment framework for the pricing of intra-BEFIT group transactions as follows: </w:t>
      </w:r>
    </w:p>
    <w:p w14:paraId="01BEC353" w14:textId="77777777" w:rsidR="008D7960" w:rsidRPr="00363097" w:rsidRDefault="008D7960" w:rsidP="00B65612">
      <w:pPr>
        <w:pStyle w:val="Point1"/>
        <w:rPr>
          <w:noProof/>
          <w:lang w:val="en-IE" w:eastAsia="en-IE"/>
        </w:rPr>
      </w:pPr>
      <w:r w:rsidRPr="00363097">
        <w:rPr>
          <w:noProof/>
          <w:lang w:val="en-IE" w:eastAsia="en-IE"/>
        </w:rPr>
        <w:t>(a)</w:t>
      </w:r>
      <w:r w:rsidRPr="00363097">
        <w:rPr>
          <w:noProof/>
          <w:lang w:val="en-IE" w:eastAsia="en-IE"/>
        </w:rPr>
        <w:tab/>
        <w:t>low-risk zone: where the expense incurred, or the income earned, by a BEFIT group member from intra-BEFIT group transactions increase in a fiscal year by less than 10% compared to the average expense or income of the previous three fiscal years from intra-BEFIT group transactions;</w:t>
      </w:r>
    </w:p>
    <w:p w14:paraId="0E57FFBA" w14:textId="77777777" w:rsidR="008D7960" w:rsidRPr="00363097" w:rsidRDefault="008D7960" w:rsidP="00B65612">
      <w:pPr>
        <w:pStyle w:val="Point1"/>
        <w:rPr>
          <w:noProof/>
          <w:lang w:val="en-IE" w:eastAsia="en-IE"/>
        </w:rPr>
      </w:pPr>
      <w:r w:rsidRPr="1B7411E9">
        <w:rPr>
          <w:noProof/>
          <w:lang w:val="en-IE" w:eastAsia="en-IE"/>
        </w:rPr>
        <w:t>(b)</w:t>
      </w:r>
      <w:r>
        <w:rPr>
          <w:noProof/>
        </w:rPr>
        <w:tab/>
      </w:r>
      <w:r w:rsidRPr="1B7411E9">
        <w:rPr>
          <w:noProof/>
          <w:lang w:val="en-IE" w:eastAsia="en-IE"/>
        </w:rPr>
        <w:t>high-risk zone: where the expense incurred, or the income earned, by a BEFIT group member from intra-BEFIT group transactions increase in a fiscal year by 10% or more compared to the average expense or income of the previous three fiscal years from intra-BEFIT group transactions.</w:t>
      </w:r>
    </w:p>
    <w:p w14:paraId="7AC469D9" w14:textId="5B8FCDA2" w:rsidR="008D7960" w:rsidRPr="00363097" w:rsidRDefault="00634583" w:rsidP="00634583">
      <w:pPr>
        <w:pStyle w:val="ManualNumPar1"/>
        <w:rPr>
          <w:noProof/>
          <w:lang w:val="en-IE" w:eastAsia="en-IE"/>
        </w:rPr>
      </w:pPr>
      <w:r w:rsidRPr="00634583">
        <w:t>4.</w:t>
      </w:r>
      <w:r w:rsidRPr="00634583">
        <w:tab/>
      </w:r>
      <w:r w:rsidR="008D7960" w:rsidRPr="25A87D92">
        <w:rPr>
          <w:noProof/>
          <w:lang w:val="en-IE" w:eastAsia="en-IE"/>
        </w:rPr>
        <w:t xml:space="preserve">Member States shall take the appropriate measures in order to structure their approach to risk compliance in accordance with the following principles: </w:t>
      </w:r>
    </w:p>
    <w:p w14:paraId="5C1DAED4" w14:textId="77777777" w:rsidR="008D7960" w:rsidRPr="00363097" w:rsidRDefault="008D7960" w:rsidP="004A53B2">
      <w:pPr>
        <w:pStyle w:val="Point1"/>
        <w:rPr>
          <w:noProof/>
          <w:lang w:val="en-IE" w:eastAsia="en-IE"/>
        </w:rPr>
      </w:pPr>
      <w:r w:rsidRPr="00363097">
        <w:rPr>
          <w:noProof/>
          <w:lang w:val="en-IE" w:eastAsia="en-IE"/>
        </w:rPr>
        <w:t>(a)</w:t>
      </w:r>
      <w:r w:rsidRPr="00363097">
        <w:rPr>
          <w:noProof/>
          <w:lang w:val="en-IE" w:eastAsia="en-IE"/>
        </w:rPr>
        <w:tab/>
        <w:t xml:space="preserve">low-risk zone: the </w:t>
      </w:r>
      <w:r w:rsidR="006C7AD6" w:rsidRPr="00363097">
        <w:rPr>
          <w:noProof/>
          <w:lang w:val="en-IE" w:eastAsia="en-IE"/>
        </w:rPr>
        <w:t>competent authorities</w:t>
      </w:r>
      <w:r w:rsidRPr="00363097">
        <w:rPr>
          <w:noProof/>
          <w:lang w:val="en-IE" w:eastAsia="en-IE"/>
        </w:rPr>
        <w:t xml:space="preserve"> </w:t>
      </w:r>
      <w:r w:rsidR="0007086E" w:rsidRPr="00363097">
        <w:rPr>
          <w:noProof/>
          <w:lang w:val="en-IE" w:eastAsia="en-IE"/>
        </w:rPr>
        <w:t xml:space="preserve">of </w:t>
      </w:r>
      <w:r w:rsidR="006C7AD6" w:rsidRPr="00363097">
        <w:rPr>
          <w:noProof/>
          <w:lang w:val="en-IE" w:eastAsia="en-IE"/>
        </w:rPr>
        <w:t>the</w:t>
      </w:r>
      <w:r w:rsidR="0007086E" w:rsidRPr="00363097">
        <w:rPr>
          <w:noProof/>
          <w:lang w:val="en-IE" w:eastAsia="en-IE"/>
        </w:rPr>
        <w:t xml:space="preserve"> Member States </w:t>
      </w:r>
      <w:r w:rsidR="00F40C13" w:rsidRPr="00363097">
        <w:rPr>
          <w:noProof/>
          <w:lang w:val="en-IE" w:eastAsia="en-IE"/>
        </w:rPr>
        <w:t xml:space="preserve">concerned </w:t>
      </w:r>
      <w:r w:rsidRPr="00363097">
        <w:rPr>
          <w:noProof/>
          <w:lang w:val="en-IE" w:eastAsia="en-IE"/>
        </w:rPr>
        <w:t xml:space="preserve">shall presume that the pricing of intra-BEFIT group transactions of </w:t>
      </w:r>
      <w:r w:rsidR="00B7653A" w:rsidRPr="00363097">
        <w:rPr>
          <w:noProof/>
          <w:lang w:val="en-IE" w:eastAsia="en-IE"/>
        </w:rPr>
        <w:t>a specific</w:t>
      </w:r>
      <w:r w:rsidRPr="00363097">
        <w:rPr>
          <w:noProof/>
          <w:lang w:val="en-IE" w:eastAsia="en-IE"/>
        </w:rPr>
        <w:t xml:space="preserve"> BEFIT group member is consistent with the arm’s length principle;</w:t>
      </w:r>
    </w:p>
    <w:p w14:paraId="79C8E4BC" w14:textId="77777777" w:rsidR="008D7960" w:rsidRPr="00363097" w:rsidRDefault="008D7960" w:rsidP="004A53B2">
      <w:pPr>
        <w:pStyle w:val="Point1"/>
        <w:rPr>
          <w:noProof/>
          <w:lang w:val="en-IE" w:eastAsia="en-IE"/>
        </w:rPr>
      </w:pPr>
      <w:r w:rsidRPr="00363097">
        <w:rPr>
          <w:noProof/>
          <w:lang w:val="en-IE" w:eastAsia="en-IE"/>
        </w:rPr>
        <w:t>(b)</w:t>
      </w:r>
      <w:r w:rsidRPr="00363097">
        <w:rPr>
          <w:noProof/>
          <w:lang w:val="en-IE" w:eastAsia="en-IE"/>
        </w:rPr>
        <w:tab/>
        <w:t xml:space="preserve">high-risk zone: the </w:t>
      </w:r>
      <w:r w:rsidR="006C7AD6" w:rsidRPr="00363097">
        <w:rPr>
          <w:noProof/>
          <w:lang w:val="en-IE" w:eastAsia="en-IE"/>
        </w:rPr>
        <w:t>competent authorities</w:t>
      </w:r>
      <w:r w:rsidR="0007086E" w:rsidRPr="00363097">
        <w:rPr>
          <w:noProof/>
          <w:lang w:val="en-IE" w:eastAsia="en-IE"/>
        </w:rPr>
        <w:t xml:space="preserve"> of </w:t>
      </w:r>
      <w:r w:rsidR="006C7AD6" w:rsidRPr="00363097">
        <w:rPr>
          <w:noProof/>
          <w:lang w:val="en-IE" w:eastAsia="en-IE"/>
        </w:rPr>
        <w:t>the</w:t>
      </w:r>
      <w:r w:rsidR="0007086E" w:rsidRPr="00363097">
        <w:rPr>
          <w:noProof/>
          <w:lang w:val="en-IE" w:eastAsia="en-IE"/>
        </w:rPr>
        <w:t xml:space="preserve"> Member States</w:t>
      </w:r>
      <w:r w:rsidRPr="00363097">
        <w:rPr>
          <w:noProof/>
          <w:lang w:val="en-IE" w:eastAsia="en-IE"/>
        </w:rPr>
        <w:t xml:space="preserve"> </w:t>
      </w:r>
      <w:r w:rsidR="00F40C13" w:rsidRPr="00363097">
        <w:rPr>
          <w:noProof/>
          <w:lang w:val="en-IE" w:eastAsia="en-IE"/>
        </w:rPr>
        <w:t xml:space="preserve">concerned </w:t>
      </w:r>
      <w:r w:rsidRPr="00363097">
        <w:rPr>
          <w:noProof/>
          <w:lang w:val="en-IE" w:eastAsia="en-IE"/>
        </w:rPr>
        <w:t xml:space="preserve">shall presume that the pricing of intra-BEFIT group transactions </w:t>
      </w:r>
      <w:r w:rsidR="005F34B8" w:rsidRPr="00363097">
        <w:rPr>
          <w:noProof/>
          <w:lang w:eastAsia="en-IE"/>
        </w:rPr>
        <w:t>of a specific</w:t>
      </w:r>
      <w:r w:rsidR="004A53B2">
        <w:rPr>
          <w:noProof/>
          <w:lang w:eastAsia="en-IE"/>
        </w:rPr>
        <w:t xml:space="preserve"> </w:t>
      </w:r>
      <w:r w:rsidR="005F34B8" w:rsidRPr="00363097">
        <w:rPr>
          <w:noProof/>
          <w:lang w:eastAsia="en-IE"/>
        </w:rPr>
        <w:t xml:space="preserve">BEFIT group member </w:t>
      </w:r>
      <w:r w:rsidRPr="00363097">
        <w:rPr>
          <w:noProof/>
          <w:lang w:val="en-IE" w:eastAsia="en-IE"/>
        </w:rPr>
        <w:t>does not comply with the arm’s length principle and the part of the increase which goes beyond 10% shall not be recognized for the purpose of computing the baseline allocation percentage of that BEFIT group member.</w:t>
      </w:r>
    </w:p>
    <w:p w14:paraId="2AFC0BD1" w14:textId="6B6B009F" w:rsidR="002E4591" w:rsidRPr="00363097" w:rsidRDefault="008D7960" w:rsidP="002E4591">
      <w:pPr>
        <w:pStyle w:val="Text1"/>
        <w:rPr>
          <w:noProof/>
          <w:lang w:val="en-IE" w:eastAsia="en-IE"/>
        </w:rPr>
      </w:pPr>
      <w:r w:rsidRPr="00363097">
        <w:rPr>
          <w:noProof/>
          <w:lang w:val="en-IE" w:eastAsia="en-IE"/>
        </w:rPr>
        <w:t xml:space="preserve">Notwithstanding the rule set out in the first sub-paragraph </w:t>
      </w:r>
      <w:r w:rsidR="00CD77FD" w:rsidRPr="00363097">
        <w:rPr>
          <w:noProof/>
          <w:lang w:val="en-IE" w:eastAsia="en-IE"/>
        </w:rPr>
        <w:t xml:space="preserve">of </w:t>
      </w:r>
      <w:r w:rsidRPr="00363097">
        <w:rPr>
          <w:noProof/>
          <w:lang w:val="en-IE" w:eastAsia="en-IE"/>
        </w:rPr>
        <w:t xml:space="preserve">point (b), a BEFIT group member shall be entitled to provide evidence </w:t>
      </w:r>
      <w:r w:rsidR="00017C5F" w:rsidRPr="00363097">
        <w:rPr>
          <w:noProof/>
          <w:lang w:val="en-IE" w:eastAsia="en-IE"/>
        </w:rPr>
        <w:t>to</w:t>
      </w:r>
      <w:r w:rsidR="00017C5F" w:rsidRPr="00363097">
        <w:rPr>
          <w:noProof/>
        </w:rPr>
        <w:t xml:space="preserve"> </w:t>
      </w:r>
      <w:r w:rsidR="00C36162" w:rsidRPr="00363097">
        <w:rPr>
          <w:noProof/>
        </w:rPr>
        <w:t>the competent authority of the Member State in which it is resident for tax purposes or situated in the form of a permanent establishment</w:t>
      </w:r>
      <w:r w:rsidR="00017C5F" w:rsidRPr="00363097">
        <w:rPr>
          <w:noProof/>
          <w:lang w:val="en-IE" w:eastAsia="en-IE"/>
        </w:rPr>
        <w:t xml:space="preserve"> </w:t>
      </w:r>
      <w:r w:rsidR="00A413D0">
        <w:rPr>
          <w:noProof/>
          <w:lang w:val="en-IE" w:eastAsia="en-IE"/>
        </w:rPr>
        <w:t>that</w:t>
      </w:r>
      <w:r w:rsidRPr="00363097">
        <w:rPr>
          <w:noProof/>
          <w:lang w:val="en-IE" w:eastAsia="en-IE"/>
        </w:rPr>
        <w:t xml:space="preserve"> the pricing of the relevant intra-BEFIT group transactions is set in accordance with the arm’s length principle. In such case, the full amount of expense from the intra-BEFIT group transactions in question, as evidenced, shall be recognized for the purpose of computing the baseline allocation percentage of that BEFIT group member.</w:t>
      </w:r>
    </w:p>
    <w:p w14:paraId="225E0CCC" w14:textId="141743C6" w:rsidR="002E4591" w:rsidRPr="00363097" w:rsidRDefault="00634583" w:rsidP="00634583">
      <w:pPr>
        <w:pStyle w:val="ManualNumPar1"/>
        <w:rPr>
          <w:noProof/>
          <w:lang w:val="en-IE" w:eastAsia="en-IE"/>
        </w:rPr>
      </w:pPr>
      <w:r w:rsidRPr="00634583">
        <w:t>5.</w:t>
      </w:r>
      <w:r w:rsidRPr="00634583">
        <w:tab/>
      </w:r>
      <w:r w:rsidR="002E4591">
        <w:rPr>
          <w:noProof/>
        </w:rPr>
        <w:t>Notwithstanding Article 13(2), the exceeding borrowing costs as referred to in Article 2 of Council Directive (EU) 2016/1164 which arise from a transaction between BEFIT group members shall not be recognized for the purpose of computing the baseline allocation percentage of the BEFIT group member which incurs such costs.</w:t>
      </w:r>
    </w:p>
    <w:p w14:paraId="0D1DA69C" w14:textId="263D2DEA" w:rsidR="00081B7A" w:rsidRPr="00363097" w:rsidRDefault="00634583" w:rsidP="00634583">
      <w:pPr>
        <w:pStyle w:val="ManualNumPar1"/>
        <w:rPr>
          <w:noProof/>
          <w:lang w:val="en-IE" w:eastAsia="en-IE"/>
        </w:rPr>
      </w:pPr>
      <w:r w:rsidRPr="00634583">
        <w:t>6.</w:t>
      </w:r>
      <w:r w:rsidRPr="00634583">
        <w:tab/>
      </w:r>
      <w:r w:rsidR="00081B7A" w:rsidRPr="25A87D92">
        <w:rPr>
          <w:noProof/>
          <w:lang w:val="en-IE" w:eastAsia="en-IE"/>
        </w:rPr>
        <w:t xml:space="preserve">If the structure of the BEFIT group changes during the transition period </w:t>
      </w:r>
      <w:r w:rsidR="00146DC2" w:rsidRPr="25A87D92">
        <w:rPr>
          <w:noProof/>
          <w:lang w:val="en-IE" w:eastAsia="en-IE"/>
        </w:rPr>
        <w:t>referred to in paragraph 1</w:t>
      </w:r>
      <w:r w:rsidR="00081B7A" w:rsidRPr="25A87D92">
        <w:rPr>
          <w:noProof/>
          <w:lang w:val="en-IE" w:eastAsia="en-IE"/>
        </w:rPr>
        <w:t xml:space="preserve"> due to new members joining the group or members leaving the group, the baseline allocation percentage shall be re-computed in accordance with paragraph 2. For each BEFIT group member, the BEFIT tax base shall be allocated in accordance with the new baseline allocation percentage for the time that remains until the end of this period, unless subsequent changes in the structure of the BEFIT group require a new re-computation of the baseline allocation percentage.</w:t>
      </w:r>
    </w:p>
    <w:p w14:paraId="458D6080" w14:textId="172B954D" w:rsidR="00081B7A" w:rsidRPr="00363097" w:rsidRDefault="00634583" w:rsidP="00634583">
      <w:pPr>
        <w:pStyle w:val="ManualNumPar1"/>
        <w:rPr>
          <w:noProof/>
          <w:lang w:val="en-IE" w:eastAsia="en-IE"/>
        </w:rPr>
      </w:pPr>
      <w:r w:rsidRPr="00634583">
        <w:t>7.</w:t>
      </w:r>
      <w:r w:rsidRPr="00634583">
        <w:tab/>
      </w:r>
      <w:r w:rsidR="00081B7A" w:rsidRPr="25A87D92">
        <w:rPr>
          <w:noProof/>
          <w:lang w:val="en-IE" w:eastAsia="en-IE"/>
        </w:rPr>
        <w:t xml:space="preserve">If the structure of the BEFIT group changes during the transition period </w:t>
      </w:r>
      <w:r w:rsidR="00146DC2" w:rsidRPr="25A87D92">
        <w:rPr>
          <w:noProof/>
          <w:lang w:val="en-IE" w:eastAsia="en-IE"/>
        </w:rPr>
        <w:t>referred to in paragraph 1</w:t>
      </w:r>
      <w:r w:rsidR="00081B7A" w:rsidRPr="25A87D92">
        <w:rPr>
          <w:noProof/>
          <w:lang w:val="en-IE" w:eastAsia="en-IE"/>
        </w:rPr>
        <w:t xml:space="preserve"> due to the creation of one or more new </w:t>
      </w:r>
      <w:r w:rsidR="005F381D" w:rsidRPr="25A87D92">
        <w:rPr>
          <w:noProof/>
          <w:lang w:val="en-IE" w:eastAsia="en-IE"/>
        </w:rPr>
        <w:t xml:space="preserve">companies </w:t>
      </w:r>
      <w:r w:rsidR="00081B7A" w:rsidRPr="25A87D92">
        <w:rPr>
          <w:noProof/>
          <w:lang w:val="en-IE" w:eastAsia="en-IE"/>
        </w:rPr>
        <w:t xml:space="preserve">which </w:t>
      </w:r>
      <w:r w:rsidR="00D56D24" w:rsidRPr="25A87D92">
        <w:rPr>
          <w:noProof/>
          <w:lang w:val="en-IE" w:eastAsia="en-IE"/>
        </w:rPr>
        <w:t>qualify</w:t>
      </w:r>
      <w:r w:rsidR="00081B7A" w:rsidRPr="25A87D92">
        <w:rPr>
          <w:noProof/>
          <w:lang w:val="en-IE" w:eastAsia="en-IE"/>
        </w:rPr>
        <w:t xml:space="preserve"> as BEFIT group member</w:t>
      </w:r>
      <w:r w:rsidR="005F381D" w:rsidRPr="25A87D92">
        <w:rPr>
          <w:noProof/>
          <w:lang w:val="en-IE" w:eastAsia="en-IE"/>
        </w:rPr>
        <w:t>s</w:t>
      </w:r>
      <w:r w:rsidR="00081B7A" w:rsidRPr="25A87D92">
        <w:rPr>
          <w:noProof/>
          <w:lang w:val="en-IE" w:eastAsia="en-IE"/>
        </w:rPr>
        <w:t>, the rules for allocating the BEFIT tax base, as laid down in paragraph 2, shall not apply to the new BEFIT group member</w:t>
      </w:r>
      <w:r w:rsidR="00207216" w:rsidRPr="25A87D92">
        <w:rPr>
          <w:noProof/>
          <w:lang w:val="en-IE" w:eastAsia="en-IE"/>
        </w:rPr>
        <w:t>s</w:t>
      </w:r>
      <w:r w:rsidR="00081B7A" w:rsidRPr="25A87D92">
        <w:rPr>
          <w:noProof/>
          <w:lang w:val="en-IE" w:eastAsia="en-IE"/>
        </w:rPr>
        <w:t xml:space="preserve"> in the first fiscal year. For subsequent fiscal years until the end of th</w:t>
      </w:r>
      <w:r w:rsidR="00146DC2" w:rsidRPr="25A87D92">
        <w:rPr>
          <w:noProof/>
          <w:lang w:val="en-IE" w:eastAsia="en-IE"/>
        </w:rPr>
        <w:t>at</w:t>
      </w:r>
      <w:r w:rsidR="00081B7A" w:rsidRPr="25A87D92">
        <w:rPr>
          <w:noProof/>
          <w:lang w:val="en-IE" w:eastAsia="en-IE"/>
        </w:rPr>
        <w:t xml:space="preserve"> transition period, the baseline allocation percentage of the new BEFIT group member</w:t>
      </w:r>
      <w:r w:rsidR="00207216" w:rsidRPr="25A87D92">
        <w:rPr>
          <w:noProof/>
          <w:lang w:val="en-IE" w:eastAsia="en-IE"/>
        </w:rPr>
        <w:t>s</w:t>
      </w:r>
      <w:r w:rsidR="00081B7A" w:rsidRPr="25A87D92">
        <w:rPr>
          <w:noProof/>
          <w:lang w:val="en-IE" w:eastAsia="en-IE"/>
        </w:rPr>
        <w:t xml:space="preserve"> shall be computed in accordance with paragraph 2. </w:t>
      </w:r>
      <w:bookmarkStart w:id="17" w:name="_Hlk139615165"/>
    </w:p>
    <w:p w14:paraId="5BBBE052" w14:textId="3D022AAA" w:rsidR="00081B7A" w:rsidRPr="00363097" w:rsidRDefault="00634583" w:rsidP="00634583">
      <w:pPr>
        <w:pStyle w:val="ManualNumPar1"/>
        <w:rPr>
          <w:noProof/>
          <w:lang w:val="en-IE" w:eastAsia="en-IE"/>
        </w:rPr>
      </w:pPr>
      <w:r w:rsidRPr="00634583">
        <w:t>8.</w:t>
      </w:r>
      <w:r w:rsidRPr="00634583">
        <w:tab/>
      </w:r>
      <w:r w:rsidR="00081B7A" w:rsidRPr="25A87D92">
        <w:rPr>
          <w:noProof/>
          <w:lang w:val="en-IE" w:eastAsia="en-IE"/>
        </w:rPr>
        <w:t xml:space="preserve">If a group </w:t>
      </w:r>
      <w:r w:rsidR="008D7960" w:rsidRPr="25A87D92">
        <w:rPr>
          <w:noProof/>
          <w:lang w:val="en-IE" w:eastAsia="en-IE"/>
        </w:rPr>
        <w:t>become</w:t>
      </w:r>
      <w:r w:rsidR="00E72B75" w:rsidRPr="25A87D92">
        <w:rPr>
          <w:noProof/>
          <w:lang w:val="en-IE" w:eastAsia="en-IE"/>
        </w:rPr>
        <w:t>s</w:t>
      </w:r>
      <w:r w:rsidR="008D7960" w:rsidRPr="25A87D92">
        <w:rPr>
          <w:noProof/>
          <w:lang w:val="en-IE" w:eastAsia="en-IE"/>
        </w:rPr>
        <w:t xml:space="preserve"> subject to the rules of this Directive </w:t>
      </w:r>
      <w:r w:rsidR="00081B7A" w:rsidRPr="25A87D92">
        <w:rPr>
          <w:noProof/>
          <w:lang w:val="en-IE" w:eastAsia="en-IE"/>
        </w:rPr>
        <w:t xml:space="preserve">later than </w:t>
      </w:r>
      <w:r w:rsidR="0047476F">
        <w:rPr>
          <w:noProof/>
          <w:lang w:val="en-IE" w:eastAsia="en-IE"/>
        </w:rPr>
        <w:t>1 July 2028</w:t>
      </w:r>
      <w:r w:rsidR="00081B7A" w:rsidRPr="25A87D92">
        <w:rPr>
          <w:noProof/>
          <w:lang w:val="en-IE" w:eastAsia="en-IE"/>
        </w:rPr>
        <w:t xml:space="preserve">, the baseline allocation shall be computed in accordance with paragraph 2. </w:t>
      </w:r>
      <w:bookmarkStart w:id="18" w:name="_Hlk139616105"/>
      <w:r w:rsidR="00081B7A" w:rsidRPr="25A87D92">
        <w:rPr>
          <w:noProof/>
          <w:lang w:val="en-IE" w:eastAsia="en-IE"/>
        </w:rPr>
        <w:t xml:space="preserve">By way of derogation from paragraphs 1 and 2, </w:t>
      </w:r>
      <w:bookmarkEnd w:id="18"/>
      <w:r w:rsidR="00081B7A" w:rsidRPr="25A87D92">
        <w:rPr>
          <w:noProof/>
          <w:lang w:val="en-IE" w:eastAsia="en-IE"/>
        </w:rPr>
        <w:t>the BEFIT tax base shall be allocated to the BEFIT group members over the remaining part of the transition period</w:t>
      </w:r>
      <w:r w:rsidR="00146DC2" w:rsidRPr="25A87D92">
        <w:rPr>
          <w:noProof/>
          <w:lang w:val="en-IE" w:eastAsia="en-IE"/>
        </w:rPr>
        <w:t xml:space="preserve"> referred to in paragraph 1</w:t>
      </w:r>
      <w:r w:rsidR="00081B7A" w:rsidRPr="25A87D92">
        <w:rPr>
          <w:noProof/>
          <w:lang w:val="en-IE" w:eastAsia="en-IE"/>
        </w:rPr>
        <w:t xml:space="preserve">. </w:t>
      </w:r>
      <w:bookmarkEnd w:id="17"/>
    </w:p>
    <w:p w14:paraId="5199911D" w14:textId="79E7645D" w:rsidR="00081B7A" w:rsidRPr="00363097" w:rsidRDefault="00634583" w:rsidP="00634583">
      <w:pPr>
        <w:pStyle w:val="ManualNumPar1"/>
        <w:rPr>
          <w:noProof/>
          <w:lang w:val="en-IE" w:eastAsia="en-IE"/>
        </w:rPr>
      </w:pPr>
      <w:r w:rsidRPr="00634583">
        <w:t>9.</w:t>
      </w:r>
      <w:r w:rsidRPr="00634583">
        <w:tab/>
      </w:r>
      <w:r w:rsidR="00081B7A" w:rsidRPr="25A87D92">
        <w:rPr>
          <w:noProof/>
          <w:lang w:val="en-IE" w:eastAsia="en-IE"/>
        </w:rPr>
        <w:t>The Commission shall carry out a comprehensive review of the transition rule as part of which it shall prepare a study on the possible composition and weight of selected formula factors and submit a report to the Council by the end of the third fiscal year during the transition period</w:t>
      </w:r>
      <w:r w:rsidR="00146DC2" w:rsidRPr="25A87D92">
        <w:rPr>
          <w:noProof/>
          <w:lang w:val="en-IE" w:eastAsia="en-IE"/>
        </w:rPr>
        <w:t xml:space="preserve"> referred to in paragraph 1</w:t>
      </w:r>
      <w:r w:rsidR="00081B7A" w:rsidRPr="25A87D92">
        <w:rPr>
          <w:noProof/>
          <w:lang w:val="en-IE" w:eastAsia="en-IE"/>
        </w:rPr>
        <w:t xml:space="preserve">. If the Commission deems it appropriate, </w:t>
      </w:r>
      <w:r w:rsidR="00557033">
        <w:rPr>
          <w:noProof/>
        </w:rPr>
        <w:t xml:space="preserve">taking into account the conclusions of this report, </w:t>
      </w:r>
      <w:r w:rsidR="00081B7A" w:rsidRPr="25A87D92">
        <w:rPr>
          <w:noProof/>
          <w:lang w:val="en-IE" w:eastAsia="en-IE"/>
        </w:rPr>
        <w:t xml:space="preserve">it may adopt a legislative proposal during the transition period, to amend this Directive by introducing a method for the allocation of the BEFIT tax base using formulary apportionment and based on factors. </w:t>
      </w:r>
    </w:p>
    <w:p w14:paraId="0B60F1E3" w14:textId="01DF986E" w:rsidR="00947FDB" w:rsidRPr="00363097" w:rsidRDefault="00634583" w:rsidP="00634583">
      <w:pPr>
        <w:pStyle w:val="ManualNumPar1"/>
        <w:rPr>
          <w:noProof/>
          <w:lang w:val="en-IE" w:eastAsia="en-IE"/>
        </w:rPr>
      </w:pPr>
      <w:r w:rsidRPr="00634583">
        <w:t>10.</w:t>
      </w:r>
      <w:r w:rsidRPr="00634583">
        <w:tab/>
      </w:r>
      <w:r w:rsidR="0068606A">
        <w:rPr>
          <w:noProof/>
          <w:lang w:val="en-IE" w:eastAsia="en-IE"/>
        </w:rPr>
        <w:t xml:space="preserve">The </w:t>
      </w:r>
      <w:r w:rsidR="0068606A" w:rsidRPr="0068606A">
        <w:rPr>
          <w:noProof/>
          <w:lang w:val="en-IE" w:eastAsia="en-IE"/>
        </w:rPr>
        <w:t>rules laid down in paragraphs 1 to 8 shall continue to apply until any amendment thereof has come into effect</w:t>
      </w:r>
      <w:r w:rsidR="00081B7A" w:rsidRPr="25A87D92">
        <w:rPr>
          <w:noProof/>
          <w:lang w:val="en-IE" w:eastAsia="en-IE"/>
        </w:rPr>
        <w:t xml:space="preserve">. </w:t>
      </w:r>
    </w:p>
    <w:p w14:paraId="212C379B" w14:textId="77777777" w:rsidR="00081B7A" w:rsidRPr="00363097" w:rsidRDefault="00081B7A" w:rsidP="006B487B">
      <w:pPr>
        <w:pStyle w:val="Titrearticle2"/>
        <w:rPr>
          <w:b/>
          <w:noProof/>
        </w:rPr>
      </w:pPr>
      <w:r w:rsidRPr="00363097">
        <w:rPr>
          <w:noProof/>
          <w:lang w:val="en-IE"/>
        </w:rPr>
        <w:t>Article 46</w:t>
      </w:r>
      <w:r w:rsidRPr="00363097">
        <w:rPr>
          <w:noProof/>
          <w:lang w:val="en-IE"/>
        </w:rPr>
        <w:br/>
      </w:r>
      <w:r w:rsidRPr="00363097">
        <w:rPr>
          <w:b/>
          <w:noProof/>
        </w:rPr>
        <w:t>Upstream activities</w:t>
      </w:r>
    </w:p>
    <w:p w14:paraId="385DFA3E" w14:textId="5131E308" w:rsidR="00081B7A" w:rsidRPr="00363097" w:rsidRDefault="00634583" w:rsidP="00634583">
      <w:pPr>
        <w:pStyle w:val="ManualNumPar1"/>
        <w:rPr>
          <w:noProof/>
          <w:szCs w:val="24"/>
        </w:rPr>
      </w:pPr>
      <w:r w:rsidRPr="00634583">
        <w:t>1.</w:t>
      </w:r>
      <w:r w:rsidRPr="00634583">
        <w:tab/>
      </w:r>
      <w:r w:rsidR="00081B7A" w:rsidRPr="00363097">
        <w:rPr>
          <w:noProof/>
        </w:rPr>
        <w:t>By way of derogation from Article</w:t>
      </w:r>
      <w:r w:rsidR="00EC28D6">
        <w:rPr>
          <w:noProof/>
        </w:rPr>
        <w:t>s</w:t>
      </w:r>
      <w:r w:rsidR="00081B7A" w:rsidRPr="00363097">
        <w:rPr>
          <w:noProof/>
        </w:rPr>
        <w:t xml:space="preserve"> </w:t>
      </w:r>
      <w:r w:rsidR="00396B75">
        <w:rPr>
          <w:noProof/>
        </w:rPr>
        <w:t xml:space="preserve">42 </w:t>
      </w:r>
      <w:r w:rsidR="00EC28D6">
        <w:rPr>
          <w:noProof/>
        </w:rPr>
        <w:t>to</w:t>
      </w:r>
      <w:r w:rsidR="00396B75">
        <w:rPr>
          <w:noProof/>
        </w:rPr>
        <w:t xml:space="preserve"> </w:t>
      </w:r>
      <w:r w:rsidR="00081B7A" w:rsidRPr="00363097">
        <w:rPr>
          <w:noProof/>
        </w:rPr>
        <w:t xml:space="preserve">45, where a BEFIT group member conducts its principal business in the field of </w:t>
      </w:r>
      <w:r w:rsidR="00205585">
        <w:rPr>
          <w:noProof/>
        </w:rPr>
        <w:t>extracti</w:t>
      </w:r>
      <w:r w:rsidR="00A943C3">
        <w:rPr>
          <w:noProof/>
        </w:rPr>
        <w:t>ve</w:t>
      </w:r>
      <w:r w:rsidR="00205585">
        <w:rPr>
          <w:noProof/>
        </w:rPr>
        <w:t xml:space="preserve"> </w:t>
      </w:r>
      <w:r w:rsidR="00A943C3">
        <w:rPr>
          <w:noProof/>
        </w:rPr>
        <w:t>activities</w:t>
      </w:r>
      <w:r w:rsidR="00081B7A" w:rsidRPr="00363097">
        <w:rPr>
          <w:noProof/>
        </w:rPr>
        <w:t>, its revenues</w:t>
      </w:r>
      <w:r w:rsidR="00B609FD" w:rsidRPr="00363097">
        <w:rPr>
          <w:noProof/>
        </w:rPr>
        <w:t>, expenses and other deductible items</w:t>
      </w:r>
      <w:r w:rsidR="00544638" w:rsidRPr="00363097">
        <w:rPr>
          <w:noProof/>
        </w:rPr>
        <w:t xml:space="preserve"> </w:t>
      </w:r>
      <w:r w:rsidR="007E4995" w:rsidRPr="00363097">
        <w:rPr>
          <w:noProof/>
        </w:rPr>
        <w:t>which stem from such activities</w:t>
      </w:r>
      <w:r w:rsidR="00081B7A" w:rsidRPr="00363097">
        <w:rPr>
          <w:noProof/>
        </w:rPr>
        <w:t xml:space="preserve"> shall be attributed to the BEFIT group member located in the Member State where the </w:t>
      </w:r>
      <w:r w:rsidR="00597D03">
        <w:rPr>
          <w:noProof/>
        </w:rPr>
        <w:t>extraction</w:t>
      </w:r>
      <w:r w:rsidR="002E42AB">
        <w:rPr>
          <w:noProof/>
        </w:rPr>
        <w:t xml:space="preserve"> takes place</w:t>
      </w:r>
      <w:r w:rsidR="00081B7A" w:rsidRPr="00363097">
        <w:rPr>
          <w:noProof/>
        </w:rPr>
        <w:t xml:space="preserve">. </w:t>
      </w:r>
    </w:p>
    <w:p w14:paraId="0855FA90" w14:textId="2EDA159A" w:rsidR="00081B7A" w:rsidRPr="00363097" w:rsidRDefault="00081B7A" w:rsidP="00081B7A">
      <w:pPr>
        <w:pStyle w:val="Text1"/>
        <w:rPr>
          <w:noProof/>
        </w:rPr>
      </w:pPr>
      <w:r w:rsidRPr="00363097">
        <w:rPr>
          <w:noProof/>
        </w:rPr>
        <w:t xml:space="preserve">Where there is more than one BEFIT group member that is tax resident in the Member State where the </w:t>
      </w:r>
      <w:r w:rsidR="00302B62">
        <w:rPr>
          <w:noProof/>
        </w:rPr>
        <w:t>extraction takes place</w:t>
      </w:r>
      <w:r w:rsidRPr="00363097">
        <w:rPr>
          <w:noProof/>
        </w:rPr>
        <w:t xml:space="preserve">, the </w:t>
      </w:r>
      <w:r w:rsidRPr="00363097" w:rsidDel="00774038">
        <w:rPr>
          <w:noProof/>
        </w:rPr>
        <w:t>revenues</w:t>
      </w:r>
      <w:r w:rsidR="007E4995" w:rsidRPr="00363097">
        <w:rPr>
          <w:noProof/>
        </w:rPr>
        <w:t>, expenses and other deductible items which stem from such activities</w:t>
      </w:r>
      <w:r w:rsidR="00082784" w:rsidRPr="00363097">
        <w:rPr>
          <w:noProof/>
        </w:rPr>
        <w:t xml:space="preserve"> </w:t>
      </w:r>
      <w:r w:rsidRPr="00363097">
        <w:rPr>
          <w:noProof/>
        </w:rPr>
        <w:t>shall be attributed to each such BEFIT group member, in proportion to their baseline allocation percentage.</w:t>
      </w:r>
    </w:p>
    <w:p w14:paraId="657A1836" w14:textId="783981B5" w:rsidR="00081B7A" w:rsidRPr="00363097" w:rsidRDefault="00634583" w:rsidP="00634583">
      <w:pPr>
        <w:pStyle w:val="ManualNumPar1"/>
        <w:rPr>
          <w:noProof/>
          <w:szCs w:val="24"/>
        </w:rPr>
      </w:pPr>
      <w:r w:rsidRPr="00634583">
        <w:t>2.</w:t>
      </w:r>
      <w:r w:rsidRPr="00634583">
        <w:tab/>
      </w:r>
      <w:r w:rsidR="00081B7A" w:rsidRPr="00363097">
        <w:rPr>
          <w:noProof/>
        </w:rPr>
        <w:t xml:space="preserve">By way of derogation from Article </w:t>
      </w:r>
      <w:r w:rsidR="006A12FE">
        <w:rPr>
          <w:noProof/>
        </w:rPr>
        <w:t>42</w:t>
      </w:r>
      <w:r w:rsidR="007B151B">
        <w:rPr>
          <w:noProof/>
        </w:rPr>
        <w:t xml:space="preserve"> to</w:t>
      </w:r>
      <w:r w:rsidR="006A12FE">
        <w:rPr>
          <w:noProof/>
        </w:rPr>
        <w:t xml:space="preserve"> </w:t>
      </w:r>
      <w:r w:rsidR="00081B7A" w:rsidRPr="00363097">
        <w:rPr>
          <w:noProof/>
        </w:rPr>
        <w:t xml:space="preserve">45, where there is no BEFIT group member in the Member State </w:t>
      </w:r>
      <w:r w:rsidR="00081B7A" w:rsidRPr="00C65C0B">
        <w:rPr>
          <w:noProof/>
        </w:rPr>
        <w:t xml:space="preserve">of extraction, </w:t>
      </w:r>
      <w:r w:rsidR="00081B7A" w:rsidRPr="00363097">
        <w:rPr>
          <w:noProof/>
        </w:rPr>
        <w:t xml:space="preserve">or where the extraction takes place in a third country jurisdiction, the </w:t>
      </w:r>
      <w:r w:rsidR="00081B7A" w:rsidRPr="00363097" w:rsidDel="00774038">
        <w:rPr>
          <w:noProof/>
        </w:rPr>
        <w:t>revenues</w:t>
      </w:r>
      <w:r w:rsidR="007E4995" w:rsidRPr="00363097">
        <w:rPr>
          <w:noProof/>
        </w:rPr>
        <w:t>, expenses and other deductible items which stem from such activities</w:t>
      </w:r>
      <w:r w:rsidR="00950531" w:rsidRPr="00363097">
        <w:rPr>
          <w:noProof/>
        </w:rPr>
        <w:t xml:space="preserve"> </w:t>
      </w:r>
      <w:r w:rsidR="00081B7A" w:rsidRPr="00363097">
        <w:rPr>
          <w:noProof/>
        </w:rPr>
        <w:t xml:space="preserve">shall be attributed to the BEFIT group member to which they accrued. </w:t>
      </w:r>
    </w:p>
    <w:p w14:paraId="17FFCEC6" w14:textId="77777777" w:rsidR="00081B7A" w:rsidRPr="00363097" w:rsidRDefault="00081B7A" w:rsidP="006B487B">
      <w:pPr>
        <w:pStyle w:val="Titrearticle2"/>
        <w:rPr>
          <w:b/>
          <w:noProof/>
          <w:lang w:val="en-IE"/>
        </w:rPr>
      </w:pPr>
      <w:r w:rsidRPr="00363097">
        <w:rPr>
          <w:noProof/>
          <w:szCs w:val="24"/>
          <w:lang w:val="en-IE"/>
        </w:rPr>
        <w:t>Article 47</w:t>
      </w:r>
      <w:r w:rsidRPr="00363097">
        <w:rPr>
          <w:noProof/>
        </w:rPr>
        <w:br/>
      </w:r>
      <w:r w:rsidRPr="00363097">
        <w:rPr>
          <w:noProof/>
        </w:rPr>
        <w:tab/>
      </w:r>
      <w:r w:rsidRPr="00363097">
        <w:rPr>
          <w:b/>
          <w:noProof/>
          <w:lang w:val="en-IE"/>
        </w:rPr>
        <w:t>Exception for shipping not covered by a tonnage tax regime, inland waterways transport and air transport</w:t>
      </w:r>
    </w:p>
    <w:p w14:paraId="4BAC3EC5" w14:textId="02D31E2E" w:rsidR="00081B7A" w:rsidRPr="00363097" w:rsidRDefault="00634583" w:rsidP="00634583">
      <w:pPr>
        <w:pStyle w:val="ManualNumPar1"/>
        <w:rPr>
          <w:noProof/>
        </w:rPr>
      </w:pPr>
      <w:r w:rsidRPr="00634583">
        <w:t>1.</w:t>
      </w:r>
      <w:r w:rsidRPr="00634583">
        <w:tab/>
      </w:r>
      <w:r w:rsidR="00081B7A" w:rsidRPr="00363097">
        <w:rPr>
          <w:noProof/>
        </w:rPr>
        <w:t xml:space="preserve">By way of derogation from Article </w:t>
      </w:r>
      <w:r w:rsidR="00D56EE7">
        <w:rPr>
          <w:noProof/>
        </w:rPr>
        <w:t xml:space="preserve">42 </w:t>
      </w:r>
      <w:r w:rsidR="007B151B">
        <w:rPr>
          <w:noProof/>
        </w:rPr>
        <w:t>to</w:t>
      </w:r>
      <w:r w:rsidR="00D56EE7">
        <w:rPr>
          <w:noProof/>
        </w:rPr>
        <w:t xml:space="preserve"> </w:t>
      </w:r>
      <w:r w:rsidR="00081B7A" w:rsidRPr="00363097">
        <w:rPr>
          <w:noProof/>
        </w:rPr>
        <w:t>45</w:t>
      </w:r>
      <w:r w:rsidR="00776262" w:rsidRPr="00363097">
        <w:rPr>
          <w:noProof/>
        </w:rPr>
        <w:t xml:space="preserve"> and without prejudice to Article 15</w:t>
      </w:r>
      <w:r w:rsidR="00081B7A" w:rsidRPr="00363097">
        <w:rPr>
          <w:noProof/>
        </w:rPr>
        <w:t xml:space="preserve">, the revenues, expenses and other deductible items which stem from the following activities shall be excluded from the </w:t>
      </w:r>
      <w:bookmarkStart w:id="19" w:name="TaxBase"/>
      <w:bookmarkEnd w:id="19"/>
      <w:r w:rsidR="00081B7A" w:rsidRPr="00363097">
        <w:rPr>
          <w:noProof/>
        </w:rPr>
        <w:t>BEFIT tax base</w:t>
      </w:r>
      <w:r w:rsidR="000F22DF" w:rsidRPr="00363097">
        <w:rPr>
          <w:noProof/>
        </w:rPr>
        <w:t xml:space="preserve"> in any of the following cases</w:t>
      </w:r>
      <w:r w:rsidR="00081B7A" w:rsidRPr="00363097">
        <w:rPr>
          <w:noProof/>
        </w:rPr>
        <w:t>:</w:t>
      </w:r>
    </w:p>
    <w:p w14:paraId="29F0F84A" w14:textId="5864BFA7" w:rsidR="00081B7A" w:rsidRPr="00363097" w:rsidRDefault="00081B7A" w:rsidP="00081B7A">
      <w:pPr>
        <w:pStyle w:val="Point1"/>
        <w:rPr>
          <w:noProof/>
        </w:rPr>
      </w:pPr>
      <w:r w:rsidRPr="00363097">
        <w:rPr>
          <w:noProof/>
        </w:rPr>
        <w:t>(</w:t>
      </w:r>
      <w:r w:rsidR="00C50543" w:rsidRPr="00363097">
        <w:rPr>
          <w:noProof/>
        </w:rPr>
        <w:t>a</w:t>
      </w:r>
      <w:r w:rsidRPr="00363097">
        <w:rPr>
          <w:noProof/>
        </w:rPr>
        <w:t>)</w:t>
      </w:r>
      <w:r w:rsidRPr="00363097">
        <w:rPr>
          <w:noProof/>
        </w:rPr>
        <w:tab/>
        <w:t>the operation of ships in international traffic where the taxable result is not covered by a tonnage tax regime</w:t>
      </w:r>
      <w:r w:rsidR="00D649D2" w:rsidRPr="00363097">
        <w:rPr>
          <w:noProof/>
          <w:lang w:val="en-IE"/>
        </w:rPr>
        <w:t>;</w:t>
      </w:r>
    </w:p>
    <w:p w14:paraId="1C71F7DE" w14:textId="77777777" w:rsidR="00081B7A" w:rsidRPr="00363097" w:rsidRDefault="00081B7A" w:rsidP="00081B7A">
      <w:pPr>
        <w:pStyle w:val="Point1"/>
        <w:rPr>
          <w:noProof/>
        </w:rPr>
      </w:pPr>
      <w:r w:rsidRPr="00363097">
        <w:rPr>
          <w:noProof/>
        </w:rPr>
        <w:t>(</w:t>
      </w:r>
      <w:r w:rsidR="00C50543" w:rsidRPr="00363097">
        <w:rPr>
          <w:noProof/>
        </w:rPr>
        <w:t>b</w:t>
      </w:r>
      <w:r w:rsidRPr="00363097">
        <w:rPr>
          <w:noProof/>
        </w:rPr>
        <w:t>)</w:t>
      </w:r>
      <w:r w:rsidRPr="00363097">
        <w:rPr>
          <w:noProof/>
        </w:rPr>
        <w:tab/>
        <w:t>the operation of aircraft in international traffic</w:t>
      </w:r>
      <w:r w:rsidR="000F22DF" w:rsidRPr="00363097">
        <w:rPr>
          <w:noProof/>
        </w:rPr>
        <w:t>;</w:t>
      </w:r>
    </w:p>
    <w:p w14:paraId="5B3EAFFA" w14:textId="77777777" w:rsidR="00081B7A" w:rsidRPr="00363097" w:rsidRDefault="00081B7A" w:rsidP="00081B7A">
      <w:pPr>
        <w:pStyle w:val="Point1"/>
        <w:rPr>
          <w:noProof/>
        </w:rPr>
      </w:pPr>
      <w:r w:rsidRPr="00363097">
        <w:rPr>
          <w:noProof/>
        </w:rPr>
        <w:t>(</w:t>
      </w:r>
      <w:r w:rsidR="00C50543" w:rsidRPr="00363097">
        <w:rPr>
          <w:noProof/>
        </w:rPr>
        <w:t>c</w:t>
      </w:r>
      <w:r w:rsidRPr="00363097">
        <w:rPr>
          <w:noProof/>
        </w:rPr>
        <w:t>)</w:t>
      </w:r>
      <w:r w:rsidRPr="00363097">
        <w:rPr>
          <w:noProof/>
        </w:rPr>
        <w:tab/>
        <w:t xml:space="preserve">the operation of boats engaged in inland waterways transport. </w:t>
      </w:r>
    </w:p>
    <w:p w14:paraId="0EF1E9BB" w14:textId="77777777" w:rsidR="00081B7A" w:rsidRPr="00363097" w:rsidRDefault="00081B7A" w:rsidP="00081B7A">
      <w:pPr>
        <w:pStyle w:val="Text1"/>
        <w:rPr>
          <w:noProof/>
        </w:rPr>
      </w:pPr>
      <w:r w:rsidRPr="00363097">
        <w:rPr>
          <w:noProof/>
        </w:rPr>
        <w:t xml:space="preserve">The revenues, expenses and other deductible items as referred to in the first subparagraph shall be attributed to </w:t>
      </w:r>
      <w:r w:rsidR="00EB148B" w:rsidRPr="00363097">
        <w:rPr>
          <w:noProof/>
        </w:rPr>
        <w:t>that</w:t>
      </w:r>
      <w:r w:rsidR="00A25465" w:rsidRPr="00363097">
        <w:rPr>
          <w:noProof/>
        </w:rPr>
        <w:t xml:space="preserve"> </w:t>
      </w:r>
      <w:r w:rsidRPr="00363097">
        <w:rPr>
          <w:noProof/>
        </w:rPr>
        <w:t xml:space="preserve">BEFIT group member on a transaction-by-transaction basis and be subject to adjustments for pricing in accordance with the arm’s length principle. </w:t>
      </w:r>
    </w:p>
    <w:p w14:paraId="71A07197" w14:textId="58E275EE" w:rsidR="00081B7A" w:rsidRPr="00363097" w:rsidRDefault="00634583" w:rsidP="00634583">
      <w:pPr>
        <w:pStyle w:val="ManualNumPar1"/>
        <w:rPr>
          <w:noProof/>
        </w:rPr>
      </w:pPr>
      <w:r w:rsidRPr="00634583">
        <w:t>2.</w:t>
      </w:r>
      <w:r w:rsidRPr="00634583">
        <w:tab/>
      </w:r>
      <w:r w:rsidR="00081B7A" w:rsidRPr="00363097">
        <w:rPr>
          <w:noProof/>
        </w:rPr>
        <w:t xml:space="preserve">Any participation in and by the BEFIT group member as referred to in paragraph </w:t>
      </w:r>
      <w:r w:rsidR="00207216" w:rsidRPr="00363097">
        <w:rPr>
          <w:noProof/>
        </w:rPr>
        <w:t xml:space="preserve">1 </w:t>
      </w:r>
      <w:r w:rsidR="00081B7A" w:rsidRPr="00363097">
        <w:rPr>
          <w:noProof/>
        </w:rPr>
        <w:t xml:space="preserve">shall be taken into account for the purpose of Article 5. </w:t>
      </w:r>
    </w:p>
    <w:p w14:paraId="333292B6" w14:textId="77777777" w:rsidR="00081B7A" w:rsidRPr="00363097" w:rsidRDefault="00081B7A" w:rsidP="006B487B">
      <w:pPr>
        <w:pStyle w:val="Titrearticle2"/>
        <w:rPr>
          <w:b/>
          <w:noProof/>
          <w:lang w:val="en-IE"/>
        </w:rPr>
      </w:pPr>
      <w:r w:rsidRPr="00363097">
        <w:rPr>
          <w:noProof/>
          <w:lang w:val="en-IE"/>
        </w:rPr>
        <w:t>Article 48</w:t>
      </w:r>
      <w:r w:rsidRPr="00363097">
        <w:rPr>
          <w:noProof/>
          <w:lang w:val="en-IE"/>
        </w:rPr>
        <w:br/>
      </w:r>
      <w:r w:rsidRPr="00363097">
        <w:rPr>
          <w:b/>
          <w:noProof/>
          <w:lang w:val="en-IE"/>
        </w:rPr>
        <w:t>Items deductible from the allocated part</w:t>
      </w:r>
    </w:p>
    <w:p w14:paraId="3633167A" w14:textId="4DA548B0" w:rsidR="009301D5" w:rsidRPr="00363097" w:rsidRDefault="00634583" w:rsidP="00634583">
      <w:pPr>
        <w:pStyle w:val="ManualNumPar1"/>
        <w:rPr>
          <w:noProof/>
        </w:rPr>
      </w:pPr>
      <w:r w:rsidRPr="00634583">
        <w:t>1.</w:t>
      </w:r>
      <w:r w:rsidRPr="00634583">
        <w:tab/>
      </w:r>
      <w:r w:rsidR="00081B7A" w:rsidRPr="00363097">
        <w:rPr>
          <w:noProof/>
        </w:rPr>
        <w:t xml:space="preserve">A BEFIT group member shall increase or decrease its allocated part </w:t>
      </w:r>
      <w:r w:rsidR="00913097" w:rsidRPr="00363097">
        <w:rPr>
          <w:noProof/>
        </w:rPr>
        <w:t xml:space="preserve">by </w:t>
      </w:r>
      <w:r w:rsidR="00081B7A" w:rsidRPr="00363097">
        <w:rPr>
          <w:noProof/>
        </w:rPr>
        <w:t>the following items:</w:t>
      </w:r>
    </w:p>
    <w:p w14:paraId="60F20F4C" w14:textId="77777777" w:rsidR="00081B7A" w:rsidRPr="00363097" w:rsidRDefault="009301D5" w:rsidP="00501613">
      <w:pPr>
        <w:pStyle w:val="Point1"/>
        <w:rPr>
          <w:noProof/>
          <w:lang w:val="en-IE"/>
        </w:rPr>
      </w:pPr>
      <w:bookmarkStart w:id="20" w:name="Formula"/>
      <w:bookmarkStart w:id="21" w:name="_Hlk142574442"/>
      <w:r w:rsidRPr="00363097">
        <w:rPr>
          <w:noProof/>
          <w:lang w:val="en-IE"/>
        </w:rPr>
        <w:t>(a)</w:t>
      </w:r>
      <w:r w:rsidRPr="00363097">
        <w:rPr>
          <w:noProof/>
          <w:lang w:val="en-IE"/>
        </w:rPr>
        <w:tab/>
      </w:r>
      <w:bookmarkEnd w:id="20"/>
      <w:r w:rsidRPr="00363097">
        <w:rPr>
          <w:noProof/>
          <w:lang w:val="en-IE"/>
        </w:rPr>
        <w:t>unrelieved losses incurred before becoming subject to the rules of this Directive, in accordance with Article 38</w:t>
      </w:r>
      <w:bookmarkEnd w:id="21"/>
      <w:r w:rsidRPr="00363097">
        <w:rPr>
          <w:noProof/>
          <w:lang w:val="en-IE"/>
        </w:rPr>
        <w:t>;</w:t>
      </w:r>
    </w:p>
    <w:p w14:paraId="156200AB" w14:textId="09BE416C" w:rsidR="00AC3C06" w:rsidRPr="00363097" w:rsidRDefault="009301D5" w:rsidP="00081B7A">
      <w:pPr>
        <w:pStyle w:val="Point1"/>
        <w:rPr>
          <w:noProof/>
          <w:lang w:val="en-IE"/>
        </w:rPr>
      </w:pPr>
      <w:r w:rsidRPr="00363097">
        <w:rPr>
          <w:noProof/>
          <w:lang w:val="en-IE"/>
        </w:rPr>
        <w:t>(b)</w:t>
      </w:r>
      <w:r w:rsidR="003F0BAF" w:rsidRPr="00363097">
        <w:rPr>
          <w:noProof/>
          <w:lang w:val="en-IE"/>
        </w:rPr>
        <w:tab/>
      </w:r>
      <w:r w:rsidR="00081B7A" w:rsidRPr="00363097">
        <w:rPr>
          <w:noProof/>
          <w:lang w:val="en-IE"/>
        </w:rPr>
        <w:t xml:space="preserve">revenues </w:t>
      </w:r>
      <w:r w:rsidR="005339B5" w:rsidRPr="00363097">
        <w:rPr>
          <w:noProof/>
          <w:lang w:val="en-IE"/>
        </w:rPr>
        <w:t xml:space="preserve">and costs </w:t>
      </w:r>
      <w:r w:rsidR="00081B7A" w:rsidRPr="00363097">
        <w:rPr>
          <w:noProof/>
          <w:lang w:val="en-IE"/>
        </w:rPr>
        <w:t xml:space="preserve">accrued </w:t>
      </w:r>
      <w:r w:rsidR="005339B5" w:rsidRPr="00363097">
        <w:rPr>
          <w:noProof/>
          <w:lang w:val="en-IE"/>
        </w:rPr>
        <w:t xml:space="preserve">or incurred </w:t>
      </w:r>
      <w:r w:rsidR="00081B7A" w:rsidRPr="00363097">
        <w:rPr>
          <w:noProof/>
          <w:lang w:val="en-IE"/>
        </w:rPr>
        <w:t>before this Directive became applicable to the BEFIT group member but which were not yet included in its tax base under the previously applicable national corporate tax law, in accordance with Article 36</w:t>
      </w:r>
      <w:r w:rsidR="004932F9" w:rsidRPr="00363097">
        <w:rPr>
          <w:noProof/>
          <w:lang w:val="en-IE"/>
        </w:rPr>
        <w:t>(1)</w:t>
      </w:r>
      <w:r w:rsidR="00081B7A" w:rsidRPr="00363097">
        <w:rPr>
          <w:noProof/>
          <w:lang w:val="en-IE"/>
        </w:rPr>
        <w:t xml:space="preserve">; </w:t>
      </w:r>
    </w:p>
    <w:p w14:paraId="6BC066C7" w14:textId="62E07FB5" w:rsidR="00AC3C06" w:rsidRPr="00363097" w:rsidRDefault="00AC3C06" w:rsidP="00081B7A">
      <w:pPr>
        <w:pStyle w:val="Point1"/>
        <w:rPr>
          <w:noProof/>
          <w:lang w:val="en-IE"/>
        </w:rPr>
      </w:pPr>
      <w:r w:rsidRPr="00363097">
        <w:rPr>
          <w:noProof/>
          <w:lang w:val="en-IE"/>
        </w:rPr>
        <w:t>(</w:t>
      </w:r>
      <w:r w:rsidR="004C4952">
        <w:rPr>
          <w:noProof/>
          <w:lang w:val="en-IE"/>
        </w:rPr>
        <w:t>c</w:t>
      </w:r>
      <w:r w:rsidRPr="00363097">
        <w:rPr>
          <w:noProof/>
          <w:lang w:val="en-IE"/>
        </w:rPr>
        <w:t>)</w:t>
      </w:r>
      <w:r w:rsidRPr="00363097">
        <w:rPr>
          <w:noProof/>
          <w:lang w:val="en-IE"/>
        </w:rPr>
        <w:tab/>
        <w:t>revenues of a long-term contract which have previously been subject to tax under national corporate tax law at an amount higher than the amount that would have been included in its preliminary tax result pursuant to Article 32, in accordance with Article 36(2);</w:t>
      </w:r>
    </w:p>
    <w:p w14:paraId="4F33C525" w14:textId="59903ACA" w:rsidR="00B8362E" w:rsidRPr="00363097" w:rsidRDefault="00081B7A" w:rsidP="00081B7A">
      <w:pPr>
        <w:pStyle w:val="Point1"/>
        <w:rPr>
          <w:noProof/>
          <w:lang w:val="en-IE"/>
        </w:rPr>
      </w:pPr>
      <w:r w:rsidRPr="00363097">
        <w:rPr>
          <w:noProof/>
          <w:lang w:val="en-IE"/>
        </w:rPr>
        <w:t>(</w:t>
      </w:r>
      <w:r w:rsidR="004C4952">
        <w:rPr>
          <w:noProof/>
          <w:lang w:val="en-IE"/>
        </w:rPr>
        <w:t>d</w:t>
      </w:r>
      <w:r w:rsidRPr="00363097">
        <w:rPr>
          <w:noProof/>
          <w:lang w:val="en-IE"/>
        </w:rPr>
        <w:t>)</w:t>
      </w:r>
      <w:r w:rsidRPr="00363097">
        <w:rPr>
          <w:noProof/>
          <w:lang w:val="en-IE"/>
        </w:rPr>
        <w:tab/>
        <w:t>revenues accrued before this Directive became applicable to a BEFIT group member but that were not included in its tax base under the previously applicable national corporate tax law, in accordance with Article 37</w:t>
      </w:r>
      <w:r w:rsidR="004932F9" w:rsidRPr="00363097">
        <w:rPr>
          <w:noProof/>
          <w:lang w:val="en-IE"/>
        </w:rPr>
        <w:t>(</w:t>
      </w:r>
      <w:r w:rsidRPr="00363097">
        <w:rPr>
          <w:noProof/>
          <w:lang w:val="en-IE"/>
        </w:rPr>
        <w:t>2</w:t>
      </w:r>
      <w:r w:rsidR="004932F9" w:rsidRPr="00363097">
        <w:rPr>
          <w:noProof/>
          <w:lang w:val="en-IE"/>
        </w:rPr>
        <w:t>)</w:t>
      </w:r>
      <w:r w:rsidRPr="00363097">
        <w:rPr>
          <w:noProof/>
          <w:lang w:val="en-IE"/>
        </w:rPr>
        <w:t xml:space="preserve">; </w:t>
      </w:r>
    </w:p>
    <w:p w14:paraId="101F092A" w14:textId="0D2C30C7" w:rsidR="00081B7A" w:rsidRPr="00363097" w:rsidRDefault="004932F9" w:rsidP="00081B7A">
      <w:pPr>
        <w:pStyle w:val="Point1"/>
        <w:rPr>
          <w:noProof/>
          <w:lang w:val="en-IE"/>
        </w:rPr>
      </w:pPr>
      <w:r w:rsidRPr="00363097">
        <w:rPr>
          <w:noProof/>
          <w:lang w:val="en-IE"/>
        </w:rPr>
        <w:t>(</w:t>
      </w:r>
      <w:r w:rsidR="004C4952">
        <w:rPr>
          <w:noProof/>
          <w:lang w:val="en-IE"/>
        </w:rPr>
        <w:t>e</w:t>
      </w:r>
      <w:r w:rsidRPr="00363097">
        <w:rPr>
          <w:noProof/>
          <w:lang w:val="en-IE"/>
        </w:rPr>
        <w:t>)</w:t>
      </w:r>
      <w:r w:rsidR="00B8362E" w:rsidRPr="00363097">
        <w:rPr>
          <w:noProof/>
          <w:lang w:val="en-IE"/>
        </w:rPr>
        <w:tab/>
        <w:t>expenses incurred after the rules of this Directive became applicable to a BEFIT group member, but in relation to activities or transactions that were carried out earlier and for which no deduction was made under the applicable national corporate tax law, in accordance with the first subparagraph of Article 37(3);</w:t>
      </w:r>
    </w:p>
    <w:p w14:paraId="11AF593E" w14:textId="7357EA27" w:rsidR="00DC658E" w:rsidRPr="00363097" w:rsidRDefault="00081B7A" w:rsidP="00081B7A">
      <w:pPr>
        <w:pStyle w:val="Point1"/>
        <w:rPr>
          <w:noProof/>
          <w:szCs w:val="24"/>
          <w:lang w:val="en-IE"/>
        </w:rPr>
      </w:pPr>
      <w:r w:rsidRPr="00363097">
        <w:rPr>
          <w:noProof/>
          <w:lang w:val="en-IE"/>
        </w:rPr>
        <w:t>(</w:t>
      </w:r>
      <w:r w:rsidR="004C4952">
        <w:rPr>
          <w:noProof/>
          <w:lang w:val="en-IE"/>
        </w:rPr>
        <w:t>f</w:t>
      </w:r>
      <w:r w:rsidRPr="00363097">
        <w:rPr>
          <w:noProof/>
          <w:lang w:val="en-IE"/>
        </w:rPr>
        <w:t>)</w:t>
      </w:r>
      <w:r w:rsidRPr="00363097">
        <w:rPr>
          <w:noProof/>
          <w:lang w:val="en-IE"/>
        </w:rPr>
        <w:tab/>
        <w:t>expenses incurred under national corporate tax law that had not yet been deducted when this Directive became applicable to the BEFIT group member, in accordance with Article 37</w:t>
      </w:r>
      <w:r w:rsidR="004932F9" w:rsidRPr="00363097">
        <w:rPr>
          <w:noProof/>
          <w:lang w:val="en-IE"/>
        </w:rPr>
        <w:t>(</w:t>
      </w:r>
      <w:r w:rsidRPr="00363097">
        <w:rPr>
          <w:noProof/>
          <w:lang w:val="en-IE"/>
        </w:rPr>
        <w:t>3</w:t>
      </w:r>
      <w:r w:rsidR="004932F9" w:rsidRPr="00363097">
        <w:rPr>
          <w:noProof/>
          <w:lang w:val="en-IE"/>
        </w:rPr>
        <w:t>)</w:t>
      </w:r>
      <w:r w:rsidR="000C4B99" w:rsidRPr="00363097">
        <w:rPr>
          <w:noProof/>
          <w:lang w:val="en-IE"/>
        </w:rPr>
        <w:t>,</w:t>
      </w:r>
      <w:r w:rsidR="00DC658E" w:rsidRPr="00363097">
        <w:rPr>
          <w:noProof/>
          <w:lang w:val="en-IE"/>
        </w:rPr>
        <w:t xml:space="preserve"> </w:t>
      </w:r>
      <w:r w:rsidR="000C4B99" w:rsidRPr="00363097">
        <w:rPr>
          <w:noProof/>
          <w:lang w:val="en-IE"/>
        </w:rPr>
        <w:t>third subparagraph;</w:t>
      </w:r>
    </w:p>
    <w:p w14:paraId="0EFF4FDB" w14:textId="48AFD892" w:rsidR="00705FE4" w:rsidRPr="00363097" w:rsidRDefault="00705FE4" w:rsidP="00081B7A">
      <w:pPr>
        <w:pStyle w:val="Point1"/>
        <w:rPr>
          <w:noProof/>
          <w:lang w:val="en-IE"/>
        </w:rPr>
      </w:pPr>
      <w:r w:rsidRPr="00363097">
        <w:rPr>
          <w:noProof/>
          <w:lang w:val="en-IE"/>
        </w:rPr>
        <w:t>(</w:t>
      </w:r>
      <w:r w:rsidR="004C4952">
        <w:rPr>
          <w:noProof/>
          <w:lang w:val="en-IE"/>
        </w:rPr>
        <w:t>g</w:t>
      </w:r>
      <w:r w:rsidR="00081B7A" w:rsidRPr="00363097">
        <w:rPr>
          <w:noProof/>
          <w:lang w:val="en-IE"/>
        </w:rPr>
        <w:t>)</w:t>
      </w:r>
      <w:r w:rsidR="00081B7A" w:rsidRPr="00363097">
        <w:rPr>
          <w:noProof/>
          <w:lang w:val="en-IE"/>
        </w:rPr>
        <w:tab/>
        <w:t>any unrelieved amount carried forward in accordance with Article 36</w:t>
      </w:r>
      <w:r w:rsidR="004932F9" w:rsidRPr="00363097">
        <w:rPr>
          <w:noProof/>
          <w:lang w:val="en-IE"/>
        </w:rPr>
        <w:t>(3)</w:t>
      </w:r>
      <w:r w:rsidR="00081B7A" w:rsidRPr="00363097">
        <w:rPr>
          <w:noProof/>
          <w:lang w:val="en-IE"/>
        </w:rPr>
        <w:t xml:space="preserve"> and subparagraph 4 of Article 37</w:t>
      </w:r>
      <w:r w:rsidR="004932F9" w:rsidRPr="00363097">
        <w:rPr>
          <w:noProof/>
          <w:lang w:val="en-IE"/>
        </w:rPr>
        <w:t>(</w:t>
      </w:r>
      <w:r w:rsidRPr="00363097">
        <w:rPr>
          <w:noProof/>
          <w:lang w:val="en-IE"/>
        </w:rPr>
        <w:t>3)</w:t>
      </w:r>
      <w:r w:rsidR="00563868" w:rsidRPr="00363097">
        <w:rPr>
          <w:noProof/>
          <w:lang w:val="en-IE"/>
        </w:rPr>
        <w:t>;</w:t>
      </w:r>
    </w:p>
    <w:p w14:paraId="73A73E1A" w14:textId="2D0A3B3A" w:rsidR="00AE33B8" w:rsidRPr="00363097" w:rsidRDefault="00AE33B8" w:rsidP="00081B7A">
      <w:pPr>
        <w:pStyle w:val="Point1"/>
        <w:rPr>
          <w:noProof/>
          <w:lang w:val="en-IE"/>
        </w:rPr>
      </w:pPr>
      <w:r w:rsidRPr="00363097">
        <w:rPr>
          <w:noProof/>
          <w:lang w:val="en-IE"/>
        </w:rPr>
        <w:t>(</w:t>
      </w:r>
      <w:r w:rsidR="004C4952">
        <w:rPr>
          <w:noProof/>
          <w:lang w:val="en-IE"/>
        </w:rPr>
        <w:t>h</w:t>
      </w:r>
      <w:r w:rsidRPr="00363097">
        <w:rPr>
          <w:noProof/>
          <w:lang w:val="en-IE"/>
        </w:rPr>
        <w:t>)</w:t>
      </w:r>
      <w:r w:rsidRPr="00363097">
        <w:rPr>
          <w:noProof/>
          <w:lang w:val="en-IE"/>
        </w:rPr>
        <w:tab/>
      </w:r>
      <w:r w:rsidR="002E3A5B" w:rsidRPr="00363097">
        <w:rPr>
          <w:noProof/>
          <w:lang w:val="en-IE"/>
        </w:rPr>
        <w:t xml:space="preserve">gifts and donations to charitable bodies to the extent that they are deductible under the corporate tax law of the Member State in which the </w:t>
      </w:r>
      <w:r w:rsidR="004C622D">
        <w:rPr>
          <w:noProof/>
          <w:lang w:val="en-IE"/>
        </w:rPr>
        <w:t>BEFIT group member</w:t>
      </w:r>
      <w:r w:rsidR="002E3A5B" w:rsidRPr="00363097">
        <w:rPr>
          <w:noProof/>
          <w:lang w:val="en-IE"/>
        </w:rPr>
        <w:t xml:space="preserve"> is resident for tax purposes or situated in the form of a permanent establishment; </w:t>
      </w:r>
    </w:p>
    <w:p w14:paraId="72065877" w14:textId="7C8EF616" w:rsidR="002E3A5B" w:rsidRPr="00363097" w:rsidRDefault="002E3A5B" w:rsidP="00081B7A">
      <w:pPr>
        <w:pStyle w:val="Point1"/>
        <w:rPr>
          <w:noProof/>
          <w:lang w:val="en-IE"/>
        </w:rPr>
      </w:pPr>
      <w:r w:rsidRPr="00363097">
        <w:rPr>
          <w:noProof/>
          <w:lang w:val="en-IE"/>
        </w:rPr>
        <w:t>(</w:t>
      </w:r>
      <w:r w:rsidR="004C4952">
        <w:rPr>
          <w:noProof/>
          <w:lang w:val="en-IE"/>
        </w:rPr>
        <w:t>i</w:t>
      </w:r>
      <w:r w:rsidRPr="00363097">
        <w:rPr>
          <w:noProof/>
          <w:lang w:val="en-IE"/>
        </w:rPr>
        <w:t>)</w:t>
      </w:r>
      <w:r w:rsidRPr="00363097">
        <w:rPr>
          <w:noProof/>
          <w:lang w:val="en-IE"/>
        </w:rPr>
        <w:tab/>
        <w:t xml:space="preserve">pension provisions to the extent that they are deductible under the corporate tax law of the Member State in which the BEFIT group member is resident for tax purposes or situated in the form of a permanent establishment; </w:t>
      </w:r>
    </w:p>
    <w:p w14:paraId="787CB228" w14:textId="138397EA" w:rsidR="00913097" w:rsidRPr="00363097" w:rsidDel="00B03E79" w:rsidRDefault="002E3A5B" w:rsidP="00A54B06">
      <w:pPr>
        <w:pStyle w:val="Point1"/>
        <w:rPr>
          <w:noProof/>
          <w:lang w:val="en-IE"/>
        </w:rPr>
      </w:pPr>
      <w:r w:rsidRPr="00363097">
        <w:rPr>
          <w:noProof/>
          <w:lang w:val="en-IE"/>
        </w:rPr>
        <w:t>(</w:t>
      </w:r>
      <w:r w:rsidR="004C4952">
        <w:rPr>
          <w:noProof/>
          <w:lang w:val="en-IE"/>
        </w:rPr>
        <w:t>j</w:t>
      </w:r>
      <w:r w:rsidRPr="00363097">
        <w:rPr>
          <w:noProof/>
          <w:lang w:val="en-IE"/>
        </w:rPr>
        <w:t>)</w:t>
      </w:r>
      <w:r w:rsidRPr="00363097">
        <w:rPr>
          <w:noProof/>
          <w:lang w:val="en-IE"/>
        </w:rPr>
        <w:tab/>
        <w:t>local taxes to the extent that they are deductible under the corporate tax law of the Member State in which the BEFIT group member is resident for tax purposes or situated in the form of a permanent establishment.</w:t>
      </w:r>
    </w:p>
    <w:p w14:paraId="62CB9C25" w14:textId="0142D03A" w:rsidR="00081B7A" w:rsidRPr="00363097" w:rsidRDefault="00634583" w:rsidP="00634583">
      <w:pPr>
        <w:pStyle w:val="ManualNumPar1"/>
        <w:rPr>
          <w:noProof/>
        </w:rPr>
      </w:pPr>
      <w:r w:rsidRPr="00634583">
        <w:t>2.</w:t>
      </w:r>
      <w:r w:rsidRPr="00634583">
        <w:tab/>
      </w:r>
      <w:r w:rsidR="00081B7A" w:rsidRPr="00363097">
        <w:rPr>
          <w:noProof/>
        </w:rPr>
        <w:t xml:space="preserve">In addition to the adjustments listed in paragraph 1, </w:t>
      </w:r>
      <w:bookmarkStart w:id="22" w:name="_Hlk143621900"/>
      <w:r w:rsidR="00081B7A" w:rsidRPr="00363097">
        <w:rPr>
          <w:noProof/>
        </w:rPr>
        <w:t>a Member State may allow for increasing or decreasing, through additional items, the allocated part of BEFIT group members that are resident for tax purposes or situated in the form of a permanent establishment in that Member State.</w:t>
      </w:r>
    </w:p>
    <w:p w14:paraId="38321BC5" w14:textId="77777777" w:rsidR="00081B7A" w:rsidRPr="00363097" w:rsidRDefault="00081B7A" w:rsidP="006B487B">
      <w:pPr>
        <w:pStyle w:val="Titrearticle2"/>
        <w:rPr>
          <w:b/>
          <w:noProof/>
          <w:lang w:val="en-IE"/>
        </w:rPr>
      </w:pPr>
      <w:bookmarkStart w:id="23" w:name="_Hlk138418692"/>
      <w:bookmarkEnd w:id="22"/>
      <w:r w:rsidRPr="00363097">
        <w:rPr>
          <w:rFonts w:eastAsia="Times New Roman"/>
          <w:noProof/>
          <w:lang w:val="en-IE" w:eastAsia="en-IE"/>
        </w:rPr>
        <w:t>Article 49</w:t>
      </w:r>
      <w:r w:rsidRPr="00363097">
        <w:rPr>
          <w:rFonts w:eastAsia="Times New Roman"/>
          <w:noProof/>
          <w:lang w:val="en-IE" w:eastAsia="en-IE"/>
        </w:rPr>
        <w:br/>
      </w:r>
      <w:r w:rsidRPr="00363097">
        <w:rPr>
          <w:b/>
          <w:noProof/>
          <w:lang w:val="en-IE"/>
        </w:rPr>
        <w:t>Distribution based tax systems</w:t>
      </w:r>
    </w:p>
    <w:p w14:paraId="756036B8" w14:textId="12271AFB" w:rsidR="00081B7A" w:rsidRPr="00363097" w:rsidRDefault="00634583" w:rsidP="00634583">
      <w:pPr>
        <w:pStyle w:val="ManualNumPar1"/>
        <w:rPr>
          <w:noProof/>
          <w:lang w:val="en-IE"/>
        </w:rPr>
      </w:pPr>
      <w:r w:rsidRPr="00634583">
        <w:t>1.</w:t>
      </w:r>
      <w:r w:rsidRPr="00634583">
        <w:tab/>
      </w:r>
      <w:r w:rsidR="00081B7A" w:rsidRPr="00363097">
        <w:rPr>
          <w:noProof/>
          <w:lang w:val="en-IE"/>
        </w:rPr>
        <w:t xml:space="preserve">Where a BEFIT group member is resident for tax purposes or situated in the form of a permanent establishment in a Member State that applies a </w:t>
      </w:r>
      <w:r w:rsidR="00614DC2" w:rsidRPr="00363097">
        <w:rPr>
          <w:rFonts w:eastAsia="Times New Roman"/>
          <w:noProof/>
          <w:szCs w:val="24"/>
          <w:lang w:val="en-IE" w:eastAsia="en-IE"/>
        </w:rPr>
        <w:t xml:space="preserve">corporate income tax system </w:t>
      </w:r>
      <w:r w:rsidR="00FE1B8E" w:rsidRPr="00363097">
        <w:rPr>
          <w:rFonts w:eastAsia="Times New Roman"/>
          <w:noProof/>
          <w:szCs w:val="24"/>
          <w:lang w:val="en-IE" w:eastAsia="en-IE"/>
        </w:rPr>
        <w:t>which</w:t>
      </w:r>
      <w:r w:rsidR="00614DC2" w:rsidRPr="00363097">
        <w:rPr>
          <w:rFonts w:eastAsia="Times New Roman"/>
          <w:noProof/>
          <w:szCs w:val="24"/>
          <w:lang w:val="en-IE" w:eastAsia="en-IE"/>
        </w:rPr>
        <w:t xml:space="preserve"> imposes income tax on profits only when those profits are distributed or deemed to be distributed to shareholders, or when the company incurs certain expenses that are taxable under domestic law (‘</w:t>
      </w:r>
      <w:r w:rsidR="00081B7A" w:rsidRPr="00363097">
        <w:rPr>
          <w:noProof/>
          <w:lang w:val="en-IE"/>
        </w:rPr>
        <w:t>distribution based tax system</w:t>
      </w:r>
      <w:r w:rsidR="00614DC2" w:rsidRPr="00363097">
        <w:rPr>
          <w:noProof/>
          <w:lang w:val="en-IE"/>
        </w:rPr>
        <w:t>’)</w:t>
      </w:r>
      <w:r w:rsidR="00081B7A" w:rsidRPr="00363097">
        <w:rPr>
          <w:noProof/>
          <w:lang w:val="en-IE"/>
        </w:rPr>
        <w:t xml:space="preserve">, the part allocated to that BEFIT group member in accordance with </w:t>
      </w:r>
      <w:r w:rsidR="00403506" w:rsidRPr="00403506">
        <w:rPr>
          <w:noProof/>
        </w:rPr>
        <w:t xml:space="preserve">Article </w:t>
      </w:r>
      <w:r w:rsidR="00081B7A" w:rsidRPr="00363097">
        <w:rPr>
          <w:noProof/>
          <w:lang w:val="en-IE"/>
        </w:rPr>
        <w:t>45 shall be adjusted by the distributions made during the fiscal year.</w:t>
      </w:r>
    </w:p>
    <w:p w14:paraId="07202F1A" w14:textId="14A17C38"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The adjustment of the allocated part shall be calculated as follows:: </w:t>
      </w:r>
    </w:p>
    <w:p w14:paraId="78BBAE77" w14:textId="77777777" w:rsidR="00081B7A" w:rsidRPr="00363097" w:rsidRDefault="00081B7A" w:rsidP="00A54B06">
      <w:pPr>
        <w:pStyle w:val="Text1"/>
        <w:rPr>
          <w:noProof/>
          <w:lang w:val="en-IE"/>
        </w:rPr>
      </w:pPr>
      <m:oMathPara>
        <m:oMath>
          <m:r>
            <w:rPr>
              <w:rFonts w:ascii="Cambria Math" w:hAnsi="Cambria Math"/>
              <w:noProof/>
              <w:lang w:val="en-IE"/>
            </w:rPr>
            <m:t>Adjusted</m:t>
          </m:r>
          <m:r>
            <m:rPr>
              <m:sty m:val="p"/>
            </m:rPr>
            <w:rPr>
              <w:rFonts w:ascii="Cambria Math" w:hAnsi="Cambria Math"/>
              <w:noProof/>
              <w:lang w:val="en-IE"/>
            </w:rPr>
            <m:t xml:space="preserve"> </m:t>
          </m:r>
          <m:r>
            <w:rPr>
              <w:rFonts w:ascii="Cambria Math" w:hAnsi="Cambria Math"/>
              <w:noProof/>
              <w:lang w:val="en-IE"/>
            </w:rPr>
            <m:t>Allocated</m:t>
          </m:r>
          <m:r>
            <m:rPr>
              <m:sty m:val="p"/>
            </m:rPr>
            <w:rPr>
              <w:rFonts w:ascii="Cambria Math" w:hAnsi="Cambria Math"/>
              <w:noProof/>
              <w:lang w:val="en-IE"/>
            </w:rPr>
            <m:t xml:space="preserve"> </m:t>
          </m:r>
          <m:r>
            <w:rPr>
              <w:rFonts w:ascii="Cambria Math" w:hAnsi="Cambria Math"/>
              <w:noProof/>
              <w:lang w:val="en-IE"/>
            </w:rPr>
            <m:t>Part</m:t>
          </m:r>
          <m:r>
            <m:rPr>
              <m:sty m:val="p"/>
            </m:rPr>
            <w:rPr>
              <w:rFonts w:ascii="Cambria Math" w:hAnsi="Cambria Math"/>
              <w:noProof/>
              <w:lang w:val="en-IE"/>
            </w:rPr>
            <m:t xml:space="preserve"> =</m:t>
          </m:r>
          <m:r>
            <w:rPr>
              <w:rFonts w:ascii="Cambria Math" w:hAnsi="Cambria Math"/>
              <w:noProof/>
              <w:lang w:val="en-IE"/>
            </w:rPr>
            <m:t>Allocated</m:t>
          </m:r>
          <m:r>
            <m:rPr>
              <m:sty m:val="p"/>
            </m:rPr>
            <w:rPr>
              <w:rFonts w:ascii="Cambria Math" w:hAnsi="Cambria Math"/>
              <w:noProof/>
              <w:lang w:val="en-IE"/>
            </w:rPr>
            <m:t xml:space="preserve"> </m:t>
          </m:r>
          <m:r>
            <w:rPr>
              <w:rFonts w:ascii="Cambria Math" w:hAnsi="Cambria Math"/>
              <w:noProof/>
              <w:lang w:val="en-IE"/>
            </w:rPr>
            <m:t>Part</m:t>
          </m:r>
          <m:r>
            <m:rPr>
              <m:sty m:val="p"/>
            </m:rPr>
            <w:rPr>
              <w:rFonts w:ascii="Cambria Math" w:hAnsi="Cambria Math"/>
              <w:noProof/>
              <w:lang w:val="en-IE"/>
            </w:rPr>
            <m:t xml:space="preserve"> </m:t>
          </m:r>
          <m:r>
            <w:rPr>
              <w:rFonts w:ascii="Cambria Math" w:hAnsi="Cambria Math"/>
              <w:noProof/>
              <w:lang w:val="en-IE"/>
            </w:rPr>
            <m:t>x</m:t>
          </m:r>
          <m:r>
            <m:rPr>
              <m:sty m:val="p"/>
            </m:rPr>
            <w:rPr>
              <w:rFonts w:ascii="Cambria Math" w:hAnsi="Cambria Math"/>
              <w:noProof/>
              <w:lang w:val="en-IE"/>
            </w:rPr>
            <m:t xml:space="preserve"> </m:t>
          </m:r>
          <m:d>
            <m:dPr>
              <m:ctrlPr>
                <w:rPr>
                  <w:rFonts w:ascii="Cambria Math" w:hAnsi="Cambria Math"/>
                  <w:noProof/>
                  <w:lang w:val="en-IE"/>
                </w:rPr>
              </m:ctrlPr>
            </m:dPr>
            <m:e>
              <m:f>
                <m:fPr>
                  <m:ctrlPr>
                    <w:rPr>
                      <w:rFonts w:ascii="Cambria Math" w:hAnsi="Cambria Math"/>
                      <w:noProof/>
                      <w:lang w:val="en-IE"/>
                    </w:rPr>
                  </m:ctrlPr>
                </m:fPr>
                <m:num>
                  <m:r>
                    <w:rPr>
                      <w:rFonts w:ascii="Cambria Math" w:hAnsi="Cambria Math"/>
                      <w:noProof/>
                      <w:lang w:val="en-IE"/>
                    </w:rPr>
                    <m:t>Distributions</m:t>
                  </m:r>
                </m:num>
                <m:den>
                  <m:r>
                    <w:rPr>
                      <w:rFonts w:ascii="Cambria Math" w:hAnsi="Cambria Math"/>
                      <w:noProof/>
                      <w:lang w:val="en-IE"/>
                    </w:rPr>
                    <m:t>Financial</m:t>
                  </m:r>
                  <m:r>
                    <m:rPr>
                      <m:sty m:val="p"/>
                    </m:rPr>
                    <w:rPr>
                      <w:rFonts w:ascii="Cambria Math" w:hAnsi="Cambria Math"/>
                      <w:noProof/>
                      <w:lang w:val="en-IE"/>
                    </w:rPr>
                    <m:t xml:space="preserve"> </m:t>
                  </m:r>
                  <m:r>
                    <w:rPr>
                      <w:rFonts w:ascii="Cambria Math" w:hAnsi="Cambria Math"/>
                      <w:noProof/>
                      <w:lang w:val="en-IE"/>
                    </w:rPr>
                    <m:t>Income</m:t>
                  </m:r>
                  <m:r>
                    <m:rPr>
                      <m:sty m:val="p"/>
                    </m:rPr>
                    <w:rPr>
                      <w:rFonts w:ascii="Cambria Math" w:hAnsi="Cambria Math"/>
                      <w:noProof/>
                      <w:lang w:val="en-IE"/>
                    </w:rPr>
                    <m:t xml:space="preserve"> </m:t>
                  </m:r>
                </m:den>
              </m:f>
            </m:e>
          </m:d>
        </m:oMath>
      </m:oMathPara>
    </w:p>
    <w:p w14:paraId="53210A02" w14:textId="42F933F1" w:rsidR="00081B7A" w:rsidRPr="00363097" w:rsidRDefault="00081B7A" w:rsidP="00081B7A">
      <w:pPr>
        <w:pStyle w:val="Text1"/>
        <w:rPr>
          <w:noProof/>
          <w:lang w:val="en-IE"/>
        </w:rPr>
      </w:pPr>
      <w:r w:rsidRPr="00363097">
        <w:rPr>
          <w:noProof/>
          <w:lang w:val="en-IE"/>
        </w:rPr>
        <w:t>Where:</w:t>
      </w:r>
      <w:r w:rsidR="007B3410">
        <w:rPr>
          <w:noProof/>
          <w:lang w:val="en-IE"/>
        </w:rPr>
        <w:t xml:space="preserve"> </w:t>
      </w:r>
    </w:p>
    <w:p w14:paraId="3589D574" w14:textId="77777777" w:rsidR="00081B7A" w:rsidRPr="00363097" w:rsidRDefault="00081B7A" w:rsidP="00C8772D">
      <w:pPr>
        <w:pStyle w:val="Point2"/>
        <w:rPr>
          <w:rFonts w:asciiTheme="minorHAnsi" w:hAnsiTheme="minorHAnsi" w:cstheme="minorBidi"/>
          <w:noProof/>
          <w:sz w:val="22"/>
          <w:lang w:val="en-IE"/>
        </w:rPr>
      </w:pPr>
      <w:r w:rsidRPr="00363097">
        <w:rPr>
          <w:noProof/>
          <w:lang w:val="en-IE"/>
        </w:rPr>
        <w:t>(</w:t>
      </w:r>
      <w:r w:rsidR="00207216" w:rsidRPr="00363097">
        <w:rPr>
          <w:noProof/>
          <w:lang w:val="en-IE"/>
        </w:rPr>
        <w:t>a</w:t>
      </w:r>
      <w:r w:rsidRPr="00363097">
        <w:rPr>
          <w:noProof/>
          <w:lang w:val="en-IE"/>
        </w:rPr>
        <w:t>)</w:t>
      </w:r>
      <w:r w:rsidRPr="00363097">
        <w:rPr>
          <w:noProof/>
          <w:lang w:val="en-IE"/>
        </w:rPr>
        <w:tab/>
        <w:t>the Financial Income refers to the income available for distributions under a distribution based tax system, including reserves, for the fiscal year.</w:t>
      </w:r>
    </w:p>
    <w:p w14:paraId="03CE9E1C" w14:textId="37100AAE" w:rsidR="00081B7A" w:rsidRPr="00363097" w:rsidRDefault="00081B7A" w:rsidP="00C8772D">
      <w:pPr>
        <w:pStyle w:val="Point2"/>
        <w:rPr>
          <w:noProof/>
          <w:szCs w:val="24"/>
          <w:lang w:val="en-IE"/>
        </w:rPr>
      </w:pPr>
      <w:r w:rsidRPr="00363097">
        <w:rPr>
          <w:noProof/>
          <w:lang w:val="en-IE"/>
        </w:rPr>
        <w:t>(</w:t>
      </w:r>
      <w:r w:rsidR="00207216" w:rsidRPr="00363097">
        <w:rPr>
          <w:noProof/>
          <w:lang w:val="en-IE"/>
        </w:rPr>
        <w:t>b</w:t>
      </w:r>
      <w:r w:rsidRPr="00363097">
        <w:rPr>
          <w:noProof/>
          <w:lang w:val="en-IE"/>
        </w:rPr>
        <w:t>)</w:t>
      </w:r>
      <w:r w:rsidRPr="00363097">
        <w:rPr>
          <w:noProof/>
          <w:lang w:val="en-IE"/>
        </w:rPr>
        <w:tab/>
        <w:t xml:space="preserve">the Allocated Part refers to the share allocated to the BEFIT group member for the fiscal year in accordance with </w:t>
      </w:r>
      <w:r w:rsidR="00403506" w:rsidRPr="00403506">
        <w:rPr>
          <w:noProof/>
        </w:rPr>
        <w:t xml:space="preserve">Article </w:t>
      </w:r>
      <w:r w:rsidRPr="00363097">
        <w:rPr>
          <w:noProof/>
          <w:lang w:val="en-IE"/>
        </w:rPr>
        <w:t>45, including any residual share from previous fiscal years calculated for the BEFIT group member in accordance with paragraph</w:t>
      </w:r>
      <w:r w:rsidR="00944BB7" w:rsidRPr="00363097">
        <w:rPr>
          <w:noProof/>
          <w:lang w:val="en-IE"/>
        </w:rPr>
        <w:t xml:space="preserve"> </w:t>
      </w:r>
      <w:r w:rsidRPr="00363097">
        <w:rPr>
          <w:noProof/>
          <w:lang w:val="en-IE"/>
        </w:rPr>
        <w:t>4.</w:t>
      </w:r>
    </w:p>
    <w:p w14:paraId="289438EB" w14:textId="77777777" w:rsidR="00081B7A" w:rsidRPr="00363097" w:rsidRDefault="00081B7A" w:rsidP="00C8772D">
      <w:pPr>
        <w:pStyle w:val="Point2"/>
        <w:rPr>
          <w:noProof/>
          <w:szCs w:val="24"/>
          <w:lang w:val="en-IE"/>
        </w:rPr>
      </w:pPr>
      <w:r w:rsidRPr="00363097">
        <w:rPr>
          <w:noProof/>
          <w:lang w:val="en-IE"/>
        </w:rPr>
        <w:t>(</w:t>
      </w:r>
      <w:r w:rsidR="00207216" w:rsidRPr="00363097">
        <w:rPr>
          <w:noProof/>
          <w:lang w:val="en-IE"/>
        </w:rPr>
        <w:t>c</w:t>
      </w:r>
      <w:r w:rsidRPr="00363097">
        <w:rPr>
          <w:noProof/>
          <w:lang w:val="en-IE"/>
        </w:rPr>
        <w:t>)</w:t>
      </w:r>
      <w:r w:rsidRPr="00363097">
        <w:rPr>
          <w:noProof/>
          <w:lang w:val="en-IE"/>
        </w:rPr>
        <w:tab/>
        <w:t>the Distributions refer to distributions and other expenses that are made by the BEFIT group member during the fiscal year and that are taxable under a distribution based tax system.</w:t>
      </w:r>
    </w:p>
    <w:p w14:paraId="5958514F" w14:textId="4552CD79"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Where the adjusted allocated part of a BEFIT group member computed in accordance with paragraph </w:t>
      </w:r>
      <w:r w:rsidR="00EC3A25" w:rsidRPr="00363097">
        <w:rPr>
          <w:noProof/>
          <w:lang w:val="en-IE"/>
        </w:rPr>
        <w:t xml:space="preserve">2 </w:t>
      </w:r>
      <w:r w:rsidR="00081B7A" w:rsidRPr="00363097">
        <w:rPr>
          <w:noProof/>
          <w:lang w:val="en-IE"/>
        </w:rPr>
        <w:t xml:space="preserve">is lower than its allocated part, the balance between the two amounts shall be carried forward to the following fiscal year and added to the part allocated to the BEFIT group member in that following fiscal year in accordance with this </w:t>
      </w:r>
      <w:r w:rsidR="00403506" w:rsidRPr="00403506">
        <w:rPr>
          <w:noProof/>
        </w:rPr>
        <w:t>Article</w:t>
      </w:r>
      <w:r w:rsidR="00936BA4">
        <w:rPr>
          <w:noProof/>
        </w:rPr>
        <w:t>.</w:t>
      </w:r>
      <w:r w:rsidR="00403506" w:rsidRPr="00403506">
        <w:rPr>
          <w:noProof/>
        </w:rPr>
        <w:t xml:space="preserve"> </w:t>
      </w:r>
    </w:p>
    <w:p w14:paraId="2C34178C" w14:textId="11BAC636" w:rsidR="00C14665" w:rsidRPr="00363097" w:rsidRDefault="00634583" w:rsidP="00634583">
      <w:pPr>
        <w:pStyle w:val="ManualNumPar1"/>
        <w:rPr>
          <w:noProof/>
        </w:rPr>
      </w:pPr>
      <w:r w:rsidRPr="00634583">
        <w:t>4.</w:t>
      </w:r>
      <w:r w:rsidRPr="00634583">
        <w:tab/>
      </w:r>
      <w:r w:rsidR="00081B7A" w:rsidRPr="00363097">
        <w:rPr>
          <w:noProof/>
          <w:lang w:val="en-IE"/>
        </w:rPr>
        <w:t xml:space="preserve">The adjusted allocated part computed in accordance with paragraph </w:t>
      </w:r>
      <w:r w:rsidR="00451BA5" w:rsidRPr="00363097">
        <w:rPr>
          <w:noProof/>
          <w:lang w:val="en-IE"/>
        </w:rPr>
        <w:t xml:space="preserve">2 </w:t>
      </w:r>
      <w:r w:rsidR="00081B7A" w:rsidRPr="00363097">
        <w:rPr>
          <w:noProof/>
          <w:lang w:val="en-IE"/>
        </w:rPr>
        <w:t xml:space="preserve">shall be increased by </w:t>
      </w:r>
      <w:r w:rsidR="00081B7A" w:rsidRPr="00363097">
        <w:rPr>
          <w:noProof/>
        </w:rPr>
        <w:t xml:space="preserve">non-deductible expenses immediately subject to tax during the fiscal year under a distribution tax system in the Member State in which the BEFIT group member is resident for tax purposes or situated in the form of a permanent establishment. </w:t>
      </w:r>
    </w:p>
    <w:p w14:paraId="65781326" w14:textId="77777777" w:rsidR="00081B7A" w:rsidRPr="00363097" w:rsidRDefault="000437D4" w:rsidP="008472A2">
      <w:pPr>
        <w:pStyle w:val="ChapterTitle5"/>
        <w:rPr>
          <w:noProof/>
          <w:lang w:val="en-IE" w:eastAsia="en-IE"/>
        </w:rPr>
      </w:pPr>
      <w:bookmarkStart w:id="24" w:name="TrafficLight"/>
      <w:bookmarkEnd w:id="23"/>
      <w:bookmarkEnd w:id="24"/>
      <w:r w:rsidRPr="00363097">
        <w:rPr>
          <w:rFonts w:eastAsia="Calibri"/>
          <w:noProof/>
          <w:lang w:val="en-IE" w:eastAsia="en-IE"/>
        </w:rPr>
        <w:t>CHAPTER IV</w:t>
      </w:r>
      <w:r w:rsidR="008472A2">
        <w:rPr>
          <w:rFonts w:eastAsia="Calibri"/>
          <w:noProof/>
          <w:lang w:val="en-IE" w:eastAsia="en-IE"/>
        </w:rPr>
        <w:br/>
      </w:r>
      <w:r w:rsidR="00081B7A" w:rsidRPr="00363097">
        <w:rPr>
          <w:noProof/>
          <w:lang w:val="en-IE" w:eastAsia="en-IE"/>
        </w:rPr>
        <w:t xml:space="preserve">Simplified Approach to Transfer Pricing Compliance </w:t>
      </w:r>
    </w:p>
    <w:p w14:paraId="4A8388F9" w14:textId="77777777" w:rsidR="00081B7A" w:rsidRPr="00363097" w:rsidRDefault="00081B7A" w:rsidP="006B487B">
      <w:pPr>
        <w:pStyle w:val="Titrearticle2"/>
        <w:rPr>
          <w:b/>
          <w:bCs/>
          <w:noProof/>
          <w:lang w:val="en-IE"/>
        </w:rPr>
      </w:pPr>
      <w:r w:rsidRPr="00363097">
        <w:rPr>
          <w:iCs/>
          <w:noProof/>
        </w:rPr>
        <w:t>Article 50</w:t>
      </w:r>
      <w:r w:rsidRPr="00363097">
        <w:rPr>
          <w:iCs/>
          <w:noProof/>
        </w:rPr>
        <w:br/>
      </w:r>
      <w:r w:rsidRPr="00363097">
        <w:rPr>
          <w:b/>
          <w:bCs/>
          <w:noProof/>
        </w:rPr>
        <w:t>Scoping criteria</w:t>
      </w:r>
    </w:p>
    <w:p w14:paraId="332A8F13" w14:textId="4789EFA1" w:rsidR="00081B7A" w:rsidRPr="00363097" w:rsidRDefault="00634583" w:rsidP="00634583">
      <w:pPr>
        <w:pStyle w:val="ManualNumPar1"/>
        <w:rPr>
          <w:noProof/>
        </w:rPr>
      </w:pPr>
      <w:r w:rsidRPr="00634583">
        <w:t>1.</w:t>
      </w:r>
      <w:r w:rsidRPr="00634583">
        <w:tab/>
      </w:r>
      <w:r w:rsidR="00081B7A" w:rsidRPr="00363097">
        <w:rPr>
          <w:noProof/>
        </w:rPr>
        <w:t xml:space="preserve">Member States shall subject the following activities, where these are performed </w:t>
      </w:r>
      <w:r w:rsidR="00F05689" w:rsidRPr="00363097">
        <w:rPr>
          <w:rFonts w:eastAsia="Calibri"/>
          <w:noProof/>
        </w:rPr>
        <w:t>through transactions between a BEFIT group member and an associated enterprise outside the BEFIT group</w:t>
      </w:r>
      <w:r w:rsidR="00081B7A" w:rsidRPr="00363097">
        <w:rPr>
          <w:noProof/>
        </w:rPr>
        <w:t>, to a simplified approach to transfer pricing compliance:</w:t>
      </w:r>
    </w:p>
    <w:p w14:paraId="02BFA4D9" w14:textId="01BD1224" w:rsidR="00081B7A" w:rsidRPr="00363097" w:rsidRDefault="00081B7A" w:rsidP="00081B7A">
      <w:pPr>
        <w:pStyle w:val="Point1"/>
        <w:rPr>
          <w:noProof/>
          <w:lang w:val="en-IE"/>
        </w:rPr>
      </w:pPr>
      <w:r w:rsidRPr="00363097">
        <w:rPr>
          <w:noProof/>
        </w:rPr>
        <w:t>(</w:t>
      </w:r>
      <w:r w:rsidR="007F10FB" w:rsidRPr="00363097">
        <w:rPr>
          <w:noProof/>
        </w:rPr>
        <w:t>a</w:t>
      </w:r>
      <w:r w:rsidRPr="00363097">
        <w:rPr>
          <w:noProof/>
        </w:rPr>
        <w:t>)</w:t>
      </w:r>
      <w:r w:rsidRPr="00363097">
        <w:rPr>
          <w:noProof/>
        </w:rPr>
        <w:tab/>
      </w:r>
      <w:r w:rsidR="00163B55" w:rsidRPr="00363097">
        <w:rPr>
          <w:noProof/>
        </w:rPr>
        <w:t>d</w:t>
      </w:r>
      <w:r w:rsidRPr="00363097">
        <w:rPr>
          <w:noProof/>
        </w:rPr>
        <w:t>istribution activity where it is performed through a low-risk distributor</w:t>
      </w:r>
      <w:r w:rsidR="00485BAC">
        <w:rPr>
          <w:noProof/>
        </w:rPr>
        <w:t>,</w:t>
      </w:r>
      <w:r w:rsidRPr="00363097">
        <w:rPr>
          <w:noProof/>
        </w:rPr>
        <w:t xml:space="preserve"> as described in paragraph 2</w:t>
      </w:r>
      <w:r w:rsidR="00485BAC" w:rsidRPr="00485BAC">
        <w:rPr>
          <w:noProof/>
        </w:rPr>
        <w:t xml:space="preserve">, who is </w:t>
      </w:r>
      <w:r w:rsidR="00485BAC" w:rsidRPr="00485BAC">
        <w:rPr>
          <w:noProof/>
          <w:szCs w:val="24"/>
        </w:rPr>
        <w:t>resident for tax purposes or situated in the form of a permanent establishment in a Member State</w:t>
      </w:r>
      <w:r w:rsidRPr="00485BAC">
        <w:rPr>
          <w:noProof/>
        </w:rPr>
        <w:t>.</w:t>
      </w:r>
      <w:r w:rsidRPr="00363097">
        <w:rPr>
          <w:noProof/>
        </w:rPr>
        <w:t xml:space="preserve"> </w:t>
      </w:r>
    </w:p>
    <w:p w14:paraId="0D23BD40" w14:textId="12C3E8DB" w:rsidR="00081B7A" w:rsidRPr="00363097" w:rsidRDefault="00081B7A" w:rsidP="00081B7A">
      <w:pPr>
        <w:pStyle w:val="Point1"/>
        <w:rPr>
          <w:noProof/>
        </w:rPr>
      </w:pPr>
      <w:r w:rsidRPr="00363097">
        <w:rPr>
          <w:noProof/>
        </w:rPr>
        <w:t>(</w:t>
      </w:r>
      <w:r w:rsidR="007F10FB" w:rsidRPr="00363097">
        <w:rPr>
          <w:noProof/>
        </w:rPr>
        <w:t>b</w:t>
      </w:r>
      <w:r w:rsidRPr="00363097">
        <w:rPr>
          <w:noProof/>
        </w:rPr>
        <w:t>)</w:t>
      </w:r>
      <w:r w:rsidRPr="00363097">
        <w:rPr>
          <w:noProof/>
        </w:rPr>
        <w:tab/>
      </w:r>
      <w:r w:rsidR="00A9190D" w:rsidRPr="00363097">
        <w:rPr>
          <w:noProof/>
        </w:rPr>
        <w:t>m</w:t>
      </w:r>
      <w:r w:rsidRPr="00363097">
        <w:rPr>
          <w:noProof/>
        </w:rPr>
        <w:t>anufacturing activity where it is performed through a contract manufacturer, as described in paragraph 3</w:t>
      </w:r>
      <w:r w:rsidR="00AE1059">
        <w:rPr>
          <w:noProof/>
        </w:rPr>
        <w:t xml:space="preserve">, </w:t>
      </w:r>
      <w:r w:rsidR="00AE1059" w:rsidRPr="00AE1059">
        <w:rPr>
          <w:noProof/>
        </w:rPr>
        <w:t xml:space="preserve">who is </w:t>
      </w:r>
      <w:r w:rsidR="00AE1059" w:rsidRPr="00AE1059">
        <w:rPr>
          <w:noProof/>
          <w:szCs w:val="24"/>
        </w:rPr>
        <w:t>resident for tax purposes or situated in the form of a permanent establishment in a Member State</w:t>
      </w:r>
      <w:r w:rsidRPr="00AE1059">
        <w:rPr>
          <w:noProof/>
        </w:rPr>
        <w:t>.</w:t>
      </w:r>
      <w:r w:rsidRPr="00363097">
        <w:rPr>
          <w:noProof/>
        </w:rPr>
        <w:t xml:space="preserve"> </w:t>
      </w:r>
    </w:p>
    <w:p w14:paraId="2F1FFE5F" w14:textId="205A6964" w:rsidR="00081B7A" w:rsidRPr="00363097" w:rsidRDefault="00634583" w:rsidP="00634583">
      <w:pPr>
        <w:pStyle w:val="ManualNumPar1"/>
        <w:rPr>
          <w:noProof/>
          <w:lang w:val="en-IE"/>
        </w:rPr>
      </w:pPr>
      <w:r w:rsidRPr="00634583">
        <w:t>2.</w:t>
      </w:r>
      <w:r w:rsidRPr="00634583">
        <w:tab/>
      </w:r>
      <w:r w:rsidR="00081B7A" w:rsidRPr="00363097">
        <w:rPr>
          <w:noProof/>
        </w:rPr>
        <w:t>For the purpose of applying</w:t>
      </w:r>
      <w:r w:rsidR="003A7C43">
        <w:rPr>
          <w:noProof/>
        </w:rPr>
        <w:t xml:space="preserve"> </w:t>
      </w:r>
      <w:r w:rsidR="00081B7A" w:rsidRPr="00363097">
        <w:rPr>
          <w:noProof/>
        </w:rPr>
        <w:t xml:space="preserve">paragraph 1, </w:t>
      </w:r>
      <w:r w:rsidR="00752186" w:rsidRPr="00363097">
        <w:rPr>
          <w:noProof/>
        </w:rPr>
        <w:t>point (a)</w:t>
      </w:r>
      <w:r w:rsidR="00081B7A" w:rsidRPr="00363097">
        <w:rPr>
          <w:noProof/>
        </w:rPr>
        <w:t xml:space="preserve">, a low-risk distributor shall be an entity that performs </w:t>
      </w:r>
      <w:r w:rsidR="00081B7A" w:rsidRPr="00363097">
        <w:rPr>
          <w:noProof/>
          <w:lang w:val="en-IE"/>
        </w:rPr>
        <w:t>distribution</w:t>
      </w:r>
      <w:r w:rsidR="00AE1059">
        <w:rPr>
          <w:noProof/>
          <w:lang w:val="en-IE"/>
        </w:rPr>
        <w:t xml:space="preserve"> </w:t>
      </w:r>
      <w:r w:rsidR="00081B7A" w:rsidRPr="00363097">
        <w:rPr>
          <w:noProof/>
          <w:lang w:val="en-IE"/>
        </w:rPr>
        <w:t>of goods purchased from associated enterprises. The activity of distribution shall display the following features:</w:t>
      </w:r>
    </w:p>
    <w:p w14:paraId="796E3CDE" w14:textId="77777777" w:rsidR="00081B7A" w:rsidRPr="00363097" w:rsidRDefault="00081B7A" w:rsidP="00501613">
      <w:pPr>
        <w:pStyle w:val="Point1"/>
        <w:rPr>
          <w:noProof/>
          <w:lang w:val="en-IE"/>
        </w:rPr>
      </w:pPr>
      <w:bookmarkStart w:id="25" w:name="_Hlk137297134"/>
      <w:r w:rsidRPr="00363097">
        <w:rPr>
          <w:noProof/>
          <w:lang w:val="en-IE"/>
        </w:rPr>
        <w:t>(</w:t>
      </w:r>
      <w:r w:rsidR="00163B55" w:rsidRPr="00363097">
        <w:rPr>
          <w:noProof/>
          <w:lang w:val="en-IE"/>
        </w:rPr>
        <w:t>a</w:t>
      </w:r>
      <w:r w:rsidRPr="00363097">
        <w:rPr>
          <w:noProof/>
          <w:lang w:val="en-IE"/>
        </w:rPr>
        <w:t>)</w:t>
      </w:r>
      <w:r w:rsidRPr="00363097">
        <w:rPr>
          <w:noProof/>
          <w:lang w:val="en-IE"/>
        </w:rPr>
        <w:tab/>
        <w:t>it shall result from the accurate delineation of the transaction and exhibit economically relevant characteristics that can be reliably priced using a one-sided transfer pricing method, with the distributor being the tested party;</w:t>
      </w:r>
    </w:p>
    <w:p w14:paraId="152214B6" w14:textId="77777777" w:rsidR="00081B7A" w:rsidRPr="00363097" w:rsidRDefault="00081B7A" w:rsidP="00501613">
      <w:pPr>
        <w:pStyle w:val="Point1"/>
        <w:rPr>
          <w:noProof/>
          <w:lang w:val="en-IE"/>
        </w:rPr>
      </w:pPr>
      <w:bookmarkStart w:id="26" w:name="_Hlk137297101"/>
      <w:bookmarkEnd w:id="25"/>
      <w:r w:rsidRPr="00363097">
        <w:rPr>
          <w:noProof/>
          <w:lang w:val="en-IE"/>
        </w:rPr>
        <w:t>(</w:t>
      </w:r>
      <w:r w:rsidR="00163B55" w:rsidRPr="00363097">
        <w:rPr>
          <w:noProof/>
          <w:lang w:val="en-IE"/>
        </w:rPr>
        <w:t>b</w:t>
      </w:r>
      <w:r w:rsidRPr="00363097">
        <w:rPr>
          <w:noProof/>
          <w:lang w:val="en-IE"/>
        </w:rPr>
        <w:t>)</w:t>
      </w:r>
      <w:r w:rsidRPr="00363097">
        <w:rPr>
          <w:noProof/>
          <w:lang w:val="en-IE"/>
        </w:rPr>
        <w:tab/>
        <w:t>the distributor shall not hold the legal or economic co-ownership of the intellectual property contained in the products and/or services which are distributed;</w:t>
      </w:r>
    </w:p>
    <w:p w14:paraId="57815651" w14:textId="77777777" w:rsidR="00081B7A" w:rsidRPr="00363097" w:rsidRDefault="00081B7A" w:rsidP="00501613">
      <w:pPr>
        <w:pStyle w:val="Point1"/>
        <w:rPr>
          <w:noProof/>
          <w:lang w:val="en-IE"/>
        </w:rPr>
      </w:pPr>
      <w:r w:rsidRPr="00363097">
        <w:rPr>
          <w:noProof/>
          <w:lang w:val="en-IE"/>
        </w:rPr>
        <w:t>(</w:t>
      </w:r>
      <w:r w:rsidR="00163B55" w:rsidRPr="00363097">
        <w:rPr>
          <w:noProof/>
          <w:lang w:val="en-IE"/>
        </w:rPr>
        <w:t>c</w:t>
      </w:r>
      <w:r w:rsidRPr="00363097">
        <w:rPr>
          <w:noProof/>
          <w:lang w:val="en-IE"/>
        </w:rPr>
        <w:t>)</w:t>
      </w:r>
      <w:r w:rsidRPr="00363097">
        <w:rPr>
          <w:noProof/>
          <w:lang w:val="en-IE"/>
        </w:rPr>
        <w:tab/>
        <w:t>the distribution activity shall be the predominant function performed by the distributor;</w:t>
      </w:r>
    </w:p>
    <w:p w14:paraId="17D95737" w14:textId="77777777" w:rsidR="00081B7A" w:rsidRPr="00363097" w:rsidRDefault="00081B7A" w:rsidP="00081B7A">
      <w:pPr>
        <w:pStyle w:val="Point1"/>
        <w:rPr>
          <w:noProof/>
          <w:lang w:val="en-IE"/>
        </w:rPr>
      </w:pPr>
      <w:r w:rsidRPr="00363097">
        <w:rPr>
          <w:noProof/>
          <w:lang w:val="en-IE"/>
        </w:rPr>
        <w:t>(</w:t>
      </w:r>
      <w:r w:rsidR="00680BFD" w:rsidRPr="00363097">
        <w:rPr>
          <w:noProof/>
          <w:lang w:val="en-IE"/>
        </w:rPr>
        <w:t>d</w:t>
      </w:r>
      <w:r w:rsidRPr="00363097">
        <w:rPr>
          <w:noProof/>
          <w:lang w:val="en-IE"/>
        </w:rPr>
        <w:t>)</w:t>
      </w:r>
      <w:r w:rsidRPr="00363097">
        <w:rPr>
          <w:noProof/>
          <w:lang w:val="en-IE"/>
        </w:rPr>
        <w:tab/>
        <w:t xml:space="preserve">the distributor shall bear no or limited risks regarding market, inventory and bad credits. </w:t>
      </w:r>
      <w:bookmarkEnd w:id="26"/>
    </w:p>
    <w:p w14:paraId="07F3A124" w14:textId="3BB4C0EF" w:rsidR="00081B7A" w:rsidRPr="00363097" w:rsidRDefault="00634583" w:rsidP="00634583">
      <w:pPr>
        <w:pStyle w:val="ManualNumPar1"/>
        <w:rPr>
          <w:noProof/>
          <w:lang w:val="en-IE"/>
        </w:rPr>
      </w:pPr>
      <w:r w:rsidRPr="00634583">
        <w:t>3.</w:t>
      </w:r>
      <w:r w:rsidRPr="00634583">
        <w:tab/>
      </w:r>
      <w:r w:rsidR="00081B7A" w:rsidRPr="00363097">
        <w:rPr>
          <w:noProof/>
          <w:lang w:val="en-IE"/>
        </w:rPr>
        <w:t>For the purpose of applying point (</w:t>
      </w:r>
      <w:r w:rsidR="009C742B" w:rsidRPr="00363097">
        <w:rPr>
          <w:noProof/>
          <w:lang w:val="en-IE"/>
        </w:rPr>
        <w:t>b</w:t>
      </w:r>
      <w:r w:rsidR="00081B7A" w:rsidRPr="00363097">
        <w:rPr>
          <w:noProof/>
          <w:lang w:val="en-IE"/>
        </w:rPr>
        <w:t xml:space="preserve">) of paragraph 1, a contract manufacturer shall be an associated </w:t>
      </w:r>
      <w:r w:rsidR="002A7DDB">
        <w:rPr>
          <w:noProof/>
          <w:lang w:val="en-IE"/>
        </w:rPr>
        <w:t>enterprise</w:t>
      </w:r>
      <w:r w:rsidR="00081B7A" w:rsidRPr="00363097">
        <w:rPr>
          <w:noProof/>
          <w:lang w:val="en-IE"/>
        </w:rPr>
        <w:t xml:space="preserve"> which performs a manufacturing activity under the control of a principal and displays the following features:</w:t>
      </w:r>
    </w:p>
    <w:p w14:paraId="2879927C" w14:textId="77777777" w:rsidR="00BA0EA8" w:rsidRPr="00363097" w:rsidRDefault="00111BB1" w:rsidP="00081B7A">
      <w:pPr>
        <w:pStyle w:val="Point1"/>
        <w:rPr>
          <w:noProof/>
          <w:lang w:val="en-IE"/>
        </w:rPr>
      </w:pPr>
      <w:r w:rsidRPr="00363097">
        <w:rPr>
          <w:noProof/>
          <w:lang w:val="en-IE"/>
        </w:rPr>
        <w:t>(</w:t>
      </w:r>
      <w:r w:rsidR="009C742B" w:rsidRPr="00363097">
        <w:rPr>
          <w:noProof/>
          <w:lang w:val="en-IE"/>
        </w:rPr>
        <w:t>a</w:t>
      </w:r>
      <w:r w:rsidRPr="00363097">
        <w:rPr>
          <w:noProof/>
          <w:lang w:val="en-IE"/>
        </w:rPr>
        <w:t>)</w:t>
      </w:r>
      <w:r w:rsidRPr="00363097">
        <w:rPr>
          <w:noProof/>
          <w:lang w:val="en-IE"/>
        </w:rPr>
        <w:tab/>
      </w:r>
      <w:r w:rsidR="00081B7A" w:rsidRPr="00363097">
        <w:rPr>
          <w:noProof/>
          <w:lang w:val="en-IE"/>
        </w:rPr>
        <w:t>the manufacturing activity, as resulting from the accurate delineation of the transaction, shall exhibit economically relevant characteristics that can be reliably priced using a one-sided transfer pricing method, with the manufacturing entity being the tested party;</w:t>
      </w:r>
    </w:p>
    <w:p w14:paraId="5AF55F8F" w14:textId="77777777" w:rsidR="00CA02A6" w:rsidRPr="00363097" w:rsidRDefault="00E64EBA" w:rsidP="00081B7A">
      <w:pPr>
        <w:pStyle w:val="Point1"/>
        <w:rPr>
          <w:noProof/>
          <w:lang w:val="en-IE"/>
        </w:rPr>
      </w:pPr>
      <w:r w:rsidRPr="00363097">
        <w:rPr>
          <w:noProof/>
          <w:lang w:val="en-IE"/>
        </w:rPr>
        <w:t>(</w:t>
      </w:r>
      <w:r w:rsidR="009C742B" w:rsidRPr="00363097">
        <w:rPr>
          <w:noProof/>
          <w:lang w:val="en-IE"/>
        </w:rPr>
        <w:t>b</w:t>
      </w:r>
      <w:r w:rsidR="00081B7A" w:rsidRPr="00363097">
        <w:rPr>
          <w:noProof/>
          <w:lang w:val="en-IE"/>
        </w:rPr>
        <w:t>)</w:t>
      </w:r>
      <w:r w:rsidR="00081B7A" w:rsidRPr="00363097">
        <w:rPr>
          <w:noProof/>
          <w:lang w:val="en-IE"/>
        </w:rPr>
        <w:tab/>
        <w:t xml:space="preserve">the manufacturer shall not hold the legal or economic co-ownership of the intellectual property contained in the manufactured products; </w:t>
      </w:r>
    </w:p>
    <w:p w14:paraId="125FD9DA" w14:textId="77777777" w:rsidR="00081B7A" w:rsidRPr="00363097" w:rsidRDefault="00081B7A" w:rsidP="00081B7A">
      <w:pPr>
        <w:pStyle w:val="Point1"/>
        <w:rPr>
          <w:noProof/>
          <w:lang w:val="en-IE"/>
        </w:rPr>
      </w:pPr>
      <w:r w:rsidRPr="00363097">
        <w:rPr>
          <w:noProof/>
          <w:lang w:val="en-IE"/>
        </w:rPr>
        <w:t>(</w:t>
      </w:r>
      <w:r w:rsidR="00E64EBA" w:rsidRPr="00363097">
        <w:rPr>
          <w:noProof/>
          <w:lang w:val="en-IE"/>
        </w:rPr>
        <w:t>c</w:t>
      </w:r>
      <w:r w:rsidRPr="00363097">
        <w:rPr>
          <w:noProof/>
          <w:lang w:val="en-IE"/>
        </w:rPr>
        <w:t>)</w:t>
      </w:r>
      <w:r w:rsidRPr="00363097">
        <w:rPr>
          <w:noProof/>
          <w:lang w:val="en-IE"/>
        </w:rPr>
        <w:tab/>
        <w:t>the manufacturing activity shall be the predominant function performed by the manufacturer;</w:t>
      </w:r>
    </w:p>
    <w:p w14:paraId="02353F10" w14:textId="77777777" w:rsidR="00081B7A" w:rsidRPr="00363097" w:rsidRDefault="00081B7A" w:rsidP="00081B7A">
      <w:pPr>
        <w:pStyle w:val="Point1"/>
        <w:rPr>
          <w:noProof/>
          <w:lang w:val="en-IE"/>
        </w:rPr>
      </w:pPr>
      <w:r w:rsidRPr="00363097">
        <w:rPr>
          <w:noProof/>
          <w:lang w:val="en-IE"/>
        </w:rPr>
        <w:t>(</w:t>
      </w:r>
      <w:r w:rsidR="00CA02A6" w:rsidRPr="00363097">
        <w:rPr>
          <w:noProof/>
          <w:lang w:val="en-IE"/>
        </w:rPr>
        <w:t>d</w:t>
      </w:r>
      <w:r w:rsidRPr="00363097">
        <w:rPr>
          <w:noProof/>
          <w:lang w:val="en-IE"/>
        </w:rPr>
        <w:t>)</w:t>
      </w:r>
      <w:r w:rsidRPr="00363097">
        <w:rPr>
          <w:noProof/>
          <w:lang w:val="en-IE"/>
        </w:rPr>
        <w:tab/>
        <w:t xml:space="preserve">the manufacture shall bear no or limited risks regarding price, market, inventory, capacity utilization and bad credits. </w:t>
      </w:r>
    </w:p>
    <w:p w14:paraId="4FC10B7F" w14:textId="3A5A77DA" w:rsidR="00081B7A" w:rsidRPr="00363097" w:rsidRDefault="00634583" w:rsidP="00634583">
      <w:pPr>
        <w:pStyle w:val="ManualNumPar1"/>
        <w:rPr>
          <w:noProof/>
          <w:lang w:val="en-IE"/>
        </w:rPr>
      </w:pPr>
      <w:r w:rsidRPr="00634583">
        <w:t>4.</w:t>
      </w:r>
      <w:r w:rsidRPr="00634583">
        <w:tab/>
      </w:r>
      <w:r w:rsidR="00081B7A" w:rsidRPr="00363097">
        <w:rPr>
          <w:noProof/>
          <w:lang w:val="en-IE"/>
        </w:rPr>
        <w:t xml:space="preserve">Where an associated </w:t>
      </w:r>
      <w:r w:rsidR="00E149B1">
        <w:rPr>
          <w:noProof/>
          <w:lang w:val="en-IE"/>
        </w:rPr>
        <w:t>enterprise</w:t>
      </w:r>
      <w:r w:rsidR="00081B7A" w:rsidRPr="00363097">
        <w:rPr>
          <w:noProof/>
          <w:lang w:val="en-IE"/>
        </w:rPr>
        <w:t xml:space="preserve"> is engaged in more than one economic activity, it shall remain within the scope of the simplified approach</w:t>
      </w:r>
      <w:r w:rsidR="00426C87" w:rsidRPr="00363097">
        <w:rPr>
          <w:noProof/>
          <w:lang w:val="en-IE"/>
        </w:rPr>
        <w:t>,</w:t>
      </w:r>
      <w:r w:rsidR="00081B7A" w:rsidRPr="00363097">
        <w:rPr>
          <w:noProof/>
          <w:lang w:val="en-IE"/>
        </w:rPr>
        <w:t xml:space="preserve"> </w:t>
      </w:r>
      <w:r w:rsidR="00081B7A" w:rsidRPr="00363097">
        <w:rPr>
          <w:noProof/>
        </w:rPr>
        <w:t>provided that</w:t>
      </w:r>
      <w:r w:rsidR="00081B7A" w:rsidRPr="00363097">
        <w:rPr>
          <w:noProof/>
          <w:lang w:val="en-IE"/>
        </w:rPr>
        <w:t xml:space="preserve"> any of the following conditions </w:t>
      </w:r>
      <w:r w:rsidR="00604F6A" w:rsidRPr="00363097">
        <w:rPr>
          <w:noProof/>
          <w:lang w:val="en-IE"/>
        </w:rPr>
        <w:t>are</w:t>
      </w:r>
      <w:r w:rsidR="00081B7A" w:rsidRPr="00363097">
        <w:rPr>
          <w:noProof/>
          <w:lang w:val="en-IE"/>
        </w:rPr>
        <w:t xml:space="preserve"> met:</w:t>
      </w:r>
    </w:p>
    <w:p w14:paraId="3BE2FA4E" w14:textId="77777777" w:rsidR="00081B7A" w:rsidRPr="00363097" w:rsidRDefault="00081B7A" w:rsidP="00081B7A">
      <w:pPr>
        <w:pStyle w:val="Point1"/>
        <w:rPr>
          <w:noProof/>
          <w:lang w:val="en-IE"/>
        </w:rPr>
      </w:pPr>
      <w:r w:rsidRPr="00363097">
        <w:rPr>
          <w:noProof/>
          <w:lang w:val="en-IE"/>
        </w:rPr>
        <w:t>(</w:t>
      </w:r>
      <w:r w:rsidR="005C79B2" w:rsidRPr="00363097">
        <w:rPr>
          <w:noProof/>
          <w:lang w:val="en-IE"/>
        </w:rPr>
        <w:t>a</w:t>
      </w:r>
      <w:r w:rsidRPr="00363097">
        <w:rPr>
          <w:noProof/>
          <w:lang w:val="en-IE"/>
        </w:rPr>
        <w:t>)</w:t>
      </w:r>
      <w:r w:rsidRPr="00363097">
        <w:rPr>
          <w:noProof/>
          <w:lang w:val="en-IE"/>
        </w:rPr>
        <w:tab/>
      </w:r>
      <w:bookmarkStart w:id="27" w:name="_Hlk137479353"/>
      <w:r w:rsidRPr="00363097">
        <w:rPr>
          <w:noProof/>
          <w:lang w:val="en-IE"/>
        </w:rPr>
        <w:t xml:space="preserve">the economic activities other than distribution or manufacturing </w:t>
      </w:r>
      <w:bookmarkEnd w:id="27"/>
      <w:r w:rsidRPr="00363097">
        <w:rPr>
          <w:noProof/>
          <w:lang w:val="en-IE"/>
        </w:rPr>
        <w:t xml:space="preserve">can be adequately segregated and separately priced; </w:t>
      </w:r>
    </w:p>
    <w:p w14:paraId="0DA953C9" w14:textId="77777777" w:rsidR="00081B7A" w:rsidRPr="00363097" w:rsidRDefault="00081B7A" w:rsidP="00081B7A">
      <w:pPr>
        <w:pStyle w:val="Point1"/>
        <w:rPr>
          <w:noProof/>
          <w:lang w:val="en-IE"/>
        </w:rPr>
      </w:pPr>
      <w:r w:rsidRPr="00363097">
        <w:rPr>
          <w:noProof/>
          <w:lang w:val="en-IE"/>
        </w:rPr>
        <w:t>(</w:t>
      </w:r>
      <w:r w:rsidR="005C79B2" w:rsidRPr="00363097">
        <w:rPr>
          <w:noProof/>
          <w:lang w:val="en-IE"/>
        </w:rPr>
        <w:t>b</w:t>
      </w:r>
      <w:r w:rsidRPr="00363097">
        <w:rPr>
          <w:noProof/>
          <w:lang w:val="en-IE"/>
        </w:rPr>
        <w:t>)</w:t>
      </w:r>
      <w:r w:rsidRPr="00363097">
        <w:rPr>
          <w:noProof/>
          <w:lang w:val="en-IE"/>
        </w:rPr>
        <w:tab/>
        <w:t>the economic activities other than distribution or manufacturing can be considered ancillary and are either immaterial or do not add major value to distribution or manufacturing.</w:t>
      </w:r>
    </w:p>
    <w:p w14:paraId="34000A81" w14:textId="77777777" w:rsidR="00081B7A" w:rsidRPr="00363097" w:rsidRDefault="00081B7A" w:rsidP="006B487B">
      <w:pPr>
        <w:pStyle w:val="Titrearticle2"/>
        <w:rPr>
          <w:b/>
          <w:bCs/>
          <w:noProof/>
          <w:lang w:val="en-IE"/>
        </w:rPr>
      </w:pPr>
      <w:r w:rsidRPr="00363097">
        <w:rPr>
          <w:iCs/>
          <w:noProof/>
          <w:lang w:val="en-IE"/>
        </w:rPr>
        <w:t>Article 51</w:t>
      </w:r>
      <w:r w:rsidRPr="00363097">
        <w:rPr>
          <w:iCs/>
          <w:noProof/>
          <w:lang w:val="en-IE"/>
        </w:rPr>
        <w:br/>
      </w:r>
      <w:r w:rsidRPr="00363097">
        <w:rPr>
          <w:b/>
          <w:bCs/>
          <w:noProof/>
          <w:lang w:val="en-IE"/>
        </w:rPr>
        <w:t xml:space="preserve">Compliance framework </w:t>
      </w:r>
    </w:p>
    <w:p w14:paraId="009FD175" w14:textId="6F26B0D3" w:rsidR="00081B7A" w:rsidRPr="00454DB2" w:rsidRDefault="00634583" w:rsidP="00634583">
      <w:pPr>
        <w:pStyle w:val="ManualNumPar1"/>
        <w:rPr>
          <w:noProof/>
        </w:rPr>
      </w:pPr>
      <w:r w:rsidRPr="00634583">
        <w:t>1.</w:t>
      </w:r>
      <w:r w:rsidRPr="00634583">
        <w:tab/>
      </w:r>
      <w:r w:rsidR="00081B7A" w:rsidRPr="00454DB2">
        <w:rPr>
          <w:noProof/>
        </w:rPr>
        <w:t>Member States shall structure their risk assessment framework for the activities mentioned in Article 50 in such a way as to consist of three transfer pricing risk zones.</w:t>
      </w:r>
    </w:p>
    <w:p w14:paraId="0E3319C6" w14:textId="143FD04C" w:rsidR="00081B7A" w:rsidRPr="00454DB2" w:rsidRDefault="00634583" w:rsidP="00634583">
      <w:pPr>
        <w:pStyle w:val="ManualNumPar1"/>
        <w:rPr>
          <w:noProof/>
        </w:rPr>
      </w:pPr>
      <w:r w:rsidRPr="00634583">
        <w:t>2.</w:t>
      </w:r>
      <w:r w:rsidRPr="00634583">
        <w:tab/>
      </w:r>
      <w:r w:rsidR="00081B7A" w:rsidRPr="00454DB2">
        <w:rPr>
          <w:noProof/>
        </w:rPr>
        <w:t xml:space="preserve">The risk zones shall be determined using the interquartile range of the profit performance resulting from the Union public benchmarks referred to in Article 53. </w:t>
      </w:r>
    </w:p>
    <w:p w14:paraId="5970711C" w14:textId="08A3F021" w:rsidR="004E6656" w:rsidRPr="00454DB2" w:rsidRDefault="00634583" w:rsidP="00634583">
      <w:pPr>
        <w:pStyle w:val="ManualNumPar1"/>
        <w:rPr>
          <w:noProof/>
        </w:rPr>
      </w:pPr>
      <w:r w:rsidRPr="00634583">
        <w:t>3.</w:t>
      </w:r>
      <w:r w:rsidRPr="00634583">
        <w:tab/>
      </w:r>
      <w:r w:rsidR="00081B7A" w:rsidRPr="00454DB2">
        <w:rPr>
          <w:noProof/>
        </w:rPr>
        <w:t>The activities mentioned in Article 50 shall be risk assessed as being of low, medium or high risk, depending on how their profit performance</w:t>
      </w:r>
      <w:r w:rsidR="00913206" w:rsidRPr="00454DB2">
        <w:rPr>
          <w:noProof/>
        </w:rPr>
        <w:t xml:space="preserve"> in a given year</w:t>
      </w:r>
      <w:r w:rsidR="00081B7A" w:rsidRPr="00454DB2">
        <w:rPr>
          <w:noProof/>
        </w:rPr>
        <w:t xml:space="preserve">, determined under Article 52, compares to the interquartile range of the </w:t>
      </w:r>
      <w:r w:rsidR="00913206" w:rsidRPr="00454DB2">
        <w:rPr>
          <w:noProof/>
        </w:rPr>
        <w:t xml:space="preserve">most recent </w:t>
      </w:r>
      <w:r w:rsidR="001F7C47" w:rsidRPr="00454DB2">
        <w:rPr>
          <w:noProof/>
        </w:rPr>
        <w:t xml:space="preserve">set of </w:t>
      </w:r>
      <w:r w:rsidR="00081B7A" w:rsidRPr="00454DB2">
        <w:rPr>
          <w:noProof/>
        </w:rPr>
        <w:t>public benchmarks</w:t>
      </w:r>
      <w:r w:rsidR="00913206" w:rsidRPr="00454DB2">
        <w:rPr>
          <w:noProof/>
        </w:rPr>
        <w:t xml:space="preserve"> prepared before</w:t>
      </w:r>
      <w:r w:rsidR="001F7C47" w:rsidRPr="00454DB2">
        <w:rPr>
          <w:noProof/>
        </w:rPr>
        <w:t xml:space="preserve"> the end of</w:t>
      </w:r>
      <w:r w:rsidR="00913206" w:rsidRPr="00454DB2">
        <w:rPr>
          <w:noProof/>
        </w:rPr>
        <w:t xml:space="preserve"> that year</w:t>
      </w:r>
      <w:r w:rsidR="00081B7A" w:rsidRPr="00454DB2">
        <w:rPr>
          <w:noProof/>
        </w:rPr>
        <w:t>.</w:t>
      </w:r>
    </w:p>
    <w:p w14:paraId="49B01CA5" w14:textId="0F8BFE35" w:rsidR="00081B7A" w:rsidRPr="00454DB2" w:rsidRDefault="00634583" w:rsidP="00634583">
      <w:pPr>
        <w:pStyle w:val="ManualNumPar1"/>
        <w:rPr>
          <w:noProof/>
        </w:rPr>
      </w:pPr>
      <w:r w:rsidRPr="00634583">
        <w:t>4.</w:t>
      </w:r>
      <w:r w:rsidRPr="00634583">
        <w:tab/>
      </w:r>
      <w:r w:rsidR="00081B7A" w:rsidRPr="00454DB2">
        <w:rPr>
          <w:noProof/>
        </w:rPr>
        <w:t>Member States shall apply the following risk framework:</w:t>
      </w:r>
    </w:p>
    <w:tbl>
      <w:tblPr>
        <w:tblW w:w="8647" w:type="dxa"/>
        <w:tblInd w:w="279" w:type="dxa"/>
        <w:tblLook w:val="04A0" w:firstRow="1" w:lastRow="0" w:firstColumn="1" w:lastColumn="0" w:noHBand="0" w:noVBand="1"/>
      </w:tblPr>
      <w:tblGrid>
        <w:gridCol w:w="1060"/>
        <w:gridCol w:w="7587"/>
      </w:tblGrid>
      <w:tr w:rsidR="00363097" w:rsidRPr="00363097" w14:paraId="44730D8C" w14:textId="77777777">
        <w:trPr>
          <w:trHeight w:val="29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C375" w14:textId="77777777" w:rsidR="00081B7A" w:rsidRPr="00363097" w:rsidRDefault="00081B7A">
            <w:pPr>
              <w:spacing w:before="0" w:after="200" w:line="276" w:lineRule="auto"/>
              <w:rPr>
                <w:b/>
                <w:bCs/>
                <w:noProof/>
                <w:szCs w:val="24"/>
                <w:lang w:val="en-IE"/>
              </w:rPr>
            </w:pPr>
            <w:r w:rsidRPr="00363097">
              <w:rPr>
                <w:b/>
                <w:bCs/>
                <w:noProof/>
                <w:szCs w:val="24"/>
                <w:lang w:val="en-IE"/>
              </w:rPr>
              <w:t>Risk zone</w:t>
            </w:r>
          </w:p>
        </w:tc>
        <w:tc>
          <w:tcPr>
            <w:tcW w:w="7587" w:type="dxa"/>
            <w:tcBorders>
              <w:top w:val="single" w:sz="4" w:space="0" w:color="auto"/>
              <w:left w:val="nil"/>
              <w:bottom w:val="single" w:sz="4" w:space="0" w:color="auto"/>
              <w:right w:val="single" w:sz="4" w:space="0" w:color="auto"/>
            </w:tcBorders>
            <w:shd w:val="clear" w:color="auto" w:fill="auto"/>
            <w:noWrap/>
            <w:vAlign w:val="bottom"/>
            <w:hideMark/>
          </w:tcPr>
          <w:p w14:paraId="502206FE" w14:textId="77777777" w:rsidR="00081B7A" w:rsidRPr="00363097" w:rsidRDefault="00081B7A">
            <w:pPr>
              <w:spacing w:before="0" w:after="200" w:line="276" w:lineRule="auto"/>
              <w:rPr>
                <w:b/>
                <w:bCs/>
                <w:noProof/>
                <w:szCs w:val="24"/>
                <w:lang w:val="en-IE"/>
              </w:rPr>
            </w:pPr>
            <w:r w:rsidRPr="00363097">
              <w:rPr>
                <w:b/>
                <w:bCs/>
                <w:noProof/>
                <w:szCs w:val="24"/>
                <w:lang w:val="en-IE"/>
              </w:rPr>
              <w:t>Profit performance of the tested party relative to the EU profit markers</w:t>
            </w:r>
          </w:p>
        </w:tc>
      </w:tr>
      <w:tr w:rsidR="00363097" w:rsidRPr="00363097" w14:paraId="02222F95"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DB9472" w14:textId="77777777" w:rsidR="00081B7A" w:rsidRPr="00363097" w:rsidRDefault="00081B7A">
            <w:pPr>
              <w:spacing w:before="0" w:after="200" w:line="276" w:lineRule="auto"/>
              <w:rPr>
                <w:noProof/>
                <w:szCs w:val="24"/>
                <w:lang w:val="en-IE"/>
              </w:rPr>
            </w:pPr>
            <w:r w:rsidRPr="00363097">
              <w:rPr>
                <w:noProof/>
                <w:szCs w:val="24"/>
                <w:lang w:val="en-IE"/>
              </w:rPr>
              <w:t>low</w:t>
            </w:r>
          </w:p>
        </w:tc>
        <w:tc>
          <w:tcPr>
            <w:tcW w:w="7587" w:type="dxa"/>
            <w:tcBorders>
              <w:top w:val="nil"/>
              <w:left w:val="nil"/>
              <w:bottom w:val="single" w:sz="4" w:space="0" w:color="auto"/>
              <w:right w:val="single" w:sz="4" w:space="0" w:color="auto"/>
            </w:tcBorders>
            <w:shd w:val="clear" w:color="auto" w:fill="auto"/>
            <w:noWrap/>
            <w:vAlign w:val="bottom"/>
            <w:hideMark/>
          </w:tcPr>
          <w:p w14:paraId="5EDA920F" w14:textId="77777777" w:rsidR="00081B7A" w:rsidRPr="00363097" w:rsidRDefault="00081B7A">
            <w:pPr>
              <w:spacing w:before="0" w:after="200" w:line="276" w:lineRule="auto"/>
              <w:rPr>
                <w:noProof/>
                <w:szCs w:val="24"/>
                <w:lang w:val="en-IE"/>
              </w:rPr>
            </w:pPr>
            <w:r w:rsidRPr="00363097">
              <w:rPr>
                <w:noProof/>
                <w:szCs w:val="24"/>
                <w:lang w:val="en-IE"/>
              </w:rPr>
              <w:t>above 60</w:t>
            </w:r>
            <w:r w:rsidRPr="00363097">
              <w:rPr>
                <w:noProof/>
                <w:vertAlign w:val="superscript"/>
                <w:lang w:val="en-IE"/>
              </w:rPr>
              <w:t>TH</w:t>
            </w:r>
            <w:r w:rsidRPr="00363097">
              <w:rPr>
                <w:noProof/>
                <w:szCs w:val="24"/>
                <w:lang w:val="en-IE"/>
              </w:rPr>
              <w:t xml:space="preserve"> percentile of the results of the</w:t>
            </w:r>
            <w:r w:rsidR="003A7C43">
              <w:rPr>
                <w:noProof/>
                <w:szCs w:val="24"/>
                <w:lang w:val="en-IE"/>
              </w:rPr>
              <w:t xml:space="preserve"> </w:t>
            </w:r>
            <w:r w:rsidRPr="00363097">
              <w:rPr>
                <w:noProof/>
                <w:szCs w:val="24"/>
                <w:lang w:val="en-IE"/>
              </w:rPr>
              <w:t>public benchmark</w:t>
            </w:r>
          </w:p>
        </w:tc>
      </w:tr>
      <w:tr w:rsidR="00363097" w:rsidRPr="00363097" w14:paraId="374B344E"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4880A58" w14:textId="77777777" w:rsidR="00081B7A" w:rsidRPr="00363097" w:rsidRDefault="00081B7A">
            <w:pPr>
              <w:spacing w:before="0" w:after="200" w:line="276" w:lineRule="auto"/>
              <w:rPr>
                <w:noProof/>
                <w:szCs w:val="24"/>
                <w:lang w:val="en-IE"/>
              </w:rPr>
            </w:pPr>
            <w:r w:rsidRPr="00363097">
              <w:rPr>
                <w:noProof/>
                <w:szCs w:val="24"/>
                <w:lang w:val="en-IE"/>
              </w:rPr>
              <w:t>medium</w:t>
            </w:r>
          </w:p>
        </w:tc>
        <w:tc>
          <w:tcPr>
            <w:tcW w:w="7587" w:type="dxa"/>
            <w:tcBorders>
              <w:top w:val="nil"/>
              <w:left w:val="nil"/>
              <w:bottom w:val="single" w:sz="4" w:space="0" w:color="auto"/>
              <w:right w:val="single" w:sz="4" w:space="0" w:color="auto"/>
            </w:tcBorders>
            <w:shd w:val="clear" w:color="auto" w:fill="auto"/>
            <w:noWrap/>
            <w:vAlign w:val="bottom"/>
            <w:hideMark/>
          </w:tcPr>
          <w:p w14:paraId="2201BA0C" w14:textId="77777777" w:rsidR="00081B7A" w:rsidRPr="00363097" w:rsidRDefault="00081B7A">
            <w:pPr>
              <w:spacing w:before="0" w:after="200" w:line="276" w:lineRule="auto"/>
              <w:rPr>
                <w:noProof/>
                <w:szCs w:val="24"/>
                <w:lang w:val="en-IE"/>
              </w:rPr>
            </w:pPr>
            <w:r w:rsidRPr="00363097">
              <w:rPr>
                <w:noProof/>
                <w:szCs w:val="24"/>
                <w:lang w:val="en-IE"/>
              </w:rPr>
              <w:t>below 60</w:t>
            </w:r>
            <w:r w:rsidRPr="00363097">
              <w:rPr>
                <w:noProof/>
                <w:szCs w:val="24"/>
                <w:vertAlign w:val="superscript"/>
                <w:lang w:val="en-IE"/>
              </w:rPr>
              <w:t>TH</w:t>
            </w:r>
            <w:r w:rsidRPr="00363097">
              <w:rPr>
                <w:noProof/>
                <w:szCs w:val="24"/>
                <w:lang w:val="en-IE"/>
              </w:rPr>
              <w:t xml:space="preserve"> percentile but above the 40</w:t>
            </w:r>
            <w:r w:rsidRPr="00363097">
              <w:rPr>
                <w:noProof/>
                <w:szCs w:val="24"/>
                <w:vertAlign w:val="superscript"/>
                <w:lang w:val="en-IE"/>
              </w:rPr>
              <w:t>TH</w:t>
            </w:r>
            <w:r w:rsidRPr="00363097">
              <w:rPr>
                <w:noProof/>
                <w:szCs w:val="24"/>
                <w:lang w:val="en-IE"/>
              </w:rPr>
              <w:t xml:space="preserve"> percentile of the results of the public benchmark </w:t>
            </w:r>
          </w:p>
        </w:tc>
      </w:tr>
      <w:tr w:rsidR="00363097" w:rsidRPr="00363097" w14:paraId="3915E20E" w14:textId="77777777">
        <w:trPr>
          <w:trHeight w:val="29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B2254EC" w14:textId="77777777" w:rsidR="00081B7A" w:rsidRPr="00363097" w:rsidRDefault="00081B7A">
            <w:pPr>
              <w:spacing w:before="0" w:after="200" w:line="276" w:lineRule="auto"/>
              <w:rPr>
                <w:noProof/>
                <w:szCs w:val="24"/>
                <w:lang w:val="en-IE"/>
              </w:rPr>
            </w:pPr>
            <w:r w:rsidRPr="00363097">
              <w:rPr>
                <w:noProof/>
                <w:szCs w:val="24"/>
                <w:lang w:val="en-IE"/>
              </w:rPr>
              <w:t>high</w:t>
            </w:r>
          </w:p>
        </w:tc>
        <w:tc>
          <w:tcPr>
            <w:tcW w:w="7587" w:type="dxa"/>
            <w:tcBorders>
              <w:top w:val="nil"/>
              <w:left w:val="nil"/>
              <w:bottom w:val="single" w:sz="4" w:space="0" w:color="auto"/>
              <w:right w:val="single" w:sz="4" w:space="0" w:color="auto"/>
            </w:tcBorders>
            <w:shd w:val="clear" w:color="auto" w:fill="auto"/>
            <w:noWrap/>
            <w:vAlign w:val="bottom"/>
            <w:hideMark/>
          </w:tcPr>
          <w:p w14:paraId="4F20D19A" w14:textId="77777777" w:rsidR="00081B7A" w:rsidRPr="00363097" w:rsidRDefault="00081B7A">
            <w:pPr>
              <w:spacing w:before="0" w:after="200" w:line="276" w:lineRule="auto"/>
              <w:rPr>
                <w:noProof/>
                <w:szCs w:val="24"/>
                <w:lang w:val="en-IE"/>
              </w:rPr>
            </w:pPr>
            <w:r w:rsidRPr="00363097">
              <w:rPr>
                <w:noProof/>
                <w:szCs w:val="24"/>
                <w:lang w:val="en-IE"/>
              </w:rPr>
              <w:t>below the 40</w:t>
            </w:r>
            <w:r w:rsidRPr="00363097">
              <w:rPr>
                <w:noProof/>
                <w:szCs w:val="24"/>
                <w:vertAlign w:val="superscript"/>
                <w:lang w:val="en-IE"/>
              </w:rPr>
              <w:t>TH</w:t>
            </w:r>
            <w:r w:rsidRPr="00363097">
              <w:rPr>
                <w:noProof/>
                <w:szCs w:val="24"/>
                <w:lang w:val="en-IE"/>
              </w:rPr>
              <w:t xml:space="preserve"> percentile of the results of the</w:t>
            </w:r>
            <w:r w:rsidR="003A7C43">
              <w:rPr>
                <w:noProof/>
                <w:szCs w:val="24"/>
                <w:lang w:val="en-IE"/>
              </w:rPr>
              <w:t xml:space="preserve"> </w:t>
            </w:r>
            <w:r w:rsidRPr="00363097">
              <w:rPr>
                <w:noProof/>
                <w:szCs w:val="24"/>
                <w:lang w:val="en-IE"/>
              </w:rPr>
              <w:t>public benchmark</w:t>
            </w:r>
          </w:p>
        </w:tc>
      </w:tr>
    </w:tbl>
    <w:p w14:paraId="178DF626" w14:textId="73228D19" w:rsidR="00081B7A" w:rsidRPr="00363097" w:rsidRDefault="00634583" w:rsidP="00634583">
      <w:pPr>
        <w:pStyle w:val="ManualNumPar1"/>
        <w:rPr>
          <w:noProof/>
          <w:lang w:val="en-IE"/>
        </w:rPr>
      </w:pPr>
      <w:r w:rsidRPr="00634583">
        <w:t>5.</w:t>
      </w:r>
      <w:r w:rsidRPr="00634583">
        <w:tab/>
      </w:r>
      <w:r w:rsidR="00081B7A" w:rsidRPr="00363097">
        <w:rPr>
          <w:noProof/>
          <w:lang w:val="en-IE"/>
        </w:rPr>
        <w:t>Member States shall take the appropriate measures, in order to structure their approach to risk compliance in accordance with the following principles:</w:t>
      </w:r>
    </w:p>
    <w:p w14:paraId="3C28D916" w14:textId="77777777" w:rsidR="00081B7A" w:rsidRPr="00363097" w:rsidRDefault="00081B7A" w:rsidP="00684D43">
      <w:pPr>
        <w:pStyle w:val="Point1"/>
        <w:rPr>
          <w:noProof/>
          <w:lang w:val="en-IE"/>
        </w:rPr>
      </w:pPr>
      <w:r w:rsidRPr="00363097">
        <w:rPr>
          <w:noProof/>
        </w:rPr>
        <w:t>(</w:t>
      </w:r>
      <w:r w:rsidR="001454A5" w:rsidRPr="00363097">
        <w:rPr>
          <w:noProof/>
        </w:rPr>
        <w:t>a</w:t>
      </w:r>
      <w:r w:rsidRPr="00363097">
        <w:rPr>
          <w:noProof/>
        </w:rPr>
        <w:t>)</w:t>
      </w:r>
      <w:r w:rsidRPr="00363097">
        <w:rPr>
          <w:noProof/>
        </w:rPr>
        <w:tab/>
        <w:t xml:space="preserve">Low-risk zone: the </w:t>
      </w:r>
      <w:r w:rsidR="001F1321" w:rsidRPr="00363097">
        <w:rPr>
          <w:noProof/>
        </w:rPr>
        <w:t xml:space="preserve">competent authorities </w:t>
      </w:r>
      <w:r w:rsidR="00C31BA3" w:rsidRPr="00363097">
        <w:rPr>
          <w:noProof/>
        </w:rPr>
        <w:t xml:space="preserve">of </w:t>
      </w:r>
      <w:r w:rsidR="00241624" w:rsidRPr="00363097">
        <w:rPr>
          <w:noProof/>
        </w:rPr>
        <w:t>the</w:t>
      </w:r>
      <w:r w:rsidR="00C31BA3" w:rsidRPr="00363097">
        <w:rPr>
          <w:noProof/>
        </w:rPr>
        <w:t xml:space="preserve"> Member States</w:t>
      </w:r>
      <w:r w:rsidRPr="00363097">
        <w:rPr>
          <w:noProof/>
        </w:rPr>
        <w:t xml:space="preserve"> may not dedicate additional compliance resources to further review the transfer pricing results. Notwithstanding this, </w:t>
      </w:r>
      <w:r w:rsidR="0079113F" w:rsidRPr="00363097">
        <w:rPr>
          <w:noProof/>
        </w:rPr>
        <w:t xml:space="preserve">the </w:t>
      </w:r>
      <w:r w:rsidR="00241624" w:rsidRPr="00363097">
        <w:rPr>
          <w:noProof/>
        </w:rPr>
        <w:t>competent authorities</w:t>
      </w:r>
      <w:r w:rsidR="0079113F" w:rsidRPr="00363097">
        <w:rPr>
          <w:noProof/>
        </w:rPr>
        <w:t xml:space="preserve"> of </w:t>
      </w:r>
      <w:r w:rsidR="00241624" w:rsidRPr="00363097">
        <w:rPr>
          <w:noProof/>
        </w:rPr>
        <w:t>the</w:t>
      </w:r>
      <w:r w:rsidR="0079113F" w:rsidRPr="00363097">
        <w:rPr>
          <w:noProof/>
        </w:rPr>
        <w:t xml:space="preserve"> Member States</w:t>
      </w:r>
      <w:r w:rsidRPr="00363097">
        <w:rPr>
          <w:noProof/>
        </w:rPr>
        <w:t xml:space="preserve"> shall retain the right to perform </w:t>
      </w:r>
      <w:r w:rsidRPr="00363097">
        <w:rPr>
          <w:noProof/>
          <w:lang w:val="en-IE"/>
        </w:rPr>
        <w:t xml:space="preserve">transfer pricing adjustments of the profit margins of the taxpayer that falls within the low-risk zone. </w:t>
      </w:r>
    </w:p>
    <w:p w14:paraId="061CED33" w14:textId="77777777" w:rsidR="00081B7A" w:rsidRPr="00363097" w:rsidRDefault="00081B7A" w:rsidP="00684D43">
      <w:pPr>
        <w:pStyle w:val="Point1"/>
        <w:rPr>
          <w:noProof/>
          <w:lang w:val="en-IE"/>
        </w:rPr>
      </w:pPr>
      <w:r w:rsidRPr="00363097">
        <w:rPr>
          <w:noProof/>
        </w:rPr>
        <w:t>(</w:t>
      </w:r>
      <w:r w:rsidR="001454A5" w:rsidRPr="00363097">
        <w:rPr>
          <w:noProof/>
        </w:rPr>
        <w:t>b</w:t>
      </w:r>
      <w:r w:rsidRPr="00363097">
        <w:rPr>
          <w:noProof/>
        </w:rPr>
        <w:t>)</w:t>
      </w:r>
      <w:r w:rsidRPr="00363097">
        <w:rPr>
          <w:noProof/>
        </w:rPr>
        <w:tab/>
        <w:t xml:space="preserve">Medium-risk zone: the </w:t>
      </w:r>
      <w:r w:rsidR="00DD0B57" w:rsidRPr="00363097">
        <w:rPr>
          <w:noProof/>
        </w:rPr>
        <w:t xml:space="preserve">competent authorities </w:t>
      </w:r>
      <w:r w:rsidR="0079113F" w:rsidRPr="00363097">
        <w:rPr>
          <w:noProof/>
        </w:rPr>
        <w:t xml:space="preserve">of </w:t>
      </w:r>
      <w:r w:rsidR="00DD0B57" w:rsidRPr="00363097">
        <w:rPr>
          <w:noProof/>
        </w:rPr>
        <w:t>the</w:t>
      </w:r>
      <w:r w:rsidR="0079113F" w:rsidRPr="00363097">
        <w:rPr>
          <w:noProof/>
        </w:rPr>
        <w:t xml:space="preserve"> Member States </w:t>
      </w:r>
      <w:r w:rsidRPr="00363097">
        <w:rPr>
          <w:noProof/>
        </w:rPr>
        <w:t>may monitor the results, using available data, and contact the taxpayer, to seek a better understanding of its circumstances before deciding whether to allocate compliance resources to carrying out risk assessments and audits.</w:t>
      </w:r>
      <w:r w:rsidRPr="00363097">
        <w:rPr>
          <w:noProof/>
          <w:lang w:val="en-IE"/>
        </w:rPr>
        <w:t> </w:t>
      </w:r>
    </w:p>
    <w:p w14:paraId="1EC46697" w14:textId="77777777" w:rsidR="00081B7A" w:rsidRPr="00363097" w:rsidRDefault="00081B7A" w:rsidP="00684D43">
      <w:pPr>
        <w:pStyle w:val="Point1"/>
        <w:rPr>
          <w:noProof/>
          <w:lang w:val="en-IE"/>
        </w:rPr>
      </w:pPr>
      <w:r w:rsidRPr="00363097">
        <w:rPr>
          <w:noProof/>
        </w:rPr>
        <w:t>(</w:t>
      </w:r>
      <w:r w:rsidR="001454A5" w:rsidRPr="00363097">
        <w:rPr>
          <w:noProof/>
        </w:rPr>
        <w:t>c</w:t>
      </w:r>
      <w:r w:rsidRPr="00363097">
        <w:rPr>
          <w:noProof/>
        </w:rPr>
        <w:t>)</w:t>
      </w:r>
      <w:r w:rsidRPr="00363097">
        <w:rPr>
          <w:noProof/>
        </w:rPr>
        <w:tab/>
        <w:t xml:space="preserve">High-risk zone: the </w:t>
      </w:r>
      <w:r w:rsidR="00DD0B57" w:rsidRPr="00363097">
        <w:rPr>
          <w:noProof/>
        </w:rPr>
        <w:t xml:space="preserve">competent authorities </w:t>
      </w:r>
      <w:r w:rsidR="0079113F" w:rsidRPr="00363097">
        <w:rPr>
          <w:noProof/>
        </w:rPr>
        <w:t xml:space="preserve">of </w:t>
      </w:r>
      <w:r w:rsidR="00DD0B57" w:rsidRPr="00363097">
        <w:rPr>
          <w:noProof/>
        </w:rPr>
        <w:t xml:space="preserve">the </w:t>
      </w:r>
      <w:r w:rsidR="0079113F" w:rsidRPr="00363097">
        <w:rPr>
          <w:noProof/>
        </w:rPr>
        <w:t xml:space="preserve">Member States </w:t>
      </w:r>
      <w:r w:rsidRPr="00363097">
        <w:rPr>
          <w:noProof/>
        </w:rPr>
        <w:t>may recommend that the taxpayer reviews its transfer pricing policies and may decide to initiate a review or audit.</w:t>
      </w:r>
    </w:p>
    <w:p w14:paraId="6FA07702" w14:textId="77777777" w:rsidR="00081B7A" w:rsidRPr="00363097" w:rsidRDefault="00081B7A" w:rsidP="006B487B">
      <w:pPr>
        <w:pStyle w:val="Titrearticle2"/>
        <w:rPr>
          <w:b/>
          <w:bCs/>
          <w:noProof/>
          <w:lang w:val="en-IE"/>
        </w:rPr>
      </w:pPr>
      <w:r w:rsidRPr="00363097">
        <w:rPr>
          <w:iCs/>
          <w:noProof/>
          <w:lang w:val="en-IE"/>
        </w:rPr>
        <w:t>Article 52</w:t>
      </w:r>
      <w:r w:rsidRPr="00363097">
        <w:rPr>
          <w:iCs/>
          <w:noProof/>
          <w:lang w:val="en-IE"/>
        </w:rPr>
        <w:br/>
      </w:r>
      <w:r w:rsidRPr="00363097">
        <w:rPr>
          <w:b/>
          <w:bCs/>
          <w:noProof/>
          <w:lang w:val="en-IE"/>
        </w:rPr>
        <w:t>Measure of the performance</w:t>
      </w:r>
    </w:p>
    <w:p w14:paraId="7A0284DB" w14:textId="223555A0" w:rsidR="00081B7A" w:rsidRPr="00684D43" w:rsidRDefault="00634583" w:rsidP="00634583">
      <w:pPr>
        <w:pStyle w:val="ManualNumPar1"/>
        <w:rPr>
          <w:noProof/>
        </w:rPr>
      </w:pPr>
      <w:r w:rsidRPr="00634583">
        <w:t>1.</w:t>
      </w:r>
      <w:r w:rsidRPr="00634583">
        <w:tab/>
      </w:r>
      <w:r w:rsidR="00081B7A" w:rsidRPr="00684D43">
        <w:rPr>
          <w:noProof/>
          <w:lang w:val="en-IE"/>
        </w:rPr>
        <w:t>Member States shall lay d</w:t>
      </w:r>
      <w:r w:rsidR="00081B7A" w:rsidRPr="00684D43">
        <w:rPr>
          <w:noProof/>
        </w:rPr>
        <w:t xml:space="preserve">own the appropriate legal framework, so that </w:t>
      </w:r>
      <w:r w:rsidR="00FC31D1" w:rsidRPr="00684D43">
        <w:rPr>
          <w:noProof/>
        </w:rPr>
        <w:t>the</w:t>
      </w:r>
      <w:r w:rsidR="00A42B9E" w:rsidRPr="00684D43">
        <w:rPr>
          <w:noProof/>
        </w:rPr>
        <w:t>ir</w:t>
      </w:r>
      <w:r w:rsidR="00FC31D1" w:rsidRPr="00684D43">
        <w:rPr>
          <w:noProof/>
        </w:rPr>
        <w:t xml:space="preserve"> competent authorities </w:t>
      </w:r>
      <w:r w:rsidR="00081B7A" w:rsidRPr="00684D43">
        <w:rPr>
          <w:noProof/>
        </w:rPr>
        <w:t>measure the profitability of the distribution activity mentioned in Article 50(2) using Earnings Before Interest and Tax relative to sales as a profit level indicator.</w:t>
      </w:r>
    </w:p>
    <w:p w14:paraId="4DAFAC96" w14:textId="28F6E17E" w:rsidR="00081B7A" w:rsidRPr="00684D43" w:rsidRDefault="00634583" w:rsidP="00634583">
      <w:pPr>
        <w:pStyle w:val="ManualNumPar1"/>
        <w:rPr>
          <w:noProof/>
        </w:rPr>
      </w:pPr>
      <w:r w:rsidRPr="00634583">
        <w:t>2.</w:t>
      </w:r>
      <w:r w:rsidRPr="00634583">
        <w:tab/>
      </w:r>
      <w:r w:rsidR="00081B7A">
        <w:rPr>
          <w:noProof/>
        </w:rPr>
        <w:t xml:space="preserve">Member States shall lay down the appropriate legal framework, so that </w:t>
      </w:r>
      <w:r w:rsidR="00A42B9E">
        <w:rPr>
          <w:noProof/>
        </w:rPr>
        <w:t>their</w:t>
      </w:r>
      <w:r w:rsidR="2EFBDCCF">
        <w:rPr>
          <w:noProof/>
        </w:rPr>
        <w:t xml:space="preserve"> </w:t>
      </w:r>
      <w:r w:rsidR="00A42B9E">
        <w:rPr>
          <w:noProof/>
        </w:rPr>
        <w:t>competent authorities</w:t>
      </w:r>
      <w:r w:rsidR="00051B1E">
        <w:rPr>
          <w:noProof/>
        </w:rPr>
        <w:t xml:space="preserve"> </w:t>
      </w:r>
      <w:r w:rsidR="00081B7A">
        <w:rPr>
          <w:noProof/>
        </w:rPr>
        <w:t xml:space="preserve">measure the </w:t>
      </w:r>
      <w:r w:rsidR="0079113F">
        <w:rPr>
          <w:noProof/>
        </w:rPr>
        <w:t>p</w:t>
      </w:r>
      <w:r w:rsidR="00081B7A">
        <w:rPr>
          <w:noProof/>
        </w:rPr>
        <w:t>rofitability of the manufacturing activity mentioned in Article 50(3) using Earnings before Interest and Tax relative to total costs as profit level indicator.</w:t>
      </w:r>
    </w:p>
    <w:p w14:paraId="677CC70A" w14:textId="77777777" w:rsidR="00081B7A" w:rsidRPr="00363097" w:rsidRDefault="00081B7A" w:rsidP="006B487B">
      <w:pPr>
        <w:pStyle w:val="Titrearticle2"/>
        <w:rPr>
          <w:b/>
          <w:bCs/>
          <w:noProof/>
          <w:lang w:val="en-IE"/>
        </w:rPr>
      </w:pPr>
      <w:r w:rsidRPr="00363097">
        <w:rPr>
          <w:iCs/>
          <w:noProof/>
          <w:lang w:val="en-IE"/>
        </w:rPr>
        <w:t>Article 53</w:t>
      </w:r>
      <w:r w:rsidRPr="00363097">
        <w:rPr>
          <w:iCs/>
          <w:noProof/>
          <w:lang w:val="en-IE"/>
        </w:rPr>
        <w:br/>
      </w:r>
      <w:r w:rsidRPr="00363097">
        <w:rPr>
          <w:b/>
          <w:bCs/>
          <w:noProof/>
          <w:lang w:val="en-IE"/>
        </w:rPr>
        <w:t>Public Benchmarks</w:t>
      </w:r>
    </w:p>
    <w:p w14:paraId="38ECAE97" w14:textId="0BB48FA2" w:rsidR="00684D43" w:rsidRPr="00684D43" w:rsidRDefault="00634583" w:rsidP="00634583">
      <w:pPr>
        <w:pStyle w:val="ManualNumPar1"/>
        <w:rPr>
          <w:noProof/>
          <w:szCs w:val="24"/>
          <w:lang w:val="en-IE"/>
        </w:rPr>
      </w:pPr>
      <w:r w:rsidRPr="00634583">
        <w:t>1.</w:t>
      </w:r>
      <w:r w:rsidRPr="00634583">
        <w:tab/>
      </w:r>
      <w:r w:rsidR="00081B7A" w:rsidRPr="00684D43">
        <w:rPr>
          <w:noProof/>
          <w:lang w:val="en-IE"/>
        </w:rPr>
        <w:t>The risk zone for the activities referred to in Article 50 shall be determined respectively via public benchmarks for distribution and manufacturing activities.</w:t>
      </w:r>
    </w:p>
    <w:p w14:paraId="6AF2962B" w14:textId="21F33E95" w:rsidR="00684D43" w:rsidRPr="00684D43" w:rsidRDefault="00634583" w:rsidP="00634583">
      <w:pPr>
        <w:pStyle w:val="ManualNumPar1"/>
        <w:rPr>
          <w:noProof/>
          <w:szCs w:val="24"/>
          <w:lang w:val="en-IE"/>
        </w:rPr>
      </w:pPr>
      <w:r w:rsidRPr="00634583">
        <w:t>2.</w:t>
      </w:r>
      <w:r w:rsidRPr="00634583">
        <w:tab/>
      </w:r>
      <w:r w:rsidR="00081B7A" w:rsidRPr="00684D43">
        <w:rPr>
          <w:noProof/>
          <w:lang w:val="en-IE"/>
        </w:rPr>
        <w:t xml:space="preserve">The public benchmarks for distribution activity shall be representative of the profit performance of independent entities operating in the </w:t>
      </w:r>
      <w:r w:rsidR="00364D42" w:rsidRPr="00684D43">
        <w:rPr>
          <w:noProof/>
          <w:lang w:val="en-IE"/>
        </w:rPr>
        <w:t>internal m</w:t>
      </w:r>
      <w:r w:rsidR="00081B7A" w:rsidRPr="00684D43">
        <w:rPr>
          <w:noProof/>
          <w:lang w:val="en-IE"/>
        </w:rPr>
        <w:t>arket and performing predominantly distribution activity with similar characteristics to the activity described in Article 50(2).</w:t>
      </w:r>
    </w:p>
    <w:p w14:paraId="7777DC1D" w14:textId="3610149B" w:rsidR="00684D43" w:rsidRDefault="00634583" w:rsidP="00634583">
      <w:pPr>
        <w:pStyle w:val="ManualNumPar1"/>
        <w:rPr>
          <w:noProof/>
          <w:lang w:val="en-IE"/>
        </w:rPr>
      </w:pPr>
      <w:r w:rsidRPr="00634583">
        <w:t>3.</w:t>
      </w:r>
      <w:r w:rsidRPr="00634583">
        <w:tab/>
      </w:r>
      <w:r w:rsidR="00081B7A" w:rsidRPr="00684D43">
        <w:rPr>
          <w:noProof/>
          <w:lang w:val="en-IE"/>
        </w:rPr>
        <w:t xml:space="preserve">The public benchmark for manufacturing activity shall be representative of the profit performance of independent entities operating in the </w:t>
      </w:r>
      <w:r w:rsidR="00364D42" w:rsidRPr="00684D43">
        <w:rPr>
          <w:noProof/>
          <w:lang w:val="en-IE"/>
        </w:rPr>
        <w:t>internal m</w:t>
      </w:r>
      <w:r w:rsidR="00081B7A" w:rsidRPr="00684D43">
        <w:rPr>
          <w:noProof/>
          <w:lang w:val="en-IE"/>
        </w:rPr>
        <w:t>arket and performing predominantly manufacturing activity with similar characteristics to the activity described in Article 50(3).</w:t>
      </w:r>
    </w:p>
    <w:p w14:paraId="4C444556" w14:textId="189F65C6" w:rsidR="00684D43" w:rsidRDefault="00634583" w:rsidP="00634583">
      <w:pPr>
        <w:pStyle w:val="ManualNumPar1"/>
        <w:rPr>
          <w:noProof/>
          <w:lang w:val="en-IE"/>
        </w:rPr>
      </w:pPr>
      <w:r w:rsidRPr="00634583">
        <w:t>4.</w:t>
      </w:r>
      <w:r w:rsidRPr="00634583">
        <w:tab/>
      </w:r>
      <w:r w:rsidR="00081B7A" w:rsidRPr="00684D43">
        <w:rPr>
          <w:noProof/>
          <w:lang w:val="en-IE"/>
        </w:rPr>
        <w:t>The risk zone shall be determined using the interquartile range of the 5-year average profit performance of independent entities resulting from the public benchmarks</w:t>
      </w:r>
      <w:r w:rsidR="00684D43" w:rsidRPr="00684D43">
        <w:rPr>
          <w:noProof/>
          <w:lang w:val="en-IE"/>
        </w:rPr>
        <w:t>.</w:t>
      </w:r>
    </w:p>
    <w:p w14:paraId="7224D75F" w14:textId="0042AACF" w:rsidR="00081B7A" w:rsidRPr="00684D43" w:rsidRDefault="00634583" w:rsidP="00634583">
      <w:pPr>
        <w:pStyle w:val="ManualNumPar1"/>
        <w:rPr>
          <w:noProof/>
          <w:lang w:val="en-IE"/>
        </w:rPr>
      </w:pPr>
      <w:r w:rsidRPr="00634583">
        <w:t>5.</w:t>
      </w:r>
      <w:r w:rsidRPr="00634583">
        <w:tab/>
      </w:r>
      <w:r w:rsidR="00150C8E" w:rsidRPr="00684D43">
        <w:rPr>
          <w:rFonts w:eastAsia="Calibri"/>
          <w:noProof/>
        </w:rPr>
        <w:t>The Commission shall</w:t>
      </w:r>
      <w:r w:rsidR="00150C8E" w:rsidRPr="00684D43">
        <w:rPr>
          <w:noProof/>
        </w:rPr>
        <w:t xml:space="preserve">, by means of implementing act </w:t>
      </w:r>
      <w:r w:rsidR="006706D8">
        <w:rPr>
          <w:noProof/>
        </w:rPr>
        <w:t xml:space="preserve">laying down </w:t>
      </w:r>
      <w:r w:rsidR="00150C8E" w:rsidRPr="00684D43">
        <w:rPr>
          <w:noProof/>
        </w:rPr>
        <w:t xml:space="preserve">the necessary practical arrangements, </w:t>
      </w:r>
      <w:r w:rsidR="00E65F69">
        <w:rPr>
          <w:noProof/>
        </w:rPr>
        <w:t xml:space="preserve">set the search criteria </w:t>
      </w:r>
      <w:r w:rsidR="00150C8E" w:rsidRPr="00684D43">
        <w:rPr>
          <w:noProof/>
        </w:rPr>
        <w:t xml:space="preserve">to </w:t>
      </w:r>
      <w:r w:rsidR="004A6171">
        <w:rPr>
          <w:noProof/>
        </w:rPr>
        <w:t xml:space="preserve">identify comparables for establishing </w:t>
      </w:r>
      <w:r w:rsidR="00150C8E" w:rsidRPr="00684D43">
        <w:rPr>
          <w:rFonts w:eastAsia="Calibri"/>
          <w:noProof/>
        </w:rPr>
        <w:t xml:space="preserve">the appropriate benchmarks </w:t>
      </w:r>
      <w:r w:rsidR="00150C8E" w:rsidRPr="00684D43">
        <w:rPr>
          <w:rFonts w:eastAsia="Calibri"/>
          <w:noProof/>
          <w:lang w:val="en-IE"/>
        </w:rPr>
        <w:t xml:space="preserve">for </w:t>
      </w:r>
      <w:r w:rsidR="00B67D7D">
        <w:rPr>
          <w:rFonts w:eastAsia="Calibri"/>
          <w:noProof/>
          <w:lang w:val="en-IE"/>
        </w:rPr>
        <w:t xml:space="preserve">low-risk </w:t>
      </w:r>
      <w:r w:rsidR="00150C8E" w:rsidRPr="00684D43">
        <w:rPr>
          <w:rFonts w:eastAsia="Calibri"/>
          <w:noProof/>
          <w:lang w:val="en-IE"/>
        </w:rPr>
        <w:t xml:space="preserve">distribution and </w:t>
      </w:r>
      <w:r w:rsidR="00B67D7D">
        <w:rPr>
          <w:rFonts w:eastAsia="Calibri"/>
          <w:noProof/>
          <w:lang w:val="en-IE"/>
        </w:rPr>
        <w:t xml:space="preserve">contract </w:t>
      </w:r>
      <w:r w:rsidR="00150C8E" w:rsidRPr="00684D43">
        <w:rPr>
          <w:rFonts w:eastAsia="Calibri"/>
          <w:noProof/>
          <w:lang w:val="en-IE"/>
        </w:rPr>
        <w:t>manufacturing activities</w:t>
      </w:r>
      <w:r w:rsidR="00150C8E" w:rsidRPr="00684D43">
        <w:rPr>
          <w:rFonts w:eastAsia="Calibri"/>
          <w:noProof/>
        </w:rPr>
        <w:t>. The results of the benchmarks shall be published on the Commission website, for the purpose of allowing taxpayers to determine the risk zone of their activities. The benchmarks shall be updated every 3 years.</w:t>
      </w:r>
      <w:r w:rsidR="003A7C43" w:rsidRPr="00684D43">
        <w:rPr>
          <w:rFonts w:eastAsia="Calibri"/>
          <w:noProof/>
        </w:rPr>
        <w:t xml:space="preserve"> </w:t>
      </w:r>
      <w:r w:rsidR="00150C8E" w:rsidRPr="00684D43">
        <w:rPr>
          <w:noProof/>
        </w:rPr>
        <w:t>Those implementing acts shall be adopted in accordance with the examination procedure referred to in Article </w:t>
      </w:r>
      <w:r w:rsidR="00701E60">
        <w:rPr>
          <w:noProof/>
        </w:rPr>
        <w:t>73</w:t>
      </w:r>
      <w:r w:rsidR="00150C8E" w:rsidRPr="00684D43">
        <w:rPr>
          <w:noProof/>
        </w:rPr>
        <w:t>.</w:t>
      </w:r>
    </w:p>
    <w:p w14:paraId="0A673D45" w14:textId="77777777" w:rsidR="00081B7A" w:rsidRPr="00363097" w:rsidRDefault="00081B7A" w:rsidP="006B487B">
      <w:pPr>
        <w:pStyle w:val="ChapterTitle2"/>
        <w:rPr>
          <w:rFonts w:eastAsia="Times New Roman"/>
          <w:b w:val="0"/>
          <w:bCs/>
          <w:noProof/>
          <w:szCs w:val="24"/>
          <w:lang w:val="en-IE" w:eastAsia="en-IE"/>
        </w:rPr>
      </w:pPr>
      <w:bookmarkStart w:id="28" w:name="Administration"/>
      <w:bookmarkStart w:id="29" w:name="_Hlk136965830"/>
      <w:bookmarkEnd w:id="28"/>
      <w:r w:rsidRPr="00363097">
        <w:rPr>
          <w:noProof/>
          <w:lang w:val="en-IE" w:eastAsia="en-IE"/>
        </w:rPr>
        <w:t xml:space="preserve">CHAPTER V </w:t>
      </w:r>
      <w:r w:rsidRPr="00363097">
        <w:rPr>
          <w:noProof/>
          <w:lang w:val="en-IE" w:eastAsia="en-IE"/>
        </w:rPr>
        <w:br/>
      </w:r>
      <w:r w:rsidRPr="00363097">
        <w:rPr>
          <w:rFonts w:eastAsia="Times New Roman"/>
          <w:bCs/>
          <w:noProof/>
          <w:szCs w:val="24"/>
          <w:lang w:val="en-IE" w:eastAsia="en-IE"/>
        </w:rPr>
        <w:t>ADMINISTRATION AND PROCEDURES</w:t>
      </w:r>
    </w:p>
    <w:p w14:paraId="35A626F5" w14:textId="77777777" w:rsidR="00081B7A" w:rsidRPr="00363097" w:rsidRDefault="00081B7A" w:rsidP="00081B7A">
      <w:pPr>
        <w:pStyle w:val="SectionTitle"/>
        <w:rPr>
          <w:noProof/>
        </w:rPr>
      </w:pPr>
      <w:r w:rsidRPr="00363097">
        <w:rPr>
          <w:noProof/>
        </w:rPr>
        <w:t>Section 1</w:t>
      </w:r>
      <w:r w:rsidRPr="00363097">
        <w:rPr>
          <w:noProof/>
        </w:rPr>
        <w:br/>
        <w:t>General provisions</w:t>
      </w:r>
    </w:p>
    <w:p w14:paraId="423142E5" w14:textId="77777777" w:rsidR="00081B7A" w:rsidRPr="00363097" w:rsidRDefault="00081B7A" w:rsidP="006B487B">
      <w:pPr>
        <w:pStyle w:val="Titrearticle2"/>
        <w:rPr>
          <w:b/>
          <w:bCs/>
          <w:iCs/>
          <w:noProof/>
        </w:rPr>
      </w:pPr>
      <w:r w:rsidRPr="00363097">
        <w:rPr>
          <w:noProof/>
        </w:rPr>
        <w:t>Article 54</w:t>
      </w:r>
      <w:r w:rsidRPr="00363097">
        <w:rPr>
          <w:noProof/>
        </w:rPr>
        <w:br/>
      </w:r>
      <w:r w:rsidRPr="00363097">
        <w:rPr>
          <w:b/>
          <w:bCs/>
          <w:noProof/>
        </w:rPr>
        <w:t>Creation and termination of the BEFIT group</w:t>
      </w:r>
      <w:r w:rsidRPr="00363097">
        <w:rPr>
          <w:b/>
          <w:bCs/>
          <w:iCs/>
          <w:noProof/>
        </w:rPr>
        <w:t xml:space="preserve"> </w:t>
      </w:r>
    </w:p>
    <w:p w14:paraId="76E02660" w14:textId="362338B1" w:rsidR="00081B7A" w:rsidRPr="00363097" w:rsidRDefault="00634583" w:rsidP="00634583">
      <w:pPr>
        <w:pStyle w:val="ManualNumPar1"/>
        <w:rPr>
          <w:noProof/>
          <w:lang w:val="en-IE" w:eastAsia="en-IE"/>
        </w:rPr>
      </w:pPr>
      <w:r w:rsidRPr="00634583">
        <w:t>1.</w:t>
      </w:r>
      <w:r w:rsidRPr="00634583">
        <w:tab/>
      </w:r>
      <w:r w:rsidR="00081B7A" w:rsidRPr="00363097">
        <w:rPr>
          <w:noProof/>
        </w:rPr>
        <w:t xml:space="preserve">A BEFIT group shall </w:t>
      </w:r>
      <w:r w:rsidR="00275ACE" w:rsidRPr="00363097">
        <w:rPr>
          <w:noProof/>
        </w:rPr>
        <w:t xml:space="preserve">be covered by </w:t>
      </w:r>
      <w:r w:rsidR="00081B7A" w:rsidRPr="00363097">
        <w:rPr>
          <w:noProof/>
        </w:rPr>
        <w:t xml:space="preserve">this Directive </w:t>
      </w:r>
      <w:r w:rsidR="00081B7A" w:rsidRPr="00363097">
        <w:rPr>
          <w:noProof/>
          <w:lang w:val="en-IE" w:eastAsia="en-IE"/>
        </w:rPr>
        <w:t xml:space="preserve">for a period of five years and </w:t>
      </w:r>
      <w:r w:rsidR="00B96AB6">
        <w:rPr>
          <w:noProof/>
          <w:lang w:val="en-IE" w:eastAsia="en-IE"/>
        </w:rPr>
        <w:t>its</w:t>
      </w:r>
      <w:r w:rsidR="00B96AB6" w:rsidRPr="00363097">
        <w:rPr>
          <w:noProof/>
          <w:lang w:val="en-IE" w:eastAsia="en-IE"/>
        </w:rPr>
        <w:t xml:space="preserve"> </w:t>
      </w:r>
      <w:r w:rsidR="00081B7A" w:rsidRPr="00363097">
        <w:rPr>
          <w:noProof/>
          <w:lang w:val="en-IE" w:eastAsia="en-IE"/>
        </w:rPr>
        <w:t>effect shall automatically be renewed at the end of the fifth year, unless there is a notice of termination on the grounds that the group no longer fulfils, the conditions of Article 2(1</w:t>
      </w:r>
      <w:r w:rsidR="00CF67AC" w:rsidRPr="00363097">
        <w:rPr>
          <w:noProof/>
          <w:lang w:val="en-IE" w:eastAsia="en-IE"/>
        </w:rPr>
        <w:t>)</w:t>
      </w:r>
      <w:r w:rsidR="00081B7A" w:rsidRPr="00363097">
        <w:rPr>
          <w:noProof/>
          <w:lang w:val="en-IE" w:eastAsia="en-IE"/>
        </w:rPr>
        <w:t>.</w:t>
      </w:r>
    </w:p>
    <w:p w14:paraId="102D3341" w14:textId="4D970838" w:rsidR="00081B7A" w:rsidRPr="00363097" w:rsidRDefault="00634583" w:rsidP="00634583">
      <w:pPr>
        <w:pStyle w:val="ManualNumPar1"/>
        <w:rPr>
          <w:noProof/>
          <w:lang w:val="en-IE"/>
        </w:rPr>
      </w:pPr>
      <w:r w:rsidRPr="00634583">
        <w:t>2.</w:t>
      </w:r>
      <w:r w:rsidRPr="00634583">
        <w:tab/>
      </w:r>
      <w:r w:rsidR="00081B7A" w:rsidRPr="00363097">
        <w:rPr>
          <w:noProof/>
          <w:lang w:val="en-IE" w:eastAsia="en-IE"/>
        </w:rPr>
        <w:t xml:space="preserve">Groups that have </w:t>
      </w:r>
      <w:r w:rsidR="00DA6EB2" w:rsidRPr="00363097">
        <w:rPr>
          <w:noProof/>
          <w:lang w:val="en-IE" w:eastAsia="en-IE"/>
        </w:rPr>
        <w:t>chosen</w:t>
      </w:r>
      <w:r w:rsidR="00081B7A" w:rsidRPr="00363097">
        <w:rPr>
          <w:noProof/>
          <w:lang w:val="en-IE" w:eastAsia="en-IE"/>
        </w:rPr>
        <w:t xml:space="preserve"> to </w:t>
      </w:r>
      <w:r w:rsidR="00275ACE" w:rsidRPr="00363097">
        <w:rPr>
          <w:noProof/>
          <w:lang w:val="en-IE" w:eastAsia="en-IE"/>
        </w:rPr>
        <w:t xml:space="preserve">be covered by </w:t>
      </w:r>
      <w:r w:rsidR="00081B7A" w:rsidRPr="00363097">
        <w:rPr>
          <w:noProof/>
          <w:lang w:val="en-IE" w:eastAsia="en-IE"/>
        </w:rPr>
        <w:t>this Directive in accordance with Article 2(</w:t>
      </w:r>
      <w:r w:rsidR="00CF67AC" w:rsidRPr="00363097">
        <w:rPr>
          <w:noProof/>
          <w:lang w:val="en-IE" w:eastAsia="en-IE"/>
        </w:rPr>
        <w:t>7</w:t>
      </w:r>
      <w:r w:rsidR="00081B7A" w:rsidRPr="00363097">
        <w:rPr>
          <w:noProof/>
          <w:lang w:val="en-IE" w:eastAsia="en-IE"/>
        </w:rPr>
        <w:t xml:space="preserve">) shall be bound for a period of five years. At the end of </w:t>
      </w:r>
      <w:r w:rsidR="00081B7A" w:rsidRPr="00363097">
        <w:rPr>
          <w:rStyle w:val="normaltextrun"/>
          <w:noProof/>
        </w:rPr>
        <w:t xml:space="preserve">the five-year period, the rules shall cease to apply, unless the filing entity notifies the choice to renew the option to </w:t>
      </w:r>
      <w:r w:rsidR="00427129" w:rsidRPr="00363097">
        <w:rPr>
          <w:rStyle w:val="normaltextrun"/>
          <w:noProof/>
        </w:rPr>
        <w:t xml:space="preserve">be covered </w:t>
      </w:r>
      <w:r w:rsidR="00651D4E" w:rsidRPr="00363097">
        <w:rPr>
          <w:rStyle w:val="normaltextrun"/>
          <w:noProof/>
        </w:rPr>
        <w:t xml:space="preserve">by this Directive </w:t>
      </w:r>
      <w:r w:rsidR="00081B7A" w:rsidRPr="00363097">
        <w:rPr>
          <w:rStyle w:val="normaltextrun"/>
          <w:noProof/>
        </w:rPr>
        <w:t xml:space="preserve">to the filing authority. </w:t>
      </w:r>
      <w:r w:rsidR="00081B7A" w:rsidRPr="00363097">
        <w:rPr>
          <w:noProof/>
          <w:lang w:val="en-IE"/>
        </w:rPr>
        <w:t>To this effect, the filing entity shall provide evidence to the filing authority that the eligibility requirements set out in Article 2(</w:t>
      </w:r>
      <w:r w:rsidR="00CF67AC" w:rsidRPr="00363097">
        <w:rPr>
          <w:noProof/>
          <w:lang w:val="en-IE"/>
        </w:rPr>
        <w:t>7</w:t>
      </w:r>
      <w:r w:rsidR="00081B7A" w:rsidRPr="00363097">
        <w:rPr>
          <w:noProof/>
          <w:lang w:val="en-IE"/>
        </w:rPr>
        <w:t>) are met and that there is no reason for exclusion from the renewal.</w:t>
      </w:r>
    </w:p>
    <w:p w14:paraId="3113FA30" w14:textId="77777777" w:rsidR="00081B7A" w:rsidRPr="00363097" w:rsidRDefault="00081B7A" w:rsidP="006B487B">
      <w:pPr>
        <w:pStyle w:val="Titrearticle2"/>
        <w:rPr>
          <w:b/>
          <w:bCs/>
          <w:noProof/>
        </w:rPr>
      </w:pPr>
      <w:r w:rsidRPr="00363097">
        <w:rPr>
          <w:noProof/>
        </w:rPr>
        <w:t>Article 55</w:t>
      </w:r>
      <w:r w:rsidRPr="00363097">
        <w:rPr>
          <w:noProof/>
        </w:rPr>
        <w:br/>
      </w:r>
      <w:r w:rsidRPr="00363097">
        <w:rPr>
          <w:b/>
          <w:bCs/>
          <w:noProof/>
        </w:rPr>
        <w:t>Fiscal year</w:t>
      </w:r>
    </w:p>
    <w:p w14:paraId="6671D867" w14:textId="44DC2C29" w:rsidR="00081B7A" w:rsidRPr="00363097" w:rsidRDefault="00634583" w:rsidP="00634583">
      <w:pPr>
        <w:pStyle w:val="ManualNumPar1"/>
        <w:rPr>
          <w:noProof/>
        </w:rPr>
      </w:pPr>
      <w:r w:rsidRPr="00634583">
        <w:t>1.</w:t>
      </w:r>
      <w:r w:rsidRPr="00634583">
        <w:tab/>
      </w:r>
      <w:r w:rsidR="00081B7A" w:rsidRPr="00363097">
        <w:rPr>
          <w:noProof/>
        </w:rPr>
        <w:t xml:space="preserve">All BEFIT </w:t>
      </w:r>
      <w:r w:rsidR="00081B7A" w:rsidRPr="00363097">
        <w:rPr>
          <w:noProof/>
          <w:szCs w:val="24"/>
        </w:rPr>
        <w:t>group members</w:t>
      </w:r>
      <w:r w:rsidR="00081B7A" w:rsidRPr="00363097">
        <w:rPr>
          <w:noProof/>
        </w:rPr>
        <w:t xml:space="preserve"> shall have the same fiscal year, which shall be a period of 12 months. In the year in which a BEFIT </w:t>
      </w:r>
      <w:r w:rsidR="00081B7A" w:rsidRPr="00363097">
        <w:rPr>
          <w:noProof/>
          <w:szCs w:val="24"/>
        </w:rPr>
        <w:t>group member</w:t>
      </w:r>
      <w:r w:rsidR="00081B7A" w:rsidRPr="00363097">
        <w:rPr>
          <w:noProof/>
        </w:rPr>
        <w:t xml:space="preserve"> joins a BEFIT </w:t>
      </w:r>
      <w:r w:rsidR="00081B7A" w:rsidRPr="00363097">
        <w:rPr>
          <w:noProof/>
          <w:szCs w:val="24"/>
        </w:rPr>
        <w:t>group</w:t>
      </w:r>
      <w:r w:rsidR="00081B7A" w:rsidRPr="00363097">
        <w:rPr>
          <w:noProof/>
        </w:rPr>
        <w:t xml:space="preserve">, it shall bring its fiscal year in line with the fiscal year of the BEFIT </w:t>
      </w:r>
      <w:r w:rsidR="00081B7A" w:rsidRPr="00363097">
        <w:rPr>
          <w:noProof/>
          <w:szCs w:val="24"/>
        </w:rPr>
        <w:t>group.</w:t>
      </w:r>
      <w:r w:rsidR="00081B7A" w:rsidRPr="00363097">
        <w:rPr>
          <w:noProof/>
        </w:rPr>
        <w:t xml:space="preserve"> </w:t>
      </w:r>
    </w:p>
    <w:p w14:paraId="3887E6DF" w14:textId="7CBB9F53" w:rsidR="00081B7A" w:rsidRPr="00363097" w:rsidRDefault="00634583" w:rsidP="00634583">
      <w:pPr>
        <w:pStyle w:val="ManualNumPar1"/>
        <w:rPr>
          <w:noProof/>
        </w:rPr>
      </w:pPr>
      <w:r w:rsidRPr="00634583">
        <w:t>2.</w:t>
      </w:r>
      <w:r w:rsidRPr="00634583">
        <w:tab/>
      </w:r>
      <w:r w:rsidR="00081B7A" w:rsidRPr="00363097">
        <w:rPr>
          <w:noProof/>
        </w:rPr>
        <w:t>The allocated part of a BEFIT group member for the year in which it joins a BEFIT group, shall be calculated in proportion to the number of calendar months during which the BEFIT group member belonged to the BEFIT group.</w:t>
      </w:r>
    </w:p>
    <w:p w14:paraId="50B0D1BA" w14:textId="796A43E5" w:rsidR="00081B7A" w:rsidRPr="00363097" w:rsidRDefault="00634583" w:rsidP="00634583">
      <w:pPr>
        <w:pStyle w:val="ManualNumPar1"/>
        <w:rPr>
          <w:noProof/>
        </w:rPr>
      </w:pPr>
      <w:r w:rsidRPr="00634583">
        <w:t>3.</w:t>
      </w:r>
      <w:r w:rsidRPr="00634583">
        <w:tab/>
      </w:r>
      <w:r w:rsidR="00081B7A" w:rsidRPr="00363097">
        <w:rPr>
          <w:noProof/>
        </w:rPr>
        <w:t>The allocated part of a BEFIT group member for the year in which it leaves a BEFIT group, shall be calculated in proportion to the number of calendar months during which the BEFIT group member belonged to the BEFIT group.</w:t>
      </w:r>
    </w:p>
    <w:p w14:paraId="2A6AA8CF" w14:textId="77777777" w:rsidR="00081B7A" w:rsidRPr="00363097" w:rsidRDefault="00081B7A" w:rsidP="006B487B">
      <w:pPr>
        <w:pStyle w:val="Titrearticle2"/>
        <w:rPr>
          <w:b/>
          <w:bCs/>
          <w:noProof/>
        </w:rPr>
      </w:pPr>
      <w:r w:rsidRPr="00363097">
        <w:rPr>
          <w:noProof/>
        </w:rPr>
        <w:t>Article 56</w:t>
      </w:r>
      <w:r w:rsidRPr="00363097">
        <w:rPr>
          <w:noProof/>
        </w:rPr>
        <w:br/>
      </w:r>
      <w:r w:rsidRPr="00363097">
        <w:rPr>
          <w:b/>
          <w:bCs/>
          <w:noProof/>
        </w:rPr>
        <w:t>Change of the filing entity</w:t>
      </w:r>
    </w:p>
    <w:p w14:paraId="58DAD7AD" w14:textId="77777777" w:rsidR="00081B7A" w:rsidRPr="00363097" w:rsidRDefault="00081B7A" w:rsidP="00081B7A">
      <w:pPr>
        <w:spacing w:after="0" w:line="276" w:lineRule="auto"/>
        <w:rPr>
          <w:noProof/>
          <w:szCs w:val="24"/>
        </w:rPr>
      </w:pPr>
      <w:r w:rsidRPr="00363097">
        <w:rPr>
          <w:noProof/>
          <w:szCs w:val="24"/>
        </w:rPr>
        <w:t>The filing entity may not be changed, unless it ceases to meet the conditions as referred to in Article 3(</w:t>
      </w:r>
      <w:r w:rsidR="00EE1D5E" w:rsidRPr="00363097">
        <w:rPr>
          <w:noProof/>
          <w:szCs w:val="24"/>
        </w:rPr>
        <w:t>10</w:t>
      </w:r>
      <w:r w:rsidRPr="00363097">
        <w:rPr>
          <w:noProof/>
          <w:szCs w:val="24"/>
        </w:rPr>
        <w:t xml:space="preserve">). A new filing entity shall then be designated by </w:t>
      </w:r>
      <w:r w:rsidRPr="00363097">
        <w:rPr>
          <w:noProof/>
        </w:rPr>
        <w:t>the group</w:t>
      </w:r>
      <w:r w:rsidRPr="00363097">
        <w:rPr>
          <w:noProof/>
          <w:szCs w:val="24"/>
        </w:rPr>
        <w:t xml:space="preserve"> in accordance with the conditions of Article 3(</w:t>
      </w:r>
      <w:r w:rsidR="00EE1D5E" w:rsidRPr="00363097">
        <w:rPr>
          <w:noProof/>
          <w:szCs w:val="24"/>
        </w:rPr>
        <w:t>10</w:t>
      </w:r>
      <w:r w:rsidRPr="00363097">
        <w:rPr>
          <w:noProof/>
          <w:szCs w:val="24"/>
        </w:rPr>
        <w:t xml:space="preserve">). If </w:t>
      </w:r>
      <w:r w:rsidRPr="00363097">
        <w:rPr>
          <w:noProof/>
        </w:rPr>
        <w:t>the group</w:t>
      </w:r>
      <w:r w:rsidRPr="00363097">
        <w:rPr>
          <w:noProof/>
          <w:szCs w:val="24"/>
        </w:rPr>
        <w:t xml:space="preserve"> fails to designate a filing entity within two months after the previous filing entity ceased to meet the conditions, the </w:t>
      </w:r>
      <w:r w:rsidRPr="00363097">
        <w:rPr>
          <w:noProof/>
        </w:rPr>
        <w:t>BEFIT team</w:t>
      </w:r>
      <w:r w:rsidRPr="00363097">
        <w:rPr>
          <w:noProof/>
          <w:szCs w:val="24"/>
        </w:rPr>
        <w:t xml:space="preserve"> </w:t>
      </w:r>
      <w:r w:rsidR="003326EC" w:rsidRPr="00363097">
        <w:rPr>
          <w:noProof/>
          <w:szCs w:val="24"/>
        </w:rPr>
        <w:t>as referred to in Article 60</w:t>
      </w:r>
      <w:r w:rsidRPr="00363097">
        <w:rPr>
          <w:noProof/>
          <w:szCs w:val="24"/>
        </w:rPr>
        <w:t xml:space="preserve"> shall then designate a filing entity for the BEFIT group.</w:t>
      </w:r>
    </w:p>
    <w:p w14:paraId="5E90F6D1" w14:textId="77777777" w:rsidR="00081B7A" w:rsidRPr="00363097" w:rsidRDefault="00081B7A" w:rsidP="00081B7A">
      <w:pPr>
        <w:pStyle w:val="SectionTitle"/>
        <w:rPr>
          <w:noProof/>
          <w:lang w:val="en-IE"/>
        </w:rPr>
      </w:pPr>
      <w:r w:rsidRPr="00363097">
        <w:rPr>
          <w:noProof/>
          <w:lang w:val="en-IE"/>
        </w:rPr>
        <w:t>Section 2</w:t>
      </w:r>
      <w:r w:rsidRPr="00363097">
        <w:rPr>
          <w:noProof/>
          <w:lang w:val="en-IE"/>
        </w:rPr>
        <w:br/>
        <w:t>BEFIT Information return</w:t>
      </w:r>
    </w:p>
    <w:p w14:paraId="7A598A23" w14:textId="77777777" w:rsidR="00081B7A" w:rsidRPr="00363097" w:rsidRDefault="00081B7A" w:rsidP="006B487B">
      <w:pPr>
        <w:pStyle w:val="Titrearticle2"/>
        <w:rPr>
          <w:b/>
          <w:bCs/>
          <w:noProof/>
        </w:rPr>
      </w:pPr>
      <w:r w:rsidRPr="00363097">
        <w:rPr>
          <w:noProof/>
          <w:lang w:val="en-IE"/>
        </w:rPr>
        <w:t>Article 57</w:t>
      </w:r>
      <w:r w:rsidRPr="00363097">
        <w:rPr>
          <w:noProof/>
          <w:lang w:val="en-IE"/>
        </w:rPr>
        <w:br/>
      </w:r>
      <w:r w:rsidRPr="00363097">
        <w:rPr>
          <w:b/>
          <w:bCs/>
          <w:noProof/>
        </w:rPr>
        <w:t>Filing the BEFIT information return</w:t>
      </w:r>
    </w:p>
    <w:p w14:paraId="5815553A" w14:textId="622D2827" w:rsidR="00081B7A" w:rsidRPr="00363097" w:rsidRDefault="00634583" w:rsidP="00634583">
      <w:pPr>
        <w:pStyle w:val="ManualNumPar1"/>
        <w:rPr>
          <w:noProof/>
        </w:rPr>
      </w:pPr>
      <w:r w:rsidRPr="00634583">
        <w:t>1.</w:t>
      </w:r>
      <w:r w:rsidRPr="00634583">
        <w:tab/>
      </w:r>
      <w:r w:rsidR="00081B7A" w:rsidRPr="00363097">
        <w:rPr>
          <w:noProof/>
        </w:rPr>
        <w:t xml:space="preserve">The filing entity shall file the BEFIT information return of the BEFIT group with the filing authority, except where the BEFIT group is a domestic group. </w:t>
      </w:r>
    </w:p>
    <w:p w14:paraId="45737D4B" w14:textId="5451D38A" w:rsidR="00081B7A" w:rsidRPr="00363097" w:rsidRDefault="00634583" w:rsidP="00634583">
      <w:pPr>
        <w:pStyle w:val="ManualNumPar1"/>
        <w:rPr>
          <w:noProof/>
        </w:rPr>
      </w:pPr>
      <w:r w:rsidRPr="00634583">
        <w:t>2.</w:t>
      </w:r>
      <w:r w:rsidRPr="00634583">
        <w:tab/>
      </w:r>
      <w:r w:rsidR="00081B7A" w:rsidRPr="00363097">
        <w:rPr>
          <w:noProof/>
        </w:rPr>
        <w:t>The BEFIT information return shall be submitted to the filing authority no later than four months after the end of the fiscal year.</w:t>
      </w:r>
    </w:p>
    <w:p w14:paraId="7A9A7D4F" w14:textId="52D8701C" w:rsidR="00081B7A" w:rsidRPr="00363097" w:rsidRDefault="00634583" w:rsidP="00634583">
      <w:pPr>
        <w:pStyle w:val="ManualNumPar1"/>
        <w:rPr>
          <w:noProof/>
        </w:rPr>
      </w:pPr>
      <w:r w:rsidRPr="00634583">
        <w:t>3.</w:t>
      </w:r>
      <w:r w:rsidRPr="00634583">
        <w:tab/>
      </w:r>
      <w:r w:rsidR="00081B7A" w:rsidRPr="00363097">
        <w:rPr>
          <w:noProof/>
        </w:rPr>
        <w:t>The BEFIT information return shall comprise the following information:</w:t>
      </w:r>
    </w:p>
    <w:p w14:paraId="13C64274" w14:textId="77777777" w:rsidR="00081B7A" w:rsidRPr="00363097" w:rsidRDefault="00081B7A" w:rsidP="00081B7A">
      <w:pPr>
        <w:pStyle w:val="Point1"/>
        <w:rPr>
          <w:noProof/>
        </w:rPr>
      </w:pPr>
      <w:r w:rsidRPr="00363097">
        <w:rPr>
          <w:noProof/>
        </w:rPr>
        <w:t>(</w:t>
      </w:r>
      <w:r w:rsidR="00427129" w:rsidRPr="00363097">
        <w:rPr>
          <w:noProof/>
        </w:rPr>
        <w:t>a</w:t>
      </w:r>
      <w:r w:rsidRPr="00363097">
        <w:rPr>
          <w:noProof/>
        </w:rPr>
        <w:t>)</w:t>
      </w:r>
      <w:r w:rsidRPr="00363097">
        <w:rPr>
          <w:noProof/>
        </w:rPr>
        <w:tab/>
        <w:t>identification of the filing entity and other BEFIT group members, including their tax identification numbers, if any, and the Member State in which the BEFIT group members are resident for tax purposes or situated in the form of a permanent establishment;</w:t>
      </w:r>
    </w:p>
    <w:p w14:paraId="37F00E45" w14:textId="77777777" w:rsidR="00081B7A" w:rsidRPr="00363097" w:rsidRDefault="00081B7A" w:rsidP="00081B7A">
      <w:pPr>
        <w:pStyle w:val="Point1"/>
        <w:rPr>
          <w:noProof/>
        </w:rPr>
      </w:pPr>
      <w:r w:rsidRPr="00363097">
        <w:rPr>
          <w:noProof/>
        </w:rPr>
        <w:t>(</w:t>
      </w:r>
      <w:r w:rsidR="00427129" w:rsidRPr="00363097">
        <w:rPr>
          <w:noProof/>
        </w:rPr>
        <w:t>b</w:t>
      </w:r>
      <w:r w:rsidRPr="00363097">
        <w:rPr>
          <w:noProof/>
        </w:rPr>
        <w:t>)</w:t>
      </w:r>
      <w:r w:rsidRPr="00363097">
        <w:rPr>
          <w:noProof/>
        </w:rPr>
        <w:tab/>
        <w:t xml:space="preserve">information on the overall corporate structure of the BEFIT group, including the ownership interest in the BEFIT group members held by other BEFIT group members. </w:t>
      </w:r>
    </w:p>
    <w:p w14:paraId="0F603467" w14:textId="77777777" w:rsidR="00081B7A" w:rsidRPr="00363097" w:rsidRDefault="00081B7A" w:rsidP="00081B7A">
      <w:pPr>
        <w:pStyle w:val="Point1"/>
        <w:rPr>
          <w:noProof/>
        </w:rPr>
      </w:pPr>
      <w:r w:rsidRPr="00363097">
        <w:rPr>
          <w:noProof/>
        </w:rPr>
        <w:t>(</w:t>
      </w:r>
      <w:r w:rsidR="00427129" w:rsidRPr="00363097">
        <w:rPr>
          <w:noProof/>
        </w:rPr>
        <w:t>c</w:t>
      </w:r>
      <w:r w:rsidRPr="00363097">
        <w:rPr>
          <w:noProof/>
        </w:rPr>
        <w:t>)</w:t>
      </w:r>
      <w:r w:rsidRPr="00363097">
        <w:rPr>
          <w:noProof/>
        </w:rPr>
        <w:tab/>
        <w:t>the fiscal year to which the BEFIT information return relates;</w:t>
      </w:r>
    </w:p>
    <w:p w14:paraId="78C703E5" w14:textId="77777777" w:rsidR="00081B7A" w:rsidRPr="00363097" w:rsidRDefault="00081B7A" w:rsidP="00081B7A">
      <w:pPr>
        <w:pStyle w:val="Point1"/>
        <w:rPr>
          <w:noProof/>
        </w:rPr>
      </w:pPr>
      <w:r w:rsidRPr="00363097">
        <w:rPr>
          <w:noProof/>
        </w:rPr>
        <w:t>(</w:t>
      </w:r>
      <w:r w:rsidR="00427129" w:rsidRPr="00363097">
        <w:rPr>
          <w:noProof/>
        </w:rPr>
        <w:t>d</w:t>
      </w:r>
      <w:r w:rsidRPr="00363097">
        <w:rPr>
          <w:noProof/>
        </w:rPr>
        <w:t>)</w:t>
      </w:r>
      <w:r w:rsidRPr="00363097">
        <w:rPr>
          <w:noProof/>
        </w:rPr>
        <w:tab/>
        <w:t>information and computation of</w:t>
      </w:r>
      <w:r w:rsidR="008C24E2" w:rsidRPr="00363097">
        <w:rPr>
          <w:noProof/>
        </w:rPr>
        <w:t xml:space="preserve"> the following</w:t>
      </w:r>
      <w:r w:rsidRPr="00363097">
        <w:rPr>
          <w:noProof/>
        </w:rPr>
        <w:t>:</w:t>
      </w:r>
    </w:p>
    <w:p w14:paraId="05ED560A" w14:textId="77777777" w:rsidR="00081B7A" w:rsidRPr="00363097" w:rsidRDefault="00081B7A" w:rsidP="00081B7A">
      <w:pPr>
        <w:pStyle w:val="Point2"/>
        <w:rPr>
          <w:noProof/>
        </w:rPr>
      </w:pPr>
      <w:r w:rsidRPr="00363097">
        <w:rPr>
          <w:noProof/>
        </w:rPr>
        <w:t>(</w:t>
      </w:r>
      <w:r w:rsidR="00427129" w:rsidRPr="00363097">
        <w:rPr>
          <w:noProof/>
        </w:rPr>
        <w:t>i</w:t>
      </w:r>
      <w:r w:rsidRPr="00363097">
        <w:rPr>
          <w:noProof/>
        </w:rPr>
        <w:t>)</w:t>
      </w:r>
      <w:r w:rsidRPr="00363097">
        <w:rPr>
          <w:noProof/>
        </w:rPr>
        <w:tab/>
        <w:t>the outcome of the preliminary tax result of each BEFIT group member;</w:t>
      </w:r>
    </w:p>
    <w:p w14:paraId="7D0A7C32" w14:textId="77777777" w:rsidR="00081B7A" w:rsidRPr="00363097" w:rsidRDefault="00081B7A" w:rsidP="00081B7A">
      <w:pPr>
        <w:pStyle w:val="Point2"/>
        <w:rPr>
          <w:noProof/>
        </w:rPr>
      </w:pPr>
      <w:r w:rsidRPr="00363097">
        <w:rPr>
          <w:noProof/>
        </w:rPr>
        <w:t>(</w:t>
      </w:r>
      <w:r w:rsidR="00427129" w:rsidRPr="00363097">
        <w:rPr>
          <w:noProof/>
        </w:rPr>
        <w:t>ii</w:t>
      </w:r>
      <w:r w:rsidRPr="00363097">
        <w:rPr>
          <w:noProof/>
        </w:rPr>
        <w:t>)</w:t>
      </w:r>
      <w:r w:rsidRPr="00363097">
        <w:rPr>
          <w:noProof/>
        </w:rPr>
        <w:tab/>
        <w:t>the BEFIT tax base;</w:t>
      </w:r>
    </w:p>
    <w:p w14:paraId="164B7DB5" w14:textId="77777777" w:rsidR="00081B7A" w:rsidRPr="00363097" w:rsidRDefault="00081B7A" w:rsidP="00081B7A">
      <w:pPr>
        <w:pStyle w:val="Point2"/>
        <w:rPr>
          <w:noProof/>
        </w:rPr>
      </w:pPr>
      <w:r w:rsidRPr="00363097">
        <w:rPr>
          <w:noProof/>
        </w:rPr>
        <w:t>(</w:t>
      </w:r>
      <w:r w:rsidR="00427129" w:rsidRPr="00363097">
        <w:rPr>
          <w:noProof/>
        </w:rPr>
        <w:t>iii</w:t>
      </w:r>
      <w:r w:rsidRPr="00363097">
        <w:rPr>
          <w:noProof/>
        </w:rPr>
        <w:t>)</w:t>
      </w:r>
      <w:r w:rsidRPr="00363097">
        <w:rPr>
          <w:noProof/>
        </w:rPr>
        <w:tab/>
        <w:t>the allocated part of each BEFIT group member;</w:t>
      </w:r>
    </w:p>
    <w:p w14:paraId="69223FD3" w14:textId="77777777" w:rsidR="00081B7A" w:rsidRPr="00363097" w:rsidRDefault="00081B7A" w:rsidP="00081B7A">
      <w:pPr>
        <w:pStyle w:val="Point2"/>
        <w:rPr>
          <w:noProof/>
        </w:rPr>
      </w:pPr>
      <w:r w:rsidRPr="00363097">
        <w:rPr>
          <w:noProof/>
        </w:rPr>
        <w:t>(</w:t>
      </w:r>
      <w:r w:rsidR="00427129" w:rsidRPr="00363097">
        <w:rPr>
          <w:noProof/>
        </w:rPr>
        <w:t>iv</w:t>
      </w:r>
      <w:r w:rsidRPr="00363097">
        <w:rPr>
          <w:noProof/>
        </w:rPr>
        <w:t>)</w:t>
      </w:r>
      <w:r w:rsidRPr="00363097">
        <w:rPr>
          <w:noProof/>
        </w:rPr>
        <w:tab/>
        <w:t xml:space="preserve">information about the </w:t>
      </w:r>
      <w:r w:rsidR="00EF276F" w:rsidRPr="00363097">
        <w:rPr>
          <w:noProof/>
        </w:rPr>
        <w:t>‘</w:t>
      </w:r>
      <w:r w:rsidRPr="00363097">
        <w:rPr>
          <w:noProof/>
        </w:rPr>
        <w:t xml:space="preserve">baseline allocation percentage’, as computed </w:t>
      </w:r>
      <w:r w:rsidR="004272F8" w:rsidRPr="00363097">
        <w:rPr>
          <w:noProof/>
        </w:rPr>
        <w:t>in accordance with</w:t>
      </w:r>
      <w:r w:rsidR="003A7C43">
        <w:rPr>
          <w:noProof/>
        </w:rPr>
        <w:t xml:space="preserve"> </w:t>
      </w:r>
      <w:r w:rsidRPr="00363097">
        <w:rPr>
          <w:noProof/>
        </w:rPr>
        <w:t>Article 45.</w:t>
      </w:r>
    </w:p>
    <w:p w14:paraId="61F76EE5" w14:textId="32827BE9" w:rsidR="00081B7A" w:rsidRPr="00363097" w:rsidRDefault="00634583" w:rsidP="00634583">
      <w:pPr>
        <w:pStyle w:val="ManualNumPar1"/>
        <w:rPr>
          <w:noProof/>
        </w:rPr>
      </w:pPr>
      <w:r w:rsidRPr="00634583">
        <w:t>4.</w:t>
      </w:r>
      <w:r w:rsidRPr="00634583">
        <w:tab/>
      </w:r>
      <w:r w:rsidR="00081B7A" w:rsidRPr="00363097">
        <w:rPr>
          <w:noProof/>
        </w:rPr>
        <w:t xml:space="preserve">The filing authority shall transmit the BEFIT information return immediately to the competent authorities of all Member States in which the BEFIT group members are resident for tax purposes or situated in the form of a permanent establishment. </w:t>
      </w:r>
    </w:p>
    <w:p w14:paraId="6C6640F3" w14:textId="77777777" w:rsidR="00081B7A" w:rsidRPr="00363097" w:rsidRDefault="00081B7A" w:rsidP="006B487B">
      <w:pPr>
        <w:pStyle w:val="Titrearticle2"/>
        <w:rPr>
          <w:b/>
          <w:bCs/>
          <w:noProof/>
        </w:rPr>
      </w:pPr>
      <w:r w:rsidRPr="00363097">
        <w:rPr>
          <w:noProof/>
        </w:rPr>
        <w:t>Article 58</w:t>
      </w:r>
      <w:r w:rsidRPr="00363097">
        <w:rPr>
          <w:noProof/>
        </w:rPr>
        <w:br/>
      </w:r>
      <w:r w:rsidRPr="00363097">
        <w:rPr>
          <w:b/>
          <w:bCs/>
          <w:noProof/>
        </w:rPr>
        <w:t>Notification of errors in the BEFIT information return</w:t>
      </w:r>
    </w:p>
    <w:p w14:paraId="29D68A7D" w14:textId="12CBE0F9" w:rsidR="00081B7A" w:rsidRPr="00363097" w:rsidRDefault="00634583" w:rsidP="00634583">
      <w:pPr>
        <w:pStyle w:val="ManualNumPar1"/>
        <w:rPr>
          <w:noProof/>
        </w:rPr>
      </w:pPr>
      <w:r w:rsidRPr="00634583">
        <w:t>1.</w:t>
      </w:r>
      <w:r w:rsidRPr="00634583">
        <w:tab/>
      </w:r>
      <w:r w:rsidR="00081B7A" w:rsidRPr="00363097">
        <w:rPr>
          <w:noProof/>
        </w:rPr>
        <w:t xml:space="preserve">The filing entity shall notify the filing authority of errors in the BEFIT information return within two months of the timely submission of such return. </w:t>
      </w:r>
    </w:p>
    <w:p w14:paraId="268B9994" w14:textId="6743100E" w:rsidR="00081B7A" w:rsidRPr="00363097" w:rsidRDefault="00634583" w:rsidP="00634583">
      <w:pPr>
        <w:pStyle w:val="ManualNumPar1"/>
        <w:rPr>
          <w:noProof/>
        </w:rPr>
      </w:pPr>
      <w:r w:rsidRPr="00634583">
        <w:t>2.</w:t>
      </w:r>
      <w:r w:rsidRPr="00634583">
        <w:tab/>
      </w:r>
      <w:r w:rsidR="00081B7A" w:rsidRPr="00363097">
        <w:rPr>
          <w:noProof/>
        </w:rPr>
        <w:t>The filing authority shall transmit a revised BEFIT information return immediately to the competent authorities of all Member States in which BEFIT group members are resident for tax purposes or situated in the form of a permanent establishment.</w:t>
      </w:r>
    </w:p>
    <w:p w14:paraId="548F9722" w14:textId="77777777" w:rsidR="00081B7A" w:rsidRPr="00363097" w:rsidRDefault="00081B7A" w:rsidP="006B487B">
      <w:pPr>
        <w:pStyle w:val="Titrearticle2"/>
        <w:rPr>
          <w:b/>
          <w:bCs/>
          <w:noProof/>
        </w:rPr>
      </w:pPr>
      <w:r w:rsidRPr="00363097">
        <w:rPr>
          <w:noProof/>
        </w:rPr>
        <w:t>Article 59</w:t>
      </w:r>
      <w:r w:rsidRPr="00363097">
        <w:rPr>
          <w:noProof/>
        </w:rPr>
        <w:br/>
      </w:r>
      <w:r w:rsidRPr="00363097">
        <w:rPr>
          <w:b/>
          <w:bCs/>
          <w:noProof/>
        </w:rPr>
        <w:t>Failure to file a BEFIT information return</w:t>
      </w:r>
    </w:p>
    <w:p w14:paraId="23A5E16C" w14:textId="77777777" w:rsidR="00081B7A" w:rsidRPr="00363097" w:rsidRDefault="00081B7A" w:rsidP="00081B7A">
      <w:pPr>
        <w:spacing w:before="0" w:after="200" w:line="276" w:lineRule="auto"/>
        <w:contextualSpacing/>
        <w:rPr>
          <w:noProof/>
          <w:szCs w:val="24"/>
        </w:rPr>
      </w:pPr>
      <w:r w:rsidRPr="00363097">
        <w:rPr>
          <w:noProof/>
          <w:szCs w:val="24"/>
        </w:rPr>
        <w:t xml:space="preserve">Where the filing entity fails to file a BEFIT information return, the filing authority, in consultation with the competent authorities of all Member States in which BEFIT group members are resident for tax purposes or situated in the form of a permanent establishment, shall issue a BEFIT information return based on </w:t>
      </w:r>
      <w:r w:rsidRPr="00363097" w:rsidDel="00CE55AB">
        <w:rPr>
          <w:noProof/>
          <w:szCs w:val="24"/>
        </w:rPr>
        <w:t>an estimate</w:t>
      </w:r>
      <w:r w:rsidRPr="00363097">
        <w:rPr>
          <w:noProof/>
          <w:szCs w:val="24"/>
        </w:rPr>
        <w:t>,</w:t>
      </w:r>
      <w:r w:rsidRPr="00363097" w:rsidDel="00CE55AB">
        <w:rPr>
          <w:noProof/>
          <w:szCs w:val="24"/>
        </w:rPr>
        <w:t xml:space="preserve"> taking into account the available information</w:t>
      </w:r>
      <w:r w:rsidRPr="00363097">
        <w:rPr>
          <w:noProof/>
          <w:szCs w:val="24"/>
        </w:rPr>
        <w:t xml:space="preserve">. In addition, the filing authority shall apply the legal framework on penalties in accordance with Article </w:t>
      </w:r>
      <w:r w:rsidR="00086BA8" w:rsidRPr="00363097">
        <w:rPr>
          <w:noProof/>
          <w:szCs w:val="24"/>
        </w:rPr>
        <w:t>72</w:t>
      </w:r>
      <w:r w:rsidRPr="00363097">
        <w:rPr>
          <w:noProof/>
          <w:szCs w:val="24"/>
        </w:rPr>
        <w:t>. The filing entity may appeal against that BEFIT information return.</w:t>
      </w:r>
    </w:p>
    <w:p w14:paraId="2DC5BF8E" w14:textId="77777777" w:rsidR="00081B7A" w:rsidRPr="00363097" w:rsidRDefault="00081B7A" w:rsidP="00081B7A">
      <w:pPr>
        <w:pStyle w:val="SectionTitle"/>
        <w:rPr>
          <w:noProof/>
        </w:rPr>
      </w:pPr>
      <w:r w:rsidRPr="00363097">
        <w:rPr>
          <w:noProof/>
        </w:rPr>
        <w:t>Section 3</w:t>
      </w:r>
      <w:r w:rsidRPr="00363097">
        <w:rPr>
          <w:noProof/>
        </w:rPr>
        <w:br/>
        <w:t>BEFIT team</w:t>
      </w:r>
    </w:p>
    <w:p w14:paraId="165283D4" w14:textId="77777777" w:rsidR="00081B7A" w:rsidRPr="00363097" w:rsidRDefault="00081B7A" w:rsidP="006B487B">
      <w:pPr>
        <w:pStyle w:val="Titrearticle2"/>
        <w:rPr>
          <w:b/>
          <w:bCs/>
          <w:noProof/>
        </w:rPr>
      </w:pPr>
      <w:r w:rsidRPr="00363097">
        <w:rPr>
          <w:noProof/>
        </w:rPr>
        <w:t>Article 60</w:t>
      </w:r>
      <w:r w:rsidRPr="00363097">
        <w:rPr>
          <w:noProof/>
        </w:rPr>
        <w:br/>
      </w:r>
      <w:r w:rsidRPr="00363097">
        <w:rPr>
          <w:b/>
          <w:bCs/>
          <w:noProof/>
        </w:rPr>
        <w:t>Establishment of the BEFIT team</w:t>
      </w:r>
    </w:p>
    <w:p w14:paraId="76981C4D" w14:textId="459459BA" w:rsidR="00081B7A" w:rsidRPr="00363097" w:rsidRDefault="00634583" w:rsidP="00634583">
      <w:pPr>
        <w:pStyle w:val="ManualNumPar1"/>
        <w:rPr>
          <w:noProof/>
        </w:rPr>
      </w:pPr>
      <w:r w:rsidRPr="00634583">
        <w:t>1.</w:t>
      </w:r>
      <w:r w:rsidRPr="00634583">
        <w:tab/>
      </w:r>
      <w:r w:rsidR="00081B7A" w:rsidRPr="00363097">
        <w:rPr>
          <w:noProof/>
        </w:rPr>
        <w:t xml:space="preserve">A BEFIT team shall be convened within </w:t>
      </w:r>
      <w:r w:rsidR="00081B7A" w:rsidRPr="00363097" w:rsidDel="00DB05C5">
        <w:rPr>
          <w:noProof/>
        </w:rPr>
        <w:t>one</w:t>
      </w:r>
      <w:r w:rsidR="00081B7A" w:rsidRPr="00363097">
        <w:rPr>
          <w:noProof/>
        </w:rPr>
        <w:t xml:space="preserve"> month after filing the BEFIT information return, as referred to in Article 57, in order to perform the tasks set out in Article 61. In addition, the BEFIT team shall provide a framework for communication and consultation amongst the competent authorities </w:t>
      </w:r>
      <w:r w:rsidR="00081B7A" w:rsidRPr="00363097" w:rsidDel="00315512">
        <w:rPr>
          <w:noProof/>
        </w:rPr>
        <w:t xml:space="preserve">of </w:t>
      </w:r>
      <w:r w:rsidR="00081B7A" w:rsidRPr="00363097">
        <w:rPr>
          <w:noProof/>
        </w:rPr>
        <w:t>the Member States where members of the same BEFIT group are resident for tax purposes or situated in the form of a permanent establishment. When a member of a BEFIT team consults other members, it shall receive a response within</w:t>
      </w:r>
      <w:r w:rsidR="00081B7A" w:rsidRPr="00363097" w:rsidDel="00730BD0">
        <w:rPr>
          <w:noProof/>
        </w:rPr>
        <w:t xml:space="preserve"> </w:t>
      </w:r>
      <w:r w:rsidR="00081B7A" w:rsidRPr="00363097">
        <w:rPr>
          <w:noProof/>
        </w:rPr>
        <w:t xml:space="preserve">a reasonable time. </w:t>
      </w:r>
    </w:p>
    <w:p w14:paraId="4482B055" w14:textId="2B0DA58A" w:rsidR="00081B7A" w:rsidRPr="00363097" w:rsidRDefault="00634583" w:rsidP="00634583">
      <w:pPr>
        <w:pStyle w:val="ManualNumPar1"/>
        <w:rPr>
          <w:noProof/>
        </w:rPr>
      </w:pPr>
      <w:r w:rsidRPr="00634583">
        <w:t>2.</w:t>
      </w:r>
      <w:r w:rsidRPr="00634583">
        <w:tab/>
      </w:r>
      <w:r w:rsidR="00081B7A" w:rsidRPr="00363097">
        <w:rPr>
          <w:noProof/>
        </w:rPr>
        <w:t xml:space="preserve">The BEFIT team shall be composed of one or more </w:t>
      </w:r>
      <w:r w:rsidR="00DC262C">
        <w:rPr>
          <w:rFonts w:eastAsia="Times New Roman"/>
          <w:noProof/>
          <w:lang w:eastAsia="en-GB"/>
        </w:rPr>
        <w:t>representatives of each relevant tax administration</w:t>
      </w:r>
      <w:r w:rsidR="00081B7A" w:rsidRPr="00363097">
        <w:rPr>
          <w:noProof/>
        </w:rPr>
        <w:t>, who will act as delegate</w:t>
      </w:r>
      <w:r w:rsidR="00B0743A" w:rsidRPr="00363097">
        <w:rPr>
          <w:noProof/>
        </w:rPr>
        <w:t>s</w:t>
      </w:r>
      <w:r w:rsidR="00081B7A" w:rsidRPr="00363097">
        <w:rPr>
          <w:noProof/>
        </w:rPr>
        <w:t>, per Member State where there are BEFIT group members. The BEFIT team shall be chaired by the delegate of the filing authority.</w:t>
      </w:r>
    </w:p>
    <w:p w14:paraId="64B3782E" w14:textId="437999CA" w:rsidR="00081B7A" w:rsidRPr="00363097" w:rsidRDefault="00634583" w:rsidP="00634583">
      <w:pPr>
        <w:pStyle w:val="ManualNumPar1"/>
        <w:rPr>
          <w:noProof/>
        </w:rPr>
      </w:pPr>
      <w:r w:rsidRPr="00634583">
        <w:t>3.</w:t>
      </w:r>
      <w:r w:rsidRPr="00634583">
        <w:tab/>
      </w:r>
      <w:r w:rsidR="00081B7A" w:rsidRPr="00363097">
        <w:rPr>
          <w:noProof/>
        </w:rPr>
        <w:t>Information communicated between the members of a BEFIT team, shall be provided by electronic means to the extent possible, through making use of a BEFIT collaborative tool.</w:t>
      </w:r>
    </w:p>
    <w:p w14:paraId="54166B9B" w14:textId="1C1A9959" w:rsidR="00081B7A" w:rsidRPr="00363097" w:rsidRDefault="00634583" w:rsidP="00634583">
      <w:pPr>
        <w:pStyle w:val="ManualNumPar1"/>
        <w:rPr>
          <w:noProof/>
        </w:rPr>
      </w:pPr>
      <w:r w:rsidRPr="00634583">
        <w:t>4.</w:t>
      </w:r>
      <w:r w:rsidRPr="00634583">
        <w:tab/>
      </w:r>
      <w:r w:rsidR="00081B7A" w:rsidRPr="00363097">
        <w:rPr>
          <w:noProof/>
        </w:rPr>
        <w:t>To facilitate the operation and communication of the BEFIT team, the Commission shall, by means of implementing acts</w:t>
      </w:r>
      <w:r w:rsidR="00EE1D5E" w:rsidRPr="00363097">
        <w:rPr>
          <w:noProof/>
        </w:rPr>
        <w:t xml:space="preserve">, </w:t>
      </w:r>
      <w:r w:rsidR="00081B7A" w:rsidRPr="00363097">
        <w:rPr>
          <w:noProof/>
        </w:rPr>
        <w:t>standardise the communication of the information between the members of a BEFIT team through making use of a BEFIT collaborative tool. Those implementing acts shall be adopted in accordance with the examination procedure referred to in Article </w:t>
      </w:r>
      <w:r w:rsidR="00EE1D5E" w:rsidRPr="00363097">
        <w:rPr>
          <w:noProof/>
        </w:rPr>
        <w:t>7</w:t>
      </w:r>
      <w:r w:rsidR="00994F7D" w:rsidRPr="00363097">
        <w:rPr>
          <w:noProof/>
        </w:rPr>
        <w:t>3</w:t>
      </w:r>
      <w:r w:rsidR="00081B7A" w:rsidRPr="00363097">
        <w:rPr>
          <w:noProof/>
        </w:rPr>
        <w:t>.</w:t>
      </w:r>
    </w:p>
    <w:p w14:paraId="7B2AEC8D" w14:textId="77777777" w:rsidR="00081B7A" w:rsidRPr="00363097" w:rsidRDefault="00081B7A" w:rsidP="006B487B">
      <w:pPr>
        <w:pStyle w:val="Titrearticle2"/>
        <w:rPr>
          <w:b/>
          <w:bCs/>
          <w:noProof/>
        </w:rPr>
      </w:pPr>
      <w:r w:rsidRPr="00363097">
        <w:rPr>
          <w:noProof/>
        </w:rPr>
        <w:t>Article 61</w:t>
      </w:r>
      <w:r w:rsidRPr="00363097">
        <w:rPr>
          <w:noProof/>
        </w:rPr>
        <w:br/>
      </w:r>
      <w:r w:rsidRPr="00363097">
        <w:rPr>
          <w:b/>
          <w:bCs/>
          <w:noProof/>
        </w:rPr>
        <w:t>Role of the BEFIT team in the BEFIT information return</w:t>
      </w:r>
    </w:p>
    <w:p w14:paraId="38C1D5DC" w14:textId="48BD2AAA" w:rsidR="00081B7A" w:rsidRPr="00363097" w:rsidRDefault="00634583" w:rsidP="00634583">
      <w:pPr>
        <w:pStyle w:val="ManualNumPar1"/>
        <w:rPr>
          <w:noProof/>
        </w:rPr>
      </w:pPr>
      <w:r w:rsidRPr="00634583">
        <w:t>1.</w:t>
      </w:r>
      <w:r w:rsidRPr="00634583">
        <w:tab/>
      </w:r>
      <w:r w:rsidR="00081B7A" w:rsidRPr="00363097">
        <w:rPr>
          <w:noProof/>
        </w:rPr>
        <w:t xml:space="preserve">The BEFIT team shall examine the completeness and accuracy of the information filled in the BEFIT information return as required by Article 57, except for the outcome of the computation of the preliminary tax result of each BEFIT group member under point </w:t>
      </w:r>
      <w:r w:rsidR="000832BE" w:rsidRPr="00363097">
        <w:rPr>
          <w:noProof/>
        </w:rPr>
        <w:t>(</w:t>
      </w:r>
      <w:r w:rsidR="00EF14AA" w:rsidRPr="00363097">
        <w:rPr>
          <w:noProof/>
        </w:rPr>
        <w:t xml:space="preserve">d)(i) of </w:t>
      </w:r>
      <w:r w:rsidR="00081B7A" w:rsidRPr="00363097">
        <w:rPr>
          <w:noProof/>
        </w:rPr>
        <w:t>Article 57(3)</w:t>
      </w:r>
      <w:r w:rsidR="005B1ADA" w:rsidRPr="00363097">
        <w:rPr>
          <w:noProof/>
        </w:rPr>
        <w:t>.</w:t>
      </w:r>
    </w:p>
    <w:p w14:paraId="7F361D7A" w14:textId="3903255D" w:rsidR="00081B7A" w:rsidRPr="00363097" w:rsidRDefault="00634583" w:rsidP="00634583">
      <w:pPr>
        <w:pStyle w:val="ManualNumPar1"/>
        <w:rPr>
          <w:noProof/>
        </w:rPr>
      </w:pPr>
      <w:r w:rsidRPr="00634583">
        <w:t>2.</w:t>
      </w:r>
      <w:r w:rsidRPr="00634583">
        <w:tab/>
      </w:r>
      <w:r w:rsidR="00081B7A" w:rsidRPr="00363097">
        <w:rPr>
          <w:noProof/>
        </w:rPr>
        <w:t>The BEFIT team shall endeavour to achieve consensus on the content of the BEFIT information return,</w:t>
      </w:r>
      <w:r w:rsidR="00081B7A" w:rsidRPr="00363097" w:rsidDel="006E79C9">
        <w:rPr>
          <w:noProof/>
        </w:rPr>
        <w:t xml:space="preserve"> </w:t>
      </w:r>
      <w:r w:rsidR="00081B7A" w:rsidRPr="00363097">
        <w:rPr>
          <w:noProof/>
        </w:rPr>
        <w:t xml:space="preserve">within four months of the date when all information required under Article 57 was </w:t>
      </w:r>
      <w:r w:rsidR="00081B7A" w:rsidRPr="00482B58">
        <w:rPr>
          <w:noProof/>
        </w:rPr>
        <w:t xml:space="preserve">reported. </w:t>
      </w:r>
      <w:r w:rsidR="005A2403">
        <w:rPr>
          <w:noProof/>
          <w:szCs w:val="24"/>
        </w:rPr>
        <w:t>Without prejudice to</w:t>
      </w:r>
      <w:r w:rsidR="007F206D" w:rsidRPr="00482B58">
        <w:rPr>
          <w:noProof/>
          <w:szCs w:val="24"/>
        </w:rPr>
        <w:t xml:space="preserve"> Article 65, </w:t>
      </w:r>
      <w:r w:rsidR="007F206D" w:rsidRPr="00482B58">
        <w:rPr>
          <w:noProof/>
        </w:rPr>
        <w:t>i</w:t>
      </w:r>
      <w:r w:rsidR="00081B7A" w:rsidRPr="00482B58">
        <w:rPr>
          <w:noProof/>
        </w:rPr>
        <w:t xml:space="preserve">n connection with </w:t>
      </w:r>
      <w:r w:rsidR="00E95A12" w:rsidRPr="00482B58">
        <w:rPr>
          <w:noProof/>
        </w:rPr>
        <w:t xml:space="preserve">Article 57(3), </w:t>
      </w:r>
      <w:r w:rsidR="00081B7A" w:rsidRPr="00482B58">
        <w:rPr>
          <w:noProof/>
        </w:rPr>
        <w:t>points (</w:t>
      </w:r>
      <w:r w:rsidR="00E95A12" w:rsidRPr="00482B58">
        <w:rPr>
          <w:noProof/>
        </w:rPr>
        <w:t>a</w:t>
      </w:r>
      <w:r w:rsidR="00081B7A" w:rsidRPr="00482B58">
        <w:rPr>
          <w:noProof/>
        </w:rPr>
        <w:t>)</w:t>
      </w:r>
      <w:r w:rsidR="00CC0319" w:rsidRPr="00482B58">
        <w:rPr>
          <w:noProof/>
        </w:rPr>
        <w:t xml:space="preserve">, </w:t>
      </w:r>
      <w:r w:rsidR="00CC0319" w:rsidRPr="00482B58">
        <w:rPr>
          <w:noProof/>
          <w:szCs w:val="24"/>
        </w:rPr>
        <w:t>(b), (c) and (d)(iv)</w:t>
      </w:r>
      <w:r w:rsidR="00081B7A" w:rsidRPr="00482B58">
        <w:rPr>
          <w:noProof/>
        </w:rPr>
        <w:t>, the consensus of the BEFIT team shall mean that these points cannot be subject to any future challenge</w:t>
      </w:r>
      <w:r w:rsidR="00F8632C" w:rsidRPr="00482B58">
        <w:rPr>
          <w:noProof/>
        </w:rPr>
        <w:t xml:space="preserve">. </w:t>
      </w:r>
      <w:r w:rsidR="00081B7A" w:rsidRPr="00482B58">
        <w:rPr>
          <w:noProof/>
        </w:rPr>
        <w:t xml:space="preserve">The final decision on </w:t>
      </w:r>
      <w:r w:rsidR="00E95A12" w:rsidRPr="00482B58">
        <w:rPr>
          <w:noProof/>
        </w:rPr>
        <w:t xml:space="preserve">the information </w:t>
      </w:r>
      <w:r w:rsidR="00E95A12" w:rsidRPr="00363097">
        <w:rPr>
          <w:noProof/>
        </w:rPr>
        <w:t xml:space="preserve">referred to in Article 57(3), </w:t>
      </w:r>
      <w:r w:rsidR="00081B7A" w:rsidRPr="00363097">
        <w:rPr>
          <w:noProof/>
        </w:rPr>
        <w:t>point (</w:t>
      </w:r>
      <w:r w:rsidR="00E95A12" w:rsidRPr="00363097">
        <w:rPr>
          <w:noProof/>
        </w:rPr>
        <w:t>d</w:t>
      </w:r>
      <w:r w:rsidR="00081B7A" w:rsidRPr="00363097">
        <w:rPr>
          <w:noProof/>
        </w:rPr>
        <w:t>)(</w:t>
      </w:r>
      <w:r w:rsidR="00E95A12" w:rsidRPr="00363097">
        <w:rPr>
          <w:noProof/>
        </w:rPr>
        <w:t>i</w:t>
      </w:r>
      <w:r w:rsidR="00081B7A" w:rsidRPr="00363097">
        <w:rPr>
          <w:noProof/>
        </w:rPr>
        <w:t>)</w:t>
      </w:r>
      <w:r w:rsidR="00C63C84" w:rsidRPr="00363097">
        <w:rPr>
          <w:noProof/>
        </w:rPr>
        <w:t>, d(ii</w:t>
      </w:r>
      <w:r w:rsidR="00081B7A" w:rsidRPr="00363097">
        <w:rPr>
          <w:noProof/>
        </w:rPr>
        <w:t xml:space="preserve">) and </w:t>
      </w:r>
      <w:r w:rsidR="00111FBC" w:rsidRPr="00363097">
        <w:rPr>
          <w:noProof/>
        </w:rPr>
        <w:t xml:space="preserve">d(iii) </w:t>
      </w:r>
      <w:r w:rsidR="00081B7A" w:rsidRPr="00363097">
        <w:rPr>
          <w:noProof/>
        </w:rPr>
        <w:t>shall remain within the exclusive competence of the Member State where the group member is resident for tax purposes or situated in the form of a permanent establishment.</w:t>
      </w:r>
    </w:p>
    <w:p w14:paraId="5A15D93D" w14:textId="55A51428" w:rsidR="00081B7A" w:rsidRPr="00363097" w:rsidRDefault="00634583" w:rsidP="00634583">
      <w:pPr>
        <w:pStyle w:val="ManualNumPar1"/>
        <w:rPr>
          <w:noProof/>
        </w:rPr>
      </w:pPr>
      <w:r w:rsidRPr="00634583">
        <w:t>3.</w:t>
      </w:r>
      <w:r w:rsidRPr="00634583">
        <w:tab/>
      </w:r>
      <w:r w:rsidR="00081B7A" w:rsidRPr="00363097">
        <w:rPr>
          <w:noProof/>
        </w:rPr>
        <w:t xml:space="preserve">If the BEFIT team achieves consensus on a BEFIT information return, the filing authority to which the initial BEFIT information return was submitted shall notify the BEFIT information return to the filing entity. </w:t>
      </w:r>
    </w:p>
    <w:p w14:paraId="133BE62F" w14:textId="76BD424A" w:rsidR="00081B7A" w:rsidRPr="00363097" w:rsidRDefault="00634583" w:rsidP="00634583">
      <w:pPr>
        <w:pStyle w:val="ManualNumPar1"/>
        <w:rPr>
          <w:noProof/>
        </w:rPr>
      </w:pPr>
      <w:r w:rsidRPr="00634583">
        <w:t>4.</w:t>
      </w:r>
      <w:r w:rsidRPr="00634583">
        <w:tab/>
      </w:r>
      <w:r w:rsidR="00081B7A" w:rsidRPr="00363097">
        <w:rPr>
          <w:noProof/>
        </w:rPr>
        <w:t xml:space="preserve">If the BEFIT team is unable to achieve consensus pursuant to paragraph 2 within four months of the date when all information required under Article 57 was reported, such consensus shall be deemed </w:t>
      </w:r>
      <w:r w:rsidR="00E95A12" w:rsidRPr="00363097">
        <w:rPr>
          <w:noProof/>
        </w:rPr>
        <w:t xml:space="preserve">to be achieved </w:t>
      </w:r>
      <w:r w:rsidR="00081B7A" w:rsidRPr="00363097">
        <w:rPr>
          <w:noProof/>
        </w:rPr>
        <w:t>if the members of the BEFIT team give their consent, by the simple majority of the present members</w:t>
      </w:r>
      <w:r w:rsidR="00F958F8" w:rsidRPr="00363097">
        <w:rPr>
          <w:noProof/>
        </w:rPr>
        <w:t xml:space="preserve"> in accordance with paragraph 5</w:t>
      </w:r>
      <w:r w:rsidR="00081B7A" w:rsidRPr="00363097">
        <w:rPr>
          <w:noProof/>
        </w:rPr>
        <w:t xml:space="preserve">, to the BEFIT information return at the end of the fifth month </w:t>
      </w:r>
      <w:r w:rsidR="00E95A12" w:rsidRPr="00363097">
        <w:rPr>
          <w:noProof/>
        </w:rPr>
        <w:t xml:space="preserve">from </w:t>
      </w:r>
      <w:r w:rsidR="00081B7A" w:rsidRPr="00363097">
        <w:rPr>
          <w:noProof/>
        </w:rPr>
        <w:t xml:space="preserve">the date when </w:t>
      </w:r>
      <w:r w:rsidR="00E95A12" w:rsidRPr="00363097">
        <w:rPr>
          <w:noProof/>
        </w:rPr>
        <w:t xml:space="preserve">the </w:t>
      </w:r>
      <w:r w:rsidR="00081B7A" w:rsidRPr="00363097">
        <w:rPr>
          <w:noProof/>
        </w:rPr>
        <w:t>information was reported. The filing authority to which the BEFIT information return has been submitted shall notify the BEFIT information return to the filing entity.</w:t>
      </w:r>
    </w:p>
    <w:p w14:paraId="7BFA5790" w14:textId="0E87470C" w:rsidR="00081B7A" w:rsidRPr="00363097" w:rsidRDefault="00634583" w:rsidP="00634583">
      <w:pPr>
        <w:pStyle w:val="ManualNumPar1"/>
        <w:rPr>
          <w:noProof/>
        </w:rPr>
      </w:pPr>
      <w:r w:rsidRPr="00634583">
        <w:t>5.</w:t>
      </w:r>
      <w:r w:rsidRPr="00634583">
        <w:tab/>
      </w:r>
      <w:r w:rsidR="00081B7A" w:rsidRPr="00363097">
        <w:rPr>
          <w:noProof/>
        </w:rPr>
        <w:t xml:space="preserve">For the purpose of reaching a simple majority under paragraph 4, </w:t>
      </w:r>
      <w:r w:rsidR="002561D4">
        <w:rPr>
          <w:noProof/>
        </w:rPr>
        <w:t xml:space="preserve">the voting rights shall be allocated to each competent authority in the BEFIT team in proportion to the revenues earned </w:t>
      </w:r>
      <w:r w:rsidR="008141E0">
        <w:rPr>
          <w:noProof/>
        </w:rPr>
        <w:t xml:space="preserve">in the relevant fiscal year </w:t>
      </w:r>
      <w:r w:rsidR="002561D4">
        <w:rPr>
          <w:noProof/>
        </w:rPr>
        <w:t xml:space="preserve">by </w:t>
      </w:r>
      <w:r w:rsidR="000D58D5">
        <w:rPr>
          <w:noProof/>
        </w:rPr>
        <w:t xml:space="preserve">the </w:t>
      </w:r>
      <w:r w:rsidR="002561D4">
        <w:rPr>
          <w:noProof/>
        </w:rPr>
        <w:t>BEFIT group members that are resident for tax purpose</w:t>
      </w:r>
      <w:r w:rsidR="00063C23">
        <w:rPr>
          <w:noProof/>
        </w:rPr>
        <w:t>s</w:t>
      </w:r>
      <w:r w:rsidR="002561D4">
        <w:rPr>
          <w:noProof/>
        </w:rPr>
        <w:t xml:space="preserve"> or situated in the form of a permanent establishment</w:t>
      </w:r>
      <w:r w:rsidR="000D58D5" w:rsidRPr="000D58D5">
        <w:rPr>
          <w:noProof/>
        </w:rPr>
        <w:t xml:space="preserve"> </w:t>
      </w:r>
      <w:r w:rsidR="000D58D5">
        <w:rPr>
          <w:noProof/>
        </w:rPr>
        <w:t>in their territory</w:t>
      </w:r>
      <w:r w:rsidR="002561D4">
        <w:rPr>
          <w:noProof/>
        </w:rPr>
        <w:t xml:space="preserve">. Where </w:t>
      </w:r>
      <w:r w:rsidR="002D6841">
        <w:rPr>
          <w:noProof/>
        </w:rPr>
        <w:t>the vote is equally split</w:t>
      </w:r>
      <w:r w:rsidR="002561D4">
        <w:rPr>
          <w:noProof/>
        </w:rPr>
        <w:t xml:space="preserve">, the filing authority shall have a casting vote. </w:t>
      </w:r>
      <w:r w:rsidR="00081B7A" w:rsidRPr="00363097">
        <w:rPr>
          <w:noProof/>
        </w:rPr>
        <w:t xml:space="preserve">The quorum shall require the presence of at least two thirds of the BEFIT team </w:t>
      </w:r>
      <w:r w:rsidR="00081B7A" w:rsidRPr="00363097" w:rsidDel="1093B8E9">
        <w:rPr>
          <w:noProof/>
        </w:rPr>
        <w:t>members</w:t>
      </w:r>
      <w:r w:rsidR="00081B7A" w:rsidRPr="00363097">
        <w:rPr>
          <w:noProof/>
        </w:rPr>
        <w:t xml:space="preserve">. If the quorum is not reached, the initially filed BEFIT information return shall form the basis for the individual tax returns as referred to in Article </w:t>
      </w:r>
      <w:r w:rsidR="002506E3" w:rsidRPr="00363097">
        <w:rPr>
          <w:noProof/>
        </w:rPr>
        <w:t xml:space="preserve">62 </w:t>
      </w:r>
      <w:r w:rsidR="00081B7A" w:rsidRPr="00363097">
        <w:rPr>
          <w:noProof/>
        </w:rPr>
        <w:t>and for individual tax assessments as referred to in Article 64.</w:t>
      </w:r>
      <w:r w:rsidR="00E626FA" w:rsidRPr="00363097">
        <w:rPr>
          <w:noProof/>
        </w:rPr>
        <w:t xml:space="preserve"> The filing authority to which the BEFIT information return has been submitted shall notify the filing entity</w:t>
      </w:r>
      <w:r w:rsidR="00292999" w:rsidRPr="00363097">
        <w:rPr>
          <w:noProof/>
        </w:rPr>
        <w:t xml:space="preserve"> if the quorum is not reached</w:t>
      </w:r>
      <w:r w:rsidR="00E626FA" w:rsidRPr="00363097">
        <w:rPr>
          <w:noProof/>
        </w:rPr>
        <w:t>.</w:t>
      </w:r>
    </w:p>
    <w:p w14:paraId="4DFE1BE2" w14:textId="77777777" w:rsidR="00081B7A" w:rsidRPr="00363097" w:rsidRDefault="00081B7A" w:rsidP="00081B7A">
      <w:pPr>
        <w:pStyle w:val="SectionTitle"/>
        <w:rPr>
          <w:noProof/>
        </w:rPr>
      </w:pPr>
      <w:r w:rsidRPr="00363097">
        <w:rPr>
          <w:noProof/>
        </w:rPr>
        <w:t>Section 4</w:t>
      </w:r>
      <w:r w:rsidRPr="00363097">
        <w:rPr>
          <w:noProof/>
        </w:rPr>
        <w:br/>
        <w:t>Individual Tax returns and Assesssments</w:t>
      </w:r>
    </w:p>
    <w:p w14:paraId="28808E96" w14:textId="77777777" w:rsidR="00081B7A" w:rsidRPr="00363097" w:rsidRDefault="00081B7A" w:rsidP="006B487B">
      <w:pPr>
        <w:pStyle w:val="Titrearticle2"/>
        <w:rPr>
          <w:b/>
          <w:bCs/>
          <w:noProof/>
        </w:rPr>
      </w:pPr>
      <w:r w:rsidRPr="00363097">
        <w:rPr>
          <w:noProof/>
        </w:rPr>
        <w:t>Article 62</w:t>
      </w:r>
      <w:r w:rsidRPr="00363097">
        <w:rPr>
          <w:noProof/>
        </w:rPr>
        <w:br/>
      </w:r>
      <w:r w:rsidRPr="00363097">
        <w:rPr>
          <w:b/>
          <w:bCs/>
          <w:noProof/>
        </w:rPr>
        <w:t>Filing the individual tax returns</w:t>
      </w:r>
    </w:p>
    <w:p w14:paraId="66EAD008" w14:textId="5B52B219" w:rsidR="00081B7A" w:rsidRPr="00363097" w:rsidRDefault="00634583" w:rsidP="00634583">
      <w:pPr>
        <w:pStyle w:val="ManualNumPar1"/>
        <w:rPr>
          <w:noProof/>
        </w:rPr>
      </w:pPr>
      <w:r w:rsidRPr="00634583">
        <w:t>1.</w:t>
      </w:r>
      <w:r w:rsidRPr="00634583">
        <w:tab/>
      </w:r>
      <w:r w:rsidR="00081B7A" w:rsidRPr="00363097">
        <w:rPr>
          <w:noProof/>
        </w:rPr>
        <w:t xml:space="preserve">Each BEFIT group member shall file its individual tax return with the competent authority of the Member State in which </w:t>
      </w:r>
      <w:r w:rsidR="00B15974" w:rsidRPr="00363097">
        <w:rPr>
          <w:noProof/>
        </w:rPr>
        <w:t>th</w:t>
      </w:r>
      <w:r w:rsidR="00B15974">
        <w:rPr>
          <w:noProof/>
        </w:rPr>
        <w:t>at</w:t>
      </w:r>
      <w:r w:rsidR="00B15974" w:rsidRPr="00363097">
        <w:rPr>
          <w:noProof/>
        </w:rPr>
        <w:t xml:space="preserve"> </w:t>
      </w:r>
      <w:r w:rsidR="00081B7A" w:rsidRPr="00363097">
        <w:rPr>
          <w:noProof/>
        </w:rPr>
        <w:t>BEFIT group member is resident for tax purposes or situated in the form of a permanent establishment no later than three months after receipt of the notice from the filing authority pursuant to Article 61(3)</w:t>
      </w:r>
      <w:r w:rsidR="001A512A" w:rsidRPr="00363097">
        <w:rPr>
          <w:noProof/>
        </w:rPr>
        <w:t>,</w:t>
      </w:r>
      <w:r w:rsidR="003A7C43">
        <w:rPr>
          <w:noProof/>
        </w:rPr>
        <w:t xml:space="preserve"> </w:t>
      </w:r>
      <w:r w:rsidR="00081B7A" w:rsidRPr="00363097">
        <w:rPr>
          <w:noProof/>
        </w:rPr>
        <w:t>(</w:t>
      </w:r>
      <w:r w:rsidR="00281324" w:rsidRPr="00363097">
        <w:rPr>
          <w:noProof/>
        </w:rPr>
        <w:t>4</w:t>
      </w:r>
      <w:r w:rsidR="00081B7A" w:rsidRPr="00363097">
        <w:rPr>
          <w:noProof/>
        </w:rPr>
        <w:t>)</w:t>
      </w:r>
      <w:r w:rsidR="001A512A" w:rsidRPr="00363097">
        <w:rPr>
          <w:noProof/>
        </w:rPr>
        <w:t xml:space="preserve"> or (</w:t>
      </w:r>
      <w:r w:rsidR="00281324" w:rsidRPr="00363097">
        <w:rPr>
          <w:noProof/>
        </w:rPr>
        <w:t>5</w:t>
      </w:r>
      <w:r w:rsidR="001A512A" w:rsidRPr="00363097">
        <w:rPr>
          <w:noProof/>
        </w:rPr>
        <w:t>)</w:t>
      </w:r>
      <w:r w:rsidR="00C33083" w:rsidRPr="00363097">
        <w:rPr>
          <w:noProof/>
        </w:rPr>
        <w:t xml:space="preserve">, or in case of a domestic group, no later than </w:t>
      </w:r>
      <w:r w:rsidR="00E21EEF" w:rsidRPr="00363097">
        <w:rPr>
          <w:noProof/>
        </w:rPr>
        <w:t>eight</w:t>
      </w:r>
      <w:r w:rsidR="00491074" w:rsidRPr="00363097">
        <w:rPr>
          <w:noProof/>
        </w:rPr>
        <w:t xml:space="preserve"> months </w:t>
      </w:r>
      <w:r w:rsidR="00392EC8" w:rsidRPr="00363097">
        <w:rPr>
          <w:noProof/>
        </w:rPr>
        <w:t>from</w:t>
      </w:r>
      <w:r w:rsidR="00491074" w:rsidRPr="00363097">
        <w:rPr>
          <w:noProof/>
        </w:rPr>
        <w:t xml:space="preserve"> the end of the fiscal year.</w:t>
      </w:r>
    </w:p>
    <w:p w14:paraId="593B9DF1" w14:textId="4D694A42" w:rsidR="00081B7A" w:rsidRPr="00363097" w:rsidRDefault="00634583" w:rsidP="00634583">
      <w:pPr>
        <w:pStyle w:val="ManualNumPar1"/>
        <w:rPr>
          <w:noProof/>
        </w:rPr>
      </w:pPr>
      <w:r w:rsidRPr="00634583">
        <w:t>2.</w:t>
      </w:r>
      <w:r w:rsidRPr="00634583">
        <w:tab/>
      </w:r>
      <w:r w:rsidR="00081B7A" w:rsidRPr="00363097">
        <w:rPr>
          <w:noProof/>
        </w:rPr>
        <w:t>The individual tax return shall comprise information on the following elements:</w:t>
      </w:r>
    </w:p>
    <w:p w14:paraId="5F271AFD" w14:textId="77777777" w:rsidR="00081B7A" w:rsidRPr="00363097" w:rsidRDefault="00081B7A" w:rsidP="00081B7A">
      <w:pPr>
        <w:pStyle w:val="Point1"/>
        <w:rPr>
          <w:noProof/>
        </w:rPr>
      </w:pPr>
      <w:r w:rsidRPr="00363097">
        <w:rPr>
          <w:noProof/>
        </w:rPr>
        <w:t>(</w:t>
      </w:r>
      <w:r w:rsidR="00E95A12" w:rsidRPr="00363097">
        <w:rPr>
          <w:noProof/>
        </w:rPr>
        <w:t>a</w:t>
      </w:r>
      <w:r w:rsidRPr="00363097">
        <w:rPr>
          <w:noProof/>
        </w:rPr>
        <w:t>)</w:t>
      </w:r>
      <w:r w:rsidRPr="00363097">
        <w:rPr>
          <w:noProof/>
        </w:rPr>
        <w:tab/>
        <w:t xml:space="preserve">the </w:t>
      </w:r>
      <w:r w:rsidRPr="00363097" w:rsidDel="002E7161">
        <w:rPr>
          <w:noProof/>
        </w:rPr>
        <w:t>computation</w:t>
      </w:r>
      <w:r w:rsidRPr="00363097">
        <w:rPr>
          <w:noProof/>
        </w:rPr>
        <w:t xml:space="preserve"> of </w:t>
      </w:r>
      <w:r w:rsidR="00F958F8" w:rsidRPr="00363097">
        <w:rPr>
          <w:noProof/>
        </w:rPr>
        <w:t xml:space="preserve">the </w:t>
      </w:r>
      <w:r w:rsidRPr="00363097">
        <w:rPr>
          <w:noProof/>
        </w:rPr>
        <w:t>preliminary tax result of the BEFIT group member;</w:t>
      </w:r>
    </w:p>
    <w:p w14:paraId="7A434016" w14:textId="77777777" w:rsidR="00081B7A" w:rsidRPr="00363097" w:rsidRDefault="00081B7A" w:rsidP="00081B7A">
      <w:pPr>
        <w:pStyle w:val="Point1"/>
        <w:rPr>
          <w:noProof/>
        </w:rPr>
      </w:pPr>
      <w:r w:rsidRPr="00363097">
        <w:rPr>
          <w:noProof/>
        </w:rPr>
        <w:t>(</w:t>
      </w:r>
      <w:r w:rsidR="00E95A12" w:rsidRPr="00363097">
        <w:rPr>
          <w:noProof/>
        </w:rPr>
        <w:t>b</w:t>
      </w:r>
      <w:r w:rsidRPr="00363097">
        <w:rPr>
          <w:noProof/>
        </w:rPr>
        <w:t>)</w:t>
      </w:r>
      <w:r w:rsidRPr="00363097">
        <w:rPr>
          <w:noProof/>
        </w:rPr>
        <w:tab/>
        <w:t xml:space="preserve">the part allocated to the BEFIT group member in accordance with Article 45; </w:t>
      </w:r>
    </w:p>
    <w:p w14:paraId="00FE8694" w14:textId="77777777" w:rsidR="00081B7A" w:rsidRPr="00363097" w:rsidRDefault="00081B7A" w:rsidP="00081B7A">
      <w:pPr>
        <w:pStyle w:val="Point1"/>
        <w:rPr>
          <w:noProof/>
        </w:rPr>
      </w:pPr>
      <w:r w:rsidRPr="00363097">
        <w:rPr>
          <w:noProof/>
        </w:rPr>
        <w:t>(</w:t>
      </w:r>
      <w:r w:rsidR="00E95A12" w:rsidRPr="00363097">
        <w:rPr>
          <w:noProof/>
        </w:rPr>
        <w:t>c</w:t>
      </w:r>
      <w:r w:rsidRPr="00363097">
        <w:rPr>
          <w:noProof/>
        </w:rPr>
        <w:t>)</w:t>
      </w:r>
      <w:r w:rsidRPr="00363097">
        <w:rPr>
          <w:noProof/>
        </w:rPr>
        <w:tab/>
        <w:t xml:space="preserve">the items that shall adjust the allocated part </w:t>
      </w:r>
      <w:r w:rsidR="005763E8" w:rsidRPr="00363097">
        <w:rPr>
          <w:noProof/>
        </w:rPr>
        <w:t>in accordance with</w:t>
      </w:r>
      <w:r w:rsidRPr="00363097">
        <w:rPr>
          <w:noProof/>
        </w:rPr>
        <w:t xml:space="preserve"> Article 48 in the Member State in which the BEFIT group member is resident for tax purposes or situated in the form of a permanent establishment;</w:t>
      </w:r>
    </w:p>
    <w:p w14:paraId="3F7D9589" w14:textId="77777777" w:rsidR="00081B7A" w:rsidRPr="00363097" w:rsidRDefault="00081B7A" w:rsidP="00081B7A">
      <w:pPr>
        <w:pStyle w:val="Point1"/>
        <w:rPr>
          <w:noProof/>
        </w:rPr>
      </w:pPr>
      <w:r w:rsidRPr="00363097">
        <w:rPr>
          <w:noProof/>
        </w:rPr>
        <w:t>(</w:t>
      </w:r>
      <w:r w:rsidR="00E95A12" w:rsidRPr="00363097">
        <w:rPr>
          <w:noProof/>
        </w:rPr>
        <w:t>d</w:t>
      </w:r>
      <w:r w:rsidRPr="00363097">
        <w:rPr>
          <w:noProof/>
        </w:rPr>
        <w:t>)</w:t>
      </w:r>
      <w:r w:rsidRPr="00363097">
        <w:rPr>
          <w:noProof/>
        </w:rPr>
        <w:tab/>
        <w:t>credits that apply, to relieve foreign tax, in the Member State in which the BEFIT group member is resident for tax purposes or situated in the form of a permanent establishment.</w:t>
      </w:r>
    </w:p>
    <w:p w14:paraId="4FDE8455" w14:textId="7B642EEE" w:rsidR="00081B7A" w:rsidRPr="00363097" w:rsidRDefault="00634583" w:rsidP="00634583">
      <w:pPr>
        <w:pStyle w:val="ManualNumPar1"/>
        <w:rPr>
          <w:noProof/>
        </w:rPr>
      </w:pPr>
      <w:r w:rsidRPr="00634583">
        <w:t>3.</w:t>
      </w:r>
      <w:r w:rsidRPr="00634583">
        <w:tab/>
      </w:r>
      <w:r w:rsidR="00081B7A" w:rsidRPr="00363097">
        <w:rPr>
          <w:noProof/>
        </w:rPr>
        <w:t xml:space="preserve">Notwithstanding the provisions in paragraph 1, members of the same BEFIT group which are resident for tax purposes or situated in the form of a permanent establishment in the same Member State may </w:t>
      </w:r>
      <w:r w:rsidR="00B14CB2" w:rsidRPr="00363097">
        <w:rPr>
          <w:noProof/>
        </w:rPr>
        <w:t>choose</w:t>
      </w:r>
      <w:r w:rsidR="00081B7A" w:rsidRPr="00363097">
        <w:rPr>
          <w:noProof/>
        </w:rPr>
        <w:t xml:space="preserve"> to file one combined individual tax return in that Member State.</w:t>
      </w:r>
    </w:p>
    <w:p w14:paraId="268794D6" w14:textId="77777777" w:rsidR="00081B7A" w:rsidRPr="00363097" w:rsidRDefault="00081B7A" w:rsidP="006B487B">
      <w:pPr>
        <w:pStyle w:val="Titrearticle2"/>
        <w:rPr>
          <w:b/>
          <w:bCs/>
          <w:noProof/>
        </w:rPr>
      </w:pPr>
      <w:r w:rsidRPr="00363097">
        <w:rPr>
          <w:noProof/>
        </w:rPr>
        <w:t>Article 63</w:t>
      </w:r>
      <w:r w:rsidRPr="00363097">
        <w:rPr>
          <w:noProof/>
        </w:rPr>
        <w:br/>
      </w:r>
      <w:r w:rsidRPr="00363097">
        <w:rPr>
          <w:b/>
          <w:bCs/>
          <w:noProof/>
        </w:rPr>
        <w:t>Notification of errors in the individual tax return</w:t>
      </w:r>
    </w:p>
    <w:p w14:paraId="3A65950F" w14:textId="1101569B" w:rsidR="00081B7A" w:rsidRPr="00363097" w:rsidRDefault="00634583" w:rsidP="00634583">
      <w:pPr>
        <w:pStyle w:val="ManualNumPar1"/>
        <w:rPr>
          <w:noProof/>
        </w:rPr>
      </w:pPr>
      <w:r w:rsidRPr="00634583">
        <w:t>1.</w:t>
      </w:r>
      <w:r w:rsidRPr="00634583">
        <w:tab/>
      </w:r>
      <w:r w:rsidR="00081B7A" w:rsidRPr="00363097">
        <w:rPr>
          <w:noProof/>
        </w:rPr>
        <w:t xml:space="preserve">A BEFIT group member shall notify the competent authority of the Member State in which it is resident for tax purposes or situated in the form of a permanent establishment of errors in the individual tax return within two months of the timely submission of such return. </w:t>
      </w:r>
    </w:p>
    <w:p w14:paraId="66142695" w14:textId="10CFDA96" w:rsidR="00081B7A" w:rsidRPr="00363097" w:rsidRDefault="00634583" w:rsidP="00634583">
      <w:pPr>
        <w:pStyle w:val="ManualNumPar1"/>
        <w:rPr>
          <w:noProof/>
        </w:rPr>
      </w:pPr>
      <w:r w:rsidRPr="00634583">
        <w:t>2.</w:t>
      </w:r>
      <w:r w:rsidRPr="00634583">
        <w:tab/>
      </w:r>
      <w:r w:rsidR="00081B7A" w:rsidRPr="00363097">
        <w:rPr>
          <w:noProof/>
        </w:rPr>
        <w:t xml:space="preserve">If the errors require adjustments that affect the BEFIT tax base of the BEFIT group, the competent authority of the Member State in which the BEFIT group member has filed its individual tax return shall immediately notify, via the BEFIT team, the filing authority and the competent authorities of the other Member States in which members of the same BEFIT group are resident for tax purposes or situated in the form of a permanent establishment. </w:t>
      </w:r>
    </w:p>
    <w:p w14:paraId="2E18FC92" w14:textId="19A2ACE7" w:rsidR="00081B7A" w:rsidRPr="00363097" w:rsidRDefault="00634583" w:rsidP="00634583">
      <w:pPr>
        <w:pStyle w:val="ManualNumPar1"/>
        <w:rPr>
          <w:noProof/>
        </w:rPr>
      </w:pPr>
      <w:r w:rsidRPr="00634583">
        <w:t>3.</w:t>
      </w:r>
      <w:r w:rsidRPr="00634583">
        <w:tab/>
      </w:r>
      <w:r w:rsidR="00081B7A" w:rsidRPr="00363097">
        <w:rPr>
          <w:noProof/>
        </w:rPr>
        <w:t>The filing authority shall issue a revised BEFIT information return within a month and transmit this return immediately, via the BEFIT team, to the competent authorities of all Member States in which the BEFIT group members are resident for tax purposes or situated in the form of a permanent establishment. The filing authority and the competent authorities of all Member States in which members of the same BEFIT group are resident for tax purposes or situated in the form of a permanent establishment shall issue amended tax assessments in accordance with Article 64 where appropriate.</w:t>
      </w:r>
    </w:p>
    <w:p w14:paraId="0F9E29BC" w14:textId="7F772A67" w:rsidR="00081B7A" w:rsidRPr="00363097" w:rsidRDefault="00634583" w:rsidP="00634583">
      <w:pPr>
        <w:pStyle w:val="ManualNumPar1"/>
        <w:rPr>
          <w:noProof/>
        </w:rPr>
      </w:pPr>
      <w:r w:rsidRPr="00634583">
        <w:t>4.</w:t>
      </w:r>
      <w:r w:rsidRPr="00634583">
        <w:tab/>
      </w:r>
      <w:r w:rsidR="00081B7A" w:rsidRPr="00363097">
        <w:rPr>
          <w:noProof/>
        </w:rPr>
        <w:t>Notwithstanding</w:t>
      </w:r>
      <w:r w:rsidR="00081B7A" w:rsidRPr="00363097" w:rsidDel="000B7111">
        <w:rPr>
          <w:noProof/>
        </w:rPr>
        <w:t xml:space="preserve"> </w:t>
      </w:r>
      <w:r w:rsidR="00081B7A" w:rsidRPr="00363097">
        <w:rPr>
          <w:noProof/>
        </w:rPr>
        <w:t>paragraph 3, no amended tax assessment shall be issued in order to adjust the BEFIT tax base, where the difference between the initially declared BEFIT tax base and the revised BEFIT tax base does not exceed the lower of EUR 10 000 or 1% of the BEFIT</w:t>
      </w:r>
      <w:r w:rsidR="00081B7A" w:rsidRPr="00363097" w:rsidDel="00975FE8">
        <w:rPr>
          <w:noProof/>
        </w:rPr>
        <w:t xml:space="preserve"> </w:t>
      </w:r>
      <w:r w:rsidR="00081B7A" w:rsidRPr="00363097">
        <w:rPr>
          <w:noProof/>
        </w:rPr>
        <w:t>tax base.</w:t>
      </w:r>
    </w:p>
    <w:p w14:paraId="41B3C9B8" w14:textId="77777777" w:rsidR="00081B7A" w:rsidRPr="00363097" w:rsidRDefault="00081B7A" w:rsidP="006B487B">
      <w:pPr>
        <w:pStyle w:val="Titrearticle2"/>
        <w:rPr>
          <w:b/>
          <w:bCs/>
          <w:noProof/>
        </w:rPr>
      </w:pPr>
      <w:r w:rsidRPr="00363097">
        <w:rPr>
          <w:noProof/>
        </w:rPr>
        <w:t>Article 64</w:t>
      </w:r>
      <w:r w:rsidRPr="00363097">
        <w:rPr>
          <w:noProof/>
        </w:rPr>
        <w:br/>
      </w:r>
      <w:r w:rsidRPr="00363097">
        <w:rPr>
          <w:b/>
          <w:bCs/>
          <w:noProof/>
        </w:rPr>
        <w:t>Individual tax assessments</w:t>
      </w:r>
    </w:p>
    <w:p w14:paraId="294E6911" w14:textId="054692B7" w:rsidR="00081B7A" w:rsidRPr="00363097" w:rsidRDefault="00634583" w:rsidP="00634583">
      <w:pPr>
        <w:pStyle w:val="ManualNumPar1"/>
        <w:rPr>
          <w:noProof/>
        </w:rPr>
      </w:pPr>
      <w:r w:rsidRPr="00634583">
        <w:t>1.</w:t>
      </w:r>
      <w:r w:rsidRPr="00634583">
        <w:tab/>
      </w:r>
      <w:r w:rsidR="00081B7A" w:rsidRPr="00363097">
        <w:rPr>
          <w:noProof/>
        </w:rPr>
        <w:t xml:space="preserve">The competent authority of the Member State in which a BEFIT group member filed its individual tax return shall issue an individual tax assessment in accordance with the individual tax return. The enforcement of the tax liability shall be governed by the law of that Member State. </w:t>
      </w:r>
    </w:p>
    <w:p w14:paraId="4021871E" w14:textId="12ACABC6" w:rsidR="00081B7A" w:rsidRPr="00363097" w:rsidRDefault="00634583" w:rsidP="00634583">
      <w:pPr>
        <w:pStyle w:val="ManualNumPar1"/>
        <w:rPr>
          <w:noProof/>
        </w:rPr>
      </w:pPr>
      <w:r w:rsidRPr="00634583">
        <w:t>2.</w:t>
      </w:r>
      <w:r w:rsidRPr="00634583">
        <w:tab/>
      </w:r>
      <w:r w:rsidR="00081B7A" w:rsidRPr="00363097">
        <w:rPr>
          <w:noProof/>
        </w:rPr>
        <w:t xml:space="preserve">Where required, the competent authority of the Member State in which the BEFIT group member filed its individual tax return shall issue an amended tax assessment. Where the adjustments affect the BEFIT tax base, the competent authority of the Member State in which the BEFIT group member has filed its individual tax return shall immediately notify, via the BEFIT team, the filing authority and the competent authorities of all other Member States in which the other members of the same BEFIT group are resident for tax purposes or situated in the form of a permanent establishment. </w:t>
      </w:r>
    </w:p>
    <w:p w14:paraId="614970D9" w14:textId="529E0182" w:rsidR="00081B7A" w:rsidRPr="00363097" w:rsidRDefault="00634583" w:rsidP="00634583">
      <w:pPr>
        <w:pStyle w:val="ManualNumPar1"/>
        <w:rPr>
          <w:noProof/>
        </w:rPr>
      </w:pPr>
      <w:r w:rsidRPr="00634583">
        <w:t>3.</w:t>
      </w:r>
      <w:r w:rsidRPr="00634583">
        <w:tab/>
      </w:r>
      <w:r w:rsidR="00081B7A" w:rsidRPr="00363097">
        <w:rPr>
          <w:noProof/>
        </w:rPr>
        <w:t>Following receipt of an amended tax assessment in accordance with paragraph 2, the filing authority shall issue a revised BEFIT information return within a month and transmit this return immediately, via the BEFIT team, to the competent authorities of all Member States in which the BEFIT group members are resident for tax purposes or situated in the form of a permanent establishment. The filing authority and the competent authorities of the other Member States in which members of the same BEFIT group are resident for tax purposes or situated in the form of a permanent establishment shall issue amended tax assessments in accordance with paragraph 2, where appropriate.</w:t>
      </w:r>
    </w:p>
    <w:p w14:paraId="597B24B3" w14:textId="74393B1F" w:rsidR="00081B7A" w:rsidRPr="00363097" w:rsidRDefault="00634583" w:rsidP="00634583">
      <w:pPr>
        <w:pStyle w:val="ManualNumPar1"/>
        <w:rPr>
          <w:noProof/>
        </w:rPr>
      </w:pPr>
      <w:r w:rsidRPr="00634583">
        <w:t>4.</w:t>
      </w:r>
      <w:r w:rsidRPr="00634583">
        <w:tab/>
      </w:r>
      <w:r w:rsidR="00081B7A" w:rsidRPr="00363097">
        <w:rPr>
          <w:noProof/>
        </w:rPr>
        <w:t>Notwithstanding paragraph 3, no amended tax assessment shall be issued in order to adjust the BEFIT tax base, where the difference between the initially declared BEFIT tax base and the revised BEFIT tax base does not exceed the lower of EUR 10,000 or 1% of the BEFIT tax base.</w:t>
      </w:r>
    </w:p>
    <w:p w14:paraId="643BC822" w14:textId="77777777" w:rsidR="00081B7A" w:rsidRPr="00363097" w:rsidRDefault="00081B7A" w:rsidP="00081B7A">
      <w:pPr>
        <w:pStyle w:val="SectionTitle"/>
        <w:rPr>
          <w:noProof/>
        </w:rPr>
      </w:pPr>
      <w:r w:rsidRPr="00363097">
        <w:rPr>
          <w:noProof/>
        </w:rPr>
        <w:t>Section 5</w:t>
      </w:r>
      <w:r w:rsidRPr="00363097">
        <w:rPr>
          <w:noProof/>
        </w:rPr>
        <w:br/>
        <w:t>Audits</w:t>
      </w:r>
    </w:p>
    <w:p w14:paraId="6479A9C6" w14:textId="77777777" w:rsidR="00081B7A" w:rsidRPr="00363097" w:rsidRDefault="00081B7A" w:rsidP="006B487B">
      <w:pPr>
        <w:pStyle w:val="Titrearticle2"/>
        <w:rPr>
          <w:b/>
          <w:bCs/>
          <w:iCs/>
          <w:noProof/>
        </w:rPr>
      </w:pPr>
      <w:r w:rsidRPr="00363097">
        <w:rPr>
          <w:noProof/>
        </w:rPr>
        <w:t xml:space="preserve">Article </w:t>
      </w:r>
      <w:r w:rsidR="00670BE8" w:rsidRPr="00363097">
        <w:rPr>
          <w:noProof/>
        </w:rPr>
        <w:t>65</w:t>
      </w:r>
      <w:r w:rsidRPr="00363097">
        <w:rPr>
          <w:noProof/>
        </w:rPr>
        <w:br/>
      </w:r>
      <w:r w:rsidRPr="00363097">
        <w:rPr>
          <w:b/>
          <w:bCs/>
          <w:iCs/>
          <w:noProof/>
        </w:rPr>
        <w:t xml:space="preserve">Audits </w:t>
      </w:r>
    </w:p>
    <w:p w14:paraId="2A730093" w14:textId="0C069971" w:rsidR="00081B7A" w:rsidRPr="00363097" w:rsidRDefault="00634583" w:rsidP="00634583">
      <w:pPr>
        <w:pStyle w:val="ManualNumPar1"/>
        <w:rPr>
          <w:noProof/>
        </w:rPr>
      </w:pPr>
      <w:r w:rsidRPr="00634583">
        <w:t>1.</w:t>
      </w:r>
      <w:r w:rsidRPr="00634583">
        <w:tab/>
      </w:r>
      <w:r w:rsidR="00081B7A" w:rsidRPr="00363097">
        <w:rPr>
          <w:noProof/>
        </w:rPr>
        <w:t xml:space="preserve">The competent authority of a Member State may initiate and coordinate audits of BEFIT group members that are resident for tax purposes or situated in the form of a permanent establishment in that Member State. </w:t>
      </w:r>
    </w:p>
    <w:p w14:paraId="18E9D39B" w14:textId="4A9D34FD" w:rsidR="00081B7A" w:rsidRPr="00363097" w:rsidRDefault="00634583" w:rsidP="00634583">
      <w:pPr>
        <w:pStyle w:val="ManualNumPar1"/>
        <w:rPr>
          <w:noProof/>
          <w:szCs w:val="24"/>
        </w:rPr>
      </w:pPr>
      <w:r w:rsidRPr="00634583">
        <w:t>2.</w:t>
      </w:r>
      <w:r w:rsidRPr="00634583">
        <w:tab/>
      </w:r>
      <w:r w:rsidR="00081B7A" w:rsidRPr="00363097">
        <w:rPr>
          <w:noProof/>
        </w:rPr>
        <w:t xml:space="preserve">The competent authority of a Member State in which a BEFIT </w:t>
      </w:r>
      <w:r w:rsidR="00081B7A" w:rsidRPr="00363097">
        <w:rPr>
          <w:noProof/>
          <w:szCs w:val="24"/>
        </w:rPr>
        <w:t>group member</w:t>
      </w:r>
      <w:r w:rsidR="00081B7A" w:rsidRPr="00363097">
        <w:rPr>
          <w:noProof/>
        </w:rPr>
        <w:t xml:space="preserve"> is resident for tax purposes or situated in the form of a permanent establishment may be requested by the competent authority of another Member State in which there is at least one </w:t>
      </w:r>
      <w:r w:rsidR="001F5A9E" w:rsidRPr="00363097">
        <w:rPr>
          <w:noProof/>
        </w:rPr>
        <w:t xml:space="preserve">member </w:t>
      </w:r>
      <w:r w:rsidR="00081B7A" w:rsidRPr="00363097">
        <w:rPr>
          <w:noProof/>
        </w:rPr>
        <w:t xml:space="preserve">of the same BEFIT </w:t>
      </w:r>
      <w:r w:rsidR="00081B7A" w:rsidRPr="00363097">
        <w:rPr>
          <w:noProof/>
          <w:szCs w:val="24"/>
        </w:rPr>
        <w:t>group</w:t>
      </w:r>
      <w:r w:rsidR="00081B7A" w:rsidRPr="00363097">
        <w:rPr>
          <w:noProof/>
        </w:rPr>
        <w:t xml:space="preserve"> to engage in a joint audit with the latter authority. Joint audits shall be conducted in accordance with </w:t>
      </w:r>
      <w:r w:rsidR="001F7461">
        <w:rPr>
          <w:noProof/>
        </w:rPr>
        <w:t xml:space="preserve">Article 12 of </w:t>
      </w:r>
      <w:r w:rsidR="00081B7A" w:rsidRPr="00363097">
        <w:rPr>
          <w:noProof/>
          <w:szCs w:val="24"/>
        </w:rPr>
        <w:t>Council Directive 2011/16/EU</w:t>
      </w:r>
      <w:r w:rsidR="00081B7A" w:rsidRPr="00363097">
        <w:rPr>
          <w:rStyle w:val="FootnoteReference0"/>
          <w:noProof/>
          <w:szCs w:val="24"/>
        </w:rPr>
        <w:footnoteReference w:id="36"/>
      </w:r>
      <w:r w:rsidR="00044323" w:rsidRPr="00363097">
        <w:rPr>
          <w:noProof/>
          <w:szCs w:val="24"/>
        </w:rPr>
        <w:t xml:space="preserve"> </w:t>
      </w:r>
      <w:r w:rsidR="00081B7A" w:rsidRPr="00363097">
        <w:rPr>
          <w:noProof/>
          <w:szCs w:val="24"/>
        </w:rPr>
        <w:t>on administrative cooperation in the field of taxation.</w:t>
      </w:r>
      <w:r w:rsidR="00081B7A" w:rsidRPr="00363097">
        <w:rPr>
          <w:noProof/>
        </w:rPr>
        <w:t xml:space="preserve"> Notwithstanding </w:t>
      </w:r>
      <w:r w:rsidR="00AB67ED" w:rsidRPr="00363097">
        <w:rPr>
          <w:noProof/>
        </w:rPr>
        <w:t>this</w:t>
      </w:r>
      <w:r w:rsidR="00FF7263" w:rsidRPr="00363097">
        <w:rPr>
          <w:noProof/>
        </w:rPr>
        <w:t xml:space="preserve"> </w:t>
      </w:r>
      <w:r w:rsidR="00081B7A" w:rsidRPr="00363097">
        <w:rPr>
          <w:noProof/>
        </w:rPr>
        <w:t xml:space="preserve">rule, the requested competent authority shall accept such request and inform the BEFIT team. </w:t>
      </w:r>
    </w:p>
    <w:p w14:paraId="5D67B0BB" w14:textId="4ECDDCD2" w:rsidR="00081B7A" w:rsidRPr="00363097" w:rsidRDefault="00634583" w:rsidP="00634583">
      <w:pPr>
        <w:pStyle w:val="ManualNumPar1"/>
        <w:rPr>
          <w:noProof/>
        </w:rPr>
      </w:pPr>
      <w:r w:rsidRPr="00634583">
        <w:t>3.</w:t>
      </w:r>
      <w:r w:rsidRPr="00634583">
        <w:tab/>
      </w:r>
      <w:r w:rsidR="00081B7A" w:rsidRPr="00363097">
        <w:rPr>
          <w:noProof/>
        </w:rPr>
        <w:t>An audit (including joint audit) shall be conducted in accordance with the national legislation of the Member State in which it is carried out, subject to such adjustments as are necessary to ensure the proper implementation of this Directive. Those audits may include inquiries, inspections or examinations of any kind for the purpose of verifying the compliance of a taxpayer with this Directive.</w:t>
      </w:r>
    </w:p>
    <w:p w14:paraId="6DF3E473" w14:textId="5DC44D14" w:rsidR="00081B7A" w:rsidRPr="00363097" w:rsidRDefault="00634583" w:rsidP="00634583">
      <w:pPr>
        <w:pStyle w:val="ManualNumPar1"/>
        <w:rPr>
          <w:noProof/>
          <w:szCs w:val="24"/>
        </w:rPr>
      </w:pPr>
      <w:r w:rsidRPr="00634583">
        <w:t>4.</w:t>
      </w:r>
      <w:r w:rsidRPr="00634583">
        <w:tab/>
      </w:r>
      <w:r w:rsidR="00081B7A" w:rsidRPr="00363097">
        <w:rPr>
          <w:noProof/>
        </w:rPr>
        <w:t>The competent authority of the Member State in which the audit or joint audit is carried out shall inform the BEFIT team of the results of an audit or joint audit which affects the outcome of the allocation of the BEFIT tax base for the fiscal year that it refers to. The other members of the BEFIT team shall express their views within three months.</w:t>
      </w:r>
    </w:p>
    <w:p w14:paraId="40900CE8" w14:textId="64F31D9F" w:rsidR="00081B7A" w:rsidRPr="00363097" w:rsidRDefault="00634583" w:rsidP="00634583">
      <w:pPr>
        <w:pStyle w:val="ManualNumPar1"/>
        <w:rPr>
          <w:noProof/>
          <w:szCs w:val="24"/>
        </w:rPr>
      </w:pPr>
      <w:r w:rsidRPr="00634583">
        <w:t>5.</w:t>
      </w:r>
      <w:r w:rsidRPr="00634583">
        <w:tab/>
      </w:r>
      <w:r w:rsidR="00081B7A" w:rsidRPr="00363097">
        <w:rPr>
          <w:noProof/>
        </w:rPr>
        <w:t>Following an audit or joint audit which affects the outcome of the allocation of the BEFIT tax base in paragraph 4, the filing authority shall issue a revised BEFIT information return within a month and transmit this return immediately, via the BEFIT team, to the competent authorities of all Member States in which the BEFIT group members are resident for tax purposes or situated in the form of a permanent establishment. The filing authority and the competent authorities of the other Member States in which members of the same BEFIT group are resident for tax purposes or situated in the form of a permanent establishment shall issue amended tax assessments in accordance with Article 64, where appropriate.</w:t>
      </w:r>
    </w:p>
    <w:p w14:paraId="714C074E" w14:textId="1AAC7437" w:rsidR="00081B7A" w:rsidRPr="00363097" w:rsidRDefault="00634583" w:rsidP="00634583">
      <w:pPr>
        <w:pStyle w:val="ManualNumPar1"/>
        <w:rPr>
          <w:noProof/>
        </w:rPr>
      </w:pPr>
      <w:r w:rsidRPr="00634583">
        <w:t>6.</w:t>
      </w:r>
      <w:r w:rsidRPr="00634583">
        <w:tab/>
      </w:r>
      <w:r w:rsidR="00081B7A" w:rsidRPr="00363097">
        <w:rPr>
          <w:noProof/>
        </w:rPr>
        <w:t>Notwithstanding</w:t>
      </w:r>
      <w:r w:rsidR="00081B7A" w:rsidRPr="00363097" w:rsidDel="00F31876">
        <w:rPr>
          <w:noProof/>
        </w:rPr>
        <w:t xml:space="preserve"> </w:t>
      </w:r>
      <w:r w:rsidR="00081B7A" w:rsidRPr="00363097">
        <w:rPr>
          <w:noProof/>
        </w:rPr>
        <w:t xml:space="preserve">paragraph </w:t>
      </w:r>
      <w:r w:rsidR="00BD2F5B" w:rsidRPr="00363097">
        <w:rPr>
          <w:noProof/>
        </w:rPr>
        <w:t>5</w:t>
      </w:r>
      <w:r w:rsidR="00081B7A" w:rsidRPr="00363097">
        <w:rPr>
          <w:noProof/>
        </w:rPr>
        <w:t>, no amended tax assessment shall be issued, in order to adjust the BEFIT tax base, where the difference between the initially declared BEFIT tax base and the revised BEFIT tax base does not exceed the lower of EUR 10 000 or 1% of the BEFIT tax base.</w:t>
      </w:r>
    </w:p>
    <w:p w14:paraId="0CC1322D" w14:textId="77777777" w:rsidR="00081B7A" w:rsidRPr="00363097" w:rsidRDefault="00081B7A" w:rsidP="00081B7A">
      <w:pPr>
        <w:pStyle w:val="SectionTitle"/>
        <w:rPr>
          <w:noProof/>
        </w:rPr>
      </w:pPr>
      <w:r w:rsidRPr="00363097">
        <w:rPr>
          <w:noProof/>
        </w:rPr>
        <w:t>Section 6</w:t>
      </w:r>
      <w:r w:rsidRPr="00363097">
        <w:rPr>
          <w:noProof/>
        </w:rPr>
        <w:br/>
        <w:t>Appeals</w:t>
      </w:r>
    </w:p>
    <w:p w14:paraId="6AAE9F1E" w14:textId="77777777" w:rsidR="00081B7A" w:rsidRPr="00363097" w:rsidRDefault="00081B7A" w:rsidP="006B487B">
      <w:pPr>
        <w:pStyle w:val="Titrearticle2"/>
        <w:rPr>
          <w:b/>
          <w:bCs/>
          <w:noProof/>
        </w:rPr>
      </w:pPr>
      <w:r w:rsidRPr="00363097">
        <w:rPr>
          <w:noProof/>
        </w:rPr>
        <w:t xml:space="preserve">Article </w:t>
      </w:r>
      <w:r w:rsidR="00670BE8" w:rsidRPr="00363097">
        <w:rPr>
          <w:noProof/>
        </w:rPr>
        <w:t>66</w:t>
      </w:r>
      <w:r w:rsidRPr="00363097">
        <w:rPr>
          <w:noProof/>
        </w:rPr>
        <w:br/>
      </w:r>
      <w:r w:rsidRPr="00363097">
        <w:rPr>
          <w:b/>
          <w:bCs/>
          <w:noProof/>
        </w:rPr>
        <w:t xml:space="preserve">Administrative appeals in relation to </w:t>
      </w:r>
      <w:r w:rsidR="003F17EA" w:rsidRPr="00363097">
        <w:rPr>
          <w:b/>
          <w:bCs/>
          <w:noProof/>
        </w:rPr>
        <w:t xml:space="preserve">the </w:t>
      </w:r>
      <w:r w:rsidRPr="00363097">
        <w:rPr>
          <w:b/>
          <w:bCs/>
          <w:noProof/>
        </w:rPr>
        <w:t>BEFIT information return</w:t>
      </w:r>
    </w:p>
    <w:p w14:paraId="481B39A2" w14:textId="5838EB6C" w:rsidR="00081B7A" w:rsidRPr="00363097" w:rsidRDefault="00634583" w:rsidP="00634583">
      <w:pPr>
        <w:pStyle w:val="ManualNumPar1"/>
        <w:rPr>
          <w:noProof/>
          <w:lang w:val="en-IE" w:eastAsia="en-IE"/>
        </w:rPr>
      </w:pPr>
      <w:r w:rsidRPr="00634583">
        <w:t>1.</w:t>
      </w:r>
      <w:r w:rsidRPr="00634583">
        <w:tab/>
      </w:r>
      <w:r w:rsidR="00081B7A" w:rsidRPr="00363097">
        <w:rPr>
          <w:noProof/>
          <w:lang w:val="en-IE" w:eastAsia="en-IE"/>
        </w:rPr>
        <w:t xml:space="preserve">The </w:t>
      </w:r>
      <w:r w:rsidR="00081B7A" w:rsidRPr="00363097">
        <w:rPr>
          <w:noProof/>
          <w:lang w:eastAsia="en-IE"/>
        </w:rPr>
        <w:t>filing entity</w:t>
      </w:r>
      <w:r w:rsidR="00081B7A" w:rsidRPr="00363097">
        <w:rPr>
          <w:noProof/>
          <w:lang w:val="en-IE" w:eastAsia="en-IE"/>
        </w:rPr>
        <w:t xml:space="preserve"> may appeal against the content of the </w:t>
      </w:r>
      <w:r w:rsidR="00081B7A" w:rsidRPr="00363097">
        <w:rPr>
          <w:noProof/>
          <w:lang w:eastAsia="en-IE"/>
        </w:rPr>
        <w:t>BEFIT information return</w:t>
      </w:r>
      <w:r w:rsidR="00081B7A" w:rsidRPr="00363097">
        <w:rPr>
          <w:noProof/>
          <w:lang w:val="en-IE" w:eastAsia="en-IE"/>
        </w:rPr>
        <w:t>, in accordance with Article 59, within two months after the return was issued or notified. The appeal shall be heard by an administrative body that</w:t>
      </w:r>
      <w:r w:rsidR="00FD4E96">
        <w:rPr>
          <w:noProof/>
          <w:lang w:val="en-IE" w:eastAsia="en-IE"/>
        </w:rPr>
        <w:t>,</w:t>
      </w:r>
      <w:r w:rsidR="00081B7A" w:rsidRPr="00363097">
        <w:rPr>
          <w:noProof/>
          <w:lang w:val="en-IE" w:eastAsia="en-IE"/>
        </w:rPr>
        <w:t xml:space="preserve"> in accordance with the law of the Member State of the </w:t>
      </w:r>
      <w:r w:rsidR="00081B7A" w:rsidRPr="00363097">
        <w:rPr>
          <w:noProof/>
          <w:lang w:eastAsia="en-IE"/>
        </w:rPr>
        <w:t>filing authority</w:t>
      </w:r>
      <w:r w:rsidR="00FD4E96">
        <w:rPr>
          <w:noProof/>
          <w:lang w:eastAsia="en-IE"/>
        </w:rPr>
        <w:t>,</w:t>
      </w:r>
      <w:r w:rsidR="00081B7A" w:rsidRPr="00363097">
        <w:rPr>
          <w:noProof/>
          <w:lang w:val="en-IE" w:eastAsia="en-IE"/>
        </w:rPr>
        <w:t xml:space="preserve"> is competent to hear appeals at first instance. The administrative appeal shall be governed by the law of the Member State of the </w:t>
      </w:r>
      <w:r w:rsidR="00081B7A" w:rsidRPr="00363097">
        <w:rPr>
          <w:noProof/>
          <w:lang w:eastAsia="en-IE"/>
        </w:rPr>
        <w:t>filing authority</w:t>
      </w:r>
      <w:r w:rsidR="00081B7A" w:rsidRPr="00363097">
        <w:rPr>
          <w:noProof/>
          <w:lang w:val="en-IE" w:eastAsia="en-IE"/>
        </w:rPr>
        <w:t xml:space="preserve">. Where there is no such administrative body in the Member State of the </w:t>
      </w:r>
      <w:r w:rsidR="00081B7A" w:rsidRPr="00363097">
        <w:rPr>
          <w:noProof/>
          <w:lang w:eastAsia="en-IE"/>
        </w:rPr>
        <w:t>filing authority</w:t>
      </w:r>
      <w:r w:rsidR="00081B7A" w:rsidRPr="00363097">
        <w:rPr>
          <w:noProof/>
          <w:lang w:val="en-IE" w:eastAsia="en-IE"/>
        </w:rPr>
        <w:t>, the BEFIT group member may lodge a judicial appeal directly.</w:t>
      </w:r>
    </w:p>
    <w:p w14:paraId="577EDFBB" w14:textId="12B58195"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In making submissions to the administrative body, the filing authority, as the case may be, shall consult, via the BEFIT team, the other competent authorities of Member States in which members of the same BEFIT group are resident for tax purposes or situated in the form of a permanent establishment. </w:t>
      </w:r>
    </w:p>
    <w:p w14:paraId="3959E7A5" w14:textId="4A17EB95"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The administrative body referred to in paragraph 1 shall decide on the appeal within two months. If the decision varies from the initial </w:t>
      </w:r>
      <w:r w:rsidR="00081B7A" w:rsidRPr="00363097">
        <w:rPr>
          <w:noProof/>
        </w:rPr>
        <w:t>BEFIT information return</w:t>
      </w:r>
      <w:r w:rsidR="00081B7A" w:rsidRPr="00363097">
        <w:rPr>
          <w:noProof/>
          <w:lang w:val="en-IE"/>
        </w:rPr>
        <w:t xml:space="preserve">, the varied decision shall replace the original </w:t>
      </w:r>
      <w:r w:rsidR="00081B7A" w:rsidRPr="00363097">
        <w:rPr>
          <w:noProof/>
        </w:rPr>
        <w:t>BEFIT information return</w:t>
      </w:r>
      <w:r w:rsidR="00081B7A" w:rsidRPr="00363097">
        <w:rPr>
          <w:noProof/>
          <w:lang w:val="en-IE"/>
        </w:rPr>
        <w:t xml:space="preserve">. If no decision is received by the </w:t>
      </w:r>
      <w:r w:rsidR="00081B7A" w:rsidRPr="00363097">
        <w:rPr>
          <w:noProof/>
        </w:rPr>
        <w:t>filing entity</w:t>
      </w:r>
      <w:r w:rsidR="00081B7A" w:rsidRPr="00363097">
        <w:rPr>
          <w:noProof/>
          <w:lang w:val="en-IE"/>
        </w:rPr>
        <w:t xml:space="preserve"> within that period, the </w:t>
      </w:r>
      <w:r w:rsidR="00081B7A" w:rsidRPr="00363097">
        <w:rPr>
          <w:noProof/>
        </w:rPr>
        <w:t xml:space="preserve">BEFIT information return </w:t>
      </w:r>
      <w:r w:rsidR="00081B7A" w:rsidRPr="00363097">
        <w:rPr>
          <w:noProof/>
          <w:lang w:val="en-IE"/>
        </w:rPr>
        <w:t>shall be deemed to have been confirmed.</w:t>
      </w:r>
    </w:p>
    <w:p w14:paraId="49186F32" w14:textId="5DDB88B2" w:rsidR="00081B7A" w:rsidRPr="00363097" w:rsidRDefault="00634583" w:rsidP="00634583">
      <w:pPr>
        <w:pStyle w:val="ManualNumPar1"/>
        <w:rPr>
          <w:noProof/>
          <w:lang w:val="en-IE"/>
        </w:rPr>
      </w:pPr>
      <w:r w:rsidRPr="00634583">
        <w:t>4.</w:t>
      </w:r>
      <w:r w:rsidRPr="00634583">
        <w:tab/>
      </w:r>
      <w:r w:rsidR="00081B7A" w:rsidRPr="00363097">
        <w:rPr>
          <w:noProof/>
          <w:lang w:val="en-IE"/>
        </w:rPr>
        <w:t xml:space="preserve">Notwithstanding Article 62(1), the time period for filing an individual tax return shall be initiated when the decision on the appeal is taken or the </w:t>
      </w:r>
      <w:r w:rsidR="00081B7A" w:rsidRPr="00363097">
        <w:rPr>
          <w:noProof/>
        </w:rPr>
        <w:t xml:space="preserve">BEFIT information return </w:t>
      </w:r>
      <w:r w:rsidR="00081B7A" w:rsidRPr="00363097">
        <w:rPr>
          <w:noProof/>
          <w:lang w:val="en-IE"/>
        </w:rPr>
        <w:t xml:space="preserve">is deemed to have been confirmed pursuant </w:t>
      </w:r>
      <w:r w:rsidR="00C33C21" w:rsidRPr="00363097">
        <w:rPr>
          <w:noProof/>
          <w:lang w:val="en-IE"/>
        </w:rPr>
        <w:t xml:space="preserve">to </w:t>
      </w:r>
      <w:r w:rsidR="00081B7A" w:rsidRPr="00363097">
        <w:rPr>
          <w:noProof/>
          <w:lang w:val="en-IE"/>
        </w:rPr>
        <w:t>paragraph 3.</w:t>
      </w:r>
    </w:p>
    <w:p w14:paraId="496EAB3A" w14:textId="77777777" w:rsidR="00081B7A" w:rsidRPr="00363097" w:rsidRDefault="00081B7A" w:rsidP="006B487B">
      <w:pPr>
        <w:pStyle w:val="Titrearticle2"/>
        <w:rPr>
          <w:b/>
          <w:bCs/>
          <w:noProof/>
        </w:rPr>
      </w:pPr>
      <w:r w:rsidRPr="00363097">
        <w:rPr>
          <w:noProof/>
        </w:rPr>
        <w:t xml:space="preserve">Article </w:t>
      </w:r>
      <w:r w:rsidR="00670BE8" w:rsidRPr="00363097">
        <w:rPr>
          <w:noProof/>
        </w:rPr>
        <w:t>67</w:t>
      </w:r>
      <w:r w:rsidRPr="00363097">
        <w:rPr>
          <w:noProof/>
        </w:rPr>
        <w:br/>
      </w:r>
      <w:r w:rsidRPr="00363097">
        <w:rPr>
          <w:b/>
          <w:bCs/>
          <w:noProof/>
        </w:rPr>
        <w:t xml:space="preserve">Administrative appeals in relation to individual tax assessments </w:t>
      </w:r>
    </w:p>
    <w:p w14:paraId="35ABB6A6" w14:textId="29B347F0" w:rsidR="00081B7A" w:rsidRPr="00363097" w:rsidRDefault="00634583" w:rsidP="00634583">
      <w:pPr>
        <w:pStyle w:val="ManualNumPar1"/>
        <w:rPr>
          <w:noProof/>
          <w:lang w:val="en-IE"/>
        </w:rPr>
      </w:pPr>
      <w:r w:rsidRPr="00634583">
        <w:t>1.</w:t>
      </w:r>
      <w:r w:rsidRPr="00634583">
        <w:tab/>
      </w:r>
      <w:r w:rsidR="00081B7A" w:rsidRPr="00363097">
        <w:rPr>
          <w:noProof/>
          <w:lang w:val="en-IE"/>
        </w:rPr>
        <w:t xml:space="preserve">A BEFIT group member may appeal against the content of the individual tax assesment made pursuant to Article 64 before the competent authority of the Member State where </w:t>
      </w:r>
      <w:r w:rsidR="007F2F8A" w:rsidRPr="00363097">
        <w:rPr>
          <w:noProof/>
          <w:lang w:val="en-IE"/>
        </w:rPr>
        <w:t>th</w:t>
      </w:r>
      <w:r w:rsidR="007F2F8A">
        <w:rPr>
          <w:noProof/>
          <w:lang w:val="en-IE"/>
        </w:rPr>
        <w:t>at</w:t>
      </w:r>
      <w:r w:rsidR="007F2F8A" w:rsidRPr="00363097">
        <w:rPr>
          <w:noProof/>
          <w:lang w:val="en-IE"/>
        </w:rPr>
        <w:t xml:space="preserve"> </w:t>
      </w:r>
      <w:r w:rsidR="00081B7A" w:rsidRPr="00363097">
        <w:rPr>
          <w:noProof/>
          <w:lang w:val="en-IE"/>
        </w:rPr>
        <w:t xml:space="preserve">BEFIT group member is resident for tax purposes or situated in the form of a permanent establishment within two months after the </w:t>
      </w:r>
      <w:r w:rsidR="00E548B2" w:rsidRPr="00363097">
        <w:rPr>
          <w:noProof/>
          <w:lang w:val="en-IE"/>
        </w:rPr>
        <w:t xml:space="preserve">assessment </w:t>
      </w:r>
      <w:r w:rsidR="00081B7A" w:rsidRPr="00363097">
        <w:rPr>
          <w:noProof/>
          <w:lang w:val="en-IE"/>
        </w:rPr>
        <w:t>was notified to it. The administrative appeal shall be heard by an administrative body that</w:t>
      </w:r>
      <w:r w:rsidR="006B21DD">
        <w:rPr>
          <w:noProof/>
          <w:lang w:val="en-IE"/>
        </w:rPr>
        <w:t>,</w:t>
      </w:r>
      <w:r w:rsidR="00081B7A" w:rsidRPr="00363097">
        <w:rPr>
          <w:noProof/>
          <w:lang w:val="en-IE"/>
        </w:rPr>
        <w:t xml:space="preserve"> in accordance with the law of the Member State of the BEFIT group member</w:t>
      </w:r>
      <w:r w:rsidR="006B21DD">
        <w:rPr>
          <w:noProof/>
          <w:lang w:val="en-IE"/>
        </w:rPr>
        <w:t>,</w:t>
      </w:r>
      <w:r w:rsidR="00081B7A" w:rsidRPr="00363097">
        <w:rPr>
          <w:noProof/>
          <w:lang w:val="en-IE"/>
        </w:rPr>
        <w:t xml:space="preserve"> is competent to hear appeals at first instance. The administrative appeal shall be governed by the law of the Member State in which </w:t>
      </w:r>
      <w:r w:rsidR="006B6721" w:rsidRPr="00363097">
        <w:rPr>
          <w:noProof/>
          <w:lang w:val="en-IE"/>
        </w:rPr>
        <w:t xml:space="preserve">the </w:t>
      </w:r>
      <w:r w:rsidR="00081B7A" w:rsidRPr="00363097">
        <w:rPr>
          <w:noProof/>
          <w:lang w:val="en-IE"/>
        </w:rPr>
        <w:t>BEFIT group member is resident for tax purposes or situated in the form of a permanent establishment. Where there is no such administrative body in the Member State where the BEFIT group member is resident for tax purposes or situated in the form of a permanent establishment, the BEFIT group member may lodge a judicial appeal directly.</w:t>
      </w:r>
    </w:p>
    <w:p w14:paraId="178ACB55" w14:textId="19E2B7D6"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In making submissions to the administrative body, the competent authority of a BEFIT group member, as the case may be, shall consult, via the BEFIT team, the other competent authorities of Member States in which members of the same BEFIT group are resident for tax purposes or situated in the form of a permanent establishment. </w:t>
      </w:r>
    </w:p>
    <w:p w14:paraId="42A74B3A" w14:textId="184B3FFE" w:rsidR="00081B7A" w:rsidRPr="00363097" w:rsidRDefault="00634583" w:rsidP="00634583">
      <w:pPr>
        <w:pStyle w:val="ManualNumPar1"/>
        <w:rPr>
          <w:noProof/>
          <w:szCs w:val="24"/>
          <w:lang w:val="en-IE"/>
        </w:rPr>
      </w:pPr>
      <w:r w:rsidRPr="00634583">
        <w:t>3.</w:t>
      </w:r>
      <w:r w:rsidRPr="00634583">
        <w:tab/>
      </w:r>
      <w:r w:rsidR="00081B7A" w:rsidRPr="00363097">
        <w:rPr>
          <w:noProof/>
          <w:lang w:val="en-IE"/>
        </w:rPr>
        <w:t xml:space="preserve">Where a decision taken pursuant to paragraph 1 affects the BEFIT tax base, the competent authority of the Member State in which the BEFIT group member filed its appeal shall notify, via the BEFIT team, the filing authority and the competent authorities of the other Member States in which members of the same BEFIT group are resident for tax purposes or situated in the form of a permanent establishment. The </w:t>
      </w:r>
      <w:r w:rsidR="00081B7A" w:rsidRPr="00363097">
        <w:rPr>
          <w:noProof/>
        </w:rPr>
        <w:t xml:space="preserve">filing authority </w:t>
      </w:r>
      <w:r w:rsidR="00081B7A" w:rsidRPr="00363097">
        <w:rPr>
          <w:noProof/>
          <w:lang w:val="en-IE"/>
        </w:rPr>
        <w:t>and the other competent authorities in Member States in which members of the same BEFIT group are resident for tax purposes or situated in the form of a permanent establishment, shall issue amended tax assessments in accordance with Article 64, where appropriate.</w:t>
      </w:r>
    </w:p>
    <w:p w14:paraId="26FDD7A0" w14:textId="1E82BAF6" w:rsidR="00081B7A" w:rsidRPr="00363097" w:rsidRDefault="00634583" w:rsidP="00634583">
      <w:pPr>
        <w:pStyle w:val="ManualNumPar1"/>
        <w:rPr>
          <w:noProof/>
          <w:szCs w:val="24"/>
          <w:lang w:val="en-IE"/>
        </w:rPr>
      </w:pPr>
      <w:r w:rsidRPr="00634583">
        <w:t>4.</w:t>
      </w:r>
      <w:r w:rsidRPr="00634583">
        <w:tab/>
      </w:r>
      <w:r w:rsidR="00081B7A" w:rsidRPr="00363097">
        <w:rPr>
          <w:noProof/>
          <w:lang w:val="en-IE"/>
        </w:rPr>
        <w:t>Notwithstanding paragraph 3, no amended tax assessment shall be issued in order to adjust the BEFIT tax base, where the difference between the initially declared BEFIT tax base and the revised BEFIT tax base does not exceed the lower of EUR 10,000 or 1% of the BEFIT tax base.</w:t>
      </w:r>
    </w:p>
    <w:p w14:paraId="7345C9A6" w14:textId="77777777" w:rsidR="00081B7A" w:rsidRPr="00363097" w:rsidRDefault="00081B7A" w:rsidP="006B487B">
      <w:pPr>
        <w:pStyle w:val="Titrearticle2"/>
        <w:rPr>
          <w:b/>
          <w:bCs/>
          <w:noProof/>
        </w:rPr>
      </w:pPr>
      <w:r w:rsidRPr="00363097">
        <w:rPr>
          <w:noProof/>
        </w:rPr>
        <w:t xml:space="preserve">Article </w:t>
      </w:r>
      <w:r w:rsidR="00670BE8" w:rsidRPr="00363097">
        <w:rPr>
          <w:noProof/>
        </w:rPr>
        <w:t>68</w:t>
      </w:r>
      <w:r w:rsidRPr="00363097">
        <w:rPr>
          <w:noProof/>
        </w:rPr>
        <w:br/>
      </w:r>
      <w:r w:rsidRPr="00363097">
        <w:rPr>
          <w:b/>
          <w:bCs/>
          <w:noProof/>
        </w:rPr>
        <w:t xml:space="preserve">Judicial appeals in relation to </w:t>
      </w:r>
      <w:r w:rsidR="00734777" w:rsidRPr="00363097">
        <w:rPr>
          <w:b/>
          <w:bCs/>
          <w:noProof/>
        </w:rPr>
        <w:t xml:space="preserve">the </w:t>
      </w:r>
      <w:r w:rsidRPr="00363097">
        <w:rPr>
          <w:b/>
          <w:bCs/>
          <w:noProof/>
        </w:rPr>
        <w:t>BEFIT information return</w:t>
      </w:r>
    </w:p>
    <w:p w14:paraId="5755CBCE" w14:textId="64D01A02" w:rsidR="00081B7A" w:rsidRPr="00363097" w:rsidRDefault="00634583" w:rsidP="00634583">
      <w:pPr>
        <w:pStyle w:val="ManualNumPar1"/>
        <w:rPr>
          <w:noProof/>
          <w:lang w:val="en-IE"/>
        </w:rPr>
      </w:pPr>
      <w:r w:rsidRPr="00634583">
        <w:t>1.</w:t>
      </w:r>
      <w:r w:rsidRPr="00634583">
        <w:tab/>
      </w:r>
      <w:r w:rsidR="00081B7A" w:rsidRPr="00363097">
        <w:rPr>
          <w:noProof/>
          <w:lang w:val="en-IE"/>
        </w:rPr>
        <w:t xml:space="preserve">Where the decision pursuant to Article </w:t>
      </w:r>
      <w:r w:rsidR="00670BE8" w:rsidRPr="00363097">
        <w:rPr>
          <w:noProof/>
          <w:lang w:val="en-IE"/>
        </w:rPr>
        <w:t>66</w:t>
      </w:r>
      <w:r w:rsidR="00985C58" w:rsidRPr="00363097">
        <w:rPr>
          <w:noProof/>
          <w:lang w:val="en-IE"/>
        </w:rPr>
        <w:t xml:space="preserve"> </w:t>
      </w:r>
      <w:r w:rsidR="00081B7A" w:rsidRPr="00363097">
        <w:rPr>
          <w:noProof/>
          <w:lang w:val="en-IE"/>
        </w:rPr>
        <w:t xml:space="preserve">has been confirmed or varied, the </w:t>
      </w:r>
      <w:r w:rsidR="00081B7A" w:rsidRPr="00363097">
        <w:rPr>
          <w:noProof/>
        </w:rPr>
        <w:t>filing entity</w:t>
      </w:r>
      <w:r w:rsidR="00081B7A" w:rsidRPr="00363097">
        <w:rPr>
          <w:noProof/>
          <w:lang w:val="en-IE"/>
        </w:rPr>
        <w:t xml:space="preserve"> shall have the right to appeal directly to the courts of the Member State where it is resident for tax purposes or situated in the form of a permanent establishment within two months of the receipt of the decision of the administrative appeals body. A judicial appeal shall be governed by the law of the Member State where the </w:t>
      </w:r>
      <w:r w:rsidR="00081B7A" w:rsidRPr="00363097">
        <w:rPr>
          <w:noProof/>
        </w:rPr>
        <w:t>filing entity</w:t>
      </w:r>
      <w:r w:rsidR="00081B7A" w:rsidRPr="00363097">
        <w:rPr>
          <w:noProof/>
          <w:lang w:val="en-IE"/>
        </w:rPr>
        <w:t xml:space="preserve"> is resident for tax purposes or situated in the form of a permanent establishment.</w:t>
      </w:r>
    </w:p>
    <w:p w14:paraId="11788A43" w14:textId="021B1A64"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In making submissions to the court, the </w:t>
      </w:r>
      <w:r w:rsidR="00081B7A" w:rsidRPr="00363097">
        <w:rPr>
          <w:noProof/>
        </w:rPr>
        <w:t>filing authority</w:t>
      </w:r>
      <w:r w:rsidR="00081B7A" w:rsidRPr="00363097">
        <w:rPr>
          <w:noProof/>
          <w:lang w:val="en-IE"/>
        </w:rPr>
        <w:t xml:space="preserve">, as the case may be, shall consult, via the BEFIT team, the other competent authorities of Member States in which members of the same BEFIT group are resident for tax purposes or situated in the form of a permanent establishment. </w:t>
      </w:r>
    </w:p>
    <w:p w14:paraId="585CD972" w14:textId="76E674C8" w:rsidR="00081B7A" w:rsidRPr="00363097" w:rsidRDefault="00634583" w:rsidP="00634583">
      <w:pPr>
        <w:pStyle w:val="ManualNumPar1"/>
        <w:rPr>
          <w:noProof/>
          <w:lang w:val="en-IE" w:eastAsia="en-IE"/>
        </w:rPr>
      </w:pPr>
      <w:r w:rsidRPr="00634583">
        <w:t>3.</w:t>
      </w:r>
      <w:r w:rsidRPr="00634583">
        <w:tab/>
      </w:r>
      <w:r w:rsidR="00081B7A" w:rsidRPr="00363097">
        <w:rPr>
          <w:noProof/>
          <w:lang w:val="en-IE" w:eastAsia="en-IE"/>
        </w:rPr>
        <w:t xml:space="preserve">Where a decision is taken pursuant to paragraph 1, the </w:t>
      </w:r>
      <w:r w:rsidR="00081B7A" w:rsidRPr="00363097">
        <w:rPr>
          <w:noProof/>
          <w:lang w:eastAsia="en-IE"/>
        </w:rPr>
        <w:t xml:space="preserve">filing authority </w:t>
      </w:r>
      <w:r w:rsidR="00081B7A" w:rsidRPr="00363097">
        <w:rPr>
          <w:noProof/>
          <w:lang w:val="en-IE" w:eastAsia="en-IE"/>
        </w:rPr>
        <w:t xml:space="preserve">shall immediately transmit, via the BEFIT team, an amended </w:t>
      </w:r>
      <w:r w:rsidR="00081B7A" w:rsidRPr="00363097">
        <w:rPr>
          <w:noProof/>
          <w:lang w:eastAsia="en-IE"/>
        </w:rPr>
        <w:t xml:space="preserve">BEFIT information return </w:t>
      </w:r>
      <w:r w:rsidR="00081B7A" w:rsidRPr="00363097">
        <w:rPr>
          <w:noProof/>
          <w:lang w:val="en-IE" w:eastAsia="en-IE"/>
        </w:rPr>
        <w:t xml:space="preserve">to the competent authorities of all Member States in which members of the same BEFIT group are resident for tax purposes or situated in the form of a permanent establishment. The </w:t>
      </w:r>
      <w:r w:rsidR="00081B7A" w:rsidRPr="00363097">
        <w:rPr>
          <w:noProof/>
          <w:lang w:eastAsia="en-IE"/>
        </w:rPr>
        <w:t xml:space="preserve">filing authority </w:t>
      </w:r>
      <w:r w:rsidR="00081B7A" w:rsidRPr="00363097">
        <w:rPr>
          <w:noProof/>
          <w:lang w:val="en-IE" w:eastAsia="en-IE"/>
        </w:rPr>
        <w:t xml:space="preserve">and the other competent authorities in Member States in which members of the same BEFIT group are resident for tax purposes or situated in the form of a permanent establishment, shall issue amended tax assessments in accordance with Article </w:t>
      </w:r>
      <w:r w:rsidR="00005250">
        <w:rPr>
          <w:noProof/>
          <w:lang w:val="en-IE" w:eastAsia="en-IE"/>
        </w:rPr>
        <w:t>64</w:t>
      </w:r>
      <w:r w:rsidR="00081B7A" w:rsidRPr="00363097">
        <w:rPr>
          <w:noProof/>
          <w:lang w:val="en-IE" w:eastAsia="en-IE"/>
        </w:rPr>
        <w:t>, where appropriate.</w:t>
      </w:r>
    </w:p>
    <w:p w14:paraId="7D0ED196" w14:textId="5729BA8C" w:rsidR="00081B7A" w:rsidRPr="00363097" w:rsidRDefault="00634583" w:rsidP="00634583">
      <w:pPr>
        <w:pStyle w:val="ManualNumPar1"/>
        <w:rPr>
          <w:noProof/>
          <w:lang w:val="en-IE"/>
        </w:rPr>
      </w:pPr>
      <w:r w:rsidRPr="00634583">
        <w:t>4.</w:t>
      </w:r>
      <w:r w:rsidRPr="00634583">
        <w:tab/>
      </w:r>
      <w:r w:rsidR="00081B7A" w:rsidRPr="00363097">
        <w:rPr>
          <w:noProof/>
          <w:lang w:val="en-IE"/>
        </w:rPr>
        <w:t>Notwithstanding</w:t>
      </w:r>
      <w:r w:rsidR="00081B7A" w:rsidRPr="00363097" w:rsidDel="00571E14">
        <w:rPr>
          <w:noProof/>
          <w:lang w:val="en-IE"/>
        </w:rPr>
        <w:t xml:space="preserve"> </w:t>
      </w:r>
      <w:r w:rsidR="00081B7A" w:rsidRPr="00363097">
        <w:rPr>
          <w:noProof/>
          <w:lang w:val="en-IE"/>
        </w:rPr>
        <w:t>paragraph 3, no amended tax assessment shall be issued in order to adjust the BEFIT tax base, where the difference between the initially declared BEFIT tax base and the revised BEFIT tax base does not exceed the lower of EUR 10,000 or 1% of the BEFIT tax base.</w:t>
      </w:r>
    </w:p>
    <w:p w14:paraId="3C8B6C44" w14:textId="77777777" w:rsidR="00081B7A" w:rsidRPr="00363097" w:rsidRDefault="00081B7A" w:rsidP="006B487B">
      <w:pPr>
        <w:pStyle w:val="Titrearticle2"/>
        <w:rPr>
          <w:b/>
          <w:bCs/>
          <w:noProof/>
        </w:rPr>
      </w:pPr>
      <w:r w:rsidRPr="00363097">
        <w:rPr>
          <w:noProof/>
        </w:rPr>
        <w:t xml:space="preserve">Article </w:t>
      </w:r>
      <w:r w:rsidR="00670BE8" w:rsidRPr="00363097">
        <w:rPr>
          <w:noProof/>
        </w:rPr>
        <w:t>69</w:t>
      </w:r>
      <w:r w:rsidRPr="00363097">
        <w:rPr>
          <w:noProof/>
        </w:rPr>
        <w:br/>
      </w:r>
      <w:r w:rsidRPr="00363097">
        <w:rPr>
          <w:b/>
          <w:bCs/>
          <w:noProof/>
        </w:rPr>
        <w:t>Judicial appeals in relation to individual tax assessments</w:t>
      </w:r>
    </w:p>
    <w:p w14:paraId="4BC54172" w14:textId="6F5CD379" w:rsidR="00081B7A" w:rsidRPr="00363097" w:rsidRDefault="00634583" w:rsidP="00634583">
      <w:pPr>
        <w:pStyle w:val="ManualNumPar1"/>
        <w:rPr>
          <w:noProof/>
          <w:lang w:val="en-IE"/>
        </w:rPr>
      </w:pPr>
      <w:r w:rsidRPr="00634583">
        <w:t>1.</w:t>
      </w:r>
      <w:r w:rsidRPr="00634583">
        <w:tab/>
      </w:r>
      <w:r w:rsidR="00081B7A" w:rsidRPr="00363097">
        <w:rPr>
          <w:noProof/>
          <w:lang w:val="en-IE"/>
        </w:rPr>
        <w:t xml:space="preserve">Where the decision pursuant to Article </w:t>
      </w:r>
      <w:r w:rsidR="00670BE8" w:rsidRPr="00363097">
        <w:rPr>
          <w:noProof/>
          <w:lang w:val="en-IE"/>
        </w:rPr>
        <w:t xml:space="preserve">67 </w:t>
      </w:r>
      <w:r w:rsidR="00081B7A" w:rsidRPr="00363097">
        <w:rPr>
          <w:noProof/>
          <w:lang w:val="en-IE"/>
        </w:rPr>
        <w:t xml:space="preserve">has been confirmed or varied, a BEFIT group member shall have the right to appeal to the courts of the Member State where it is resident for tax purposes or situated in the form of a permanent establishment within two months after the decision of the administrative appeals body referred to in Article </w:t>
      </w:r>
      <w:r w:rsidR="000753EE" w:rsidRPr="00363097">
        <w:rPr>
          <w:noProof/>
          <w:lang w:val="en-IE"/>
        </w:rPr>
        <w:t xml:space="preserve">67 </w:t>
      </w:r>
      <w:r w:rsidR="00081B7A" w:rsidRPr="00363097">
        <w:rPr>
          <w:noProof/>
          <w:lang w:val="en-IE"/>
        </w:rPr>
        <w:t>was notified to it. The judicial appeal shall be governed by the law of the Member State in which the BEFIT group member is resident for tax purposes or situated in the form of a permanent establishment.</w:t>
      </w:r>
    </w:p>
    <w:p w14:paraId="696C9CF6" w14:textId="3DCCA82E" w:rsidR="00081B7A" w:rsidRPr="00363097" w:rsidRDefault="00634583" w:rsidP="00634583">
      <w:pPr>
        <w:pStyle w:val="ManualNumPar1"/>
        <w:rPr>
          <w:noProof/>
          <w:lang w:val="en-IE"/>
        </w:rPr>
      </w:pPr>
      <w:r w:rsidRPr="00634583">
        <w:t>2.</w:t>
      </w:r>
      <w:r w:rsidRPr="00634583">
        <w:tab/>
      </w:r>
      <w:r w:rsidR="00081B7A" w:rsidRPr="00363097">
        <w:rPr>
          <w:noProof/>
          <w:lang w:val="en-IE"/>
        </w:rPr>
        <w:t xml:space="preserve">In making submissions to the court, the competent authority of a BEFIT group nember, as the case may be, shall consult, via the BEFIT team, the other competent authorities of Member States in which members of the same BEFIT group are resident for tax purposes or situated in the form of a permanent establishment. </w:t>
      </w:r>
    </w:p>
    <w:p w14:paraId="06CE6E73" w14:textId="10C7030C"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Where a decision taken pursuant to paragraph 1 affects the BEFIT tax base, the competent authority of the Member State in which the BEFIT group member filed its appeal shall notify, via the BEFIT team, the </w:t>
      </w:r>
      <w:r w:rsidR="00081B7A" w:rsidRPr="00363097">
        <w:rPr>
          <w:noProof/>
        </w:rPr>
        <w:t xml:space="preserve">filing authority </w:t>
      </w:r>
      <w:r w:rsidR="00081B7A" w:rsidRPr="00363097">
        <w:rPr>
          <w:noProof/>
          <w:lang w:val="en-IE"/>
        </w:rPr>
        <w:t xml:space="preserve">and the competent authorities of the other Member States in which members of the same BEFIT group are resident for tax purposes or situated in the form of a permanent establishment. The </w:t>
      </w:r>
      <w:r w:rsidR="00081B7A" w:rsidRPr="00363097">
        <w:rPr>
          <w:noProof/>
        </w:rPr>
        <w:t xml:space="preserve">filing authority </w:t>
      </w:r>
      <w:r w:rsidR="00081B7A" w:rsidRPr="00363097">
        <w:rPr>
          <w:noProof/>
          <w:lang w:val="en-IE"/>
        </w:rPr>
        <w:t>and the other competent authorities in Member States in which members of the same BEFIT group are resident for tax purposes or situated in the form of a permanent establishment, shall issue amended tax assessments in accordance with Article 64, where appropriate.</w:t>
      </w:r>
    </w:p>
    <w:p w14:paraId="386FE687" w14:textId="23125156" w:rsidR="00081B7A" w:rsidRPr="00363097" w:rsidRDefault="00634583" w:rsidP="00634583">
      <w:pPr>
        <w:pStyle w:val="ManualNumPar1"/>
        <w:rPr>
          <w:noProof/>
          <w:lang w:val="en-IE"/>
        </w:rPr>
      </w:pPr>
      <w:r w:rsidRPr="00634583">
        <w:t>4.</w:t>
      </w:r>
      <w:r w:rsidRPr="00634583">
        <w:tab/>
      </w:r>
      <w:r w:rsidR="00081B7A" w:rsidRPr="00363097">
        <w:rPr>
          <w:noProof/>
          <w:lang w:val="en-IE"/>
        </w:rPr>
        <w:t>Notwithstanding</w:t>
      </w:r>
      <w:r w:rsidR="00081B7A" w:rsidRPr="00363097" w:rsidDel="00571E14">
        <w:rPr>
          <w:noProof/>
          <w:lang w:val="en-IE"/>
        </w:rPr>
        <w:t xml:space="preserve"> </w:t>
      </w:r>
      <w:r w:rsidR="00081B7A" w:rsidRPr="00363097">
        <w:rPr>
          <w:noProof/>
          <w:lang w:val="en-IE"/>
        </w:rPr>
        <w:t>paragraph 3, no amended tax assessment shall be issued in order to adjust the BEFIT tax base, where the difference between the initially declared BEFIT tax base and the revised BEFIT tax base does not exceed the lower of EUR 10,000 or 1% of the BEFIT tax base.</w:t>
      </w:r>
    </w:p>
    <w:p w14:paraId="37EB9E16" w14:textId="77777777" w:rsidR="00081B7A" w:rsidRPr="00363097" w:rsidRDefault="00081B7A" w:rsidP="006B487B">
      <w:pPr>
        <w:pStyle w:val="Titrearticle2"/>
        <w:rPr>
          <w:b/>
          <w:bCs/>
          <w:noProof/>
        </w:rPr>
      </w:pPr>
      <w:r w:rsidRPr="00363097">
        <w:rPr>
          <w:noProof/>
        </w:rPr>
        <w:t>Article 7</w:t>
      </w:r>
      <w:r w:rsidR="00670BE8" w:rsidRPr="00363097">
        <w:rPr>
          <w:noProof/>
        </w:rPr>
        <w:t>0</w:t>
      </w:r>
      <w:r w:rsidRPr="00363097">
        <w:rPr>
          <w:noProof/>
        </w:rPr>
        <w:br/>
      </w:r>
      <w:r w:rsidRPr="00363097">
        <w:rPr>
          <w:b/>
          <w:bCs/>
          <w:noProof/>
        </w:rPr>
        <w:t>Statute of Limitation</w:t>
      </w:r>
    </w:p>
    <w:p w14:paraId="651C920C" w14:textId="77777777" w:rsidR="00081B7A" w:rsidRPr="00363097" w:rsidRDefault="00081B7A" w:rsidP="00081B7A">
      <w:pPr>
        <w:spacing w:before="0" w:after="200" w:line="276" w:lineRule="auto"/>
        <w:rPr>
          <w:noProof/>
          <w:szCs w:val="24"/>
        </w:rPr>
      </w:pPr>
      <w:r w:rsidRPr="00363097">
        <w:rPr>
          <w:noProof/>
          <w:szCs w:val="24"/>
        </w:rPr>
        <w:t>Where the outcome of an administrative or judicial appeal requires amendments to the individual tax assessment of one or more member of a BEFIT group, Member States shall take the appropriate measures to ensure that such amendments remain possible, notwithstanding any time limits in the domestic laws of Member States.</w:t>
      </w:r>
    </w:p>
    <w:p w14:paraId="141BD152" w14:textId="77777777" w:rsidR="00081B7A" w:rsidRPr="00363097" w:rsidRDefault="00081B7A" w:rsidP="00081B7A">
      <w:pPr>
        <w:pStyle w:val="SectionTitle"/>
        <w:rPr>
          <w:noProof/>
          <w:lang w:val="en-US"/>
        </w:rPr>
      </w:pPr>
      <w:r w:rsidRPr="00363097">
        <w:rPr>
          <w:noProof/>
          <w:lang w:val="en-US"/>
        </w:rPr>
        <w:t>Section 7</w:t>
      </w:r>
      <w:r w:rsidRPr="00363097">
        <w:rPr>
          <w:noProof/>
          <w:lang w:val="en-US"/>
        </w:rPr>
        <w:br/>
        <w:t>Final provisions</w:t>
      </w:r>
    </w:p>
    <w:p w14:paraId="0A39ED0A" w14:textId="77777777" w:rsidR="00081B7A" w:rsidRPr="00363097" w:rsidRDefault="00081B7A" w:rsidP="006B487B">
      <w:pPr>
        <w:pStyle w:val="Titrearticle2"/>
        <w:rPr>
          <w:b/>
          <w:bCs/>
          <w:noProof/>
          <w:lang w:val="en-US"/>
        </w:rPr>
      </w:pPr>
      <w:r w:rsidRPr="00363097">
        <w:rPr>
          <w:noProof/>
          <w:lang w:val="en-US"/>
        </w:rPr>
        <w:t>Article 7</w:t>
      </w:r>
      <w:r w:rsidR="00670BE8" w:rsidRPr="00363097">
        <w:rPr>
          <w:noProof/>
          <w:lang w:val="en-US"/>
        </w:rPr>
        <w:t>1</w:t>
      </w:r>
      <w:r w:rsidRPr="00363097">
        <w:rPr>
          <w:noProof/>
          <w:lang w:val="en-US"/>
        </w:rPr>
        <w:br/>
      </w:r>
      <w:r w:rsidRPr="00363097">
        <w:rPr>
          <w:b/>
          <w:bCs/>
          <w:noProof/>
          <w:lang w:val="en-US"/>
        </w:rPr>
        <w:t>Disclosure of information and documents</w:t>
      </w:r>
    </w:p>
    <w:p w14:paraId="6B475F96" w14:textId="01833EF1" w:rsidR="00081B7A" w:rsidRPr="00363097" w:rsidRDefault="00634583" w:rsidP="00634583">
      <w:pPr>
        <w:pStyle w:val="ManualNumPar1"/>
        <w:rPr>
          <w:noProof/>
          <w:lang w:val="en-US"/>
        </w:rPr>
      </w:pPr>
      <w:r w:rsidRPr="00634583">
        <w:t>1.</w:t>
      </w:r>
      <w:r w:rsidRPr="00634583">
        <w:tab/>
      </w:r>
      <w:r w:rsidR="00081B7A" w:rsidRPr="00363097">
        <w:rPr>
          <w:noProof/>
          <w:lang w:val="en-US"/>
        </w:rPr>
        <w:t xml:space="preserve">Information communicated between Member States in any form pursuant to this Directive shall be covered by the obligation of official secrecy </w:t>
      </w:r>
      <w:r w:rsidR="00471BFE" w:rsidRPr="00363097">
        <w:rPr>
          <w:noProof/>
          <w:lang w:val="en-US"/>
        </w:rPr>
        <w:t xml:space="preserve">as laid down in </w:t>
      </w:r>
      <w:r w:rsidR="00081B7A" w:rsidRPr="00363097">
        <w:rPr>
          <w:noProof/>
          <w:lang w:val="en-US"/>
        </w:rPr>
        <w:t>the national law of the Member State</w:t>
      </w:r>
      <w:r w:rsidR="00414073" w:rsidRPr="00363097">
        <w:rPr>
          <w:noProof/>
          <w:lang w:val="en-US"/>
        </w:rPr>
        <w:t>(s)</w:t>
      </w:r>
      <w:r w:rsidR="00081B7A" w:rsidRPr="00363097">
        <w:rPr>
          <w:noProof/>
          <w:lang w:val="en-US"/>
        </w:rPr>
        <w:t xml:space="preserve"> which received </w:t>
      </w:r>
      <w:r w:rsidR="00E92D63" w:rsidRPr="00363097">
        <w:rPr>
          <w:noProof/>
          <w:lang w:val="en-US"/>
        </w:rPr>
        <w:t>such information</w:t>
      </w:r>
      <w:r w:rsidR="00081B7A" w:rsidRPr="00363097">
        <w:rPr>
          <w:noProof/>
          <w:lang w:val="en-US"/>
        </w:rPr>
        <w:t xml:space="preserve">. </w:t>
      </w:r>
      <w:r w:rsidR="00E92D63" w:rsidRPr="00363097">
        <w:rPr>
          <w:noProof/>
          <w:lang w:val="en-US"/>
        </w:rPr>
        <w:t xml:space="preserve">This </w:t>
      </w:r>
      <w:r w:rsidR="00081B7A" w:rsidRPr="00363097">
        <w:rPr>
          <w:noProof/>
          <w:lang w:val="en-US"/>
        </w:rPr>
        <w:t>information may be used for the administration and enforcement of the laws of the Member States concerning the taxes under this Directive.</w:t>
      </w:r>
    </w:p>
    <w:p w14:paraId="2C2AFE38" w14:textId="7CA282DC" w:rsidR="00BC7C5F" w:rsidRPr="00363097" w:rsidRDefault="00634583" w:rsidP="00634583">
      <w:pPr>
        <w:pStyle w:val="ManualNumPar1"/>
        <w:rPr>
          <w:noProof/>
          <w:lang w:val="en-US"/>
        </w:rPr>
      </w:pPr>
      <w:r w:rsidRPr="00634583">
        <w:t>2.</w:t>
      </w:r>
      <w:r w:rsidRPr="00634583">
        <w:tab/>
      </w:r>
      <w:r w:rsidR="00DF1521" w:rsidRPr="00363097">
        <w:rPr>
          <w:noProof/>
          <w:lang w:val="en-US"/>
        </w:rPr>
        <w:t>Such information</w:t>
      </w:r>
      <w:r w:rsidR="00081B7A" w:rsidRPr="00363097">
        <w:rPr>
          <w:noProof/>
          <w:lang w:val="en-US"/>
        </w:rPr>
        <w:t xml:space="preserve"> may </w:t>
      </w:r>
      <w:r w:rsidR="00DF1521" w:rsidRPr="00363097">
        <w:rPr>
          <w:noProof/>
          <w:lang w:val="en-US"/>
        </w:rPr>
        <w:t>also</w:t>
      </w:r>
      <w:r w:rsidR="00081B7A" w:rsidRPr="00363097">
        <w:rPr>
          <w:noProof/>
          <w:lang w:val="en-US"/>
        </w:rPr>
        <w:t xml:space="preserve"> be used in connection with judicial and administrative proceedings that may involve penalties, initiated as a result of infringements of tax law, without prejudice to the general rules and provisions governing the rights of defendants and witnesses in such proceedings.</w:t>
      </w:r>
      <w:bookmarkEnd w:id="29"/>
    </w:p>
    <w:p w14:paraId="08678696" w14:textId="77777777" w:rsidR="00BC7C5F" w:rsidRPr="00363097" w:rsidRDefault="00BC7C5F" w:rsidP="006B487B">
      <w:pPr>
        <w:pStyle w:val="Titrearticle2"/>
        <w:rPr>
          <w:noProof/>
        </w:rPr>
      </w:pPr>
      <w:r w:rsidRPr="00363097">
        <w:rPr>
          <w:noProof/>
        </w:rPr>
        <w:t xml:space="preserve">Article </w:t>
      </w:r>
      <w:r w:rsidR="00670BE8" w:rsidRPr="00363097">
        <w:rPr>
          <w:noProof/>
        </w:rPr>
        <w:t>72</w:t>
      </w:r>
      <w:r w:rsidRPr="00363097">
        <w:rPr>
          <w:noProof/>
        </w:rPr>
        <w:br/>
      </w:r>
      <w:r w:rsidRPr="00363097">
        <w:rPr>
          <w:b/>
          <w:bCs/>
          <w:noProof/>
        </w:rPr>
        <w:t>Penalties</w:t>
      </w:r>
    </w:p>
    <w:p w14:paraId="06A2CC9D" w14:textId="77777777" w:rsidR="00BC7C5F" w:rsidRPr="00363097" w:rsidRDefault="00BC7C5F" w:rsidP="00BC7C5F">
      <w:pPr>
        <w:autoSpaceDE w:val="0"/>
        <w:autoSpaceDN w:val="0"/>
        <w:adjustRightInd w:val="0"/>
        <w:spacing w:before="0" w:after="200" w:line="276" w:lineRule="auto"/>
        <w:rPr>
          <w:noProof/>
          <w:szCs w:val="24"/>
          <w:lang w:val="en-IE"/>
        </w:rPr>
      </w:pPr>
      <w:r w:rsidRPr="00363097">
        <w:rPr>
          <w:noProof/>
          <w:szCs w:val="24"/>
          <w:lang w:val="en-IE"/>
        </w:rPr>
        <w:t>Member States shall lay down rules on penalties applicable to infringements of national provisions adopted pursuant to this Directive and shall take all necessary measures to ensure that they are implemented and enforced. Penalties and compliance measures provided for shall be effective, proportionate and dissuasive.</w:t>
      </w:r>
    </w:p>
    <w:p w14:paraId="2E904547" w14:textId="77777777" w:rsidR="00081B7A" w:rsidRPr="00363097" w:rsidRDefault="009668DD" w:rsidP="006B487B">
      <w:pPr>
        <w:pStyle w:val="ChapterTitle2"/>
        <w:rPr>
          <w:noProof/>
          <w:lang w:val="en-IE" w:eastAsia="en-IE"/>
        </w:rPr>
      </w:pPr>
      <w:r w:rsidRPr="00363097">
        <w:rPr>
          <w:bCs/>
          <w:noProof/>
          <w:lang w:val="en-IE" w:eastAsia="en-IE"/>
        </w:rPr>
        <w:t>CHAPTER VI</w:t>
      </w:r>
      <w:r w:rsidR="00081B7A" w:rsidRPr="00363097">
        <w:rPr>
          <w:bCs/>
          <w:noProof/>
          <w:lang w:val="en-IE" w:eastAsia="en-IE"/>
        </w:rPr>
        <w:br/>
      </w:r>
      <w:r w:rsidR="00081B7A" w:rsidRPr="00363097">
        <w:rPr>
          <w:noProof/>
          <w:lang w:val="en-IE" w:eastAsia="en-IE"/>
        </w:rPr>
        <w:t>FINAL PROVISIONS</w:t>
      </w:r>
    </w:p>
    <w:p w14:paraId="6FBE8F01" w14:textId="77777777" w:rsidR="00081B7A" w:rsidRPr="00363097" w:rsidRDefault="00081B7A" w:rsidP="006B487B">
      <w:pPr>
        <w:pStyle w:val="Titrearticle2"/>
        <w:rPr>
          <w:b/>
          <w:bCs/>
          <w:noProof/>
          <w:lang w:val="en-US"/>
        </w:rPr>
      </w:pPr>
      <w:r w:rsidRPr="00363097">
        <w:rPr>
          <w:noProof/>
          <w:lang w:val="en-IE"/>
        </w:rPr>
        <w:t>Article 73</w:t>
      </w:r>
      <w:r w:rsidRPr="00363097">
        <w:rPr>
          <w:noProof/>
          <w:lang w:val="en-IE"/>
        </w:rPr>
        <w:br/>
      </w:r>
      <w:r w:rsidRPr="00363097">
        <w:rPr>
          <w:b/>
          <w:bCs/>
          <w:noProof/>
          <w:lang w:val="en-US"/>
        </w:rPr>
        <w:t>Committee procedure</w:t>
      </w:r>
    </w:p>
    <w:p w14:paraId="7C810DE0" w14:textId="0D4A7621" w:rsidR="00081B7A" w:rsidRPr="00363097" w:rsidRDefault="00634583" w:rsidP="00634583">
      <w:pPr>
        <w:pStyle w:val="ManualNumPar1"/>
        <w:rPr>
          <w:noProof/>
          <w:szCs w:val="24"/>
          <w:lang w:val="en-IE"/>
        </w:rPr>
      </w:pPr>
      <w:r w:rsidRPr="00634583">
        <w:t>1.</w:t>
      </w:r>
      <w:r w:rsidRPr="00634583">
        <w:tab/>
      </w:r>
      <w:r w:rsidR="00081B7A" w:rsidRPr="00363097">
        <w:rPr>
          <w:noProof/>
          <w:lang w:val="en-IE"/>
        </w:rPr>
        <w:t>The Commission shall be assisted by a committee</w:t>
      </w:r>
      <w:r w:rsidR="00081B7A" w:rsidRPr="00363097">
        <w:rPr>
          <w:i/>
          <w:noProof/>
          <w:lang w:val="en-IE"/>
        </w:rPr>
        <w:t>.</w:t>
      </w:r>
      <w:r w:rsidR="00081B7A" w:rsidRPr="00363097">
        <w:rPr>
          <w:noProof/>
          <w:lang w:val="en-IE"/>
        </w:rPr>
        <w:t xml:space="preserve"> That committee shall be a committee within the meaning of Regulation (EU) No 182/2011 of the European Parliament and of the Council of 16 February 2011</w:t>
      </w:r>
      <w:r w:rsidR="00081B7A" w:rsidRPr="00363097">
        <w:rPr>
          <w:rStyle w:val="FootnoteReference0"/>
          <w:noProof/>
        </w:rPr>
        <w:footnoteReference w:id="37"/>
      </w:r>
      <w:r w:rsidR="00081B7A" w:rsidRPr="00363097">
        <w:rPr>
          <w:noProof/>
          <w:lang w:val="en-IE"/>
        </w:rPr>
        <w:t>.</w:t>
      </w:r>
    </w:p>
    <w:p w14:paraId="7DFE3598" w14:textId="6B96A525" w:rsidR="00081B7A" w:rsidRPr="00363097" w:rsidRDefault="00634583" w:rsidP="00634583">
      <w:pPr>
        <w:pStyle w:val="ManualNumPar1"/>
        <w:rPr>
          <w:noProof/>
          <w:lang w:val="en-IE"/>
        </w:rPr>
      </w:pPr>
      <w:r w:rsidRPr="00634583">
        <w:t>2.</w:t>
      </w:r>
      <w:r w:rsidRPr="00634583">
        <w:tab/>
      </w:r>
      <w:r w:rsidR="00081B7A" w:rsidRPr="00363097">
        <w:rPr>
          <w:noProof/>
          <w:lang w:val="en-IE"/>
        </w:rPr>
        <w:t>Where reference is made to this paragraph, Article 5 of Regulation (EU) No 182/2011 shall apply.</w:t>
      </w:r>
    </w:p>
    <w:p w14:paraId="1C5B05BA" w14:textId="77777777" w:rsidR="00081B7A" w:rsidRPr="00363097" w:rsidRDefault="00081B7A" w:rsidP="006B487B">
      <w:pPr>
        <w:pStyle w:val="Titrearticle2"/>
        <w:rPr>
          <w:b/>
          <w:bCs/>
          <w:noProof/>
          <w:lang w:val="en-IE"/>
        </w:rPr>
      </w:pPr>
      <w:r w:rsidRPr="00363097">
        <w:rPr>
          <w:iCs/>
          <w:noProof/>
          <w:lang w:val="en-IE"/>
        </w:rPr>
        <w:t>Article 74</w:t>
      </w:r>
      <w:r w:rsidRPr="00363097">
        <w:rPr>
          <w:iCs/>
          <w:noProof/>
          <w:lang w:val="en-IE"/>
        </w:rPr>
        <w:br/>
      </w:r>
      <w:r w:rsidRPr="00363097">
        <w:rPr>
          <w:b/>
          <w:bCs/>
          <w:noProof/>
          <w:lang w:val="en-IE"/>
        </w:rPr>
        <w:t>Exercise of the delegation</w:t>
      </w:r>
    </w:p>
    <w:p w14:paraId="6AF76DA2" w14:textId="5B6C7A24" w:rsidR="00081B7A" w:rsidRPr="00363097" w:rsidRDefault="00634583" w:rsidP="00634583">
      <w:pPr>
        <w:pStyle w:val="ManualNumPar1"/>
        <w:rPr>
          <w:noProof/>
          <w:lang w:val="en-IE"/>
        </w:rPr>
      </w:pPr>
      <w:r w:rsidRPr="00634583">
        <w:t>1.</w:t>
      </w:r>
      <w:r w:rsidRPr="00634583">
        <w:tab/>
      </w:r>
      <w:r w:rsidR="00081B7A" w:rsidRPr="00363097">
        <w:rPr>
          <w:noProof/>
          <w:lang w:val="en-IE"/>
        </w:rPr>
        <w:t xml:space="preserve">The power to adopt delegated acts is conferred on the Commission subject to the conditions laid down in this Article. </w:t>
      </w:r>
    </w:p>
    <w:p w14:paraId="3135E17B" w14:textId="12AB947F" w:rsidR="00081B7A" w:rsidRPr="00363097" w:rsidRDefault="00634583" w:rsidP="00634583">
      <w:pPr>
        <w:pStyle w:val="ManualNumPar1"/>
        <w:rPr>
          <w:noProof/>
          <w:lang w:val="en-IE"/>
        </w:rPr>
      </w:pPr>
      <w:r w:rsidRPr="00634583">
        <w:t>2.</w:t>
      </w:r>
      <w:r w:rsidRPr="00634583">
        <w:tab/>
      </w:r>
      <w:r w:rsidR="00081B7A" w:rsidRPr="00363097">
        <w:rPr>
          <w:noProof/>
          <w:lang w:val="en-IE"/>
        </w:rPr>
        <w:t>The power to adopt delegated acts referred to in Articles 2(</w:t>
      </w:r>
      <w:r w:rsidR="00757C61" w:rsidRPr="00363097">
        <w:rPr>
          <w:noProof/>
          <w:lang w:val="en-IE"/>
        </w:rPr>
        <w:t>8</w:t>
      </w:r>
      <w:r w:rsidR="00081B7A" w:rsidRPr="00363097">
        <w:rPr>
          <w:noProof/>
          <w:lang w:val="en-IE"/>
        </w:rPr>
        <w:t>)</w:t>
      </w:r>
      <w:r w:rsidR="00BD1C9D" w:rsidRPr="00363097">
        <w:rPr>
          <w:noProof/>
          <w:lang w:val="en-IE"/>
        </w:rPr>
        <w:t xml:space="preserve"> and </w:t>
      </w:r>
      <w:r w:rsidR="00081B7A" w:rsidRPr="00363097">
        <w:rPr>
          <w:noProof/>
          <w:lang w:val="en-IE"/>
        </w:rPr>
        <w:t>14(</w:t>
      </w:r>
      <w:r w:rsidR="00757C61" w:rsidRPr="00363097">
        <w:rPr>
          <w:noProof/>
          <w:lang w:val="en-IE"/>
        </w:rPr>
        <w:t>3)</w:t>
      </w:r>
      <w:r w:rsidR="0047455D" w:rsidRPr="00363097">
        <w:rPr>
          <w:noProof/>
          <w:lang w:val="en-IE"/>
        </w:rPr>
        <w:t xml:space="preserve"> </w:t>
      </w:r>
      <w:r w:rsidR="00081B7A" w:rsidRPr="00363097">
        <w:rPr>
          <w:noProof/>
          <w:lang w:val="en-IE"/>
        </w:rPr>
        <w:t>shall be conferred on the Commission for an indeterminate period starting on [the date of entry into force of this Directive].</w:t>
      </w:r>
    </w:p>
    <w:p w14:paraId="7B17E872" w14:textId="25B7AE6F" w:rsidR="00081B7A" w:rsidRPr="00363097" w:rsidRDefault="00634583" w:rsidP="00634583">
      <w:pPr>
        <w:pStyle w:val="ManualNumPar1"/>
        <w:rPr>
          <w:noProof/>
          <w:lang w:val="en-IE"/>
        </w:rPr>
      </w:pPr>
      <w:r w:rsidRPr="00634583">
        <w:t>3.</w:t>
      </w:r>
      <w:r w:rsidRPr="00634583">
        <w:tab/>
      </w:r>
      <w:r w:rsidR="00081B7A" w:rsidRPr="00363097">
        <w:rPr>
          <w:noProof/>
          <w:lang w:val="en-IE"/>
        </w:rPr>
        <w:t xml:space="preserve">The delegation of power may be revoked at any time by the Council. A decision to revoke shall put an end to the delegation of the power specified in that decision. It shall take effect the day following the publication of the decision in the </w:t>
      </w:r>
      <w:r w:rsidR="00081B7A" w:rsidRPr="00363097">
        <w:rPr>
          <w:i/>
          <w:noProof/>
          <w:lang w:val="en-IE"/>
        </w:rPr>
        <w:t>Official Journal of the European Union</w:t>
      </w:r>
      <w:r w:rsidR="00081B7A" w:rsidRPr="00363097">
        <w:rPr>
          <w:noProof/>
          <w:lang w:val="en-IE"/>
        </w:rPr>
        <w:t xml:space="preserve"> or at a later date specified therein. It shall not affect the validity of any delegated acts already in force. </w:t>
      </w:r>
    </w:p>
    <w:p w14:paraId="5F3D6987" w14:textId="6497918D" w:rsidR="00081B7A" w:rsidRPr="00363097" w:rsidRDefault="00634583" w:rsidP="00634583">
      <w:pPr>
        <w:pStyle w:val="ManualNumPar1"/>
        <w:rPr>
          <w:rFonts w:eastAsia="Calibri"/>
          <w:noProof/>
          <w:lang w:val="en-IE"/>
        </w:rPr>
      </w:pPr>
      <w:r w:rsidRPr="00634583">
        <w:t>4.</w:t>
      </w:r>
      <w:r w:rsidRPr="00634583">
        <w:tab/>
      </w:r>
      <w:r w:rsidR="00081B7A" w:rsidRPr="00363097">
        <w:rPr>
          <w:noProof/>
          <w:lang w:val="en-IE"/>
        </w:rPr>
        <w:t xml:space="preserve">Before adopting a delegated act, the Commission shall consult experts designated by each Member State in accordance with the principles laid down in the Interinstitutional Agreement of 13 April 2016 on Better Law-Making. </w:t>
      </w:r>
    </w:p>
    <w:p w14:paraId="520653A8" w14:textId="3D078574" w:rsidR="00081B7A" w:rsidRPr="00363097" w:rsidRDefault="00634583" w:rsidP="00634583">
      <w:pPr>
        <w:pStyle w:val="ManualNumPar1"/>
        <w:rPr>
          <w:rFonts w:eastAsia="Calibri"/>
          <w:noProof/>
          <w:lang w:val="en-IE"/>
        </w:rPr>
      </w:pPr>
      <w:r w:rsidRPr="00634583">
        <w:t>5.</w:t>
      </w:r>
      <w:r w:rsidRPr="00634583">
        <w:tab/>
      </w:r>
      <w:r w:rsidR="00081B7A" w:rsidRPr="00363097">
        <w:rPr>
          <w:noProof/>
          <w:lang w:val="en-IE"/>
        </w:rPr>
        <w:t xml:space="preserve">As soon as it adopts a delegated act, the Commission shall notify it to the Council. </w:t>
      </w:r>
    </w:p>
    <w:p w14:paraId="57C43849" w14:textId="00E3C4F4" w:rsidR="00081B7A" w:rsidRPr="00363097" w:rsidRDefault="00634583" w:rsidP="00634583">
      <w:pPr>
        <w:pStyle w:val="ManualNumPar1"/>
        <w:rPr>
          <w:rFonts w:eastAsia="Calibri"/>
          <w:noProof/>
          <w:lang w:val="en-IE"/>
        </w:rPr>
      </w:pPr>
      <w:r w:rsidRPr="00634583">
        <w:t>6.</w:t>
      </w:r>
      <w:r w:rsidRPr="00634583">
        <w:tab/>
      </w:r>
      <w:r w:rsidR="00081B7A" w:rsidRPr="00363097">
        <w:rPr>
          <w:noProof/>
          <w:lang w:val="en-IE"/>
        </w:rPr>
        <w:t>A delegated act shall enter into force only if no objection has been expressed by the Council within a period of two months of notification of that act to the Council or if, before the expiry of that period, the Council has informed the Commission that it will not object. That period shall be extended by two months at the initiative of the Council.</w:t>
      </w:r>
    </w:p>
    <w:p w14:paraId="6ED13188" w14:textId="238B1160" w:rsidR="00300BAC" w:rsidRPr="009C124F" w:rsidRDefault="00081B7A" w:rsidP="009C124F">
      <w:pPr>
        <w:pStyle w:val="Titrearticle2"/>
        <w:rPr>
          <w:b/>
          <w:i w:val="0"/>
          <w:noProof/>
        </w:rPr>
      </w:pPr>
      <w:bookmarkStart w:id="30" w:name="_Hlk141969684"/>
      <w:r w:rsidRPr="006B487B">
        <w:rPr>
          <w:noProof/>
        </w:rPr>
        <w:t>Article 75</w:t>
      </w:r>
      <w:r w:rsidRPr="006B487B">
        <w:rPr>
          <w:noProof/>
        </w:rPr>
        <w:br/>
      </w:r>
      <w:r w:rsidR="00300BAC" w:rsidRPr="009C124F">
        <w:rPr>
          <w:b/>
          <w:bCs/>
          <w:noProof/>
        </w:rPr>
        <w:t>Informing the European Parliament</w:t>
      </w:r>
    </w:p>
    <w:p w14:paraId="6A66234B" w14:textId="77777777" w:rsidR="00300BAC" w:rsidRPr="00490768" w:rsidRDefault="00300BAC" w:rsidP="009C124F">
      <w:pPr>
        <w:rPr>
          <w:noProof/>
        </w:rPr>
      </w:pPr>
      <w:r w:rsidRPr="00DC2973">
        <w:rPr>
          <w:noProof/>
        </w:rPr>
        <w:t>The</w:t>
      </w:r>
      <w:r w:rsidRPr="00490768">
        <w:rPr>
          <w:noProof/>
        </w:rPr>
        <w:t xml:space="preserve"> European Parliament shall be informed by the Commission of the adoption of delegated acts, of any objection formulated to them, and of the revocation of the delegation of powers by the Council.</w:t>
      </w:r>
    </w:p>
    <w:p w14:paraId="1DB023B6" w14:textId="19885E67" w:rsidR="00081B7A" w:rsidRPr="00363097" w:rsidRDefault="00081B7A" w:rsidP="006B487B">
      <w:pPr>
        <w:pStyle w:val="Titrearticle2"/>
        <w:rPr>
          <w:b/>
          <w:bCs/>
          <w:noProof/>
          <w:lang w:val="en-US"/>
        </w:rPr>
      </w:pPr>
      <w:r w:rsidRPr="00363097">
        <w:rPr>
          <w:iCs/>
          <w:noProof/>
          <w:lang w:val="en-US"/>
        </w:rPr>
        <w:t>Article 7</w:t>
      </w:r>
      <w:r w:rsidR="003302AF">
        <w:rPr>
          <w:iCs/>
          <w:noProof/>
          <w:lang w:val="en-US"/>
        </w:rPr>
        <w:t>6</w:t>
      </w:r>
      <w:r w:rsidRPr="00363097">
        <w:rPr>
          <w:iCs/>
          <w:noProof/>
          <w:lang w:val="en-US"/>
        </w:rPr>
        <w:br/>
      </w:r>
      <w:r w:rsidRPr="00363097">
        <w:rPr>
          <w:b/>
          <w:bCs/>
          <w:noProof/>
          <w:lang w:val="en-US"/>
        </w:rPr>
        <w:t>Data Protection</w:t>
      </w:r>
    </w:p>
    <w:p w14:paraId="5E14E523" w14:textId="234749B7" w:rsidR="00AF50D5" w:rsidRPr="00363097" w:rsidRDefault="00634583" w:rsidP="00634583">
      <w:pPr>
        <w:pStyle w:val="ManualNumPar1"/>
        <w:rPr>
          <w:noProof/>
          <w:szCs w:val="24"/>
        </w:rPr>
      </w:pPr>
      <w:r w:rsidRPr="00634583">
        <w:t>1.</w:t>
      </w:r>
      <w:r w:rsidRPr="00634583">
        <w:tab/>
      </w:r>
      <w:r w:rsidR="003B6B88">
        <w:rPr>
          <w:noProof/>
        </w:rPr>
        <w:t xml:space="preserve">Member States may process personal data under this Directive </w:t>
      </w:r>
      <w:r w:rsidR="00544771">
        <w:rPr>
          <w:noProof/>
          <w:szCs w:val="24"/>
        </w:rPr>
        <w:t>solely</w:t>
      </w:r>
      <w:r w:rsidR="00544771">
        <w:rPr>
          <w:noProof/>
          <w:color w:val="548235"/>
          <w:szCs w:val="24"/>
        </w:rPr>
        <w:t xml:space="preserve"> </w:t>
      </w:r>
      <w:r w:rsidR="00544771">
        <w:rPr>
          <w:noProof/>
        </w:rPr>
        <w:t>for the purpose of applying Chapter IV as well as for the purpose of examining and reaching consensus on the content of the BEFIT information return and processing and assessing individual tax returns under Chapter V.</w:t>
      </w:r>
      <w:r w:rsidR="0068627D">
        <w:rPr>
          <w:noProof/>
        </w:rPr>
        <w:t xml:space="preserve"> </w:t>
      </w:r>
      <w:r w:rsidR="00AF50D5" w:rsidRPr="00363097">
        <w:rPr>
          <w:noProof/>
          <w:szCs w:val="24"/>
        </w:rPr>
        <w:t xml:space="preserve">When processing personal data for the purposes of this Directive, the competent authorities of Member States shall be considered as controllers, within the meaning of Article 4(7) of Regulation (EU) 2016/679, within the scope of their respective activities under this Directive. </w:t>
      </w:r>
    </w:p>
    <w:p w14:paraId="62A76B0C" w14:textId="125007C8" w:rsidR="00AF50D5" w:rsidRPr="00363097" w:rsidRDefault="00634583" w:rsidP="00634583">
      <w:pPr>
        <w:pStyle w:val="ManualNumPar1"/>
        <w:rPr>
          <w:noProof/>
        </w:rPr>
      </w:pPr>
      <w:r w:rsidRPr="00634583">
        <w:t>2.</w:t>
      </w:r>
      <w:r w:rsidRPr="00634583">
        <w:tab/>
      </w:r>
      <w:r w:rsidR="00AF50D5" w:rsidRPr="00363097">
        <w:rPr>
          <w:noProof/>
        </w:rPr>
        <w:t xml:space="preserve">Information, including personal data, processed in accordance with this Directive shall be retained only for as long as necessary to achieve the purposes of this Directive, in accordance with each data controller’s national law on </w:t>
      </w:r>
      <w:r w:rsidR="007931BE" w:rsidRPr="00363097">
        <w:rPr>
          <w:noProof/>
        </w:rPr>
        <w:t xml:space="preserve">the </w:t>
      </w:r>
      <w:r w:rsidR="00AF50D5" w:rsidRPr="00363097">
        <w:rPr>
          <w:noProof/>
        </w:rPr>
        <w:t>statute of limitations, but in any case</w:t>
      </w:r>
      <w:r w:rsidR="009E6A2F" w:rsidRPr="00363097">
        <w:rPr>
          <w:noProof/>
        </w:rPr>
        <w:t>,</w:t>
      </w:r>
      <w:r w:rsidR="00AF50D5" w:rsidRPr="00363097">
        <w:rPr>
          <w:noProof/>
        </w:rPr>
        <w:t xml:space="preserve"> no longer than 10 years.</w:t>
      </w:r>
    </w:p>
    <w:bookmarkEnd w:id="30"/>
    <w:p w14:paraId="4BC28473" w14:textId="253243B8" w:rsidR="00081B7A" w:rsidRPr="00363097" w:rsidRDefault="00081B7A" w:rsidP="006B487B">
      <w:pPr>
        <w:pStyle w:val="Titrearticle2"/>
        <w:rPr>
          <w:b/>
          <w:bCs/>
          <w:noProof/>
          <w:lang w:val="en-IE" w:eastAsia="en-IE"/>
        </w:rPr>
      </w:pPr>
      <w:r w:rsidRPr="00363097">
        <w:rPr>
          <w:iCs/>
          <w:noProof/>
          <w:lang w:val="en-US" w:eastAsia="en-IE"/>
        </w:rPr>
        <w:t>Article 7</w:t>
      </w:r>
      <w:r w:rsidRPr="00363097">
        <w:rPr>
          <w:iCs/>
          <w:noProof/>
          <w:lang w:val="en-US" w:eastAsia="en-IE"/>
        </w:rPr>
        <w:br/>
      </w:r>
      <w:r w:rsidRPr="00363097">
        <w:rPr>
          <w:b/>
          <w:bCs/>
          <w:noProof/>
          <w:lang w:eastAsia="en-IE"/>
        </w:rPr>
        <w:t>Review by the Commission of the operation of BEFIT</w:t>
      </w:r>
    </w:p>
    <w:p w14:paraId="0060087F" w14:textId="5B6023F3" w:rsidR="00081B7A" w:rsidRPr="00363097" w:rsidRDefault="00634583" w:rsidP="00634583">
      <w:pPr>
        <w:pStyle w:val="ManualNumPar1"/>
        <w:rPr>
          <w:noProof/>
        </w:rPr>
      </w:pPr>
      <w:r w:rsidRPr="00634583">
        <w:t>1.</w:t>
      </w:r>
      <w:r w:rsidRPr="00634583">
        <w:tab/>
      </w:r>
      <w:r w:rsidR="00E01A38" w:rsidRPr="00363097">
        <w:rPr>
          <w:noProof/>
        </w:rPr>
        <w:t>Five years after this Directive starts to apply, the Commission shall examine and evaluate its functioning and report to the European Parliament and the Council to that effect. The report shall, where appropriate, be accompanied by a proposal to amend this Directive</w:t>
      </w:r>
      <w:r w:rsidR="00B23A84" w:rsidRPr="00363097">
        <w:rPr>
          <w:noProof/>
        </w:rPr>
        <w:t>.</w:t>
      </w:r>
    </w:p>
    <w:p w14:paraId="7F32A602" w14:textId="5CD7BC50" w:rsidR="00081B7A" w:rsidRPr="00363097" w:rsidRDefault="00634583" w:rsidP="00634583">
      <w:pPr>
        <w:pStyle w:val="ManualNumPar1"/>
        <w:rPr>
          <w:noProof/>
        </w:rPr>
      </w:pPr>
      <w:r w:rsidRPr="00634583">
        <w:t>2.</w:t>
      </w:r>
      <w:r w:rsidRPr="00634583">
        <w:tab/>
      </w:r>
      <w:r w:rsidR="00081B7A" w:rsidRPr="00363097">
        <w:rPr>
          <w:noProof/>
        </w:rPr>
        <w:t xml:space="preserve">Member States shall communicate to the Commission relevant information for the evaluation of the Directive in accordance with paragraph 3, including aggregated data on BEFIT group members which are resident for tax purposes in their jurisdiction and permanent establishments thereof operating in their jurisdiction, in order to properly assess the impact of the transition allocation rule and of </w:t>
      </w:r>
      <w:bookmarkStart w:id="31" w:name="_Hlk141971742"/>
      <w:r w:rsidR="00AD4E8D" w:rsidRPr="00363097">
        <w:rPr>
          <w:noProof/>
          <w:lang w:val="en-IE"/>
        </w:rPr>
        <w:t xml:space="preserve">Directive (EU) 2022/2523 </w:t>
      </w:r>
      <w:bookmarkEnd w:id="31"/>
      <w:r w:rsidR="00744E5A" w:rsidRPr="00363097">
        <w:rPr>
          <w:noProof/>
        </w:rPr>
        <w:t xml:space="preserve">as well as </w:t>
      </w:r>
      <w:r w:rsidR="008932D2">
        <w:rPr>
          <w:noProof/>
        </w:rPr>
        <w:t xml:space="preserve">assessing the situation regarding </w:t>
      </w:r>
      <w:r w:rsidR="00744E5A" w:rsidRPr="00363097">
        <w:rPr>
          <w:noProof/>
        </w:rPr>
        <w:t xml:space="preserve">Pillar </w:t>
      </w:r>
      <w:r w:rsidR="00FB42F0" w:rsidRPr="00363097">
        <w:rPr>
          <w:noProof/>
        </w:rPr>
        <w:t>One</w:t>
      </w:r>
      <w:r w:rsidR="000D42B1" w:rsidRPr="00363097">
        <w:rPr>
          <w:noProof/>
        </w:rPr>
        <w:t xml:space="preserve"> of the Statement on a Two-Pillar Solution to Address the Tax Challenges Arising from the Digitalisation of the Economy agreed by the OECD/G20 Inclusive Framework on BEPS on 8 October 2021</w:t>
      </w:r>
      <w:r w:rsidR="00081B7A" w:rsidRPr="00363097">
        <w:rPr>
          <w:noProof/>
        </w:rPr>
        <w:t>.</w:t>
      </w:r>
    </w:p>
    <w:p w14:paraId="55178B92" w14:textId="492CF59F" w:rsidR="00081B7A" w:rsidRPr="00363097" w:rsidRDefault="00634583" w:rsidP="00634583">
      <w:pPr>
        <w:pStyle w:val="ManualNumPar1"/>
        <w:rPr>
          <w:noProof/>
        </w:rPr>
      </w:pPr>
      <w:r w:rsidRPr="00634583">
        <w:t>3.</w:t>
      </w:r>
      <w:r w:rsidRPr="00634583">
        <w:tab/>
      </w:r>
      <w:r w:rsidR="00081B7A" w:rsidRPr="00363097">
        <w:rPr>
          <w:noProof/>
        </w:rPr>
        <w:t xml:space="preserve">The Commission shall, by means of implementing acts, specify the information to be provided by Member States for the purpose of evaluating the functioning of this Directive, as referred to in paragraph 2, as well as the format and the conditions for the communication of such information. </w:t>
      </w:r>
    </w:p>
    <w:p w14:paraId="03523709" w14:textId="3B550EFE" w:rsidR="00081B7A" w:rsidRPr="00363097" w:rsidRDefault="00634583" w:rsidP="00634583">
      <w:pPr>
        <w:pStyle w:val="ManualNumPar1"/>
        <w:rPr>
          <w:noProof/>
        </w:rPr>
      </w:pPr>
      <w:r w:rsidRPr="00634583">
        <w:t>4.</w:t>
      </w:r>
      <w:r w:rsidRPr="00634583">
        <w:tab/>
      </w:r>
      <w:r w:rsidR="00081B7A" w:rsidRPr="00363097">
        <w:rPr>
          <w:noProof/>
        </w:rPr>
        <w:t xml:space="preserve">Information communicated to the Commission </w:t>
      </w:r>
      <w:r w:rsidR="00395A7A" w:rsidRPr="00363097">
        <w:rPr>
          <w:noProof/>
        </w:rPr>
        <w:t>under</w:t>
      </w:r>
      <w:r w:rsidR="00081B7A" w:rsidRPr="00363097">
        <w:rPr>
          <w:noProof/>
        </w:rPr>
        <w:t xml:space="preserve"> paragraph 2 shall be kept confidential by the Commission in accordance with the provisions applicable to Union institutions and Article </w:t>
      </w:r>
      <w:r w:rsidR="00621C94" w:rsidRPr="00363097">
        <w:rPr>
          <w:noProof/>
        </w:rPr>
        <w:t>7</w:t>
      </w:r>
      <w:r w:rsidR="00B45925">
        <w:rPr>
          <w:noProof/>
        </w:rPr>
        <w:t>6</w:t>
      </w:r>
      <w:r w:rsidR="00081B7A" w:rsidRPr="00363097">
        <w:rPr>
          <w:noProof/>
        </w:rPr>
        <w:t xml:space="preserve"> of this Directive. </w:t>
      </w:r>
    </w:p>
    <w:p w14:paraId="04160354" w14:textId="55305C62" w:rsidR="00081B7A" w:rsidRPr="00363097" w:rsidRDefault="00634583" w:rsidP="00634583">
      <w:pPr>
        <w:pStyle w:val="ManualNumPar1"/>
        <w:rPr>
          <w:noProof/>
        </w:rPr>
      </w:pPr>
      <w:r w:rsidRPr="00634583">
        <w:t>5.</w:t>
      </w:r>
      <w:r w:rsidRPr="00634583">
        <w:tab/>
      </w:r>
      <w:r w:rsidR="00081B7A" w:rsidRPr="00363097">
        <w:rPr>
          <w:noProof/>
        </w:rPr>
        <w:t xml:space="preserve">Information communicated to the Commission by a Member State </w:t>
      </w:r>
      <w:r w:rsidR="003D63CE" w:rsidRPr="00363097">
        <w:rPr>
          <w:noProof/>
        </w:rPr>
        <w:t>in accordance with</w:t>
      </w:r>
      <w:r w:rsidR="00081B7A" w:rsidRPr="00363097">
        <w:rPr>
          <w:noProof/>
        </w:rPr>
        <w:t xml:space="preserve"> paragraph 2, as well as any report or document produced by the Commission using such information, may be transmitted to other Member States. The transmitted information shall be covered by the obligation of official secrecy</w:t>
      </w:r>
      <w:r w:rsidR="00B635BE" w:rsidRPr="00363097">
        <w:rPr>
          <w:noProof/>
        </w:rPr>
        <w:t xml:space="preserve">, as laid </w:t>
      </w:r>
      <w:r w:rsidR="00FF58C6" w:rsidRPr="00363097">
        <w:rPr>
          <w:noProof/>
          <w:lang w:val="en-US"/>
        </w:rPr>
        <w:t>down</w:t>
      </w:r>
      <w:r w:rsidR="00F01497" w:rsidRPr="00363097">
        <w:rPr>
          <w:noProof/>
          <w:lang w:val="en-US"/>
        </w:rPr>
        <w:t xml:space="preserve"> </w:t>
      </w:r>
      <w:r w:rsidR="000C4F5A" w:rsidRPr="00363097">
        <w:rPr>
          <w:noProof/>
          <w:lang w:val="en-US"/>
        </w:rPr>
        <w:t xml:space="preserve">regarding </w:t>
      </w:r>
      <w:r w:rsidR="00963CF1" w:rsidRPr="00363097">
        <w:rPr>
          <w:noProof/>
        </w:rPr>
        <w:t xml:space="preserve">similar information </w:t>
      </w:r>
      <w:r w:rsidR="00FF58C6" w:rsidRPr="00363097">
        <w:rPr>
          <w:noProof/>
          <w:lang w:val="en-US"/>
        </w:rPr>
        <w:t xml:space="preserve">in </w:t>
      </w:r>
      <w:r w:rsidR="00B635BE" w:rsidRPr="00363097">
        <w:rPr>
          <w:noProof/>
          <w:lang w:val="en-US"/>
        </w:rPr>
        <w:t xml:space="preserve">the </w:t>
      </w:r>
      <w:r w:rsidR="00C470E1" w:rsidRPr="00363097">
        <w:rPr>
          <w:noProof/>
          <w:lang w:val="en-US"/>
        </w:rPr>
        <w:t>national law</w:t>
      </w:r>
      <w:r w:rsidR="00FF58C6" w:rsidRPr="00363097">
        <w:rPr>
          <w:noProof/>
          <w:lang w:val="en-US"/>
        </w:rPr>
        <w:t xml:space="preserve"> </w:t>
      </w:r>
      <w:r w:rsidR="00081B7A" w:rsidRPr="00363097">
        <w:rPr>
          <w:noProof/>
        </w:rPr>
        <w:t>of the Member State</w:t>
      </w:r>
      <w:r w:rsidR="0078178C" w:rsidRPr="00363097">
        <w:rPr>
          <w:noProof/>
        </w:rPr>
        <w:t>(s)</w:t>
      </w:r>
      <w:r w:rsidR="00081B7A" w:rsidRPr="00363097">
        <w:rPr>
          <w:noProof/>
        </w:rPr>
        <w:t xml:space="preserve"> which received it.</w:t>
      </w:r>
    </w:p>
    <w:p w14:paraId="5B8A63B1" w14:textId="080623F5" w:rsidR="00081B7A" w:rsidRPr="00363097" w:rsidRDefault="00D14853" w:rsidP="006B487B">
      <w:pPr>
        <w:pStyle w:val="Titrearticle2"/>
        <w:rPr>
          <w:noProof/>
          <w:lang w:val="en-IE" w:eastAsia="en-IE"/>
        </w:rPr>
      </w:pPr>
      <w:r w:rsidRPr="00363097">
        <w:rPr>
          <w:iCs/>
          <w:noProof/>
          <w:lang w:val="en-US" w:eastAsia="en-IE"/>
        </w:rPr>
        <w:t>Article 7</w:t>
      </w:r>
      <w:r w:rsidR="003302AF">
        <w:rPr>
          <w:iCs/>
          <w:noProof/>
          <w:lang w:val="en-US" w:eastAsia="en-IE"/>
        </w:rPr>
        <w:t>8</w:t>
      </w:r>
      <w:r w:rsidR="00081B7A" w:rsidRPr="00363097">
        <w:rPr>
          <w:iCs/>
          <w:noProof/>
          <w:lang w:val="en-US" w:eastAsia="en-IE"/>
        </w:rPr>
        <w:br/>
      </w:r>
      <w:r w:rsidR="00081B7A" w:rsidRPr="00363097">
        <w:rPr>
          <w:b/>
          <w:bCs/>
          <w:noProof/>
          <w:lang w:eastAsia="en-IE"/>
        </w:rPr>
        <w:t>Transposition</w:t>
      </w:r>
    </w:p>
    <w:p w14:paraId="671F5448" w14:textId="6892721B" w:rsidR="00081B7A" w:rsidRPr="00482B58" w:rsidRDefault="00634583" w:rsidP="00634583">
      <w:pPr>
        <w:pStyle w:val="ManualNumPar1"/>
        <w:rPr>
          <w:rFonts w:eastAsia="Calibri"/>
          <w:noProof/>
          <w:szCs w:val="24"/>
          <w:lang w:val="en-US"/>
        </w:rPr>
      </w:pPr>
      <w:r w:rsidRPr="00634583">
        <w:t>1.</w:t>
      </w:r>
      <w:r w:rsidRPr="00634583">
        <w:tab/>
      </w:r>
      <w:r w:rsidR="00081B7A" w:rsidRPr="00482B58">
        <w:rPr>
          <w:noProof/>
          <w:lang w:val="en-US"/>
        </w:rPr>
        <w:t xml:space="preserve">Member States shall adopt and publish the laws, regulations and administrative provisions necessary to comply with this Directive by </w:t>
      </w:r>
      <w:r w:rsidR="00D90005" w:rsidRPr="00482B58">
        <w:rPr>
          <w:noProof/>
          <w:lang w:val="en-US"/>
        </w:rPr>
        <w:t>1 January 2028</w:t>
      </w:r>
      <w:r w:rsidR="00081B7A" w:rsidRPr="00482B58">
        <w:rPr>
          <w:noProof/>
          <w:lang w:val="en-US"/>
        </w:rPr>
        <w:t xml:space="preserve">. </w:t>
      </w:r>
      <w:r w:rsidR="00081B7A" w:rsidRPr="00363097">
        <w:rPr>
          <w:noProof/>
        </w:rPr>
        <w:t>They shall forthwith communicate to the Commission the text of those provisions.</w:t>
      </w:r>
    </w:p>
    <w:p w14:paraId="37F13AA7" w14:textId="37C70187" w:rsidR="00081B7A" w:rsidRPr="00482B58" w:rsidRDefault="00634583" w:rsidP="00634583">
      <w:pPr>
        <w:pStyle w:val="ManualNumPar1"/>
        <w:rPr>
          <w:noProof/>
        </w:rPr>
      </w:pPr>
      <w:r w:rsidRPr="00634583">
        <w:t>2.</w:t>
      </w:r>
      <w:r w:rsidRPr="00634583">
        <w:tab/>
      </w:r>
      <w:r w:rsidR="00081B7A" w:rsidRPr="00482B58">
        <w:rPr>
          <w:noProof/>
        </w:rPr>
        <w:t>They shall apply those provisions from</w:t>
      </w:r>
      <w:r w:rsidR="00081B7A" w:rsidRPr="00482B58" w:rsidDel="003D52DB">
        <w:rPr>
          <w:noProof/>
        </w:rPr>
        <w:t xml:space="preserve"> </w:t>
      </w:r>
      <w:r w:rsidR="00D90005" w:rsidRPr="00482B58">
        <w:rPr>
          <w:noProof/>
        </w:rPr>
        <w:t>1 July 2028</w:t>
      </w:r>
      <w:r w:rsidR="00081B7A" w:rsidRPr="00482B58">
        <w:rPr>
          <w:noProof/>
        </w:rPr>
        <w:t>.</w:t>
      </w:r>
    </w:p>
    <w:p w14:paraId="3C63F31B" w14:textId="067453FF" w:rsidR="00081B7A" w:rsidRPr="00482B58" w:rsidRDefault="00634583" w:rsidP="00634583">
      <w:pPr>
        <w:pStyle w:val="ManualNumPar1"/>
        <w:rPr>
          <w:noProof/>
        </w:rPr>
      </w:pPr>
      <w:r w:rsidRPr="00634583">
        <w:t>3.</w:t>
      </w:r>
      <w:r w:rsidRPr="00634583">
        <w:tab/>
      </w:r>
      <w:r w:rsidR="00081B7A" w:rsidRPr="00482B58">
        <w:rPr>
          <w:noProof/>
        </w:rPr>
        <w:t>When Member States adopt those provisions, they shall include a reference to this Directive or accompany them with such a reference on the occasion of their official publication. Member States shall determine how such reference is to be made.</w:t>
      </w:r>
    </w:p>
    <w:p w14:paraId="617235DD" w14:textId="068A65E9" w:rsidR="00081B7A" w:rsidRPr="00363097" w:rsidRDefault="00634583" w:rsidP="00634583">
      <w:pPr>
        <w:pStyle w:val="ManualNumPar1"/>
        <w:rPr>
          <w:noProof/>
        </w:rPr>
      </w:pPr>
      <w:r w:rsidRPr="00634583">
        <w:t>4.</w:t>
      </w:r>
      <w:r w:rsidRPr="00634583">
        <w:tab/>
      </w:r>
      <w:r w:rsidR="002E564F" w:rsidRPr="00482B58">
        <w:rPr>
          <w:noProof/>
        </w:rPr>
        <w:t>As soon as this Directive has entered into force, Member States shall ensure that the Commission is informed, in sufficient time for it to submit its comments on any draft laws, regulations or administrative provisions which they intend to adopt in the field covered</w:t>
      </w:r>
      <w:r w:rsidR="002E564F" w:rsidRPr="00363097">
        <w:rPr>
          <w:noProof/>
        </w:rPr>
        <w:t xml:space="preserve"> by this Directive.</w:t>
      </w:r>
    </w:p>
    <w:p w14:paraId="75893E11" w14:textId="6E9E2393" w:rsidR="00081B7A" w:rsidRPr="00363097" w:rsidRDefault="00081B7A" w:rsidP="006B487B">
      <w:pPr>
        <w:pStyle w:val="Titrearticle2"/>
        <w:rPr>
          <w:b/>
          <w:bCs/>
          <w:noProof/>
          <w:lang w:val="en-IE" w:eastAsia="en-IE"/>
        </w:rPr>
      </w:pPr>
      <w:r w:rsidRPr="00363097">
        <w:rPr>
          <w:noProof/>
          <w:lang w:val="en-US" w:eastAsia="en-IE"/>
        </w:rPr>
        <w:t>Article 7</w:t>
      </w:r>
      <w:r w:rsidR="003302AF">
        <w:rPr>
          <w:noProof/>
          <w:lang w:val="en-US" w:eastAsia="en-IE"/>
        </w:rPr>
        <w:t>9</w:t>
      </w:r>
      <w:r w:rsidRPr="00363097">
        <w:rPr>
          <w:noProof/>
        </w:rPr>
        <w:br/>
      </w:r>
      <w:r w:rsidRPr="00363097">
        <w:rPr>
          <w:b/>
          <w:bCs/>
          <w:noProof/>
          <w:lang w:eastAsia="en-IE"/>
        </w:rPr>
        <w:t>Entry into force</w:t>
      </w:r>
    </w:p>
    <w:p w14:paraId="2D1F09C3" w14:textId="77777777" w:rsidR="00081B7A" w:rsidRPr="00363097" w:rsidRDefault="00081B7A" w:rsidP="00081B7A">
      <w:pPr>
        <w:widowControl w:val="0"/>
        <w:spacing w:before="100" w:beforeAutospacing="1" w:after="140"/>
        <w:jc w:val="left"/>
        <w:rPr>
          <w:rFonts w:eastAsia="Times New Roman"/>
          <w:noProof/>
          <w:szCs w:val="24"/>
          <w:lang w:eastAsia="en-IE"/>
        </w:rPr>
      </w:pPr>
      <w:r w:rsidRPr="00363097">
        <w:rPr>
          <w:rFonts w:eastAsia="Times New Roman"/>
          <w:noProof/>
          <w:szCs w:val="24"/>
          <w:lang w:eastAsia="en-IE"/>
        </w:rPr>
        <w:t xml:space="preserve">This Directive shall enter into force on the </w:t>
      </w:r>
      <w:r w:rsidR="00EB1445" w:rsidRPr="00363097">
        <w:rPr>
          <w:rFonts w:eastAsia="Times New Roman"/>
          <w:noProof/>
          <w:szCs w:val="24"/>
          <w:lang w:eastAsia="en-IE"/>
        </w:rPr>
        <w:t xml:space="preserve">twentieth </w:t>
      </w:r>
      <w:r w:rsidRPr="00363097">
        <w:rPr>
          <w:rFonts w:eastAsia="Times New Roman"/>
          <w:noProof/>
          <w:szCs w:val="24"/>
          <w:lang w:eastAsia="en-IE"/>
        </w:rPr>
        <w:t xml:space="preserve">day following that of its publication in the </w:t>
      </w:r>
      <w:r w:rsidRPr="00363097">
        <w:rPr>
          <w:i/>
          <w:noProof/>
        </w:rPr>
        <w:t>Official Journal of the European Union</w:t>
      </w:r>
      <w:r w:rsidRPr="00363097">
        <w:rPr>
          <w:rFonts w:eastAsia="Times New Roman"/>
          <w:noProof/>
          <w:szCs w:val="24"/>
          <w:lang w:eastAsia="en-IE"/>
        </w:rPr>
        <w:t xml:space="preserve">. </w:t>
      </w:r>
    </w:p>
    <w:p w14:paraId="1AC653C9" w14:textId="43C7B9BC" w:rsidR="00081B7A" w:rsidRPr="00363097" w:rsidRDefault="00081B7A" w:rsidP="00D0687A">
      <w:pPr>
        <w:pStyle w:val="Titrearticle2"/>
        <w:rPr>
          <w:noProof/>
          <w:lang w:eastAsia="en-IE"/>
        </w:rPr>
      </w:pPr>
      <w:r w:rsidRPr="00363097">
        <w:rPr>
          <w:noProof/>
          <w:lang w:val="en-US" w:eastAsia="en-IE"/>
        </w:rPr>
        <w:t xml:space="preserve">Article </w:t>
      </w:r>
      <w:r w:rsidR="003302AF">
        <w:rPr>
          <w:noProof/>
          <w:lang w:val="en-US" w:eastAsia="en-IE"/>
        </w:rPr>
        <w:t>80</w:t>
      </w:r>
      <w:r w:rsidRPr="00363097">
        <w:rPr>
          <w:noProof/>
        </w:rPr>
        <w:br/>
      </w:r>
      <w:r w:rsidRPr="00363097">
        <w:rPr>
          <w:b/>
          <w:bCs/>
          <w:noProof/>
          <w:lang w:eastAsia="en-IE"/>
        </w:rPr>
        <w:t>Addressees</w:t>
      </w:r>
    </w:p>
    <w:p w14:paraId="4589069C" w14:textId="77777777" w:rsidR="00081B7A" w:rsidRPr="00363097" w:rsidRDefault="00081B7A" w:rsidP="00081B7A">
      <w:pPr>
        <w:widowControl w:val="0"/>
        <w:spacing w:before="100" w:beforeAutospacing="1" w:after="140"/>
        <w:jc w:val="left"/>
        <w:rPr>
          <w:rFonts w:eastAsia="Times New Roman"/>
          <w:noProof/>
          <w:szCs w:val="24"/>
          <w:lang w:eastAsia="en-IE"/>
        </w:rPr>
      </w:pPr>
      <w:r w:rsidRPr="00363097">
        <w:rPr>
          <w:rFonts w:eastAsia="Times New Roman"/>
          <w:noProof/>
          <w:szCs w:val="24"/>
          <w:lang w:eastAsia="en-IE"/>
        </w:rPr>
        <w:t>This Directive is addressed to the Member States.</w:t>
      </w:r>
    </w:p>
    <w:p w14:paraId="34CF582D" w14:textId="7898DAF3" w:rsidR="00081B7A" w:rsidRPr="00363097" w:rsidRDefault="004A4001" w:rsidP="00D0687A">
      <w:pPr>
        <w:pStyle w:val="Fait"/>
        <w:rPr>
          <w:noProof/>
        </w:rPr>
      </w:pPr>
      <w:r w:rsidRPr="004A4001">
        <w:t>Done at Strasbourg,</w:t>
      </w:r>
    </w:p>
    <w:p w14:paraId="11769775" w14:textId="77777777" w:rsidR="00081B7A" w:rsidRPr="00363097" w:rsidRDefault="00081B7A" w:rsidP="00D0687A">
      <w:pPr>
        <w:pStyle w:val="Institutionquisigne"/>
        <w:rPr>
          <w:noProof/>
        </w:rPr>
      </w:pPr>
      <w:r w:rsidRPr="00363097">
        <w:rPr>
          <w:noProof/>
        </w:rPr>
        <w:t>For the Council</w:t>
      </w:r>
    </w:p>
    <w:p w14:paraId="0D9D2691" w14:textId="77777777" w:rsidR="00081B7A" w:rsidRPr="00363097" w:rsidRDefault="00081B7A" w:rsidP="00FD52C1">
      <w:pPr>
        <w:pStyle w:val="Personnequisigne"/>
        <w:rPr>
          <w:noProof/>
        </w:rPr>
        <w:sectPr w:rsidR="00081B7A" w:rsidRPr="00363097" w:rsidSect="008D52AB">
          <w:pgSz w:w="11907" w:h="16840" w:code="9"/>
          <w:pgMar w:top="1134" w:right="1418" w:bottom="1134" w:left="1418" w:header="709" w:footer="709" w:gutter="0"/>
          <w:pgNumType w:start="1"/>
          <w:cols w:space="720"/>
          <w:docGrid w:linePitch="360"/>
        </w:sectPr>
      </w:pPr>
      <w:r w:rsidRPr="00363097">
        <w:rPr>
          <w:noProof/>
        </w:rPr>
        <w:t>The President</w:t>
      </w:r>
    </w:p>
    <w:p w14:paraId="60DD51F4" w14:textId="77777777" w:rsidR="00FD52C1" w:rsidRPr="00363097" w:rsidRDefault="00FD52C1" w:rsidP="00FD52C1">
      <w:pPr>
        <w:pStyle w:val="Fichefinanciretitre"/>
        <w:keepNext/>
        <w:rPr>
          <w:noProof/>
        </w:rPr>
      </w:pPr>
      <w:bookmarkStart w:id="32" w:name="_Toc514938007"/>
      <w:bookmarkStart w:id="33" w:name="_Toc520485025"/>
      <w:r w:rsidRPr="00363097">
        <w:rPr>
          <w:noProof/>
        </w:rPr>
        <w:t>LEGISLATIVE FINANCIAL STATEMENT</w:t>
      </w:r>
    </w:p>
    <w:p w14:paraId="259DF035" w14:textId="77777777" w:rsidR="00081B7A" w:rsidRPr="00363097" w:rsidRDefault="00081B7A" w:rsidP="00081B7A">
      <w:pPr>
        <w:pStyle w:val="ManualHeading1"/>
        <w:rPr>
          <w:noProof/>
        </w:rPr>
      </w:pPr>
      <w:r w:rsidRPr="00363097">
        <w:rPr>
          <w:noProof/>
        </w:rPr>
        <w:t>1.</w:t>
      </w:r>
      <w:r w:rsidRPr="00363097">
        <w:rPr>
          <w:noProof/>
        </w:rPr>
        <w:tab/>
        <w:t>FRAMEWORK OF THE PROPOSAL/INITIATIVE</w:t>
      </w:r>
      <w:bookmarkEnd w:id="32"/>
      <w:bookmarkEnd w:id="33"/>
      <w:r w:rsidRPr="00363097">
        <w:rPr>
          <w:noProof/>
        </w:rPr>
        <w:t xml:space="preserve"> </w:t>
      </w:r>
    </w:p>
    <w:p w14:paraId="3714F0AE" w14:textId="77777777" w:rsidR="00081B7A" w:rsidRPr="00363097" w:rsidRDefault="00081B7A" w:rsidP="00081B7A">
      <w:pPr>
        <w:pStyle w:val="ManualHeading2"/>
        <w:rPr>
          <w:noProof/>
        </w:rPr>
      </w:pPr>
      <w:bookmarkStart w:id="34" w:name="_Toc514938008"/>
      <w:bookmarkStart w:id="35" w:name="_Toc520485026"/>
      <w:r w:rsidRPr="00363097">
        <w:rPr>
          <w:noProof/>
        </w:rPr>
        <w:t>1.1.</w:t>
      </w:r>
      <w:r w:rsidRPr="00363097">
        <w:rPr>
          <w:noProof/>
        </w:rPr>
        <w:tab/>
        <w:t>Title of the proposal/initiative</w:t>
      </w:r>
      <w:bookmarkEnd w:id="34"/>
      <w:bookmarkEnd w:id="35"/>
    </w:p>
    <w:p w14:paraId="39620B5E"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Council Directive (EU) 2023/XXX of XX September 2023 on Business in Europe: Framework for Income Taxation (BEFIT)</w:t>
      </w:r>
    </w:p>
    <w:p w14:paraId="015AEBEB" w14:textId="77777777" w:rsidR="00081B7A" w:rsidRPr="00363097" w:rsidRDefault="00081B7A" w:rsidP="00081B7A">
      <w:pPr>
        <w:pStyle w:val="ManualHeading2"/>
        <w:rPr>
          <w:i/>
          <w:noProof/>
        </w:rPr>
      </w:pPr>
      <w:bookmarkStart w:id="36" w:name="_Toc514938011"/>
      <w:bookmarkStart w:id="37" w:name="_Toc520485027"/>
      <w:r w:rsidRPr="00363097">
        <w:rPr>
          <w:noProof/>
        </w:rPr>
        <w:t>1.2.</w:t>
      </w:r>
      <w:r w:rsidRPr="00363097">
        <w:rPr>
          <w:noProof/>
        </w:rPr>
        <w:tab/>
        <w:t>Policy area(s) concerned</w:t>
      </w:r>
      <w:bookmarkEnd w:id="36"/>
      <w:bookmarkEnd w:id="37"/>
      <w:r w:rsidRPr="00363097">
        <w:rPr>
          <w:i/>
          <w:noProof/>
        </w:rPr>
        <w:t xml:space="preserve"> </w:t>
      </w:r>
    </w:p>
    <w:p w14:paraId="181956E3" w14:textId="77777777" w:rsidR="00081B7A" w:rsidRPr="00363097" w:rsidRDefault="00081B7A" w:rsidP="00081B7A">
      <w:pPr>
        <w:pStyle w:val="ManualHeading2"/>
        <w:rPr>
          <w:bCs/>
          <w:noProof/>
          <w:szCs w:val="24"/>
        </w:rPr>
      </w:pPr>
      <w:r w:rsidRPr="00363097">
        <w:rPr>
          <w:bCs/>
          <w:noProof/>
        </w:rPr>
        <w:t>Tax policy</w:t>
      </w:r>
      <w:r w:rsidRPr="00363097" w:rsidDel="00F75A15">
        <w:rPr>
          <w:noProof/>
        </w:rPr>
        <w:t xml:space="preserve"> </w:t>
      </w:r>
      <w:bookmarkStart w:id="38" w:name="_Toc514938014"/>
      <w:bookmarkStart w:id="39" w:name="_Toc520485028"/>
      <w:r w:rsidRPr="00363097">
        <w:rPr>
          <w:noProof/>
        </w:rPr>
        <w:t>1.3.</w:t>
      </w:r>
      <w:r w:rsidRPr="00363097">
        <w:rPr>
          <w:noProof/>
        </w:rPr>
        <w:tab/>
        <w:t>The proposal/initiative relates to:</w:t>
      </w:r>
      <w:bookmarkEnd w:id="38"/>
      <w:bookmarkEnd w:id="39"/>
      <w:r w:rsidRPr="00363097">
        <w:rPr>
          <w:noProof/>
        </w:rPr>
        <w:t xml:space="preserve"> </w:t>
      </w:r>
    </w:p>
    <w:p w14:paraId="1F270501" w14:textId="77777777" w:rsidR="00081B7A" w:rsidRPr="00363097" w:rsidRDefault="00081B7A" w:rsidP="00081B7A">
      <w:pPr>
        <w:pStyle w:val="Text1"/>
        <w:rPr>
          <w:b/>
          <w:noProof/>
          <w:sz w:val="22"/>
        </w:rPr>
      </w:pPr>
      <w:r w:rsidRPr="00363097">
        <w:rPr>
          <w:rFonts w:ascii="Wingdings" w:eastAsia="Wingdings" w:hAnsi="Wingdings" w:cs="Wingdings"/>
          <w:noProof/>
          <w:sz w:val="22"/>
        </w:rPr>
        <w:t></w:t>
      </w:r>
      <w:r w:rsidRPr="00363097">
        <w:rPr>
          <w:b/>
          <w:i/>
          <w:noProof/>
          <w:sz w:val="22"/>
        </w:rPr>
        <w:t xml:space="preserve"> </w:t>
      </w:r>
      <w:r w:rsidRPr="00363097">
        <w:rPr>
          <w:b/>
          <w:noProof/>
        </w:rPr>
        <w:t>a new action</w:t>
      </w:r>
      <w:r w:rsidRPr="00363097">
        <w:rPr>
          <w:b/>
          <w:noProof/>
          <w:sz w:val="22"/>
        </w:rPr>
        <w:t xml:space="preserve"> </w:t>
      </w:r>
    </w:p>
    <w:p w14:paraId="36F7C1BB" w14:textId="77777777" w:rsidR="00081B7A" w:rsidRPr="00363097" w:rsidRDefault="00081B7A" w:rsidP="00081B7A">
      <w:pPr>
        <w:pStyle w:val="Text1"/>
        <w:rPr>
          <w:noProof/>
          <w:sz w:val="22"/>
        </w:rPr>
      </w:pPr>
      <w:r w:rsidRPr="00363097">
        <w:rPr>
          <w:rFonts w:ascii="Wingdings" w:eastAsia="Wingdings" w:hAnsi="Wingdings" w:cs="Wingdings"/>
          <w:noProof/>
          <w:sz w:val="22"/>
        </w:rPr>
        <w:t></w:t>
      </w:r>
      <w:r w:rsidRPr="00363097">
        <w:rPr>
          <w:i/>
          <w:noProof/>
          <w:sz w:val="22"/>
        </w:rPr>
        <w:t xml:space="preserve"> </w:t>
      </w:r>
      <w:r w:rsidRPr="00363097">
        <w:rPr>
          <w:b/>
          <w:noProof/>
        </w:rPr>
        <w:t>a new action following a pilot project/preparatory action</w:t>
      </w:r>
      <w:r w:rsidRPr="00363097">
        <w:rPr>
          <w:rStyle w:val="FootnoteReference0"/>
          <w:b/>
          <w:noProof/>
        </w:rPr>
        <w:footnoteReference w:id="38"/>
      </w:r>
      <w:r w:rsidRPr="00363097">
        <w:rPr>
          <w:noProof/>
          <w:sz w:val="22"/>
        </w:rPr>
        <w:t xml:space="preserve"> </w:t>
      </w:r>
    </w:p>
    <w:p w14:paraId="59CFF444" w14:textId="77777777" w:rsidR="00081B7A" w:rsidRPr="00363097" w:rsidRDefault="00081B7A" w:rsidP="00081B7A">
      <w:pPr>
        <w:pStyle w:val="Text1"/>
        <w:rPr>
          <w:noProof/>
          <w:sz w:val="22"/>
        </w:rPr>
      </w:pPr>
      <w:r w:rsidRPr="00363097">
        <w:rPr>
          <w:rFonts w:ascii="Wingdings" w:eastAsia="Wingdings" w:hAnsi="Wingdings" w:cs="Wingdings"/>
          <w:noProof/>
          <w:sz w:val="22"/>
        </w:rPr>
        <w:t></w:t>
      </w:r>
      <w:r w:rsidRPr="00363097">
        <w:rPr>
          <w:i/>
          <w:noProof/>
          <w:sz w:val="22"/>
        </w:rPr>
        <w:t xml:space="preserve"> </w:t>
      </w:r>
      <w:r w:rsidRPr="00363097">
        <w:rPr>
          <w:b/>
          <w:noProof/>
        </w:rPr>
        <w:t>the extension of an existing action</w:t>
      </w:r>
      <w:r w:rsidRPr="00363097">
        <w:rPr>
          <w:noProof/>
          <w:sz w:val="22"/>
        </w:rPr>
        <w:t xml:space="preserve"> </w:t>
      </w:r>
    </w:p>
    <w:p w14:paraId="19DAC83F" w14:textId="77777777" w:rsidR="00081B7A" w:rsidRPr="00363097" w:rsidRDefault="00081B7A" w:rsidP="00081B7A">
      <w:pPr>
        <w:pStyle w:val="Text1"/>
        <w:rPr>
          <w:noProof/>
        </w:rPr>
      </w:pPr>
      <w:r w:rsidRPr="00363097">
        <w:rPr>
          <w:rFonts w:ascii="Wingdings" w:eastAsia="Wingdings" w:hAnsi="Wingdings" w:cs="Wingdings"/>
          <w:noProof/>
          <w:sz w:val="22"/>
        </w:rPr>
        <w:t></w:t>
      </w:r>
      <w:r w:rsidRPr="00363097">
        <w:rPr>
          <w:i/>
          <w:noProof/>
          <w:sz w:val="22"/>
        </w:rPr>
        <w:t xml:space="preserve"> </w:t>
      </w:r>
      <w:r w:rsidRPr="00363097">
        <w:rPr>
          <w:b/>
          <w:noProof/>
        </w:rPr>
        <w:t>a merger or redirection of one or more actions towards another/a new action</w:t>
      </w:r>
      <w:r w:rsidRPr="00363097">
        <w:rPr>
          <w:noProof/>
        </w:rPr>
        <w:t xml:space="preserve"> </w:t>
      </w:r>
    </w:p>
    <w:p w14:paraId="7940CFCE" w14:textId="77777777" w:rsidR="00081B7A" w:rsidRPr="00363097" w:rsidRDefault="00081B7A" w:rsidP="00081B7A">
      <w:pPr>
        <w:pStyle w:val="ManualHeading2"/>
        <w:rPr>
          <w:bCs/>
          <w:noProof/>
          <w:szCs w:val="24"/>
        </w:rPr>
      </w:pPr>
      <w:bookmarkStart w:id="40" w:name="_Toc514938015"/>
      <w:bookmarkStart w:id="41" w:name="_Toc520485029"/>
      <w:r w:rsidRPr="00363097">
        <w:rPr>
          <w:noProof/>
        </w:rPr>
        <w:t>1.4.</w:t>
      </w:r>
      <w:r w:rsidRPr="00363097">
        <w:rPr>
          <w:noProof/>
        </w:rPr>
        <w:tab/>
        <w:t>Objective(s)</w:t>
      </w:r>
      <w:bookmarkEnd w:id="40"/>
      <w:bookmarkEnd w:id="41"/>
    </w:p>
    <w:p w14:paraId="46711782" w14:textId="77777777" w:rsidR="00081B7A" w:rsidRPr="00363097" w:rsidRDefault="00081B7A" w:rsidP="00081B7A">
      <w:pPr>
        <w:pStyle w:val="ManualHeading3"/>
        <w:rPr>
          <w:noProof/>
        </w:rPr>
      </w:pPr>
      <w:bookmarkStart w:id="42" w:name="_Toc514938016"/>
      <w:bookmarkStart w:id="43" w:name="_Toc520485030"/>
      <w:r w:rsidRPr="00363097">
        <w:rPr>
          <w:noProof/>
        </w:rPr>
        <w:t>1.4.1.</w:t>
      </w:r>
      <w:r w:rsidRPr="00363097">
        <w:rPr>
          <w:noProof/>
        </w:rPr>
        <w:tab/>
        <w:t>General objective(s)</w:t>
      </w:r>
      <w:bookmarkEnd w:id="42"/>
      <w:bookmarkEnd w:id="43"/>
    </w:p>
    <w:p w14:paraId="7B9FB1DC" w14:textId="243CAC72" w:rsidR="00081B7A" w:rsidRPr="00363097" w:rsidRDefault="00081B7A" w:rsidP="00081B7A">
      <w:pPr>
        <w:pStyle w:val="Text1"/>
        <w:pBdr>
          <w:top w:val="single" w:sz="4" w:space="1" w:color="auto"/>
          <w:left w:val="single" w:sz="4" w:space="4" w:color="auto"/>
          <w:bottom w:val="single" w:sz="4" w:space="1" w:color="auto"/>
          <w:right w:val="single" w:sz="4" w:space="4" w:color="auto"/>
        </w:pBdr>
        <w:rPr>
          <w:rFonts w:eastAsia="Arial Unicode MS"/>
          <w:noProof/>
        </w:rPr>
      </w:pPr>
      <w:r w:rsidRPr="00363097">
        <w:rPr>
          <w:rFonts w:eastAsia="Arial Unicode MS"/>
          <w:noProof/>
        </w:rPr>
        <w:t xml:space="preserve">The Proposal aims to develop a common corporate tax framework in support of the </w:t>
      </w:r>
      <w:r w:rsidR="00A435D1" w:rsidRPr="00363097">
        <w:rPr>
          <w:rFonts w:eastAsia="Arial Unicode MS"/>
          <w:noProof/>
        </w:rPr>
        <w:t>i</w:t>
      </w:r>
      <w:r w:rsidR="00CF2BFC" w:rsidRPr="00363097">
        <w:rPr>
          <w:rFonts w:eastAsia="Arial Unicode MS"/>
          <w:noProof/>
        </w:rPr>
        <w:t>nternal market</w:t>
      </w:r>
      <w:r w:rsidRPr="00363097">
        <w:rPr>
          <w:rFonts w:eastAsia="Arial Unicode MS"/>
          <w:noProof/>
        </w:rPr>
        <w:t xml:space="preserve">. There is currently no common corporate tax system for computing the taxable income of EU businesses, but 27 different national systems, making it difficult and costly for companies to do business across the </w:t>
      </w:r>
      <w:r w:rsidR="00A435D1" w:rsidRPr="00363097">
        <w:rPr>
          <w:rFonts w:eastAsia="Arial Unicode MS"/>
          <w:noProof/>
        </w:rPr>
        <w:t>i</w:t>
      </w:r>
      <w:r w:rsidR="00CF2BFC" w:rsidRPr="00363097">
        <w:rPr>
          <w:rFonts w:eastAsia="Arial Unicode MS"/>
          <w:noProof/>
        </w:rPr>
        <w:t>nternal market</w:t>
      </w:r>
      <w:r w:rsidRPr="00363097">
        <w:rPr>
          <w:rFonts w:eastAsia="Arial Unicode MS"/>
          <w:noProof/>
        </w:rPr>
        <w:t>.</w:t>
      </w:r>
      <w:r w:rsidRPr="00363097">
        <w:rPr>
          <w:noProof/>
        </w:rPr>
        <w:t xml:space="preserve"> </w:t>
      </w:r>
      <w:r w:rsidRPr="00363097">
        <w:rPr>
          <w:rFonts w:eastAsia="Times New Roman"/>
          <w:noProof/>
          <w:lang w:eastAsia="en-GB"/>
        </w:rPr>
        <w:t xml:space="preserve">The Proposal accommodates the need for, and provides </w:t>
      </w:r>
      <w:r w:rsidR="006E3825" w:rsidRPr="00363097">
        <w:rPr>
          <w:noProof/>
          <w:lang w:val="en-US"/>
        </w:rPr>
        <w:t xml:space="preserve">a degree of </w:t>
      </w:r>
      <w:r w:rsidRPr="00363097">
        <w:rPr>
          <w:rFonts w:eastAsia="Times New Roman"/>
          <w:noProof/>
          <w:lang w:eastAsia="en-GB"/>
        </w:rPr>
        <w:t>tax certainty and easier tax compliance with, larger businesses that have taxable presence in multiple Member States. For this, the proposal notably builds on the internationally agreed achievements of the OECD/G20 Inclusive Framework Two Pillar Approach.</w:t>
      </w:r>
    </w:p>
    <w:p w14:paraId="38774ABF" w14:textId="77777777" w:rsidR="00081B7A" w:rsidRPr="00363097" w:rsidRDefault="00081B7A" w:rsidP="00081B7A">
      <w:pPr>
        <w:pStyle w:val="ManualHeading3"/>
        <w:rPr>
          <w:bCs/>
          <w:noProof/>
          <w:szCs w:val="24"/>
        </w:rPr>
      </w:pPr>
      <w:bookmarkStart w:id="44" w:name="_Toc514938018"/>
      <w:bookmarkStart w:id="45" w:name="_Toc520485031"/>
      <w:r w:rsidRPr="00363097">
        <w:rPr>
          <w:noProof/>
        </w:rPr>
        <w:t>1.4.2.</w:t>
      </w:r>
      <w:r w:rsidRPr="00363097">
        <w:rPr>
          <w:noProof/>
        </w:rPr>
        <w:tab/>
        <w:t>Specific objective(s)</w:t>
      </w:r>
      <w:bookmarkEnd w:id="44"/>
      <w:bookmarkEnd w:id="45"/>
    </w:p>
    <w:p w14:paraId="537B44BF"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u w:val="single"/>
        </w:rPr>
      </w:pPr>
      <w:r w:rsidRPr="00363097">
        <w:rPr>
          <w:noProof/>
          <w:u w:val="single"/>
        </w:rPr>
        <w:t>Specific objective No</w:t>
      </w:r>
    </w:p>
    <w:p w14:paraId="3B09388A"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lang w:eastAsia="en-GB"/>
        </w:rPr>
      </w:pPr>
      <w:r w:rsidRPr="00363097">
        <w:rPr>
          <w:noProof/>
        </w:rPr>
        <w:t xml:space="preserve">1) </w:t>
      </w:r>
      <w:r w:rsidRPr="00363097">
        <w:rPr>
          <w:rFonts w:eastAsia="Times New Roman"/>
          <w:noProof/>
          <w:lang w:eastAsia="en-GB"/>
        </w:rPr>
        <w:t xml:space="preserve">The first specific objective of the BEFIT proposal is </w:t>
      </w:r>
      <w:r w:rsidRPr="00363097">
        <w:rPr>
          <w:rFonts w:eastAsia="Times New Roman"/>
          <w:b/>
          <w:bCs/>
          <w:noProof/>
          <w:lang w:eastAsia="en-GB"/>
        </w:rPr>
        <w:t xml:space="preserve">to </w:t>
      </w:r>
      <w:r w:rsidRPr="00363097">
        <w:rPr>
          <w:b/>
          <w:noProof/>
        </w:rPr>
        <w:t>reduce compliance costs</w:t>
      </w:r>
      <w:r w:rsidRPr="00363097">
        <w:rPr>
          <w:rFonts w:eastAsia="Times New Roman"/>
          <w:noProof/>
          <w:lang w:eastAsia="en-GB"/>
        </w:rPr>
        <w:t xml:space="preserve"> for EU businesses. As the proposal will provide the EU businesses with a simplified set of tax rules, compared to the current environment, it should take less resources for businesses to comply.</w:t>
      </w:r>
    </w:p>
    <w:p w14:paraId="6BCAE836" w14:textId="77777777" w:rsidR="00081B7A" w:rsidRPr="00363097" w:rsidDel="00251939"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lang w:eastAsia="en-GB"/>
        </w:rPr>
      </w:pPr>
      <w:r w:rsidRPr="00363097">
        <w:rPr>
          <w:rFonts w:eastAsia="Times New Roman"/>
          <w:noProof/>
          <w:lang w:eastAsia="en-GB"/>
        </w:rPr>
        <w:t xml:space="preserve">2) Secondly, the BEFIT proposal aims to </w:t>
      </w:r>
      <w:r w:rsidRPr="00363097">
        <w:rPr>
          <w:rFonts w:eastAsia="Times New Roman"/>
          <w:b/>
          <w:bCs/>
          <w:noProof/>
          <w:lang w:eastAsia="en-GB"/>
        </w:rPr>
        <w:t>encourage cross-border expansion</w:t>
      </w:r>
      <w:r w:rsidRPr="00363097">
        <w:rPr>
          <w:rFonts w:eastAsia="Times New Roman"/>
          <w:noProof/>
          <w:lang w:eastAsia="en-GB"/>
        </w:rPr>
        <w:t>, in particular, of SMEs.</w:t>
      </w:r>
    </w:p>
    <w:p w14:paraId="623B56E7"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3) </w:t>
      </w:r>
      <w:r w:rsidRPr="00363097">
        <w:rPr>
          <w:rFonts w:eastAsia="Times New Roman"/>
          <w:noProof/>
          <w:lang w:eastAsia="en-GB"/>
        </w:rPr>
        <w:t>Furthermore, the BEFIT proposal will</w:t>
      </w:r>
      <w:r w:rsidRPr="00363097">
        <w:rPr>
          <w:rFonts w:eastAsia="Times New Roman"/>
          <w:b/>
          <w:bCs/>
          <w:noProof/>
          <w:lang w:eastAsia="en-GB"/>
        </w:rPr>
        <w:t xml:space="preserve"> </w:t>
      </w:r>
      <w:r w:rsidRPr="00363097">
        <w:rPr>
          <w:rFonts w:eastAsia="Times New Roman"/>
          <w:noProof/>
          <w:lang w:eastAsia="en-GB"/>
        </w:rPr>
        <w:t>contribute to</w:t>
      </w:r>
      <w:r w:rsidRPr="00363097">
        <w:rPr>
          <w:rFonts w:eastAsia="Times New Roman"/>
          <w:b/>
          <w:bCs/>
          <w:noProof/>
          <w:lang w:eastAsia="en-GB"/>
        </w:rPr>
        <w:t xml:space="preserve"> </w:t>
      </w:r>
      <w:r w:rsidRPr="00363097">
        <w:rPr>
          <w:rFonts w:eastAsia="Times New Roman"/>
          <w:b/>
          <w:noProof/>
          <w:lang w:eastAsia="en-GB"/>
        </w:rPr>
        <w:t xml:space="preserve">reducing distortions </w:t>
      </w:r>
      <w:r w:rsidRPr="00363097">
        <w:rPr>
          <w:rFonts w:eastAsia="Times New Roman"/>
          <w:noProof/>
          <w:lang w:eastAsia="en-GB"/>
        </w:rPr>
        <w:t xml:space="preserve">that influence business decisions and mitigate fragmentation in the </w:t>
      </w:r>
      <w:r w:rsidR="00A435D1" w:rsidRPr="00363097">
        <w:rPr>
          <w:rFonts w:eastAsia="Times New Roman"/>
          <w:noProof/>
          <w:lang w:eastAsia="en-GB"/>
        </w:rPr>
        <w:t>i</w:t>
      </w:r>
      <w:r w:rsidR="00CF2BFC" w:rsidRPr="00363097">
        <w:rPr>
          <w:rFonts w:eastAsia="Times New Roman"/>
          <w:noProof/>
          <w:lang w:eastAsia="en-GB"/>
        </w:rPr>
        <w:t>nternal market</w:t>
      </w:r>
      <w:r w:rsidRPr="00363097">
        <w:rPr>
          <w:rFonts w:eastAsia="Times New Roman"/>
          <w:noProof/>
          <w:lang w:eastAsia="en-GB"/>
        </w:rPr>
        <w:t xml:space="preserve">. Several aspects of the BEFIT proposal could help to achieve this objective. Element 1 will provide a </w:t>
      </w:r>
      <w:r w:rsidR="00CF2BFC" w:rsidRPr="00363097">
        <w:rPr>
          <w:rFonts w:eastAsia="Times New Roman"/>
          <w:noProof/>
          <w:lang w:eastAsia="en-GB"/>
        </w:rPr>
        <w:t>fair competition</w:t>
      </w:r>
      <w:r w:rsidRPr="00363097">
        <w:rPr>
          <w:rFonts w:eastAsia="Times New Roman"/>
          <w:noProof/>
          <w:lang w:eastAsia="en-GB"/>
        </w:rPr>
        <w:t xml:space="preserve"> for groups of companies within its scope by establishing a uniform set of corporate tax rules for businesses operating in the </w:t>
      </w:r>
      <w:r w:rsidR="00A435D1" w:rsidRPr="00363097">
        <w:rPr>
          <w:rFonts w:eastAsia="Times New Roman"/>
          <w:noProof/>
          <w:lang w:eastAsia="en-GB"/>
        </w:rPr>
        <w:t>i</w:t>
      </w:r>
      <w:r w:rsidR="00CF2BFC" w:rsidRPr="00363097">
        <w:rPr>
          <w:rFonts w:eastAsia="Times New Roman"/>
          <w:noProof/>
          <w:lang w:eastAsia="en-GB"/>
        </w:rPr>
        <w:t>nternal market</w:t>
      </w:r>
      <w:r w:rsidRPr="00363097">
        <w:rPr>
          <w:rFonts w:eastAsia="Times New Roman"/>
          <w:noProof/>
          <w:lang w:eastAsia="en-GB"/>
        </w:rPr>
        <w:t>.</w:t>
      </w:r>
    </w:p>
    <w:p w14:paraId="1981BC5A"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4) </w:t>
      </w:r>
      <w:r w:rsidRPr="00363097">
        <w:rPr>
          <w:rFonts w:eastAsia="Times New Roman"/>
          <w:noProof/>
          <w:lang w:eastAsia="en-GB"/>
        </w:rPr>
        <w:t xml:space="preserve">Finally, the BEFIT proposal also aims </w:t>
      </w:r>
      <w:r w:rsidRPr="00363097">
        <w:rPr>
          <w:b/>
          <w:noProof/>
        </w:rPr>
        <w:t>to reduce the risk of double and over-taxation and tax disputes</w:t>
      </w:r>
      <w:r w:rsidRPr="00363097">
        <w:rPr>
          <w:rFonts w:eastAsia="Times New Roman"/>
          <w:noProof/>
          <w:lang w:eastAsia="en-GB"/>
        </w:rPr>
        <w:t>. The proposal will include several aspects fulfilling this objective.</w:t>
      </w:r>
    </w:p>
    <w:p w14:paraId="212399C5" w14:textId="77777777" w:rsidR="00081B7A" w:rsidRPr="00363097" w:rsidRDefault="00081B7A" w:rsidP="00081B7A">
      <w:pPr>
        <w:pStyle w:val="ManualHeading3"/>
        <w:rPr>
          <w:noProof/>
        </w:rPr>
      </w:pPr>
      <w:bookmarkStart w:id="46" w:name="_Toc514938019"/>
      <w:bookmarkStart w:id="47" w:name="_Toc520485032"/>
      <w:r w:rsidRPr="00363097">
        <w:rPr>
          <w:noProof/>
        </w:rPr>
        <w:t>1.4.3.</w:t>
      </w:r>
      <w:r w:rsidRPr="00363097">
        <w:rPr>
          <w:noProof/>
        </w:rPr>
        <w:tab/>
        <w:t>Expected result(s) and impact</w:t>
      </w:r>
      <w:bookmarkEnd w:id="46"/>
      <w:bookmarkEnd w:id="47"/>
    </w:p>
    <w:p w14:paraId="6DCEE292" w14:textId="77777777" w:rsidR="00081B7A" w:rsidRPr="00363097" w:rsidRDefault="00081B7A" w:rsidP="00081B7A">
      <w:pPr>
        <w:pStyle w:val="Text1"/>
        <w:rPr>
          <w:i/>
          <w:noProof/>
          <w:sz w:val="20"/>
        </w:rPr>
      </w:pPr>
      <w:r w:rsidRPr="00363097">
        <w:rPr>
          <w:i/>
          <w:noProof/>
          <w:sz w:val="20"/>
        </w:rPr>
        <w:t>Specify the effects which the proposal/initiative should have on the beneficiaries/groups targeted.</w:t>
      </w:r>
    </w:p>
    <w:p w14:paraId="34D6EA3C"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lang w:eastAsia="en-GB"/>
        </w:rPr>
      </w:pPr>
      <w:r w:rsidRPr="00363097">
        <w:rPr>
          <w:rFonts w:eastAsia="Times New Roman"/>
          <w:noProof/>
        </w:rPr>
        <w:t xml:space="preserve">The Proposal introduces </w:t>
      </w:r>
      <w:r w:rsidRPr="00363097">
        <w:rPr>
          <w:rFonts w:eastAsia="Times New Roman"/>
          <w:noProof/>
          <w:lang w:eastAsia="en-GB"/>
        </w:rPr>
        <w:t xml:space="preserve">a common framework of corporate tax rules that will replace the current national corporate tax systems for the businesses in scope. It will chiefly aim to bring simplification for taxpayers and encourage growth and investment in the </w:t>
      </w:r>
      <w:r w:rsidR="00A435D1" w:rsidRPr="00363097">
        <w:rPr>
          <w:rFonts w:eastAsia="Times New Roman"/>
          <w:noProof/>
          <w:lang w:eastAsia="en-GB"/>
        </w:rPr>
        <w:t>i</w:t>
      </w:r>
      <w:r w:rsidR="00CF2BFC" w:rsidRPr="00363097">
        <w:rPr>
          <w:rFonts w:eastAsia="Times New Roman"/>
          <w:noProof/>
          <w:lang w:eastAsia="en-GB"/>
        </w:rPr>
        <w:t>nternal market</w:t>
      </w:r>
      <w:r w:rsidRPr="00363097">
        <w:rPr>
          <w:rFonts w:eastAsia="Times New Roman"/>
          <w:noProof/>
          <w:lang w:eastAsia="en-GB"/>
        </w:rPr>
        <w:t xml:space="preserve"> while levelling the playing field in which businesses operate. </w:t>
      </w:r>
    </w:p>
    <w:p w14:paraId="33E4C88E" w14:textId="77777777" w:rsidR="00081B7A" w:rsidRPr="00363097" w:rsidRDefault="00081B7A" w:rsidP="00081B7A">
      <w:pPr>
        <w:pStyle w:val="ManualHeading3"/>
        <w:rPr>
          <w:noProof/>
          <w:szCs w:val="24"/>
        </w:rPr>
      </w:pPr>
      <w:bookmarkStart w:id="48" w:name="_Toc514938023"/>
      <w:bookmarkStart w:id="49" w:name="_Toc520485033"/>
      <w:r w:rsidRPr="00363097">
        <w:rPr>
          <w:noProof/>
        </w:rPr>
        <w:t>1.4.4.</w:t>
      </w:r>
      <w:r w:rsidRPr="00363097">
        <w:rPr>
          <w:noProof/>
        </w:rPr>
        <w:tab/>
        <w:t>Indicators of performance</w:t>
      </w:r>
      <w:bookmarkEnd w:id="48"/>
      <w:bookmarkEnd w:id="49"/>
    </w:p>
    <w:p w14:paraId="6AEEB15F" w14:textId="77777777" w:rsidR="00081B7A" w:rsidRPr="00363097" w:rsidRDefault="00081B7A" w:rsidP="00081B7A">
      <w:pPr>
        <w:pStyle w:val="Text1"/>
        <w:rPr>
          <w:i/>
          <w:noProof/>
          <w:sz w:val="20"/>
        </w:rPr>
      </w:pPr>
      <w:r w:rsidRPr="00363097">
        <w:rPr>
          <w:i/>
          <w:noProof/>
          <w:sz w:val="20"/>
        </w:rPr>
        <w:t>Specify the indicators for monitoring progress and achievements.</w:t>
      </w:r>
    </w:p>
    <w:tbl>
      <w:tblPr>
        <w:tblStyle w:val="TableGrid"/>
        <w:tblW w:w="5000" w:type="pct"/>
        <w:tblLook w:val="04A0" w:firstRow="1" w:lastRow="0" w:firstColumn="1" w:lastColumn="0" w:noHBand="0" w:noVBand="1"/>
      </w:tblPr>
      <w:tblGrid>
        <w:gridCol w:w="2774"/>
        <w:gridCol w:w="3406"/>
        <w:gridCol w:w="3107"/>
      </w:tblGrid>
      <w:tr w:rsidR="00363097" w:rsidRPr="00363097" w:rsidDel="00251939" w14:paraId="3B09F821" w14:textId="77777777">
        <w:trPr>
          <w:trHeight w:val="756"/>
        </w:trPr>
        <w:tc>
          <w:tcPr>
            <w:tcW w:w="1493" w:type="pct"/>
          </w:tcPr>
          <w:p w14:paraId="621775C8" w14:textId="77777777" w:rsidR="00081B7A" w:rsidRPr="00363097" w:rsidDel="00251939" w:rsidRDefault="00081B7A">
            <w:pPr>
              <w:rPr>
                <w:b/>
                <w:noProof/>
              </w:rPr>
            </w:pPr>
            <w:r w:rsidRPr="00363097" w:rsidDel="00251939">
              <w:rPr>
                <w:b/>
                <w:noProof/>
              </w:rPr>
              <w:t>Specific Objectives</w:t>
            </w:r>
          </w:p>
        </w:tc>
        <w:tc>
          <w:tcPr>
            <w:tcW w:w="1834" w:type="pct"/>
          </w:tcPr>
          <w:p w14:paraId="390E65A1" w14:textId="77777777" w:rsidR="00081B7A" w:rsidRPr="00363097" w:rsidDel="00251939" w:rsidRDefault="00081B7A">
            <w:pPr>
              <w:rPr>
                <w:b/>
                <w:noProof/>
              </w:rPr>
            </w:pPr>
            <w:r w:rsidRPr="00363097" w:rsidDel="00251939">
              <w:rPr>
                <w:b/>
                <w:noProof/>
              </w:rPr>
              <w:t>Indicators</w:t>
            </w:r>
          </w:p>
        </w:tc>
        <w:tc>
          <w:tcPr>
            <w:tcW w:w="1674" w:type="pct"/>
          </w:tcPr>
          <w:p w14:paraId="785DA182" w14:textId="77777777" w:rsidR="00081B7A" w:rsidRPr="00363097" w:rsidDel="00251939" w:rsidRDefault="00081B7A">
            <w:pPr>
              <w:rPr>
                <w:b/>
                <w:noProof/>
              </w:rPr>
            </w:pPr>
            <w:r w:rsidRPr="00363097" w:rsidDel="00251939">
              <w:rPr>
                <w:b/>
                <w:noProof/>
              </w:rPr>
              <w:t>Measurement Tools</w:t>
            </w:r>
          </w:p>
        </w:tc>
      </w:tr>
      <w:tr w:rsidR="00363097" w:rsidRPr="00363097" w:rsidDel="00251939" w14:paraId="6439C1C9" w14:textId="77777777">
        <w:tc>
          <w:tcPr>
            <w:tcW w:w="1493" w:type="pct"/>
          </w:tcPr>
          <w:p w14:paraId="0880E63B" w14:textId="77777777" w:rsidR="00081B7A" w:rsidRPr="00363097" w:rsidDel="00251939" w:rsidRDefault="00081B7A">
            <w:pPr>
              <w:rPr>
                <w:noProof/>
              </w:rPr>
            </w:pPr>
            <w:r w:rsidRPr="00363097" w:rsidDel="00251939">
              <w:rPr>
                <w:noProof/>
              </w:rPr>
              <w:t xml:space="preserve">To reduce compliance costs </w:t>
            </w:r>
            <w:r w:rsidRPr="00363097">
              <w:rPr>
                <w:noProof/>
              </w:rPr>
              <w:t>for EU businesses</w:t>
            </w:r>
          </w:p>
        </w:tc>
        <w:tc>
          <w:tcPr>
            <w:tcW w:w="1834" w:type="pct"/>
          </w:tcPr>
          <w:p w14:paraId="540D098C" w14:textId="77777777" w:rsidR="00081B7A" w:rsidRPr="00363097" w:rsidRDefault="00081B7A">
            <w:pPr>
              <w:rPr>
                <w:noProof/>
              </w:rPr>
            </w:pPr>
            <w:r w:rsidRPr="00363097" w:rsidDel="00251939">
              <w:rPr>
                <w:noProof/>
              </w:rPr>
              <w:t>Implementation and first BEFIT running costs for groups</w:t>
            </w:r>
            <w:r w:rsidRPr="00363097">
              <w:rPr>
                <w:noProof/>
              </w:rPr>
              <w:t xml:space="preserve"> under Element 1, relative to turnover</w:t>
            </w:r>
          </w:p>
          <w:p w14:paraId="13342ED5" w14:textId="77777777" w:rsidR="00081B7A" w:rsidRPr="00363097" w:rsidRDefault="00081B7A">
            <w:pPr>
              <w:rPr>
                <w:noProof/>
              </w:rPr>
            </w:pPr>
            <w:r w:rsidRPr="00363097" w:rsidDel="00251939">
              <w:rPr>
                <w:noProof/>
              </w:rPr>
              <w:t>Training costs for human resources in business and tax administrations</w:t>
            </w:r>
            <w:r w:rsidRPr="00363097">
              <w:rPr>
                <w:noProof/>
              </w:rPr>
              <w:t xml:space="preserve"> </w:t>
            </w:r>
          </w:p>
          <w:p w14:paraId="53F5553A" w14:textId="77777777" w:rsidR="00081B7A" w:rsidRPr="00363097" w:rsidDel="00251939" w:rsidRDefault="00081B7A">
            <w:pPr>
              <w:rPr>
                <w:noProof/>
              </w:rPr>
            </w:pPr>
          </w:p>
          <w:p w14:paraId="05D38696" w14:textId="77777777" w:rsidR="00081B7A" w:rsidRPr="00363097" w:rsidRDefault="00081B7A">
            <w:pPr>
              <w:rPr>
                <w:noProof/>
              </w:rPr>
            </w:pPr>
            <w:r w:rsidRPr="00363097">
              <w:rPr>
                <w:noProof/>
              </w:rPr>
              <w:t>N</w:t>
            </w:r>
            <w:r w:rsidRPr="00363097" w:rsidDel="00251939">
              <w:rPr>
                <w:noProof/>
              </w:rPr>
              <w:t xml:space="preserve">umber of </w:t>
            </w:r>
            <w:r w:rsidRPr="00363097">
              <w:rPr>
                <w:noProof/>
              </w:rPr>
              <w:t>groups</w:t>
            </w:r>
            <w:r w:rsidRPr="00363097" w:rsidDel="00251939">
              <w:rPr>
                <w:noProof/>
              </w:rPr>
              <w:t xml:space="preserve"> that opted in Element 1</w:t>
            </w:r>
          </w:p>
          <w:p w14:paraId="1EDEED47" w14:textId="77777777" w:rsidR="00081B7A" w:rsidRPr="00363097" w:rsidRDefault="00081B7A">
            <w:pPr>
              <w:rPr>
                <w:noProof/>
              </w:rPr>
            </w:pPr>
          </w:p>
          <w:p w14:paraId="69418CE4" w14:textId="77777777" w:rsidR="00081B7A" w:rsidRPr="00363097" w:rsidDel="00251939" w:rsidRDefault="00081B7A">
            <w:pPr>
              <w:spacing w:after="0"/>
              <w:rPr>
                <w:noProof/>
                <w:szCs w:val="24"/>
              </w:rPr>
            </w:pPr>
          </w:p>
          <w:p w14:paraId="12C6E757" w14:textId="77777777" w:rsidR="00081B7A" w:rsidRPr="00363097" w:rsidRDefault="00081B7A">
            <w:pPr>
              <w:rPr>
                <w:noProof/>
              </w:rPr>
            </w:pPr>
            <w:r w:rsidRPr="00363097" w:rsidDel="00251939">
              <w:rPr>
                <w:noProof/>
              </w:rPr>
              <w:t>Number and cost of double taxation disputes between Member States, which feature as “new entries” (after BEFIT started to apply) in MAP procedures and Arbitration</w:t>
            </w:r>
          </w:p>
          <w:p w14:paraId="73A5A648" w14:textId="77777777" w:rsidR="00081B7A" w:rsidRPr="00363097" w:rsidDel="00251939" w:rsidRDefault="00081B7A">
            <w:pPr>
              <w:rPr>
                <w:noProof/>
              </w:rPr>
            </w:pPr>
            <w:r w:rsidRPr="00363097">
              <w:rPr>
                <w:noProof/>
              </w:rPr>
              <w:t xml:space="preserve">Compliance costs for SMEs under Element 2, relative to their turnover and to comparable SMEs that do not apply HOT rules </w:t>
            </w:r>
          </w:p>
        </w:tc>
        <w:tc>
          <w:tcPr>
            <w:tcW w:w="1674" w:type="pct"/>
          </w:tcPr>
          <w:p w14:paraId="34E90268" w14:textId="77777777" w:rsidR="00081B7A" w:rsidRPr="00363097" w:rsidRDefault="00081B7A">
            <w:pPr>
              <w:rPr>
                <w:noProof/>
                <w:lang w:val="en-IE"/>
              </w:rPr>
            </w:pPr>
            <w:r w:rsidRPr="00363097" w:rsidDel="00251939">
              <w:rPr>
                <w:noProof/>
                <w:lang w:val="en-IE"/>
              </w:rPr>
              <w:t>Survey/questionnaire for large groups</w:t>
            </w:r>
            <w:r w:rsidRPr="00363097">
              <w:rPr>
                <w:noProof/>
                <w:lang w:val="en-IE"/>
              </w:rPr>
              <w:t>, by DG TAXUD, possibly with external assistance, in cooperation with Member State tax authorities</w:t>
            </w:r>
          </w:p>
          <w:p w14:paraId="6A0E1922" w14:textId="77777777" w:rsidR="00081B7A" w:rsidRPr="00363097" w:rsidRDefault="00081B7A">
            <w:pPr>
              <w:rPr>
                <w:noProof/>
                <w:lang w:val="en-IE"/>
              </w:rPr>
            </w:pPr>
          </w:p>
          <w:p w14:paraId="39E726E3" w14:textId="77777777" w:rsidR="00081B7A" w:rsidRPr="00363097" w:rsidRDefault="00081B7A">
            <w:pPr>
              <w:spacing w:after="0"/>
              <w:rPr>
                <w:noProof/>
                <w:lang w:val="en-IE"/>
              </w:rPr>
            </w:pPr>
          </w:p>
          <w:p w14:paraId="73CB9DC4" w14:textId="77777777" w:rsidR="00081B7A" w:rsidRPr="00363097" w:rsidDel="00251939" w:rsidRDefault="00081B7A">
            <w:pPr>
              <w:rPr>
                <w:noProof/>
                <w:lang w:val="en-IE"/>
              </w:rPr>
            </w:pPr>
            <w:r w:rsidRPr="00363097">
              <w:rPr>
                <w:noProof/>
                <w:lang w:val="en-IE"/>
              </w:rPr>
              <w:t>Data received by DG TAXUD from Member State tax authorities, which would have this information available as ‘Filing Authorities’</w:t>
            </w:r>
          </w:p>
          <w:p w14:paraId="65705718" w14:textId="77777777" w:rsidR="00081B7A" w:rsidRPr="00363097" w:rsidRDefault="00081B7A">
            <w:pPr>
              <w:rPr>
                <w:noProof/>
              </w:rPr>
            </w:pPr>
            <w:r w:rsidRPr="00363097" w:rsidDel="00251939">
              <w:rPr>
                <w:noProof/>
              </w:rPr>
              <w:t xml:space="preserve">Data collected by </w:t>
            </w:r>
            <w:r w:rsidRPr="00363097">
              <w:rPr>
                <w:noProof/>
              </w:rPr>
              <w:t xml:space="preserve">DG </w:t>
            </w:r>
            <w:r w:rsidRPr="00363097" w:rsidDel="00251939">
              <w:rPr>
                <w:noProof/>
              </w:rPr>
              <w:t xml:space="preserve">TAXUD on new MAPs and numbers of cases under the Arbitration Convention and Directive on </w:t>
            </w:r>
            <w:r w:rsidRPr="00363097">
              <w:rPr>
                <w:noProof/>
              </w:rPr>
              <w:t>tax d</w:t>
            </w:r>
            <w:r w:rsidRPr="00363097" w:rsidDel="00251939">
              <w:rPr>
                <w:noProof/>
              </w:rPr>
              <w:t xml:space="preserve">ispute </w:t>
            </w:r>
            <w:r w:rsidRPr="00363097">
              <w:rPr>
                <w:noProof/>
              </w:rPr>
              <w:t>r</w:t>
            </w:r>
            <w:r w:rsidRPr="00363097" w:rsidDel="00251939">
              <w:rPr>
                <w:noProof/>
              </w:rPr>
              <w:t xml:space="preserve">esolution </w:t>
            </w:r>
            <w:r w:rsidRPr="00363097">
              <w:rPr>
                <w:noProof/>
              </w:rPr>
              <w:t>m</w:t>
            </w:r>
            <w:r w:rsidRPr="00363097" w:rsidDel="00251939">
              <w:rPr>
                <w:noProof/>
              </w:rPr>
              <w:t>echanisms</w:t>
            </w:r>
          </w:p>
          <w:p w14:paraId="21CA2D54" w14:textId="77777777" w:rsidR="00081B7A" w:rsidRPr="00363097" w:rsidDel="00251939" w:rsidRDefault="00081B7A">
            <w:pPr>
              <w:rPr>
                <w:noProof/>
              </w:rPr>
            </w:pPr>
            <w:r w:rsidRPr="00363097" w:rsidDel="00251939">
              <w:rPr>
                <w:noProof/>
              </w:rPr>
              <w:t>Survey/questionnaire for SMEs</w:t>
            </w:r>
            <w:r w:rsidRPr="00363097">
              <w:rPr>
                <w:noProof/>
              </w:rPr>
              <w:t>, by the European Commission, possibly with external assistance, in cooperation with Member State tax authorities</w:t>
            </w:r>
          </w:p>
        </w:tc>
      </w:tr>
      <w:tr w:rsidR="00363097" w:rsidRPr="00363097" w:rsidDel="00251939" w14:paraId="4FE9B46E" w14:textId="77777777">
        <w:trPr>
          <w:trHeight w:val="1649"/>
        </w:trPr>
        <w:tc>
          <w:tcPr>
            <w:tcW w:w="1493" w:type="pct"/>
          </w:tcPr>
          <w:p w14:paraId="16CC26CC" w14:textId="77777777" w:rsidR="00081B7A" w:rsidRPr="00363097" w:rsidDel="00251939" w:rsidRDefault="00081B7A">
            <w:pPr>
              <w:rPr>
                <w:noProof/>
              </w:rPr>
            </w:pPr>
            <w:r w:rsidRPr="00363097" w:rsidDel="00251939">
              <w:rPr>
                <w:noProof/>
              </w:rPr>
              <w:t>To encourage cross-border expansion</w:t>
            </w:r>
            <w:r w:rsidRPr="00363097">
              <w:rPr>
                <w:noProof/>
              </w:rPr>
              <w:t>, in particular</w:t>
            </w:r>
            <w:r w:rsidRPr="00363097" w:rsidDel="00251939">
              <w:rPr>
                <w:noProof/>
              </w:rPr>
              <w:t xml:space="preserve"> for SMEs</w:t>
            </w:r>
          </w:p>
          <w:p w14:paraId="30F90D5E" w14:textId="77777777" w:rsidR="00081B7A" w:rsidRPr="00363097" w:rsidDel="00251939" w:rsidRDefault="00081B7A">
            <w:pPr>
              <w:rPr>
                <w:noProof/>
              </w:rPr>
            </w:pPr>
          </w:p>
        </w:tc>
        <w:tc>
          <w:tcPr>
            <w:tcW w:w="1834" w:type="pct"/>
          </w:tcPr>
          <w:p w14:paraId="5D829DE6" w14:textId="77777777" w:rsidR="00081B7A" w:rsidRPr="00363097" w:rsidDel="00251939" w:rsidRDefault="00081B7A">
            <w:pPr>
              <w:rPr>
                <w:noProof/>
              </w:rPr>
            </w:pPr>
            <w:r w:rsidRPr="00363097" w:rsidDel="00251939">
              <w:rPr>
                <w:noProof/>
              </w:rPr>
              <w:t xml:space="preserve">Number of SMEs eligible </w:t>
            </w:r>
            <w:r w:rsidRPr="00363097">
              <w:rPr>
                <w:noProof/>
              </w:rPr>
              <w:t>to opt in</w:t>
            </w:r>
            <w:r w:rsidRPr="00363097" w:rsidDel="00251939">
              <w:rPr>
                <w:noProof/>
              </w:rPr>
              <w:t xml:space="preserve"> Element 2</w:t>
            </w:r>
          </w:p>
          <w:p w14:paraId="76F056B8" w14:textId="77777777" w:rsidR="00081B7A" w:rsidRPr="00363097" w:rsidRDefault="00081B7A">
            <w:pPr>
              <w:rPr>
                <w:noProof/>
              </w:rPr>
            </w:pPr>
            <w:r w:rsidRPr="00363097" w:rsidDel="00251939">
              <w:rPr>
                <w:noProof/>
              </w:rPr>
              <w:t>Number of SMEs that opted in Element 2</w:t>
            </w:r>
            <w:r w:rsidRPr="00363097">
              <w:rPr>
                <w:noProof/>
              </w:rPr>
              <w:t xml:space="preserve"> </w:t>
            </w:r>
          </w:p>
          <w:p w14:paraId="7D3BCCB2" w14:textId="77777777" w:rsidR="00081B7A" w:rsidRPr="00363097" w:rsidRDefault="00081B7A">
            <w:pPr>
              <w:rPr>
                <w:noProof/>
              </w:rPr>
            </w:pPr>
            <w:r w:rsidRPr="00363097">
              <w:rPr>
                <w:noProof/>
              </w:rPr>
              <w:t>Number of SMEs that expanded cross-border by setting up a permanent establishment</w:t>
            </w:r>
          </w:p>
          <w:p w14:paraId="7A28D29B" w14:textId="77777777" w:rsidR="00081B7A" w:rsidRPr="00363097" w:rsidRDefault="00081B7A">
            <w:pPr>
              <w:rPr>
                <w:noProof/>
              </w:rPr>
            </w:pPr>
            <w:r w:rsidRPr="00363097">
              <w:rPr>
                <w:noProof/>
              </w:rPr>
              <w:t>Number of SMEs leaving the scope of</w:t>
            </w:r>
            <w:r w:rsidR="003A7C43">
              <w:rPr>
                <w:noProof/>
              </w:rPr>
              <w:t xml:space="preserve"> </w:t>
            </w:r>
            <w:r w:rsidRPr="00363097">
              <w:rPr>
                <w:noProof/>
              </w:rPr>
              <w:t xml:space="preserve">Element 2 by setting up a subsidiary </w:t>
            </w:r>
          </w:p>
          <w:p w14:paraId="0B246D96" w14:textId="77777777" w:rsidR="00081B7A" w:rsidRPr="00363097" w:rsidDel="00251939" w:rsidRDefault="00081B7A">
            <w:pPr>
              <w:rPr>
                <w:noProof/>
              </w:rPr>
            </w:pPr>
            <w:r w:rsidRPr="00363097">
              <w:rPr>
                <w:noProof/>
              </w:rPr>
              <w:t>Number of large groups that fall under the mandatory scope of Element 1</w:t>
            </w:r>
          </w:p>
        </w:tc>
        <w:tc>
          <w:tcPr>
            <w:tcW w:w="1674" w:type="pct"/>
          </w:tcPr>
          <w:p w14:paraId="0F8CCEEA" w14:textId="77777777" w:rsidR="00081B7A" w:rsidRPr="00363097" w:rsidRDefault="00081B7A">
            <w:pPr>
              <w:rPr>
                <w:noProof/>
              </w:rPr>
            </w:pPr>
            <w:r w:rsidRPr="00363097" w:rsidDel="00251939">
              <w:rPr>
                <w:noProof/>
              </w:rPr>
              <w:t xml:space="preserve">Survey </w:t>
            </w:r>
            <w:r w:rsidRPr="00363097">
              <w:rPr>
                <w:noProof/>
              </w:rPr>
              <w:t xml:space="preserve">on aggregated data by DG TAXUD </w:t>
            </w:r>
            <w:r w:rsidRPr="00363097" w:rsidDel="00251939">
              <w:rPr>
                <w:noProof/>
              </w:rPr>
              <w:t xml:space="preserve">for </w:t>
            </w:r>
            <w:r w:rsidRPr="00363097">
              <w:rPr>
                <w:noProof/>
              </w:rPr>
              <w:t xml:space="preserve">Member State tax authorities, which would have this information available </w:t>
            </w:r>
          </w:p>
          <w:p w14:paraId="27EA9C0F" w14:textId="77777777" w:rsidR="00081B7A" w:rsidRPr="00363097" w:rsidDel="00251939" w:rsidRDefault="00081B7A">
            <w:pPr>
              <w:rPr>
                <w:noProof/>
              </w:rPr>
            </w:pPr>
            <w:r w:rsidRPr="00363097" w:rsidDel="00251939">
              <w:rPr>
                <w:noProof/>
              </w:rPr>
              <w:t>Survey/questionnaire for SMEs</w:t>
            </w:r>
            <w:r w:rsidRPr="00363097">
              <w:rPr>
                <w:noProof/>
              </w:rPr>
              <w:t>, by the European Commission, possibly with external assistance, in cooperation with Member State tax authorities</w:t>
            </w:r>
          </w:p>
          <w:p w14:paraId="6E71B600" w14:textId="77777777" w:rsidR="00081B7A" w:rsidRPr="00363097" w:rsidRDefault="00081B7A">
            <w:pPr>
              <w:rPr>
                <w:noProof/>
              </w:rPr>
            </w:pPr>
          </w:p>
          <w:p w14:paraId="1B6013F1" w14:textId="77777777" w:rsidR="00081B7A" w:rsidRPr="00363097" w:rsidDel="00251939" w:rsidRDefault="00081B7A">
            <w:pPr>
              <w:rPr>
                <w:noProof/>
                <w:lang w:val="en-IE"/>
              </w:rPr>
            </w:pPr>
            <w:r w:rsidRPr="00363097">
              <w:rPr>
                <w:noProof/>
                <w:lang w:val="en-IE"/>
              </w:rPr>
              <w:t>Data received by DG TAXUD from Member State tax authorities, which would have this information available as ‘Filing Authorities’</w:t>
            </w:r>
          </w:p>
        </w:tc>
      </w:tr>
      <w:tr w:rsidR="00363097" w:rsidRPr="00363097" w:rsidDel="00251939" w14:paraId="177602AD" w14:textId="77777777">
        <w:trPr>
          <w:trHeight w:val="1649"/>
        </w:trPr>
        <w:tc>
          <w:tcPr>
            <w:tcW w:w="1493" w:type="pct"/>
          </w:tcPr>
          <w:p w14:paraId="53BBBC6C" w14:textId="77777777" w:rsidR="00081B7A" w:rsidRPr="00363097" w:rsidDel="00251939" w:rsidRDefault="00081B7A">
            <w:pPr>
              <w:rPr>
                <w:noProof/>
              </w:rPr>
            </w:pPr>
            <w:r w:rsidRPr="00363097" w:rsidDel="00251939">
              <w:rPr>
                <w:noProof/>
              </w:rPr>
              <w:t xml:space="preserve">To </w:t>
            </w:r>
            <w:r w:rsidRPr="00363097">
              <w:rPr>
                <w:noProof/>
              </w:rPr>
              <w:t>reduce</w:t>
            </w:r>
            <w:r w:rsidRPr="00363097" w:rsidDel="00251939">
              <w:rPr>
                <w:noProof/>
              </w:rPr>
              <w:t xml:space="preserve"> distortions</w:t>
            </w:r>
            <w:r w:rsidRPr="00363097">
              <w:rPr>
                <w:noProof/>
              </w:rPr>
              <w:t xml:space="preserve"> that influence business decisions in the </w:t>
            </w:r>
            <w:r w:rsidR="00A435D1" w:rsidRPr="00363097">
              <w:rPr>
                <w:noProof/>
              </w:rPr>
              <w:t>i</w:t>
            </w:r>
            <w:r w:rsidR="00CF2BFC" w:rsidRPr="00363097">
              <w:rPr>
                <w:noProof/>
              </w:rPr>
              <w:t>nternal market</w:t>
            </w:r>
            <w:r w:rsidRPr="00363097">
              <w:rPr>
                <w:noProof/>
              </w:rPr>
              <w:t xml:space="preserve"> and thereby level the playing field for EU businesses</w:t>
            </w:r>
          </w:p>
        </w:tc>
        <w:tc>
          <w:tcPr>
            <w:tcW w:w="1834" w:type="pct"/>
          </w:tcPr>
          <w:p w14:paraId="64385A9E" w14:textId="77777777" w:rsidR="00081B7A" w:rsidRPr="00363097" w:rsidRDefault="00081B7A">
            <w:pPr>
              <w:rPr>
                <w:noProof/>
              </w:rPr>
            </w:pPr>
            <w:r w:rsidRPr="00363097">
              <w:rPr>
                <w:noProof/>
              </w:rPr>
              <w:t xml:space="preserve">Number of cases in which Member States had to shut down artificial tax schemes </w:t>
            </w:r>
          </w:p>
          <w:p w14:paraId="60F94201" w14:textId="77777777" w:rsidR="00081B7A" w:rsidRPr="00363097" w:rsidRDefault="00081B7A">
            <w:pPr>
              <w:spacing w:after="0"/>
              <w:rPr>
                <w:noProof/>
              </w:rPr>
            </w:pPr>
          </w:p>
          <w:p w14:paraId="5565FBB3" w14:textId="77777777" w:rsidR="00081B7A" w:rsidRPr="00363097" w:rsidDel="00251939" w:rsidRDefault="00081B7A">
            <w:pPr>
              <w:rPr>
                <w:noProof/>
              </w:rPr>
            </w:pPr>
            <w:r w:rsidRPr="00363097">
              <w:rPr>
                <w:noProof/>
              </w:rPr>
              <w:t>Evolution of EU GDP</w:t>
            </w:r>
          </w:p>
        </w:tc>
        <w:tc>
          <w:tcPr>
            <w:tcW w:w="1674" w:type="pct"/>
          </w:tcPr>
          <w:p w14:paraId="4475EBFA" w14:textId="77777777" w:rsidR="00081B7A" w:rsidRPr="00363097" w:rsidRDefault="00081B7A">
            <w:pPr>
              <w:rPr>
                <w:noProof/>
              </w:rPr>
            </w:pPr>
            <w:r w:rsidRPr="00363097" w:rsidDel="00251939">
              <w:rPr>
                <w:noProof/>
              </w:rPr>
              <w:t>Information to be provided by tax administrations through a survey</w:t>
            </w:r>
            <w:r w:rsidRPr="00363097">
              <w:rPr>
                <w:noProof/>
              </w:rPr>
              <w:t xml:space="preserve"> that will be circulated by DG TAXUD </w:t>
            </w:r>
          </w:p>
          <w:p w14:paraId="7AEAA983" w14:textId="77777777" w:rsidR="00081B7A" w:rsidRPr="00363097" w:rsidDel="00251939" w:rsidRDefault="00081B7A">
            <w:pPr>
              <w:rPr>
                <w:noProof/>
              </w:rPr>
            </w:pPr>
            <w:r w:rsidRPr="00363097">
              <w:rPr>
                <w:noProof/>
              </w:rPr>
              <w:t>National accounts and GDP statistics by Eurostat</w:t>
            </w:r>
          </w:p>
        </w:tc>
      </w:tr>
      <w:tr w:rsidR="00081B7A" w:rsidRPr="00363097" w:rsidDel="00251939" w14:paraId="7AD93A49" w14:textId="77777777">
        <w:trPr>
          <w:trHeight w:val="2494"/>
        </w:trPr>
        <w:tc>
          <w:tcPr>
            <w:tcW w:w="1493" w:type="pct"/>
          </w:tcPr>
          <w:p w14:paraId="25515288" w14:textId="77777777" w:rsidR="00081B7A" w:rsidRPr="00363097" w:rsidDel="00251939" w:rsidRDefault="00081B7A">
            <w:pPr>
              <w:rPr>
                <w:noProof/>
              </w:rPr>
            </w:pPr>
            <w:r w:rsidRPr="00363097" w:rsidDel="00251939">
              <w:rPr>
                <w:noProof/>
              </w:rPr>
              <w:t xml:space="preserve">To reduce the risk </w:t>
            </w:r>
            <w:r w:rsidRPr="00363097">
              <w:rPr>
                <w:noProof/>
              </w:rPr>
              <w:t>of</w:t>
            </w:r>
            <w:r w:rsidRPr="00363097" w:rsidDel="00251939">
              <w:rPr>
                <w:noProof/>
              </w:rPr>
              <w:t xml:space="preserve"> double </w:t>
            </w:r>
            <w:r w:rsidRPr="00363097">
              <w:rPr>
                <w:noProof/>
              </w:rPr>
              <w:t>or</w:t>
            </w:r>
            <w:r w:rsidRPr="00363097" w:rsidDel="00251939">
              <w:rPr>
                <w:noProof/>
              </w:rPr>
              <w:t xml:space="preserve"> over-taxation and </w:t>
            </w:r>
            <w:r w:rsidRPr="00363097">
              <w:rPr>
                <w:noProof/>
              </w:rPr>
              <w:t>disputes</w:t>
            </w:r>
          </w:p>
          <w:p w14:paraId="3BD80146" w14:textId="77777777" w:rsidR="00081B7A" w:rsidRPr="00363097" w:rsidDel="00251939" w:rsidRDefault="00081B7A">
            <w:pPr>
              <w:rPr>
                <w:noProof/>
              </w:rPr>
            </w:pPr>
          </w:p>
        </w:tc>
        <w:tc>
          <w:tcPr>
            <w:tcW w:w="1834" w:type="pct"/>
          </w:tcPr>
          <w:p w14:paraId="68B5BA69" w14:textId="77777777" w:rsidR="00081B7A" w:rsidRPr="00363097" w:rsidDel="00251939" w:rsidRDefault="00081B7A">
            <w:pPr>
              <w:rPr>
                <w:noProof/>
              </w:rPr>
            </w:pPr>
            <w:r w:rsidRPr="00363097" w:rsidDel="00251939">
              <w:rPr>
                <w:noProof/>
              </w:rPr>
              <w:t>Number of double taxation disputes between Member States, which feature as “new entries” (after BEFIT started to apply) in MAP procedures and Arbitration</w:t>
            </w:r>
          </w:p>
          <w:p w14:paraId="1EBD4223" w14:textId="77777777" w:rsidR="00081B7A" w:rsidRPr="00363097" w:rsidDel="00251939" w:rsidRDefault="00081B7A">
            <w:pPr>
              <w:rPr>
                <w:noProof/>
              </w:rPr>
            </w:pPr>
          </w:p>
        </w:tc>
        <w:tc>
          <w:tcPr>
            <w:tcW w:w="1674" w:type="pct"/>
          </w:tcPr>
          <w:p w14:paraId="5D9EF315" w14:textId="77777777" w:rsidR="00081B7A" w:rsidRPr="00363097" w:rsidDel="00251939" w:rsidRDefault="00081B7A">
            <w:pPr>
              <w:rPr>
                <w:noProof/>
              </w:rPr>
            </w:pPr>
            <w:r w:rsidRPr="00363097" w:rsidDel="00251939">
              <w:rPr>
                <w:noProof/>
              </w:rPr>
              <w:t xml:space="preserve">Data collected by TAXUD </w:t>
            </w:r>
            <w:r w:rsidRPr="00363097">
              <w:rPr>
                <w:noProof/>
              </w:rPr>
              <w:t xml:space="preserve">on new </w:t>
            </w:r>
            <w:r w:rsidRPr="00363097" w:rsidDel="00251939">
              <w:rPr>
                <w:noProof/>
              </w:rPr>
              <w:t xml:space="preserve">MAPs and numbers of cases under the Arbitration Convention and Directive on </w:t>
            </w:r>
            <w:r w:rsidRPr="00363097">
              <w:rPr>
                <w:noProof/>
              </w:rPr>
              <w:t>tax d</w:t>
            </w:r>
            <w:r w:rsidRPr="00363097" w:rsidDel="00251939">
              <w:rPr>
                <w:noProof/>
              </w:rPr>
              <w:t xml:space="preserve">ispute </w:t>
            </w:r>
            <w:r w:rsidRPr="00363097">
              <w:rPr>
                <w:noProof/>
              </w:rPr>
              <w:t>r</w:t>
            </w:r>
            <w:r w:rsidRPr="00363097" w:rsidDel="00251939">
              <w:rPr>
                <w:noProof/>
              </w:rPr>
              <w:t xml:space="preserve">esolution </w:t>
            </w:r>
            <w:r w:rsidRPr="00363097">
              <w:rPr>
                <w:noProof/>
              </w:rPr>
              <w:t>m</w:t>
            </w:r>
            <w:r w:rsidRPr="00363097" w:rsidDel="00251939">
              <w:rPr>
                <w:noProof/>
              </w:rPr>
              <w:t>echanisms</w:t>
            </w:r>
          </w:p>
          <w:p w14:paraId="35E05993" w14:textId="77777777" w:rsidR="00081B7A" w:rsidRPr="00363097" w:rsidDel="00251939" w:rsidRDefault="00081B7A">
            <w:pPr>
              <w:rPr>
                <w:noProof/>
              </w:rPr>
            </w:pPr>
          </w:p>
        </w:tc>
      </w:tr>
    </w:tbl>
    <w:p w14:paraId="7A9DF335" w14:textId="77777777" w:rsidR="00081B7A" w:rsidRPr="00363097" w:rsidRDefault="00081B7A" w:rsidP="00081B7A">
      <w:pPr>
        <w:pStyle w:val="Text1"/>
        <w:rPr>
          <w:i/>
          <w:noProof/>
          <w:sz w:val="20"/>
        </w:rPr>
      </w:pPr>
    </w:p>
    <w:p w14:paraId="18883FA7" w14:textId="77777777" w:rsidR="00081B7A" w:rsidRPr="00363097" w:rsidRDefault="00081B7A" w:rsidP="00081B7A">
      <w:pPr>
        <w:pStyle w:val="ManualHeading2"/>
        <w:rPr>
          <w:bCs/>
          <w:noProof/>
          <w:szCs w:val="24"/>
        </w:rPr>
      </w:pPr>
      <w:bookmarkStart w:id="50" w:name="_Toc514938025"/>
      <w:bookmarkStart w:id="51" w:name="_Toc520485034"/>
      <w:r w:rsidRPr="00363097">
        <w:rPr>
          <w:noProof/>
        </w:rPr>
        <w:t>1.5.</w:t>
      </w:r>
      <w:r w:rsidRPr="00363097">
        <w:rPr>
          <w:noProof/>
        </w:rPr>
        <w:tab/>
        <w:t>Grounds for the proposal/initiative</w:t>
      </w:r>
      <w:bookmarkEnd w:id="50"/>
      <w:bookmarkEnd w:id="51"/>
      <w:r w:rsidRPr="00363097">
        <w:rPr>
          <w:noProof/>
        </w:rPr>
        <w:t xml:space="preserve"> </w:t>
      </w:r>
    </w:p>
    <w:p w14:paraId="3DFEA5D6" w14:textId="77777777" w:rsidR="00081B7A" w:rsidRPr="00363097" w:rsidRDefault="00081B7A" w:rsidP="00081B7A">
      <w:pPr>
        <w:pStyle w:val="ManualHeading3"/>
        <w:rPr>
          <w:noProof/>
        </w:rPr>
      </w:pPr>
      <w:bookmarkStart w:id="52" w:name="_Toc514938026"/>
      <w:bookmarkStart w:id="53" w:name="_Toc520485035"/>
      <w:r w:rsidRPr="00363097">
        <w:rPr>
          <w:noProof/>
        </w:rPr>
        <w:t>1.5.1.</w:t>
      </w:r>
      <w:r w:rsidRPr="00363097">
        <w:rPr>
          <w:noProof/>
        </w:rPr>
        <w:tab/>
        <w:t>Requirement(s) to be met in the short or long term including a detailed timeline for roll-out of the implementation of the initiative</w:t>
      </w:r>
      <w:bookmarkEnd w:id="52"/>
      <w:bookmarkEnd w:id="53"/>
    </w:p>
    <w:p w14:paraId="6D2CD71C"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After the BEFIT Information Return is filed, and it is known which entities are included in the BEFIT Group, the representatives of the Filing Authority would form together with the representatives of the other relevant local tax authorities a BEFIT team for the respective BEFIT Group. This means that for each BEFIT Group there would be such a BEFIT team.</w:t>
      </w:r>
    </w:p>
    <w:p w14:paraId="6C453B3D"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To facilitate the operation and communication of the officials within each BEFIT team, the Commission will have to adopt the necessary practical arrangements, including measures to standardise the communication of the information between the members of BEFIT teams through making use of a BEFIT collaborative tool. In terms of timing for setting up the BEFIT collaborative tool, Member States and the Commission would require a period of time after adoption of the Proposal to be able to put the systems in place, to allow the operation and communication of BEFIT teams.</w:t>
      </w:r>
    </w:p>
    <w:p w14:paraId="36FE8CEB" w14:textId="77777777" w:rsidR="00081B7A" w:rsidRPr="00363097" w:rsidRDefault="00081B7A" w:rsidP="00081B7A">
      <w:pPr>
        <w:pStyle w:val="ManualHeading3"/>
        <w:rPr>
          <w:bCs/>
          <w:noProof/>
          <w:szCs w:val="24"/>
        </w:rPr>
      </w:pPr>
      <w:bookmarkStart w:id="54" w:name="_Toc514938029"/>
      <w:bookmarkStart w:id="55" w:name="_Toc520485036"/>
      <w:r w:rsidRPr="00363097">
        <w:rPr>
          <w:noProof/>
        </w:rPr>
        <w:t>1.5.2.</w:t>
      </w:r>
      <w:r w:rsidRPr="00363097">
        <w:rPr>
          <w:noProof/>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54"/>
      <w:bookmarkEnd w:id="55"/>
    </w:p>
    <w:p w14:paraId="5E70F3A7"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Individual actions by Member States would not provide any efficient and effective solution to ensuring a feasible </w:t>
      </w:r>
      <w:r w:rsidRPr="00363097">
        <w:rPr>
          <w:rFonts w:eastAsia="Arial Unicode MS"/>
          <w:noProof/>
        </w:rPr>
        <w:t xml:space="preserve">common corporate tax framework. </w:t>
      </w:r>
      <w:r w:rsidRPr="00363097">
        <w:rPr>
          <w:noProof/>
        </w:rPr>
        <w:t xml:space="preserve">Instead of each Member State separately dedicating human resources to assessing the tax liabilities of the same cross-border groups, these available resources will now be used collectively </w:t>
      </w:r>
      <w:r w:rsidRPr="00363097">
        <w:rPr>
          <w:rFonts w:eastAsia="Times New Roman"/>
          <w:noProof/>
          <w:lang w:val="en-US"/>
        </w:rPr>
        <w:t>in a more effective and targeted manne</w:t>
      </w:r>
      <w:r w:rsidRPr="00363097">
        <w:rPr>
          <w:noProof/>
        </w:rPr>
        <w:t>r through the BEFIT teams. An EU approach appears preferable, as it can facilitate the operation and communication of these BEFIT teams and have more coherence and a reduction of administrative burden for taxpayers and tax authorities.</w:t>
      </w:r>
    </w:p>
    <w:p w14:paraId="2E40372B" w14:textId="77777777" w:rsidR="00081B7A" w:rsidRPr="00363097" w:rsidRDefault="00081B7A" w:rsidP="00081B7A">
      <w:pPr>
        <w:pStyle w:val="ManualHeading3"/>
        <w:rPr>
          <w:noProof/>
        </w:rPr>
      </w:pPr>
      <w:bookmarkStart w:id="56" w:name="_Toc514938030"/>
      <w:bookmarkStart w:id="57" w:name="_Toc520485037"/>
      <w:r w:rsidRPr="00363097">
        <w:rPr>
          <w:noProof/>
        </w:rPr>
        <w:t>1.5.3.</w:t>
      </w:r>
      <w:r w:rsidRPr="00363097">
        <w:rPr>
          <w:noProof/>
        </w:rPr>
        <w:tab/>
        <w:t>Lessons learned from similar experiences in the past</w:t>
      </w:r>
      <w:bookmarkEnd w:id="56"/>
      <w:bookmarkEnd w:id="57"/>
    </w:p>
    <w:p w14:paraId="70913CDE"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lang w:val="en-US"/>
        </w:rPr>
      </w:pPr>
      <w:r w:rsidRPr="00363097">
        <w:rPr>
          <w:noProof/>
        </w:rPr>
        <w:t xml:space="preserve">The initiative is a new mechanism. The preferred option in the Impact Assessment is the Hybrid </w:t>
      </w:r>
      <w:r w:rsidRPr="00363097">
        <w:rPr>
          <w:noProof/>
          <w:lang w:val="en-US"/>
        </w:rPr>
        <w:t>One Stop Shop</w:t>
      </w:r>
      <w:r w:rsidRPr="00363097">
        <w:rPr>
          <w:noProof/>
        </w:rPr>
        <w:t xml:space="preserve">. This option means that </w:t>
      </w:r>
      <w:r w:rsidRPr="00363097">
        <w:rPr>
          <w:noProof/>
          <w:lang w:val="en-US"/>
        </w:rPr>
        <w:t xml:space="preserve">the BEFIT Information Return would be dealt with centrally via the Filing Authority whereas individual tax returns, audits and dispute settlement would remain primarily local in conformity with national tax sovereignty. </w:t>
      </w:r>
      <w:r w:rsidRPr="00363097">
        <w:rPr>
          <w:noProof/>
        </w:rPr>
        <w:t xml:space="preserve">This option prioritises simplicity and maintains the administrative burden for tax administrations to a reasonable low whereas also creates the best possible balance between the simplicity of an </w:t>
      </w:r>
      <w:r w:rsidRPr="00363097">
        <w:rPr>
          <w:noProof/>
          <w:lang w:val="en-US"/>
        </w:rPr>
        <w:t>One Stop Shop</w:t>
      </w:r>
      <w:r w:rsidRPr="00363097">
        <w:rPr>
          <w:noProof/>
        </w:rPr>
        <w:t xml:space="preserve"> and the role played by Member States’ national authorities. </w:t>
      </w:r>
    </w:p>
    <w:p w14:paraId="0ED8FF19" w14:textId="46B05D8B" w:rsidR="00081B7A" w:rsidRPr="00363097" w:rsidRDefault="00081B7A" w:rsidP="00081B7A">
      <w:pPr>
        <w:pStyle w:val="Text1"/>
        <w:pBdr>
          <w:top w:val="single" w:sz="4" w:space="1" w:color="auto"/>
          <w:left w:val="single" w:sz="4" w:space="4" w:color="auto"/>
          <w:bottom w:val="single" w:sz="4" w:space="1" w:color="auto"/>
          <w:right w:val="single" w:sz="4" w:space="4" w:color="auto"/>
        </w:pBdr>
        <w:rPr>
          <w:rFonts w:eastAsia="Times New Roman"/>
          <w:noProof/>
          <w:lang w:eastAsia="en-IE"/>
        </w:rPr>
      </w:pPr>
      <w:r w:rsidRPr="00363097">
        <w:rPr>
          <w:noProof/>
        </w:rPr>
        <w:t>The</w:t>
      </w:r>
      <w:r w:rsidRPr="00363097">
        <w:rPr>
          <w:rFonts w:eastAsia="Times New Roman"/>
          <w:noProof/>
          <w:lang w:eastAsia="en-IE"/>
        </w:rPr>
        <w:t xml:space="preserve"> BEFIT Teams will play an important role in this balance. They will aim to reach early agreement on key items of the BEFIT Information Return and provide </w:t>
      </w:r>
      <w:r w:rsidR="006E3825" w:rsidRPr="00363097">
        <w:rPr>
          <w:noProof/>
          <w:lang w:val="en-US"/>
        </w:rPr>
        <w:t xml:space="preserve">a degree of </w:t>
      </w:r>
      <w:r w:rsidRPr="00363097">
        <w:rPr>
          <w:rFonts w:eastAsia="Times New Roman"/>
          <w:noProof/>
          <w:lang w:eastAsia="en-IE"/>
        </w:rPr>
        <w:t xml:space="preserve">tax certainty, which should decrease compliance costs, at least gradually, and foster the </w:t>
      </w:r>
      <w:r w:rsidR="00CF2BFC" w:rsidRPr="00363097">
        <w:rPr>
          <w:rFonts w:eastAsia="Times New Roman"/>
          <w:noProof/>
          <w:lang w:eastAsia="en-IE"/>
        </w:rPr>
        <w:t>Internal market</w:t>
      </w:r>
      <w:r w:rsidRPr="00363097">
        <w:rPr>
          <w:rFonts w:eastAsia="Times New Roman"/>
          <w:noProof/>
          <w:lang w:eastAsia="en-IE"/>
        </w:rPr>
        <w:t xml:space="preserve"> as an environment of growth and investment.</w:t>
      </w:r>
    </w:p>
    <w:p w14:paraId="35BF0BAB" w14:textId="77777777" w:rsidR="00081B7A" w:rsidRPr="00363097" w:rsidRDefault="00081B7A" w:rsidP="00081B7A">
      <w:pPr>
        <w:pStyle w:val="ManualHeading3"/>
        <w:rPr>
          <w:noProof/>
        </w:rPr>
      </w:pPr>
      <w:bookmarkStart w:id="58" w:name="_Toc514938033"/>
      <w:bookmarkStart w:id="59" w:name="_Toc520485038"/>
      <w:r w:rsidRPr="00363097">
        <w:rPr>
          <w:noProof/>
        </w:rPr>
        <w:t>1.5.4.</w:t>
      </w:r>
      <w:r w:rsidRPr="00363097">
        <w:rPr>
          <w:noProof/>
        </w:rPr>
        <w:tab/>
        <w:t>Compatibility with the Multiannual Financial Framework and possible synergies with other appropriate instruments</w:t>
      </w:r>
      <w:bookmarkEnd w:id="58"/>
      <w:bookmarkEnd w:id="59"/>
    </w:p>
    <w:p w14:paraId="7D2F71B0"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iCs/>
          <w:noProof/>
        </w:rPr>
        <w:t xml:space="preserve">In the Commission Communication on Business Taxation in the 21st Century the Commission committed to table a legislative proposal setting out union rules for Business in Europe: Framework for Income Taxation (BEFIT). Where possible, the Proposal will make use the procedures, arrangements and IT tools already established or under development under the DAC. </w:t>
      </w:r>
    </w:p>
    <w:p w14:paraId="20297396" w14:textId="77777777" w:rsidR="00081B7A" w:rsidRPr="00363097" w:rsidRDefault="00081B7A" w:rsidP="00081B7A">
      <w:pPr>
        <w:pStyle w:val="ManualHeading3"/>
        <w:tabs>
          <w:tab w:val="clear" w:pos="850"/>
        </w:tabs>
        <w:rPr>
          <w:noProof/>
        </w:rPr>
      </w:pPr>
      <w:bookmarkStart w:id="60" w:name="_Toc514938036"/>
      <w:bookmarkStart w:id="61" w:name="_Toc520485039"/>
      <w:r w:rsidRPr="00363097">
        <w:rPr>
          <w:noProof/>
        </w:rPr>
        <w:t>1.5.5.</w:t>
      </w:r>
      <w:r w:rsidRPr="00363097">
        <w:rPr>
          <w:noProof/>
        </w:rPr>
        <w:tab/>
        <w:t>Assessment of the different available financing options, including scope for redeployment</w:t>
      </w:r>
      <w:bookmarkEnd w:id="60"/>
      <w:bookmarkEnd w:id="61"/>
    </w:p>
    <w:p w14:paraId="714404B3"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Implementation costs for the initiative will be financed by the EU budget concerning only the central components for the BEFIT collaborative tool. </w:t>
      </w:r>
      <w:r w:rsidR="000C5314" w:rsidRPr="00363097">
        <w:rPr>
          <w:noProof/>
        </w:rPr>
        <w:t xml:space="preserve">This will be financed through redeployments from within the Fiscalis envelope. </w:t>
      </w:r>
      <w:r w:rsidRPr="00363097">
        <w:rPr>
          <w:noProof/>
        </w:rPr>
        <w:t>Otherwise, it will be for Member States to implement the measures envisaged.</w:t>
      </w:r>
    </w:p>
    <w:p w14:paraId="5975449B" w14:textId="77777777" w:rsidR="00081B7A" w:rsidRPr="00363097" w:rsidRDefault="00081B7A" w:rsidP="00081B7A">
      <w:pPr>
        <w:pStyle w:val="ManualHeading2"/>
        <w:rPr>
          <w:bCs/>
          <w:noProof/>
          <w:szCs w:val="24"/>
        </w:rPr>
      </w:pPr>
      <w:r w:rsidRPr="00363097">
        <w:rPr>
          <w:noProof/>
        </w:rPr>
        <w:br w:type="page"/>
      </w:r>
      <w:bookmarkStart w:id="62" w:name="_Toc514938039"/>
      <w:bookmarkStart w:id="63" w:name="_Toc520485040"/>
      <w:r w:rsidRPr="00363097">
        <w:rPr>
          <w:noProof/>
        </w:rPr>
        <w:t>1.6.</w:t>
      </w:r>
      <w:r w:rsidRPr="00363097">
        <w:rPr>
          <w:noProof/>
        </w:rPr>
        <w:tab/>
        <w:t>Duration and financial impact of the proposal/initiative</w:t>
      </w:r>
      <w:bookmarkEnd w:id="62"/>
      <w:bookmarkEnd w:id="63"/>
    </w:p>
    <w:p w14:paraId="02D5D8A3" w14:textId="77777777" w:rsidR="00081B7A" w:rsidRPr="00363097" w:rsidRDefault="00081B7A" w:rsidP="00081B7A">
      <w:pPr>
        <w:pStyle w:val="Text1"/>
        <w:rPr>
          <w:noProof/>
        </w:rPr>
      </w:pPr>
      <w:r w:rsidRPr="00363097">
        <w:rPr>
          <w:rFonts w:ascii="Wingdings" w:eastAsia="Wingdings" w:hAnsi="Wingdings" w:cs="Wingdings"/>
          <w:noProof/>
        </w:rPr>
        <w:t></w:t>
      </w:r>
      <w:r w:rsidRPr="00363097">
        <w:rPr>
          <w:b/>
          <w:i/>
          <w:noProof/>
        </w:rPr>
        <w:t xml:space="preserve"> </w:t>
      </w:r>
      <w:r w:rsidRPr="00363097">
        <w:rPr>
          <w:b/>
          <w:noProof/>
        </w:rPr>
        <w:t xml:space="preserve">limited duration </w:t>
      </w:r>
    </w:p>
    <w:p w14:paraId="60E48F06" w14:textId="77777777" w:rsidR="00081B7A" w:rsidRPr="00363097" w:rsidRDefault="00081B7A" w:rsidP="00081B7A">
      <w:pPr>
        <w:pStyle w:val="ListDash2"/>
        <w:rPr>
          <w:noProof/>
        </w:rPr>
      </w:pPr>
      <w:r w:rsidRPr="00363097">
        <w:rPr>
          <w:rFonts w:ascii="Wingdings" w:eastAsia="Wingdings" w:hAnsi="Wingdings" w:cs="Wingdings"/>
          <w:noProof/>
        </w:rPr>
        <w:t></w:t>
      </w:r>
      <w:r w:rsidRPr="00363097">
        <w:rPr>
          <w:noProof/>
        </w:rPr>
        <w:tab/>
        <w:t xml:space="preserve">in effect from [DD/MM]YYYY to [DD/MM]YYYY </w:t>
      </w:r>
    </w:p>
    <w:p w14:paraId="3B4FC0A9"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ab/>
        <w:t xml:space="preserve">Financial impact from YYYY to YYYY for commitment appropriations and from YYYY to YYYY for payment appropriations. </w:t>
      </w:r>
    </w:p>
    <w:p w14:paraId="7D9ED7F3" w14:textId="77777777" w:rsidR="00081B7A" w:rsidRPr="00363097" w:rsidRDefault="00081B7A" w:rsidP="00081B7A">
      <w:pPr>
        <w:pStyle w:val="Text1"/>
        <w:rPr>
          <w:noProof/>
        </w:rPr>
      </w:pPr>
      <w:r w:rsidRPr="00363097">
        <w:rPr>
          <w:rFonts w:ascii="Wingdings" w:eastAsia="Wingdings" w:hAnsi="Wingdings" w:cs="Wingdings"/>
          <w:noProof/>
        </w:rPr>
        <w:t></w:t>
      </w:r>
      <w:r w:rsidRPr="00363097">
        <w:rPr>
          <w:b/>
          <w:i/>
          <w:noProof/>
        </w:rPr>
        <w:t xml:space="preserve"> </w:t>
      </w:r>
      <w:r w:rsidRPr="00363097">
        <w:rPr>
          <w:b/>
          <w:noProof/>
        </w:rPr>
        <w:t>unlimited duration</w:t>
      </w:r>
    </w:p>
    <w:p w14:paraId="51CF8D32" w14:textId="77777777" w:rsidR="00081B7A" w:rsidRPr="00363097" w:rsidRDefault="00081B7A" w:rsidP="00081B7A">
      <w:pPr>
        <w:pStyle w:val="ListDash1"/>
        <w:rPr>
          <w:noProof/>
        </w:rPr>
      </w:pPr>
      <w:r w:rsidRPr="00363097">
        <w:rPr>
          <w:noProof/>
        </w:rPr>
        <w:t>Implementation with a start-up period from YYYY to YYYY,</w:t>
      </w:r>
    </w:p>
    <w:p w14:paraId="2268A430" w14:textId="77777777" w:rsidR="00081B7A" w:rsidRPr="00363097" w:rsidRDefault="00081B7A" w:rsidP="00A9571C">
      <w:pPr>
        <w:pStyle w:val="ListDash1"/>
        <w:numPr>
          <w:ilvl w:val="0"/>
          <w:numId w:val="68"/>
        </w:numPr>
        <w:tabs>
          <w:tab w:val="num" w:pos="283"/>
        </w:tabs>
        <w:ind w:left="283" w:hanging="283"/>
        <w:rPr>
          <w:noProof/>
        </w:rPr>
      </w:pPr>
      <w:r w:rsidRPr="00363097">
        <w:rPr>
          <w:noProof/>
        </w:rPr>
        <w:t>followed by full-scale operation.</w:t>
      </w:r>
    </w:p>
    <w:p w14:paraId="236F83EE" w14:textId="77777777" w:rsidR="00081B7A" w:rsidRPr="00363097" w:rsidRDefault="00081B7A" w:rsidP="00081B7A">
      <w:pPr>
        <w:pStyle w:val="ManualHeading2"/>
        <w:rPr>
          <w:bCs/>
          <w:noProof/>
          <w:szCs w:val="24"/>
        </w:rPr>
      </w:pPr>
      <w:bookmarkStart w:id="64" w:name="_Toc514938040"/>
      <w:bookmarkStart w:id="65" w:name="_Toc520485041"/>
      <w:r w:rsidRPr="00363097">
        <w:rPr>
          <w:noProof/>
        </w:rPr>
        <w:t>1.7.</w:t>
      </w:r>
      <w:r w:rsidRPr="00363097">
        <w:rPr>
          <w:noProof/>
        </w:rPr>
        <w:tab/>
        <w:t>Method(s) of budget implementation planned</w:t>
      </w:r>
      <w:r w:rsidRPr="00363097">
        <w:rPr>
          <w:rStyle w:val="FootnoteReference0"/>
          <w:noProof/>
        </w:rPr>
        <w:footnoteReference w:id="39"/>
      </w:r>
      <w:bookmarkEnd w:id="64"/>
      <w:bookmarkEnd w:id="65"/>
      <w:r w:rsidRPr="00363097">
        <w:rPr>
          <w:rStyle w:val="FootnoteReference0"/>
          <w:noProof/>
        </w:rPr>
        <w:t xml:space="preserve"> </w:t>
      </w:r>
    </w:p>
    <w:p w14:paraId="082507AC" w14:textId="77777777" w:rsidR="00081B7A" w:rsidRPr="00363097" w:rsidRDefault="00081B7A" w:rsidP="00081B7A">
      <w:pPr>
        <w:pStyle w:val="Text1"/>
        <w:rPr>
          <w:noProof/>
        </w:rPr>
      </w:pPr>
      <w:r w:rsidRPr="00363097">
        <w:rPr>
          <w:rFonts w:ascii="Wingdings" w:eastAsia="Wingdings" w:hAnsi="Wingdings" w:cs="Wingdings"/>
          <w:noProof/>
        </w:rPr>
        <w:t></w:t>
      </w:r>
      <w:r w:rsidRPr="00363097">
        <w:rPr>
          <w:i/>
          <w:noProof/>
        </w:rPr>
        <w:t xml:space="preserve"> </w:t>
      </w:r>
      <w:r w:rsidRPr="00363097">
        <w:rPr>
          <w:b/>
          <w:noProof/>
        </w:rPr>
        <w:t>Direct management</w:t>
      </w:r>
      <w:r w:rsidRPr="00363097">
        <w:rPr>
          <w:noProof/>
        </w:rPr>
        <w:t xml:space="preserve"> by the Commission</w:t>
      </w:r>
    </w:p>
    <w:p w14:paraId="0FA40C88" w14:textId="77777777" w:rsidR="00081B7A" w:rsidRPr="00363097" w:rsidRDefault="00081B7A" w:rsidP="00081B7A">
      <w:pPr>
        <w:pStyle w:val="ListDash2"/>
        <w:rPr>
          <w:rFonts w:cs="EUAlbertina"/>
          <w:noProof/>
        </w:rPr>
      </w:pPr>
      <w:r w:rsidRPr="00363097">
        <w:rPr>
          <w:rFonts w:ascii="Wingdings" w:eastAsia="Wingdings" w:hAnsi="Wingdings" w:cs="Wingdings"/>
          <w:noProof/>
        </w:rPr>
        <w:t></w:t>
      </w:r>
      <w:r w:rsidRPr="00363097">
        <w:rPr>
          <w:noProof/>
        </w:rPr>
        <w:t xml:space="preserve"> by its departments, including by its staff in the Union delegations; </w:t>
      </w:r>
    </w:p>
    <w:p w14:paraId="238175FB"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ab/>
        <w:t xml:space="preserve">by the executive agencies </w:t>
      </w:r>
    </w:p>
    <w:p w14:paraId="3897D6FB" w14:textId="77777777" w:rsidR="00081B7A" w:rsidRPr="00363097" w:rsidRDefault="00081B7A" w:rsidP="00081B7A">
      <w:pPr>
        <w:pStyle w:val="Text1"/>
        <w:rPr>
          <w:noProof/>
        </w:rPr>
      </w:pPr>
      <w:r w:rsidRPr="00363097">
        <w:rPr>
          <w:rFonts w:ascii="Wingdings" w:eastAsia="Wingdings" w:hAnsi="Wingdings" w:cs="Wingdings"/>
          <w:noProof/>
        </w:rPr>
        <w:t></w:t>
      </w:r>
      <w:r w:rsidRPr="00363097">
        <w:rPr>
          <w:b/>
          <w:i/>
          <w:noProof/>
        </w:rPr>
        <w:t xml:space="preserve"> </w:t>
      </w:r>
      <w:r w:rsidRPr="00363097">
        <w:rPr>
          <w:b/>
          <w:noProof/>
        </w:rPr>
        <w:t>Shared management</w:t>
      </w:r>
      <w:r w:rsidRPr="00363097">
        <w:rPr>
          <w:noProof/>
        </w:rPr>
        <w:t xml:space="preserve"> with the Member States </w:t>
      </w:r>
    </w:p>
    <w:p w14:paraId="341F28E3" w14:textId="77777777" w:rsidR="00081B7A" w:rsidRPr="00363097" w:rsidRDefault="00081B7A" w:rsidP="00081B7A">
      <w:pPr>
        <w:pStyle w:val="Text1"/>
        <w:rPr>
          <w:noProof/>
        </w:rPr>
      </w:pPr>
      <w:r w:rsidRPr="00363097">
        <w:rPr>
          <w:rFonts w:ascii="Wingdings" w:eastAsia="Wingdings" w:hAnsi="Wingdings" w:cs="Wingdings"/>
          <w:noProof/>
        </w:rPr>
        <w:t></w:t>
      </w:r>
      <w:r w:rsidRPr="00363097">
        <w:rPr>
          <w:i/>
          <w:noProof/>
        </w:rPr>
        <w:t xml:space="preserve"> </w:t>
      </w:r>
      <w:r w:rsidRPr="00363097">
        <w:rPr>
          <w:b/>
          <w:noProof/>
        </w:rPr>
        <w:t>Indirect management</w:t>
      </w:r>
      <w:r w:rsidRPr="00363097">
        <w:rPr>
          <w:noProof/>
        </w:rPr>
        <w:t xml:space="preserve"> by entrusting budget implementation tasks to:</w:t>
      </w:r>
    </w:p>
    <w:p w14:paraId="2A704DCE" w14:textId="77777777" w:rsidR="00081B7A" w:rsidRPr="00363097" w:rsidRDefault="00081B7A" w:rsidP="00081B7A">
      <w:pPr>
        <w:pStyle w:val="ListDash2"/>
        <w:rPr>
          <w:noProof/>
        </w:rPr>
      </w:pPr>
      <w:r w:rsidRPr="00363097">
        <w:rPr>
          <w:rFonts w:ascii="Wingdings" w:eastAsia="Wingdings" w:hAnsi="Wingdings" w:cs="Wingdings"/>
          <w:noProof/>
        </w:rPr>
        <w:t></w:t>
      </w:r>
      <w:r w:rsidRPr="00363097">
        <w:rPr>
          <w:noProof/>
        </w:rPr>
        <w:t xml:space="preserve"> third countries or the bodies they have designated;</w:t>
      </w:r>
    </w:p>
    <w:p w14:paraId="31659A4C"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 xml:space="preserve"> international organisations and their agencies (to be specified);</w:t>
      </w:r>
    </w:p>
    <w:p w14:paraId="21DD33DF" w14:textId="77777777" w:rsidR="00081B7A" w:rsidRPr="00363097" w:rsidRDefault="00081B7A" w:rsidP="00081B7A">
      <w:pPr>
        <w:pStyle w:val="ListDash2"/>
        <w:rPr>
          <w:noProof/>
        </w:rPr>
      </w:pPr>
      <w:r w:rsidRPr="00363097">
        <w:rPr>
          <w:rFonts w:ascii="Wingdings" w:eastAsia="Wingdings" w:hAnsi="Wingdings" w:cs="Wingdings"/>
          <w:noProof/>
        </w:rPr>
        <w:t></w:t>
      </w:r>
      <w:r w:rsidRPr="00363097">
        <w:rPr>
          <w:noProof/>
        </w:rPr>
        <w:t xml:space="preserve"> the EIB and the European Investment Fund;</w:t>
      </w:r>
    </w:p>
    <w:p w14:paraId="3E1BB8D2"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 xml:space="preserve"> bodies referred to in Articles 64 and 65 of the Financial Regulation;</w:t>
      </w:r>
    </w:p>
    <w:p w14:paraId="488E1CB7" w14:textId="77777777" w:rsidR="00081B7A" w:rsidRPr="00363097" w:rsidRDefault="00081B7A" w:rsidP="00081B7A">
      <w:pPr>
        <w:pStyle w:val="ListDash2"/>
        <w:rPr>
          <w:noProof/>
        </w:rPr>
      </w:pPr>
      <w:r w:rsidRPr="00363097">
        <w:rPr>
          <w:rFonts w:ascii="Wingdings" w:eastAsia="Wingdings" w:hAnsi="Wingdings" w:cs="Wingdings"/>
          <w:noProof/>
        </w:rPr>
        <w:t></w:t>
      </w:r>
      <w:r w:rsidRPr="00363097">
        <w:rPr>
          <w:noProof/>
        </w:rPr>
        <w:t xml:space="preserve"> public law bodies;</w:t>
      </w:r>
    </w:p>
    <w:p w14:paraId="0EF07CD0"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 xml:space="preserve"> bodies governed by private law with a public service mission to the extent that they are provided with adequate financial guarantees;</w:t>
      </w:r>
    </w:p>
    <w:p w14:paraId="3AF0F35B" w14:textId="77777777" w:rsidR="00081B7A" w:rsidRPr="00363097" w:rsidRDefault="00081B7A" w:rsidP="00081B7A">
      <w:pPr>
        <w:pStyle w:val="ListDash2"/>
        <w:rPr>
          <w:noProof/>
        </w:rPr>
      </w:pPr>
      <w:r w:rsidRPr="00363097">
        <w:rPr>
          <w:rFonts w:ascii="Wingdings" w:eastAsia="Wingdings" w:hAnsi="Wingdings" w:cs="Wingdings"/>
          <w:noProof/>
        </w:rPr>
        <w:t></w:t>
      </w:r>
      <w:r w:rsidRPr="00363097">
        <w:rPr>
          <w:noProof/>
        </w:rPr>
        <w:t xml:space="preserve"> bodies governed by the private law of a Member State that are entrusted with the implementation of a public-private partnership and that are provided with adequate financial guarantees;</w:t>
      </w:r>
    </w:p>
    <w:p w14:paraId="48B4C1F3" w14:textId="77777777" w:rsidR="00081B7A" w:rsidRPr="00363097" w:rsidRDefault="00081B7A" w:rsidP="00A9571C">
      <w:pPr>
        <w:pStyle w:val="ListDash2"/>
        <w:numPr>
          <w:ilvl w:val="0"/>
          <w:numId w:val="69"/>
        </w:numPr>
        <w:tabs>
          <w:tab w:val="num" w:pos="1134"/>
        </w:tabs>
        <w:ind w:left="1134" w:hanging="283"/>
        <w:rPr>
          <w:noProof/>
        </w:rPr>
      </w:pPr>
      <w:r w:rsidRPr="00363097">
        <w:rPr>
          <w:rFonts w:ascii="Wingdings" w:eastAsia="Wingdings" w:hAnsi="Wingdings" w:cs="Wingdings"/>
          <w:noProof/>
        </w:rPr>
        <w:t></w:t>
      </w:r>
      <w:r w:rsidRPr="00363097">
        <w:rPr>
          <w:noProof/>
        </w:rPr>
        <w:t xml:space="preserve"> bodies or persons entrusted with the implementation of specific actions in the CFSP pursuant to Title V of the TEU, and identified in the relevant basic act.</w:t>
      </w:r>
    </w:p>
    <w:p w14:paraId="59816396" w14:textId="77777777" w:rsidR="00081B7A" w:rsidRPr="00363097" w:rsidRDefault="00081B7A" w:rsidP="00081B7A">
      <w:pPr>
        <w:pStyle w:val="ListDash2"/>
        <w:rPr>
          <w:i/>
          <w:noProof/>
          <w:sz w:val="18"/>
          <w:u w:val="single"/>
        </w:rPr>
      </w:pPr>
      <w:r w:rsidRPr="00363097">
        <w:rPr>
          <w:i/>
          <w:noProof/>
          <w:sz w:val="18"/>
        </w:rPr>
        <w:t>If more than one management mode is indicated, please provide details in the ‘Comments’ section.</w:t>
      </w:r>
    </w:p>
    <w:p w14:paraId="53D6694D" w14:textId="77777777" w:rsidR="00081B7A" w:rsidRPr="00363097" w:rsidRDefault="00081B7A" w:rsidP="00081B7A">
      <w:pPr>
        <w:rPr>
          <w:noProof/>
        </w:rPr>
      </w:pPr>
      <w:r w:rsidRPr="00363097">
        <w:rPr>
          <w:noProof/>
        </w:rPr>
        <w:t xml:space="preserve">Comments </w:t>
      </w:r>
    </w:p>
    <w:p w14:paraId="0A23E7E2" w14:textId="7749825C" w:rsidR="00081B7A" w:rsidRPr="00363097" w:rsidRDefault="00081B7A" w:rsidP="006D0A57">
      <w:pPr>
        <w:pBdr>
          <w:top w:val="single" w:sz="4" w:space="1" w:color="auto"/>
          <w:left w:val="single" w:sz="4" w:space="4" w:color="auto"/>
          <w:bottom w:val="single" w:sz="4" w:space="1" w:color="auto"/>
          <w:right w:val="single" w:sz="4" w:space="4" w:color="auto"/>
        </w:pBdr>
        <w:rPr>
          <w:noProof/>
        </w:rPr>
        <w:sectPr w:rsidR="00081B7A" w:rsidRPr="00363097" w:rsidSect="008D52AB">
          <w:pgSz w:w="11907" w:h="16840" w:code="9"/>
          <w:pgMar w:top="1134" w:right="1418" w:bottom="1134" w:left="1418" w:header="709" w:footer="709" w:gutter="0"/>
          <w:cols w:space="708"/>
          <w:docGrid w:linePitch="360"/>
        </w:sectPr>
      </w:pPr>
      <w:r w:rsidRPr="00363097">
        <w:rPr>
          <w:noProof/>
        </w:rPr>
        <w:t>As regards the BEFIT collaborative tool which will facilitate the operation and communication of BEFIT teams, the Commission is responsible for the development and operation of such a tool. Member States will undertake to create the appropriate domestic infrastructure that will enable the communication of the information between members of BEFIT teams through the BEFIT collaborative tool.</w:t>
      </w:r>
      <w:r w:rsidR="006D0A57">
        <w:rPr>
          <w:noProof/>
        </w:rPr>
        <w:tab/>
      </w:r>
    </w:p>
    <w:p w14:paraId="1E836D5F" w14:textId="77777777" w:rsidR="00081B7A" w:rsidRPr="00363097" w:rsidRDefault="00081B7A" w:rsidP="00081B7A">
      <w:pPr>
        <w:pStyle w:val="ManualHeading1"/>
        <w:rPr>
          <w:bCs/>
          <w:noProof/>
          <w:szCs w:val="24"/>
        </w:rPr>
      </w:pPr>
      <w:bookmarkStart w:id="66" w:name="_Toc514938041"/>
      <w:bookmarkStart w:id="67" w:name="_Toc520485042"/>
      <w:r w:rsidRPr="00363097">
        <w:rPr>
          <w:noProof/>
        </w:rPr>
        <w:t>2.</w:t>
      </w:r>
      <w:r w:rsidRPr="00363097">
        <w:rPr>
          <w:noProof/>
        </w:rPr>
        <w:tab/>
        <w:t>MANAGEMENT MEASURES</w:t>
      </w:r>
      <w:bookmarkEnd w:id="66"/>
      <w:bookmarkEnd w:id="67"/>
      <w:r w:rsidRPr="00363097">
        <w:rPr>
          <w:noProof/>
        </w:rPr>
        <w:t xml:space="preserve"> </w:t>
      </w:r>
    </w:p>
    <w:p w14:paraId="330785B1" w14:textId="77777777" w:rsidR="00081B7A" w:rsidRPr="00363097" w:rsidRDefault="00081B7A" w:rsidP="00081B7A">
      <w:pPr>
        <w:pStyle w:val="ManualHeading2"/>
        <w:rPr>
          <w:noProof/>
        </w:rPr>
      </w:pPr>
      <w:bookmarkStart w:id="68" w:name="_Toc514938042"/>
      <w:bookmarkStart w:id="69" w:name="_Toc520485043"/>
      <w:r w:rsidRPr="00363097">
        <w:rPr>
          <w:noProof/>
        </w:rPr>
        <w:t>2.1.</w:t>
      </w:r>
      <w:r w:rsidRPr="00363097">
        <w:rPr>
          <w:noProof/>
        </w:rPr>
        <w:tab/>
        <w:t>Monitoring and reporting rules</w:t>
      </w:r>
      <w:bookmarkEnd w:id="68"/>
      <w:bookmarkEnd w:id="69"/>
      <w:r w:rsidRPr="00363097">
        <w:rPr>
          <w:noProof/>
        </w:rPr>
        <w:t xml:space="preserve"> </w:t>
      </w:r>
    </w:p>
    <w:p w14:paraId="42A0A946" w14:textId="77777777" w:rsidR="00081B7A" w:rsidRPr="00363097" w:rsidRDefault="00081B7A" w:rsidP="00081B7A">
      <w:pPr>
        <w:pStyle w:val="Text1"/>
        <w:rPr>
          <w:i/>
          <w:noProof/>
          <w:sz w:val="20"/>
        </w:rPr>
      </w:pPr>
      <w:r w:rsidRPr="00363097">
        <w:rPr>
          <w:i/>
          <w:noProof/>
          <w:sz w:val="20"/>
        </w:rPr>
        <w:t>Specify frequency and conditions.</w:t>
      </w:r>
    </w:p>
    <w:p w14:paraId="288AB155"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rFonts w:eastAsia="Arial Unicode MS"/>
          <w:noProof/>
        </w:rPr>
        <w:t xml:space="preserve">The Commission will </w:t>
      </w:r>
      <w:r w:rsidRPr="00363097">
        <w:rPr>
          <w:rFonts w:eastAsiaTheme="majorEastAsia"/>
          <w:noProof/>
        </w:rPr>
        <w:t xml:space="preserve">continuously </w:t>
      </w:r>
      <w:r w:rsidRPr="00363097">
        <w:rPr>
          <w:rFonts w:eastAsia="Arial Unicode MS"/>
          <w:noProof/>
        </w:rPr>
        <w:t>monitor the</w:t>
      </w:r>
      <w:r w:rsidRPr="00363097">
        <w:rPr>
          <w:noProof/>
        </w:rPr>
        <w:t xml:space="preserve"> effectiveness and efficiency of the Proposal, using the following pre-defined indicators</w:t>
      </w:r>
      <w:r w:rsidRPr="00363097">
        <w:rPr>
          <w:rFonts w:eastAsiaTheme="majorEastAsia"/>
          <w:noProof/>
        </w:rPr>
        <w:t xml:space="preserve">: implementation and first BEFIT running costs; </w:t>
      </w:r>
      <w:r w:rsidRPr="00363097">
        <w:rPr>
          <w:noProof/>
        </w:rPr>
        <w:t>number of groups of companies in the mandatory scope of the proposal, as well as the number of companies that voluntarily opted in; evolution of the compliance costs of both large groups and SMEs in the EU; and the number of double taxation disputes.</w:t>
      </w:r>
    </w:p>
    <w:p w14:paraId="6BC1C79E"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In addition, the Commission will review the situation in the Member States regularly and publish a report. The monitoring framework will be subject to further adjustments in accordance with the final legal and implementation requirements and timeline.</w:t>
      </w:r>
    </w:p>
    <w:p w14:paraId="0413EC04"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An evaluation will take place five years after the implementation of the Proposal which will allow the Commission to review the results of the policy with respect to its objectives as well as the overall impacts in terms of tax revenue, businesses and the internal market.</w:t>
      </w:r>
    </w:p>
    <w:p w14:paraId="0B52136C" w14:textId="77777777" w:rsidR="00081B7A" w:rsidRPr="00363097" w:rsidRDefault="00081B7A" w:rsidP="00081B7A">
      <w:pPr>
        <w:pStyle w:val="ManualHeading2"/>
        <w:rPr>
          <w:bCs/>
          <w:noProof/>
          <w:szCs w:val="24"/>
        </w:rPr>
      </w:pPr>
      <w:bookmarkStart w:id="70" w:name="_Toc514938045"/>
      <w:bookmarkStart w:id="71" w:name="_Toc520485044"/>
      <w:r w:rsidRPr="00363097">
        <w:rPr>
          <w:noProof/>
        </w:rPr>
        <w:t>2.2.</w:t>
      </w:r>
      <w:r w:rsidRPr="00363097">
        <w:rPr>
          <w:noProof/>
        </w:rPr>
        <w:tab/>
        <w:t>Management and control system(s)</w:t>
      </w:r>
      <w:bookmarkEnd w:id="70"/>
      <w:bookmarkEnd w:id="71"/>
      <w:r w:rsidRPr="00363097">
        <w:rPr>
          <w:noProof/>
        </w:rPr>
        <w:t xml:space="preserve"> </w:t>
      </w:r>
    </w:p>
    <w:p w14:paraId="66BFD206" w14:textId="77777777" w:rsidR="00081B7A" w:rsidRPr="00363097" w:rsidRDefault="00081B7A" w:rsidP="00081B7A">
      <w:pPr>
        <w:pStyle w:val="ManualHeading3"/>
        <w:rPr>
          <w:noProof/>
        </w:rPr>
      </w:pPr>
      <w:bookmarkStart w:id="72" w:name="_Toc514938046"/>
      <w:bookmarkStart w:id="73" w:name="_Toc520485045"/>
      <w:r w:rsidRPr="00363097">
        <w:rPr>
          <w:noProof/>
        </w:rPr>
        <w:t>2.2.1.</w:t>
      </w:r>
      <w:r w:rsidRPr="00363097">
        <w:rPr>
          <w:noProof/>
        </w:rPr>
        <w:tab/>
        <w:t>Justification of the management mode(s), the funding implementation mechanism(s), the payment modalities and the control strategy proposed</w:t>
      </w:r>
      <w:bookmarkEnd w:id="72"/>
      <w:bookmarkEnd w:id="73"/>
    </w:p>
    <w:p w14:paraId="67E92E6F"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lang w:val="en-IE"/>
        </w:rPr>
      </w:pPr>
      <w:r w:rsidRPr="00363097">
        <w:rPr>
          <w:noProof/>
          <w:lang w:val="en-IE"/>
        </w:rPr>
        <w:t xml:space="preserve">The implementation of the Proposal will rely on the competent authorities (tax administrations) of the Member States. They will be responsible for financing their own national systems and adaptations necessary to </w:t>
      </w:r>
      <w:r w:rsidRPr="00363097">
        <w:rPr>
          <w:noProof/>
        </w:rPr>
        <w:t xml:space="preserve">enable the communication of the information between members of BEFIT teams through the BEFIT collaborative tool. </w:t>
      </w:r>
    </w:p>
    <w:p w14:paraId="77A734A2"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sz w:val="23"/>
          <w:szCs w:val="23"/>
          <w:lang w:val="en-IE"/>
        </w:rPr>
        <w:t xml:space="preserve">The Commission will set up the infrastructure, the </w:t>
      </w:r>
      <w:r w:rsidRPr="00363097">
        <w:rPr>
          <w:noProof/>
        </w:rPr>
        <w:t>BEFIT collaborative tool</w:t>
      </w:r>
      <w:r w:rsidRPr="00363097">
        <w:rPr>
          <w:noProof/>
          <w:sz w:val="23"/>
          <w:szCs w:val="23"/>
          <w:lang w:val="en-IE"/>
        </w:rPr>
        <w:t xml:space="preserve">, that will </w:t>
      </w:r>
      <w:r w:rsidRPr="00363097">
        <w:rPr>
          <w:noProof/>
        </w:rPr>
        <w:t>facilitate the operation and communication of BEFIT teams</w:t>
      </w:r>
      <w:r w:rsidRPr="00363097">
        <w:rPr>
          <w:noProof/>
          <w:sz w:val="23"/>
          <w:szCs w:val="23"/>
          <w:lang w:val="en-IE"/>
        </w:rPr>
        <w:t xml:space="preserve">. The BEFIT collaborative tool will thus be implemented in direct management mode given the nature of the infrastructure required for the BEFIT teams, explained above. The Commission is best placed to provide this. There is no need for indirect management. Under shared management, each Member would develop its own tool, which would not be practical, especially because there would be many BEFIT teams connecting many different combinations of Member States. At Commission level, IT systems have been set up which will be used for this Proposal. </w:t>
      </w:r>
      <w:r w:rsidRPr="00363097">
        <w:rPr>
          <w:noProof/>
        </w:rPr>
        <w:t xml:space="preserve">The Commission will be financing the development of this BEFIT collaborative tool, as well as the hosting, content management, encryption, and annual maintenance of the tool. </w:t>
      </w:r>
    </w:p>
    <w:p w14:paraId="649B22A9" w14:textId="77777777" w:rsidR="00081B7A" w:rsidRPr="00363097" w:rsidRDefault="00081B7A" w:rsidP="00081B7A">
      <w:pPr>
        <w:pStyle w:val="ManualHeading3"/>
        <w:rPr>
          <w:bCs/>
          <w:noProof/>
          <w:szCs w:val="24"/>
        </w:rPr>
      </w:pPr>
      <w:bookmarkStart w:id="74" w:name="_Toc514938047"/>
      <w:bookmarkStart w:id="75" w:name="_Toc520485046"/>
      <w:r w:rsidRPr="00363097">
        <w:rPr>
          <w:noProof/>
        </w:rPr>
        <w:t>2.2.2.</w:t>
      </w:r>
      <w:r w:rsidRPr="00363097">
        <w:rPr>
          <w:noProof/>
        </w:rPr>
        <w:tab/>
        <w:t>Information concerning the risks identified and the internal control system(s) set up to mitigate them</w:t>
      </w:r>
      <w:bookmarkEnd w:id="74"/>
      <w:bookmarkEnd w:id="75"/>
    </w:p>
    <w:p w14:paraId="2E8D9852"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No risks have been identified as the BEFIT collaborative tool will be a new infrastructure and therefore has no precedent. The internal control system will rely on the systems in place for existing funding programmes under the direct management of DG TAXUD (e.g. Fiscalis). As such this should not result in additional risks. </w:t>
      </w:r>
    </w:p>
    <w:p w14:paraId="09193CFC"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The overall internal control system in place at DG TAXUD for procurements (based upon thorough ex-ante verification of 100% of the related transactions), allowed keeping the error rates for previous funding programmes (e.g. Fiscalis) well below the materiality threshold (i.e. at an estimated level of 0,5%). This control system will also be used and applied for the BEFIT collaborative tool thus ensuring error rates well below the materiality t</w:t>
      </w:r>
      <w:r w:rsidR="00A0080E" w:rsidRPr="00363097">
        <w:rPr>
          <w:noProof/>
        </w:rPr>
        <w:t>h</w:t>
      </w:r>
      <w:r w:rsidRPr="00363097">
        <w:rPr>
          <w:noProof/>
        </w:rPr>
        <w:t>reshold.</w:t>
      </w:r>
    </w:p>
    <w:p w14:paraId="2845560E"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The main elements of the control strategy are: </w:t>
      </w:r>
    </w:p>
    <w:p w14:paraId="07032E02"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Procurement contracts </w:t>
      </w:r>
    </w:p>
    <w:p w14:paraId="2008AAD1"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The control procedures for procurement defined in the Financial Regulation: any procurement contract is established following the established procedure of verification by the services of the Commission for payment, taking into account contractual obligations and sound financial and general management. Anti-fraud measures (controls, reports, etc.) are foreseen in all contracts concluded between the Commission and the beneficiaries. Detailed terms of reference are drafted and form the basis of each specific contract. The acceptance process follows strictly the TAXUD TEMPO methodology: deliverables are reviewed, amended if necessary and finally explicitly accepted (or rejected). No invoice can be paid without an "acceptance letter". </w:t>
      </w:r>
    </w:p>
    <w:p w14:paraId="078DCE39"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Technical verification of procurement </w:t>
      </w:r>
    </w:p>
    <w:p w14:paraId="662D2052"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DG TAXUD performs controls of deliverables and supervises operations and services carried out by contractors. It also conducts quality and security audits of their contractors on a regular basis. Quality audits verify the compliance of the contractors' actual processes against the rules and procedures defined in their quality plans. Security audits focus on the specific processes, procedures and set-up. </w:t>
      </w:r>
    </w:p>
    <w:p w14:paraId="6C3DCBCB"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In addition to the above controls, DG TAXUD performs the traditional financial controls: </w:t>
      </w:r>
    </w:p>
    <w:p w14:paraId="19C01B11"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Ex-ante verification of commitments </w:t>
      </w:r>
    </w:p>
    <w:p w14:paraId="79DB1970"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All commitments in DG TAXUD are verified by the Head of the Finances and the HR business correspondent Unit. Consequently, 100% of the committed amounts are covered by the ex-ante verification. This procedure gives a high level of assurance as to the legality and regularity of transactions. </w:t>
      </w:r>
    </w:p>
    <w:p w14:paraId="656BDBB7"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Ex-ante verification of payments </w:t>
      </w:r>
    </w:p>
    <w:p w14:paraId="75D8E966"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100% of payments are verified ex-ante. Moreover, at least one payment (from all categories of expenditures) per week is randomly selected for additional ex-ante verification performed by the head of the Finances and HR business correspondent Unit. There is no target concerning the coverage, as the purpose of this verification is to check payments "randomly" in order to verify that all payments were prepared in line with the requirements. The remaining payments are processed according to the rules in force on a daily basis.</w:t>
      </w:r>
    </w:p>
    <w:p w14:paraId="1D7ED9CE"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 xml:space="preserve">Declarations of the Authorising Officers by Sub-Delegations (AOSD) </w:t>
      </w:r>
    </w:p>
    <w:p w14:paraId="26766F1B"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All the AOSD sign declarations supporting the Annual Activity Report for the year concerned. These declarations cover the operations under the programme. The AOSD declare that the operations connected with the implementation of the budget have been executed in accordance with the principles of the sound financial management, that the management and control systems in place provided satisfactory assurance concerning the legality and regularity of the transactions and that the risks associated to these operations have been properly identified, reported and that mitigating actions have been implemented.</w:t>
      </w:r>
    </w:p>
    <w:p w14:paraId="28912C49" w14:textId="77777777" w:rsidR="00081B7A" w:rsidRPr="00363097" w:rsidRDefault="00081B7A" w:rsidP="00081B7A">
      <w:pPr>
        <w:pStyle w:val="ManualHeading3"/>
        <w:rPr>
          <w:noProof/>
        </w:rPr>
      </w:pPr>
      <w:bookmarkStart w:id="76" w:name="_Toc514938048"/>
      <w:bookmarkStart w:id="77" w:name="_Toc520485047"/>
      <w:r w:rsidRPr="00363097">
        <w:rPr>
          <w:noProof/>
        </w:rPr>
        <w:t>2.2.3.</w:t>
      </w:r>
      <w:r w:rsidRPr="00363097">
        <w:rPr>
          <w:noProof/>
        </w:rPr>
        <w:tab/>
        <w:t>Estimation and justification of the cost-effectiveness of the controls (ratio of "control costs ÷ value of the related funds managed"), and assessment of the expected levels of risk of error (at payment &amp; at closure)</w:t>
      </w:r>
      <w:bookmarkEnd w:id="76"/>
      <w:bookmarkEnd w:id="77"/>
      <w:r w:rsidRPr="00363097">
        <w:rPr>
          <w:noProof/>
        </w:rPr>
        <w:t xml:space="preserve"> </w:t>
      </w:r>
    </w:p>
    <w:p w14:paraId="645CBF50"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bCs/>
          <w:noProof/>
        </w:rPr>
        <w:t xml:space="preserve">The controls established enable DG TAXUD to have sufficient assurance of the quality and regularity of the expenditure and to reduce the risk of non-compliance. The above control strategy measures reduce the potential risks below the target of 2% and reach all beneficiaries. Any additional measures for further risk reduction would result in disproportionately high costs and are therefore not envisaged. The overall costs linked to implementing the above control strategy – for all expenditures under Fiscalis programme – are limited to 1.6% of the total payments made. It is expected to remain at the same ratio for this initiative. The programme control strategy limits the risk of non-compliance to virtually zero and remains proportionate to the risks entailed. </w:t>
      </w:r>
    </w:p>
    <w:p w14:paraId="55245540" w14:textId="77777777" w:rsidR="00081B7A" w:rsidRPr="00363097" w:rsidRDefault="00081B7A" w:rsidP="00081B7A">
      <w:pPr>
        <w:pStyle w:val="ManualHeading2"/>
        <w:tabs>
          <w:tab w:val="clear" w:pos="850"/>
        </w:tabs>
        <w:rPr>
          <w:noProof/>
          <w:szCs w:val="24"/>
        </w:rPr>
      </w:pPr>
      <w:bookmarkStart w:id="78" w:name="_Toc514938049"/>
      <w:bookmarkStart w:id="79" w:name="_Toc520485048"/>
      <w:r w:rsidRPr="00363097">
        <w:rPr>
          <w:noProof/>
        </w:rPr>
        <w:t>2.3.</w:t>
      </w:r>
      <w:r w:rsidRPr="00363097">
        <w:rPr>
          <w:noProof/>
        </w:rPr>
        <w:tab/>
        <w:t>Measures to prevent fraud and irregularities</w:t>
      </w:r>
      <w:bookmarkEnd w:id="78"/>
      <w:bookmarkEnd w:id="79"/>
    </w:p>
    <w:p w14:paraId="6DE75562" w14:textId="77777777" w:rsidR="00081B7A" w:rsidRPr="00363097" w:rsidRDefault="00081B7A" w:rsidP="00081B7A">
      <w:pPr>
        <w:pStyle w:val="Text1"/>
        <w:rPr>
          <w:i/>
          <w:noProof/>
          <w:sz w:val="20"/>
        </w:rPr>
      </w:pPr>
      <w:r w:rsidRPr="00363097">
        <w:rPr>
          <w:i/>
          <w:noProof/>
          <w:sz w:val="20"/>
        </w:rPr>
        <w:t>Specify existing or envisaged prevention and protection measures, e.g. from the Anti-Fraud Strategy.</w:t>
      </w:r>
    </w:p>
    <w:p w14:paraId="5EC38856" w14:textId="77777777" w:rsidR="00081B7A" w:rsidRPr="00363097" w:rsidRDefault="00081B7A" w:rsidP="00081B7A">
      <w:pPr>
        <w:pBdr>
          <w:top w:val="single" w:sz="4" w:space="1" w:color="auto"/>
          <w:left w:val="single" w:sz="4" w:space="4" w:color="auto"/>
          <w:bottom w:val="single" w:sz="4" w:space="1" w:color="auto"/>
          <w:right w:val="single" w:sz="4" w:space="4" w:color="auto"/>
        </w:pBdr>
        <w:rPr>
          <w:noProof/>
        </w:rPr>
      </w:pPr>
      <w:r w:rsidRPr="00363097">
        <w:rPr>
          <w:noProof/>
        </w:rPr>
        <w:t>The European Anti-fraud Office (OLAF) may carry out investigations, including on-the-spot checks and inspections, in accordance with the provisions and procedures laid down in Regulation (EC) No 1073/1999 of the European Parliament and of the Council and Council Regulation (Euratom, EC) No 2185/964 with a view to establishing whether there has been fraud, corruption or any other illegal activity affecting the financial interests of the Union in connection with a grant agreement or decision or a contract funded under this Regulation.</w:t>
      </w:r>
    </w:p>
    <w:p w14:paraId="0E522F46" w14:textId="77777777" w:rsidR="00081B7A" w:rsidRPr="00363097" w:rsidRDefault="00081B7A" w:rsidP="00812D70">
      <w:pPr>
        <w:pBdr>
          <w:top w:val="single" w:sz="4" w:space="1" w:color="auto"/>
          <w:left w:val="single" w:sz="4" w:space="4" w:color="auto"/>
          <w:bottom w:val="single" w:sz="4" w:space="1" w:color="auto"/>
          <w:right w:val="single" w:sz="4" w:space="4" w:color="auto"/>
        </w:pBdr>
        <w:rPr>
          <w:noProof/>
        </w:rPr>
        <w:sectPr w:rsidR="00081B7A" w:rsidRPr="00363097" w:rsidSect="008D52AB">
          <w:pgSz w:w="11907" w:h="16840" w:code="9"/>
          <w:pgMar w:top="1134" w:right="1418" w:bottom="1134" w:left="1418" w:header="709" w:footer="709" w:gutter="0"/>
          <w:cols w:space="708"/>
          <w:docGrid w:linePitch="360"/>
        </w:sectPr>
      </w:pPr>
    </w:p>
    <w:p w14:paraId="01EC56B7" w14:textId="77777777" w:rsidR="00081B7A" w:rsidRPr="00363097" w:rsidRDefault="00081B7A" w:rsidP="00081B7A">
      <w:pPr>
        <w:pStyle w:val="ManualHeading1"/>
        <w:rPr>
          <w:bCs/>
          <w:noProof/>
          <w:szCs w:val="24"/>
        </w:rPr>
      </w:pPr>
      <w:bookmarkStart w:id="80" w:name="_Toc514938050"/>
      <w:bookmarkStart w:id="81" w:name="_Toc520485049"/>
      <w:r w:rsidRPr="00363097">
        <w:rPr>
          <w:noProof/>
        </w:rPr>
        <w:t>3.</w:t>
      </w:r>
      <w:r w:rsidRPr="00363097">
        <w:rPr>
          <w:noProof/>
        </w:rPr>
        <w:tab/>
        <w:t>ESTIMATED FINANCIAL IMPACT OF THE PROPOSAL/INITIATIVE</w:t>
      </w:r>
      <w:bookmarkEnd w:id="80"/>
      <w:bookmarkEnd w:id="81"/>
      <w:r w:rsidRPr="00363097">
        <w:rPr>
          <w:noProof/>
        </w:rPr>
        <w:t xml:space="preserve"> </w:t>
      </w:r>
    </w:p>
    <w:p w14:paraId="62C76C7E" w14:textId="77777777" w:rsidR="00081B7A" w:rsidRPr="00363097" w:rsidRDefault="00081B7A" w:rsidP="00081B7A">
      <w:pPr>
        <w:pStyle w:val="ManualHeading2"/>
        <w:rPr>
          <w:noProof/>
        </w:rPr>
      </w:pPr>
      <w:bookmarkStart w:id="82" w:name="_Toc514938051"/>
      <w:bookmarkStart w:id="83" w:name="_Toc520485050"/>
      <w:r w:rsidRPr="00363097">
        <w:rPr>
          <w:noProof/>
        </w:rPr>
        <w:t>3.1.</w:t>
      </w:r>
      <w:r w:rsidRPr="00363097">
        <w:rPr>
          <w:noProof/>
        </w:rPr>
        <w:tab/>
        <w:t>Heading(s) of the multiannual financial framework and expenditure budget line(s) affected</w:t>
      </w:r>
      <w:bookmarkEnd w:id="82"/>
      <w:bookmarkEnd w:id="83"/>
      <w:r w:rsidRPr="00363097">
        <w:rPr>
          <w:noProof/>
        </w:rPr>
        <w:t xml:space="preserve"> </w:t>
      </w:r>
    </w:p>
    <w:p w14:paraId="1799F897" w14:textId="77777777" w:rsidR="00081B7A" w:rsidRPr="00363097" w:rsidRDefault="00081B7A" w:rsidP="00081B7A">
      <w:pPr>
        <w:pStyle w:val="ListBullet1"/>
        <w:rPr>
          <w:noProof/>
        </w:rPr>
      </w:pPr>
      <w:r w:rsidRPr="00363097">
        <w:rPr>
          <w:noProof/>
        </w:rPr>
        <w:t xml:space="preserve">Existing budget lines </w:t>
      </w:r>
    </w:p>
    <w:p w14:paraId="08E28908" w14:textId="77777777" w:rsidR="00081B7A" w:rsidRPr="00363097" w:rsidRDefault="00081B7A" w:rsidP="00081B7A">
      <w:pPr>
        <w:pStyle w:val="Text1"/>
        <w:rPr>
          <w:i/>
          <w:noProof/>
        </w:rPr>
      </w:pPr>
      <w:r w:rsidRPr="00363097">
        <w:rPr>
          <w:i/>
          <w:noProof/>
          <w:u w:val="single"/>
        </w:rPr>
        <w:t>In order</w:t>
      </w:r>
      <w:r w:rsidRPr="00363097">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363097" w:rsidRPr="00363097" w14:paraId="664FA4BB" w14:textId="77777777">
        <w:tc>
          <w:tcPr>
            <w:tcW w:w="1080" w:type="dxa"/>
            <w:vMerge w:val="restart"/>
            <w:vAlign w:val="center"/>
          </w:tcPr>
          <w:p w14:paraId="75AFB904" w14:textId="77777777" w:rsidR="00081B7A" w:rsidRPr="00363097" w:rsidRDefault="00081B7A">
            <w:pPr>
              <w:spacing w:before="60" w:after="60"/>
              <w:jc w:val="center"/>
              <w:rPr>
                <w:noProof/>
                <w:lang w:val="en-IE"/>
              </w:rPr>
            </w:pPr>
            <w:r w:rsidRPr="00363097">
              <w:rPr>
                <w:noProof/>
                <w:sz w:val="18"/>
                <w:lang w:val="en-IE"/>
              </w:rPr>
              <w:t>Heading of multiannual financial framework</w:t>
            </w:r>
          </w:p>
        </w:tc>
        <w:tc>
          <w:tcPr>
            <w:tcW w:w="3960" w:type="dxa"/>
            <w:vAlign w:val="center"/>
          </w:tcPr>
          <w:p w14:paraId="7159C8BC" w14:textId="77777777" w:rsidR="00081B7A" w:rsidRPr="00363097" w:rsidRDefault="00081B7A">
            <w:pPr>
              <w:spacing w:before="60" w:after="60"/>
              <w:jc w:val="center"/>
              <w:rPr>
                <w:noProof/>
              </w:rPr>
            </w:pPr>
            <w:r w:rsidRPr="00363097">
              <w:rPr>
                <w:noProof/>
                <w:sz w:val="20"/>
              </w:rPr>
              <w:t>Budget line</w:t>
            </w:r>
          </w:p>
        </w:tc>
        <w:tc>
          <w:tcPr>
            <w:tcW w:w="1080" w:type="dxa"/>
            <w:vAlign w:val="center"/>
          </w:tcPr>
          <w:p w14:paraId="1C76BEEC" w14:textId="77777777" w:rsidR="00081B7A" w:rsidRPr="00363097" w:rsidRDefault="00081B7A">
            <w:pPr>
              <w:spacing w:before="60" w:after="60"/>
              <w:jc w:val="center"/>
              <w:rPr>
                <w:noProof/>
              </w:rPr>
            </w:pPr>
            <w:r w:rsidRPr="00363097">
              <w:rPr>
                <w:noProof/>
                <w:sz w:val="18"/>
              </w:rPr>
              <w:t xml:space="preserve">Type of </w:t>
            </w:r>
            <w:r w:rsidRPr="00363097">
              <w:rPr>
                <w:noProof/>
                <w:sz w:val="22"/>
              </w:rPr>
              <w:br/>
            </w:r>
            <w:r w:rsidRPr="00363097">
              <w:rPr>
                <w:noProof/>
                <w:sz w:val="18"/>
              </w:rPr>
              <w:t>expenditure</w:t>
            </w:r>
          </w:p>
        </w:tc>
        <w:tc>
          <w:tcPr>
            <w:tcW w:w="4440" w:type="dxa"/>
            <w:gridSpan w:val="4"/>
            <w:vAlign w:val="center"/>
          </w:tcPr>
          <w:p w14:paraId="1287297F" w14:textId="77777777" w:rsidR="00081B7A" w:rsidRPr="00363097" w:rsidRDefault="00081B7A">
            <w:pPr>
              <w:spacing w:before="60" w:after="60"/>
              <w:jc w:val="center"/>
              <w:rPr>
                <w:noProof/>
              </w:rPr>
            </w:pPr>
            <w:r w:rsidRPr="00363097">
              <w:rPr>
                <w:noProof/>
                <w:sz w:val="20"/>
              </w:rPr>
              <w:t xml:space="preserve">Contribution </w:t>
            </w:r>
          </w:p>
        </w:tc>
      </w:tr>
      <w:tr w:rsidR="00363097" w:rsidRPr="00363097" w14:paraId="11C63E74" w14:textId="77777777">
        <w:tc>
          <w:tcPr>
            <w:tcW w:w="1080" w:type="dxa"/>
            <w:vMerge/>
            <w:vAlign w:val="center"/>
          </w:tcPr>
          <w:p w14:paraId="186F9199" w14:textId="77777777" w:rsidR="00081B7A" w:rsidRPr="00363097" w:rsidRDefault="00081B7A">
            <w:pPr>
              <w:jc w:val="center"/>
              <w:rPr>
                <w:noProof/>
              </w:rPr>
            </w:pPr>
          </w:p>
        </w:tc>
        <w:tc>
          <w:tcPr>
            <w:tcW w:w="3960" w:type="dxa"/>
            <w:vAlign w:val="center"/>
          </w:tcPr>
          <w:p w14:paraId="0B315122" w14:textId="77777777" w:rsidR="00081B7A" w:rsidRPr="00363097" w:rsidRDefault="00081B7A">
            <w:pPr>
              <w:jc w:val="left"/>
              <w:rPr>
                <w:noProof/>
              </w:rPr>
            </w:pPr>
            <w:r w:rsidRPr="00363097">
              <w:rPr>
                <w:noProof/>
                <w:sz w:val="22"/>
              </w:rPr>
              <w:br/>
            </w:r>
          </w:p>
        </w:tc>
        <w:tc>
          <w:tcPr>
            <w:tcW w:w="1080" w:type="dxa"/>
            <w:vAlign w:val="center"/>
          </w:tcPr>
          <w:p w14:paraId="7E0241D1" w14:textId="77777777" w:rsidR="00081B7A" w:rsidRPr="00363097" w:rsidRDefault="00081B7A">
            <w:pPr>
              <w:jc w:val="center"/>
              <w:rPr>
                <w:noProof/>
              </w:rPr>
            </w:pPr>
            <w:r w:rsidRPr="00363097">
              <w:rPr>
                <w:noProof/>
                <w:sz w:val="18"/>
              </w:rPr>
              <w:t>Diff./Non-diff.</w:t>
            </w:r>
            <w:r w:rsidRPr="00363097">
              <w:rPr>
                <w:rStyle w:val="FootnoteReference0"/>
                <w:noProof/>
                <w:sz w:val="18"/>
              </w:rPr>
              <w:footnoteReference w:id="40"/>
            </w:r>
          </w:p>
        </w:tc>
        <w:tc>
          <w:tcPr>
            <w:tcW w:w="956" w:type="dxa"/>
            <w:vAlign w:val="center"/>
          </w:tcPr>
          <w:p w14:paraId="37A3DF2B" w14:textId="77777777" w:rsidR="00081B7A" w:rsidRPr="00363097" w:rsidRDefault="00081B7A">
            <w:pPr>
              <w:jc w:val="center"/>
              <w:rPr>
                <w:b/>
                <w:noProof/>
                <w:sz w:val="18"/>
              </w:rPr>
            </w:pPr>
            <w:r w:rsidRPr="00363097">
              <w:rPr>
                <w:noProof/>
                <w:sz w:val="18"/>
              </w:rPr>
              <w:t>from EFTA countries</w:t>
            </w:r>
            <w:r w:rsidRPr="00363097">
              <w:rPr>
                <w:rStyle w:val="FootnoteReference0"/>
                <w:noProof/>
                <w:sz w:val="18"/>
              </w:rPr>
              <w:footnoteReference w:id="41"/>
            </w:r>
          </w:p>
        </w:tc>
        <w:tc>
          <w:tcPr>
            <w:tcW w:w="1080" w:type="dxa"/>
            <w:vAlign w:val="center"/>
          </w:tcPr>
          <w:p w14:paraId="24B5525C" w14:textId="77777777" w:rsidR="00081B7A" w:rsidRPr="00363097" w:rsidRDefault="00081B7A">
            <w:pPr>
              <w:jc w:val="center"/>
              <w:rPr>
                <w:noProof/>
                <w:sz w:val="18"/>
                <w:lang w:val="en-IE"/>
              </w:rPr>
            </w:pPr>
            <w:r w:rsidRPr="00363097">
              <w:rPr>
                <w:noProof/>
                <w:sz w:val="18"/>
                <w:lang w:val="en-IE"/>
              </w:rPr>
              <w:t>from candidate countries and potential candidates</w:t>
            </w:r>
            <w:r w:rsidRPr="00363097">
              <w:rPr>
                <w:rStyle w:val="FootnoteReference0"/>
                <w:noProof/>
                <w:sz w:val="18"/>
              </w:rPr>
              <w:footnoteReference w:id="42"/>
            </w:r>
          </w:p>
        </w:tc>
        <w:tc>
          <w:tcPr>
            <w:tcW w:w="956" w:type="dxa"/>
            <w:vAlign w:val="center"/>
          </w:tcPr>
          <w:p w14:paraId="5B254FD0" w14:textId="77777777" w:rsidR="00081B7A" w:rsidRPr="00363097" w:rsidRDefault="00081B7A">
            <w:pPr>
              <w:jc w:val="center"/>
              <w:rPr>
                <w:noProof/>
                <w:sz w:val="18"/>
              </w:rPr>
            </w:pPr>
            <w:r w:rsidRPr="00363097">
              <w:rPr>
                <w:noProof/>
                <w:sz w:val="18"/>
              </w:rPr>
              <w:t>fromother third countries</w:t>
            </w:r>
          </w:p>
        </w:tc>
        <w:tc>
          <w:tcPr>
            <w:tcW w:w="1448" w:type="dxa"/>
            <w:vAlign w:val="center"/>
          </w:tcPr>
          <w:p w14:paraId="4173C7D6" w14:textId="77777777" w:rsidR="00081B7A" w:rsidRPr="00363097" w:rsidRDefault="00081B7A">
            <w:pPr>
              <w:jc w:val="center"/>
              <w:rPr>
                <w:noProof/>
              </w:rPr>
            </w:pPr>
            <w:r w:rsidRPr="00363097">
              <w:rPr>
                <w:noProof/>
                <w:sz w:val="18"/>
                <w:szCs w:val="18"/>
                <w:lang w:val="en-IE"/>
              </w:rPr>
              <w:t>other assigned revenue</w:t>
            </w:r>
          </w:p>
        </w:tc>
      </w:tr>
      <w:tr w:rsidR="00363097" w:rsidRPr="00363097" w14:paraId="74156E15" w14:textId="77777777">
        <w:tc>
          <w:tcPr>
            <w:tcW w:w="1080" w:type="dxa"/>
            <w:vAlign w:val="center"/>
          </w:tcPr>
          <w:p w14:paraId="7D569638" w14:textId="77777777" w:rsidR="00081B7A" w:rsidRPr="00363097" w:rsidRDefault="00081B7A">
            <w:pPr>
              <w:jc w:val="center"/>
              <w:rPr>
                <w:noProof/>
              </w:rPr>
            </w:pPr>
            <w:r w:rsidRPr="00363097">
              <w:rPr>
                <w:noProof/>
              </w:rPr>
              <w:t xml:space="preserve">1 - </w:t>
            </w:r>
            <w:r w:rsidRPr="00363097" w:rsidDel="00CF2BFC">
              <w:rPr>
                <w:noProof/>
              </w:rPr>
              <w:t>Single Market</w:t>
            </w:r>
            <w:r w:rsidRPr="00363097">
              <w:rPr>
                <w:noProof/>
              </w:rPr>
              <w:t>, Innovation and Digital</w:t>
            </w:r>
          </w:p>
        </w:tc>
        <w:tc>
          <w:tcPr>
            <w:tcW w:w="3960" w:type="dxa"/>
            <w:vAlign w:val="center"/>
          </w:tcPr>
          <w:p w14:paraId="7DCDD761" w14:textId="77777777" w:rsidR="00081B7A" w:rsidRPr="00363097" w:rsidRDefault="000C5314">
            <w:pPr>
              <w:spacing w:after="60"/>
              <w:rPr>
                <w:noProof/>
              </w:rPr>
            </w:pPr>
            <w:r w:rsidRPr="00363097">
              <w:rPr>
                <w:noProof/>
              </w:rPr>
              <w:t>03 04 01 Cooperation in the field of taxation (Fiscalis)</w:t>
            </w:r>
          </w:p>
        </w:tc>
        <w:tc>
          <w:tcPr>
            <w:tcW w:w="1080" w:type="dxa"/>
            <w:vAlign w:val="center"/>
          </w:tcPr>
          <w:p w14:paraId="5CCC99F3" w14:textId="77777777" w:rsidR="00081B7A" w:rsidRPr="00363097" w:rsidRDefault="00081B7A">
            <w:pPr>
              <w:jc w:val="center"/>
              <w:rPr>
                <w:noProof/>
              </w:rPr>
            </w:pPr>
            <w:r w:rsidRPr="00363097">
              <w:rPr>
                <w:noProof/>
                <w:sz w:val="22"/>
              </w:rPr>
              <w:t>Diff</w:t>
            </w:r>
          </w:p>
        </w:tc>
        <w:tc>
          <w:tcPr>
            <w:tcW w:w="956" w:type="dxa"/>
            <w:vAlign w:val="center"/>
          </w:tcPr>
          <w:p w14:paraId="303AE6E8" w14:textId="77777777" w:rsidR="00081B7A" w:rsidRPr="00363097" w:rsidRDefault="00081B7A">
            <w:pPr>
              <w:jc w:val="center"/>
              <w:rPr>
                <w:noProof/>
                <w:sz w:val="20"/>
                <w:szCs w:val="20"/>
              </w:rPr>
            </w:pPr>
            <w:r w:rsidRPr="00363097">
              <w:rPr>
                <w:noProof/>
                <w:sz w:val="20"/>
                <w:szCs w:val="20"/>
              </w:rPr>
              <w:t>NO</w:t>
            </w:r>
          </w:p>
        </w:tc>
        <w:tc>
          <w:tcPr>
            <w:tcW w:w="1080" w:type="dxa"/>
            <w:vAlign w:val="center"/>
          </w:tcPr>
          <w:p w14:paraId="5EB90DC6" w14:textId="77777777" w:rsidR="00081B7A" w:rsidRPr="00363097" w:rsidRDefault="00081B7A">
            <w:pPr>
              <w:jc w:val="center"/>
              <w:rPr>
                <w:noProof/>
                <w:sz w:val="20"/>
                <w:szCs w:val="20"/>
              </w:rPr>
            </w:pPr>
            <w:r w:rsidRPr="00363097">
              <w:rPr>
                <w:noProof/>
                <w:sz w:val="20"/>
                <w:szCs w:val="20"/>
              </w:rPr>
              <w:t>NO</w:t>
            </w:r>
          </w:p>
        </w:tc>
        <w:tc>
          <w:tcPr>
            <w:tcW w:w="956" w:type="dxa"/>
            <w:vAlign w:val="center"/>
          </w:tcPr>
          <w:p w14:paraId="7C52474F" w14:textId="77777777" w:rsidR="00081B7A" w:rsidRPr="00363097" w:rsidRDefault="00081B7A">
            <w:pPr>
              <w:jc w:val="center"/>
              <w:rPr>
                <w:noProof/>
                <w:sz w:val="20"/>
                <w:szCs w:val="20"/>
              </w:rPr>
            </w:pPr>
            <w:r w:rsidRPr="00363097">
              <w:rPr>
                <w:noProof/>
                <w:sz w:val="20"/>
                <w:szCs w:val="20"/>
              </w:rPr>
              <w:t>NO</w:t>
            </w:r>
          </w:p>
        </w:tc>
        <w:tc>
          <w:tcPr>
            <w:tcW w:w="1448" w:type="dxa"/>
            <w:vAlign w:val="center"/>
          </w:tcPr>
          <w:p w14:paraId="7B868E7E" w14:textId="77777777" w:rsidR="00081B7A" w:rsidRPr="00363097" w:rsidRDefault="00081B7A">
            <w:pPr>
              <w:jc w:val="center"/>
              <w:rPr>
                <w:noProof/>
                <w:sz w:val="20"/>
                <w:szCs w:val="20"/>
              </w:rPr>
            </w:pPr>
            <w:r w:rsidRPr="00363097">
              <w:rPr>
                <w:noProof/>
                <w:sz w:val="20"/>
                <w:szCs w:val="20"/>
              </w:rPr>
              <w:t>NO</w:t>
            </w:r>
          </w:p>
        </w:tc>
      </w:tr>
    </w:tbl>
    <w:p w14:paraId="752D14A3" w14:textId="77777777" w:rsidR="00081B7A" w:rsidRPr="00363097" w:rsidRDefault="00081B7A" w:rsidP="00081B7A">
      <w:pPr>
        <w:rPr>
          <w:noProof/>
        </w:rPr>
        <w:sectPr w:rsidR="00081B7A" w:rsidRPr="00363097" w:rsidSect="008D52AB">
          <w:pgSz w:w="11907" w:h="16840" w:code="1"/>
          <w:pgMar w:top="1134" w:right="1418" w:bottom="1134" w:left="1418" w:header="709" w:footer="709" w:gutter="0"/>
          <w:cols w:space="708"/>
          <w:docGrid w:linePitch="360"/>
        </w:sectPr>
      </w:pPr>
    </w:p>
    <w:p w14:paraId="5D7D988A" w14:textId="77777777" w:rsidR="00081B7A" w:rsidRPr="00363097" w:rsidRDefault="00081B7A" w:rsidP="00081B7A">
      <w:pPr>
        <w:pStyle w:val="ManualHeading2"/>
        <w:rPr>
          <w:bCs/>
          <w:noProof/>
          <w:szCs w:val="24"/>
        </w:rPr>
      </w:pPr>
      <w:bookmarkStart w:id="84" w:name="_Toc514938052"/>
      <w:bookmarkStart w:id="85" w:name="_Toc520485051"/>
      <w:r w:rsidRPr="00363097">
        <w:rPr>
          <w:noProof/>
        </w:rPr>
        <w:t>3.2.</w:t>
      </w:r>
      <w:r w:rsidRPr="00363097">
        <w:rPr>
          <w:noProof/>
        </w:rPr>
        <w:tab/>
        <w:t>Estimated financial impact of the proposal on appropriations</w:t>
      </w:r>
      <w:bookmarkEnd w:id="84"/>
      <w:bookmarkEnd w:id="85"/>
      <w:r w:rsidRPr="00363097">
        <w:rPr>
          <w:noProof/>
        </w:rPr>
        <w:t xml:space="preserve"> </w:t>
      </w:r>
    </w:p>
    <w:p w14:paraId="3651D28E" w14:textId="77777777" w:rsidR="00081B7A" w:rsidRPr="00363097" w:rsidRDefault="00081B7A" w:rsidP="00081B7A">
      <w:pPr>
        <w:pStyle w:val="ManualHeading3"/>
        <w:rPr>
          <w:noProof/>
        </w:rPr>
      </w:pPr>
      <w:bookmarkStart w:id="86" w:name="_Toc514938053"/>
      <w:bookmarkStart w:id="87" w:name="_Toc520485052"/>
      <w:r w:rsidRPr="00363097">
        <w:rPr>
          <w:noProof/>
        </w:rPr>
        <w:t>3.2.1.</w:t>
      </w:r>
      <w:r w:rsidRPr="00363097">
        <w:rPr>
          <w:noProof/>
        </w:rPr>
        <w:tab/>
        <w:t>Summary of estimated impact on operational appropriations</w:t>
      </w:r>
      <w:bookmarkEnd w:id="86"/>
      <w:bookmarkEnd w:id="87"/>
      <w:r w:rsidRPr="00363097">
        <w:rPr>
          <w:noProof/>
        </w:rPr>
        <w:t xml:space="preserve"> </w:t>
      </w:r>
    </w:p>
    <w:p w14:paraId="7C07650D"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 xml:space="preserve">The proposal/initiative does not require the use of operational appropriations </w:t>
      </w:r>
    </w:p>
    <w:p w14:paraId="42BCB143" w14:textId="77777777" w:rsidR="00081B7A" w:rsidRPr="00363097" w:rsidRDefault="00081B7A" w:rsidP="00A9571C">
      <w:pPr>
        <w:pStyle w:val="ListDash1"/>
        <w:numPr>
          <w:ilvl w:val="0"/>
          <w:numId w:val="68"/>
        </w:numPr>
        <w:tabs>
          <w:tab w:val="num" w:pos="283"/>
        </w:tabs>
        <w:ind w:left="283" w:hanging="283"/>
        <w:rPr>
          <w:noProof/>
        </w:rPr>
      </w:pPr>
      <w:r w:rsidRPr="00363097">
        <w:rPr>
          <w:rFonts w:ascii="Wingdings" w:eastAsia="Wingdings" w:hAnsi="Wingdings" w:cs="Wingdings"/>
          <w:noProof/>
        </w:rPr>
        <w:t></w:t>
      </w:r>
      <w:r w:rsidRPr="00363097">
        <w:rPr>
          <w:noProof/>
        </w:rPr>
        <w:tab/>
        <w:t>The proposal/initiative requires the use of operational appropriations, as explained below:</w:t>
      </w:r>
    </w:p>
    <w:p w14:paraId="5BE935D3" w14:textId="77777777" w:rsidR="00081B7A" w:rsidRPr="00363097" w:rsidRDefault="00081B7A" w:rsidP="00081B7A">
      <w:pPr>
        <w:jc w:val="right"/>
        <w:rPr>
          <w:noProof/>
          <w:sz w:val="18"/>
          <w:szCs w:val="18"/>
          <w:lang w:val="en-IE"/>
        </w:rPr>
      </w:pPr>
      <w:r w:rsidRPr="00363097">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63097" w:rsidRPr="00363097" w14:paraId="24332048" w14:textId="77777777">
        <w:trPr>
          <w:jc w:val="center"/>
        </w:trPr>
        <w:tc>
          <w:tcPr>
            <w:tcW w:w="4744" w:type="dxa"/>
            <w:shd w:val="thinDiagStripe" w:color="C0C0C0" w:fill="auto"/>
            <w:vAlign w:val="center"/>
          </w:tcPr>
          <w:p w14:paraId="1CC2BB5E" w14:textId="77777777" w:rsidR="00081B7A" w:rsidRPr="00363097" w:rsidRDefault="00081B7A">
            <w:pPr>
              <w:spacing w:before="60" w:after="60"/>
              <w:jc w:val="center"/>
              <w:rPr>
                <w:b/>
                <w:noProof/>
                <w:lang w:val="en-IE"/>
              </w:rPr>
            </w:pPr>
            <w:r w:rsidRPr="00363097">
              <w:rPr>
                <w:b/>
                <w:noProof/>
                <w:sz w:val="22"/>
                <w:lang w:val="en-IE"/>
              </w:rPr>
              <w:t xml:space="preserve">Heading of multiannual financial </w:t>
            </w:r>
            <w:r w:rsidRPr="00363097">
              <w:rPr>
                <w:noProof/>
                <w:sz w:val="22"/>
                <w:lang w:val="en-IE"/>
              </w:rPr>
              <w:br/>
            </w:r>
            <w:r w:rsidRPr="00363097">
              <w:rPr>
                <w:b/>
                <w:noProof/>
                <w:sz w:val="22"/>
                <w:lang w:val="en-IE"/>
              </w:rPr>
              <w:t xml:space="preserve">framework </w:t>
            </w:r>
          </w:p>
        </w:tc>
        <w:tc>
          <w:tcPr>
            <w:tcW w:w="1080" w:type="dxa"/>
            <w:vAlign w:val="center"/>
          </w:tcPr>
          <w:p w14:paraId="759AC536" w14:textId="77777777" w:rsidR="00081B7A" w:rsidRPr="00363097" w:rsidRDefault="00081B7A">
            <w:pPr>
              <w:spacing w:before="60" w:after="60"/>
              <w:jc w:val="center"/>
              <w:rPr>
                <w:noProof/>
              </w:rPr>
            </w:pPr>
            <w:r w:rsidRPr="00363097">
              <w:rPr>
                <w:noProof/>
                <w:sz w:val="22"/>
              </w:rPr>
              <w:t>Number 1</w:t>
            </w:r>
          </w:p>
        </w:tc>
        <w:tc>
          <w:tcPr>
            <w:tcW w:w="7817" w:type="dxa"/>
            <w:vAlign w:val="center"/>
          </w:tcPr>
          <w:p w14:paraId="4D8C8E12" w14:textId="77777777" w:rsidR="00081B7A" w:rsidRPr="00363097" w:rsidRDefault="00081B7A">
            <w:pPr>
              <w:spacing w:before="60" w:after="60"/>
              <w:rPr>
                <w:noProof/>
              </w:rPr>
            </w:pPr>
            <w:r w:rsidRPr="00363097" w:rsidDel="00CF2BFC">
              <w:rPr>
                <w:noProof/>
              </w:rPr>
              <w:t>Single Market</w:t>
            </w:r>
            <w:r w:rsidRPr="00363097">
              <w:rPr>
                <w:noProof/>
              </w:rPr>
              <w:t>, Innovation and Digital</w:t>
            </w:r>
          </w:p>
        </w:tc>
      </w:tr>
    </w:tbl>
    <w:p w14:paraId="586A3888" w14:textId="77777777" w:rsidR="00081B7A" w:rsidRPr="00363097" w:rsidRDefault="00081B7A" w:rsidP="00081B7A">
      <w:pPr>
        <w:rPr>
          <w:noProof/>
          <w:sz w:val="16"/>
        </w:rPr>
      </w:pPr>
    </w:p>
    <w:tbl>
      <w:tblPr>
        <w:tblW w:w="1425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5"/>
        <w:gridCol w:w="83"/>
        <w:gridCol w:w="1330"/>
        <w:gridCol w:w="110"/>
        <w:gridCol w:w="7"/>
        <w:gridCol w:w="527"/>
        <w:gridCol w:w="120"/>
        <w:gridCol w:w="734"/>
        <w:gridCol w:w="120"/>
        <w:gridCol w:w="14"/>
        <w:gridCol w:w="720"/>
        <w:gridCol w:w="120"/>
        <w:gridCol w:w="28"/>
        <w:gridCol w:w="706"/>
        <w:gridCol w:w="120"/>
        <w:gridCol w:w="42"/>
        <w:gridCol w:w="692"/>
        <w:gridCol w:w="121"/>
        <w:gridCol w:w="55"/>
        <w:gridCol w:w="431"/>
        <w:gridCol w:w="121"/>
        <w:gridCol w:w="316"/>
        <w:gridCol w:w="262"/>
        <w:gridCol w:w="121"/>
        <w:gridCol w:w="485"/>
        <w:gridCol w:w="93"/>
        <w:gridCol w:w="121"/>
        <w:gridCol w:w="577"/>
        <w:gridCol w:w="77"/>
        <w:gridCol w:w="44"/>
        <w:gridCol w:w="578"/>
        <w:gridCol w:w="120"/>
        <w:gridCol w:w="1035"/>
        <w:gridCol w:w="98"/>
        <w:gridCol w:w="154"/>
        <w:gridCol w:w="95"/>
      </w:tblGrid>
      <w:tr w:rsidR="00363097" w:rsidRPr="00363097" w14:paraId="2A683502" w14:textId="77777777" w:rsidTr="00812D70">
        <w:trPr>
          <w:gridAfter w:val="2"/>
          <w:wAfter w:w="247" w:type="dxa"/>
        </w:trPr>
        <w:tc>
          <w:tcPr>
            <w:tcW w:w="3877" w:type="dxa"/>
            <w:vAlign w:val="center"/>
          </w:tcPr>
          <w:p w14:paraId="7E079318" w14:textId="77777777" w:rsidR="00081B7A" w:rsidRPr="00363097" w:rsidRDefault="00081B7A">
            <w:pPr>
              <w:jc w:val="center"/>
              <w:rPr>
                <w:noProof/>
              </w:rPr>
            </w:pPr>
            <w:r w:rsidRPr="00363097">
              <w:rPr>
                <w:noProof/>
                <w:sz w:val="22"/>
              </w:rPr>
              <w:t>DG: TAXUD</w:t>
            </w:r>
          </w:p>
        </w:tc>
        <w:tc>
          <w:tcPr>
            <w:tcW w:w="1530" w:type="dxa"/>
            <w:gridSpan w:val="4"/>
          </w:tcPr>
          <w:p w14:paraId="03A2E9D2" w14:textId="77777777" w:rsidR="00081B7A" w:rsidRPr="00363097" w:rsidRDefault="00081B7A">
            <w:pPr>
              <w:rPr>
                <w:noProof/>
                <w:sz w:val="20"/>
              </w:rPr>
            </w:pPr>
          </w:p>
        </w:tc>
        <w:tc>
          <w:tcPr>
            <w:tcW w:w="527" w:type="dxa"/>
          </w:tcPr>
          <w:p w14:paraId="1BF0D88F" w14:textId="77777777" w:rsidR="00081B7A" w:rsidRPr="00363097" w:rsidRDefault="00081B7A">
            <w:pPr>
              <w:jc w:val="center"/>
              <w:rPr>
                <w:noProof/>
                <w:sz w:val="20"/>
              </w:rPr>
            </w:pPr>
          </w:p>
        </w:tc>
        <w:tc>
          <w:tcPr>
            <w:tcW w:w="854" w:type="dxa"/>
            <w:gridSpan w:val="2"/>
            <w:vAlign w:val="center"/>
          </w:tcPr>
          <w:p w14:paraId="01B0B36E" w14:textId="77777777" w:rsidR="00081B7A" w:rsidRPr="00363097" w:rsidRDefault="00081B7A">
            <w:pPr>
              <w:jc w:val="center"/>
              <w:rPr>
                <w:noProof/>
                <w:sz w:val="20"/>
              </w:rPr>
            </w:pPr>
            <w:r w:rsidRPr="00363097">
              <w:rPr>
                <w:noProof/>
                <w:sz w:val="20"/>
              </w:rPr>
              <w:t>2025</w:t>
            </w:r>
            <w:r w:rsidR="00E951AB" w:rsidRPr="00363097">
              <w:rPr>
                <w:rStyle w:val="FootnoteReference0"/>
                <w:noProof/>
                <w:sz w:val="20"/>
              </w:rPr>
              <w:footnoteReference w:id="43"/>
            </w:r>
          </w:p>
        </w:tc>
        <w:tc>
          <w:tcPr>
            <w:tcW w:w="854" w:type="dxa"/>
            <w:gridSpan w:val="3"/>
            <w:vAlign w:val="center"/>
          </w:tcPr>
          <w:p w14:paraId="72E02F64" w14:textId="77777777" w:rsidR="00081B7A" w:rsidRPr="00363097" w:rsidRDefault="00081B7A">
            <w:pPr>
              <w:jc w:val="center"/>
              <w:rPr>
                <w:noProof/>
                <w:sz w:val="20"/>
              </w:rPr>
            </w:pPr>
            <w:r w:rsidRPr="00363097">
              <w:rPr>
                <w:noProof/>
                <w:sz w:val="20"/>
              </w:rPr>
              <w:t>2026</w:t>
            </w:r>
          </w:p>
        </w:tc>
        <w:tc>
          <w:tcPr>
            <w:tcW w:w="854" w:type="dxa"/>
            <w:gridSpan w:val="3"/>
            <w:vAlign w:val="center"/>
          </w:tcPr>
          <w:p w14:paraId="1D870485" w14:textId="77777777" w:rsidR="00081B7A" w:rsidRPr="00363097" w:rsidRDefault="00081B7A">
            <w:pPr>
              <w:jc w:val="center"/>
              <w:rPr>
                <w:noProof/>
                <w:sz w:val="20"/>
              </w:rPr>
            </w:pPr>
            <w:r w:rsidRPr="00363097">
              <w:rPr>
                <w:noProof/>
                <w:sz w:val="20"/>
              </w:rPr>
              <w:t>2027</w:t>
            </w:r>
          </w:p>
        </w:tc>
        <w:tc>
          <w:tcPr>
            <w:tcW w:w="854" w:type="dxa"/>
            <w:gridSpan w:val="3"/>
            <w:vAlign w:val="center"/>
          </w:tcPr>
          <w:p w14:paraId="5FC5302A" w14:textId="77777777" w:rsidR="00081B7A" w:rsidRPr="00363097" w:rsidRDefault="00081B7A">
            <w:pPr>
              <w:jc w:val="center"/>
              <w:rPr>
                <w:noProof/>
                <w:sz w:val="20"/>
              </w:rPr>
            </w:pPr>
          </w:p>
        </w:tc>
        <w:tc>
          <w:tcPr>
            <w:tcW w:w="607" w:type="dxa"/>
            <w:gridSpan w:val="3"/>
          </w:tcPr>
          <w:p w14:paraId="2AD5B0E6" w14:textId="77777777" w:rsidR="00081B7A" w:rsidRPr="00363097" w:rsidRDefault="00081B7A">
            <w:pPr>
              <w:jc w:val="center"/>
              <w:rPr>
                <w:noProof/>
                <w:sz w:val="18"/>
                <w:lang w:val="en-IE"/>
              </w:rPr>
            </w:pPr>
          </w:p>
        </w:tc>
        <w:tc>
          <w:tcPr>
            <w:tcW w:w="699" w:type="dxa"/>
            <w:gridSpan w:val="3"/>
          </w:tcPr>
          <w:p w14:paraId="62F021C6" w14:textId="77777777" w:rsidR="00081B7A" w:rsidRPr="00363097" w:rsidRDefault="00081B7A">
            <w:pPr>
              <w:jc w:val="center"/>
              <w:rPr>
                <w:noProof/>
                <w:sz w:val="18"/>
                <w:lang w:val="en-IE"/>
              </w:rPr>
            </w:pPr>
          </w:p>
        </w:tc>
        <w:tc>
          <w:tcPr>
            <w:tcW w:w="2096" w:type="dxa"/>
            <w:gridSpan w:val="8"/>
            <w:vAlign w:val="center"/>
          </w:tcPr>
          <w:p w14:paraId="314C87F1" w14:textId="77777777" w:rsidR="00081B7A" w:rsidRPr="00363097" w:rsidRDefault="00081B7A">
            <w:pPr>
              <w:jc w:val="center"/>
              <w:rPr>
                <w:b/>
                <w:noProof/>
                <w:sz w:val="18"/>
                <w:lang w:val="en-IE"/>
              </w:rPr>
            </w:pPr>
          </w:p>
        </w:tc>
        <w:tc>
          <w:tcPr>
            <w:tcW w:w="1253" w:type="dxa"/>
            <w:gridSpan w:val="3"/>
            <w:vAlign w:val="center"/>
          </w:tcPr>
          <w:p w14:paraId="6007E850" w14:textId="77777777" w:rsidR="00081B7A" w:rsidRPr="00363097" w:rsidRDefault="00081B7A">
            <w:pPr>
              <w:jc w:val="center"/>
              <w:rPr>
                <w:b/>
                <w:noProof/>
                <w:sz w:val="20"/>
              </w:rPr>
            </w:pPr>
            <w:r w:rsidRPr="00363097">
              <w:rPr>
                <w:b/>
                <w:noProof/>
                <w:sz w:val="20"/>
              </w:rPr>
              <w:t>TOTAL</w:t>
            </w:r>
          </w:p>
        </w:tc>
      </w:tr>
      <w:tr w:rsidR="00363097" w:rsidRPr="00363097" w14:paraId="0B7FB627" w14:textId="77777777" w:rsidTr="00812D70">
        <w:trPr>
          <w:gridAfter w:val="2"/>
          <w:wAfter w:w="247" w:type="dxa"/>
          <w:trHeight w:val="213"/>
        </w:trPr>
        <w:tc>
          <w:tcPr>
            <w:tcW w:w="5934" w:type="dxa"/>
            <w:gridSpan w:val="6"/>
            <w:vAlign w:val="center"/>
          </w:tcPr>
          <w:p w14:paraId="7AC64F6F" w14:textId="77777777" w:rsidR="00081B7A" w:rsidRPr="00363097" w:rsidRDefault="00081B7A">
            <w:pPr>
              <w:spacing w:before="20" w:after="20"/>
              <w:rPr>
                <w:noProof/>
                <w:sz w:val="21"/>
              </w:rPr>
            </w:pPr>
            <w:r w:rsidRPr="00363097">
              <w:rPr>
                <w:rFonts w:ascii="Wingdings" w:eastAsia="Wingdings" w:hAnsi="Wingdings" w:cs="Wingdings"/>
                <w:noProof/>
                <w:sz w:val="21"/>
              </w:rPr>
              <w:t>□</w:t>
            </w:r>
            <w:r w:rsidRPr="00363097">
              <w:rPr>
                <w:noProof/>
                <w:sz w:val="21"/>
              </w:rPr>
              <w:t xml:space="preserve"> Operational appropriations </w:t>
            </w:r>
          </w:p>
        </w:tc>
        <w:tc>
          <w:tcPr>
            <w:tcW w:w="854" w:type="dxa"/>
            <w:gridSpan w:val="2"/>
            <w:vAlign w:val="center"/>
          </w:tcPr>
          <w:p w14:paraId="24E260FE" w14:textId="77777777" w:rsidR="00081B7A" w:rsidRPr="00363097" w:rsidRDefault="00081B7A">
            <w:pPr>
              <w:rPr>
                <w:noProof/>
                <w:sz w:val="20"/>
              </w:rPr>
            </w:pPr>
          </w:p>
        </w:tc>
        <w:tc>
          <w:tcPr>
            <w:tcW w:w="854" w:type="dxa"/>
            <w:gridSpan w:val="3"/>
            <w:vAlign w:val="center"/>
          </w:tcPr>
          <w:p w14:paraId="1BAFB9EE" w14:textId="77777777" w:rsidR="00081B7A" w:rsidRPr="00363097" w:rsidRDefault="00081B7A">
            <w:pPr>
              <w:rPr>
                <w:noProof/>
                <w:sz w:val="20"/>
              </w:rPr>
            </w:pPr>
          </w:p>
        </w:tc>
        <w:tc>
          <w:tcPr>
            <w:tcW w:w="854" w:type="dxa"/>
            <w:gridSpan w:val="3"/>
            <w:vAlign w:val="center"/>
          </w:tcPr>
          <w:p w14:paraId="3F7CA824" w14:textId="77777777" w:rsidR="00081B7A" w:rsidRPr="00363097" w:rsidRDefault="00081B7A">
            <w:pPr>
              <w:rPr>
                <w:noProof/>
                <w:sz w:val="20"/>
              </w:rPr>
            </w:pPr>
          </w:p>
        </w:tc>
        <w:tc>
          <w:tcPr>
            <w:tcW w:w="854" w:type="dxa"/>
            <w:gridSpan w:val="3"/>
            <w:vAlign w:val="center"/>
          </w:tcPr>
          <w:p w14:paraId="2C4B4E43" w14:textId="77777777" w:rsidR="00081B7A" w:rsidRPr="00363097" w:rsidRDefault="00081B7A">
            <w:pPr>
              <w:rPr>
                <w:noProof/>
                <w:sz w:val="20"/>
              </w:rPr>
            </w:pPr>
          </w:p>
        </w:tc>
        <w:tc>
          <w:tcPr>
            <w:tcW w:w="607" w:type="dxa"/>
            <w:gridSpan w:val="3"/>
          </w:tcPr>
          <w:p w14:paraId="60062A5E" w14:textId="77777777" w:rsidR="00081B7A" w:rsidRPr="00363097" w:rsidRDefault="00081B7A">
            <w:pPr>
              <w:rPr>
                <w:noProof/>
                <w:sz w:val="20"/>
              </w:rPr>
            </w:pPr>
          </w:p>
        </w:tc>
        <w:tc>
          <w:tcPr>
            <w:tcW w:w="699" w:type="dxa"/>
            <w:gridSpan w:val="3"/>
          </w:tcPr>
          <w:p w14:paraId="679443AB" w14:textId="77777777" w:rsidR="00081B7A" w:rsidRPr="00363097" w:rsidRDefault="00081B7A">
            <w:pPr>
              <w:rPr>
                <w:noProof/>
                <w:sz w:val="20"/>
              </w:rPr>
            </w:pPr>
          </w:p>
        </w:tc>
        <w:tc>
          <w:tcPr>
            <w:tcW w:w="699" w:type="dxa"/>
            <w:gridSpan w:val="3"/>
            <w:vAlign w:val="center"/>
          </w:tcPr>
          <w:p w14:paraId="3DF4EA10" w14:textId="77777777" w:rsidR="00081B7A" w:rsidRPr="00363097" w:rsidRDefault="00081B7A">
            <w:pPr>
              <w:rPr>
                <w:noProof/>
                <w:sz w:val="20"/>
              </w:rPr>
            </w:pPr>
          </w:p>
        </w:tc>
        <w:tc>
          <w:tcPr>
            <w:tcW w:w="698" w:type="dxa"/>
            <w:gridSpan w:val="2"/>
            <w:vAlign w:val="center"/>
          </w:tcPr>
          <w:p w14:paraId="77C433B6" w14:textId="77777777" w:rsidR="00081B7A" w:rsidRPr="00363097" w:rsidRDefault="00081B7A">
            <w:pPr>
              <w:rPr>
                <w:noProof/>
                <w:sz w:val="20"/>
              </w:rPr>
            </w:pPr>
          </w:p>
        </w:tc>
        <w:tc>
          <w:tcPr>
            <w:tcW w:w="699" w:type="dxa"/>
            <w:gridSpan w:val="3"/>
            <w:vAlign w:val="center"/>
          </w:tcPr>
          <w:p w14:paraId="3D00CD65" w14:textId="77777777" w:rsidR="00081B7A" w:rsidRPr="00363097" w:rsidRDefault="00081B7A">
            <w:pPr>
              <w:rPr>
                <w:b/>
                <w:noProof/>
                <w:sz w:val="20"/>
              </w:rPr>
            </w:pPr>
          </w:p>
        </w:tc>
        <w:tc>
          <w:tcPr>
            <w:tcW w:w="1253" w:type="dxa"/>
            <w:gridSpan w:val="3"/>
            <w:vAlign w:val="center"/>
          </w:tcPr>
          <w:p w14:paraId="62D47454" w14:textId="77777777" w:rsidR="00081B7A" w:rsidRPr="00363097" w:rsidRDefault="00081B7A">
            <w:pPr>
              <w:rPr>
                <w:b/>
                <w:noProof/>
                <w:sz w:val="20"/>
              </w:rPr>
            </w:pPr>
          </w:p>
        </w:tc>
      </w:tr>
      <w:tr w:rsidR="00363097" w:rsidRPr="00363097" w14:paraId="1221C440" w14:textId="77777777" w:rsidTr="00812D70">
        <w:trPr>
          <w:trHeight w:val="277"/>
        </w:trPr>
        <w:tc>
          <w:tcPr>
            <w:tcW w:w="3877" w:type="dxa"/>
            <w:vAlign w:val="center"/>
          </w:tcPr>
          <w:p w14:paraId="3D7B9E68" w14:textId="77777777" w:rsidR="00081B7A" w:rsidRPr="00363097" w:rsidRDefault="000C5314">
            <w:pPr>
              <w:rPr>
                <w:noProof/>
              </w:rPr>
            </w:pPr>
            <w:r w:rsidRPr="00363097">
              <w:rPr>
                <w:noProof/>
              </w:rPr>
              <w:t>03 04 01 Cooperation in the field of taxation (Fiscalis)</w:t>
            </w:r>
          </w:p>
        </w:tc>
        <w:tc>
          <w:tcPr>
            <w:tcW w:w="1530" w:type="dxa"/>
            <w:gridSpan w:val="4"/>
            <w:vAlign w:val="center"/>
          </w:tcPr>
          <w:p w14:paraId="4A78C403" w14:textId="77777777" w:rsidR="00081B7A" w:rsidRPr="00363097" w:rsidRDefault="00081B7A">
            <w:pPr>
              <w:spacing w:before="20" w:after="20"/>
              <w:rPr>
                <w:noProof/>
                <w:sz w:val="18"/>
              </w:rPr>
            </w:pPr>
            <w:r w:rsidRPr="00363097">
              <w:rPr>
                <w:noProof/>
                <w:sz w:val="18"/>
              </w:rPr>
              <w:t>Commitments</w:t>
            </w:r>
          </w:p>
        </w:tc>
        <w:tc>
          <w:tcPr>
            <w:tcW w:w="645" w:type="dxa"/>
            <w:gridSpan w:val="2"/>
            <w:vAlign w:val="center"/>
          </w:tcPr>
          <w:p w14:paraId="160484D4" w14:textId="77777777" w:rsidR="00081B7A" w:rsidRPr="00363097" w:rsidRDefault="00081B7A">
            <w:pPr>
              <w:spacing w:before="20" w:after="20"/>
              <w:jc w:val="center"/>
              <w:rPr>
                <w:noProof/>
                <w:sz w:val="14"/>
              </w:rPr>
            </w:pPr>
            <w:r w:rsidRPr="00363097">
              <w:rPr>
                <w:noProof/>
                <w:sz w:val="14"/>
              </w:rPr>
              <w:t>(1a)</w:t>
            </w:r>
          </w:p>
        </w:tc>
        <w:tc>
          <w:tcPr>
            <w:tcW w:w="854" w:type="dxa"/>
            <w:gridSpan w:val="2"/>
            <w:vAlign w:val="center"/>
          </w:tcPr>
          <w:p w14:paraId="46687568" w14:textId="77777777" w:rsidR="00081B7A" w:rsidRPr="00363097" w:rsidRDefault="00081B7A">
            <w:pPr>
              <w:spacing w:before="20" w:after="20"/>
              <w:jc w:val="right"/>
              <w:rPr>
                <w:noProof/>
                <w:sz w:val="20"/>
              </w:rPr>
            </w:pPr>
          </w:p>
        </w:tc>
        <w:tc>
          <w:tcPr>
            <w:tcW w:w="854" w:type="dxa"/>
            <w:gridSpan w:val="3"/>
            <w:vAlign w:val="center"/>
          </w:tcPr>
          <w:p w14:paraId="306D000F" w14:textId="602D3A89" w:rsidR="00081B7A" w:rsidRPr="00363097" w:rsidRDefault="00081B7A">
            <w:pPr>
              <w:spacing w:before="20" w:after="20"/>
              <w:jc w:val="right"/>
              <w:rPr>
                <w:noProof/>
                <w:sz w:val="20"/>
              </w:rPr>
            </w:pPr>
            <w:r w:rsidRPr="00363097">
              <w:rPr>
                <w:noProof/>
                <w:sz w:val="20"/>
              </w:rPr>
              <w:t>0</w:t>
            </w:r>
            <w:r w:rsidR="00D6158F">
              <w:rPr>
                <w:noProof/>
                <w:sz w:val="20"/>
              </w:rPr>
              <w:t>,</w:t>
            </w:r>
            <w:r w:rsidRPr="00363097">
              <w:rPr>
                <w:noProof/>
                <w:sz w:val="20"/>
              </w:rPr>
              <w:t>6</w:t>
            </w:r>
          </w:p>
        </w:tc>
        <w:tc>
          <w:tcPr>
            <w:tcW w:w="854" w:type="dxa"/>
            <w:gridSpan w:val="3"/>
            <w:vAlign w:val="center"/>
          </w:tcPr>
          <w:p w14:paraId="60A7FACA" w14:textId="422B806C" w:rsidR="00081B7A" w:rsidRPr="00363097" w:rsidRDefault="00081B7A">
            <w:pPr>
              <w:spacing w:before="20" w:after="20"/>
              <w:jc w:val="right"/>
              <w:rPr>
                <w:noProof/>
                <w:sz w:val="20"/>
              </w:rPr>
            </w:pPr>
            <w:r w:rsidRPr="00363097">
              <w:rPr>
                <w:noProof/>
                <w:sz w:val="20"/>
              </w:rPr>
              <w:t>0</w:t>
            </w:r>
            <w:r w:rsidR="00D6158F">
              <w:rPr>
                <w:noProof/>
                <w:sz w:val="20"/>
              </w:rPr>
              <w:t>,</w:t>
            </w:r>
            <w:r w:rsidRPr="00363097">
              <w:rPr>
                <w:noProof/>
                <w:sz w:val="20"/>
              </w:rPr>
              <w:t>6</w:t>
            </w:r>
          </w:p>
        </w:tc>
        <w:tc>
          <w:tcPr>
            <w:tcW w:w="855" w:type="dxa"/>
            <w:gridSpan w:val="3"/>
            <w:vAlign w:val="center"/>
          </w:tcPr>
          <w:p w14:paraId="274D1231" w14:textId="77777777" w:rsidR="00081B7A" w:rsidRPr="00363097" w:rsidRDefault="00081B7A">
            <w:pPr>
              <w:spacing w:before="20" w:after="20"/>
              <w:jc w:val="right"/>
              <w:rPr>
                <w:noProof/>
                <w:sz w:val="20"/>
              </w:rPr>
            </w:pPr>
          </w:p>
        </w:tc>
        <w:tc>
          <w:tcPr>
            <w:tcW w:w="607" w:type="dxa"/>
            <w:gridSpan w:val="3"/>
          </w:tcPr>
          <w:p w14:paraId="52BFB07A" w14:textId="77777777" w:rsidR="00081B7A" w:rsidRPr="00363097" w:rsidRDefault="00081B7A">
            <w:pPr>
              <w:spacing w:before="20" w:after="20"/>
              <w:jc w:val="right"/>
              <w:rPr>
                <w:noProof/>
                <w:sz w:val="20"/>
              </w:rPr>
            </w:pPr>
          </w:p>
        </w:tc>
        <w:tc>
          <w:tcPr>
            <w:tcW w:w="699" w:type="dxa"/>
            <w:gridSpan w:val="3"/>
          </w:tcPr>
          <w:p w14:paraId="1EE20786" w14:textId="77777777" w:rsidR="00081B7A" w:rsidRPr="00363097" w:rsidRDefault="00081B7A">
            <w:pPr>
              <w:spacing w:before="20" w:after="20"/>
              <w:jc w:val="right"/>
              <w:rPr>
                <w:noProof/>
                <w:sz w:val="20"/>
              </w:rPr>
            </w:pPr>
          </w:p>
        </w:tc>
        <w:tc>
          <w:tcPr>
            <w:tcW w:w="699" w:type="dxa"/>
            <w:gridSpan w:val="3"/>
            <w:vAlign w:val="center"/>
          </w:tcPr>
          <w:p w14:paraId="604752EE" w14:textId="77777777" w:rsidR="00081B7A" w:rsidRPr="00363097" w:rsidRDefault="00081B7A">
            <w:pPr>
              <w:spacing w:before="20" w:after="20"/>
              <w:jc w:val="right"/>
              <w:rPr>
                <w:noProof/>
                <w:sz w:val="20"/>
              </w:rPr>
            </w:pPr>
            <w:r w:rsidRPr="00363097">
              <w:rPr>
                <w:noProof/>
                <w:sz w:val="20"/>
              </w:rPr>
              <w:t>.</w:t>
            </w:r>
          </w:p>
        </w:tc>
        <w:tc>
          <w:tcPr>
            <w:tcW w:w="698" w:type="dxa"/>
            <w:gridSpan w:val="3"/>
            <w:vAlign w:val="center"/>
          </w:tcPr>
          <w:p w14:paraId="2B455798" w14:textId="77777777" w:rsidR="00081B7A" w:rsidRPr="00363097" w:rsidRDefault="00081B7A">
            <w:pPr>
              <w:spacing w:before="20" w:after="20"/>
              <w:jc w:val="right"/>
              <w:rPr>
                <w:noProof/>
                <w:sz w:val="20"/>
              </w:rPr>
            </w:pPr>
            <w:r w:rsidRPr="00363097">
              <w:rPr>
                <w:noProof/>
                <w:sz w:val="20"/>
              </w:rPr>
              <w:t>.</w:t>
            </w:r>
          </w:p>
        </w:tc>
        <w:tc>
          <w:tcPr>
            <w:tcW w:w="698" w:type="dxa"/>
            <w:gridSpan w:val="2"/>
            <w:vAlign w:val="center"/>
          </w:tcPr>
          <w:p w14:paraId="1E3E219C" w14:textId="77777777" w:rsidR="00081B7A" w:rsidRPr="00363097" w:rsidRDefault="00081B7A">
            <w:pPr>
              <w:spacing w:before="20" w:after="20"/>
              <w:jc w:val="right"/>
              <w:rPr>
                <w:b/>
                <w:noProof/>
                <w:sz w:val="20"/>
              </w:rPr>
            </w:pPr>
            <w:r w:rsidRPr="00363097">
              <w:rPr>
                <w:noProof/>
                <w:sz w:val="20"/>
              </w:rPr>
              <w:t>.</w:t>
            </w:r>
          </w:p>
        </w:tc>
        <w:tc>
          <w:tcPr>
            <w:tcW w:w="1382" w:type="dxa"/>
            <w:gridSpan w:val="4"/>
            <w:vAlign w:val="center"/>
          </w:tcPr>
          <w:p w14:paraId="509C2AC6" w14:textId="77777777" w:rsidR="00081B7A" w:rsidRPr="00363097" w:rsidRDefault="00081B7A">
            <w:pPr>
              <w:spacing w:before="20" w:after="20"/>
              <w:jc w:val="right"/>
              <w:rPr>
                <w:b/>
                <w:noProof/>
                <w:sz w:val="20"/>
              </w:rPr>
            </w:pPr>
          </w:p>
        </w:tc>
      </w:tr>
      <w:tr w:rsidR="00363097" w:rsidRPr="00363097" w14:paraId="6211A87A" w14:textId="77777777" w:rsidTr="00812D70">
        <w:trPr>
          <w:gridAfter w:val="2"/>
          <w:wAfter w:w="247" w:type="dxa"/>
        </w:trPr>
        <w:tc>
          <w:tcPr>
            <w:tcW w:w="3877" w:type="dxa"/>
          </w:tcPr>
          <w:p w14:paraId="34728851" w14:textId="77777777" w:rsidR="00081B7A" w:rsidRPr="00363097" w:rsidRDefault="00081B7A">
            <w:pPr>
              <w:jc w:val="center"/>
              <w:rPr>
                <w:noProof/>
                <w:sz w:val="20"/>
              </w:rPr>
            </w:pPr>
          </w:p>
        </w:tc>
        <w:tc>
          <w:tcPr>
            <w:tcW w:w="1413" w:type="dxa"/>
            <w:gridSpan w:val="2"/>
            <w:vAlign w:val="center"/>
          </w:tcPr>
          <w:p w14:paraId="28E466B1" w14:textId="77777777" w:rsidR="00081B7A" w:rsidRPr="00363097" w:rsidRDefault="00081B7A">
            <w:pPr>
              <w:spacing w:before="20" w:after="20"/>
              <w:rPr>
                <w:noProof/>
                <w:sz w:val="18"/>
              </w:rPr>
            </w:pPr>
            <w:r w:rsidRPr="00363097">
              <w:rPr>
                <w:noProof/>
                <w:sz w:val="18"/>
              </w:rPr>
              <w:t>Payments</w:t>
            </w:r>
          </w:p>
        </w:tc>
        <w:tc>
          <w:tcPr>
            <w:tcW w:w="644" w:type="dxa"/>
            <w:gridSpan w:val="3"/>
            <w:vAlign w:val="center"/>
          </w:tcPr>
          <w:p w14:paraId="5D4450EB" w14:textId="77777777" w:rsidR="00081B7A" w:rsidRPr="00363097" w:rsidRDefault="00081B7A">
            <w:pPr>
              <w:spacing w:before="20" w:after="20"/>
              <w:jc w:val="center"/>
              <w:rPr>
                <w:noProof/>
                <w:sz w:val="14"/>
              </w:rPr>
            </w:pPr>
            <w:r w:rsidRPr="00363097">
              <w:rPr>
                <w:noProof/>
                <w:sz w:val="14"/>
              </w:rPr>
              <w:t>(2a)</w:t>
            </w:r>
          </w:p>
        </w:tc>
        <w:tc>
          <w:tcPr>
            <w:tcW w:w="854" w:type="dxa"/>
            <w:gridSpan w:val="2"/>
            <w:vAlign w:val="center"/>
          </w:tcPr>
          <w:p w14:paraId="20E11F30" w14:textId="19EA833B" w:rsidR="00081B7A" w:rsidRPr="00363097" w:rsidRDefault="00081B7A">
            <w:pPr>
              <w:spacing w:before="20" w:after="20"/>
              <w:jc w:val="right"/>
              <w:rPr>
                <w:noProof/>
                <w:sz w:val="20"/>
              </w:rPr>
            </w:pPr>
            <w:r w:rsidRPr="00363097">
              <w:rPr>
                <w:noProof/>
                <w:sz w:val="20"/>
              </w:rPr>
              <w:t>0</w:t>
            </w:r>
            <w:r w:rsidR="00D6158F">
              <w:rPr>
                <w:noProof/>
                <w:sz w:val="20"/>
              </w:rPr>
              <w:t>,</w:t>
            </w:r>
            <w:r w:rsidRPr="00363097">
              <w:rPr>
                <w:noProof/>
                <w:sz w:val="20"/>
              </w:rPr>
              <w:t>3</w:t>
            </w:r>
          </w:p>
        </w:tc>
        <w:tc>
          <w:tcPr>
            <w:tcW w:w="854" w:type="dxa"/>
            <w:gridSpan w:val="3"/>
            <w:vAlign w:val="center"/>
          </w:tcPr>
          <w:p w14:paraId="777649C7" w14:textId="77777777" w:rsidR="00081B7A" w:rsidRPr="00363097" w:rsidRDefault="00081B7A">
            <w:pPr>
              <w:spacing w:before="20" w:after="20"/>
              <w:jc w:val="right"/>
              <w:rPr>
                <w:noProof/>
                <w:sz w:val="20"/>
              </w:rPr>
            </w:pPr>
          </w:p>
        </w:tc>
        <w:tc>
          <w:tcPr>
            <w:tcW w:w="854" w:type="dxa"/>
            <w:gridSpan w:val="3"/>
            <w:vAlign w:val="center"/>
          </w:tcPr>
          <w:p w14:paraId="0FF9533A" w14:textId="77777777" w:rsidR="00081B7A" w:rsidRPr="00363097" w:rsidRDefault="00081B7A">
            <w:pPr>
              <w:spacing w:before="20" w:after="20"/>
              <w:jc w:val="right"/>
              <w:rPr>
                <w:noProof/>
                <w:sz w:val="20"/>
              </w:rPr>
            </w:pPr>
          </w:p>
        </w:tc>
        <w:tc>
          <w:tcPr>
            <w:tcW w:w="854" w:type="dxa"/>
            <w:gridSpan w:val="3"/>
            <w:vAlign w:val="center"/>
          </w:tcPr>
          <w:p w14:paraId="6AFA9C54" w14:textId="77777777" w:rsidR="00081B7A" w:rsidRPr="00363097" w:rsidRDefault="00081B7A">
            <w:pPr>
              <w:spacing w:before="20" w:after="20"/>
              <w:jc w:val="right"/>
              <w:rPr>
                <w:noProof/>
                <w:sz w:val="20"/>
              </w:rPr>
            </w:pPr>
          </w:p>
        </w:tc>
        <w:tc>
          <w:tcPr>
            <w:tcW w:w="607" w:type="dxa"/>
            <w:gridSpan w:val="3"/>
          </w:tcPr>
          <w:p w14:paraId="2B4C2E90" w14:textId="77777777" w:rsidR="00081B7A" w:rsidRPr="00363097" w:rsidRDefault="00081B7A">
            <w:pPr>
              <w:spacing w:before="20" w:after="20"/>
              <w:jc w:val="right"/>
              <w:rPr>
                <w:noProof/>
                <w:sz w:val="20"/>
              </w:rPr>
            </w:pPr>
          </w:p>
        </w:tc>
        <w:tc>
          <w:tcPr>
            <w:tcW w:w="699" w:type="dxa"/>
            <w:gridSpan w:val="3"/>
          </w:tcPr>
          <w:p w14:paraId="24A32175" w14:textId="77777777" w:rsidR="00081B7A" w:rsidRPr="00363097" w:rsidRDefault="00081B7A">
            <w:pPr>
              <w:spacing w:before="20" w:after="20"/>
              <w:jc w:val="right"/>
              <w:rPr>
                <w:noProof/>
                <w:sz w:val="20"/>
              </w:rPr>
            </w:pPr>
          </w:p>
        </w:tc>
        <w:tc>
          <w:tcPr>
            <w:tcW w:w="699" w:type="dxa"/>
            <w:gridSpan w:val="3"/>
            <w:vAlign w:val="center"/>
          </w:tcPr>
          <w:p w14:paraId="2147427F" w14:textId="77777777" w:rsidR="00081B7A" w:rsidRPr="00363097" w:rsidRDefault="00081B7A">
            <w:pPr>
              <w:spacing w:before="20" w:after="20"/>
              <w:jc w:val="right"/>
              <w:rPr>
                <w:noProof/>
                <w:sz w:val="20"/>
              </w:rPr>
            </w:pPr>
          </w:p>
        </w:tc>
        <w:tc>
          <w:tcPr>
            <w:tcW w:w="698" w:type="dxa"/>
            <w:gridSpan w:val="2"/>
            <w:vAlign w:val="center"/>
          </w:tcPr>
          <w:p w14:paraId="45CED66E" w14:textId="77777777" w:rsidR="00081B7A" w:rsidRPr="00363097" w:rsidRDefault="00081B7A">
            <w:pPr>
              <w:spacing w:before="20" w:after="20"/>
              <w:jc w:val="right"/>
              <w:rPr>
                <w:noProof/>
                <w:sz w:val="20"/>
              </w:rPr>
            </w:pPr>
          </w:p>
        </w:tc>
        <w:tc>
          <w:tcPr>
            <w:tcW w:w="699" w:type="dxa"/>
            <w:gridSpan w:val="3"/>
            <w:vAlign w:val="center"/>
          </w:tcPr>
          <w:p w14:paraId="2B052110" w14:textId="77777777" w:rsidR="00081B7A" w:rsidRPr="00363097" w:rsidRDefault="00081B7A">
            <w:pPr>
              <w:spacing w:before="20" w:after="20"/>
              <w:jc w:val="right"/>
              <w:rPr>
                <w:b/>
                <w:noProof/>
                <w:sz w:val="20"/>
              </w:rPr>
            </w:pPr>
          </w:p>
        </w:tc>
        <w:tc>
          <w:tcPr>
            <w:tcW w:w="1253" w:type="dxa"/>
            <w:gridSpan w:val="3"/>
            <w:vAlign w:val="center"/>
          </w:tcPr>
          <w:p w14:paraId="7ED23A40" w14:textId="77777777" w:rsidR="00081B7A" w:rsidRPr="00363097" w:rsidRDefault="00081B7A">
            <w:pPr>
              <w:spacing w:before="20" w:after="20"/>
              <w:jc w:val="right"/>
              <w:rPr>
                <w:b/>
                <w:noProof/>
                <w:sz w:val="20"/>
              </w:rPr>
            </w:pPr>
          </w:p>
        </w:tc>
      </w:tr>
      <w:tr w:rsidR="00363097" w:rsidRPr="00363097" w14:paraId="019EBFFB" w14:textId="77777777" w:rsidTr="00812D70">
        <w:trPr>
          <w:gridAfter w:val="2"/>
          <w:wAfter w:w="247" w:type="dxa"/>
        </w:trPr>
        <w:tc>
          <w:tcPr>
            <w:tcW w:w="3877" w:type="dxa"/>
            <w:vMerge w:val="restart"/>
            <w:vAlign w:val="center"/>
          </w:tcPr>
          <w:p w14:paraId="5A793AA4" w14:textId="77777777" w:rsidR="00081B7A" w:rsidRPr="00363097" w:rsidRDefault="00081B7A">
            <w:pPr>
              <w:rPr>
                <w:noProof/>
              </w:rPr>
            </w:pPr>
          </w:p>
        </w:tc>
        <w:tc>
          <w:tcPr>
            <w:tcW w:w="1413" w:type="dxa"/>
            <w:gridSpan w:val="2"/>
            <w:vAlign w:val="center"/>
          </w:tcPr>
          <w:p w14:paraId="77CB9C1D" w14:textId="77777777" w:rsidR="00081B7A" w:rsidRPr="00363097" w:rsidRDefault="00081B7A">
            <w:pPr>
              <w:spacing w:before="20" w:after="20"/>
              <w:rPr>
                <w:noProof/>
                <w:sz w:val="18"/>
              </w:rPr>
            </w:pPr>
          </w:p>
        </w:tc>
        <w:tc>
          <w:tcPr>
            <w:tcW w:w="644" w:type="dxa"/>
            <w:gridSpan w:val="3"/>
            <w:vAlign w:val="center"/>
          </w:tcPr>
          <w:p w14:paraId="5930EC03" w14:textId="77777777" w:rsidR="00081B7A" w:rsidRPr="00363097" w:rsidRDefault="00081B7A">
            <w:pPr>
              <w:spacing w:before="20" w:after="20"/>
              <w:jc w:val="center"/>
              <w:rPr>
                <w:noProof/>
                <w:sz w:val="14"/>
              </w:rPr>
            </w:pPr>
          </w:p>
        </w:tc>
        <w:tc>
          <w:tcPr>
            <w:tcW w:w="854" w:type="dxa"/>
            <w:gridSpan w:val="2"/>
            <w:vAlign w:val="center"/>
          </w:tcPr>
          <w:p w14:paraId="44DB0316" w14:textId="77777777" w:rsidR="00081B7A" w:rsidRPr="00363097" w:rsidRDefault="00081B7A">
            <w:pPr>
              <w:spacing w:before="20" w:after="20"/>
              <w:jc w:val="right"/>
              <w:rPr>
                <w:noProof/>
                <w:sz w:val="20"/>
              </w:rPr>
            </w:pPr>
          </w:p>
        </w:tc>
        <w:tc>
          <w:tcPr>
            <w:tcW w:w="854" w:type="dxa"/>
            <w:gridSpan w:val="3"/>
            <w:vAlign w:val="center"/>
          </w:tcPr>
          <w:p w14:paraId="21122E39" w14:textId="77777777" w:rsidR="00081B7A" w:rsidRPr="00363097" w:rsidRDefault="00081B7A">
            <w:pPr>
              <w:spacing w:before="20" w:after="20"/>
              <w:jc w:val="right"/>
              <w:rPr>
                <w:noProof/>
                <w:sz w:val="20"/>
              </w:rPr>
            </w:pPr>
          </w:p>
        </w:tc>
        <w:tc>
          <w:tcPr>
            <w:tcW w:w="854" w:type="dxa"/>
            <w:gridSpan w:val="3"/>
            <w:vAlign w:val="center"/>
          </w:tcPr>
          <w:p w14:paraId="51840245" w14:textId="77777777" w:rsidR="00081B7A" w:rsidRPr="00363097" w:rsidRDefault="00081B7A">
            <w:pPr>
              <w:spacing w:before="20" w:after="20"/>
              <w:jc w:val="right"/>
              <w:rPr>
                <w:noProof/>
                <w:sz w:val="20"/>
              </w:rPr>
            </w:pPr>
          </w:p>
        </w:tc>
        <w:tc>
          <w:tcPr>
            <w:tcW w:w="854" w:type="dxa"/>
            <w:gridSpan w:val="3"/>
            <w:vAlign w:val="center"/>
          </w:tcPr>
          <w:p w14:paraId="5057E86F" w14:textId="77777777" w:rsidR="00081B7A" w:rsidRPr="00363097" w:rsidRDefault="00081B7A">
            <w:pPr>
              <w:spacing w:before="20" w:after="20"/>
              <w:jc w:val="right"/>
              <w:rPr>
                <w:noProof/>
                <w:sz w:val="20"/>
              </w:rPr>
            </w:pPr>
          </w:p>
        </w:tc>
        <w:tc>
          <w:tcPr>
            <w:tcW w:w="607" w:type="dxa"/>
            <w:gridSpan w:val="3"/>
          </w:tcPr>
          <w:p w14:paraId="577CBC38" w14:textId="77777777" w:rsidR="00081B7A" w:rsidRPr="00363097" w:rsidRDefault="00081B7A">
            <w:pPr>
              <w:spacing w:before="20" w:after="20"/>
              <w:jc w:val="right"/>
              <w:rPr>
                <w:noProof/>
                <w:sz w:val="20"/>
              </w:rPr>
            </w:pPr>
          </w:p>
        </w:tc>
        <w:tc>
          <w:tcPr>
            <w:tcW w:w="699" w:type="dxa"/>
            <w:gridSpan w:val="3"/>
          </w:tcPr>
          <w:p w14:paraId="674D9EA3" w14:textId="77777777" w:rsidR="00081B7A" w:rsidRPr="00363097" w:rsidRDefault="00081B7A">
            <w:pPr>
              <w:spacing w:before="20" w:after="20"/>
              <w:jc w:val="right"/>
              <w:rPr>
                <w:noProof/>
                <w:sz w:val="20"/>
              </w:rPr>
            </w:pPr>
          </w:p>
        </w:tc>
        <w:tc>
          <w:tcPr>
            <w:tcW w:w="699" w:type="dxa"/>
            <w:gridSpan w:val="3"/>
            <w:vAlign w:val="center"/>
          </w:tcPr>
          <w:p w14:paraId="27CBBB71" w14:textId="77777777" w:rsidR="00081B7A" w:rsidRPr="00363097" w:rsidRDefault="00081B7A">
            <w:pPr>
              <w:spacing w:before="20" w:after="20"/>
              <w:jc w:val="right"/>
              <w:rPr>
                <w:noProof/>
                <w:sz w:val="20"/>
              </w:rPr>
            </w:pPr>
          </w:p>
        </w:tc>
        <w:tc>
          <w:tcPr>
            <w:tcW w:w="698" w:type="dxa"/>
            <w:gridSpan w:val="2"/>
            <w:vAlign w:val="center"/>
          </w:tcPr>
          <w:p w14:paraId="4DE2AAED" w14:textId="77777777" w:rsidR="00081B7A" w:rsidRPr="00363097" w:rsidRDefault="00081B7A">
            <w:pPr>
              <w:spacing w:before="20" w:after="20"/>
              <w:jc w:val="right"/>
              <w:rPr>
                <w:noProof/>
                <w:sz w:val="20"/>
              </w:rPr>
            </w:pPr>
          </w:p>
        </w:tc>
        <w:tc>
          <w:tcPr>
            <w:tcW w:w="699" w:type="dxa"/>
            <w:gridSpan w:val="3"/>
            <w:vAlign w:val="center"/>
          </w:tcPr>
          <w:p w14:paraId="0BC42DE0" w14:textId="77777777" w:rsidR="00081B7A" w:rsidRPr="00363097" w:rsidRDefault="00081B7A">
            <w:pPr>
              <w:spacing w:before="20" w:after="20"/>
              <w:jc w:val="right"/>
              <w:rPr>
                <w:b/>
                <w:noProof/>
                <w:sz w:val="20"/>
              </w:rPr>
            </w:pPr>
          </w:p>
        </w:tc>
        <w:tc>
          <w:tcPr>
            <w:tcW w:w="1253" w:type="dxa"/>
            <w:gridSpan w:val="3"/>
            <w:vAlign w:val="center"/>
          </w:tcPr>
          <w:p w14:paraId="0020B3CF" w14:textId="77777777" w:rsidR="00081B7A" w:rsidRPr="00363097" w:rsidRDefault="00081B7A">
            <w:pPr>
              <w:spacing w:before="20" w:after="20"/>
              <w:jc w:val="right"/>
              <w:rPr>
                <w:b/>
                <w:noProof/>
                <w:sz w:val="20"/>
              </w:rPr>
            </w:pPr>
          </w:p>
        </w:tc>
      </w:tr>
      <w:tr w:rsidR="00363097" w:rsidRPr="00363097" w14:paraId="17FF02C5" w14:textId="77777777" w:rsidTr="00812D70">
        <w:trPr>
          <w:gridAfter w:val="2"/>
          <w:wAfter w:w="247" w:type="dxa"/>
        </w:trPr>
        <w:tc>
          <w:tcPr>
            <w:tcW w:w="3877" w:type="dxa"/>
            <w:vMerge/>
          </w:tcPr>
          <w:p w14:paraId="4237A101" w14:textId="77777777" w:rsidR="00081B7A" w:rsidRPr="00363097" w:rsidRDefault="00081B7A">
            <w:pPr>
              <w:jc w:val="center"/>
              <w:rPr>
                <w:noProof/>
                <w:sz w:val="20"/>
              </w:rPr>
            </w:pPr>
          </w:p>
        </w:tc>
        <w:tc>
          <w:tcPr>
            <w:tcW w:w="1413" w:type="dxa"/>
            <w:gridSpan w:val="2"/>
            <w:vAlign w:val="center"/>
          </w:tcPr>
          <w:p w14:paraId="6B287AA4" w14:textId="77777777" w:rsidR="00081B7A" w:rsidRPr="00363097" w:rsidRDefault="00081B7A">
            <w:pPr>
              <w:spacing w:before="20" w:after="20"/>
              <w:rPr>
                <w:noProof/>
                <w:sz w:val="18"/>
              </w:rPr>
            </w:pPr>
          </w:p>
        </w:tc>
        <w:tc>
          <w:tcPr>
            <w:tcW w:w="644" w:type="dxa"/>
            <w:gridSpan w:val="3"/>
            <w:vAlign w:val="center"/>
          </w:tcPr>
          <w:p w14:paraId="0AF5CB7C" w14:textId="77777777" w:rsidR="00081B7A" w:rsidRPr="00363097" w:rsidRDefault="00081B7A">
            <w:pPr>
              <w:spacing w:before="20" w:after="20"/>
              <w:jc w:val="center"/>
              <w:rPr>
                <w:noProof/>
                <w:sz w:val="14"/>
              </w:rPr>
            </w:pPr>
          </w:p>
        </w:tc>
        <w:tc>
          <w:tcPr>
            <w:tcW w:w="854" w:type="dxa"/>
            <w:gridSpan w:val="2"/>
            <w:vAlign w:val="center"/>
          </w:tcPr>
          <w:p w14:paraId="128C08B9" w14:textId="77777777" w:rsidR="00081B7A" w:rsidRPr="00363097" w:rsidRDefault="00081B7A">
            <w:pPr>
              <w:spacing w:before="20" w:after="20"/>
              <w:jc w:val="right"/>
              <w:rPr>
                <w:noProof/>
                <w:sz w:val="20"/>
              </w:rPr>
            </w:pPr>
          </w:p>
        </w:tc>
        <w:tc>
          <w:tcPr>
            <w:tcW w:w="854" w:type="dxa"/>
            <w:gridSpan w:val="3"/>
            <w:vAlign w:val="center"/>
          </w:tcPr>
          <w:p w14:paraId="21376F49" w14:textId="77777777" w:rsidR="00081B7A" w:rsidRPr="00363097" w:rsidRDefault="00081B7A">
            <w:pPr>
              <w:spacing w:before="20" w:after="20"/>
              <w:jc w:val="right"/>
              <w:rPr>
                <w:noProof/>
                <w:sz w:val="20"/>
              </w:rPr>
            </w:pPr>
          </w:p>
        </w:tc>
        <w:tc>
          <w:tcPr>
            <w:tcW w:w="854" w:type="dxa"/>
            <w:gridSpan w:val="3"/>
            <w:vAlign w:val="center"/>
          </w:tcPr>
          <w:p w14:paraId="66B50155" w14:textId="77777777" w:rsidR="00081B7A" w:rsidRPr="00363097" w:rsidRDefault="00081B7A">
            <w:pPr>
              <w:spacing w:before="20" w:after="20"/>
              <w:jc w:val="right"/>
              <w:rPr>
                <w:noProof/>
                <w:sz w:val="20"/>
              </w:rPr>
            </w:pPr>
          </w:p>
        </w:tc>
        <w:tc>
          <w:tcPr>
            <w:tcW w:w="854" w:type="dxa"/>
            <w:gridSpan w:val="3"/>
            <w:vAlign w:val="center"/>
          </w:tcPr>
          <w:p w14:paraId="49011476" w14:textId="77777777" w:rsidR="00081B7A" w:rsidRPr="00363097" w:rsidRDefault="00081B7A">
            <w:pPr>
              <w:spacing w:before="20" w:after="20"/>
              <w:jc w:val="right"/>
              <w:rPr>
                <w:noProof/>
                <w:sz w:val="20"/>
              </w:rPr>
            </w:pPr>
          </w:p>
        </w:tc>
        <w:tc>
          <w:tcPr>
            <w:tcW w:w="607" w:type="dxa"/>
            <w:gridSpan w:val="3"/>
          </w:tcPr>
          <w:p w14:paraId="497AD300" w14:textId="77777777" w:rsidR="00081B7A" w:rsidRPr="00363097" w:rsidRDefault="00081B7A">
            <w:pPr>
              <w:spacing w:before="20" w:after="20"/>
              <w:jc w:val="right"/>
              <w:rPr>
                <w:noProof/>
                <w:sz w:val="20"/>
              </w:rPr>
            </w:pPr>
          </w:p>
        </w:tc>
        <w:tc>
          <w:tcPr>
            <w:tcW w:w="699" w:type="dxa"/>
            <w:gridSpan w:val="3"/>
          </w:tcPr>
          <w:p w14:paraId="07FD8291" w14:textId="77777777" w:rsidR="00081B7A" w:rsidRPr="00363097" w:rsidRDefault="00081B7A">
            <w:pPr>
              <w:spacing w:before="20" w:after="20"/>
              <w:jc w:val="right"/>
              <w:rPr>
                <w:noProof/>
                <w:sz w:val="20"/>
              </w:rPr>
            </w:pPr>
          </w:p>
        </w:tc>
        <w:tc>
          <w:tcPr>
            <w:tcW w:w="699" w:type="dxa"/>
            <w:gridSpan w:val="3"/>
            <w:vAlign w:val="center"/>
          </w:tcPr>
          <w:p w14:paraId="2386A6CE" w14:textId="77777777" w:rsidR="00081B7A" w:rsidRPr="00363097" w:rsidRDefault="00081B7A">
            <w:pPr>
              <w:spacing w:before="20" w:after="20"/>
              <w:jc w:val="right"/>
              <w:rPr>
                <w:noProof/>
                <w:sz w:val="20"/>
              </w:rPr>
            </w:pPr>
          </w:p>
        </w:tc>
        <w:tc>
          <w:tcPr>
            <w:tcW w:w="698" w:type="dxa"/>
            <w:gridSpan w:val="2"/>
            <w:vAlign w:val="center"/>
          </w:tcPr>
          <w:p w14:paraId="7FB9F42A" w14:textId="77777777" w:rsidR="00081B7A" w:rsidRPr="00363097" w:rsidRDefault="00081B7A">
            <w:pPr>
              <w:spacing w:before="20" w:after="20"/>
              <w:jc w:val="right"/>
              <w:rPr>
                <w:noProof/>
                <w:sz w:val="20"/>
              </w:rPr>
            </w:pPr>
          </w:p>
        </w:tc>
        <w:tc>
          <w:tcPr>
            <w:tcW w:w="699" w:type="dxa"/>
            <w:gridSpan w:val="3"/>
            <w:vAlign w:val="center"/>
          </w:tcPr>
          <w:p w14:paraId="1BD8EC77" w14:textId="77777777" w:rsidR="00081B7A" w:rsidRPr="00363097" w:rsidRDefault="00081B7A">
            <w:pPr>
              <w:spacing w:before="20" w:after="20"/>
              <w:jc w:val="right"/>
              <w:rPr>
                <w:b/>
                <w:noProof/>
                <w:sz w:val="20"/>
              </w:rPr>
            </w:pPr>
          </w:p>
        </w:tc>
        <w:tc>
          <w:tcPr>
            <w:tcW w:w="1253" w:type="dxa"/>
            <w:gridSpan w:val="3"/>
            <w:vAlign w:val="center"/>
          </w:tcPr>
          <w:p w14:paraId="6BF458C9" w14:textId="77777777" w:rsidR="00081B7A" w:rsidRPr="00363097" w:rsidRDefault="00081B7A">
            <w:pPr>
              <w:spacing w:before="20" w:after="20"/>
              <w:jc w:val="right"/>
              <w:rPr>
                <w:b/>
                <w:noProof/>
                <w:sz w:val="20"/>
              </w:rPr>
            </w:pPr>
          </w:p>
        </w:tc>
      </w:tr>
      <w:tr w:rsidR="00363097" w:rsidRPr="00363097" w14:paraId="51324F89" w14:textId="77777777" w:rsidTr="00812D70">
        <w:trPr>
          <w:gridAfter w:val="2"/>
          <w:wAfter w:w="247" w:type="dxa"/>
          <w:trHeight w:val="231"/>
        </w:trPr>
        <w:tc>
          <w:tcPr>
            <w:tcW w:w="5934" w:type="dxa"/>
            <w:gridSpan w:val="6"/>
            <w:vAlign w:val="center"/>
          </w:tcPr>
          <w:p w14:paraId="2D19FAD6" w14:textId="77777777" w:rsidR="00081B7A" w:rsidRPr="00363097" w:rsidRDefault="00081B7A">
            <w:pPr>
              <w:spacing w:before="20" w:after="20"/>
              <w:rPr>
                <w:noProof/>
                <w:lang w:val="en-IE"/>
              </w:rPr>
            </w:pPr>
            <w:r w:rsidRPr="00363097">
              <w:rPr>
                <w:noProof/>
                <w:sz w:val="21"/>
                <w:lang w:val="en-IE"/>
              </w:rPr>
              <w:t>Appropriations of an administrative nature financed from the envelope of specific programmes</w:t>
            </w:r>
            <w:r w:rsidRPr="00363097">
              <w:rPr>
                <w:rStyle w:val="FootnoteReference0"/>
                <w:noProof/>
                <w:sz w:val="21"/>
              </w:rPr>
              <w:footnoteReference w:id="44"/>
            </w:r>
            <w:r w:rsidRPr="00363097">
              <w:rPr>
                <w:noProof/>
                <w:sz w:val="21"/>
                <w:lang w:val="en-IE"/>
              </w:rPr>
              <w:t xml:space="preserve"> </w:t>
            </w:r>
          </w:p>
          <w:p w14:paraId="58B8B138" w14:textId="77777777" w:rsidR="00081B7A" w:rsidRPr="00363097" w:rsidRDefault="00081B7A">
            <w:pPr>
              <w:spacing w:before="0" w:after="0"/>
              <w:rPr>
                <w:noProof/>
                <w:lang w:val="en-IE"/>
              </w:rPr>
            </w:pPr>
          </w:p>
        </w:tc>
        <w:tc>
          <w:tcPr>
            <w:tcW w:w="854" w:type="dxa"/>
            <w:gridSpan w:val="2"/>
            <w:vAlign w:val="center"/>
          </w:tcPr>
          <w:p w14:paraId="40738424" w14:textId="77777777" w:rsidR="00081B7A" w:rsidRPr="00363097" w:rsidRDefault="00081B7A">
            <w:pPr>
              <w:rPr>
                <w:b/>
                <w:noProof/>
                <w:sz w:val="20"/>
                <w:lang w:val="en-IE"/>
              </w:rPr>
            </w:pPr>
          </w:p>
        </w:tc>
        <w:tc>
          <w:tcPr>
            <w:tcW w:w="854" w:type="dxa"/>
            <w:gridSpan w:val="3"/>
            <w:vAlign w:val="center"/>
          </w:tcPr>
          <w:p w14:paraId="2AA127E8" w14:textId="77777777" w:rsidR="00081B7A" w:rsidRPr="00363097" w:rsidRDefault="00081B7A">
            <w:pPr>
              <w:rPr>
                <w:b/>
                <w:noProof/>
                <w:sz w:val="20"/>
                <w:lang w:val="en-IE"/>
              </w:rPr>
            </w:pPr>
          </w:p>
        </w:tc>
        <w:tc>
          <w:tcPr>
            <w:tcW w:w="854" w:type="dxa"/>
            <w:gridSpan w:val="3"/>
            <w:vAlign w:val="center"/>
          </w:tcPr>
          <w:p w14:paraId="0384A60F" w14:textId="77777777" w:rsidR="00081B7A" w:rsidRPr="00363097" w:rsidRDefault="00081B7A">
            <w:pPr>
              <w:rPr>
                <w:b/>
                <w:noProof/>
                <w:sz w:val="20"/>
                <w:lang w:val="en-IE"/>
              </w:rPr>
            </w:pPr>
          </w:p>
        </w:tc>
        <w:tc>
          <w:tcPr>
            <w:tcW w:w="854" w:type="dxa"/>
            <w:gridSpan w:val="3"/>
            <w:vAlign w:val="center"/>
          </w:tcPr>
          <w:p w14:paraId="12E33876" w14:textId="77777777" w:rsidR="00081B7A" w:rsidRPr="00363097" w:rsidRDefault="00081B7A">
            <w:pPr>
              <w:rPr>
                <w:b/>
                <w:noProof/>
                <w:sz w:val="20"/>
                <w:lang w:val="en-IE"/>
              </w:rPr>
            </w:pPr>
          </w:p>
        </w:tc>
        <w:tc>
          <w:tcPr>
            <w:tcW w:w="607" w:type="dxa"/>
            <w:gridSpan w:val="3"/>
          </w:tcPr>
          <w:p w14:paraId="31F9C462" w14:textId="77777777" w:rsidR="00081B7A" w:rsidRPr="00363097" w:rsidRDefault="00081B7A">
            <w:pPr>
              <w:rPr>
                <w:b/>
                <w:noProof/>
                <w:sz w:val="20"/>
                <w:lang w:val="en-IE"/>
              </w:rPr>
            </w:pPr>
          </w:p>
        </w:tc>
        <w:tc>
          <w:tcPr>
            <w:tcW w:w="699" w:type="dxa"/>
            <w:gridSpan w:val="3"/>
          </w:tcPr>
          <w:p w14:paraId="55EFC24F" w14:textId="77777777" w:rsidR="00081B7A" w:rsidRPr="00363097" w:rsidRDefault="00081B7A">
            <w:pPr>
              <w:rPr>
                <w:b/>
                <w:noProof/>
                <w:sz w:val="20"/>
                <w:lang w:val="en-IE"/>
              </w:rPr>
            </w:pPr>
          </w:p>
        </w:tc>
        <w:tc>
          <w:tcPr>
            <w:tcW w:w="699" w:type="dxa"/>
            <w:gridSpan w:val="3"/>
            <w:vAlign w:val="center"/>
          </w:tcPr>
          <w:p w14:paraId="69FE4150" w14:textId="77777777" w:rsidR="00081B7A" w:rsidRPr="00363097" w:rsidRDefault="00081B7A">
            <w:pPr>
              <w:rPr>
                <w:b/>
                <w:noProof/>
                <w:sz w:val="20"/>
                <w:lang w:val="en-IE"/>
              </w:rPr>
            </w:pPr>
          </w:p>
        </w:tc>
        <w:tc>
          <w:tcPr>
            <w:tcW w:w="698" w:type="dxa"/>
            <w:gridSpan w:val="2"/>
            <w:vAlign w:val="center"/>
          </w:tcPr>
          <w:p w14:paraId="5A1C9A7D" w14:textId="77777777" w:rsidR="00081B7A" w:rsidRPr="00363097" w:rsidRDefault="00081B7A">
            <w:pPr>
              <w:rPr>
                <w:b/>
                <w:noProof/>
                <w:sz w:val="20"/>
                <w:lang w:val="en-IE"/>
              </w:rPr>
            </w:pPr>
          </w:p>
        </w:tc>
        <w:tc>
          <w:tcPr>
            <w:tcW w:w="699" w:type="dxa"/>
            <w:gridSpan w:val="3"/>
            <w:vAlign w:val="center"/>
          </w:tcPr>
          <w:p w14:paraId="165F93FD" w14:textId="77777777" w:rsidR="00081B7A" w:rsidRPr="00363097" w:rsidRDefault="00081B7A">
            <w:pPr>
              <w:rPr>
                <w:b/>
                <w:noProof/>
                <w:sz w:val="20"/>
                <w:lang w:val="en-IE"/>
              </w:rPr>
            </w:pPr>
          </w:p>
        </w:tc>
        <w:tc>
          <w:tcPr>
            <w:tcW w:w="1253" w:type="dxa"/>
            <w:gridSpan w:val="3"/>
            <w:vAlign w:val="center"/>
          </w:tcPr>
          <w:p w14:paraId="6BBD1DEF" w14:textId="77777777" w:rsidR="00081B7A" w:rsidRPr="00363097" w:rsidRDefault="00081B7A">
            <w:pPr>
              <w:rPr>
                <w:b/>
                <w:noProof/>
                <w:sz w:val="20"/>
                <w:lang w:val="en-IE"/>
              </w:rPr>
            </w:pPr>
          </w:p>
        </w:tc>
      </w:tr>
      <w:tr w:rsidR="00363097" w:rsidRPr="00363097" w14:paraId="6EADC430" w14:textId="77777777" w:rsidTr="00812D70">
        <w:trPr>
          <w:gridAfter w:val="2"/>
          <w:wAfter w:w="247" w:type="dxa"/>
          <w:trHeight w:val="319"/>
        </w:trPr>
        <w:tc>
          <w:tcPr>
            <w:tcW w:w="3877" w:type="dxa"/>
            <w:vAlign w:val="center"/>
          </w:tcPr>
          <w:p w14:paraId="12222266" w14:textId="77777777" w:rsidR="00081B7A" w:rsidRPr="00363097" w:rsidRDefault="00081B7A">
            <w:pPr>
              <w:spacing w:before="60" w:after="60"/>
              <w:rPr>
                <w:noProof/>
              </w:rPr>
            </w:pPr>
          </w:p>
        </w:tc>
        <w:tc>
          <w:tcPr>
            <w:tcW w:w="1413" w:type="dxa"/>
            <w:gridSpan w:val="2"/>
            <w:vAlign w:val="center"/>
          </w:tcPr>
          <w:p w14:paraId="428E5E8C" w14:textId="77777777" w:rsidR="00081B7A" w:rsidRPr="00363097" w:rsidRDefault="00081B7A">
            <w:pPr>
              <w:spacing w:before="40" w:after="40"/>
              <w:jc w:val="right"/>
              <w:rPr>
                <w:noProof/>
                <w:sz w:val="18"/>
              </w:rPr>
            </w:pPr>
          </w:p>
        </w:tc>
        <w:tc>
          <w:tcPr>
            <w:tcW w:w="644" w:type="dxa"/>
            <w:gridSpan w:val="3"/>
            <w:vAlign w:val="center"/>
          </w:tcPr>
          <w:p w14:paraId="6ACE033D" w14:textId="77777777" w:rsidR="00081B7A" w:rsidRPr="00363097" w:rsidRDefault="00081B7A">
            <w:pPr>
              <w:spacing w:before="40" w:after="40"/>
              <w:jc w:val="center"/>
              <w:rPr>
                <w:noProof/>
                <w:sz w:val="14"/>
              </w:rPr>
            </w:pPr>
          </w:p>
        </w:tc>
        <w:tc>
          <w:tcPr>
            <w:tcW w:w="854" w:type="dxa"/>
            <w:gridSpan w:val="2"/>
            <w:vAlign w:val="center"/>
          </w:tcPr>
          <w:p w14:paraId="7C5F27F4" w14:textId="77777777" w:rsidR="00081B7A" w:rsidRPr="00363097" w:rsidRDefault="00081B7A">
            <w:pPr>
              <w:spacing w:before="40" w:after="40"/>
              <w:jc w:val="right"/>
              <w:rPr>
                <w:b/>
                <w:noProof/>
                <w:sz w:val="20"/>
              </w:rPr>
            </w:pPr>
          </w:p>
        </w:tc>
        <w:tc>
          <w:tcPr>
            <w:tcW w:w="854" w:type="dxa"/>
            <w:gridSpan w:val="3"/>
            <w:vAlign w:val="center"/>
          </w:tcPr>
          <w:p w14:paraId="698CB1F3" w14:textId="77777777" w:rsidR="00081B7A" w:rsidRPr="00363097" w:rsidRDefault="00081B7A">
            <w:pPr>
              <w:spacing w:before="40" w:after="40"/>
              <w:jc w:val="right"/>
              <w:rPr>
                <w:b/>
                <w:noProof/>
                <w:sz w:val="20"/>
              </w:rPr>
            </w:pPr>
          </w:p>
        </w:tc>
        <w:tc>
          <w:tcPr>
            <w:tcW w:w="854" w:type="dxa"/>
            <w:gridSpan w:val="3"/>
            <w:vAlign w:val="center"/>
          </w:tcPr>
          <w:p w14:paraId="5593B049" w14:textId="77777777" w:rsidR="00081B7A" w:rsidRPr="00363097" w:rsidRDefault="00081B7A">
            <w:pPr>
              <w:spacing w:before="40" w:after="40"/>
              <w:jc w:val="right"/>
              <w:rPr>
                <w:b/>
                <w:noProof/>
                <w:sz w:val="20"/>
              </w:rPr>
            </w:pPr>
          </w:p>
        </w:tc>
        <w:tc>
          <w:tcPr>
            <w:tcW w:w="854" w:type="dxa"/>
            <w:gridSpan w:val="3"/>
            <w:vAlign w:val="center"/>
          </w:tcPr>
          <w:p w14:paraId="1DDEC7C6" w14:textId="77777777" w:rsidR="00081B7A" w:rsidRPr="00363097" w:rsidRDefault="00081B7A">
            <w:pPr>
              <w:spacing w:before="40" w:after="40"/>
              <w:jc w:val="right"/>
              <w:rPr>
                <w:b/>
                <w:noProof/>
                <w:sz w:val="20"/>
              </w:rPr>
            </w:pPr>
          </w:p>
        </w:tc>
        <w:tc>
          <w:tcPr>
            <w:tcW w:w="607" w:type="dxa"/>
            <w:gridSpan w:val="3"/>
          </w:tcPr>
          <w:p w14:paraId="06A2B5F3" w14:textId="77777777" w:rsidR="00081B7A" w:rsidRPr="00363097" w:rsidRDefault="00081B7A">
            <w:pPr>
              <w:spacing w:before="40" w:after="40"/>
              <w:jc w:val="right"/>
              <w:rPr>
                <w:b/>
                <w:noProof/>
                <w:sz w:val="20"/>
              </w:rPr>
            </w:pPr>
          </w:p>
        </w:tc>
        <w:tc>
          <w:tcPr>
            <w:tcW w:w="699" w:type="dxa"/>
            <w:gridSpan w:val="3"/>
          </w:tcPr>
          <w:p w14:paraId="2B2AD58A" w14:textId="77777777" w:rsidR="00081B7A" w:rsidRPr="00363097" w:rsidRDefault="00081B7A">
            <w:pPr>
              <w:spacing w:before="40" w:after="40"/>
              <w:jc w:val="right"/>
              <w:rPr>
                <w:b/>
                <w:noProof/>
                <w:sz w:val="20"/>
              </w:rPr>
            </w:pPr>
          </w:p>
        </w:tc>
        <w:tc>
          <w:tcPr>
            <w:tcW w:w="699" w:type="dxa"/>
            <w:gridSpan w:val="3"/>
            <w:vAlign w:val="center"/>
          </w:tcPr>
          <w:p w14:paraId="254ED3B2" w14:textId="77777777" w:rsidR="00081B7A" w:rsidRPr="00363097" w:rsidRDefault="00081B7A">
            <w:pPr>
              <w:spacing w:before="40" w:after="40"/>
              <w:jc w:val="right"/>
              <w:rPr>
                <w:b/>
                <w:noProof/>
                <w:sz w:val="20"/>
              </w:rPr>
            </w:pPr>
          </w:p>
        </w:tc>
        <w:tc>
          <w:tcPr>
            <w:tcW w:w="698" w:type="dxa"/>
            <w:gridSpan w:val="2"/>
            <w:vAlign w:val="center"/>
          </w:tcPr>
          <w:p w14:paraId="5C1C0EDB" w14:textId="77777777" w:rsidR="00081B7A" w:rsidRPr="00363097" w:rsidRDefault="00081B7A">
            <w:pPr>
              <w:spacing w:before="40" w:after="40"/>
              <w:jc w:val="right"/>
              <w:rPr>
                <w:b/>
                <w:noProof/>
                <w:sz w:val="20"/>
              </w:rPr>
            </w:pPr>
          </w:p>
        </w:tc>
        <w:tc>
          <w:tcPr>
            <w:tcW w:w="699" w:type="dxa"/>
            <w:gridSpan w:val="3"/>
            <w:vAlign w:val="center"/>
          </w:tcPr>
          <w:p w14:paraId="3B72D46E" w14:textId="77777777" w:rsidR="00081B7A" w:rsidRPr="00363097" w:rsidRDefault="00081B7A">
            <w:pPr>
              <w:spacing w:before="40" w:after="40"/>
              <w:jc w:val="right"/>
              <w:rPr>
                <w:b/>
                <w:noProof/>
                <w:sz w:val="20"/>
              </w:rPr>
            </w:pPr>
          </w:p>
        </w:tc>
        <w:tc>
          <w:tcPr>
            <w:tcW w:w="1253" w:type="dxa"/>
            <w:gridSpan w:val="3"/>
            <w:vAlign w:val="center"/>
          </w:tcPr>
          <w:p w14:paraId="3F4C56E1" w14:textId="77777777" w:rsidR="00081B7A" w:rsidRPr="00363097" w:rsidRDefault="00081B7A">
            <w:pPr>
              <w:spacing w:before="40" w:after="40"/>
              <w:jc w:val="right"/>
              <w:rPr>
                <w:b/>
                <w:noProof/>
                <w:sz w:val="20"/>
              </w:rPr>
            </w:pPr>
          </w:p>
        </w:tc>
      </w:tr>
      <w:tr w:rsidR="00363097" w:rsidRPr="00363097" w14:paraId="58F2E49E" w14:textId="77777777" w:rsidTr="00812D70">
        <w:tc>
          <w:tcPr>
            <w:tcW w:w="3877" w:type="dxa"/>
            <w:vAlign w:val="center"/>
          </w:tcPr>
          <w:p w14:paraId="1B4C4619" w14:textId="77777777" w:rsidR="00081B7A" w:rsidRPr="00363097" w:rsidRDefault="00081B7A">
            <w:pPr>
              <w:jc w:val="center"/>
              <w:rPr>
                <w:b/>
                <w:noProof/>
              </w:rPr>
            </w:pPr>
            <w:r w:rsidRPr="00363097">
              <w:rPr>
                <w:b/>
                <w:noProof/>
                <w:sz w:val="22"/>
              </w:rPr>
              <w:t>TOTAL appropriations</w:t>
            </w:r>
            <w:r w:rsidRPr="00363097">
              <w:rPr>
                <w:noProof/>
                <w:sz w:val="22"/>
              </w:rPr>
              <w:br/>
            </w:r>
            <w:r w:rsidRPr="00363097">
              <w:rPr>
                <w:b/>
                <w:noProof/>
                <w:sz w:val="22"/>
              </w:rPr>
              <w:t xml:space="preserve">for DG </w:t>
            </w:r>
            <w:r w:rsidRPr="00363097">
              <w:rPr>
                <w:noProof/>
                <w:sz w:val="22"/>
              </w:rPr>
              <w:t>TAXUD</w:t>
            </w:r>
          </w:p>
        </w:tc>
        <w:tc>
          <w:tcPr>
            <w:tcW w:w="1530" w:type="dxa"/>
            <w:gridSpan w:val="4"/>
            <w:vAlign w:val="center"/>
          </w:tcPr>
          <w:p w14:paraId="5829ECD8" w14:textId="77777777" w:rsidR="00081B7A" w:rsidRPr="00363097" w:rsidRDefault="00081B7A">
            <w:pPr>
              <w:rPr>
                <w:noProof/>
                <w:sz w:val="18"/>
              </w:rPr>
            </w:pPr>
            <w:r w:rsidRPr="00363097">
              <w:rPr>
                <w:noProof/>
                <w:sz w:val="18"/>
              </w:rPr>
              <w:t>Commitments</w:t>
            </w:r>
          </w:p>
        </w:tc>
        <w:tc>
          <w:tcPr>
            <w:tcW w:w="645" w:type="dxa"/>
            <w:gridSpan w:val="2"/>
            <w:vAlign w:val="center"/>
          </w:tcPr>
          <w:p w14:paraId="5B700A69" w14:textId="77777777" w:rsidR="00081B7A" w:rsidRPr="00363097" w:rsidRDefault="00081B7A">
            <w:pPr>
              <w:jc w:val="center"/>
              <w:rPr>
                <w:noProof/>
                <w:sz w:val="14"/>
              </w:rPr>
            </w:pPr>
            <w:r w:rsidRPr="00363097">
              <w:rPr>
                <w:noProof/>
                <w:sz w:val="14"/>
              </w:rPr>
              <w:t>=1a+1b +3</w:t>
            </w:r>
          </w:p>
        </w:tc>
        <w:tc>
          <w:tcPr>
            <w:tcW w:w="854" w:type="dxa"/>
            <w:gridSpan w:val="2"/>
            <w:vAlign w:val="center"/>
          </w:tcPr>
          <w:p w14:paraId="744C4638" w14:textId="77777777" w:rsidR="00081B7A" w:rsidRPr="00363097" w:rsidRDefault="00081B7A">
            <w:pPr>
              <w:spacing w:before="20" w:after="20"/>
              <w:jc w:val="right"/>
              <w:rPr>
                <w:noProof/>
                <w:sz w:val="20"/>
              </w:rPr>
            </w:pPr>
          </w:p>
        </w:tc>
        <w:tc>
          <w:tcPr>
            <w:tcW w:w="854" w:type="dxa"/>
            <w:gridSpan w:val="3"/>
            <w:vAlign w:val="center"/>
          </w:tcPr>
          <w:p w14:paraId="2D2EB7A6" w14:textId="54B939A9"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54" w:type="dxa"/>
            <w:gridSpan w:val="3"/>
            <w:vAlign w:val="center"/>
          </w:tcPr>
          <w:p w14:paraId="744824F5" w14:textId="60E5F052"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55" w:type="dxa"/>
            <w:gridSpan w:val="3"/>
            <w:vAlign w:val="center"/>
          </w:tcPr>
          <w:p w14:paraId="0EBEBA0D" w14:textId="77777777" w:rsidR="00081B7A" w:rsidRPr="00363097" w:rsidRDefault="00081B7A">
            <w:pPr>
              <w:spacing w:before="20" w:after="20"/>
              <w:jc w:val="right"/>
              <w:rPr>
                <w:noProof/>
                <w:sz w:val="20"/>
              </w:rPr>
            </w:pPr>
          </w:p>
        </w:tc>
        <w:tc>
          <w:tcPr>
            <w:tcW w:w="607" w:type="dxa"/>
            <w:gridSpan w:val="3"/>
            <w:vAlign w:val="center"/>
          </w:tcPr>
          <w:p w14:paraId="45F43FB1" w14:textId="77777777" w:rsidR="00081B7A" w:rsidRPr="00363097" w:rsidRDefault="00081B7A">
            <w:pPr>
              <w:spacing w:before="20" w:after="20"/>
              <w:jc w:val="right"/>
              <w:rPr>
                <w:noProof/>
                <w:sz w:val="20"/>
              </w:rPr>
            </w:pPr>
          </w:p>
        </w:tc>
        <w:tc>
          <w:tcPr>
            <w:tcW w:w="699" w:type="dxa"/>
            <w:gridSpan w:val="3"/>
            <w:vAlign w:val="center"/>
          </w:tcPr>
          <w:p w14:paraId="463C4144" w14:textId="77777777" w:rsidR="00081B7A" w:rsidRPr="00363097" w:rsidRDefault="00081B7A">
            <w:pPr>
              <w:spacing w:before="20" w:after="20"/>
              <w:jc w:val="right"/>
              <w:rPr>
                <w:noProof/>
                <w:sz w:val="20"/>
              </w:rPr>
            </w:pPr>
          </w:p>
        </w:tc>
        <w:tc>
          <w:tcPr>
            <w:tcW w:w="699" w:type="dxa"/>
            <w:gridSpan w:val="3"/>
            <w:vAlign w:val="center"/>
          </w:tcPr>
          <w:p w14:paraId="10A0B0FC" w14:textId="77777777" w:rsidR="00081B7A" w:rsidRPr="00363097" w:rsidRDefault="00081B7A">
            <w:pPr>
              <w:spacing w:before="20" w:after="20"/>
              <w:jc w:val="right"/>
              <w:rPr>
                <w:noProof/>
                <w:sz w:val="20"/>
              </w:rPr>
            </w:pPr>
          </w:p>
        </w:tc>
        <w:tc>
          <w:tcPr>
            <w:tcW w:w="698" w:type="dxa"/>
            <w:gridSpan w:val="3"/>
            <w:vAlign w:val="center"/>
          </w:tcPr>
          <w:p w14:paraId="7FB280DF" w14:textId="77777777" w:rsidR="00081B7A" w:rsidRPr="00363097" w:rsidRDefault="00081B7A">
            <w:pPr>
              <w:spacing w:before="20" w:after="20"/>
              <w:jc w:val="right"/>
              <w:rPr>
                <w:noProof/>
                <w:sz w:val="20"/>
              </w:rPr>
            </w:pPr>
          </w:p>
        </w:tc>
        <w:tc>
          <w:tcPr>
            <w:tcW w:w="698" w:type="dxa"/>
            <w:gridSpan w:val="2"/>
            <w:vAlign w:val="center"/>
          </w:tcPr>
          <w:p w14:paraId="7E06D63B" w14:textId="77777777" w:rsidR="00081B7A" w:rsidRPr="00363097" w:rsidRDefault="00081B7A">
            <w:pPr>
              <w:spacing w:before="20" w:after="20"/>
              <w:jc w:val="right"/>
              <w:rPr>
                <w:b/>
                <w:noProof/>
                <w:sz w:val="20"/>
              </w:rPr>
            </w:pPr>
          </w:p>
        </w:tc>
        <w:tc>
          <w:tcPr>
            <w:tcW w:w="1382" w:type="dxa"/>
            <w:gridSpan w:val="4"/>
            <w:vAlign w:val="center"/>
          </w:tcPr>
          <w:p w14:paraId="675592F0" w14:textId="77777777" w:rsidR="00081B7A" w:rsidRPr="00363097" w:rsidRDefault="00081B7A">
            <w:pPr>
              <w:spacing w:before="20" w:after="20"/>
              <w:jc w:val="right"/>
              <w:rPr>
                <w:b/>
                <w:noProof/>
                <w:sz w:val="20"/>
              </w:rPr>
            </w:pPr>
          </w:p>
        </w:tc>
      </w:tr>
      <w:tr w:rsidR="00363097" w:rsidRPr="00363097" w14:paraId="38015105" w14:textId="77777777" w:rsidTr="00812D70">
        <w:trPr>
          <w:gridAfter w:val="2"/>
          <w:wAfter w:w="247" w:type="dxa"/>
        </w:trPr>
        <w:tc>
          <w:tcPr>
            <w:tcW w:w="3877" w:type="dxa"/>
          </w:tcPr>
          <w:p w14:paraId="79395CA8" w14:textId="77777777" w:rsidR="00081B7A" w:rsidRPr="00363097" w:rsidRDefault="00081B7A">
            <w:pPr>
              <w:rPr>
                <w:noProof/>
                <w:sz w:val="20"/>
              </w:rPr>
            </w:pPr>
          </w:p>
        </w:tc>
        <w:tc>
          <w:tcPr>
            <w:tcW w:w="1413" w:type="dxa"/>
            <w:gridSpan w:val="2"/>
            <w:vAlign w:val="center"/>
          </w:tcPr>
          <w:p w14:paraId="28A4A260" w14:textId="77777777" w:rsidR="00081B7A" w:rsidRPr="00363097" w:rsidRDefault="00081B7A">
            <w:pPr>
              <w:rPr>
                <w:noProof/>
                <w:sz w:val="18"/>
              </w:rPr>
            </w:pPr>
            <w:r w:rsidRPr="00363097">
              <w:rPr>
                <w:noProof/>
                <w:sz w:val="18"/>
              </w:rPr>
              <w:t>Payments</w:t>
            </w:r>
          </w:p>
        </w:tc>
        <w:tc>
          <w:tcPr>
            <w:tcW w:w="644" w:type="dxa"/>
            <w:gridSpan w:val="3"/>
            <w:vAlign w:val="center"/>
          </w:tcPr>
          <w:p w14:paraId="4EF614C4" w14:textId="77777777" w:rsidR="00081B7A" w:rsidRPr="00363097" w:rsidRDefault="00081B7A">
            <w:pPr>
              <w:jc w:val="center"/>
              <w:rPr>
                <w:noProof/>
                <w:sz w:val="14"/>
              </w:rPr>
            </w:pPr>
            <w:r w:rsidRPr="00363097">
              <w:rPr>
                <w:noProof/>
                <w:sz w:val="14"/>
              </w:rPr>
              <w:t>=2a+2b</w:t>
            </w:r>
          </w:p>
          <w:p w14:paraId="51877F84" w14:textId="77777777" w:rsidR="00081B7A" w:rsidRPr="00363097" w:rsidRDefault="00081B7A">
            <w:pPr>
              <w:jc w:val="center"/>
              <w:rPr>
                <w:noProof/>
                <w:sz w:val="14"/>
              </w:rPr>
            </w:pPr>
            <w:r w:rsidRPr="00363097">
              <w:rPr>
                <w:noProof/>
                <w:sz w:val="14"/>
              </w:rPr>
              <w:t>+3</w:t>
            </w:r>
          </w:p>
        </w:tc>
        <w:tc>
          <w:tcPr>
            <w:tcW w:w="854" w:type="dxa"/>
            <w:gridSpan w:val="2"/>
            <w:vAlign w:val="center"/>
          </w:tcPr>
          <w:p w14:paraId="5633BC66" w14:textId="70415127"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3</w:t>
            </w:r>
          </w:p>
        </w:tc>
        <w:tc>
          <w:tcPr>
            <w:tcW w:w="854" w:type="dxa"/>
            <w:gridSpan w:val="3"/>
            <w:vAlign w:val="center"/>
          </w:tcPr>
          <w:p w14:paraId="19CF7FE8" w14:textId="77777777" w:rsidR="00081B7A" w:rsidRPr="00363097" w:rsidRDefault="00081B7A">
            <w:pPr>
              <w:spacing w:before="20" w:after="20"/>
              <w:jc w:val="right"/>
              <w:rPr>
                <w:noProof/>
                <w:sz w:val="20"/>
              </w:rPr>
            </w:pPr>
          </w:p>
        </w:tc>
        <w:tc>
          <w:tcPr>
            <w:tcW w:w="854" w:type="dxa"/>
            <w:gridSpan w:val="3"/>
            <w:vAlign w:val="center"/>
          </w:tcPr>
          <w:p w14:paraId="486A9B82" w14:textId="77777777" w:rsidR="00081B7A" w:rsidRPr="00363097" w:rsidRDefault="00081B7A">
            <w:pPr>
              <w:spacing w:before="20" w:after="20"/>
              <w:jc w:val="right"/>
              <w:rPr>
                <w:noProof/>
                <w:sz w:val="20"/>
              </w:rPr>
            </w:pPr>
          </w:p>
        </w:tc>
        <w:tc>
          <w:tcPr>
            <w:tcW w:w="854" w:type="dxa"/>
            <w:gridSpan w:val="3"/>
            <w:vAlign w:val="center"/>
          </w:tcPr>
          <w:p w14:paraId="3CDC94DB" w14:textId="77777777" w:rsidR="00081B7A" w:rsidRPr="00363097" w:rsidRDefault="00081B7A">
            <w:pPr>
              <w:spacing w:before="20" w:after="20"/>
              <w:jc w:val="right"/>
              <w:rPr>
                <w:noProof/>
                <w:sz w:val="20"/>
              </w:rPr>
            </w:pPr>
          </w:p>
        </w:tc>
        <w:tc>
          <w:tcPr>
            <w:tcW w:w="607" w:type="dxa"/>
            <w:gridSpan w:val="3"/>
          </w:tcPr>
          <w:p w14:paraId="75476C19" w14:textId="77777777" w:rsidR="00081B7A" w:rsidRPr="00363097" w:rsidRDefault="00081B7A">
            <w:pPr>
              <w:spacing w:before="20" w:after="20"/>
              <w:jc w:val="right"/>
              <w:rPr>
                <w:noProof/>
                <w:sz w:val="20"/>
              </w:rPr>
            </w:pPr>
          </w:p>
        </w:tc>
        <w:tc>
          <w:tcPr>
            <w:tcW w:w="699" w:type="dxa"/>
            <w:gridSpan w:val="3"/>
          </w:tcPr>
          <w:p w14:paraId="500AF36B" w14:textId="77777777" w:rsidR="00081B7A" w:rsidRPr="00363097" w:rsidRDefault="00081B7A">
            <w:pPr>
              <w:spacing w:before="20" w:after="20"/>
              <w:jc w:val="right"/>
              <w:rPr>
                <w:noProof/>
                <w:sz w:val="20"/>
              </w:rPr>
            </w:pPr>
          </w:p>
        </w:tc>
        <w:tc>
          <w:tcPr>
            <w:tcW w:w="699" w:type="dxa"/>
            <w:gridSpan w:val="3"/>
            <w:vAlign w:val="center"/>
          </w:tcPr>
          <w:p w14:paraId="4F291EEB" w14:textId="77777777" w:rsidR="00081B7A" w:rsidRPr="00363097" w:rsidRDefault="00081B7A">
            <w:pPr>
              <w:spacing w:before="20" w:after="20"/>
              <w:jc w:val="right"/>
              <w:rPr>
                <w:noProof/>
                <w:sz w:val="20"/>
              </w:rPr>
            </w:pPr>
          </w:p>
        </w:tc>
        <w:tc>
          <w:tcPr>
            <w:tcW w:w="698" w:type="dxa"/>
            <w:gridSpan w:val="2"/>
            <w:vAlign w:val="center"/>
          </w:tcPr>
          <w:p w14:paraId="77940F69" w14:textId="77777777" w:rsidR="00081B7A" w:rsidRPr="00363097" w:rsidRDefault="00081B7A">
            <w:pPr>
              <w:spacing w:before="20" w:after="20"/>
              <w:jc w:val="right"/>
              <w:rPr>
                <w:noProof/>
                <w:sz w:val="20"/>
              </w:rPr>
            </w:pPr>
          </w:p>
        </w:tc>
        <w:tc>
          <w:tcPr>
            <w:tcW w:w="699" w:type="dxa"/>
            <w:gridSpan w:val="3"/>
            <w:vAlign w:val="center"/>
          </w:tcPr>
          <w:p w14:paraId="06201A85" w14:textId="77777777" w:rsidR="00081B7A" w:rsidRPr="00363097" w:rsidRDefault="00081B7A">
            <w:pPr>
              <w:spacing w:before="20" w:after="20"/>
              <w:jc w:val="right"/>
              <w:rPr>
                <w:b/>
                <w:noProof/>
                <w:sz w:val="20"/>
              </w:rPr>
            </w:pPr>
          </w:p>
        </w:tc>
        <w:tc>
          <w:tcPr>
            <w:tcW w:w="1253" w:type="dxa"/>
            <w:gridSpan w:val="3"/>
            <w:vAlign w:val="center"/>
          </w:tcPr>
          <w:p w14:paraId="18A61F09" w14:textId="77777777" w:rsidR="00081B7A" w:rsidRPr="00363097" w:rsidRDefault="00081B7A">
            <w:pPr>
              <w:spacing w:before="20" w:after="20"/>
              <w:jc w:val="right"/>
              <w:rPr>
                <w:b/>
                <w:noProof/>
                <w:sz w:val="20"/>
              </w:rPr>
            </w:pPr>
          </w:p>
        </w:tc>
      </w:tr>
      <w:tr w:rsidR="00363097" w:rsidRPr="00363097" w14:paraId="70872D11" w14:textId="77777777" w:rsidTr="00812D70">
        <w:trPr>
          <w:gridAfter w:val="3"/>
          <w:wAfter w:w="345" w:type="dxa"/>
          <w:trHeight w:val="277"/>
        </w:trPr>
        <w:tc>
          <w:tcPr>
            <w:tcW w:w="3960" w:type="dxa"/>
            <w:gridSpan w:val="2"/>
            <w:vMerge w:val="restart"/>
            <w:vAlign w:val="center"/>
          </w:tcPr>
          <w:p w14:paraId="258E01DD" w14:textId="77777777" w:rsidR="00081B7A" w:rsidRPr="00363097" w:rsidRDefault="00081B7A">
            <w:pPr>
              <w:spacing w:before="20" w:after="20"/>
              <w:rPr>
                <w:noProof/>
              </w:rPr>
            </w:pPr>
            <w:r w:rsidRPr="00363097">
              <w:rPr>
                <w:noProof/>
                <w:sz w:val="22"/>
              </w:rPr>
              <w:br w:type="page"/>
            </w:r>
            <w:r w:rsidRPr="00363097">
              <w:rPr>
                <w:rFonts w:ascii="Wingdings" w:eastAsia="Wingdings" w:hAnsi="Wingdings" w:cs="Wingdings"/>
                <w:noProof/>
                <w:sz w:val="21"/>
              </w:rPr>
              <w:t>□</w:t>
            </w:r>
            <w:r w:rsidRPr="00363097">
              <w:rPr>
                <w:noProof/>
                <w:sz w:val="21"/>
              </w:rPr>
              <w:t xml:space="preserve"> TOTAL operational appropriations </w:t>
            </w:r>
          </w:p>
        </w:tc>
        <w:tc>
          <w:tcPr>
            <w:tcW w:w="1440" w:type="dxa"/>
            <w:gridSpan w:val="2"/>
            <w:vAlign w:val="center"/>
          </w:tcPr>
          <w:p w14:paraId="53EA34FB" w14:textId="77777777" w:rsidR="00081B7A" w:rsidRPr="00363097" w:rsidRDefault="00081B7A">
            <w:pPr>
              <w:spacing w:beforeLines="20" w:before="48" w:afterLines="20" w:after="48"/>
              <w:rPr>
                <w:noProof/>
                <w:sz w:val="18"/>
              </w:rPr>
            </w:pPr>
            <w:r w:rsidRPr="00363097">
              <w:rPr>
                <w:noProof/>
                <w:sz w:val="18"/>
              </w:rPr>
              <w:t>Commitments</w:t>
            </w:r>
          </w:p>
        </w:tc>
        <w:tc>
          <w:tcPr>
            <w:tcW w:w="654" w:type="dxa"/>
            <w:gridSpan w:val="3"/>
            <w:vAlign w:val="center"/>
          </w:tcPr>
          <w:p w14:paraId="5AFF55C7" w14:textId="77777777" w:rsidR="00081B7A" w:rsidRPr="00363097" w:rsidRDefault="00081B7A">
            <w:pPr>
              <w:spacing w:beforeLines="20" w:before="48" w:afterLines="20" w:after="48"/>
              <w:jc w:val="center"/>
              <w:rPr>
                <w:noProof/>
                <w:sz w:val="14"/>
              </w:rPr>
            </w:pPr>
            <w:r w:rsidRPr="00363097">
              <w:rPr>
                <w:noProof/>
                <w:sz w:val="14"/>
              </w:rPr>
              <w:t>(4)</w:t>
            </w:r>
          </w:p>
        </w:tc>
        <w:tc>
          <w:tcPr>
            <w:tcW w:w="868" w:type="dxa"/>
            <w:gridSpan w:val="3"/>
            <w:vAlign w:val="center"/>
          </w:tcPr>
          <w:p w14:paraId="108A8FE8" w14:textId="77777777" w:rsidR="00081B7A" w:rsidRPr="00363097" w:rsidRDefault="00081B7A">
            <w:pPr>
              <w:spacing w:before="20" w:after="20"/>
              <w:jc w:val="right"/>
              <w:rPr>
                <w:noProof/>
                <w:sz w:val="20"/>
              </w:rPr>
            </w:pPr>
          </w:p>
        </w:tc>
        <w:tc>
          <w:tcPr>
            <w:tcW w:w="868" w:type="dxa"/>
            <w:gridSpan w:val="3"/>
            <w:vAlign w:val="center"/>
          </w:tcPr>
          <w:p w14:paraId="2EBF7E3D" w14:textId="14D33D6E"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vAlign w:val="center"/>
          </w:tcPr>
          <w:p w14:paraId="035AC487" w14:textId="06E86CF9"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vAlign w:val="center"/>
          </w:tcPr>
          <w:p w14:paraId="4C3224C4" w14:textId="1DA92EED"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vAlign w:val="center"/>
          </w:tcPr>
          <w:p w14:paraId="3AB9561C" w14:textId="77777777" w:rsidR="00081B7A" w:rsidRPr="00363097" w:rsidRDefault="00081B7A">
            <w:pPr>
              <w:spacing w:before="20" w:after="20"/>
              <w:jc w:val="right"/>
              <w:rPr>
                <w:noProof/>
                <w:sz w:val="20"/>
              </w:rPr>
            </w:pPr>
          </w:p>
        </w:tc>
        <w:tc>
          <w:tcPr>
            <w:tcW w:w="868" w:type="dxa"/>
            <w:gridSpan w:val="3"/>
            <w:vAlign w:val="center"/>
          </w:tcPr>
          <w:p w14:paraId="73294104" w14:textId="77777777" w:rsidR="00081B7A" w:rsidRPr="00363097" w:rsidRDefault="00081B7A">
            <w:pPr>
              <w:spacing w:before="20" w:after="20"/>
              <w:jc w:val="right"/>
              <w:rPr>
                <w:noProof/>
                <w:sz w:val="20"/>
              </w:rPr>
            </w:pPr>
          </w:p>
        </w:tc>
        <w:tc>
          <w:tcPr>
            <w:tcW w:w="868" w:type="dxa"/>
            <w:gridSpan w:val="4"/>
            <w:vAlign w:val="center"/>
          </w:tcPr>
          <w:p w14:paraId="10B03649" w14:textId="77777777" w:rsidR="00081B7A" w:rsidRPr="00363097" w:rsidRDefault="00081B7A">
            <w:pPr>
              <w:spacing w:before="20" w:after="20"/>
              <w:jc w:val="right"/>
              <w:rPr>
                <w:b/>
                <w:noProof/>
                <w:sz w:val="20"/>
              </w:rPr>
            </w:pPr>
          </w:p>
        </w:tc>
        <w:tc>
          <w:tcPr>
            <w:tcW w:w="1777" w:type="dxa"/>
            <w:gridSpan w:val="4"/>
            <w:vAlign w:val="center"/>
          </w:tcPr>
          <w:p w14:paraId="531F3D80" w14:textId="77777777" w:rsidR="00081B7A" w:rsidRPr="00363097" w:rsidRDefault="00081B7A">
            <w:pPr>
              <w:spacing w:before="20" w:after="20"/>
              <w:jc w:val="right"/>
              <w:rPr>
                <w:b/>
                <w:noProof/>
                <w:sz w:val="20"/>
              </w:rPr>
            </w:pPr>
          </w:p>
        </w:tc>
      </w:tr>
      <w:tr w:rsidR="00363097" w:rsidRPr="00363097" w14:paraId="00772893" w14:textId="77777777" w:rsidTr="00812D70">
        <w:trPr>
          <w:gridAfter w:val="3"/>
          <w:wAfter w:w="345" w:type="dxa"/>
        </w:trPr>
        <w:tc>
          <w:tcPr>
            <w:tcW w:w="3960" w:type="dxa"/>
            <w:gridSpan w:val="2"/>
            <w:vMerge/>
          </w:tcPr>
          <w:p w14:paraId="0CD8CFA7" w14:textId="77777777" w:rsidR="00081B7A" w:rsidRPr="00363097" w:rsidRDefault="00081B7A">
            <w:pPr>
              <w:jc w:val="center"/>
              <w:rPr>
                <w:noProof/>
                <w:sz w:val="20"/>
              </w:rPr>
            </w:pPr>
          </w:p>
        </w:tc>
        <w:tc>
          <w:tcPr>
            <w:tcW w:w="1440" w:type="dxa"/>
            <w:gridSpan w:val="2"/>
            <w:vAlign w:val="center"/>
          </w:tcPr>
          <w:p w14:paraId="74A2F17D" w14:textId="77777777" w:rsidR="00081B7A" w:rsidRPr="00363097" w:rsidRDefault="00081B7A">
            <w:pPr>
              <w:spacing w:beforeLines="20" w:before="48" w:afterLines="20" w:after="48"/>
              <w:rPr>
                <w:noProof/>
                <w:sz w:val="18"/>
              </w:rPr>
            </w:pPr>
            <w:r w:rsidRPr="00363097">
              <w:rPr>
                <w:noProof/>
                <w:sz w:val="18"/>
              </w:rPr>
              <w:t>Payments</w:t>
            </w:r>
          </w:p>
        </w:tc>
        <w:tc>
          <w:tcPr>
            <w:tcW w:w="654" w:type="dxa"/>
            <w:gridSpan w:val="3"/>
            <w:vAlign w:val="center"/>
          </w:tcPr>
          <w:p w14:paraId="2A172E9D" w14:textId="77777777" w:rsidR="00081B7A" w:rsidRPr="00363097" w:rsidRDefault="00081B7A">
            <w:pPr>
              <w:spacing w:beforeLines="20" w:before="48" w:afterLines="20" w:after="48"/>
              <w:jc w:val="center"/>
              <w:rPr>
                <w:noProof/>
                <w:sz w:val="14"/>
              </w:rPr>
            </w:pPr>
            <w:r w:rsidRPr="00363097">
              <w:rPr>
                <w:noProof/>
                <w:sz w:val="14"/>
              </w:rPr>
              <w:t>(5)</w:t>
            </w:r>
          </w:p>
        </w:tc>
        <w:tc>
          <w:tcPr>
            <w:tcW w:w="868" w:type="dxa"/>
            <w:gridSpan w:val="3"/>
            <w:vAlign w:val="center"/>
          </w:tcPr>
          <w:p w14:paraId="56640D95" w14:textId="7E7A02D9"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3</w:t>
            </w:r>
          </w:p>
        </w:tc>
        <w:tc>
          <w:tcPr>
            <w:tcW w:w="868" w:type="dxa"/>
            <w:gridSpan w:val="3"/>
            <w:vAlign w:val="center"/>
          </w:tcPr>
          <w:p w14:paraId="5769F115" w14:textId="77777777" w:rsidR="00081B7A" w:rsidRPr="00363097" w:rsidRDefault="00081B7A">
            <w:pPr>
              <w:spacing w:before="20" w:after="20"/>
              <w:jc w:val="right"/>
              <w:rPr>
                <w:noProof/>
                <w:sz w:val="20"/>
              </w:rPr>
            </w:pPr>
          </w:p>
        </w:tc>
        <w:tc>
          <w:tcPr>
            <w:tcW w:w="868" w:type="dxa"/>
            <w:gridSpan w:val="3"/>
            <w:vAlign w:val="center"/>
          </w:tcPr>
          <w:p w14:paraId="1652984F" w14:textId="77777777" w:rsidR="00081B7A" w:rsidRPr="00363097" w:rsidRDefault="00081B7A">
            <w:pPr>
              <w:spacing w:before="20" w:after="20"/>
              <w:jc w:val="right"/>
              <w:rPr>
                <w:noProof/>
                <w:sz w:val="20"/>
              </w:rPr>
            </w:pPr>
          </w:p>
        </w:tc>
        <w:tc>
          <w:tcPr>
            <w:tcW w:w="868" w:type="dxa"/>
            <w:gridSpan w:val="3"/>
            <w:vAlign w:val="center"/>
          </w:tcPr>
          <w:p w14:paraId="79A9D4D4" w14:textId="77777777" w:rsidR="00081B7A" w:rsidRPr="00363097" w:rsidRDefault="00081B7A">
            <w:pPr>
              <w:spacing w:before="20" w:after="20"/>
              <w:jc w:val="right"/>
              <w:rPr>
                <w:noProof/>
                <w:sz w:val="20"/>
              </w:rPr>
            </w:pPr>
          </w:p>
        </w:tc>
        <w:tc>
          <w:tcPr>
            <w:tcW w:w="868" w:type="dxa"/>
            <w:gridSpan w:val="3"/>
            <w:vAlign w:val="center"/>
          </w:tcPr>
          <w:p w14:paraId="0356C9D2" w14:textId="77777777" w:rsidR="00081B7A" w:rsidRPr="00363097" w:rsidRDefault="00081B7A">
            <w:pPr>
              <w:spacing w:before="20" w:after="20"/>
              <w:jc w:val="right"/>
              <w:rPr>
                <w:noProof/>
                <w:sz w:val="20"/>
              </w:rPr>
            </w:pPr>
          </w:p>
        </w:tc>
        <w:tc>
          <w:tcPr>
            <w:tcW w:w="868" w:type="dxa"/>
            <w:gridSpan w:val="3"/>
            <w:vAlign w:val="center"/>
          </w:tcPr>
          <w:p w14:paraId="33893A0F" w14:textId="77777777" w:rsidR="00081B7A" w:rsidRPr="00363097" w:rsidRDefault="00081B7A">
            <w:pPr>
              <w:spacing w:before="20" w:after="20"/>
              <w:jc w:val="right"/>
              <w:rPr>
                <w:noProof/>
                <w:sz w:val="20"/>
              </w:rPr>
            </w:pPr>
          </w:p>
        </w:tc>
        <w:tc>
          <w:tcPr>
            <w:tcW w:w="868" w:type="dxa"/>
            <w:gridSpan w:val="4"/>
            <w:vAlign w:val="center"/>
          </w:tcPr>
          <w:p w14:paraId="328510D7" w14:textId="77777777" w:rsidR="00081B7A" w:rsidRPr="00363097" w:rsidRDefault="00081B7A">
            <w:pPr>
              <w:spacing w:before="20" w:after="20"/>
              <w:jc w:val="right"/>
              <w:rPr>
                <w:b/>
                <w:noProof/>
                <w:sz w:val="20"/>
              </w:rPr>
            </w:pPr>
          </w:p>
        </w:tc>
        <w:tc>
          <w:tcPr>
            <w:tcW w:w="1777" w:type="dxa"/>
            <w:gridSpan w:val="4"/>
            <w:vAlign w:val="center"/>
          </w:tcPr>
          <w:p w14:paraId="35E3D535" w14:textId="77777777" w:rsidR="00081B7A" w:rsidRPr="00363097" w:rsidRDefault="00081B7A">
            <w:pPr>
              <w:spacing w:before="20" w:after="20"/>
              <w:jc w:val="right"/>
              <w:rPr>
                <w:b/>
                <w:noProof/>
                <w:sz w:val="20"/>
              </w:rPr>
            </w:pPr>
          </w:p>
        </w:tc>
      </w:tr>
      <w:tr w:rsidR="00363097" w:rsidRPr="00363097" w14:paraId="4D695A0D" w14:textId="77777777" w:rsidTr="00812D70">
        <w:trPr>
          <w:gridAfter w:val="3"/>
          <w:wAfter w:w="345" w:type="dxa"/>
          <w:trHeight w:val="533"/>
        </w:trPr>
        <w:tc>
          <w:tcPr>
            <w:tcW w:w="5400" w:type="dxa"/>
            <w:gridSpan w:val="4"/>
            <w:vAlign w:val="center"/>
          </w:tcPr>
          <w:p w14:paraId="765C4C77" w14:textId="77777777" w:rsidR="00081B7A" w:rsidRPr="00363097" w:rsidRDefault="00081B7A">
            <w:pPr>
              <w:spacing w:beforeLines="20" w:before="48" w:afterLines="20" w:after="48"/>
              <w:rPr>
                <w:noProof/>
                <w:lang w:val="en-IE"/>
              </w:rPr>
            </w:pPr>
            <w:r w:rsidRPr="00363097">
              <w:rPr>
                <w:rFonts w:ascii="Wingdings" w:eastAsia="Wingdings" w:hAnsi="Wingdings" w:cs="Wingdings"/>
                <w:noProof/>
                <w:sz w:val="21"/>
              </w:rPr>
              <w:t>□</w:t>
            </w:r>
            <w:r w:rsidRPr="00363097">
              <w:rPr>
                <w:noProof/>
                <w:sz w:val="21"/>
                <w:lang w:val="en-IE"/>
              </w:rPr>
              <w:t xml:space="preserve"> TOTAL appropriations of an administrative nature financed from the envelope for specific programmes </w:t>
            </w:r>
          </w:p>
        </w:tc>
        <w:tc>
          <w:tcPr>
            <w:tcW w:w="654" w:type="dxa"/>
            <w:gridSpan w:val="3"/>
            <w:vAlign w:val="center"/>
          </w:tcPr>
          <w:p w14:paraId="4DEE72DB" w14:textId="77777777" w:rsidR="00081B7A" w:rsidRPr="00363097" w:rsidRDefault="00081B7A">
            <w:pPr>
              <w:spacing w:beforeLines="20" w:before="48" w:afterLines="20" w:after="48"/>
              <w:jc w:val="center"/>
              <w:rPr>
                <w:noProof/>
                <w:sz w:val="14"/>
              </w:rPr>
            </w:pPr>
            <w:r w:rsidRPr="00363097">
              <w:rPr>
                <w:noProof/>
                <w:sz w:val="14"/>
              </w:rPr>
              <w:t>(6)</w:t>
            </w:r>
          </w:p>
        </w:tc>
        <w:tc>
          <w:tcPr>
            <w:tcW w:w="868" w:type="dxa"/>
            <w:gridSpan w:val="3"/>
            <w:vAlign w:val="center"/>
          </w:tcPr>
          <w:p w14:paraId="4FB92A14" w14:textId="77777777" w:rsidR="00081B7A" w:rsidRPr="00363097" w:rsidRDefault="00081B7A">
            <w:pPr>
              <w:spacing w:before="20" w:after="20"/>
              <w:jc w:val="right"/>
              <w:rPr>
                <w:b/>
                <w:noProof/>
                <w:sz w:val="20"/>
              </w:rPr>
            </w:pPr>
          </w:p>
        </w:tc>
        <w:tc>
          <w:tcPr>
            <w:tcW w:w="868" w:type="dxa"/>
            <w:gridSpan w:val="3"/>
            <w:vAlign w:val="center"/>
          </w:tcPr>
          <w:p w14:paraId="0D901809" w14:textId="77777777" w:rsidR="00081B7A" w:rsidRPr="00363097" w:rsidRDefault="00081B7A">
            <w:pPr>
              <w:spacing w:before="20" w:after="20"/>
              <w:jc w:val="right"/>
              <w:rPr>
                <w:b/>
                <w:noProof/>
                <w:sz w:val="20"/>
              </w:rPr>
            </w:pPr>
          </w:p>
        </w:tc>
        <w:tc>
          <w:tcPr>
            <w:tcW w:w="868" w:type="dxa"/>
            <w:gridSpan w:val="3"/>
            <w:vAlign w:val="center"/>
          </w:tcPr>
          <w:p w14:paraId="6BF6D1C8" w14:textId="77777777" w:rsidR="00081B7A" w:rsidRPr="00363097" w:rsidRDefault="00081B7A">
            <w:pPr>
              <w:spacing w:before="20" w:after="20"/>
              <w:jc w:val="right"/>
              <w:rPr>
                <w:b/>
                <w:noProof/>
                <w:sz w:val="20"/>
              </w:rPr>
            </w:pPr>
          </w:p>
        </w:tc>
        <w:tc>
          <w:tcPr>
            <w:tcW w:w="868" w:type="dxa"/>
            <w:gridSpan w:val="3"/>
            <w:vAlign w:val="center"/>
          </w:tcPr>
          <w:p w14:paraId="76DACE8E" w14:textId="77777777" w:rsidR="00081B7A" w:rsidRPr="00363097" w:rsidRDefault="00081B7A">
            <w:pPr>
              <w:spacing w:before="20" w:after="20"/>
              <w:jc w:val="right"/>
              <w:rPr>
                <w:b/>
                <w:noProof/>
                <w:sz w:val="20"/>
              </w:rPr>
            </w:pPr>
          </w:p>
        </w:tc>
        <w:tc>
          <w:tcPr>
            <w:tcW w:w="868" w:type="dxa"/>
            <w:gridSpan w:val="3"/>
            <w:vAlign w:val="center"/>
          </w:tcPr>
          <w:p w14:paraId="433302D0" w14:textId="77777777" w:rsidR="00081B7A" w:rsidRPr="00363097" w:rsidRDefault="00081B7A">
            <w:pPr>
              <w:spacing w:before="20" w:after="20"/>
              <w:jc w:val="right"/>
              <w:rPr>
                <w:b/>
                <w:noProof/>
                <w:sz w:val="20"/>
              </w:rPr>
            </w:pPr>
          </w:p>
        </w:tc>
        <w:tc>
          <w:tcPr>
            <w:tcW w:w="868" w:type="dxa"/>
            <w:gridSpan w:val="3"/>
            <w:vAlign w:val="center"/>
          </w:tcPr>
          <w:p w14:paraId="16FFCEB1" w14:textId="77777777" w:rsidR="00081B7A" w:rsidRPr="00363097" w:rsidRDefault="00081B7A">
            <w:pPr>
              <w:spacing w:before="20" w:after="20"/>
              <w:jc w:val="right"/>
              <w:rPr>
                <w:b/>
                <w:noProof/>
                <w:sz w:val="20"/>
              </w:rPr>
            </w:pPr>
          </w:p>
        </w:tc>
        <w:tc>
          <w:tcPr>
            <w:tcW w:w="868" w:type="dxa"/>
            <w:gridSpan w:val="4"/>
            <w:vAlign w:val="center"/>
          </w:tcPr>
          <w:p w14:paraId="6EA909B4" w14:textId="77777777" w:rsidR="00081B7A" w:rsidRPr="00363097" w:rsidRDefault="00081B7A">
            <w:pPr>
              <w:spacing w:before="20" w:after="20"/>
              <w:jc w:val="right"/>
              <w:rPr>
                <w:b/>
                <w:noProof/>
                <w:sz w:val="20"/>
              </w:rPr>
            </w:pPr>
          </w:p>
        </w:tc>
        <w:tc>
          <w:tcPr>
            <w:tcW w:w="1777" w:type="dxa"/>
            <w:gridSpan w:val="4"/>
            <w:vAlign w:val="center"/>
          </w:tcPr>
          <w:p w14:paraId="65E64170" w14:textId="77777777" w:rsidR="00081B7A" w:rsidRPr="00363097" w:rsidRDefault="00081B7A">
            <w:pPr>
              <w:spacing w:before="20" w:after="20"/>
              <w:jc w:val="right"/>
              <w:rPr>
                <w:b/>
                <w:noProof/>
                <w:sz w:val="20"/>
              </w:rPr>
            </w:pPr>
          </w:p>
        </w:tc>
      </w:tr>
      <w:tr w:rsidR="00363097" w:rsidRPr="00363097" w14:paraId="4E8E3963" w14:textId="77777777" w:rsidTr="00812D70">
        <w:trPr>
          <w:gridAfter w:val="1"/>
          <w:wAfter w:w="93" w:type="dxa"/>
        </w:trPr>
        <w:tc>
          <w:tcPr>
            <w:tcW w:w="3960" w:type="dxa"/>
            <w:gridSpan w:val="2"/>
            <w:shd w:val="thinDiagStripe" w:color="C0C0C0" w:fill="auto"/>
            <w:vAlign w:val="center"/>
          </w:tcPr>
          <w:p w14:paraId="5DB081EF" w14:textId="77777777" w:rsidR="00081B7A" w:rsidRPr="00363097" w:rsidRDefault="00081B7A">
            <w:pPr>
              <w:jc w:val="center"/>
              <w:rPr>
                <w:b/>
                <w:noProof/>
                <w:lang w:val="en-IE"/>
              </w:rPr>
            </w:pPr>
            <w:r w:rsidRPr="00363097">
              <w:rPr>
                <w:b/>
                <w:noProof/>
                <w:sz w:val="22"/>
                <w:lang w:val="en-IE"/>
              </w:rPr>
              <w:t xml:space="preserve">TOTAL appropriations </w:t>
            </w:r>
            <w:r w:rsidRPr="00363097">
              <w:rPr>
                <w:noProof/>
                <w:sz w:val="22"/>
                <w:lang w:val="en-IE"/>
              </w:rPr>
              <w:br/>
            </w:r>
            <w:r w:rsidRPr="00363097">
              <w:rPr>
                <w:b/>
                <w:noProof/>
                <w:sz w:val="22"/>
                <w:lang w:val="en-IE"/>
              </w:rPr>
              <w:t>under HEADING &lt;….&gt;</w:t>
            </w:r>
            <w:r w:rsidRPr="00363097">
              <w:rPr>
                <w:noProof/>
                <w:sz w:val="22"/>
                <w:lang w:val="en-IE"/>
              </w:rPr>
              <w:br/>
              <w:t>of the multiannual financial framework</w:t>
            </w:r>
          </w:p>
        </w:tc>
        <w:tc>
          <w:tcPr>
            <w:tcW w:w="1440" w:type="dxa"/>
            <w:gridSpan w:val="2"/>
            <w:vAlign w:val="center"/>
          </w:tcPr>
          <w:p w14:paraId="5775862A" w14:textId="77777777" w:rsidR="00081B7A" w:rsidRPr="00363097" w:rsidRDefault="00081B7A">
            <w:pPr>
              <w:rPr>
                <w:noProof/>
                <w:sz w:val="18"/>
              </w:rPr>
            </w:pPr>
            <w:r w:rsidRPr="00363097">
              <w:rPr>
                <w:noProof/>
                <w:sz w:val="18"/>
              </w:rPr>
              <w:t>Commitments</w:t>
            </w:r>
          </w:p>
        </w:tc>
        <w:tc>
          <w:tcPr>
            <w:tcW w:w="654" w:type="dxa"/>
            <w:gridSpan w:val="3"/>
            <w:vAlign w:val="center"/>
          </w:tcPr>
          <w:p w14:paraId="52A8D904" w14:textId="77777777" w:rsidR="00081B7A" w:rsidRPr="00363097" w:rsidRDefault="00081B7A">
            <w:pPr>
              <w:jc w:val="center"/>
              <w:rPr>
                <w:noProof/>
                <w:sz w:val="14"/>
              </w:rPr>
            </w:pPr>
            <w:r w:rsidRPr="00363097">
              <w:rPr>
                <w:noProof/>
                <w:sz w:val="14"/>
              </w:rPr>
              <w:t>=4+ 6</w:t>
            </w:r>
          </w:p>
        </w:tc>
        <w:tc>
          <w:tcPr>
            <w:tcW w:w="868" w:type="dxa"/>
            <w:gridSpan w:val="3"/>
            <w:vAlign w:val="center"/>
          </w:tcPr>
          <w:p w14:paraId="329A4D8A" w14:textId="77777777" w:rsidR="00081B7A" w:rsidRPr="00363097" w:rsidRDefault="00081B7A">
            <w:pPr>
              <w:spacing w:before="20" w:after="20"/>
              <w:jc w:val="right"/>
              <w:rPr>
                <w:noProof/>
                <w:sz w:val="20"/>
              </w:rPr>
            </w:pPr>
          </w:p>
        </w:tc>
        <w:tc>
          <w:tcPr>
            <w:tcW w:w="868" w:type="dxa"/>
            <w:gridSpan w:val="3"/>
            <w:vAlign w:val="center"/>
          </w:tcPr>
          <w:p w14:paraId="649D6DDD" w14:textId="29CC4D59"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tcPr>
          <w:p w14:paraId="068CA31C" w14:textId="1DC01564"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tcPr>
          <w:p w14:paraId="5C5A2B42" w14:textId="6D0170CC"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6</w:t>
            </w:r>
          </w:p>
        </w:tc>
        <w:tc>
          <w:tcPr>
            <w:tcW w:w="868" w:type="dxa"/>
            <w:gridSpan w:val="3"/>
          </w:tcPr>
          <w:p w14:paraId="0A3A64C3" w14:textId="77777777" w:rsidR="00081B7A" w:rsidRPr="00363097" w:rsidRDefault="00081B7A">
            <w:pPr>
              <w:spacing w:before="20" w:after="20"/>
              <w:jc w:val="right"/>
              <w:rPr>
                <w:noProof/>
                <w:sz w:val="20"/>
              </w:rPr>
            </w:pPr>
          </w:p>
        </w:tc>
        <w:tc>
          <w:tcPr>
            <w:tcW w:w="868" w:type="dxa"/>
            <w:gridSpan w:val="3"/>
          </w:tcPr>
          <w:p w14:paraId="7D3841E3" w14:textId="77777777" w:rsidR="00081B7A" w:rsidRPr="00363097" w:rsidRDefault="00081B7A">
            <w:pPr>
              <w:spacing w:before="20" w:after="20"/>
              <w:jc w:val="right"/>
              <w:rPr>
                <w:noProof/>
                <w:sz w:val="20"/>
              </w:rPr>
            </w:pPr>
          </w:p>
        </w:tc>
        <w:tc>
          <w:tcPr>
            <w:tcW w:w="868" w:type="dxa"/>
            <w:gridSpan w:val="4"/>
          </w:tcPr>
          <w:p w14:paraId="72449261" w14:textId="77777777" w:rsidR="00081B7A" w:rsidRPr="00363097" w:rsidRDefault="00081B7A">
            <w:pPr>
              <w:spacing w:before="20" w:after="20"/>
              <w:jc w:val="right"/>
              <w:rPr>
                <w:b/>
                <w:noProof/>
                <w:sz w:val="20"/>
              </w:rPr>
            </w:pPr>
          </w:p>
        </w:tc>
        <w:tc>
          <w:tcPr>
            <w:tcW w:w="2029" w:type="dxa"/>
            <w:gridSpan w:val="6"/>
            <w:vAlign w:val="center"/>
          </w:tcPr>
          <w:p w14:paraId="4BB08940" w14:textId="77777777" w:rsidR="00081B7A" w:rsidRPr="00363097" w:rsidRDefault="00081B7A">
            <w:pPr>
              <w:spacing w:before="20" w:after="20"/>
              <w:jc w:val="right"/>
              <w:rPr>
                <w:b/>
                <w:noProof/>
                <w:sz w:val="20"/>
              </w:rPr>
            </w:pPr>
          </w:p>
        </w:tc>
      </w:tr>
      <w:tr w:rsidR="00363097" w:rsidRPr="00363097" w14:paraId="4FD2AA46" w14:textId="77777777" w:rsidTr="00812D70">
        <w:trPr>
          <w:gridAfter w:val="3"/>
          <w:wAfter w:w="345" w:type="dxa"/>
        </w:trPr>
        <w:tc>
          <w:tcPr>
            <w:tcW w:w="3960" w:type="dxa"/>
            <w:gridSpan w:val="2"/>
            <w:shd w:val="thinDiagStripe" w:color="C0C0C0" w:fill="auto"/>
          </w:tcPr>
          <w:p w14:paraId="413C5C56" w14:textId="77777777" w:rsidR="00081B7A" w:rsidRPr="00363097" w:rsidRDefault="00081B7A">
            <w:pPr>
              <w:rPr>
                <w:noProof/>
                <w:sz w:val="20"/>
              </w:rPr>
            </w:pPr>
          </w:p>
        </w:tc>
        <w:tc>
          <w:tcPr>
            <w:tcW w:w="1440" w:type="dxa"/>
            <w:gridSpan w:val="2"/>
            <w:vAlign w:val="center"/>
          </w:tcPr>
          <w:p w14:paraId="43AF331F" w14:textId="77777777" w:rsidR="00081B7A" w:rsidRPr="00363097" w:rsidRDefault="00081B7A">
            <w:pPr>
              <w:rPr>
                <w:noProof/>
                <w:sz w:val="18"/>
              </w:rPr>
            </w:pPr>
            <w:r w:rsidRPr="00363097">
              <w:rPr>
                <w:noProof/>
                <w:sz w:val="18"/>
              </w:rPr>
              <w:t>Payments</w:t>
            </w:r>
          </w:p>
        </w:tc>
        <w:tc>
          <w:tcPr>
            <w:tcW w:w="654" w:type="dxa"/>
            <w:gridSpan w:val="3"/>
            <w:vAlign w:val="center"/>
          </w:tcPr>
          <w:p w14:paraId="33490AF9" w14:textId="77777777" w:rsidR="00081B7A" w:rsidRPr="00363097" w:rsidRDefault="00081B7A">
            <w:pPr>
              <w:jc w:val="center"/>
              <w:rPr>
                <w:noProof/>
                <w:sz w:val="14"/>
              </w:rPr>
            </w:pPr>
            <w:r w:rsidRPr="00363097">
              <w:rPr>
                <w:noProof/>
                <w:sz w:val="14"/>
              </w:rPr>
              <w:t>=5+ 6</w:t>
            </w:r>
          </w:p>
        </w:tc>
        <w:tc>
          <w:tcPr>
            <w:tcW w:w="868" w:type="dxa"/>
            <w:gridSpan w:val="3"/>
            <w:vAlign w:val="center"/>
          </w:tcPr>
          <w:p w14:paraId="1436BCB7" w14:textId="6B512949" w:rsidR="00081B7A" w:rsidRPr="00363097" w:rsidRDefault="00081B7A">
            <w:pPr>
              <w:spacing w:before="20" w:after="20"/>
              <w:jc w:val="right"/>
              <w:rPr>
                <w:noProof/>
                <w:sz w:val="20"/>
              </w:rPr>
            </w:pPr>
            <w:r w:rsidRPr="00363097">
              <w:rPr>
                <w:noProof/>
                <w:sz w:val="20"/>
              </w:rPr>
              <w:t>0</w:t>
            </w:r>
            <w:r w:rsidR="006A0613">
              <w:rPr>
                <w:noProof/>
                <w:sz w:val="20"/>
              </w:rPr>
              <w:t>,</w:t>
            </w:r>
            <w:r w:rsidRPr="00363097">
              <w:rPr>
                <w:noProof/>
                <w:sz w:val="20"/>
              </w:rPr>
              <w:t>3</w:t>
            </w:r>
          </w:p>
        </w:tc>
        <w:tc>
          <w:tcPr>
            <w:tcW w:w="868" w:type="dxa"/>
            <w:gridSpan w:val="3"/>
            <w:vAlign w:val="center"/>
          </w:tcPr>
          <w:p w14:paraId="12F26C2F" w14:textId="77777777" w:rsidR="00081B7A" w:rsidRPr="00363097" w:rsidRDefault="00081B7A">
            <w:pPr>
              <w:spacing w:before="20" w:after="20"/>
              <w:jc w:val="right"/>
              <w:rPr>
                <w:noProof/>
                <w:sz w:val="20"/>
              </w:rPr>
            </w:pPr>
          </w:p>
        </w:tc>
        <w:tc>
          <w:tcPr>
            <w:tcW w:w="868" w:type="dxa"/>
            <w:gridSpan w:val="3"/>
            <w:vAlign w:val="center"/>
          </w:tcPr>
          <w:p w14:paraId="792D0749" w14:textId="77777777" w:rsidR="00081B7A" w:rsidRPr="00363097" w:rsidRDefault="00081B7A">
            <w:pPr>
              <w:spacing w:before="20" w:after="20"/>
              <w:jc w:val="right"/>
              <w:rPr>
                <w:noProof/>
                <w:sz w:val="20"/>
              </w:rPr>
            </w:pPr>
          </w:p>
        </w:tc>
        <w:tc>
          <w:tcPr>
            <w:tcW w:w="868" w:type="dxa"/>
            <w:gridSpan w:val="3"/>
            <w:vAlign w:val="center"/>
          </w:tcPr>
          <w:p w14:paraId="4F7D6EE9" w14:textId="77777777" w:rsidR="00081B7A" w:rsidRPr="00363097" w:rsidRDefault="00081B7A">
            <w:pPr>
              <w:spacing w:before="20" w:after="20"/>
              <w:jc w:val="right"/>
              <w:rPr>
                <w:noProof/>
                <w:sz w:val="20"/>
              </w:rPr>
            </w:pPr>
          </w:p>
        </w:tc>
        <w:tc>
          <w:tcPr>
            <w:tcW w:w="868" w:type="dxa"/>
            <w:gridSpan w:val="3"/>
            <w:vAlign w:val="center"/>
          </w:tcPr>
          <w:p w14:paraId="1A14AFFF" w14:textId="77777777" w:rsidR="00081B7A" w:rsidRPr="00363097" w:rsidRDefault="00081B7A">
            <w:pPr>
              <w:spacing w:before="20" w:after="20"/>
              <w:jc w:val="right"/>
              <w:rPr>
                <w:noProof/>
                <w:sz w:val="20"/>
              </w:rPr>
            </w:pPr>
          </w:p>
        </w:tc>
        <w:tc>
          <w:tcPr>
            <w:tcW w:w="868" w:type="dxa"/>
            <w:gridSpan w:val="3"/>
            <w:vAlign w:val="center"/>
          </w:tcPr>
          <w:p w14:paraId="26B08AD4" w14:textId="77777777" w:rsidR="00081B7A" w:rsidRPr="00363097" w:rsidRDefault="00081B7A">
            <w:pPr>
              <w:spacing w:before="20" w:after="20"/>
              <w:jc w:val="right"/>
              <w:rPr>
                <w:noProof/>
                <w:sz w:val="20"/>
              </w:rPr>
            </w:pPr>
          </w:p>
        </w:tc>
        <w:tc>
          <w:tcPr>
            <w:tcW w:w="868" w:type="dxa"/>
            <w:gridSpan w:val="4"/>
            <w:vAlign w:val="center"/>
          </w:tcPr>
          <w:p w14:paraId="5DCA9B8A" w14:textId="77777777" w:rsidR="00081B7A" w:rsidRPr="00363097" w:rsidRDefault="00081B7A">
            <w:pPr>
              <w:spacing w:before="20" w:after="20"/>
              <w:jc w:val="right"/>
              <w:rPr>
                <w:b/>
                <w:noProof/>
                <w:sz w:val="20"/>
              </w:rPr>
            </w:pPr>
          </w:p>
        </w:tc>
        <w:tc>
          <w:tcPr>
            <w:tcW w:w="1777" w:type="dxa"/>
            <w:gridSpan w:val="4"/>
            <w:vAlign w:val="center"/>
          </w:tcPr>
          <w:p w14:paraId="40BDE3A3" w14:textId="77777777" w:rsidR="00081B7A" w:rsidRPr="00363097" w:rsidRDefault="00081B7A">
            <w:pPr>
              <w:spacing w:before="20" w:after="20"/>
              <w:jc w:val="right"/>
              <w:rPr>
                <w:b/>
                <w:noProof/>
                <w:sz w:val="20"/>
              </w:rPr>
            </w:pPr>
          </w:p>
        </w:tc>
      </w:tr>
    </w:tbl>
    <w:p w14:paraId="5FDB12E6" w14:textId="77777777" w:rsidR="00081B7A" w:rsidRPr="00363097" w:rsidRDefault="00081B7A" w:rsidP="00081B7A">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63097" w:rsidRPr="00363097" w14:paraId="191730BE" w14:textId="77777777">
        <w:trPr>
          <w:jc w:val="center"/>
        </w:trPr>
        <w:tc>
          <w:tcPr>
            <w:tcW w:w="4744" w:type="dxa"/>
            <w:shd w:val="thinDiagStripe" w:color="C0C0C0" w:fill="auto"/>
            <w:vAlign w:val="center"/>
          </w:tcPr>
          <w:p w14:paraId="7270E8BA" w14:textId="77777777" w:rsidR="00081B7A" w:rsidRPr="00363097" w:rsidRDefault="00081B7A">
            <w:pPr>
              <w:spacing w:before="60" w:after="60"/>
              <w:jc w:val="center"/>
              <w:rPr>
                <w:b/>
                <w:noProof/>
                <w:lang w:val="en-IE"/>
              </w:rPr>
            </w:pPr>
            <w:r w:rsidRPr="00363097">
              <w:rPr>
                <w:noProof/>
              </w:rPr>
              <w:br w:type="page"/>
            </w:r>
            <w:r w:rsidRPr="00363097">
              <w:rPr>
                <w:noProof/>
                <w:sz w:val="22"/>
                <w:lang w:val="en-IE"/>
              </w:rPr>
              <w:br w:type="page"/>
            </w:r>
            <w:r w:rsidRPr="00363097">
              <w:rPr>
                <w:b/>
                <w:noProof/>
                <w:sz w:val="22"/>
                <w:lang w:val="en-IE"/>
              </w:rPr>
              <w:t xml:space="preserve">Heading of multiannual financial </w:t>
            </w:r>
            <w:r w:rsidRPr="00363097">
              <w:rPr>
                <w:noProof/>
                <w:sz w:val="22"/>
                <w:lang w:val="en-IE"/>
              </w:rPr>
              <w:br/>
            </w:r>
            <w:r w:rsidRPr="00363097">
              <w:rPr>
                <w:b/>
                <w:noProof/>
                <w:sz w:val="22"/>
                <w:lang w:val="en-IE"/>
              </w:rPr>
              <w:t xml:space="preserve">framework </w:t>
            </w:r>
          </w:p>
        </w:tc>
        <w:tc>
          <w:tcPr>
            <w:tcW w:w="1080" w:type="dxa"/>
            <w:shd w:val="thinDiagStripe" w:color="C0C0C0" w:fill="auto"/>
            <w:vAlign w:val="center"/>
          </w:tcPr>
          <w:p w14:paraId="709D2C57" w14:textId="77777777" w:rsidR="00081B7A" w:rsidRPr="00363097" w:rsidRDefault="00081B7A">
            <w:pPr>
              <w:spacing w:before="60" w:after="60"/>
              <w:jc w:val="center"/>
              <w:rPr>
                <w:noProof/>
              </w:rPr>
            </w:pPr>
            <w:r w:rsidRPr="00363097">
              <w:rPr>
                <w:b/>
                <w:noProof/>
                <w:sz w:val="22"/>
              </w:rPr>
              <w:t>7</w:t>
            </w:r>
          </w:p>
        </w:tc>
        <w:tc>
          <w:tcPr>
            <w:tcW w:w="7817" w:type="dxa"/>
            <w:vAlign w:val="center"/>
          </w:tcPr>
          <w:p w14:paraId="58BB00B6" w14:textId="77777777" w:rsidR="00081B7A" w:rsidRPr="00363097" w:rsidRDefault="00081B7A">
            <w:pPr>
              <w:spacing w:before="60" w:after="60"/>
              <w:rPr>
                <w:noProof/>
              </w:rPr>
            </w:pPr>
            <w:r w:rsidRPr="00363097">
              <w:rPr>
                <w:noProof/>
                <w:sz w:val="22"/>
              </w:rPr>
              <w:t>‘Administrative expenditure’</w:t>
            </w:r>
          </w:p>
        </w:tc>
      </w:tr>
    </w:tbl>
    <w:p w14:paraId="29B5AEB5" w14:textId="77777777" w:rsidR="00081B7A" w:rsidRPr="00363097" w:rsidRDefault="00081B7A" w:rsidP="00081B7A">
      <w:pPr>
        <w:jc w:val="left"/>
        <w:rPr>
          <w:noProof/>
          <w:sz w:val="20"/>
          <w:lang w:val="en-IE"/>
        </w:rPr>
      </w:pPr>
      <w:r w:rsidRPr="00363097">
        <w:rPr>
          <w:noProof/>
          <w:lang w:val="en-IE"/>
        </w:rPr>
        <w:t xml:space="preserve">This section should be filled in using the 'budget data of an administrative nature' to be firstly introduced in the </w:t>
      </w:r>
      <w:hyperlink r:id="rId16" w:history="1">
        <w:r w:rsidRPr="00363097">
          <w:rPr>
            <w:rStyle w:val="Hyperlink"/>
            <w:noProof/>
            <w:color w:val="auto"/>
            <w:lang w:val="en-IE"/>
          </w:rPr>
          <w:t>Annex to the Legislative Financial Statement</w:t>
        </w:r>
      </w:hyperlink>
      <w:r w:rsidRPr="00363097">
        <w:rPr>
          <w:noProof/>
          <w:lang w:val="en-IE"/>
        </w:rPr>
        <w:t xml:space="preserve"> (Annex 5 to the Commission decision on the internal rules for the implementation of the Commission section of the general budget of the European Union), which is uploaded to DECIDE for interservice consultation purposes.</w:t>
      </w:r>
    </w:p>
    <w:p w14:paraId="39FC2CBF" w14:textId="77777777" w:rsidR="00081B7A" w:rsidRPr="00363097" w:rsidRDefault="00081B7A" w:rsidP="00081B7A">
      <w:pPr>
        <w:jc w:val="right"/>
        <w:rPr>
          <w:noProof/>
          <w:sz w:val="20"/>
          <w:lang w:val="en-IE"/>
        </w:rPr>
      </w:pPr>
      <w:r w:rsidRPr="00363097">
        <w:rPr>
          <w:noProof/>
          <w:sz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63097" w:rsidRPr="00363097" w14:paraId="2232F1E5" w14:textId="77777777">
        <w:tc>
          <w:tcPr>
            <w:tcW w:w="3960" w:type="dxa"/>
            <w:tcBorders>
              <w:top w:val="nil"/>
              <w:left w:val="nil"/>
              <w:right w:val="nil"/>
            </w:tcBorders>
            <w:vAlign w:val="center"/>
          </w:tcPr>
          <w:p w14:paraId="1A4D70CF" w14:textId="77777777" w:rsidR="00081B7A" w:rsidRPr="00363097" w:rsidRDefault="00081B7A">
            <w:pPr>
              <w:jc w:val="center"/>
              <w:rPr>
                <w:noProof/>
                <w:lang w:val="en-IE"/>
              </w:rPr>
            </w:pPr>
          </w:p>
        </w:tc>
        <w:tc>
          <w:tcPr>
            <w:tcW w:w="1560" w:type="dxa"/>
            <w:tcBorders>
              <w:top w:val="nil"/>
              <w:left w:val="nil"/>
              <w:right w:val="nil"/>
            </w:tcBorders>
          </w:tcPr>
          <w:p w14:paraId="27ED6B60" w14:textId="77777777" w:rsidR="00081B7A" w:rsidRPr="00363097" w:rsidRDefault="00081B7A">
            <w:pPr>
              <w:rPr>
                <w:noProof/>
                <w:sz w:val="20"/>
                <w:lang w:val="en-IE"/>
              </w:rPr>
            </w:pPr>
          </w:p>
        </w:tc>
        <w:tc>
          <w:tcPr>
            <w:tcW w:w="534" w:type="dxa"/>
            <w:tcBorders>
              <w:top w:val="nil"/>
              <w:left w:val="nil"/>
            </w:tcBorders>
          </w:tcPr>
          <w:p w14:paraId="5A3D01DD" w14:textId="77777777" w:rsidR="00081B7A" w:rsidRPr="00363097" w:rsidRDefault="00081B7A">
            <w:pPr>
              <w:jc w:val="center"/>
              <w:rPr>
                <w:noProof/>
                <w:sz w:val="20"/>
                <w:lang w:val="en-IE"/>
              </w:rPr>
            </w:pPr>
          </w:p>
        </w:tc>
        <w:tc>
          <w:tcPr>
            <w:tcW w:w="868" w:type="dxa"/>
            <w:vAlign w:val="center"/>
          </w:tcPr>
          <w:p w14:paraId="717D59C4"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w:t>
            </w:r>
          </w:p>
        </w:tc>
        <w:tc>
          <w:tcPr>
            <w:tcW w:w="868" w:type="dxa"/>
            <w:vAlign w:val="center"/>
          </w:tcPr>
          <w:p w14:paraId="70E9B647"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N+1</w:t>
            </w:r>
          </w:p>
        </w:tc>
        <w:tc>
          <w:tcPr>
            <w:tcW w:w="868" w:type="dxa"/>
            <w:vAlign w:val="center"/>
          </w:tcPr>
          <w:p w14:paraId="5102A838"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N+2</w:t>
            </w:r>
          </w:p>
        </w:tc>
        <w:tc>
          <w:tcPr>
            <w:tcW w:w="868" w:type="dxa"/>
            <w:vAlign w:val="center"/>
          </w:tcPr>
          <w:p w14:paraId="6DFC51DE"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N+3</w:t>
            </w:r>
          </w:p>
        </w:tc>
        <w:tc>
          <w:tcPr>
            <w:tcW w:w="2604" w:type="dxa"/>
            <w:gridSpan w:val="3"/>
            <w:vAlign w:val="center"/>
          </w:tcPr>
          <w:p w14:paraId="03DDB693" w14:textId="77777777" w:rsidR="00081B7A" w:rsidRPr="00363097" w:rsidRDefault="00081B7A">
            <w:pPr>
              <w:jc w:val="center"/>
              <w:rPr>
                <w:b/>
                <w:noProof/>
                <w:sz w:val="18"/>
                <w:lang w:val="en-IE"/>
              </w:rPr>
            </w:pPr>
            <w:r w:rsidRPr="00363097">
              <w:rPr>
                <w:noProof/>
                <w:sz w:val="18"/>
                <w:lang w:val="en-IE"/>
              </w:rPr>
              <w:t xml:space="preserve">Enter as many years as necessary to show the duration of the impact (see point 1.6) </w:t>
            </w:r>
          </w:p>
        </w:tc>
        <w:tc>
          <w:tcPr>
            <w:tcW w:w="1777" w:type="dxa"/>
            <w:vAlign w:val="center"/>
          </w:tcPr>
          <w:p w14:paraId="6BB1E1DE" w14:textId="77777777" w:rsidR="00081B7A" w:rsidRPr="00363097" w:rsidRDefault="00081B7A">
            <w:pPr>
              <w:jc w:val="center"/>
              <w:rPr>
                <w:b/>
                <w:noProof/>
                <w:sz w:val="20"/>
              </w:rPr>
            </w:pPr>
            <w:r w:rsidRPr="00363097">
              <w:rPr>
                <w:b/>
                <w:noProof/>
                <w:sz w:val="20"/>
              </w:rPr>
              <w:t>TOTAL</w:t>
            </w:r>
          </w:p>
        </w:tc>
      </w:tr>
      <w:tr w:rsidR="00363097" w:rsidRPr="00363097" w14:paraId="3B549812" w14:textId="77777777">
        <w:tc>
          <w:tcPr>
            <w:tcW w:w="3960" w:type="dxa"/>
            <w:gridSpan w:val="11"/>
            <w:vAlign w:val="center"/>
          </w:tcPr>
          <w:p w14:paraId="17769591" w14:textId="77777777" w:rsidR="00081B7A" w:rsidRPr="00363097" w:rsidRDefault="00081B7A">
            <w:pPr>
              <w:spacing w:before="60" w:after="60"/>
              <w:jc w:val="center"/>
              <w:rPr>
                <w:noProof/>
              </w:rPr>
            </w:pPr>
            <w:r w:rsidRPr="00363097">
              <w:rPr>
                <w:noProof/>
                <w:sz w:val="22"/>
              </w:rPr>
              <w:t>DG: &lt;…….&gt;</w:t>
            </w:r>
          </w:p>
        </w:tc>
      </w:tr>
      <w:tr w:rsidR="00363097" w:rsidRPr="00363097" w14:paraId="0F3A6691" w14:textId="77777777">
        <w:trPr>
          <w:trHeight w:val="313"/>
        </w:trPr>
        <w:tc>
          <w:tcPr>
            <w:tcW w:w="6054" w:type="dxa"/>
            <w:gridSpan w:val="3"/>
            <w:vAlign w:val="center"/>
          </w:tcPr>
          <w:p w14:paraId="375AAD73" w14:textId="77777777" w:rsidR="00081B7A" w:rsidRPr="00363097" w:rsidRDefault="00081B7A">
            <w:pPr>
              <w:spacing w:before="20" w:after="20"/>
              <w:rPr>
                <w:noProof/>
              </w:rPr>
            </w:pPr>
            <w:r w:rsidRPr="00363097">
              <w:rPr>
                <w:rFonts w:ascii="Wingdings" w:eastAsia="Wingdings" w:hAnsi="Wingdings" w:cs="Wingdings"/>
                <w:noProof/>
                <w:sz w:val="22"/>
              </w:rPr>
              <w:t>□</w:t>
            </w:r>
            <w:r w:rsidRPr="00363097">
              <w:rPr>
                <w:noProof/>
                <w:sz w:val="22"/>
              </w:rPr>
              <w:t xml:space="preserve"> Human resources </w:t>
            </w:r>
          </w:p>
        </w:tc>
        <w:tc>
          <w:tcPr>
            <w:tcW w:w="868" w:type="dxa"/>
            <w:vAlign w:val="center"/>
          </w:tcPr>
          <w:p w14:paraId="2CBCF67C" w14:textId="77777777" w:rsidR="00081B7A" w:rsidRPr="00363097" w:rsidRDefault="00081B7A">
            <w:pPr>
              <w:spacing w:before="20" w:after="20"/>
              <w:jc w:val="right"/>
              <w:rPr>
                <w:noProof/>
                <w:sz w:val="20"/>
              </w:rPr>
            </w:pPr>
          </w:p>
        </w:tc>
        <w:tc>
          <w:tcPr>
            <w:tcW w:w="868" w:type="dxa"/>
            <w:vAlign w:val="center"/>
          </w:tcPr>
          <w:p w14:paraId="6848C77D" w14:textId="77777777" w:rsidR="00081B7A" w:rsidRPr="00363097" w:rsidRDefault="00081B7A">
            <w:pPr>
              <w:spacing w:before="20" w:after="20"/>
              <w:jc w:val="right"/>
              <w:rPr>
                <w:noProof/>
                <w:sz w:val="20"/>
              </w:rPr>
            </w:pPr>
          </w:p>
        </w:tc>
        <w:tc>
          <w:tcPr>
            <w:tcW w:w="868" w:type="dxa"/>
            <w:vAlign w:val="center"/>
          </w:tcPr>
          <w:p w14:paraId="4B19FB73" w14:textId="77777777" w:rsidR="00081B7A" w:rsidRPr="00363097" w:rsidRDefault="00081B7A">
            <w:pPr>
              <w:spacing w:before="20" w:after="20"/>
              <w:jc w:val="right"/>
              <w:rPr>
                <w:noProof/>
                <w:sz w:val="20"/>
              </w:rPr>
            </w:pPr>
          </w:p>
        </w:tc>
        <w:tc>
          <w:tcPr>
            <w:tcW w:w="868" w:type="dxa"/>
            <w:vAlign w:val="center"/>
          </w:tcPr>
          <w:p w14:paraId="3ED039FA" w14:textId="77777777" w:rsidR="00081B7A" w:rsidRPr="00363097" w:rsidRDefault="00081B7A">
            <w:pPr>
              <w:spacing w:before="20" w:after="20"/>
              <w:jc w:val="right"/>
              <w:rPr>
                <w:noProof/>
                <w:sz w:val="20"/>
              </w:rPr>
            </w:pPr>
          </w:p>
        </w:tc>
        <w:tc>
          <w:tcPr>
            <w:tcW w:w="868" w:type="dxa"/>
            <w:vAlign w:val="center"/>
          </w:tcPr>
          <w:p w14:paraId="554D056F" w14:textId="77777777" w:rsidR="00081B7A" w:rsidRPr="00363097" w:rsidRDefault="00081B7A">
            <w:pPr>
              <w:spacing w:before="20" w:after="20"/>
              <w:jc w:val="right"/>
              <w:rPr>
                <w:noProof/>
                <w:sz w:val="20"/>
              </w:rPr>
            </w:pPr>
          </w:p>
        </w:tc>
        <w:tc>
          <w:tcPr>
            <w:tcW w:w="868" w:type="dxa"/>
            <w:vAlign w:val="center"/>
          </w:tcPr>
          <w:p w14:paraId="06D65675" w14:textId="77777777" w:rsidR="00081B7A" w:rsidRPr="00363097" w:rsidRDefault="00081B7A">
            <w:pPr>
              <w:spacing w:before="20" w:after="20"/>
              <w:jc w:val="right"/>
              <w:rPr>
                <w:noProof/>
                <w:sz w:val="20"/>
              </w:rPr>
            </w:pPr>
          </w:p>
        </w:tc>
        <w:tc>
          <w:tcPr>
            <w:tcW w:w="868" w:type="dxa"/>
            <w:vAlign w:val="center"/>
          </w:tcPr>
          <w:p w14:paraId="67BF85E4" w14:textId="77777777" w:rsidR="00081B7A" w:rsidRPr="00363097" w:rsidRDefault="00081B7A">
            <w:pPr>
              <w:spacing w:before="20" w:after="20"/>
              <w:jc w:val="right"/>
              <w:rPr>
                <w:b/>
                <w:noProof/>
                <w:sz w:val="20"/>
              </w:rPr>
            </w:pPr>
          </w:p>
        </w:tc>
        <w:tc>
          <w:tcPr>
            <w:tcW w:w="1777" w:type="dxa"/>
            <w:vAlign w:val="center"/>
          </w:tcPr>
          <w:p w14:paraId="39806F4B" w14:textId="77777777" w:rsidR="00081B7A" w:rsidRPr="00363097" w:rsidRDefault="00081B7A">
            <w:pPr>
              <w:spacing w:before="20" w:after="20"/>
              <w:jc w:val="right"/>
              <w:rPr>
                <w:b/>
                <w:noProof/>
                <w:sz w:val="20"/>
              </w:rPr>
            </w:pPr>
          </w:p>
        </w:tc>
      </w:tr>
      <w:tr w:rsidR="00363097" w:rsidRPr="00363097" w14:paraId="12EE5893" w14:textId="77777777">
        <w:trPr>
          <w:trHeight w:val="351"/>
        </w:trPr>
        <w:tc>
          <w:tcPr>
            <w:tcW w:w="6054" w:type="dxa"/>
            <w:gridSpan w:val="3"/>
            <w:vAlign w:val="center"/>
          </w:tcPr>
          <w:p w14:paraId="4E7D85BE" w14:textId="77777777" w:rsidR="00081B7A" w:rsidRPr="00363097" w:rsidRDefault="00081B7A">
            <w:pPr>
              <w:spacing w:before="20" w:after="20"/>
              <w:rPr>
                <w:noProof/>
              </w:rPr>
            </w:pPr>
            <w:r w:rsidRPr="00363097">
              <w:rPr>
                <w:rFonts w:ascii="Wingdings" w:eastAsia="Wingdings" w:hAnsi="Wingdings" w:cs="Wingdings"/>
                <w:noProof/>
                <w:sz w:val="22"/>
              </w:rPr>
              <w:t>□</w:t>
            </w:r>
            <w:r w:rsidRPr="00363097">
              <w:rPr>
                <w:noProof/>
                <w:sz w:val="22"/>
              </w:rPr>
              <w:t xml:space="preserve"> Other administrative expenditure </w:t>
            </w:r>
          </w:p>
        </w:tc>
        <w:tc>
          <w:tcPr>
            <w:tcW w:w="868" w:type="dxa"/>
            <w:vAlign w:val="center"/>
          </w:tcPr>
          <w:p w14:paraId="4080A549" w14:textId="77777777" w:rsidR="00081B7A" w:rsidRPr="00363097" w:rsidRDefault="00081B7A">
            <w:pPr>
              <w:spacing w:before="20" w:after="20"/>
              <w:jc w:val="right"/>
              <w:rPr>
                <w:b/>
                <w:noProof/>
                <w:sz w:val="20"/>
              </w:rPr>
            </w:pPr>
          </w:p>
        </w:tc>
        <w:tc>
          <w:tcPr>
            <w:tcW w:w="868" w:type="dxa"/>
            <w:vAlign w:val="center"/>
          </w:tcPr>
          <w:p w14:paraId="2251C480" w14:textId="77777777" w:rsidR="00081B7A" w:rsidRPr="00363097" w:rsidRDefault="00081B7A">
            <w:pPr>
              <w:spacing w:before="20" w:after="20"/>
              <w:jc w:val="right"/>
              <w:rPr>
                <w:b/>
                <w:noProof/>
                <w:sz w:val="20"/>
              </w:rPr>
            </w:pPr>
          </w:p>
        </w:tc>
        <w:tc>
          <w:tcPr>
            <w:tcW w:w="868" w:type="dxa"/>
            <w:vAlign w:val="center"/>
          </w:tcPr>
          <w:p w14:paraId="35EC3A51" w14:textId="77777777" w:rsidR="00081B7A" w:rsidRPr="00363097" w:rsidRDefault="00081B7A">
            <w:pPr>
              <w:spacing w:before="20" w:after="20"/>
              <w:jc w:val="right"/>
              <w:rPr>
                <w:b/>
                <w:noProof/>
                <w:sz w:val="20"/>
              </w:rPr>
            </w:pPr>
          </w:p>
        </w:tc>
        <w:tc>
          <w:tcPr>
            <w:tcW w:w="868" w:type="dxa"/>
            <w:vAlign w:val="center"/>
          </w:tcPr>
          <w:p w14:paraId="42860AC5" w14:textId="77777777" w:rsidR="00081B7A" w:rsidRPr="00363097" w:rsidRDefault="00081B7A">
            <w:pPr>
              <w:spacing w:before="20" w:after="20"/>
              <w:jc w:val="right"/>
              <w:rPr>
                <w:b/>
                <w:noProof/>
                <w:sz w:val="20"/>
              </w:rPr>
            </w:pPr>
          </w:p>
        </w:tc>
        <w:tc>
          <w:tcPr>
            <w:tcW w:w="868" w:type="dxa"/>
            <w:vAlign w:val="center"/>
          </w:tcPr>
          <w:p w14:paraId="2B57FD23" w14:textId="77777777" w:rsidR="00081B7A" w:rsidRPr="00363097" w:rsidRDefault="00081B7A">
            <w:pPr>
              <w:spacing w:before="20" w:after="20"/>
              <w:jc w:val="right"/>
              <w:rPr>
                <w:b/>
                <w:noProof/>
                <w:sz w:val="20"/>
              </w:rPr>
            </w:pPr>
          </w:p>
        </w:tc>
        <w:tc>
          <w:tcPr>
            <w:tcW w:w="868" w:type="dxa"/>
            <w:vAlign w:val="center"/>
          </w:tcPr>
          <w:p w14:paraId="6996EBD3" w14:textId="77777777" w:rsidR="00081B7A" w:rsidRPr="00363097" w:rsidRDefault="00081B7A">
            <w:pPr>
              <w:spacing w:before="20" w:after="20"/>
              <w:jc w:val="right"/>
              <w:rPr>
                <w:b/>
                <w:noProof/>
                <w:sz w:val="20"/>
              </w:rPr>
            </w:pPr>
          </w:p>
        </w:tc>
        <w:tc>
          <w:tcPr>
            <w:tcW w:w="868" w:type="dxa"/>
            <w:vAlign w:val="center"/>
          </w:tcPr>
          <w:p w14:paraId="5DE1DBC3" w14:textId="77777777" w:rsidR="00081B7A" w:rsidRPr="00363097" w:rsidRDefault="00081B7A">
            <w:pPr>
              <w:spacing w:before="20" w:after="20"/>
              <w:jc w:val="right"/>
              <w:rPr>
                <w:b/>
                <w:noProof/>
                <w:sz w:val="20"/>
              </w:rPr>
            </w:pPr>
          </w:p>
        </w:tc>
        <w:tc>
          <w:tcPr>
            <w:tcW w:w="1777" w:type="dxa"/>
            <w:vAlign w:val="center"/>
          </w:tcPr>
          <w:p w14:paraId="3CB8A713" w14:textId="77777777" w:rsidR="00081B7A" w:rsidRPr="00363097" w:rsidRDefault="00081B7A">
            <w:pPr>
              <w:spacing w:before="20" w:after="20"/>
              <w:jc w:val="right"/>
              <w:rPr>
                <w:b/>
                <w:noProof/>
                <w:sz w:val="20"/>
              </w:rPr>
            </w:pPr>
          </w:p>
        </w:tc>
      </w:tr>
      <w:tr w:rsidR="00363097" w:rsidRPr="00363097" w14:paraId="616E4EDD" w14:textId="77777777">
        <w:tc>
          <w:tcPr>
            <w:tcW w:w="3960" w:type="dxa"/>
            <w:vAlign w:val="center"/>
          </w:tcPr>
          <w:p w14:paraId="5CC8BC9E" w14:textId="77777777" w:rsidR="00081B7A" w:rsidRPr="00363097" w:rsidRDefault="00081B7A">
            <w:pPr>
              <w:jc w:val="center"/>
              <w:rPr>
                <w:b/>
                <w:noProof/>
              </w:rPr>
            </w:pPr>
            <w:r w:rsidRPr="00363097">
              <w:rPr>
                <w:b/>
                <w:noProof/>
                <w:sz w:val="22"/>
              </w:rPr>
              <w:t xml:space="preserve">TOTAL DG </w:t>
            </w:r>
            <w:r w:rsidRPr="00363097">
              <w:rPr>
                <w:noProof/>
                <w:sz w:val="22"/>
              </w:rPr>
              <w:t>&lt;…….&gt;</w:t>
            </w:r>
          </w:p>
        </w:tc>
        <w:tc>
          <w:tcPr>
            <w:tcW w:w="2094" w:type="dxa"/>
            <w:gridSpan w:val="2"/>
            <w:vAlign w:val="center"/>
          </w:tcPr>
          <w:p w14:paraId="1BF8E29A" w14:textId="77777777" w:rsidR="00081B7A" w:rsidRPr="00363097" w:rsidRDefault="00081B7A">
            <w:pPr>
              <w:rPr>
                <w:noProof/>
                <w:sz w:val="14"/>
              </w:rPr>
            </w:pPr>
            <w:r w:rsidRPr="00363097">
              <w:rPr>
                <w:noProof/>
                <w:sz w:val="18"/>
              </w:rPr>
              <w:t xml:space="preserve">Appropriations </w:t>
            </w:r>
          </w:p>
        </w:tc>
        <w:tc>
          <w:tcPr>
            <w:tcW w:w="868" w:type="dxa"/>
            <w:vAlign w:val="center"/>
          </w:tcPr>
          <w:p w14:paraId="3619E252" w14:textId="77777777" w:rsidR="00081B7A" w:rsidRPr="00363097" w:rsidRDefault="00081B7A">
            <w:pPr>
              <w:spacing w:before="60" w:after="60"/>
              <w:jc w:val="right"/>
              <w:rPr>
                <w:noProof/>
                <w:sz w:val="20"/>
              </w:rPr>
            </w:pPr>
          </w:p>
        </w:tc>
        <w:tc>
          <w:tcPr>
            <w:tcW w:w="868" w:type="dxa"/>
            <w:vAlign w:val="center"/>
          </w:tcPr>
          <w:p w14:paraId="1A0C3C5B" w14:textId="77777777" w:rsidR="00081B7A" w:rsidRPr="00363097" w:rsidRDefault="00081B7A">
            <w:pPr>
              <w:spacing w:before="20" w:after="20"/>
              <w:jc w:val="right"/>
              <w:rPr>
                <w:noProof/>
                <w:sz w:val="20"/>
              </w:rPr>
            </w:pPr>
          </w:p>
        </w:tc>
        <w:tc>
          <w:tcPr>
            <w:tcW w:w="868" w:type="dxa"/>
            <w:vAlign w:val="center"/>
          </w:tcPr>
          <w:p w14:paraId="62743D5B" w14:textId="77777777" w:rsidR="00081B7A" w:rsidRPr="00363097" w:rsidRDefault="00081B7A">
            <w:pPr>
              <w:spacing w:before="20" w:after="20"/>
              <w:jc w:val="right"/>
              <w:rPr>
                <w:noProof/>
                <w:sz w:val="20"/>
              </w:rPr>
            </w:pPr>
          </w:p>
        </w:tc>
        <w:tc>
          <w:tcPr>
            <w:tcW w:w="868" w:type="dxa"/>
            <w:vAlign w:val="center"/>
          </w:tcPr>
          <w:p w14:paraId="2062C525" w14:textId="77777777" w:rsidR="00081B7A" w:rsidRPr="00363097" w:rsidRDefault="00081B7A">
            <w:pPr>
              <w:spacing w:before="20" w:after="20"/>
              <w:jc w:val="right"/>
              <w:rPr>
                <w:noProof/>
                <w:sz w:val="20"/>
              </w:rPr>
            </w:pPr>
          </w:p>
        </w:tc>
        <w:tc>
          <w:tcPr>
            <w:tcW w:w="868" w:type="dxa"/>
            <w:vAlign w:val="center"/>
          </w:tcPr>
          <w:p w14:paraId="0831E44D" w14:textId="77777777" w:rsidR="00081B7A" w:rsidRPr="00363097" w:rsidRDefault="00081B7A">
            <w:pPr>
              <w:spacing w:before="20" w:after="20"/>
              <w:jc w:val="right"/>
              <w:rPr>
                <w:noProof/>
                <w:sz w:val="20"/>
              </w:rPr>
            </w:pPr>
          </w:p>
        </w:tc>
        <w:tc>
          <w:tcPr>
            <w:tcW w:w="868" w:type="dxa"/>
            <w:vAlign w:val="center"/>
          </w:tcPr>
          <w:p w14:paraId="7D1018DD" w14:textId="77777777" w:rsidR="00081B7A" w:rsidRPr="00363097" w:rsidRDefault="00081B7A">
            <w:pPr>
              <w:spacing w:before="20" w:after="20"/>
              <w:jc w:val="right"/>
              <w:rPr>
                <w:noProof/>
                <w:sz w:val="20"/>
              </w:rPr>
            </w:pPr>
          </w:p>
        </w:tc>
        <w:tc>
          <w:tcPr>
            <w:tcW w:w="868" w:type="dxa"/>
            <w:vAlign w:val="center"/>
          </w:tcPr>
          <w:p w14:paraId="6D96CDA5" w14:textId="77777777" w:rsidR="00081B7A" w:rsidRPr="00363097" w:rsidRDefault="00081B7A">
            <w:pPr>
              <w:spacing w:before="20" w:after="20"/>
              <w:jc w:val="right"/>
              <w:rPr>
                <w:b/>
                <w:noProof/>
                <w:sz w:val="20"/>
              </w:rPr>
            </w:pPr>
          </w:p>
        </w:tc>
        <w:tc>
          <w:tcPr>
            <w:tcW w:w="1777" w:type="dxa"/>
            <w:vAlign w:val="center"/>
          </w:tcPr>
          <w:p w14:paraId="4D5C1A6B" w14:textId="77777777" w:rsidR="00081B7A" w:rsidRPr="00363097" w:rsidRDefault="00081B7A">
            <w:pPr>
              <w:spacing w:before="20" w:after="20"/>
              <w:jc w:val="right"/>
              <w:rPr>
                <w:b/>
                <w:noProof/>
                <w:sz w:val="20"/>
              </w:rPr>
            </w:pPr>
          </w:p>
        </w:tc>
      </w:tr>
    </w:tbl>
    <w:p w14:paraId="5FD465E0" w14:textId="77777777" w:rsidR="00081B7A" w:rsidRPr="00363097" w:rsidRDefault="00081B7A" w:rsidP="00081B7A">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363097" w:rsidRPr="00363097" w14:paraId="176B3B26" w14:textId="77777777">
        <w:tc>
          <w:tcPr>
            <w:tcW w:w="3960" w:type="dxa"/>
            <w:shd w:val="thinDiagStripe" w:color="C0C0C0" w:fill="auto"/>
            <w:vAlign w:val="center"/>
          </w:tcPr>
          <w:p w14:paraId="72552A4C" w14:textId="77777777" w:rsidR="00081B7A" w:rsidRPr="00363097" w:rsidRDefault="00081B7A">
            <w:pPr>
              <w:jc w:val="center"/>
              <w:rPr>
                <w:b/>
                <w:noProof/>
                <w:lang w:val="en-IE"/>
              </w:rPr>
            </w:pPr>
            <w:r w:rsidRPr="00363097">
              <w:rPr>
                <w:b/>
                <w:noProof/>
                <w:sz w:val="22"/>
                <w:lang w:val="en-IE"/>
              </w:rPr>
              <w:t>TOTAL appropriations</w:t>
            </w:r>
            <w:r w:rsidRPr="00363097">
              <w:rPr>
                <w:noProof/>
                <w:sz w:val="22"/>
                <w:lang w:val="en-IE"/>
              </w:rPr>
              <w:br/>
            </w:r>
            <w:r w:rsidRPr="00363097">
              <w:rPr>
                <w:b/>
                <w:noProof/>
                <w:sz w:val="22"/>
                <w:lang w:val="en-IE"/>
              </w:rPr>
              <w:t>under HEADING 7</w:t>
            </w:r>
            <w:r w:rsidRPr="00363097">
              <w:rPr>
                <w:noProof/>
                <w:sz w:val="22"/>
                <w:lang w:val="en-IE"/>
              </w:rPr>
              <w:br/>
              <w:t>of the multiannual financial framework</w:t>
            </w:r>
            <w:r w:rsidRPr="00363097">
              <w:rPr>
                <w:b/>
                <w:noProof/>
                <w:sz w:val="22"/>
                <w:lang w:val="en-IE"/>
              </w:rPr>
              <w:t xml:space="preserve"> </w:t>
            </w:r>
          </w:p>
        </w:tc>
        <w:tc>
          <w:tcPr>
            <w:tcW w:w="2094" w:type="dxa"/>
            <w:vAlign w:val="center"/>
          </w:tcPr>
          <w:p w14:paraId="4844A357" w14:textId="77777777" w:rsidR="00081B7A" w:rsidRPr="00363097" w:rsidRDefault="00081B7A">
            <w:pPr>
              <w:spacing w:before="40" w:after="40"/>
              <w:rPr>
                <w:noProof/>
              </w:rPr>
            </w:pPr>
            <w:r w:rsidRPr="00363097">
              <w:rPr>
                <w:noProof/>
                <w:sz w:val="18"/>
              </w:rPr>
              <w:t>(Total commitments = Total payments)</w:t>
            </w:r>
          </w:p>
        </w:tc>
        <w:tc>
          <w:tcPr>
            <w:tcW w:w="868" w:type="dxa"/>
            <w:vAlign w:val="center"/>
          </w:tcPr>
          <w:p w14:paraId="0C3B12A8" w14:textId="77777777" w:rsidR="00081B7A" w:rsidRPr="00363097" w:rsidRDefault="00081B7A">
            <w:pPr>
              <w:spacing w:before="20" w:after="20"/>
              <w:jc w:val="right"/>
              <w:rPr>
                <w:noProof/>
                <w:sz w:val="20"/>
              </w:rPr>
            </w:pPr>
          </w:p>
        </w:tc>
        <w:tc>
          <w:tcPr>
            <w:tcW w:w="868" w:type="dxa"/>
            <w:vAlign w:val="center"/>
          </w:tcPr>
          <w:p w14:paraId="51476689" w14:textId="77777777" w:rsidR="00081B7A" w:rsidRPr="00363097" w:rsidRDefault="00081B7A">
            <w:pPr>
              <w:spacing w:before="20" w:after="20"/>
              <w:jc w:val="right"/>
              <w:rPr>
                <w:noProof/>
                <w:sz w:val="20"/>
              </w:rPr>
            </w:pPr>
          </w:p>
        </w:tc>
        <w:tc>
          <w:tcPr>
            <w:tcW w:w="868" w:type="dxa"/>
            <w:vAlign w:val="center"/>
          </w:tcPr>
          <w:p w14:paraId="3B3575C1" w14:textId="77777777" w:rsidR="00081B7A" w:rsidRPr="00363097" w:rsidRDefault="00081B7A">
            <w:pPr>
              <w:spacing w:before="20" w:after="20"/>
              <w:jc w:val="right"/>
              <w:rPr>
                <w:noProof/>
                <w:sz w:val="20"/>
              </w:rPr>
            </w:pPr>
          </w:p>
        </w:tc>
        <w:tc>
          <w:tcPr>
            <w:tcW w:w="868" w:type="dxa"/>
            <w:vAlign w:val="center"/>
          </w:tcPr>
          <w:p w14:paraId="0CF33ABE" w14:textId="77777777" w:rsidR="00081B7A" w:rsidRPr="00363097" w:rsidRDefault="00081B7A">
            <w:pPr>
              <w:spacing w:before="20" w:after="20"/>
              <w:jc w:val="right"/>
              <w:rPr>
                <w:noProof/>
                <w:sz w:val="20"/>
              </w:rPr>
            </w:pPr>
          </w:p>
        </w:tc>
        <w:tc>
          <w:tcPr>
            <w:tcW w:w="868" w:type="dxa"/>
            <w:vAlign w:val="center"/>
          </w:tcPr>
          <w:p w14:paraId="6A214564" w14:textId="77777777" w:rsidR="00081B7A" w:rsidRPr="00363097" w:rsidRDefault="00081B7A">
            <w:pPr>
              <w:spacing w:before="20" w:after="20"/>
              <w:jc w:val="right"/>
              <w:rPr>
                <w:noProof/>
                <w:sz w:val="20"/>
              </w:rPr>
            </w:pPr>
          </w:p>
        </w:tc>
        <w:tc>
          <w:tcPr>
            <w:tcW w:w="868" w:type="dxa"/>
            <w:vAlign w:val="center"/>
          </w:tcPr>
          <w:p w14:paraId="196FFA47" w14:textId="77777777" w:rsidR="00081B7A" w:rsidRPr="00363097" w:rsidRDefault="00081B7A">
            <w:pPr>
              <w:spacing w:before="20" w:after="20"/>
              <w:jc w:val="right"/>
              <w:rPr>
                <w:noProof/>
                <w:sz w:val="20"/>
              </w:rPr>
            </w:pPr>
          </w:p>
        </w:tc>
        <w:tc>
          <w:tcPr>
            <w:tcW w:w="868" w:type="dxa"/>
            <w:vAlign w:val="center"/>
          </w:tcPr>
          <w:p w14:paraId="77E12D50" w14:textId="77777777" w:rsidR="00081B7A" w:rsidRPr="00363097" w:rsidRDefault="00081B7A">
            <w:pPr>
              <w:spacing w:before="20" w:after="20"/>
              <w:jc w:val="right"/>
              <w:rPr>
                <w:b/>
                <w:noProof/>
                <w:sz w:val="20"/>
              </w:rPr>
            </w:pPr>
          </w:p>
        </w:tc>
        <w:tc>
          <w:tcPr>
            <w:tcW w:w="1777" w:type="dxa"/>
            <w:vAlign w:val="center"/>
          </w:tcPr>
          <w:p w14:paraId="149446C2" w14:textId="77777777" w:rsidR="00081B7A" w:rsidRPr="00363097" w:rsidRDefault="00081B7A">
            <w:pPr>
              <w:spacing w:before="20" w:after="20"/>
              <w:jc w:val="right"/>
              <w:rPr>
                <w:b/>
                <w:noProof/>
                <w:sz w:val="20"/>
              </w:rPr>
            </w:pPr>
          </w:p>
        </w:tc>
      </w:tr>
    </w:tbl>
    <w:p w14:paraId="07C8DCE7" w14:textId="77777777" w:rsidR="00081B7A" w:rsidRPr="00363097" w:rsidRDefault="00081B7A" w:rsidP="00081B7A">
      <w:pPr>
        <w:jc w:val="right"/>
        <w:rPr>
          <w:noProof/>
          <w:sz w:val="20"/>
          <w:lang w:val="en-IE"/>
        </w:rPr>
      </w:pPr>
      <w:r w:rsidRPr="00363097">
        <w:rPr>
          <w:noProof/>
          <w:sz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363097" w:rsidRPr="00363097" w14:paraId="4E53B013" w14:textId="77777777">
        <w:tc>
          <w:tcPr>
            <w:tcW w:w="3960" w:type="dxa"/>
            <w:tcBorders>
              <w:top w:val="nil"/>
              <w:left w:val="nil"/>
              <w:right w:val="nil"/>
            </w:tcBorders>
            <w:vAlign w:val="center"/>
          </w:tcPr>
          <w:p w14:paraId="3FCF30F5" w14:textId="77777777" w:rsidR="00081B7A" w:rsidRPr="00363097" w:rsidRDefault="00081B7A">
            <w:pPr>
              <w:jc w:val="center"/>
              <w:rPr>
                <w:noProof/>
                <w:lang w:val="en-IE"/>
              </w:rPr>
            </w:pPr>
          </w:p>
        </w:tc>
        <w:tc>
          <w:tcPr>
            <w:tcW w:w="1560" w:type="dxa"/>
            <w:tcBorders>
              <w:top w:val="nil"/>
              <w:left w:val="nil"/>
              <w:right w:val="nil"/>
            </w:tcBorders>
          </w:tcPr>
          <w:p w14:paraId="0A95F2D6" w14:textId="77777777" w:rsidR="00081B7A" w:rsidRPr="00363097" w:rsidRDefault="00081B7A">
            <w:pPr>
              <w:rPr>
                <w:noProof/>
                <w:sz w:val="20"/>
                <w:lang w:val="en-IE"/>
              </w:rPr>
            </w:pPr>
          </w:p>
        </w:tc>
        <w:tc>
          <w:tcPr>
            <w:tcW w:w="534" w:type="dxa"/>
            <w:tcBorders>
              <w:top w:val="nil"/>
              <w:left w:val="nil"/>
            </w:tcBorders>
          </w:tcPr>
          <w:p w14:paraId="3591A853" w14:textId="77777777" w:rsidR="00081B7A" w:rsidRPr="00363097" w:rsidRDefault="00081B7A">
            <w:pPr>
              <w:jc w:val="center"/>
              <w:rPr>
                <w:noProof/>
                <w:sz w:val="20"/>
                <w:lang w:val="en-IE"/>
              </w:rPr>
            </w:pPr>
          </w:p>
        </w:tc>
        <w:tc>
          <w:tcPr>
            <w:tcW w:w="868" w:type="dxa"/>
            <w:vAlign w:val="center"/>
          </w:tcPr>
          <w:p w14:paraId="2FF354EA"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w:t>
            </w:r>
            <w:r w:rsidRPr="00363097">
              <w:rPr>
                <w:rStyle w:val="FootnoteReference0"/>
                <w:b/>
                <w:noProof/>
                <w:sz w:val="20"/>
              </w:rPr>
              <w:footnoteReference w:id="45"/>
            </w:r>
          </w:p>
        </w:tc>
        <w:tc>
          <w:tcPr>
            <w:tcW w:w="868" w:type="dxa"/>
            <w:vAlign w:val="center"/>
          </w:tcPr>
          <w:p w14:paraId="250D69E7"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N+1</w:t>
            </w:r>
          </w:p>
        </w:tc>
        <w:tc>
          <w:tcPr>
            <w:tcW w:w="868" w:type="dxa"/>
            <w:vAlign w:val="center"/>
          </w:tcPr>
          <w:p w14:paraId="0EA4950B"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N+2</w:t>
            </w:r>
          </w:p>
        </w:tc>
        <w:tc>
          <w:tcPr>
            <w:tcW w:w="868" w:type="dxa"/>
            <w:vAlign w:val="center"/>
          </w:tcPr>
          <w:p w14:paraId="5AF67D78"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N+3</w:t>
            </w:r>
          </w:p>
        </w:tc>
        <w:tc>
          <w:tcPr>
            <w:tcW w:w="2604" w:type="dxa"/>
            <w:gridSpan w:val="3"/>
            <w:vAlign w:val="center"/>
          </w:tcPr>
          <w:p w14:paraId="3D384075" w14:textId="77777777" w:rsidR="00081B7A" w:rsidRPr="00363097" w:rsidRDefault="00081B7A">
            <w:pPr>
              <w:jc w:val="center"/>
              <w:rPr>
                <w:b/>
                <w:noProof/>
                <w:sz w:val="18"/>
                <w:lang w:val="en-IE"/>
              </w:rPr>
            </w:pPr>
            <w:r w:rsidRPr="00363097">
              <w:rPr>
                <w:noProof/>
                <w:sz w:val="18"/>
                <w:lang w:val="en-IE"/>
              </w:rPr>
              <w:t>Enter as many years as necessary to show the duration of the impact (see point 1.6)</w:t>
            </w:r>
          </w:p>
        </w:tc>
        <w:tc>
          <w:tcPr>
            <w:tcW w:w="1777" w:type="dxa"/>
            <w:vAlign w:val="center"/>
          </w:tcPr>
          <w:p w14:paraId="320D9681" w14:textId="77777777" w:rsidR="00081B7A" w:rsidRPr="00363097" w:rsidRDefault="00081B7A">
            <w:pPr>
              <w:jc w:val="center"/>
              <w:rPr>
                <w:b/>
                <w:noProof/>
                <w:sz w:val="20"/>
              </w:rPr>
            </w:pPr>
            <w:r w:rsidRPr="00363097">
              <w:rPr>
                <w:b/>
                <w:noProof/>
                <w:sz w:val="20"/>
              </w:rPr>
              <w:t>TOTAL</w:t>
            </w:r>
          </w:p>
        </w:tc>
      </w:tr>
      <w:tr w:rsidR="00363097" w:rsidRPr="00363097" w14:paraId="57B3A32B" w14:textId="77777777">
        <w:tc>
          <w:tcPr>
            <w:tcW w:w="3960" w:type="dxa"/>
            <w:vMerge w:val="restart"/>
            <w:shd w:val="clear" w:color="auto" w:fill="C0C0C0"/>
            <w:vAlign w:val="center"/>
          </w:tcPr>
          <w:p w14:paraId="7B96A13D" w14:textId="77777777" w:rsidR="00081B7A" w:rsidRPr="00363097" w:rsidRDefault="00081B7A">
            <w:pPr>
              <w:jc w:val="center"/>
              <w:rPr>
                <w:b/>
                <w:noProof/>
                <w:lang w:val="en-IE"/>
              </w:rPr>
            </w:pPr>
            <w:r w:rsidRPr="00363097">
              <w:rPr>
                <w:b/>
                <w:noProof/>
                <w:sz w:val="22"/>
                <w:lang w:val="en-IE"/>
              </w:rPr>
              <w:t xml:space="preserve">TOTAL appropriations </w:t>
            </w:r>
            <w:r w:rsidRPr="00363097">
              <w:rPr>
                <w:noProof/>
                <w:sz w:val="22"/>
                <w:lang w:val="en-IE"/>
              </w:rPr>
              <w:br/>
            </w:r>
            <w:r w:rsidRPr="00363097">
              <w:rPr>
                <w:b/>
                <w:noProof/>
                <w:sz w:val="22"/>
                <w:lang w:val="en-IE"/>
              </w:rPr>
              <w:t>under HEADINGS 1 to 7</w:t>
            </w:r>
            <w:r w:rsidRPr="00363097">
              <w:rPr>
                <w:noProof/>
                <w:sz w:val="22"/>
                <w:lang w:val="en-IE"/>
              </w:rPr>
              <w:br/>
              <w:t>of the multiannual financial framework</w:t>
            </w:r>
            <w:r w:rsidRPr="00363097">
              <w:rPr>
                <w:b/>
                <w:noProof/>
                <w:sz w:val="22"/>
                <w:lang w:val="en-IE"/>
              </w:rPr>
              <w:t xml:space="preserve"> </w:t>
            </w:r>
          </w:p>
        </w:tc>
        <w:tc>
          <w:tcPr>
            <w:tcW w:w="2094" w:type="dxa"/>
            <w:gridSpan w:val="2"/>
            <w:vAlign w:val="center"/>
          </w:tcPr>
          <w:p w14:paraId="5CB4A748" w14:textId="77777777" w:rsidR="00081B7A" w:rsidRPr="00363097" w:rsidRDefault="00081B7A">
            <w:pPr>
              <w:rPr>
                <w:noProof/>
                <w:sz w:val="14"/>
              </w:rPr>
            </w:pPr>
            <w:r w:rsidRPr="00363097">
              <w:rPr>
                <w:noProof/>
                <w:sz w:val="18"/>
              </w:rPr>
              <w:t>Commitments</w:t>
            </w:r>
          </w:p>
        </w:tc>
        <w:tc>
          <w:tcPr>
            <w:tcW w:w="868" w:type="dxa"/>
            <w:vAlign w:val="center"/>
          </w:tcPr>
          <w:p w14:paraId="19825465" w14:textId="77777777" w:rsidR="00081B7A" w:rsidRPr="00363097" w:rsidRDefault="00081B7A">
            <w:pPr>
              <w:spacing w:before="60" w:after="60"/>
              <w:jc w:val="right"/>
              <w:rPr>
                <w:noProof/>
                <w:sz w:val="20"/>
              </w:rPr>
            </w:pPr>
          </w:p>
        </w:tc>
        <w:tc>
          <w:tcPr>
            <w:tcW w:w="868" w:type="dxa"/>
            <w:vAlign w:val="center"/>
          </w:tcPr>
          <w:p w14:paraId="37EC54FF" w14:textId="77777777" w:rsidR="00081B7A" w:rsidRPr="00363097" w:rsidRDefault="00081B7A">
            <w:pPr>
              <w:spacing w:before="60" w:after="60"/>
              <w:jc w:val="right"/>
              <w:rPr>
                <w:noProof/>
                <w:sz w:val="20"/>
              </w:rPr>
            </w:pPr>
          </w:p>
        </w:tc>
        <w:tc>
          <w:tcPr>
            <w:tcW w:w="868" w:type="dxa"/>
            <w:vAlign w:val="center"/>
          </w:tcPr>
          <w:p w14:paraId="00859E38" w14:textId="77777777" w:rsidR="00081B7A" w:rsidRPr="00363097" w:rsidRDefault="00081B7A">
            <w:pPr>
              <w:spacing w:before="60" w:after="60"/>
              <w:jc w:val="right"/>
              <w:rPr>
                <w:noProof/>
                <w:sz w:val="20"/>
              </w:rPr>
            </w:pPr>
          </w:p>
        </w:tc>
        <w:tc>
          <w:tcPr>
            <w:tcW w:w="868" w:type="dxa"/>
            <w:vAlign w:val="center"/>
          </w:tcPr>
          <w:p w14:paraId="21138D2F" w14:textId="77777777" w:rsidR="00081B7A" w:rsidRPr="00363097" w:rsidRDefault="00081B7A">
            <w:pPr>
              <w:spacing w:before="60" w:after="60"/>
              <w:jc w:val="right"/>
              <w:rPr>
                <w:noProof/>
                <w:sz w:val="20"/>
              </w:rPr>
            </w:pPr>
          </w:p>
        </w:tc>
        <w:tc>
          <w:tcPr>
            <w:tcW w:w="868" w:type="dxa"/>
            <w:vAlign w:val="center"/>
          </w:tcPr>
          <w:p w14:paraId="061BF874" w14:textId="77777777" w:rsidR="00081B7A" w:rsidRPr="00363097" w:rsidRDefault="00081B7A">
            <w:pPr>
              <w:spacing w:before="60" w:after="60"/>
              <w:jc w:val="right"/>
              <w:rPr>
                <w:noProof/>
                <w:sz w:val="20"/>
              </w:rPr>
            </w:pPr>
          </w:p>
        </w:tc>
        <w:tc>
          <w:tcPr>
            <w:tcW w:w="868" w:type="dxa"/>
            <w:vAlign w:val="center"/>
          </w:tcPr>
          <w:p w14:paraId="7A1737D7" w14:textId="77777777" w:rsidR="00081B7A" w:rsidRPr="00363097" w:rsidRDefault="00081B7A">
            <w:pPr>
              <w:spacing w:before="60" w:after="60"/>
              <w:jc w:val="right"/>
              <w:rPr>
                <w:noProof/>
                <w:sz w:val="20"/>
              </w:rPr>
            </w:pPr>
          </w:p>
        </w:tc>
        <w:tc>
          <w:tcPr>
            <w:tcW w:w="868" w:type="dxa"/>
            <w:vAlign w:val="center"/>
          </w:tcPr>
          <w:p w14:paraId="67C6366A" w14:textId="77777777" w:rsidR="00081B7A" w:rsidRPr="00363097" w:rsidRDefault="00081B7A">
            <w:pPr>
              <w:spacing w:before="60" w:after="60"/>
              <w:jc w:val="right"/>
              <w:rPr>
                <w:b/>
                <w:noProof/>
                <w:sz w:val="20"/>
              </w:rPr>
            </w:pPr>
          </w:p>
        </w:tc>
        <w:tc>
          <w:tcPr>
            <w:tcW w:w="1777" w:type="dxa"/>
            <w:vAlign w:val="center"/>
          </w:tcPr>
          <w:p w14:paraId="3A227A1E" w14:textId="77777777" w:rsidR="00081B7A" w:rsidRPr="00363097" w:rsidRDefault="00081B7A">
            <w:pPr>
              <w:spacing w:before="60" w:after="60"/>
              <w:jc w:val="right"/>
              <w:rPr>
                <w:b/>
                <w:noProof/>
                <w:sz w:val="20"/>
              </w:rPr>
            </w:pPr>
          </w:p>
        </w:tc>
      </w:tr>
      <w:tr w:rsidR="00363097" w:rsidRPr="00363097" w14:paraId="2CBEB2D4" w14:textId="77777777">
        <w:tc>
          <w:tcPr>
            <w:tcW w:w="3960" w:type="dxa"/>
            <w:vMerge/>
            <w:shd w:val="clear" w:color="auto" w:fill="C0C0C0"/>
          </w:tcPr>
          <w:p w14:paraId="21879365" w14:textId="77777777" w:rsidR="00081B7A" w:rsidRPr="00363097" w:rsidRDefault="00081B7A">
            <w:pPr>
              <w:rPr>
                <w:noProof/>
                <w:sz w:val="20"/>
              </w:rPr>
            </w:pPr>
          </w:p>
        </w:tc>
        <w:tc>
          <w:tcPr>
            <w:tcW w:w="2094" w:type="dxa"/>
            <w:gridSpan w:val="2"/>
            <w:vAlign w:val="center"/>
          </w:tcPr>
          <w:p w14:paraId="692E5D4F" w14:textId="77777777" w:rsidR="00081B7A" w:rsidRPr="00363097" w:rsidRDefault="00081B7A">
            <w:pPr>
              <w:rPr>
                <w:noProof/>
                <w:sz w:val="14"/>
              </w:rPr>
            </w:pPr>
            <w:r w:rsidRPr="00363097">
              <w:rPr>
                <w:noProof/>
                <w:sz w:val="18"/>
              </w:rPr>
              <w:t>Payments</w:t>
            </w:r>
          </w:p>
        </w:tc>
        <w:tc>
          <w:tcPr>
            <w:tcW w:w="868" w:type="dxa"/>
            <w:vAlign w:val="center"/>
          </w:tcPr>
          <w:p w14:paraId="32BE94D0" w14:textId="77777777" w:rsidR="00081B7A" w:rsidRPr="00363097" w:rsidRDefault="00081B7A">
            <w:pPr>
              <w:spacing w:before="60" w:after="60"/>
              <w:jc w:val="right"/>
              <w:rPr>
                <w:noProof/>
                <w:sz w:val="20"/>
              </w:rPr>
            </w:pPr>
          </w:p>
        </w:tc>
        <w:tc>
          <w:tcPr>
            <w:tcW w:w="868" w:type="dxa"/>
            <w:vAlign w:val="center"/>
          </w:tcPr>
          <w:p w14:paraId="545FC5BB" w14:textId="77777777" w:rsidR="00081B7A" w:rsidRPr="00363097" w:rsidRDefault="00081B7A">
            <w:pPr>
              <w:spacing w:before="60" w:after="60"/>
              <w:jc w:val="right"/>
              <w:rPr>
                <w:noProof/>
                <w:sz w:val="20"/>
              </w:rPr>
            </w:pPr>
          </w:p>
        </w:tc>
        <w:tc>
          <w:tcPr>
            <w:tcW w:w="868" w:type="dxa"/>
            <w:vAlign w:val="center"/>
          </w:tcPr>
          <w:p w14:paraId="79316C6C" w14:textId="77777777" w:rsidR="00081B7A" w:rsidRPr="00363097" w:rsidRDefault="00081B7A">
            <w:pPr>
              <w:spacing w:before="60" w:after="60"/>
              <w:jc w:val="right"/>
              <w:rPr>
                <w:noProof/>
                <w:sz w:val="20"/>
              </w:rPr>
            </w:pPr>
          </w:p>
        </w:tc>
        <w:tc>
          <w:tcPr>
            <w:tcW w:w="868" w:type="dxa"/>
            <w:vAlign w:val="center"/>
          </w:tcPr>
          <w:p w14:paraId="78197519" w14:textId="77777777" w:rsidR="00081B7A" w:rsidRPr="00363097" w:rsidRDefault="00081B7A">
            <w:pPr>
              <w:spacing w:before="60" w:after="60"/>
              <w:jc w:val="right"/>
              <w:rPr>
                <w:noProof/>
                <w:sz w:val="20"/>
              </w:rPr>
            </w:pPr>
          </w:p>
        </w:tc>
        <w:tc>
          <w:tcPr>
            <w:tcW w:w="868" w:type="dxa"/>
            <w:vAlign w:val="center"/>
          </w:tcPr>
          <w:p w14:paraId="03AE48AE" w14:textId="77777777" w:rsidR="00081B7A" w:rsidRPr="00363097" w:rsidRDefault="00081B7A">
            <w:pPr>
              <w:spacing w:before="60" w:after="60"/>
              <w:jc w:val="right"/>
              <w:rPr>
                <w:noProof/>
                <w:sz w:val="20"/>
              </w:rPr>
            </w:pPr>
          </w:p>
        </w:tc>
        <w:tc>
          <w:tcPr>
            <w:tcW w:w="868" w:type="dxa"/>
            <w:vAlign w:val="center"/>
          </w:tcPr>
          <w:p w14:paraId="5026F3C8" w14:textId="77777777" w:rsidR="00081B7A" w:rsidRPr="00363097" w:rsidRDefault="00081B7A">
            <w:pPr>
              <w:spacing w:before="60" w:after="60"/>
              <w:jc w:val="right"/>
              <w:rPr>
                <w:noProof/>
                <w:sz w:val="20"/>
              </w:rPr>
            </w:pPr>
          </w:p>
        </w:tc>
        <w:tc>
          <w:tcPr>
            <w:tcW w:w="868" w:type="dxa"/>
            <w:vAlign w:val="center"/>
          </w:tcPr>
          <w:p w14:paraId="01631ED2" w14:textId="77777777" w:rsidR="00081B7A" w:rsidRPr="00363097" w:rsidRDefault="00081B7A">
            <w:pPr>
              <w:spacing w:before="60" w:after="60"/>
              <w:jc w:val="right"/>
              <w:rPr>
                <w:b/>
                <w:noProof/>
                <w:sz w:val="20"/>
              </w:rPr>
            </w:pPr>
          </w:p>
        </w:tc>
        <w:tc>
          <w:tcPr>
            <w:tcW w:w="1777" w:type="dxa"/>
            <w:vAlign w:val="center"/>
          </w:tcPr>
          <w:p w14:paraId="52A205A0" w14:textId="77777777" w:rsidR="00081B7A" w:rsidRPr="00363097" w:rsidRDefault="00081B7A">
            <w:pPr>
              <w:spacing w:before="60" w:after="60"/>
              <w:jc w:val="right"/>
              <w:rPr>
                <w:b/>
                <w:noProof/>
                <w:sz w:val="20"/>
              </w:rPr>
            </w:pPr>
          </w:p>
        </w:tc>
      </w:tr>
    </w:tbl>
    <w:p w14:paraId="2ADF3CF1" w14:textId="77777777" w:rsidR="00081B7A" w:rsidRPr="00363097" w:rsidRDefault="00081B7A" w:rsidP="00081B7A">
      <w:pPr>
        <w:rPr>
          <w:noProof/>
        </w:rPr>
      </w:pPr>
    </w:p>
    <w:p w14:paraId="5131BFCB" w14:textId="77777777" w:rsidR="00081B7A" w:rsidRPr="00363097" w:rsidRDefault="00081B7A" w:rsidP="00081B7A">
      <w:pPr>
        <w:pStyle w:val="ManualHeading3"/>
        <w:rPr>
          <w:bCs/>
          <w:noProof/>
          <w:szCs w:val="24"/>
        </w:rPr>
      </w:pPr>
      <w:bookmarkStart w:id="88" w:name="_Toc514938054"/>
      <w:bookmarkStart w:id="89" w:name="_Toc520485053"/>
      <w:r w:rsidRPr="00363097">
        <w:rPr>
          <w:noProof/>
        </w:rPr>
        <w:t>3.2.2.</w:t>
      </w:r>
      <w:r w:rsidRPr="00363097">
        <w:rPr>
          <w:noProof/>
        </w:rPr>
        <w:tab/>
        <w:t>Estimated output funded with operational appropriations</w:t>
      </w:r>
      <w:bookmarkEnd w:id="88"/>
      <w:bookmarkEnd w:id="89"/>
      <w:r w:rsidRPr="00363097">
        <w:rPr>
          <w:noProof/>
        </w:rPr>
        <w:t xml:space="preserve"> </w:t>
      </w:r>
    </w:p>
    <w:p w14:paraId="7C97AB34" w14:textId="77777777" w:rsidR="00081B7A" w:rsidRPr="00363097" w:rsidRDefault="00081B7A" w:rsidP="00081B7A">
      <w:pPr>
        <w:jc w:val="right"/>
        <w:rPr>
          <w:noProof/>
          <w:sz w:val="20"/>
          <w:lang w:val="en-IE"/>
        </w:rPr>
      </w:pPr>
      <w:r w:rsidRPr="00363097">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363097" w:rsidRPr="00363097" w14:paraId="1CF54B4E" w14:textId="77777777">
        <w:trPr>
          <w:jc w:val="center"/>
        </w:trPr>
        <w:tc>
          <w:tcPr>
            <w:tcW w:w="1423" w:type="dxa"/>
            <w:vMerge w:val="restart"/>
            <w:vAlign w:val="center"/>
          </w:tcPr>
          <w:p w14:paraId="618FEFA3" w14:textId="77777777" w:rsidR="00081B7A" w:rsidRPr="00363097" w:rsidRDefault="00081B7A">
            <w:pPr>
              <w:ind w:right="-29"/>
              <w:jc w:val="center"/>
              <w:rPr>
                <w:b/>
                <w:noProof/>
                <w:sz w:val="18"/>
                <w:szCs w:val="18"/>
              </w:rPr>
            </w:pPr>
            <w:r w:rsidRPr="00363097">
              <w:rPr>
                <w:b/>
                <w:noProof/>
                <w:sz w:val="18"/>
              </w:rPr>
              <w:t xml:space="preserve">Indicate objectives and outputs </w:t>
            </w:r>
          </w:p>
          <w:p w14:paraId="69E922E5" w14:textId="77777777" w:rsidR="00081B7A" w:rsidRPr="00363097" w:rsidRDefault="00081B7A">
            <w:pPr>
              <w:ind w:right="-29"/>
              <w:jc w:val="center"/>
              <w:rPr>
                <w:b/>
                <w:noProof/>
                <w:sz w:val="18"/>
                <w:szCs w:val="18"/>
              </w:rPr>
            </w:pPr>
          </w:p>
          <w:p w14:paraId="2FEC8D80" w14:textId="77777777" w:rsidR="00081B7A" w:rsidRPr="00363097" w:rsidRDefault="00081B7A">
            <w:pPr>
              <w:ind w:right="-29"/>
              <w:jc w:val="center"/>
              <w:rPr>
                <w:noProof/>
                <w:sz w:val="18"/>
                <w:szCs w:val="18"/>
              </w:rPr>
            </w:pPr>
            <w:r w:rsidRPr="00363097">
              <w:rPr>
                <w:rFonts w:ascii="Wingdings" w:eastAsia="Wingdings" w:hAnsi="Wingdings" w:cs="Wingdings"/>
                <w:noProof/>
                <w:sz w:val="18"/>
              </w:rPr>
              <w:t></w:t>
            </w:r>
          </w:p>
        </w:tc>
        <w:tc>
          <w:tcPr>
            <w:tcW w:w="720" w:type="dxa"/>
            <w:vAlign w:val="center"/>
          </w:tcPr>
          <w:p w14:paraId="20FD26F7" w14:textId="77777777" w:rsidR="00081B7A" w:rsidRPr="00363097" w:rsidRDefault="00081B7A">
            <w:pPr>
              <w:ind w:right="-29"/>
              <w:jc w:val="center"/>
              <w:rPr>
                <w:noProof/>
                <w:sz w:val="18"/>
                <w:szCs w:val="18"/>
              </w:rPr>
            </w:pPr>
          </w:p>
        </w:tc>
        <w:tc>
          <w:tcPr>
            <w:tcW w:w="701" w:type="dxa"/>
            <w:vAlign w:val="center"/>
          </w:tcPr>
          <w:p w14:paraId="2ACCA5CD" w14:textId="77777777" w:rsidR="00081B7A" w:rsidRPr="00363097" w:rsidRDefault="00081B7A">
            <w:pPr>
              <w:ind w:right="-29"/>
              <w:jc w:val="center"/>
              <w:rPr>
                <w:noProof/>
                <w:sz w:val="18"/>
                <w:szCs w:val="18"/>
              </w:rPr>
            </w:pPr>
          </w:p>
        </w:tc>
        <w:tc>
          <w:tcPr>
            <w:tcW w:w="1224" w:type="dxa"/>
            <w:gridSpan w:val="2"/>
            <w:tcBorders>
              <w:left w:val="nil"/>
            </w:tcBorders>
            <w:vAlign w:val="center"/>
          </w:tcPr>
          <w:p w14:paraId="08017BAC" w14:textId="77777777" w:rsidR="00081B7A" w:rsidRPr="00363097" w:rsidRDefault="00574F41">
            <w:pPr>
              <w:ind w:right="-29"/>
              <w:jc w:val="center"/>
              <w:rPr>
                <w:noProof/>
                <w:sz w:val="18"/>
                <w:szCs w:val="18"/>
              </w:rPr>
            </w:pPr>
            <w:r w:rsidRPr="00363097">
              <w:rPr>
                <w:noProof/>
                <w:sz w:val="18"/>
              </w:rPr>
              <w:t>2025</w:t>
            </w:r>
          </w:p>
        </w:tc>
        <w:tc>
          <w:tcPr>
            <w:tcW w:w="1260" w:type="dxa"/>
            <w:gridSpan w:val="2"/>
            <w:vAlign w:val="center"/>
          </w:tcPr>
          <w:p w14:paraId="3BF232ED" w14:textId="77777777" w:rsidR="00081B7A" w:rsidRPr="00363097" w:rsidRDefault="00574F41">
            <w:pPr>
              <w:ind w:right="-29"/>
              <w:jc w:val="center"/>
              <w:rPr>
                <w:noProof/>
                <w:sz w:val="18"/>
                <w:szCs w:val="18"/>
              </w:rPr>
            </w:pPr>
            <w:r w:rsidRPr="00363097">
              <w:rPr>
                <w:noProof/>
                <w:sz w:val="18"/>
              </w:rPr>
              <w:t>2026</w:t>
            </w:r>
          </w:p>
        </w:tc>
        <w:tc>
          <w:tcPr>
            <w:tcW w:w="1440" w:type="dxa"/>
            <w:gridSpan w:val="2"/>
            <w:vAlign w:val="center"/>
          </w:tcPr>
          <w:p w14:paraId="559885D6" w14:textId="77777777" w:rsidR="00081B7A" w:rsidRPr="00363097" w:rsidRDefault="00574F41">
            <w:pPr>
              <w:ind w:right="-29"/>
              <w:jc w:val="center"/>
              <w:rPr>
                <w:noProof/>
                <w:sz w:val="18"/>
                <w:szCs w:val="18"/>
              </w:rPr>
            </w:pPr>
            <w:r w:rsidRPr="00363097">
              <w:rPr>
                <w:noProof/>
                <w:sz w:val="18"/>
              </w:rPr>
              <w:t>2027</w:t>
            </w:r>
          </w:p>
        </w:tc>
        <w:tc>
          <w:tcPr>
            <w:tcW w:w="1620" w:type="dxa"/>
            <w:gridSpan w:val="3"/>
            <w:vAlign w:val="center"/>
          </w:tcPr>
          <w:p w14:paraId="5753577B" w14:textId="77777777" w:rsidR="00081B7A" w:rsidRPr="00363097" w:rsidRDefault="00081B7A">
            <w:pPr>
              <w:ind w:right="-29"/>
              <w:jc w:val="center"/>
              <w:rPr>
                <w:noProof/>
                <w:sz w:val="18"/>
                <w:szCs w:val="18"/>
              </w:rPr>
            </w:pPr>
          </w:p>
        </w:tc>
        <w:tc>
          <w:tcPr>
            <w:tcW w:w="3600" w:type="dxa"/>
            <w:gridSpan w:val="6"/>
            <w:vAlign w:val="center"/>
          </w:tcPr>
          <w:p w14:paraId="334FE360" w14:textId="77777777" w:rsidR="00081B7A" w:rsidRPr="00363097" w:rsidRDefault="00081B7A">
            <w:pPr>
              <w:jc w:val="center"/>
              <w:rPr>
                <w:noProof/>
                <w:sz w:val="18"/>
                <w:szCs w:val="18"/>
                <w:lang w:val="en-IE"/>
              </w:rPr>
            </w:pPr>
            <w:r w:rsidRPr="00363097">
              <w:rPr>
                <w:noProof/>
                <w:sz w:val="18"/>
                <w:lang w:val="en-IE"/>
              </w:rPr>
              <w:t>Enter as many years as necessary to show the duration of the impact (see point 1.6)</w:t>
            </w:r>
          </w:p>
        </w:tc>
        <w:tc>
          <w:tcPr>
            <w:tcW w:w="1620" w:type="dxa"/>
            <w:gridSpan w:val="2"/>
            <w:tcBorders>
              <w:left w:val="nil"/>
              <w:bottom w:val="nil"/>
            </w:tcBorders>
            <w:vAlign w:val="center"/>
          </w:tcPr>
          <w:p w14:paraId="1AD29D9D" w14:textId="77777777" w:rsidR="00081B7A" w:rsidRPr="00363097" w:rsidRDefault="00081B7A">
            <w:pPr>
              <w:ind w:right="-29"/>
              <w:jc w:val="center"/>
              <w:rPr>
                <w:noProof/>
                <w:sz w:val="18"/>
                <w:szCs w:val="18"/>
              </w:rPr>
            </w:pPr>
            <w:r w:rsidRPr="00363097">
              <w:rPr>
                <w:b/>
                <w:noProof/>
                <w:sz w:val="18"/>
              </w:rPr>
              <w:t>TOTAL</w:t>
            </w:r>
          </w:p>
        </w:tc>
      </w:tr>
      <w:tr w:rsidR="00363097" w:rsidRPr="00363097" w14:paraId="23AF7A40" w14:textId="77777777">
        <w:trPr>
          <w:jc w:val="center"/>
        </w:trPr>
        <w:tc>
          <w:tcPr>
            <w:tcW w:w="1423" w:type="dxa"/>
            <w:vMerge/>
            <w:vAlign w:val="center"/>
          </w:tcPr>
          <w:p w14:paraId="0956BCD1" w14:textId="77777777" w:rsidR="00081B7A" w:rsidRPr="00363097" w:rsidRDefault="00081B7A">
            <w:pPr>
              <w:ind w:right="-29"/>
              <w:jc w:val="center"/>
              <w:rPr>
                <w:noProof/>
                <w:sz w:val="18"/>
                <w:szCs w:val="18"/>
              </w:rPr>
            </w:pPr>
          </w:p>
        </w:tc>
        <w:tc>
          <w:tcPr>
            <w:tcW w:w="12185" w:type="dxa"/>
            <w:gridSpan w:val="19"/>
            <w:vAlign w:val="center"/>
          </w:tcPr>
          <w:p w14:paraId="5F964A5B" w14:textId="77777777" w:rsidR="00081B7A" w:rsidRPr="00363097" w:rsidRDefault="00081B7A">
            <w:pPr>
              <w:spacing w:before="60" w:after="60"/>
              <w:ind w:right="-29"/>
              <w:jc w:val="center"/>
              <w:rPr>
                <w:noProof/>
                <w:sz w:val="18"/>
                <w:szCs w:val="18"/>
              </w:rPr>
            </w:pPr>
            <w:r w:rsidRPr="00363097">
              <w:rPr>
                <w:b/>
                <w:noProof/>
                <w:sz w:val="18"/>
              </w:rPr>
              <w:t>OUTPUTS</w:t>
            </w:r>
          </w:p>
        </w:tc>
      </w:tr>
      <w:tr w:rsidR="00363097" w:rsidRPr="00363097" w14:paraId="07381FFF" w14:textId="77777777">
        <w:trPr>
          <w:cantSplit/>
          <w:trHeight w:val="1134"/>
          <w:jc w:val="center"/>
        </w:trPr>
        <w:tc>
          <w:tcPr>
            <w:tcW w:w="1423" w:type="dxa"/>
            <w:vMerge/>
            <w:vAlign w:val="center"/>
          </w:tcPr>
          <w:p w14:paraId="1DF1A006" w14:textId="77777777" w:rsidR="00081B7A" w:rsidRPr="00363097" w:rsidRDefault="00081B7A">
            <w:pPr>
              <w:rPr>
                <w:noProof/>
                <w:sz w:val="18"/>
                <w:szCs w:val="18"/>
              </w:rPr>
            </w:pPr>
          </w:p>
        </w:tc>
        <w:tc>
          <w:tcPr>
            <w:tcW w:w="720" w:type="dxa"/>
            <w:vAlign w:val="center"/>
          </w:tcPr>
          <w:p w14:paraId="5994D78D" w14:textId="77777777" w:rsidR="00081B7A" w:rsidRPr="00363097" w:rsidRDefault="00081B7A">
            <w:pPr>
              <w:jc w:val="center"/>
              <w:rPr>
                <w:noProof/>
                <w:sz w:val="18"/>
                <w:szCs w:val="18"/>
              </w:rPr>
            </w:pPr>
            <w:r w:rsidRPr="00363097">
              <w:rPr>
                <w:noProof/>
                <w:sz w:val="18"/>
              </w:rPr>
              <w:t>Type</w:t>
            </w:r>
            <w:r w:rsidRPr="00363097">
              <w:rPr>
                <w:rStyle w:val="FootnoteReference0"/>
                <w:noProof/>
                <w:sz w:val="18"/>
              </w:rPr>
              <w:footnoteReference w:id="46"/>
            </w:r>
          </w:p>
          <w:p w14:paraId="3E1E201A" w14:textId="77777777" w:rsidR="00081B7A" w:rsidRPr="00363097" w:rsidRDefault="00081B7A">
            <w:pPr>
              <w:spacing w:before="0" w:after="0"/>
              <w:jc w:val="center"/>
              <w:rPr>
                <w:noProof/>
                <w:sz w:val="18"/>
                <w:szCs w:val="18"/>
              </w:rPr>
            </w:pPr>
          </w:p>
        </w:tc>
        <w:tc>
          <w:tcPr>
            <w:tcW w:w="701" w:type="dxa"/>
            <w:vAlign w:val="center"/>
          </w:tcPr>
          <w:p w14:paraId="24C26428" w14:textId="77777777" w:rsidR="00081B7A" w:rsidRPr="00363097" w:rsidRDefault="00081B7A">
            <w:pPr>
              <w:jc w:val="center"/>
              <w:rPr>
                <w:noProof/>
                <w:sz w:val="18"/>
                <w:szCs w:val="18"/>
              </w:rPr>
            </w:pPr>
            <w:r w:rsidRPr="00363097">
              <w:rPr>
                <w:noProof/>
                <w:sz w:val="18"/>
              </w:rPr>
              <w:t>Average cost</w:t>
            </w:r>
          </w:p>
        </w:tc>
        <w:tc>
          <w:tcPr>
            <w:tcW w:w="504" w:type="dxa"/>
            <w:tcBorders>
              <w:left w:val="nil"/>
              <w:right w:val="dashSmallGap" w:sz="4" w:space="0" w:color="auto"/>
            </w:tcBorders>
            <w:shd w:val="pct10" w:color="auto" w:fill="auto"/>
            <w:textDirection w:val="btLr"/>
            <w:vAlign w:val="center"/>
          </w:tcPr>
          <w:p w14:paraId="50891CC9" w14:textId="77777777" w:rsidR="00081B7A" w:rsidRPr="00363097" w:rsidRDefault="00081B7A">
            <w:pPr>
              <w:ind w:left="113" w:right="113"/>
              <w:jc w:val="center"/>
              <w:rPr>
                <w:noProof/>
                <w:sz w:val="18"/>
                <w:szCs w:val="18"/>
              </w:rPr>
            </w:pPr>
            <w:r w:rsidRPr="00363097">
              <w:rPr>
                <w:noProof/>
                <w:sz w:val="18"/>
              </w:rPr>
              <w:t>No</w:t>
            </w:r>
          </w:p>
        </w:tc>
        <w:tc>
          <w:tcPr>
            <w:tcW w:w="720" w:type="dxa"/>
            <w:tcBorders>
              <w:left w:val="dashSmallGap" w:sz="4" w:space="0" w:color="auto"/>
            </w:tcBorders>
            <w:shd w:val="pct10" w:color="auto" w:fill="auto"/>
            <w:vAlign w:val="center"/>
          </w:tcPr>
          <w:p w14:paraId="37222516" w14:textId="77777777" w:rsidR="00081B7A" w:rsidRPr="00363097" w:rsidRDefault="00081B7A">
            <w:pPr>
              <w:jc w:val="center"/>
              <w:rPr>
                <w:noProof/>
                <w:sz w:val="18"/>
                <w:szCs w:val="18"/>
              </w:rPr>
            </w:pPr>
            <w:r w:rsidRPr="00363097">
              <w:rPr>
                <w:noProof/>
                <w:sz w:val="18"/>
              </w:rPr>
              <w:t>Cost</w:t>
            </w:r>
          </w:p>
        </w:tc>
        <w:tc>
          <w:tcPr>
            <w:tcW w:w="540" w:type="dxa"/>
            <w:tcBorders>
              <w:right w:val="dashSmallGap" w:sz="4" w:space="0" w:color="auto"/>
            </w:tcBorders>
            <w:shd w:val="pct10" w:color="auto" w:fill="auto"/>
            <w:textDirection w:val="btLr"/>
            <w:vAlign w:val="center"/>
          </w:tcPr>
          <w:p w14:paraId="33F57D35" w14:textId="77777777" w:rsidR="00081B7A" w:rsidRPr="00363097" w:rsidRDefault="00081B7A">
            <w:pPr>
              <w:ind w:left="113" w:right="113"/>
              <w:jc w:val="center"/>
              <w:rPr>
                <w:noProof/>
                <w:sz w:val="18"/>
                <w:szCs w:val="18"/>
              </w:rPr>
            </w:pPr>
            <w:r w:rsidRPr="00363097">
              <w:rPr>
                <w:noProof/>
                <w:sz w:val="18"/>
              </w:rPr>
              <w:t>No</w:t>
            </w:r>
          </w:p>
        </w:tc>
        <w:tc>
          <w:tcPr>
            <w:tcW w:w="720" w:type="dxa"/>
            <w:tcBorders>
              <w:left w:val="dashSmallGap" w:sz="4" w:space="0" w:color="auto"/>
            </w:tcBorders>
            <w:shd w:val="pct10" w:color="auto" w:fill="auto"/>
            <w:vAlign w:val="center"/>
          </w:tcPr>
          <w:p w14:paraId="6BD12747" w14:textId="77777777" w:rsidR="00081B7A" w:rsidRPr="00363097" w:rsidRDefault="00081B7A">
            <w:pPr>
              <w:jc w:val="center"/>
              <w:rPr>
                <w:noProof/>
                <w:sz w:val="18"/>
                <w:szCs w:val="18"/>
              </w:rPr>
            </w:pPr>
            <w:r w:rsidRPr="00363097">
              <w:rPr>
                <w:noProof/>
                <w:sz w:val="18"/>
              </w:rPr>
              <w:t>Cost</w:t>
            </w:r>
          </w:p>
        </w:tc>
        <w:tc>
          <w:tcPr>
            <w:tcW w:w="720" w:type="dxa"/>
            <w:tcBorders>
              <w:right w:val="dashSmallGap" w:sz="4" w:space="0" w:color="auto"/>
            </w:tcBorders>
            <w:shd w:val="pct10" w:color="auto" w:fill="auto"/>
            <w:textDirection w:val="btLr"/>
            <w:vAlign w:val="center"/>
          </w:tcPr>
          <w:p w14:paraId="51DCC481" w14:textId="77777777" w:rsidR="00081B7A" w:rsidRPr="00363097" w:rsidRDefault="00081B7A">
            <w:pPr>
              <w:ind w:left="113" w:right="113"/>
              <w:jc w:val="center"/>
              <w:rPr>
                <w:noProof/>
                <w:sz w:val="18"/>
                <w:szCs w:val="18"/>
              </w:rPr>
            </w:pPr>
            <w:r w:rsidRPr="00363097">
              <w:rPr>
                <w:noProof/>
                <w:sz w:val="18"/>
              </w:rPr>
              <w:t>No</w:t>
            </w:r>
          </w:p>
        </w:tc>
        <w:tc>
          <w:tcPr>
            <w:tcW w:w="720" w:type="dxa"/>
            <w:tcBorders>
              <w:left w:val="dashSmallGap" w:sz="4" w:space="0" w:color="auto"/>
            </w:tcBorders>
            <w:shd w:val="pct10" w:color="auto" w:fill="auto"/>
            <w:vAlign w:val="center"/>
          </w:tcPr>
          <w:p w14:paraId="1D6B707E" w14:textId="77777777" w:rsidR="00081B7A" w:rsidRPr="00363097" w:rsidRDefault="00081B7A">
            <w:pPr>
              <w:jc w:val="center"/>
              <w:rPr>
                <w:noProof/>
                <w:sz w:val="18"/>
                <w:szCs w:val="18"/>
              </w:rPr>
            </w:pPr>
            <w:r w:rsidRPr="00363097">
              <w:rPr>
                <w:noProof/>
                <w:sz w:val="18"/>
              </w:rPr>
              <w:t>Cost</w:t>
            </w:r>
          </w:p>
        </w:tc>
        <w:tc>
          <w:tcPr>
            <w:tcW w:w="900" w:type="dxa"/>
            <w:tcBorders>
              <w:right w:val="dashSmallGap" w:sz="4" w:space="0" w:color="auto"/>
            </w:tcBorders>
            <w:shd w:val="pct10" w:color="auto" w:fill="auto"/>
            <w:textDirection w:val="btLr"/>
            <w:vAlign w:val="center"/>
          </w:tcPr>
          <w:p w14:paraId="3DC74D44" w14:textId="77777777" w:rsidR="00081B7A" w:rsidRPr="00363097" w:rsidRDefault="00081B7A">
            <w:pPr>
              <w:ind w:left="113" w:right="113"/>
              <w:jc w:val="center"/>
              <w:rPr>
                <w:noProof/>
                <w:sz w:val="18"/>
                <w:szCs w:val="18"/>
              </w:rPr>
            </w:pPr>
            <w:r w:rsidRPr="00363097">
              <w:rPr>
                <w:noProof/>
                <w:sz w:val="18"/>
              </w:rPr>
              <w:t>No</w:t>
            </w:r>
          </w:p>
        </w:tc>
        <w:tc>
          <w:tcPr>
            <w:tcW w:w="720" w:type="dxa"/>
            <w:gridSpan w:val="2"/>
            <w:tcBorders>
              <w:left w:val="dashSmallGap" w:sz="4" w:space="0" w:color="auto"/>
            </w:tcBorders>
            <w:shd w:val="pct10" w:color="auto" w:fill="auto"/>
            <w:vAlign w:val="center"/>
          </w:tcPr>
          <w:p w14:paraId="21EC0C16" w14:textId="77777777" w:rsidR="00081B7A" w:rsidRPr="00363097" w:rsidRDefault="00081B7A">
            <w:pPr>
              <w:jc w:val="center"/>
              <w:rPr>
                <w:noProof/>
                <w:sz w:val="18"/>
                <w:szCs w:val="18"/>
              </w:rPr>
            </w:pPr>
            <w:r w:rsidRPr="00363097">
              <w:rPr>
                <w:noProof/>
                <w:sz w:val="18"/>
              </w:rPr>
              <w:t>Cost</w:t>
            </w:r>
          </w:p>
        </w:tc>
        <w:tc>
          <w:tcPr>
            <w:tcW w:w="540" w:type="dxa"/>
            <w:tcBorders>
              <w:right w:val="dashSmallGap" w:sz="4" w:space="0" w:color="auto"/>
            </w:tcBorders>
            <w:shd w:val="pct10" w:color="auto" w:fill="auto"/>
            <w:textDirection w:val="btLr"/>
            <w:vAlign w:val="center"/>
          </w:tcPr>
          <w:p w14:paraId="77986E6C" w14:textId="77777777" w:rsidR="00081B7A" w:rsidRPr="00363097" w:rsidRDefault="00081B7A">
            <w:pPr>
              <w:ind w:left="113" w:right="113"/>
              <w:jc w:val="center"/>
              <w:rPr>
                <w:noProof/>
                <w:sz w:val="18"/>
                <w:szCs w:val="18"/>
              </w:rPr>
            </w:pPr>
            <w:r w:rsidRPr="00363097">
              <w:rPr>
                <w:noProof/>
                <w:sz w:val="18"/>
              </w:rPr>
              <w:t>No</w:t>
            </w:r>
          </w:p>
        </w:tc>
        <w:tc>
          <w:tcPr>
            <w:tcW w:w="648" w:type="dxa"/>
            <w:tcBorders>
              <w:left w:val="dashSmallGap" w:sz="4" w:space="0" w:color="auto"/>
            </w:tcBorders>
            <w:shd w:val="pct10" w:color="auto" w:fill="auto"/>
            <w:vAlign w:val="center"/>
          </w:tcPr>
          <w:p w14:paraId="2DD11B8C" w14:textId="77777777" w:rsidR="00081B7A" w:rsidRPr="00363097" w:rsidRDefault="00081B7A">
            <w:pPr>
              <w:jc w:val="center"/>
              <w:rPr>
                <w:noProof/>
                <w:sz w:val="18"/>
                <w:szCs w:val="18"/>
              </w:rPr>
            </w:pPr>
            <w:r w:rsidRPr="00363097">
              <w:rPr>
                <w:noProof/>
                <w:sz w:val="18"/>
              </w:rPr>
              <w:t>Cost</w:t>
            </w:r>
          </w:p>
        </w:tc>
        <w:tc>
          <w:tcPr>
            <w:tcW w:w="432" w:type="dxa"/>
            <w:tcBorders>
              <w:right w:val="dashSmallGap" w:sz="4" w:space="0" w:color="auto"/>
            </w:tcBorders>
            <w:shd w:val="pct10" w:color="auto" w:fill="auto"/>
            <w:textDirection w:val="btLr"/>
            <w:vAlign w:val="center"/>
          </w:tcPr>
          <w:p w14:paraId="4A1A9C81" w14:textId="77777777" w:rsidR="00081B7A" w:rsidRPr="00363097" w:rsidRDefault="00081B7A">
            <w:pPr>
              <w:ind w:left="113" w:right="113"/>
              <w:jc w:val="center"/>
              <w:rPr>
                <w:noProof/>
                <w:sz w:val="18"/>
                <w:szCs w:val="18"/>
              </w:rPr>
            </w:pPr>
            <w:r w:rsidRPr="00363097">
              <w:rPr>
                <w:noProof/>
                <w:sz w:val="18"/>
              </w:rPr>
              <w:t>No</w:t>
            </w:r>
          </w:p>
        </w:tc>
        <w:tc>
          <w:tcPr>
            <w:tcW w:w="720" w:type="dxa"/>
            <w:tcBorders>
              <w:left w:val="dashSmallGap" w:sz="4" w:space="0" w:color="auto"/>
            </w:tcBorders>
            <w:shd w:val="pct10" w:color="auto" w:fill="auto"/>
            <w:vAlign w:val="center"/>
          </w:tcPr>
          <w:p w14:paraId="79F2E81C" w14:textId="77777777" w:rsidR="00081B7A" w:rsidRPr="00363097" w:rsidRDefault="00081B7A">
            <w:pPr>
              <w:jc w:val="center"/>
              <w:rPr>
                <w:noProof/>
                <w:sz w:val="18"/>
                <w:szCs w:val="18"/>
              </w:rPr>
            </w:pPr>
            <w:r w:rsidRPr="00363097">
              <w:rPr>
                <w:noProof/>
                <w:sz w:val="18"/>
              </w:rPr>
              <w:t>Cost</w:t>
            </w:r>
          </w:p>
        </w:tc>
        <w:tc>
          <w:tcPr>
            <w:tcW w:w="540" w:type="dxa"/>
            <w:tcBorders>
              <w:right w:val="dashSmallGap" w:sz="4" w:space="0" w:color="auto"/>
            </w:tcBorders>
            <w:shd w:val="pct10" w:color="auto" w:fill="auto"/>
            <w:textDirection w:val="btLr"/>
            <w:vAlign w:val="center"/>
          </w:tcPr>
          <w:p w14:paraId="76BF85E9" w14:textId="77777777" w:rsidR="00081B7A" w:rsidRPr="00363097" w:rsidRDefault="00081B7A">
            <w:pPr>
              <w:ind w:left="113" w:right="113"/>
              <w:jc w:val="center"/>
              <w:rPr>
                <w:noProof/>
                <w:sz w:val="18"/>
                <w:szCs w:val="18"/>
              </w:rPr>
            </w:pPr>
            <w:r w:rsidRPr="00363097">
              <w:rPr>
                <w:noProof/>
                <w:sz w:val="18"/>
              </w:rPr>
              <w:t>No</w:t>
            </w:r>
          </w:p>
        </w:tc>
        <w:tc>
          <w:tcPr>
            <w:tcW w:w="720" w:type="dxa"/>
            <w:tcBorders>
              <w:left w:val="dashSmallGap" w:sz="4" w:space="0" w:color="auto"/>
            </w:tcBorders>
            <w:shd w:val="pct10" w:color="auto" w:fill="auto"/>
            <w:vAlign w:val="center"/>
          </w:tcPr>
          <w:p w14:paraId="2C8132B5" w14:textId="77777777" w:rsidR="00081B7A" w:rsidRPr="00363097" w:rsidRDefault="00081B7A">
            <w:pPr>
              <w:jc w:val="center"/>
              <w:rPr>
                <w:noProof/>
                <w:sz w:val="18"/>
                <w:szCs w:val="18"/>
              </w:rPr>
            </w:pPr>
            <w:r w:rsidRPr="00363097">
              <w:rPr>
                <w:noProof/>
                <w:sz w:val="18"/>
              </w:rPr>
              <w:t>Cost</w:t>
            </w:r>
          </w:p>
        </w:tc>
        <w:tc>
          <w:tcPr>
            <w:tcW w:w="720" w:type="dxa"/>
            <w:tcBorders>
              <w:right w:val="dashSmallGap" w:sz="4" w:space="0" w:color="auto"/>
            </w:tcBorders>
            <w:shd w:val="pct10" w:color="auto" w:fill="auto"/>
            <w:vAlign w:val="center"/>
          </w:tcPr>
          <w:p w14:paraId="7383155B" w14:textId="77777777" w:rsidR="00081B7A" w:rsidRPr="00363097" w:rsidRDefault="00081B7A">
            <w:pPr>
              <w:jc w:val="center"/>
              <w:rPr>
                <w:noProof/>
                <w:sz w:val="18"/>
                <w:szCs w:val="18"/>
              </w:rPr>
            </w:pPr>
            <w:r w:rsidRPr="00363097">
              <w:rPr>
                <w:noProof/>
                <w:sz w:val="18"/>
              </w:rPr>
              <w:t>Total No</w:t>
            </w:r>
          </w:p>
        </w:tc>
        <w:tc>
          <w:tcPr>
            <w:tcW w:w="900" w:type="dxa"/>
            <w:tcBorders>
              <w:left w:val="dashSmallGap" w:sz="4" w:space="0" w:color="auto"/>
            </w:tcBorders>
            <w:shd w:val="pct10" w:color="auto" w:fill="auto"/>
            <w:vAlign w:val="center"/>
          </w:tcPr>
          <w:p w14:paraId="06D72877" w14:textId="77777777" w:rsidR="00081B7A" w:rsidRPr="00363097" w:rsidRDefault="00081B7A">
            <w:pPr>
              <w:jc w:val="center"/>
              <w:rPr>
                <w:noProof/>
                <w:sz w:val="18"/>
                <w:szCs w:val="18"/>
              </w:rPr>
            </w:pPr>
            <w:r w:rsidRPr="00363097">
              <w:rPr>
                <w:noProof/>
                <w:sz w:val="18"/>
              </w:rPr>
              <w:t>Total cost</w:t>
            </w:r>
          </w:p>
        </w:tc>
      </w:tr>
      <w:tr w:rsidR="00363097" w:rsidRPr="00363097" w14:paraId="0E801703" w14:textId="77777777">
        <w:trPr>
          <w:jc w:val="center"/>
        </w:trPr>
        <w:tc>
          <w:tcPr>
            <w:tcW w:w="2844" w:type="dxa"/>
            <w:gridSpan w:val="3"/>
            <w:vAlign w:val="center"/>
          </w:tcPr>
          <w:p w14:paraId="0F30270C" w14:textId="77777777" w:rsidR="00081B7A" w:rsidRPr="00363097" w:rsidRDefault="00081B7A">
            <w:pPr>
              <w:spacing w:before="60" w:after="60"/>
              <w:ind w:right="-29"/>
              <w:jc w:val="center"/>
              <w:rPr>
                <w:noProof/>
                <w:sz w:val="18"/>
                <w:szCs w:val="18"/>
              </w:rPr>
            </w:pPr>
            <w:r w:rsidRPr="00363097">
              <w:rPr>
                <w:noProof/>
                <w:sz w:val="18"/>
              </w:rPr>
              <w:t>SPECIFIC OBJECTIVE No 1</w:t>
            </w:r>
            <w:r w:rsidRPr="00363097">
              <w:rPr>
                <w:rStyle w:val="FootnoteReference0"/>
                <w:noProof/>
                <w:sz w:val="18"/>
              </w:rPr>
              <w:footnoteReference w:id="47"/>
            </w:r>
            <w:r w:rsidRPr="00363097">
              <w:rPr>
                <w:noProof/>
                <w:sz w:val="18"/>
              </w:rPr>
              <w:t>…</w:t>
            </w:r>
          </w:p>
        </w:tc>
        <w:tc>
          <w:tcPr>
            <w:tcW w:w="504" w:type="dxa"/>
            <w:tcBorders>
              <w:top w:val="nil"/>
              <w:left w:val="nil"/>
              <w:bottom w:val="nil"/>
              <w:right w:val="nil"/>
            </w:tcBorders>
          </w:tcPr>
          <w:p w14:paraId="4556ADAF"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2951E080"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451E64BE"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3A0BA97C"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6C71D96E"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66AF3391" w14:textId="77777777" w:rsidR="00081B7A" w:rsidRPr="00363097" w:rsidRDefault="00081B7A">
            <w:pPr>
              <w:spacing w:before="60" w:after="60"/>
              <w:ind w:right="-29"/>
              <w:jc w:val="center"/>
              <w:rPr>
                <w:noProof/>
                <w:sz w:val="18"/>
                <w:szCs w:val="18"/>
              </w:rPr>
            </w:pPr>
          </w:p>
        </w:tc>
        <w:tc>
          <w:tcPr>
            <w:tcW w:w="900" w:type="dxa"/>
            <w:tcBorders>
              <w:top w:val="nil"/>
              <w:left w:val="nil"/>
              <w:bottom w:val="nil"/>
              <w:right w:val="nil"/>
            </w:tcBorders>
          </w:tcPr>
          <w:p w14:paraId="6A5A1D03" w14:textId="77777777" w:rsidR="00081B7A" w:rsidRPr="00363097" w:rsidRDefault="00081B7A">
            <w:pPr>
              <w:spacing w:before="60" w:after="60"/>
              <w:ind w:right="-29"/>
              <w:jc w:val="center"/>
              <w:rPr>
                <w:noProof/>
                <w:sz w:val="18"/>
                <w:szCs w:val="18"/>
              </w:rPr>
            </w:pPr>
          </w:p>
        </w:tc>
        <w:tc>
          <w:tcPr>
            <w:tcW w:w="720" w:type="dxa"/>
            <w:gridSpan w:val="2"/>
            <w:tcBorders>
              <w:top w:val="nil"/>
              <w:left w:val="nil"/>
              <w:bottom w:val="nil"/>
              <w:right w:val="nil"/>
            </w:tcBorders>
          </w:tcPr>
          <w:p w14:paraId="1E17E60A"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15E0E155" w14:textId="77777777" w:rsidR="00081B7A" w:rsidRPr="00363097" w:rsidRDefault="00081B7A">
            <w:pPr>
              <w:spacing w:before="60" w:after="60"/>
              <w:ind w:right="-29"/>
              <w:jc w:val="center"/>
              <w:rPr>
                <w:noProof/>
                <w:sz w:val="18"/>
                <w:szCs w:val="18"/>
              </w:rPr>
            </w:pPr>
          </w:p>
        </w:tc>
        <w:tc>
          <w:tcPr>
            <w:tcW w:w="648" w:type="dxa"/>
            <w:tcBorders>
              <w:top w:val="nil"/>
              <w:left w:val="nil"/>
              <w:bottom w:val="nil"/>
              <w:right w:val="nil"/>
            </w:tcBorders>
          </w:tcPr>
          <w:p w14:paraId="6F31293B" w14:textId="77777777" w:rsidR="00081B7A" w:rsidRPr="00363097" w:rsidRDefault="00081B7A">
            <w:pPr>
              <w:spacing w:before="60" w:after="60"/>
              <w:ind w:right="-29"/>
              <w:jc w:val="center"/>
              <w:rPr>
                <w:noProof/>
                <w:sz w:val="18"/>
                <w:szCs w:val="18"/>
              </w:rPr>
            </w:pPr>
          </w:p>
        </w:tc>
        <w:tc>
          <w:tcPr>
            <w:tcW w:w="432" w:type="dxa"/>
            <w:tcBorders>
              <w:top w:val="nil"/>
              <w:left w:val="nil"/>
              <w:bottom w:val="nil"/>
              <w:right w:val="nil"/>
            </w:tcBorders>
          </w:tcPr>
          <w:p w14:paraId="4C07B4D8"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5EB19869"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5E30DB18"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13521797"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4F5FB699" w14:textId="77777777" w:rsidR="00081B7A" w:rsidRPr="00363097" w:rsidRDefault="00081B7A">
            <w:pPr>
              <w:spacing w:before="60" w:after="60"/>
              <w:ind w:right="-29"/>
              <w:jc w:val="center"/>
              <w:rPr>
                <w:noProof/>
                <w:sz w:val="18"/>
                <w:szCs w:val="18"/>
              </w:rPr>
            </w:pPr>
          </w:p>
        </w:tc>
        <w:tc>
          <w:tcPr>
            <w:tcW w:w="900" w:type="dxa"/>
            <w:tcBorders>
              <w:top w:val="nil"/>
              <w:left w:val="nil"/>
              <w:bottom w:val="nil"/>
              <w:right w:val="nil"/>
            </w:tcBorders>
          </w:tcPr>
          <w:p w14:paraId="25ECF502" w14:textId="77777777" w:rsidR="00081B7A" w:rsidRPr="00363097" w:rsidRDefault="00081B7A">
            <w:pPr>
              <w:spacing w:before="60" w:after="60"/>
              <w:ind w:right="-29"/>
              <w:jc w:val="center"/>
              <w:rPr>
                <w:noProof/>
                <w:sz w:val="18"/>
                <w:szCs w:val="18"/>
              </w:rPr>
            </w:pPr>
          </w:p>
        </w:tc>
      </w:tr>
      <w:tr w:rsidR="00363097" w:rsidRPr="00363097" w14:paraId="0E59AFA3" w14:textId="77777777" w:rsidTr="00363097">
        <w:trPr>
          <w:trHeight w:hRule="exact" w:val="590"/>
          <w:jc w:val="center"/>
        </w:trPr>
        <w:tc>
          <w:tcPr>
            <w:tcW w:w="1423" w:type="dxa"/>
          </w:tcPr>
          <w:p w14:paraId="62FF73ED" w14:textId="77777777" w:rsidR="00081B7A" w:rsidRPr="00363097" w:rsidRDefault="00081B7A">
            <w:pPr>
              <w:ind w:right="-29"/>
              <w:jc w:val="center"/>
              <w:rPr>
                <w:noProof/>
                <w:sz w:val="18"/>
              </w:rPr>
            </w:pPr>
            <w:r w:rsidRPr="00363097">
              <w:rPr>
                <w:noProof/>
                <w:sz w:val="18"/>
              </w:rPr>
              <w:t xml:space="preserve">- </w:t>
            </w:r>
            <w:r w:rsidR="00E53E9F" w:rsidRPr="00363097">
              <w:rPr>
                <w:noProof/>
                <w:sz w:val="18"/>
              </w:rPr>
              <w:t>Hosting and support</w:t>
            </w:r>
          </w:p>
          <w:p w14:paraId="7D0F40E2" w14:textId="77777777" w:rsidR="00081B7A" w:rsidRPr="00363097" w:rsidRDefault="00081B7A">
            <w:pPr>
              <w:ind w:right="-29"/>
              <w:jc w:val="center"/>
              <w:rPr>
                <w:noProof/>
                <w:sz w:val="18"/>
                <w:szCs w:val="18"/>
              </w:rPr>
            </w:pPr>
          </w:p>
        </w:tc>
        <w:tc>
          <w:tcPr>
            <w:tcW w:w="720" w:type="dxa"/>
          </w:tcPr>
          <w:p w14:paraId="4D390C9F" w14:textId="77777777" w:rsidR="00081B7A" w:rsidRPr="00363097" w:rsidRDefault="00081B7A">
            <w:pPr>
              <w:ind w:right="-29"/>
              <w:jc w:val="center"/>
              <w:rPr>
                <w:noProof/>
                <w:sz w:val="18"/>
                <w:szCs w:val="18"/>
              </w:rPr>
            </w:pPr>
          </w:p>
        </w:tc>
        <w:tc>
          <w:tcPr>
            <w:tcW w:w="701" w:type="dxa"/>
          </w:tcPr>
          <w:p w14:paraId="20A6069B" w14:textId="77777777" w:rsidR="00081B7A" w:rsidRPr="00363097" w:rsidRDefault="00081B7A">
            <w:pPr>
              <w:ind w:right="-29"/>
              <w:jc w:val="center"/>
              <w:rPr>
                <w:noProof/>
                <w:sz w:val="18"/>
                <w:szCs w:val="18"/>
              </w:rPr>
            </w:pPr>
          </w:p>
        </w:tc>
        <w:tc>
          <w:tcPr>
            <w:tcW w:w="504" w:type="dxa"/>
            <w:tcBorders>
              <w:right w:val="dashSmallGap" w:sz="4" w:space="0" w:color="auto"/>
            </w:tcBorders>
          </w:tcPr>
          <w:p w14:paraId="1C582FCB" w14:textId="77777777" w:rsidR="00081B7A" w:rsidRPr="00363097" w:rsidRDefault="00081B7A">
            <w:pPr>
              <w:ind w:right="-29"/>
              <w:jc w:val="center"/>
              <w:rPr>
                <w:noProof/>
                <w:sz w:val="18"/>
                <w:szCs w:val="18"/>
              </w:rPr>
            </w:pPr>
          </w:p>
        </w:tc>
        <w:tc>
          <w:tcPr>
            <w:tcW w:w="720" w:type="dxa"/>
            <w:tcBorders>
              <w:left w:val="dashSmallGap" w:sz="4" w:space="0" w:color="auto"/>
            </w:tcBorders>
          </w:tcPr>
          <w:p w14:paraId="7E2E3D28"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4EED337F" w14:textId="77777777" w:rsidR="00081B7A" w:rsidRPr="00363097" w:rsidRDefault="00081B7A">
            <w:pPr>
              <w:ind w:right="-29"/>
              <w:jc w:val="center"/>
              <w:rPr>
                <w:noProof/>
                <w:sz w:val="18"/>
                <w:szCs w:val="18"/>
              </w:rPr>
            </w:pPr>
          </w:p>
        </w:tc>
        <w:tc>
          <w:tcPr>
            <w:tcW w:w="720" w:type="dxa"/>
            <w:tcBorders>
              <w:left w:val="dashSmallGap" w:sz="4" w:space="0" w:color="auto"/>
            </w:tcBorders>
          </w:tcPr>
          <w:p w14:paraId="7CDD74A9" w14:textId="23A9B402" w:rsidR="00081B7A" w:rsidRPr="00363097" w:rsidRDefault="00F7274F">
            <w:pPr>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c>
          <w:tcPr>
            <w:tcW w:w="720" w:type="dxa"/>
            <w:tcBorders>
              <w:right w:val="dashSmallGap" w:sz="4" w:space="0" w:color="auto"/>
            </w:tcBorders>
          </w:tcPr>
          <w:p w14:paraId="56D17C51" w14:textId="77777777" w:rsidR="00081B7A" w:rsidRPr="00363097" w:rsidRDefault="00081B7A">
            <w:pPr>
              <w:ind w:right="-29"/>
              <w:jc w:val="center"/>
              <w:rPr>
                <w:noProof/>
                <w:sz w:val="18"/>
                <w:szCs w:val="18"/>
              </w:rPr>
            </w:pPr>
          </w:p>
        </w:tc>
        <w:tc>
          <w:tcPr>
            <w:tcW w:w="720" w:type="dxa"/>
            <w:tcBorders>
              <w:left w:val="dashSmallGap" w:sz="4" w:space="0" w:color="auto"/>
            </w:tcBorders>
          </w:tcPr>
          <w:p w14:paraId="3D9B1242" w14:textId="406B6627" w:rsidR="00081B7A" w:rsidRPr="00363097" w:rsidRDefault="00F7274F">
            <w:pPr>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c>
          <w:tcPr>
            <w:tcW w:w="900" w:type="dxa"/>
            <w:tcBorders>
              <w:right w:val="dashSmallGap" w:sz="4" w:space="0" w:color="auto"/>
            </w:tcBorders>
          </w:tcPr>
          <w:p w14:paraId="011837DC" w14:textId="77777777" w:rsidR="00081B7A" w:rsidRPr="00363097" w:rsidRDefault="00081B7A">
            <w:pPr>
              <w:ind w:right="-29"/>
              <w:jc w:val="center"/>
              <w:rPr>
                <w:noProof/>
                <w:sz w:val="18"/>
                <w:szCs w:val="18"/>
              </w:rPr>
            </w:pPr>
          </w:p>
        </w:tc>
        <w:tc>
          <w:tcPr>
            <w:tcW w:w="720" w:type="dxa"/>
            <w:gridSpan w:val="2"/>
            <w:tcBorders>
              <w:left w:val="dashSmallGap" w:sz="4" w:space="0" w:color="auto"/>
            </w:tcBorders>
          </w:tcPr>
          <w:p w14:paraId="1923AA26"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08432244" w14:textId="77777777" w:rsidR="00081B7A" w:rsidRPr="00363097" w:rsidRDefault="00081B7A">
            <w:pPr>
              <w:ind w:right="-29"/>
              <w:jc w:val="center"/>
              <w:rPr>
                <w:noProof/>
                <w:sz w:val="18"/>
                <w:szCs w:val="18"/>
              </w:rPr>
            </w:pPr>
          </w:p>
        </w:tc>
        <w:tc>
          <w:tcPr>
            <w:tcW w:w="648" w:type="dxa"/>
            <w:tcBorders>
              <w:left w:val="dashSmallGap" w:sz="4" w:space="0" w:color="auto"/>
            </w:tcBorders>
          </w:tcPr>
          <w:p w14:paraId="12863AFF" w14:textId="77777777" w:rsidR="00081B7A" w:rsidRPr="00363097" w:rsidRDefault="00081B7A">
            <w:pPr>
              <w:ind w:right="-29"/>
              <w:jc w:val="center"/>
              <w:rPr>
                <w:noProof/>
                <w:sz w:val="18"/>
                <w:szCs w:val="18"/>
              </w:rPr>
            </w:pPr>
          </w:p>
        </w:tc>
        <w:tc>
          <w:tcPr>
            <w:tcW w:w="432" w:type="dxa"/>
            <w:tcBorders>
              <w:right w:val="dashSmallGap" w:sz="4" w:space="0" w:color="auto"/>
            </w:tcBorders>
          </w:tcPr>
          <w:p w14:paraId="429211E1" w14:textId="77777777" w:rsidR="00081B7A" w:rsidRPr="00363097" w:rsidRDefault="00081B7A">
            <w:pPr>
              <w:ind w:right="-29"/>
              <w:jc w:val="center"/>
              <w:rPr>
                <w:noProof/>
                <w:sz w:val="18"/>
                <w:szCs w:val="18"/>
              </w:rPr>
            </w:pPr>
          </w:p>
        </w:tc>
        <w:tc>
          <w:tcPr>
            <w:tcW w:w="720" w:type="dxa"/>
            <w:tcBorders>
              <w:left w:val="dashSmallGap" w:sz="4" w:space="0" w:color="auto"/>
            </w:tcBorders>
          </w:tcPr>
          <w:p w14:paraId="78C4C0A2"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2F1F11EB" w14:textId="77777777" w:rsidR="00081B7A" w:rsidRPr="00363097" w:rsidRDefault="00081B7A">
            <w:pPr>
              <w:ind w:right="-29"/>
              <w:jc w:val="center"/>
              <w:rPr>
                <w:noProof/>
                <w:sz w:val="18"/>
                <w:szCs w:val="18"/>
              </w:rPr>
            </w:pPr>
          </w:p>
        </w:tc>
        <w:tc>
          <w:tcPr>
            <w:tcW w:w="720" w:type="dxa"/>
            <w:tcBorders>
              <w:left w:val="dashSmallGap" w:sz="4" w:space="0" w:color="auto"/>
            </w:tcBorders>
          </w:tcPr>
          <w:p w14:paraId="55FF4301" w14:textId="77777777" w:rsidR="00081B7A" w:rsidRPr="00363097" w:rsidRDefault="00081B7A">
            <w:pPr>
              <w:ind w:right="-29"/>
              <w:jc w:val="center"/>
              <w:rPr>
                <w:noProof/>
                <w:sz w:val="18"/>
                <w:szCs w:val="18"/>
              </w:rPr>
            </w:pPr>
          </w:p>
        </w:tc>
        <w:tc>
          <w:tcPr>
            <w:tcW w:w="720" w:type="dxa"/>
          </w:tcPr>
          <w:p w14:paraId="3CBA6703" w14:textId="77777777" w:rsidR="00081B7A" w:rsidRPr="00363097" w:rsidRDefault="00081B7A">
            <w:pPr>
              <w:ind w:right="-29"/>
              <w:jc w:val="center"/>
              <w:rPr>
                <w:noProof/>
                <w:sz w:val="18"/>
                <w:szCs w:val="18"/>
              </w:rPr>
            </w:pPr>
          </w:p>
        </w:tc>
        <w:tc>
          <w:tcPr>
            <w:tcW w:w="900" w:type="dxa"/>
          </w:tcPr>
          <w:p w14:paraId="560EBC46" w14:textId="733AAD32" w:rsidR="00081B7A" w:rsidRPr="00363097" w:rsidRDefault="00B10746">
            <w:pPr>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r>
      <w:tr w:rsidR="00363097" w:rsidRPr="00363097" w14:paraId="1DF7175F" w14:textId="77777777">
        <w:trPr>
          <w:trHeight w:hRule="exact" w:val="369"/>
          <w:jc w:val="center"/>
        </w:trPr>
        <w:tc>
          <w:tcPr>
            <w:tcW w:w="1423" w:type="dxa"/>
          </w:tcPr>
          <w:p w14:paraId="21B3AA67" w14:textId="77777777" w:rsidR="00081B7A" w:rsidRPr="00363097" w:rsidRDefault="00081B7A">
            <w:pPr>
              <w:ind w:right="-29"/>
              <w:jc w:val="center"/>
              <w:rPr>
                <w:noProof/>
                <w:sz w:val="18"/>
                <w:szCs w:val="18"/>
              </w:rPr>
            </w:pPr>
            <w:r w:rsidRPr="00363097">
              <w:rPr>
                <w:noProof/>
                <w:sz w:val="18"/>
              </w:rPr>
              <w:t>- Output</w:t>
            </w:r>
          </w:p>
        </w:tc>
        <w:tc>
          <w:tcPr>
            <w:tcW w:w="720" w:type="dxa"/>
          </w:tcPr>
          <w:p w14:paraId="049CEF03" w14:textId="77777777" w:rsidR="00081B7A" w:rsidRPr="00363097" w:rsidRDefault="00081B7A">
            <w:pPr>
              <w:ind w:right="-29"/>
              <w:jc w:val="center"/>
              <w:rPr>
                <w:noProof/>
                <w:sz w:val="18"/>
                <w:szCs w:val="18"/>
              </w:rPr>
            </w:pPr>
          </w:p>
        </w:tc>
        <w:tc>
          <w:tcPr>
            <w:tcW w:w="701" w:type="dxa"/>
          </w:tcPr>
          <w:p w14:paraId="138A0568" w14:textId="77777777" w:rsidR="00081B7A" w:rsidRPr="00363097" w:rsidRDefault="00081B7A">
            <w:pPr>
              <w:ind w:right="-29"/>
              <w:jc w:val="center"/>
              <w:rPr>
                <w:noProof/>
                <w:sz w:val="18"/>
                <w:szCs w:val="18"/>
              </w:rPr>
            </w:pPr>
          </w:p>
        </w:tc>
        <w:tc>
          <w:tcPr>
            <w:tcW w:w="504" w:type="dxa"/>
            <w:tcBorders>
              <w:right w:val="dashSmallGap" w:sz="4" w:space="0" w:color="auto"/>
            </w:tcBorders>
          </w:tcPr>
          <w:p w14:paraId="30FE2CEA" w14:textId="77777777" w:rsidR="00081B7A" w:rsidRPr="00363097" w:rsidRDefault="00081B7A">
            <w:pPr>
              <w:ind w:right="-29"/>
              <w:jc w:val="center"/>
              <w:rPr>
                <w:noProof/>
                <w:sz w:val="18"/>
                <w:szCs w:val="18"/>
              </w:rPr>
            </w:pPr>
          </w:p>
        </w:tc>
        <w:tc>
          <w:tcPr>
            <w:tcW w:w="720" w:type="dxa"/>
            <w:tcBorders>
              <w:left w:val="dashSmallGap" w:sz="4" w:space="0" w:color="auto"/>
            </w:tcBorders>
          </w:tcPr>
          <w:p w14:paraId="220DE773"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0A74E379" w14:textId="77777777" w:rsidR="00081B7A" w:rsidRPr="00363097" w:rsidRDefault="00081B7A">
            <w:pPr>
              <w:ind w:right="-29"/>
              <w:jc w:val="center"/>
              <w:rPr>
                <w:noProof/>
                <w:sz w:val="18"/>
                <w:szCs w:val="18"/>
              </w:rPr>
            </w:pPr>
          </w:p>
        </w:tc>
        <w:tc>
          <w:tcPr>
            <w:tcW w:w="720" w:type="dxa"/>
            <w:tcBorders>
              <w:left w:val="dashSmallGap" w:sz="4" w:space="0" w:color="auto"/>
            </w:tcBorders>
          </w:tcPr>
          <w:p w14:paraId="41475161" w14:textId="77777777" w:rsidR="00081B7A" w:rsidRPr="00363097" w:rsidRDefault="00081B7A">
            <w:pPr>
              <w:ind w:right="-29"/>
              <w:jc w:val="center"/>
              <w:rPr>
                <w:noProof/>
                <w:sz w:val="18"/>
                <w:szCs w:val="18"/>
              </w:rPr>
            </w:pPr>
          </w:p>
        </w:tc>
        <w:tc>
          <w:tcPr>
            <w:tcW w:w="720" w:type="dxa"/>
            <w:tcBorders>
              <w:right w:val="dashSmallGap" w:sz="4" w:space="0" w:color="auto"/>
            </w:tcBorders>
          </w:tcPr>
          <w:p w14:paraId="6809C775" w14:textId="77777777" w:rsidR="00081B7A" w:rsidRPr="00363097" w:rsidRDefault="00081B7A">
            <w:pPr>
              <w:ind w:right="-29"/>
              <w:jc w:val="center"/>
              <w:rPr>
                <w:noProof/>
                <w:sz w:val="18"/>
                <w:szCs w:val="18"/>
              </w:rPr>
            </w:pPr>
          </w:p>
        </w:tc>
        <w:tc>
          <w:tcPr>
            <w:tcW w:w="720" w:type="dxa"/>
            <w:tcBorders>
              <w:left w:val="dashSmallGap" w:sz="4" w:space="0" w:color="auto"/>
            </w:tcBorders>
          </w:tcPr>
          <w:p w14:paraId="5A35CFCF" w14:textId="77777777" w:rsidR="00081B7A" w:rsidRPr="00363097" w:rsidRDefault="00081B7A">
            <w:pPr>
              <w:ind w:right="-29"/>
              <w:jc w:val="center"/>
              <w:rPr>
                <w:noProof/>
                <w:sz w:val="18"/>
                <w:szCs w:val="18"/>
              </w:rPr>
            </w:pPr>
          </w:p>
        </w:tc>
        <w:tc>
          <w:tcPr>
            <w:tcW w:w="900" w:type="dxa"/>
            <w:tcBorders>
              <w:right w:val="dashSmallGap" w:sz="4" w:space="0" w:color="auto"/>
            </w:tcBorders>
          </w:tcPr>
          <w:p w14:paraId="5D721F26" w14:textId="77777777" w:rsidR="00081B7A" w:rsidRPr="00363097" w:rsidRDefault="00081B7A">
            <w:pPr>
              <w:ind w:right="-29"/>
              <w:jc w:val="center"/>
              <w:rPr>
                <w:noProof/>
                <w:sz w:val="18"/>
                <w:szCs w:val="18"/>
              </w:rPr>
            </w:pPr>
          </w:p>
        </w:tc>
        <w:tc>
          <w:tcPr>
            <w:tcW w:w="720" w:type="dxa"/>
            <w:gridSpan w:val="2"/>
            <w:tcBorders>
              <w:left w:val="dashSmallGap" w:sz="4" w:space="0" w:color="auto"/>
            </w:tcBorders>
          </w:tcPr>
          <w:p w14:paraId="7E21E4AB"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754E7B97" w14:textId="77777777" w:rsidR="00081B7A" w:rsidRPr="00363097" w:rsidRDefault="00081B7A">
            <w:pPr>
              <w:ind w:right="-29"/>
              <w:jc w:val="center"/>
              <w:rPr>
                <w:noProof/>
                <w:sz w:val="18"/>
                <w:szCs w:val="18"/>
              </w:rPr>
            </w:pPr>
          </w:p>
        </w:tc>
        <w:tc>
          <w:tcPr>
            <w:tcW w:w="648" w:type="dxa"/>
            <w:tcBorders>
              <w:left w:val="dashSmallGap" w:sz="4" w:space="0" w:color="auto"/>
            </w:tcBorders>
          </w:tcPr>
          <w:p w14:paraId="5EE83947" w14:textId="77777777" w:rsidR="00081B7A" w:rsidRPr="00363097" w:rsidRDefault="00081B7A">
            <w:pPr>
              <w:ind w:right="-29"/>
              <w:jc w:val="center"/>
              <w:rPr>
                <w:noProof/>
                <w:sz w:val="18"/>
                <w:szCs w:val="18"/>
              </w:rPr>
            </w:pPr>
          </w:p>
        </w:tc>
        <w:tc>
          <w:tcPr>
            <w:tcW w:w="432" w:type="dxa"/>
            <w:tcBorders>
              <w:right w:val="dashSmallGap" w:sz="4" w:space="0" w:color="auto"/>
            </w:tcBorders>
          </w:tcPr>
          <w:p w14:paraId="0DEA4884" w14:textId="77777777" w:rsidR="00081B7A" w:rsidRPr="00363097" w:rsidRDefault="00081B7A">
            <w:pPr>
              <w:ind w:right="-29"/>
              <w:jc w:val="center"/>
              <w:rPr>
                <w:noProof/>
                <w:sz w:val="18"/>
                <w:szCs w:val="18"/>
              </w:rPr>
            </w:pPr>
          </w:p>
        </w:tc>
        <w:tc>
          <w:tcPr>
            <w:tcW w:w="720" w:type="dxa"/>
            <w:tcBorders>
              <w:left w:val="dashSmallGap" w:sz="4" w:space="0" w:color="auto"/>
            </w:tcBorders>
          </w:tcPr>
          <w:p w14:paraId="6FEC9CC2" w14:textId="77777777" w:rsidR="00081B7A" w:rsidRPr="00363097" w:rsidRDefault="00081B7A">
            <w:pPr>
              <w:ind w:right="-29"/>
              <w:jc w:val="center"/>
              <w:rPr>
                <w:noProof/>
                <w:sz w:val="18"/>
                <w:szCs w:val="18"/>
              </w:rPr>
            </w:pPr>
          </w:p>
        </w:tc>
        <w:tc>
          <w:tcPr>
            <w:tcW w:w="540" w:type="dxa"/>
            <w:tcBorders>
              <w:right w:val="dashSmallGap" w:sz="4" w:space="0" w:color="auto"/>
            </w:tcBorders>
          </w:tcPr>
          <w:p w14:paraId="6346B024" w14:textId="77777777" w:rsidR="00081B7A" w:rsidRPr="00363097" w:rsidRDefault="00081B7A">
            <w:pPr>
              <w:ind w:right="-29"/>
              <w:jc w:val="center"/>
              <w:rPr>
                <w:noProof/>
                <w:sz w:val="18"/>
                <w:szCs w:val="18"/>
              </w:rPr>
            </w:pPr>
          </w:p>
        </w:tc>
        <w:tc>
          <w:tcPr>
            <w:tcW w:w="720" w:type="dxa"/>
            <w:tcBorders>
              <w:left w:val="dashSmallGap" w:sz="4" w:space="0" w:color="auto"/>
            </w:tcBorders>
          </w:tcPr>
          <w:p w14:paraId="29E0440C" w14:textId="77777777" w:rsidR="00081B7A" w:rsidRPr="00363097" w:rsidRDefault="00081B7A">
            <w:pPr>
              <w:ind w:right="-29"/>
              <w:jc w:val="center"/>
              <w:rPr>
                <w:noProof/>
                <w:sz w:val="18"/>
                <w:szCs w:val="18"/>
              </w:rPr>
            </w:pPr>
          </w:p>
        </w:tc>
        <w:tc>
          <w:tcPr>
            <w:tcW w:w="720" w:type="dxa"/>
          </w:tcPr>
          <w:p w14:paraId="1B9F5A93" w14:textId="77777777" w:rsidR="00081B7A" w:rsidRPr="00363097" w:rsidRDefault="00081B7A">
            <w:pPr>
              <w:ind w:right="-29"/>
              <w:jc w:val="center"/>
              <w:rPr>
                <w:noProof/>
                <w:sz w:val="18"/>
                <w:szCs w:val="18"/>
              </w:rPr>
            </w:pPr>
          </w:p>
        </w:tc>
        <w:tc>
          <w:tcPr>
            <w:tcW w:w="900" w:type="dxa"/>
          </w:tcPr>
          <w:p w14:paraId="4B62878D" w14:textId="77777777" w:rsidR="00081B7A" w:rsidRPr="00363097" w:rsidRDefault="00081B7A">
            <w:pPr>
              <w:ind w:right="-29"/>
              <w:jc w:val="center"/>
              <w:rPr>
                <w:noProof/>
                <w:sz w:val="18"/>
                <w:szCs w:val="18"/>
              </w:rPr>
            </w:pPr>
          </w:p>
        </w:tc>
      </w:tr>
      <w:tr w:rsidR="00363097" w:rsidRPr="00363097" w14:paraId="625A9D6B" w14:textId="77777777">
        <w:trPr>
          <w:trHeight w:hRule="exact" w:val="369"/>
          <w:jc w:val="center"/>
        </w:trPr>
        <w:tc>
          <w:tcPr>
            <w:tcW w:w="1423" w:type="dxa"/>
          </w:tcPr>
          <w:p w14:paraId="2B48679D" w14:textId="77777777" w:rsidR="00081B7A" w:rsidRPr="00363097" w:rsidRDefault="00081B7A">
            <w:pPr>
              <w:ind w:right="-29"/>
              <w:jc w:val="center"/>
              <w:rPr>
                <w:noProof/>
                <w:sz w:val="18"/>
                <w:szCs w:val="18"/>
              </w:rPr>
            </w:pPr>
            <w:r w:rsidRPr="00363097">
              <w:rPr>
                <w:noProof/>
                <w:sz w:val="18"/>
              </w:rPr>
              <w:t>- Output</w:t>
            </w:r>
          </w:p>
        </w:tc>
        <w:tc>
          <w:tcPr>
            <w:tcW w:w="720" w:type="dxa"/>
          </w:tcPr>
          <w:p w14:paraId="13BBAC2F" w14:textId="77777777" w:rsidR="00081B7A" w:rsidRPr="00363097" w:rsidRDefault="00081B7A">
            <w:pPr>
              <w:ind w:right="-29"/>
              <w:jc w:val="center"/>
              <w:rPr>
                <w:noProof/>
                <w:sz w:val="18"/>
                <w:szCs w:val="18"/>
              </w:rPr>
            </w:pPr>
          </w:p>
        </w:tc>
        <w:tc>
          <w:tcPr>
            <w:tcW w:w="701" w:type="dxa"/>
          </w:tcPr>
          <w:p w14:paraId="21C938C1" w14:textId="77777777" w:rsidR="00081B7A" w:rsidRPr="00363097" w:rsidRDefault="00081B7A">
            <w:pPr>
              <w:ind w:right="-29"/>
              <w:jc w:val="center"/>
              <w:rPr>
                <w:noProof/>
                <w:sz w:val="18"/>
                <w:szCs w:val="18"/>
              </w:rPr>
            </w:pPr>
          </w:p>
        </w:tc>
        <w:tc>
          <w:tcPr>
            <w:tcW w:w="504" w:type="dxa"/>
          </w:tcPr>
          <w:p w14:paraId="3F930800" w14:textId="77777777" w:rsidR="00081B7A" w:rsidRPr="00363097" w:rsidRDefault="00081B7A">
            <w:pPr>
              <w:ind w:right="-29"/>
              <w:jc w:val="center"/>
              <w:rPr>
                <w:noProof/>
                <w:sz w:val="18"/>
                <w:szCs w:val="18"/>
              </w:rPr>
            </w:pPr>
          </w:p>
        </w:tc>
        <w:tc>
          <w:tcPr>
            <w:tcW w:w="720" w:type="dxa"/>
          </w:tcPr>
          <w:p w14:paraId="06A6B135" w14:textId="77777777" w:rsidR="00081B7A" w:rsidRPr="00363097" w:rsidRDefault="00081B7A">
            <w:pPr>
              <w:ind w:right="-29"/>
              <w:jc w:val="center"/>
              <w:rPr>
                <w:noProof/>
                <w:sz w:val="18"/>
                <w:szCs w:val="18"/>
              </w:rPr>
            </w:pPr>
          </w:p>
        </w:tc>
        <w:tc>
          <w:tcPr>
            <w:tcW w:w="540" w:type="dxa"/>
          </w:tcPr>
          <w:p w14:paraId="43E9037D" w14:textId="77777777" w:rsidR="00081B7A" w:rsidRPr="00363097" w:rsidRDefault="00081B7A">
            <w:pPr>
              <w:ind w:right="-29"/>
              <w:jc w:val="center"/>
              <w:rPr>
                <w:noProof/>
                <w:sz w:val="18"/>
                <w:szCs w:val="18"/>
              </w:rPr>
            </w:pPr>
          </w:p>
        </w:tc>
        <w:tc>
          <w:tcPr>
            <w:tcW w:w="720" w:type="dxa"/>
          </w:tcPr>
          <w:p w14:paraId="5D37A5F4" w14:textId="77777777" w:rsidR="00081B7A" w:rsidRPr="00363097" w:rsidRDefault="00081B7A">
            <w:pPr>
              <w:ind w:right="-29"/>
              <w:jc w:val="center"/>
              <w:rPr>
                <w:noProof/>
                <w:sz w:val="18"/>
                <w:szCs w:val="18"/>
              </w:rPr>
            </w:pPr>
          </w:p>
        </w:tc>
        <w:tc>
          <w:tcPr>
            <w:tcW w:w="720" w:type="dxa"/>
          </w:tcPr>
          <w:p w14:paraId="3AE66FC9" w14:textId="77777777" w:rsidR="00081B7A" w:rsidRPr="00363097" w:rsidRDefault="00081B7A">
            <w:pPr>
              <w:ind w:right="-29"/>
              <w:jc w:val="center"/>
              <w:rPr>
                <w:noProof/>
                <w:sz w:val="18"/>
                <w:szCs w:val="18"/>
              </w:rPr>
            </w:pPr>
          </w:p>
        </w:tc>
        <w:tc>
          <w:tcPr>
            <w:tcW w:w="720" w:type="dxa"/>
          </w:tcPr>
          <w:p w14:paraId="355B4C4F" w14:textId="77777777" w:rsidR="00081B7A" w:rsidRPr="00363097" w:rsidRDefault="00081B7A">
            <w:pPr>
              <w:ind w:right="-29"/>
              <w:jc w:val="center"/>
              <w:rPr>
                <w:noProof/>
                <w:sz w:val="18"/>
                <w:szCs w:val="18"/>
              </w:rPr>
            </w:pPr>
          </w:p>
        </w:tc>
        <w:tc>
          <w:tcPr>
            <w:tcW w:w="900" w:type="dxa"/>
          </w:tcPr>
          <w:p w14:paraId="0A8B47D2" w14:textId="77777777" w:rsidR="00081B7A" w:rsidRPr="00363097" w:rsidRDefault="00081B7A">
            <w:pPr>
              <w:ind w:right="-29"/>
              <w:jc w:val="center"/>
              <w:rPr>
                <w:noProof/>
                <w:sz w:val="18"/>
                <w:szCs w:val="18"/>
              </w:rPr>
            </w:pPr>
          </w:p>
        </w:tc>
        <w:tc>
          <w:tcPr>
            <w:tcW w:w="720" w:type="dxa"/>
            <w:gridSpan w:val="2"/>
          </w:tcPr>
          <w:p w14:paraId="1C4F03F4" w14:textId="77777777" w:rsidR="00081B7A" w:rsidRPr="00363097" w:rsidRDefault="00081B7A">
            <w:pPr>
              <w:ind w:right="-29"/>
              <w:jc w:val="center"/>
              <w:rPr>
                <w:noProof/>
                <w:sz w:val="18"/>
                <w:szCs w:val="18"/>
              </w:rPr>
            </w:pPr>
          </w:p>
        </w:tc>
        <w:tc>
          <w:tcPr>
            <w:tcW w:w="540" w:type="dxa"/>
          </w:tcPr>
          <w:p w14:paraId="1E57781E" w14:textId="77777777" w:rsidR="00081B7A" w:rsidRPr="00363097" w:rsidRDefault="00081B7A">
            <w:pPr>
              <w:ind w:right="-29"/>
              <w:jc w:val="center"/>
              <w:rPr>
                <w:noProof/>
                <w:sz w:val="18"/>
                <w:szCs w:val="18"/>
              </w:rPr>
            </w:pPr>
          </w:p>
        </w:tc>
        <w:tc>
          <w:tcPr>
            <w:tcW w:w="648" w:type="dxa"/>
          </w:tcPr>
          <w:p w14:paraId="1CA7CD86" w14:textId="77777777" w:rsidR="00081B7A" w:rsidRPr="00363097" w:rsidRDefault="00081B7A">
            <w:pPr>
              <w:ind w:right="-29"/>
              <w:jc w:val="center"/>
              <w:rPr>
                <w:noProof/>
                <w:sz w:val="18"/>
                <w:szCs w:val="18"/>
              </w:rPr>
            </w:pPr>
          </w:p>
        </w:tc>
        <w:tc>
          <w:tcPr>
            <w:tcW w:w="432" w:type="dxa"/>
          </w:tcPr>
          <w:p w14:paraId="6C84511D" w14:textId="77777777" w:rsidR="00081B7A" w:rsidRPr="00363097" w:rsidRDefault="00081B7A">
            <w:pPr>
              <w:ind w:right="-29"/>
              <w:jc w:val="center"/>
              <w:rPr>
                <w:noProof/>
                <w:sz w:val="18"/>
                <w:szCs w:val="18"/>
              </w:rPr>
            </w:pPr>
          </w:p>
        </w:tc>
        <w:tc>
          <w:tcPr>
            <w:tcW w:w="720" w:type="dxa"/>
          </w:tcPr>
          <w:p w14:paraId="2B28B1A9" w14:textId="77777777" w:rsidR="00081B7A" w:rsidRPr="00363097" w:rsidRDefault="00081B7A">
            <w:pPr>
              <w:ind w:right="-29"/>
              <w:jc w:val="center"/>
              <w:rPr>
                <w:noProof/>
                <w:sz w:val="18"/>
                <w:szCs w:val="18"/>
              </w:rPr>
            </w:pPr>
          </w:p>
        </w:tc>
        <w:tc>
          <w:tcPr>
            <w:tcW w:w="540" w:type="dxa"/>
          </w:tcPr>
          <w:p w14:paraId="53345811" w14:textId="77777777" w:rsidR="00081B7A" w:rsidRPr="00363097" w:rsidRDefault="00081B7A">
            <w:pPr>
              <w:ind w:right="-29"/>
              <w:jc w:val="center"/>
              <w:rPr>
                <w:noProof/>
                <w:sz w:val="18"/>
                <w:szCs w:val="18"/>
              </w:rPr>
            </w:pPr>
          </w:p>
        </w:tc>
        <w:tc>
          <w:tcPr>
            <w:tcW w:w="720" w:type="dxa"/>
          </w:tcPr>
          <w:p w14:paraId="1A235C72" w14:textId="77777777" w:rsidR="00081B7A" w:rsidRPr="00363097" w:rsidRDefault="00081B7A">
            <w:pPr>
              <w:ind w:right="-29"/>
              <w:jc w:val="center"/>
              <w:rPr>
                <w:noProof/>
                <w:sz w:val="18"/>
                <w:szCs w:val="18"/>
              </w:rPr>
            </w:pPr>
          </w:p>
        </w:tc>
        <w:tc>
          <w:tcPr>
            <w:tcW w:w="720" w:type="dxa"/>
          </w:tcPr>
          <w:p w14:paraId="599E33D7" w14:textId="77777777" w:rsidR="00081B7A" w:rsidRPr="00363097" w:rsidRDefault="00081B7A">
            <w:pPr>
              <w:ind w:right="-29"/>
              <w:jc w:val="center"/>
              <w:rPr>
                <w:noProof/>
                <w:sz w:val="18"/>
                <w:szCs w:val="18"/>
              </w:rPr>
            </w:pPr>
          </w:p>
        </w:tc>
        <w:tc>
          <w:tcPr>
            <w:tcW w:w="900" w:type="dxa"/>
          </w:tcPr>
          <w:p w14:paraId="2537A250" w14:textId="77777777" w:rsidR="00081B7A" w:rsidRPr="00363097" w:rsidRDefault="00081B7A">
            <w:pPr>
              <w:ind w:right="-29"/>
              <w:jc w:val="center"/>
              <w:rPr>
                <w:noProof/>
                <w:sz w:val="18"/>
                <w:szCs w:val="18"/>
              </w:rPr>
            </w:pPr>
          </w:p>
        </w:tc>
      </w:tr>
      <w:tr w:rsidR="00363097" w:rsidRPr="00363097" w14:paraId="37D3D926" w14:textId="77777777">
        <w:trPr>
          <w:trHeight w:val="77"/>
          <w:jc w:val="center"/>
        </w:trPr>
        <w:tc>
          <w:tcPr>
            <w:tcW w:w="2844" w:type="dxa"/>
            <w:gridSpan w:val="3"/>
            <w:tcBorders>
              <w:bottom w:val="single" w:sz="12" w:space="0" w:color="auto"/>
            </w:tcBorders>
            <w:vAlign w:val="center"/>
          </w:tcPr>
          <w:p w14:paraId="49560137" w14:textId="77777777" w:rsidR="00081B7A" w:rsidRPr="00363097" w:rsidRDefault="00081B7A">
            <w:pPr>
              <w:ind w:right="-29"/>
              <w:jc w:val="center"/>
              <w:rPr>
                <w:noProof/>
                <w:sz w:val="18"/>
                <w:szCs w:val="18"/>
                <w:lang w:val="en-IE"/>
              </w:rPr>
            </w:pPr>
            <w:r w:rsidRPr="00363097">
              <w:rPr>
                <w:noProof/>
                <w:sz w:val="18"/>
                <w:lang w:val="en-IE"/>
              </w:rPr>
              <w:t>Subtotal for specific objective No 1</w:t>
            </w:r>
          </w:p>
        </w:tc>
        <w:tc>
          <w:tcPr>
            <w:tcW w:w="504" w:type="dxa"/>
            <w:tcBorders>
              <w:bottom w:val="single" w:sz="12" w:space="0" w:color="auto"/>
            </w:tcBorders>
          </w:tcPr>
          <w:p w14:paraId="037971AD"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650AB364"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6690F059"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61616B2F" w14:textId="2D135EDC" w:rsidR="00081B7A" w:rsidRPr="00363097" w:rsidRDefault="00730446">
            <w:pPr>
              <w:ind w:right="-29"/>
              <w:jc w:val="center"/>
              <w:rPr>
                <w:noProof/>
                <w:sz w:val="18"/>
                <w:szCs w:val="18"/>
                <w:lang w:val="en-IE"/>
              </w:rPr>
            </w:pPr>
            <w:r w:rsidRPr="00363097">
              <w:rPr>
                <w:noProof/>
                <w:sz w:val="18"/>
                <w:szCs w:val="18"/>
              </w:rPr>
              <w:t>0</w:t>
            </w:r>
            <w:r w:rsidR="006A0613">
              <w:rPr>
                <w:noProof/>
                <w:sz w:val="18"/>
                <w:szCs w:val="18"/>
              </w:rPr>
              <w:t>,</w:t>
            </w:r>
            <w:r w:rsidRPr="00363097">
              <w:rPr>
                <w:noProof/>
                <w:sz w:val="18"/>
                <w:szCs w:val="18"/>
              </w:rPr>
              <w:t>6</w:t>
            </w:r>
          </w:p>
        </w:tc>
        <w:tc>
          <w:tcPr>
            <w:tcW w:w="720" w:type="dxa"/>
            <w:tcBorders>
              <w:bottom w:val="single" w:sz="12" w:space="0" w:color="auto"/>
            </w:tcBorders>
          </w:tcPr>
          <w:p w14:paraId="7159D6A5"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1E8C595A" w14:textId="5B2AF5F6" w:rsidR="00081B7A" w:rsidRPr="00363097" w:rsidRDefault="00730446">
            <w:pPr>
              <w:ind w:right="-29"/>
              <w:jc w:val="center"/>
              <w:rPr>
                <w:noProof/>
                <w:sz w:val="18"/>
                <w:szCs w:val="18"/>
                <w:lang w:val="en-IE"/>
              </w:rPr>
            </w:pPr>
            <w:r w:rsidRPr="00363097">
              <w:rPr>
                <w:noProof/>
                <w:sz w:val="18"/>
                <w:szCs w:val="18"/>
              </w:rPr>
              <w:t>0</w:t>
            </w:r>
            <w:r w:rsidR="006A0613">
              <w:rPr>
                <w:noProof/>
                <w:sz w:val="18"/>
                <w:szCs w:val="18"/>
              </w:rPr>
              <w:t>,</w:t>
            </w:r>
            <w:r w:rsidRPr="00363097">
              <w:rPr>
                <w:noProof/>
                <w:sz w:val="18"/>
                <w:szCs w:val="18"/>
              </w:rPr>
              <w:t>6</w:t>
            </w:r>
          </w:p>
        </w:tc>
        <w:tc>
          <w:tcPr>
            <w:tcW w:w="900" w:type="dxa"/>
            <w:tcBorders>
              <w:bottom w:val="single" w:sz="12" w:space="0" w:color="auto"/>
            </w:tcBorders>
          </w:tcPr>
          <w:p w14:paraId="094C8A45" w14:textId="77777777" w:rsidR="00081B7A" w:rsidRPr="00363097" w:rsidRDefault="00081B7A">
            <w:pPr>
              <w:ind w:right="-29"/>
              <w:jc w:val="center"/>
              <w:rPr>
                <w:noProof/>
                <w:sz w:val="18"/>
                <w:szCs w:val="18"/>
                <w:lang w:val="en-IE"/>
              </w:rPr>
            </w:pPr>
          </w:p>
        </w:tc>
        <w:tc>
          <w:tcPr>
            <w:tcW w:w="720" w:type="dxa"/>
            <w:gridSpan w:val="2"/>
            <w:tcBorders>
              <w:bottom w:val="single" w:sz="12" w:space="0" w:color="auto"/>
            </w:tcBorders>
          </w:tcPr>
          <w:p w14:paraId="586131DC"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23C2B8FD" w14:textId="77777777" w:rsidR="00081B7A" w:rsidRPr="00363097" w:rsidRDefault="00081B7A">
            <w:pPr>
              <w:ind w:right="-29"/>
              <w:jc w:val="center"/>
              <w:rPr>
                <w:noProof/>
                <w:sz w:val="18"/>
                <w:szCs w:val="18"/>
                <w:lang w:val="en-IE"/>
              </w:rPr>
            </w:pPr>
          </w:p>
        </w:tc>
        <w:tc>
          <w:tcPr>
            <w:tcW w:w="648" w:type="dxa"/>
            <w:tcBorders>
              <w:bottom w:val="single" w:sz="12" w:space="0" w:color="auto"/>
            </w:tcBorders>
          </w:tcPr>
          <w:p w14:paraId="003F8340" w14:textId="77777777" w:rsidR="00081B7A" w:rsidRPr="00363097" w:rsidRDefault="00081B7A">
            <w:pPr>
              <w:ind w:right="-29"/>
              <w:jc w:val="center"/>
              <w:rPr>
                <w:noProof/>
                <w:sz w:val="18"/>
                <w:szCs w:val="18"/>
                <w:lang w:val="en-IE"/>
              </w:rPr>
            </w:pPr>
          </w:p>
        </w:tc>
        <w:tc>
          <w:tcPr>
            <w:tcW w:w="432" w:type="dxa"/>
            <w:tcBorders>
              <w:bottom w:val="single" w:sz="12" w:space="0" w:color="auto"/>
            </w:tcBorders>
          </w:tcPr>
          <w:p w14:paraId="1F9AF0B7"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16115462"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31DEE26F"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4EA183F5"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25501A5C" w14:textId="77777777" w:rsidR="00081B7A" w:rsidRPr="00363097" w:rsidRDefault="00081B7A">
            <w:pPr>
              <w:ind w:right="-29"/>
              <w:jc w:val="center"/>
              <w:rPr>
                <w:noProof/>
                <w:sz w:val="18"/>
                <w:szCs w:val="18"/>
                <w:lang w:val="en-IE"/>
              </w:rPr>
            </w:pPr>
          </w:p>
        </w:tc>
        <w:tc>
          <w:tcPr>
            <w:tcW w:w="900" w:type="dxa"/>
            <w:tcBorders>
              <w:bottom w:val="single" w:sz="12" w:space="0" w:color="auto"/>
            </w:tcBorders>
          </w:tcPr>
          <w:p w14:paraId="0D0FF26C" w14:textId="1A2AC89E" w:rsidR="00081B7A" w:rsidRPr="00363097" w:rsidRDefault="00730446">
            <w:pPr>
              <w:ind w:right="-29"/>
              <w:jc w:val="center"/>
              <w:rPr>
                <w:noProof/>
                <w:sz w:val="18"/>
                <w:szCs w:val="18"/>
                <w:lang w:val="en-IE"/>
              </w:rPr>
            </w:pPr>
            <w:r w:rsidRPr="00363097">
              <w:rPr>
                <w:noProof/>
                <w:sz w:val="18"/>
                <w:szCs w:val="18"/>
              </w:rPr>
              <w:t>0</w:t>
            </w:r>
            <w:r w:rsidR="006A0613">
              <w:rPr>
                <w:noProof/>
                <w:sz w:val="18"/>
                <w:szCs w:val="18"/>
              </w:rPr>
              <w:t>,</w:t>
            </w:r>
            <w:r w:rsidRPr="00363097">
              <w:rPr>
                <w:noProof/>
                <w:sz w:val="18"/>
                <w:szCs w:val="18"/>
              </w:rPr>
              <w:t>6</w:t>
            </w:r>
          </w:p>
        </w:tc>
      </w:tr>
      <w:tr w:rsidR="00363097" w:rsidRPr="00363097" w14:paraId="330A67EC" w14:textId="77777777">
        <w:trPr>
          <w:jc w:val="center"/>
        </w:trPr>
        <w:tc>
          <w:tcPr>
            <w:tcW w:w="2844" w:type="dxa"/>
            <w:gridSpan w:val="3"/>
            <w:vAlign w:val="center"/>
          </w:tcPr>
          <w:p w14:paraId="553E5E52" w14:textId="77777777" w:rsidR="00081B7A" w:rsidRPr="00363097" w:rsidRDefault="00081B7A">
            <w:pPr>
              <w:spacing w:before="60" w:after="60"/>
              <w:ind w:right="-29"/>
              <w:jc w:val="center"/>
              <w:rPr>
                <w:noProof/>
                <w:sz w:val="18"/>
                <w:szCs w:val="18"/>
              </w:rPr>
            </w:pPr>
            <w:r w:rsidRPr="00363097">
              <w:rPr>
                <w:noProof/>
                <w:sz w:val="18"/>
              </w:rPr>
              <w:t>SPECIFIC OBJECTIVE No 2 ...</w:t>
            </w:r>
          </w:p>
        </w:tc>
        <w:tc>
          <w:tcPr>
            <w:tcW w:w="504" w:type="dxa"/>
            <w:tcBorders>
              <w:top w:val="nil"/>
              <w:left w:val="nil"/>
              <w:bottom w:val="nil"/>
              <w:right w:val="nil"/>
            </w:tcBorders>
          </w:tcPr>
          <w:p w14:paraId="54B54F9F"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4ABC6CD0"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39A7508A"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62C983F7"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67D87FA8"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77A64391" w14:textId="77777777" w:rsidR="00081B7A" w:rsidRPr="00363097" w:rsidRDefault="00081B7A">
            <w:pPr>
              <w:spacing w:before="60" w:after="60"/>
              <w:ind w:right="-29"/>
              <w:jc w:val="center"/>
              <w:rPr>
                <w:noProof/>
                <w:sz w:val="18"/>
                <w:szCs w:val="18"/>
              </w:rPr>
            </w:pPr>
          </w:p>
        </w:tc>
        <w:tc>
          <w:tcPr>
            <w:tcW w:w="900" w:type="dxa"/>
            <w:tcBorders>
              <w:top w:val="nil"/>
              <w:left w:val="nil"/>
              <w:bottom w:val="nil"/>
              <w:right w:val="nil"/>
            </w:tcBorders>
          </w:tcPr>
          <w:p w14:paraId="407B1553" w14:textId="77777777" w:rsidR="00081B7A" w:rsidRPr="00363097" w:rsidRDefault="00081B7A">
            <w:pPr>
              <w:spacing w:before="60" w:after="60"/>
              <w:ind w:right="-29"/>
              <w:jc w:val="center"/>
              <w:rPr>
                <w:noProof/>
                <w:sz w:val="18"/>
                <w:szCs w:val="18"/>
              </w:rPr>
            </w:pPr>
          </w:p>
        </w:tc>
        <w:tc>
          <w:tcPr>
            <w:tcW w:w="720" w:type="dxa"/>
            <w:gridSpan w:val="2"/>
            <w:tcBorders>
              <w:top w:val="nil"/>
              <w:left w:val="nil"/>
              <w:bottom w:val="nil"/>
              <w:right w:val="nil"/>
            </w:tcBorders>
          </w:tcPr>
          <w:p w14:paraId="4CEDF089"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5F319A60" w14:textId="77777777" w:rsidR="00081B7A" w:rsidRPr="00363097" w:rsidRDefault="00081B7A">
            <w:pPr>
              <w:spacing w:before="60" w:after="60"/>
              <w:ind w:right="-29"/>
              <w:jc w:val="center"/>
              <w:rPr>
                <w:noProof/>
                <w:sz w:val="18"/>
                <w:szCs w:val="18"/>
              </w:rPr>
            </w:pPr>
          </w:p>
        </w:tc>
        <w:tc>
          <w:tcPr>
            <w:tcW w:w="648" w:type="dxa"/>
            <w:tcBorders>
              <w:top w:val="nil"/>
              <w:left w:val="nil"/>
              <w:bottom w:val="nil"/>
              <w:right w:val="nil"/>
            </w:tcBorders>
          </w:tcPr>
          <w:p w14:paraId="0CFC3037" w14:textId="77777777" w:rsidR="00081B7A" w:rsidRPr="00363097" w:rsidRDefault="00081B7A">
            <w:pPr>
              <w:spacing w:before="60" w:after="60"/>
              <w:ind w:right="-29"/>
              <w:jc w:val="center"/>
              <w:rPr>
                <w:noProof/>
                <w:sz w:val="18"/>
                <w:szCs w:val="18"/>
              </w:rPr>
            </w:pPr>
          </w:p>
        </w:tc>
        <w:tc>
          <w:tcPr>
            <w:tcW w:w="432" w:type="dxa"/>
            <w:tcBorders>
              <w:top w:val="nil"/>
              <w:left w:val="nil"/>
              <w:bottom w:val="nil"/>
              <w:right w:val="nil"/>
            </w:tcBorders>
          </w:tcPr>
          <w:p w14:paraId="41D27191"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415B9B5F" w14:textId="77777777" w:rsidR="00081B7A" w:rsidRPr="00363097" w:rsidRDefault="00081B7A">
            <w:pPr>
              <w:spacing w:before="60" w:after="60"/>
              <w:ind w:right="-29"/>
              <w:jc w:val="center"/>
              <w:rPr>
                <w:noProof/>
                <w:sz w:val="18"/>
                <w:szCs w:val="18"/>
              </w:rPr>
            </w:pPr>
          </w:p>
        </w:tc>
        <w:tc>
          <w:tcPr>
            <w:tcW w:w="540" w:type="dxa"/>
            <w:tcBorders>
              <w:top w:val="nil"/>
              <w:left w:val="nil"/>
              <w:bottom w:val="nil"/>
              <w:right w:val="nil"/>
            </w:tcBorders>
          </w:tcPr>
          <w:p w14:paraId="7264613A"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0FF2E67C" w14:textId="77777777" w:rsidR="00081B7A" w:rsidRPr="00363097" w:rsidRDefault="00081B7A">
            <w:pPr>
              <w:spacing w:before="60" w:after="60"/>
              <w:ind w:right="-29"/>
              <w:jc w:val="center"/>
              <w:rPr>
                <w:noProof/>
                <w:sz w:val="18"/>
                <w:szCs w:val="18"/>
              </w:rPr>
            </w:pPr>
          </w:p>
        </w:tc>
        <w:tc>
          <w:tcPr>
            <w:tcW w:w="720" w:type="dxa"/>
            <w:tcBorders>
              <w:top w:val="nil"/>
              <w:left w:val="nil"/>
              <w:bottom w:val="nil"/>
              <w:right w:val="nil"/>
            </w:tcBorders>
          </w:tcPr>
          <w:p w14:paraId="7480D2A0" w14:textId="77777777" w:rsidR="00081B7A" w:rsidRPr="00363097" w:rsidRDefault="00081B7A">
            <w:pPr>
              <w:spacing w:before="60" w:after="60"/>
              <w:ind w:right="-29"/>
              <w:jc w:val="center"/>
              <w:rPr>
                <w:noProof/>
                <w:sz w:val="18"/>
                <w:szCs w:val="18"/>
              </w:rPr>
            </w:pPr>
          </w:p>
        </w:tc>
        <w:tc>
          <w:tcPr>
            <w:tcW w:w="900" w:type="dxa"/>
            <w:tcBorders>
              <w:top w:val="nil"/>
              <w:left w:val="nil"/>
              <w:bottom w:val="nil"/>
              <w:right w:val="nil"/>
            </w:tcBorders>
          </w:tcPr>
          <w:p w14:paraId="0D1D2B14" w14:textId="77777777" w:rsidR="00081B7A" w:rsidRPr="00363097" w:rsidRDefault="00081B7A">
            <w:pPr>
              <w:spacing w:before="60" w:after="60"/>
              <w:ind w:right="-29"/>
              <w:jc w:val="center"/>
              <w:rPr>
                <w:noProof/>
                <w:sz w:val="18"/>
                <w:szCs w:val="18"/>
              </w:rPr>
            </w:pPr>
          </w:p>
        </w:tc>
      </w:tr>
      <w:tr w:rsidR="00363097" w:rsidRPr="00363097" w14:paraId="62035BDE" w14:textId="77777777">
        <w:trPr>
          <w:trHeight w:hRule="exact" w:val="369"/>
          <w:jc w:val="center"/>
        </w:trPr>
        <w:tc>
          <w:tcPr>
            <w:tcW w:w="1423" w:type="dxa"/>
          </w:tcPr>
          <w:p w14:paraId="3141916B" w14:textId="77777777" w:rsidR="00081B7A" w:rsidRPr="00363097" w:rsidRDefault="00081B7A">
            <w:pPr>
              <w:ind w:right="-29"/>
              <w:jc w:val="center"/>
              <w:rPr>
                <w:noProof/>
                <w:sz w:val="18"/>
                <w:szCs w:val="18"/>
              </w:rPr>
            </w:pPr>
            <w:r w:rsidRPr="00363097">
              <w:rPr>
                <w:noProof/>
                <w:sz w:val="18"/>
              </w:rPr>
              <w:t>- Output</w:t>
            </w:r>
          </w:p>
        </w:tc>
        <w:tc>
          <w:tcPr>
            <w:tcW w:w="720" w:type="dxa"/>
          </w:tcPr>
          <w:p w14:paraId="3B7470B1" w14:textId="77777777" w:rsidR="00081B7A" w:rsidRPr="00363097" w:rsidRDefault="00081B7A">
            <w:pPr>
              <w:ind w:right="-29"/>
              <w:jc w:val="center"/>
              <w:rPr>
                <w:noProof/>
                <w:sz w:val="18"/>
                <w:szCs w:val="18"/>
              </w:rPr>
            </w:pPr>
          </w:p>
        </w:tc>
        <w:tc>
          <w:tcPr>
            <w:tcW w:w="701" w:type="dxa"/>
          </w:tcPr>
          <w:p w14:paraId="7D140054" w14:textId="77777777" w:rsidR="00081B7A" w:rsidRPr="00363097" w:rsidRDefault="00081B7A">
            <w:pPr>
              <w:ind w:right="-29"/>
              <w:jc w:val="center"/>
              <w:rPr>
                <w:noProof/>
                <w:sz w:val="18"/>
                <w:szCs w:val="18"/>
              </w:rPr>
            </w:pPr>
          </w:p>
        </w:tc>
        <w:tc>
          <w:tcPr>
            <w:tcW w:w="504" w:type="dxa"/>
          </w:tcPr>
          <w:p w14:paraId="035D820B" w14:textId="77777777" w:rsidR="00081B7A" w:rsidRPr="00363097" w:rsidRDefault="00081B7A">
            <w:pPr>
              <w:ind w:right="-29"/>
              <w:jc w:val="center"/>
              <w:rPr>
                <w:noProof/>
                <w:sz w:val="18"/>
                <w:szCs w:val="18"/>
              </w:rPr>
            </w:pPr>
          </w:p>
        </w:tc>
        <w:tc>
          <w:tcPr>
            <w:tcW w:w="720" w:type="dxa"/>
          </w:tcPr>
          <w:p w14:paraId="35528649" w14:textId="77777777" w:rsidR="00081B7A" w:rsidRPr="00363097" w:rsidRDefault="00081B7A">
            <w:pPr>
              <w:ind w:right="-29"/>
              <w:jc w:val="center"/>
              <w:rPr>
                <w:noProof/>
                <w:sz w:val="18"/>
                <w:szCs w:val="18"/>
              </w:rPr>
            </w:pPr>
          </w:p>
        </w:tc>
        <w:tc>
          <w:tcPr>
            <w:tcW w:w="540" w:type="dxa"/>
          </w:tcPr>
          <w:p w14:paraId="39F67164" w14:textId="77777777" w:rsidR="00081B7A" w:rsidRPr="00363097" w:rsidRDefault="00081B7A">
            <w:pPr>
              <w:ind w:right="-29"/>
              <w:jc w:val="center"/>
              <w:rPr>
                <w:noProof/>
                <w:sz w:val="18"/>
                <w:szCs w:val="18"/>
              </w:rPr>
            </w:pPr>
          </w:p>
        </w:tc>
        <w:tc>
          <w:tcPr>
            <w:tcW w:w="720" w:type="dxa"/>
          </w:tcPr>
          <w:p w14:paraId="3E68DF1F" w14:textId="77777777" w:rsidR="00081B7A" w:rsidRPr="00363097" w:rsidRDefault="00081B7A">
            <w:pPr>
              <w:ind w:right="-29"/>
              <w:jc w:val="center"/>
              <w:rPr>
                <w:noProof/>
                <w:sz w:val="18"/>
                <w:szCs w:val="18"/>
              </w:rPr>
            </w:pPr>
          </w:p>
        </w:tc>
        <w:tc>
          <w:tcPr>
            <w:tcW w:w="720" w:type="dxa"/>
          </w:tcPr>
          <w:p w14:paraId="58448146" w14:textId="77777777" w:rsidR="00081B7A" w:rsidRPr="00363097" w:rsidRDefault="00081B7A">
            <w:pPr>
              <w:ind w:right="-29"/>
              <w:jc w:val="center"/>
              <w:rPr>
                <w:noProof/>
                <w:sz w:val="18"/>
                <w:szCs w:val="18"/>
              </w:rPr>
            </w:pPr>
          </w:p>
        </w:tc>
        <w:tc>
          <w:tcPr>
            <w:tcW w:w="720" w:type="dxa"/>
          </w:tcPr>
          <w:p w14:paraId="5720528A" w14:textId="77777777" w:rsidR="00081B7A" w:rsidRPr="00363097" w:rsidRDefault="00081B7A">
            <w:pPr>
              <w:ind w:right="-29"/>
              <w:jc w:val="center"/>
              <w:rPr>
                <w:noProof/>
                <w:sz w:val="18"/>
                <w:szCs w:val="18"/>
              </w:rPr>
            </w:pPr>
          </w:p>
        </w:tc>
        <w:tc>
          <w:tcPr>
            <w:tcW w:w="900" w:type="dxa"/>
          </w:tcPr>
          <w:p w14:paraId="0E0B587E" w14:textId="77777777" w:rsidR="00081B7A" w:rsidRPr="00363097" w:rsidRDefault="00081B7A">
            <w:pPr>
              <w:ind w:right="-29"/>
              <w:jc w:val="center"/>
              <w:rPr>
                <w:noProof/>
                <w:sz w:val="18"/>
                <w:szCs w:val="18"/>
              </w:rPr>
            </w:pPr>
          </w:p>
        </w:tc>
        <w:tc>
          <w:tcPr>
            <w:tcW w:w="720" w:type="dxa"/>
            <w:gridSpan w:val="2"/>
          </w:tcPr>
          <w:p w14:paraId="644EA3E0" w14:textId="77777777" w:rsidR="00081B7A" w:rsidRPr="00363097" w:rsidRDefault="00081B7A">
            <w:pPr>
              <w:ind w:right="-29"/>
              <w:jc w:val="center"/>
              <w:rPr>
                <w:noProof/>
                <w:sz w:val="18"/>
                <w:szCs w:val="18"/>
              </w:rPr>
            </w:pPr>
          </w:p>
        </w:tc>
        <w:tc>
          <w:tcPr>
            <w:tcW w:w="540" w:type="dxa"/>
          </w:tcPr>
          <w:p w14:paraId="37F1BADE" w14:textId="77777777" w:rsidR="00081B7A" w:rsidRPr="00363097" w:rsidRDefault="00081B7A">
            <w:pPr>
              <w:ind w:right="-29"/>
              <w:jc w:val="center"/>
              <w:rPr>
                <w:noProof/>
                <w:sz w:val="18"/>
                <w:szCs w:val="18"/>
              </w:rPr>
            </w:pPr>
          </w:p>
        </w:tc>
        <w:tc>
          <w:tcPr>
            <w:tcW w:w="648" w:type="dxa"/>
          </w:tcPr>
          <w:p w14:paraId="4F9A9F1A" w14:textId="77777777" w:rsidR="00081B7A" w:rsidRPr="00363097" w:rsidRDefault="00081B7A">
            <w:pPr>
              <w:ind w:right="-29"/>
              <w:jc w:val="center"/>
              <w:rPr>
                <w:noProof/>
                <w:sz w:val="18"/>
                <w:szCs w:val="18"/>
              </w:rPr>
            </w:pPr>
          </w:p>
        </w:tc>
        <w:tc>
          <w:tcPr>
            <w:tcW w:w="432" w:type="dxa"/>
          </w:tcPr>
          <w:p w14:paraId="79D69B15" w14:textId="77777777" w:rsidR="00081B7A" w:rsidRPr="00363097" w:rsidRDefault="00081B7A">
            <w:pPr>
              <w:ind w:right="-29"/>
              <w:jc w:val="center"/>
              <w:rPr>
                <w:noProof/>
                <w:sz w:val="18"/>
                <w:szCs w:val="18"/>
              </w:rPr>
            </w:pPr>
          </w:p>
        </w:tc>
        <w:tc>
          <w:tcPr>
            <w:tcW w:w="720" w:type="dxa"/>
          </w:tcPr>
          <w:p w14:paraId="39087163" w14:textId="77777777" w:rsidR="00081B7A" w:rsidRPr="00363097" w:rsidRDefault="00081B7A">
            <w:pPr>
              <w:ind w:right="-29"/>
              <w:jc w:val="center"/>
              <w:rPr>
                <w:noProof/>
                <w:sz w:val="18"/>
                <w:szCs w:val="18"/>
              </w:rPr>
            </w:pPr>
          </w:p>
        </w:tc>
        <w:tc>
          <w:tcPr>
            <w:tcW w:w="540" w:type="dxa"/>
          </w:tcPr>
          <w:p w14:paraId="13F2A714" w14:textId="77777777" w:rsidR="00081B7A" w:rsidRPr="00363097" w:rsidRDefault="00081B7A">
            <w:pPr>
              <w:ind w:right="-29"/>
              <w:jc w:val="center"/>
              <w:rPr>
                <w:noProof/>
                <w:sz w:val="18"/>
                <w:szCs w:val="18"/>
              </w:rPr>
            </w:pPr>
          </w:p>
        </w:tc>
        <w:tc>
          <w:tcPr>
            <w:tcW w:w="720" w:type="dxa"/>
          </w:tcPr>
          <w:p w14:paraId="5F006203" w14:textId="77777777" w:rsidR="00081B7A" w:rsidRPr="00363097" w:rsidRDefault="00081B7A">
            <w:pPr>
              <w:ind w:right="-29"/>
              <w:jc w:val="center"/>
              <w:rPr>
                <w:noProof/>
                <w:sz w:val="18"/>
                <w:szCs w:val="18"/>
              </w:rPr>
            </w:pPr>
          </w:p>
        </w:tc>
        <w:tc>
          <w:tcPr>
            <w:tcW w:w="720" w:type="dxa"/>
          </w:tcPr>
          <w:p w14:paraId="2CBCEC53" w14:textId="77777777" w:rsidR="00081B7A" w:rsidRPr="00363097" w:rsidRDefault="00081B7A">
            <w:pPr>
              <w:ind w:right="-29"/>
              <w:jc w:val="center"/>
              <w:rPr>
                <w:noProof/>
                <w:sz w:val="18"/>
                <w:szCs w:val="18"/>
              </w:rPr>
            </w:pPr>
          </w:p>
        </w:tc>
        <w:tc>
          <w:tcPr>
            <w:tcW w:w="900" w:type="dxa"/>
          </w:tcPr>
          <w:p w14:paraId="66C300D2" w14:textId="77777777" w:rsidR="00081B7A" w:rsidRPr="00363097" w:rsidRDefault="00081B7A">
            <w:pPr>
              <w:ind w:right="-29"/>
              <w:jc w:val="center"/>
              <w:rPr>
                <w:noProof/>
                <w:sz w:val="18"/>
                <w:szCs w:val="18"/>
              </w:rPr>
            </w:pPr>
          </w:p>
        </w:tc>
      </w:tr>
      <w:tr w:rsidR="00363097" w:rsidRPr="00363097" w14:paraId="62687A84" w14:textId="77777777">
        <w:trPr>
          <w:jc w:val="center"/>
        </w:trPr>
        <w:tc>
          <w:tcPr>
            <w:tcW w:w="2844" w:type="dxa"/>
            <w:gridSpan w:val="3"/>
            <w:tcBorders>
              <w:bottom w:val="single" w:sz="12" w:space="0" w:color="auto"/>
            </w:tcBorders>
            <w:vAlign w:val="center"/>
          </w:tcPr>
          <w:p w14:paraId="35E83CD9" w14:textId="77777777" w:rsidR="00081B7A" w:rsidRPr="00363097" w:rsidRDefault="00081B7A">
            <w:pPr>
              <w:jc w:val="center"/>
              <w:rPr>
                <w:noProof/>
                <w:sz w:val="18"/>
                <w:szCs w:val="18"/>
                <w:lang w:val="en-IE"/>
              </w:rPr>
            </w:pPr>
            <w:r w:rsidRPr="00363097">
              <w:rPr>
                <w:noProof/>
                <w:sz w:val="18"/>
                <w:lang w:val="en-IE"/>
              </w:rPr>
              <w:t>Subtotal for specific objective No 2</w:t>
            </w:r>
          </w:p>
        </w:tc>
        <w:tc>
          <w:tcPr>
            <w:tcW w:w="504" w:type="dxa"/>
            <w:tcBorders>
              <w:bottom w:val="single" w:sz="12" w:space="0" w:color="auto"/>
            </w:tcBorders>
          </w:tcPr>
          <w:p w14:paraId="29732B92"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425B589B"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4563009C"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021B3366"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688F718C"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6203E91E" w14:textId="77777777" w:rsidR="00081B7A" w:rsidRPr="00363097" w:rsidRDefault="00081B7A">
            <w:pPr>
              <w:ind w:right="-29"/>
              <w:jc w:val="center"/>
              <w:rPr>
                <w:noProof/>
                <w:sz w:val="18"/>
                <w:szCs w:val="18"/>
                <w:lang w:val="en-IE"/>
              </w:rPr>
            </w:pPr>
          </w:p>
        </w:tc>
        <w:tc>
          <w:tcPr>
            <w:tcW w:w="951" w:type="dxa"/>
            <w:gridSpan w:val="2"/>
            <w:tcBorders>
              <w:bottom w:val="single" w:sz="12" w:space="0" w:color="auto"/>
            </w:tcBorders>
          </w:tcPr>
          <w:p w14:paraId="4B130BE6" w14:textId="77777777" w:rsidR="00081B7A" w:rsidRPr="00363097" w:rsidRDefault="00081B7A">
            <w:pPr>
              <w:ind w:right="-29"/>
              <w:jc w:val="center"/>
              <w:rPr>
                <w:noProof/>
                <w:sz w:val="18"/>
                <w:szCs w:val="18"/>
                <w:lang w:val="en-IE"/>
              </w:rPr>
            </w:pPr>
          </w:p>
        </w:tc>
        <w:tc>
          <w:tcPr>
            <w:tcW w:w="669" w:type="dxa"/>
            <w:tcBorders>
              <w:bottom w:val="single" w:sz="12" w:space="0" w:color="auto"/>
            </w:tcBorders>
          </w:tcPr>
          <w:p w14:paraId="34BC54E4"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38117C9B" w14:textId="77777777" w:rsidR="00081B7A" w:rsidRPr="00363097" w:rsidRDefault="00081B7A">
            <w:pPr>
              <w:ind w:right="-29"/>
              <w:jc w:val="center"/>
              <w:rPr>
                <w:noProof/>
                <w:sz w:val="18"/>
                <w:szCs w:val="18"/>
                <w:lang w:val="en-IE"/>
              </w:rPr>
            </w:pPr>
          </w:p>
        </w:tc>
        <w:tc>
          <w:tcPr>
            <w:tcW w:w="648" w:type="dxa"/>
            <w:tcBorders>
              <w:bottom w:val="single" w:sz="12" w:space="0" w:color="auto"/>
            </w:tcBorders>
          </w:tcPr>
          <w:p w14:paraId="11E60E9E" w14:textId="77777777" w:rsidR="00081B7A" w:rsidRPr="00363097" w:rsidRDefault="00081B7A">
            <w:pPr>
              <w:ind w:right="-29"/>
              <w:jc w:val="center"/>
              <w:rPr>
                <w:noProof/>
                <w:sz w:val="18"/>
                <w:szCs w:val="18"/>
                <w:lang w:val="en-IE"/>
              </w:rPr>
            </w:pPr>
          </w:p>
        </w:tc>
        <w:tc>
          <w:tcPr>
            <w:tcW w:w="432" w:type="dxa"/>
            <w:tcBorders>
              <w:bottom w:val="single" w:sz="12" w:space="0" w:color="auto"/>
            </w:tcBorders>
          </w:tcPr>
          <w:p w14:paraId="41CB81BD"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373D0E4C" w14:textId="77777777" w:rsidR="00081B7A" w:rsidRPr="00363097" w:rsidRDefault="00081B7A">
            <w:pPr>
              <w:ind w:right="-29"/>
              <w:jc w:val="center"/>
              <w:rPr>
                <w:noProof/>
                <w:sz w:val="18"/>
                <w:szCs w:val="18"/>
                <w:lang w:val="en-IE"/>
              </w:rPr>
            </w:pPr>
          </w:p>
        </w:tc>
        <w:tc>
          <w:tcPr>
            <w:tcW w:w="540" w:type="dxa"/>
            <w:tcBorders>
              <w:bottom w:val="single" w:sz="12" w:space="0" w:color="auto"/>
            </w:tcBorders>
          </w:tcPr>
          <w:p w14:paraId="3C5A3CE5"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6CDEFB60" w14:textId="77777777" w:rsidR="00081B7A" w:rsidRPr="00363097" w:rsidRDefault="00081B7A">
            <w:pPr>
              <w:ind w:right="-29"/>
              <w:jc w:val="center"/>
              <w:rPr>
                <w:noProof/>
                <w:sz w:val="18"/>
                <w:szCs w:val="18"/>
                <w:lang w:val="en-IE"/>
              </w:rPr>
            </w:pPr>
          </w:p>
        </w:tc>
        <w:tc>
          <w:tcPr>
            <w:tcW w:w="720" w:type="dxa"/>
            <w:tcBorders>
              <w:bottom w:val="single" w:sz="12" w:space="0" w:color="auto"/>
            </w:tcBorders>
          </w:tcPr>
          <w:p w14:paraId="415E7814" w14:textId="77777777" w:rsidR="00081B7A" w:rsidRPr="00363097" w:rsidRDefault="00081B7A">
            <w:pPr>
              <w:ind w:right="-29"/>
              <w:jc w:val="center"/>
              <w:rPr>
                <w:noProof/>
                <w:sz w:val="18"/>
                <w:szCs w:val="18"/>
                <w:lang w:val="en-IE"/>
              </w:rPr>
            </w:pPr>
          </w:p>
        </w:tc>
        <w:tc>
          <w:tcPr>
            <w:tcW w:w="900" w:type="dxa"/>
            <w:tcBorders>
              <w:bottom w:val="single" w:sz="12" w:space="0" w:color="auto"/>
            </w:tcBorders>
          </w:tcPr>
          <w:p w14:paraId="603167D0" w14:textId="77777777" w:rsidR="00081B7A" w:rsidRPr="00363097" w:rsidRDefault="00081B7A">
            <w:pPr>
              <w:ind w:right="-29"/>
              <w:jc w:val="center"/>
              <w:rPr>
                <w:noProof/>
                <w:sz w:val="18"/>
                <w:szCs w:val="18"/>
                <w:lang w:val="en-IE"/>
              </w:rPr>
            </w:pPr>
          </w:p>
        </w:tc>
      </w:tr>
      <w:tr w:rsidR="00363097" w:rsidRPr="00363097" w14:paraId="45E06189" w14:textId="77777777">
        <w:trPr>
          <w:jc w:val="center"/>
        </w:trPr>
        <w:tc>
          <w:tcPr>
            <w:tcW w:w="2844" w:type="dxa"/>
            <w:gridSpan w:val="3"/>
            <w:tcBorders>
              <w:top w:val="single" w:sz="12" w:space="0" w:color="auto"/>
              <w:left w:val="single" w:sz="12" w:space="0" w:color="auto"/>
              <w:bottom w:val="single" w:sz="12" w:space="0" w:color="auto"/>
            </w:tcBorders>
            <w:vAlign w:val="center"/>
          </w:tcPr>
          <w:p w14:paraId="5D30FFA1" w14:textId="77777777" w:rsidR="00081B7A" w:rsidRPr="00363097" w:rsidRDefault="00081B7A">
            <w:pPr>
              <w:ind w:right="-29"/>
              <w:jc w:val="center"/>
              <w:rPr>
                <w:noProof/>
                <w:sz w:val="18"/>
                <w:szCs w:val="18"/>
              </w:rPr>
            </w:pPr>
            <w:r w:rsidRPr="00363097">
              <w:rPr>
                <w:b/>
                <w:noProof/>
                <w:sz w:val="18"/>
              </w:rPr>
              <w:t>TOTALS</w:t>
            </w:r>
          </w:p>
        </w:tc>
        <w:tc>
          <w:tcPr>
            <w:tcW w:w="504" w:type="dxa"/>
            <w:tcBorders>
              <w:top w:val="single" w:sz="12" w:space="0" w:color="auto"/>
              <w:bottom w:val="single" w:sz="12" w:space="0" w:color="auto"/>
            </w:tcBorders>
          </w:tcPr>
          <w:p w14:paraId="3BCBAFFC"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102B30FD" w14:textId="77777777" w:rsidR="00081B7A" w:rsidRPr="00363097"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403169A"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6586F0BA" w14:textId="765F1E9A" w:rsidR="00081B7A" w:rsidRPr="00363097" w:rsidRDefault="00730446">
            <w:pPr>
              <w:spacing w:before="180" w:after="180"/>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c>
          <w:tcPr>
            <w:tcW w:w="720" w:type="dxa"/>
            <w:tcBorders>
              <w:top w:val="single" w:sz="12" w:space="0" w:color="auto"/>
              <w:bottom w:val="single" w:sz="12" w:space="0" w:color="auto"/>
            </w:tcBorders>
          </w:tcPr>
          <w:p w14:paraId="04CE0729"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6EF55F79" w14:textId="3A25E58B" w:rsidR="00081B7A" w:rsidRPr="00363097" w:rsidRDefault="00730446">
            <w:pPr>
              <w:spacing w:before="180" w:after="180"/>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c>
          <w:tcPr>
            <w:tcW w:w="900" w:type="dxa"/>
            <w:tcBorders>
              <w:top w:val="single" w:sz="12" w:space="0" w:color="auto"/>
              <w:bottom w:val="single" w:sz="12" w:space="0" w:color="auto"/>
            </w:tcBorders>
          </w:tcPr>
          <w:p w14:paraId="565C8BE8" w14:textId="77777777" w:rsidR="00081B7A" w:rsidRPr="00363097" w:rsidRDefault="00081B7A">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3770334D" w14:textId="77777777" w:rsidR="00081B7A" w:rsidRPr="00363097"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66CD9A7" w14:textId="77777777" w:rsidR="00081B7A" w:rsidRPr="00363097" w:rsidRDefault="00081B7A">
            <w:pPr>
              <w:spacing w:before="180" w:after="180"/>
              <w:ind w:right="-29"/>
              <w:jc w:val="center"/>
              <w:rPr>
                <w:noProof/>
                <w:sz w:val="18"/>
                <w:szCs w:val="18"/>
              </w:rPr>
            </w:pPr>
          </w:p>
        </w:tc>
        <w:tc>
          <w:tcPr>
            <w:tcW w:w="648" w:type="dxa"/>
            <w:tcBorders>
              <w:top w:val="single" w:sz="12" w:space="0" w:color="auto"/>
              <w:bottom w:val="single" w:sz="12" w:space="0" w:color="auto"/>
            </w:tcBorders>
          </w:tcPr>
          <w:p w14:paraId="78E6BCD9" w14:textId="77777777" w:rsidR="00081B7A" w:rsidRPr="00363097" w:rsidRDefault="00081B7A">
            <w:pPr>
              <w:spacing w:before="180" w:after="180"/>
              <w:ind w:right="-29"/>
              <w:jc w:val="center"/>
              <w:rPr>
                <w:noProof/>
                <w:sz w:val="18"/>
                <w:szCs w:val="18"/>
              </w:rPr>
            </w:pPr>
          </w:p>
        </w:tc>
        <w:tc>
          <w:tcPr>
            <w:tcW w:w="432" w:type="dxa"/>
            <w:tcBorders>
              <w:top w:val="single" w:sz="12" w:space="0" w:color="auto"/>
              <w:bottom w:val="single" w:sz="12" w:space="0" w:color="auto"/>
            </w:tcBorders>
          </w:tcPr>
          <w:p w14:paraId="46E7C139"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43EC933B" w14:textId="77777777" w:rsidR="00081B7A" w:rsidRPr="00363097" w:rsidRDefault="00081B7A">
            <w:pPr>
              <w:spacing w:before="180" w:after="180"/>
              <w:ind w:right="-29"/>
              <w:jc w:val="center"/>
              <w:rPr>
                <w:noProof/>
                <w:sz w:val="18"/>
                <w:szCs w:val="18"/>
              </w:rPr>
            </w:pPr>
          </w:p>
        </w:tc>
        <w:tc>
          <w:tcPr>
            <w:tcW w:w="540" w:type="dxa"/>
            <w:tcBorders>
              <w:top w:val="single" w:sz="12" w:space="0" w:color="auto"/>
              <w:bottom w:val="single" w:sz="12" w:space="0" w:color="auto"/>
            </w:tcBorders>
          </w:tcPr>
          <w:p w14:paraId="65D90B02"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52883DFE" w14:textId="77777777" w:rsidR="00081B7A" w:rsidRPr="00363097" w:rsidRDefault="00081B7A">
            <w:pPr>
              <w:spacing w:before="180" w:after="180"/>
              <w:ind w:right="-29"/>
              <w:jc w:val="center"/>
              <w:rPr>
                <w:noProof/>
                <w:sz w:val="18"/>
                <w:szCs w:val="18"/>
              </w:rPr>
            </w:pPr>
          </w:p>
        </w:tc>
        <w:tc>
          <w:tcPr>
            <w:tcW w:w="720" w:type="dxa"/>
            <w:tcBorders>
              <w:top w:val="single" w:sz="12" w:space="0" w:color="auto"/>
              <w:bottom w:val="single" w:sz="12" w:space="0" w:color="auto"/>
            </w:tcBorders>
          </w:tcPr>
          <w:p w14:paraId="4FBF1330" w14:textId="77777777" w:rsidR="00081B7A" w:rsidRPr="00363097" w:rsidRDefault="00081B7A">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04FF113" w14:textId="5AE3D90A" w:rsidR="00081B7A" w:rsidRPr="00363097" w:rsidRDefault="00730446">
            <w:pPr>
              <w:spacing w:before="180" w:after="180"/>
              <w:ind w:right="-29"/>
              <w:jc w:val="center"/>
              <w:rPr>
                <w:noProof/>
                <w:sz w:val="18"/>
                <w:szCs w:val="18"/>
              </w:rPr>
            </w:pPr>
            <w:r w:rsidRPr="00363097">
              <w:rPr>
                <w:noProof/>
                <w:sz w:val="18"/>
                <w:szCs w:val="18"/>
              </w:rPr>
              <w:t>0</w:t>
            </w:r>
            <w:r w:rsidR="006A0613">
              <w:rPr>
                <w:noProof/>
                <w:sz w:val="18"/>
                <w:szCs w:val="18"/>
              </w:rPr>
              <w:t>,</w:t>
            </w:r>
            <w:r w:rsidRPr="00363097">
              <w:rPr>
                <w:noProof/>
                <w:sz w:val="18"/>
                <w:szCs w:val="18"/>
              </w:rPr>
              <w:t>6</w:t>
            </w:r>
          </w:p>
        </w:tc>
      </w:tr>
    </w:tbl>
    <w:p w14:paraId="4C0A9385" w14:textId="77777777" w:rsidR="00081B7A" w:rsidRPr="00363097" w:rsidRDefault="00081B7A" w:rsidP="00081B7A">
      <w:pPr>
        <w:rPr>
          <w:noProof/>
        </w:rPr>
        <w:sectPr w:rsidR="00081B7A" w:rsidRPr="00363097" w:rsidSect="008D52AB">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14:paraId="4CCA2B7C" w14:textId="77777777" w:rsidR="00081B7A" w:rsidRPr="00363097" w:rsidRDefault="00081B7A" w:rsidP="00081B7A">
      <w:pPr>
        <w:pStyle w:val="ManualHeading3"/>
        <w:rPr>
          <w:bCs/>
          <w:noProof/>
          <w:szCs w:val="24"/>
        </w:rPr>
      </w:pPr>
      <w:bookmarkStart w:id="90" w:name="_Toc514938055"/>
      <w:bookmarkStart w:id="91" w:name="_Toc520485054"/>
      <w:r w:rsidRPr="00363097">
        <w:rPr>
          <w:noProof/>
        </w:rPr>
        <w:t>3.2.3.</w:t>
      </w:r>
      <w:r w:rsidRPr="00363097">
        <w:rPr>
          <w:noProof/>
        </w:rPr>
        <w:tab/>
        <w:t>Summary of estimated impact on administrative appropriations</w:t>
      </w:r>
      <w:bookmarkEnd w:id="90"/>
      <w:bookmarkEnd w:id="91"/>
      <w:r w:rsidRPr="00363097">
        <w:rPr>
          <w:noProof/>
        </w:rPr>
        <w:t xml:space="preserve"> </w:t>
      </w:r>
    </w:p>
    <w:p w14:paraId="02F3098B" w14:textId="77777777" w:rsidR="00081B7A" w:rsidRPr="00363097" w:rsidRDefault="00CD025F" w:rsidP="00081B7A">
      <w:pPr>
        <w:pStyle w:val="ListDash1"/>
        <w:rPr>
          <w:noProof/>
        </w:rPr>
      </w:pPr>
      <w:r w:rsidRPr="00363097">
        <w:rPr>
          <w:rFonts w:ascii="Wingdings" w:eastAsia="Wingdings" w:hAnsi="Wingdings" w:cs="Wingdings"/>
          <w:noProof/>
        </w:rPr>
        <w:t></w:t>
      </w:r>
      <w:r w:rsidR="00081B7A" w:rsidRPr="00363097">
        <w:rPr>
          <w:noProof/>
        </w:rPr>
        <w:tab/>
        <w:t xml:space="preserve">The proposal/initiative does not require the use of appropriations of an administrative nature </w:t>
      </w:r>
    </w:p>
    <w:p w14:paraId="40C1D6A3" w14:textId="524459E7" w:rsidR="00081B7A" w:rsidRPr="00363097" w:rsidRDefault="00081B7A" w:rsidP="007A5966">
      <w:pPr>
        <w:pStyle w:val="ListDash1"/>
        <w:rPr>
          <w:noProof/>
        </w:rPr>
      </w:pPr>
      <w:r w:rsidRPr="007A5966">
        <w:rPr>
          <w:rFonts w:ascii="Wingdings" w:eastAsia="Wingdings" w:hAnsi="Wingdings" w:cs="Wingdings"/>
          <w:noProof/>
        </w:rPr>
        <w:t></w:t>
      </w:r>
      <w:r w:rsidRPr="00363097">
        <w:rPr>
          <w:noProof/>
        </w:rPr>
        <w:tab/>
        <w:t>The proposal/initiative requires the use of appropriations of an administrative nature, as explained below:</w:t>
      </w:r>
    </w:p>
    <w:p w14:paraId="67540D72" w14:textId="77777777" w:rsidR="00081B7A" w:rsidRPr="00363097" w:rsidRDefault="00081B7A" w:rsidP="00081B7A">
      <w:pPr>
        <w:jc w:val="right"/>
        <w:rPr>
          <w:noProof/>
          <w:sz w:val="20"/>
          <w:lang w:val="en-IE"/>
        </w:rPr>
      </w:pPr>
      <w:r w:rsidRPr="00363097">
        <w:rPr>
          <w:noProof/>
          <w:sz w:val="20"/>
          <w:lang w:val="en-IE"/>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363097" w:rsidRPr="00363097" w14:paraId="0DABB96A" w14:textId="77777777">
        <w:trPr>
          <w:trHeight w:val="585"/>
        </w:trPr>
        <w:tc>
          <w:tcPr>
            <w:tcW w:w="1980" w:type="dxa"/>
          </w:tcPr>
          <w:p w14:paraId="1E94C447" w14:textId="77777777" w:rsidR="00081B7A" w:rsidRPr="00363097" w:rsidRDefault="00081B7A">
            <w:pPr>
              <w:spacing w:before="60" w:after="60" w:line="200" w:lineRule="exact"/>
              <w:rPr>
                <w:noProof/>
                <w:sz w:val="16"/>
                <w:szCs w:val="16"/>
                <w:lang w:val="en-IE"/>
              </w:rPr>
            </w:pPr>
          </w:p>
        </w:tc>
        <w:tc>
          <w:tcPr>
            <w:tcW w:w="1080" w:type="dxa"/>
            <w:vAlign w:val="center"/>
          </w:tcPr>
          <w:p w14:paraId="4C3AA6EB" w14:textId="77777777" w:rsidR="00081B7A" w:rsidRPr="00363097" w:rsidRDefault="00081B7A">
            <w:pPr>
              <w:spacing w:before="60" w:after="60" w:line="200" w:lineRule="exact"/>
              <w:jc w:val="center"/>
              <w:rPr>
                <w:noProof/>
                <w:sz w:val="16"/>
                <w:szCs w:val="16"/>
              </w:rPr>
            </w:pPr>
            <w:r w:rsidRPr="00363097">
              <w:rPr>
                <w:noProof/>
                <w:sz w:val="16"/>
              </w:rPr>
              <w:t>Year</w:t>
            </w:r>
            <w:r w:rsidRPr="00363097">
              <w:rPr>
                <w:noProof/>
                <w:sz w:val="22"/>
              </w:rPr>
              <w:br/>
            </w:r>
            <w:r w:rsidRPr="00363097">
              <w:rPr>
                <w:b/>
                <w:noProof/>
                <w:sz w:val="16"/>
              </w:rPr>
              <w:t xml:space="preserve">N </w:t>
            </w:r>
            <w:r w:rsidRPr="00363097">
              <w:rPr>
                <w:rStyle w:val="FootnoteReference0"/>
                <w:b/>
                <w:noProof/>
                <w:sz w:val="16"/>
              </w:rPr>
              <w:footnoteReference w:id="48"/>
            </w:r>
          </w:p>
        </w:tc>
        <w:tc>
          <w:tcPr>
            <w:tcW w:w="1080" w:type="dxa"/>
            <w:vAlign w:val="center"/>
          </w:tcPr>
          <w:p w14:paraId="01225805" w14:textId="77777777" w:rsidR="00081B7A" w:rsidRPr="00363097" w:rsidRDefault="00081B7A">
            <w:pPr>
              <w:spacing w:before="60" w:after="60" w:line="200" w:lineRule="exact"/>
              <w:jc w:val="center"/>
              <w:rPr>
                <w:noProof/>
                <w:sz w:val="16"/>
                <w:szCs w:val="16"/>
              </w:rPr>
            </w:pPr>
            <w:r w:rsidRPr="00363097">
              <w:rPr>
                <w:noProof/>
                <w:sz w:val="16"/>
              </w:rPr>
              <w:t>Year</w:t>
            </w:r>
            <w:r w:rsidRPr="00363097">
              <w:rPr>
                <w:noProof/>
                <w:sz w:val="22"/>
              </w:rPr>
              <w:br/>
            </w:r>
            <w:r w:rsidRPr="00363097">
              <w:rPr>
                <w:b/>
                <w:noProof/>
                <w:sz w:val="16"/>
              </w:rPr>
              <w:t>N+1</w:t>
            </w:r>
          </w:p>
        </w:tc>
        <w:tc>
          <w:tcPr>
            <w:tcW w:w="1080" w:type="dxa"/>
            <w:vAlign w:val="center"/>
          </w:tcPr>
          <w:p w14:paraId="1D9778B5" w14:textId="77777777" w:rsidR="00081B7A" w:rsidRPr="00363097" w:rsidRDefault="00081B7A">
            <w:pPr>
              <w:spacing w:before="60" w:after="60" w:line="200" w:lineRule="exact"/>
              <w:jc w:val="center"/>
              <w:rPr>
                <w:noProof/>
                <w:sz w:val="16"/>
                <w:szCs w:val="16"/>
              </w:rPr>
            </w:pPr>
            <w:r w:rsidRPr="00363097">
              <w:rPr>
                <w:noProof/>
                <w:sz w:val="16"/>
              </w:rPr>
              <w:t>Year</w:t>
            </w:r>
            <w:r w:rsidRPr="00363097">
              <w:rPr>
                <w:noProof/>
                <w:sz w:val="22"/>
              </w:rPr>
              <w:br/>
            </w:r>
            <w:r w:rsidRPr="00363097">
              <w:rPr>
                <w:b/>
                <w:noProof/>
                <w:sz w:val="16"/>
              </w:rPr>
              <w:t>N+2</w:t>
            </w:r>
          </w:p>
        </w:tc>
        <w:tc>
          <w:tcPr>
            <w:tcW w:w="1080" w:type="dxa"/>
            <w:vAlign w:val="center"/>
          </w:tcPr>
          <w:p w14:paraId="56FE76C5" w14:textId="77777777" w:rsidR="00081B7A" w:rsidRPr="00363097" w:rsidRDefault="00081B7A">
            <w:pPr>
              <w:spacing w:before="60" w:after="60" w:line="200" w:lineRule="exact"/>
              <w:jc w:val="center"/>
              <w:rPr>
                <w:noProof/>
                <w:sz w:val="16"/>
                <w:szCs w:val="16"/>
              </w:rPr>
            </w:pPr>
            <w:r w:rsidRPr="00363097">
              <w:rPr>
                <w:noProof/>
                <w:sz w:val="16"/>
              </w:rPr>
              <w:t>Year</w:t>
            </w:r>
            <w:r w:rsidRPr="00363097">
              <w:rPr>
                <w:noProof/>
                <w:sz w:val="22"/>
              </w:rPr>
              <w:br/>
            </w:r>
            <w:r w:rsidRPr="00363097">
              <w:rPr>
                <w:b/>
                <w:noProof/>
                <w:sz w:val="16"/>
              </w:rPr>
              <w:t>N+3</w:t>
            </w:r>
          </w:p>
        </w:tc>
        <w:tc>
          <w:tcPr>
            <w:tcW w:w="3240" w:type="dxa"/>
            <w:vAlign w:val="center"/>
          </w:tcPr>
          <w:p w14:paraId="7B1F3FB0" w14:textId="77777777" w:rsidR="00081B7A" w:rsidRPr="00363097" w:rsidRDefault="00081B7A">
            <w:pPr>
              <w:spacing w:line="200" w:lineRule="exact"/>
              <w:jc w:val="center"/>
              <w:rPr>
                <w:b/>
                <w:noProof/>
                <w:sz w:val="16"/>
                <w:szCs w:val="16"/>
                <w:lang w:val="en-IE"/>
              </w:rPr>
            </w:pPr>
            <w:r w:rsidRPr="00363097">
              <w:rPr>
                <w:noProof/>
                <w:sz w:val="16"/>
                <w:lang w:val="en-IE"/>
              </w:rPr>
              <w:t>Enter as many years as necessary to show the duration of the impact (see point 1.6)</w:t>
            </w:r>
          </w:p>
        </w:tc>
        <w:tc>
          <w:tcPr>
            <w:tcW w:w="1080" w:type="dxa"/>
            <w:vAlign w:val="center"/>
          </w:tcPr>
          <w:p w14:paraId="78DB3C78" w14:textId="77777777" w:rsidR="00081B7A" w:rsidRPr="00363097" w:rsidRDefault="00081B7A">
            <w:pPr>
              <w:spacing w:before="60" w:after="60" w:line="200" w:lineRule="exact"/>
              <w:jc w:val="center"/>
              <w:rPr>
                <w:b/>
                <w:noProof/>
                <w:sz w:val="16"/>
                <w:szCs w:val="16"/>
              </w:rPr>
            </w:pPr>
            <w:r w:rsidRPr="00363097">
              <w:rPr>
                <w:b/>
                <w:noProof/>
                <w:sz w:val="16"/>
              </w:rPr>
              <w:t>TOTAL</w:t>
            </w:r>
          </w:p>
        </w:tc>
      </w:tr>
    </w:tbl>
    <w:p w14:paraId="0FF4C7B1" w14:textId="77777777" w:rsidR="00081B7A" w:rsidRPr="00363097" w:rsidRDefault="00081B7A" w:rsidP="00081B7A">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363097" w14:paraId="0E12ADAB" w14:textId="77777777">
        <w:trPr>
          <w:trHeight w:val="585"/>
        </w:trPr>
        <w:tc>
          <w:tcPr>
            <w:tcW w:w="1980" w:type="dxa"/>
            <w:shd w:val="clear" w:color="auto" w:fill="CCCCCC"/>
            <w:vAlign w:val="center"/>
          </w:tcPr>
          <w:p w14:paraId="3C9D7CE9" w14:textId="77777777" w:rsidR="00081B7A" w:rsidRPr="00363097" w:rsidRDefault="00081B7A">
            <w:pPr>
              <w:spacing w:before="60" w:after="60" w:line="200" w:lineRule="exact"/>
              <w:jc w:val="center"/>
              <w:rPr>
                <w:b/>
                <w:noProof/>
                <w:sz w:val="16"/>
                <w:szCs w:val="16"/>
                <w:lang w:val="en-IE"/>
              </w:rPr>
            </w:pPr>
            <w:r w:rsidRPr="00363097">
              <w:rPr>
                <w:b/>
                <w:noProof/>
                <w:sz w:val="16"/>
                <w:lang w:val="en-IE"/>
              </w:rPr>
              <w:t>HEADING 7</w:t>
            </w:r>
            <w:r w:rsidRPr="00363097">
              <w:rPr>
                <w:noProof/>
                <w:sz w:val="22"/>
                <w:lang w:val="en-IE"/>
              </w:rPr>
              <w:br/>
            </w:r>
            <w:r w:rsidRPr="00363097">
              <w:rPr>
                <w:b/>
                <w:noProof/>
                <w:sz w:val="16"/>
                <w:lang w:val="en-IE"/>
              </w:rPr>
              <w:t>of the multiannual financial framework</w:t>
            </w:r>
          </w:p>
        </w:tc>
        <w:tc>
          <w:tcPr>
            <w:tcW w:w="1080" w:type="dxa"/>
            <w:vAlign w:val="center"/>
          </w:tcPr>
          <w:p w14:paraId="00CDC58C"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71204999"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7EB46632"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69C17C08"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3EC02017"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6B9BDC62"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5562871F" w14:textId="77777777" w:rsidR="00081B7A" w:rsidRPr="00363097" w:rsidRDefault="00081B7A">
            <w:pPr>
              <w:spacing w:before="60" w:after="60" w:line="200" w:lineRule="exact"/>
              <w:jc w:val="right"/>
              <w:rPr>
                <w:b/>
                <w:noProof/>
                <w:sz w:val="16"/>
                <w:szCs w:val="16"/>
                <w:lang w:val="en-IE"/>
              </w:rPr>
            </w:pPr>
          </w:p>
        </w:tc>
        <w:tc>
          <w:tcPr>
            <w:tcW w:w="1080" w:type="dxa"/>
            <w:vAlign w:val="center"/>
          </w:tcPr>
          <w:p w14:paraId="3FE6A347" w14:textId="77777777" w:rsidR="00081B7A" w:rsidRPr="00363097" w:rsidRDefault="00081B7A">
            <w:pPr>
              <w:spacing w:before="60" w:after="60" w:line="200" w:lineRule="exact"/>
              <w:jc w:val="right"/>
              <w:rPr>
                <w:b/>
                <w:noProof/>
                <w:sz w:val="16"/>
                <w:szCs w:val="16"/>
                <w:lang w:val="en-IE"/>
              </w:rPr>
            </w:pPr>
          </w:p>
        </w:tc>
      </w:tr>
      <w:tr w:rsidR="00363097" w:rsidRPr="00363097" w14:paraId="2A6E892B" w14:textId="77777777">
        <w:trPr>
          <w:trHeight w:val="585"/>
        </w:trPr>
        <w:tc>
          <w:tcPr>
            <w:tcW w:w="1980" w:type="dxa"/>
            <w:vAlign w:val="center"/>
          </w:tcPr>
          <w:p w14:paraId="7D9D288C" w14:textId="77777777" w:rsidR="00081B7A" w:rsidRPr="00363097" w:rsidRDefault="00081B7A">
            <w:pPr>
              <w:spacing w:before="60" w:after="60" w:line="200" w:lineRule="exact"/>
              <w:ind w:left="72"/>
              <w:jc w:val="left"/>
              <w:rPr>
                <w:noProof/>
                <w:sz w:val="16"/>
                <w:szCs w:val="16"/>
              </w:rPr>
            </w:pPr>
            <w:r w:rsidRPr="00363097">
              <w:rPr>
                <w:noProof/>
                <w:sz w:val="16"/>
              </w:rPr>
              <w:t xml:space="preserve">Human resources </w:t>
            </w:r>
          </w:p>
        </w:tc>
        <w:tc>
          <w:tcPr>
            <w:tcW w:w="1080" w:type="dxa"/>
            <w:vAlign w:val="center"/>
          </w:tcPr>
          <w:p w14:paraId="1129823E" w14:textId="77777777" w:rsidR="00081B7A" w:rsidRPr="00363097" w:rsidRDefault="00081B7A">
            <w:pPr>
              <w:spacing w:before="60" w:after="60" w:line="200" w:lineRule="exact"/>
              <w:jc w:val="right"/>
              <w:rPr>
                <w:noProof/>
                <w:sz w:val="16"/>
                <w:szCs w:val="16"/>
              </w:rPr>
            </w:pPr>
          </w:p>
        </w:tc>
        <w:tc>
          <w:tcPr>
            <w:tcW w:w="1080" w:type="dxa"/>
            <w:vAlign w:val="center"/>
          </w:tcPr>
          <w:p w14:paraId="00762FE9" w14:textId="77777777" w:rsidR="00081B7A" w:rsidRPr="00363097" w:rsidRDefault="00081B7A">
            <w:pPr>
              <w:spacing w:before="60" w:after="60" w:line="200" w:lineRule="exact"/>
              <w:jc w:val="right"/>
              <w:rPr>
                <w:noProof/>
                <w:sz w:val="16"/>
                <w:szCs w:val="16"/>
              </w:rPr>
            </w:pPr>
          </w:p>
        </w:tc>
        <w:tc>
          <w:tcPr>
            <w:tcW w:w="1080" w:type="dxa"/>
            <w:vAlign w:val="center"/>
          </w:tcPr>
          <w:p w14:paraId="5118B7A3" w14:textId="77777777" w:rsidR="00081B7A" w:rsidRPr="00363097" w:rsidRDefault="00081B7A">
            <w:pPr>
              <w:spacing w:before="60" w:after="60" w:line="200" w:lineRule="exact"/>
              <w:jc w:val="right"/>
              <w:rPr>
                <w:noProof/>
                <w:sz w:val="16"/>
                <w:szCs w:val="16"/>
              </w:rPr>
            </w:pPr>
          </w:p>
        </w:tc>
        <w:tc>
          <w:tcPr>
            <w:tcW w:w="1080" w:type="dxa"/>
            <w:vAlign w:val="center"/>
          </w:tcPr>
          <w:p w14:paraId="3C49D8AF" w14:textId="77777777" w:rsidR="00081B7A" w:rsidRPr="00363097" w:rsidRDefault="00081B7A">
            <w:pPr>
              <w:spacing w:before="60" w:after="60" w:line="200" w:lineRule="exact"/>
              <w:jc w:val="right"/>
              <w:rPr>
                <w:noProof/>
                <w:sz w:val="16"/>
                <w:szCs w:val="16"/>
              </w:rPr>
            </w:pPr>
          </w:p>
        </w:tc>
        <w:tc>
          <w:tcPr>
            <w:tcW w:w="1080" w:type="dxa"/>
            <w:vAlign w:val="center"/>
          </w:tcPr>
          <w:p w14:paraId="780A892A" w14:textId="77777777" w:rsidR="00081B7A" w:rsidRPr="00363097" w:rsidRDefault="00081B7A">
            <w:pPr>
              <w:spacing w:before="60" w:after="60" w:line="200" w:lineRule="exact"/>
              <w:jc w:val="right"/>
              <w:rPr>
                <w:noProof/>
                <w:sz w:val="16"/>
                <w:szCs w:val="16"/>
              </w:rPr>
            </w:pPr>
          </w:p>
        </w:tc>
        <w:tc>
          <w:tcPr>
            <w:tcW w:w="1080" w:type="dxa"/>
            <w:vAlign w:val="center"/>
          </w:tcPr>
          <w:p w14:paraId="473CF70F" w14:textId="77777777" w:rsidR="00081B7A" w:rsidRPr="00363097" w:rsidRDefault="00081B7A">
            <w:pPr>
              <w:spacing w:before="60" w:after="60" w:line="200" w:lineRule="exact"/>
              <w:jc w:val="right"/>
              <w:rPr>
                <w:noProof/>
                <w:sz w:val="16"/>
                <w:szCs w:val="16"/>
              </w:rPr>
            </w:pPr>
          </w:p>
        </w:tc>
        <w:tc>
          <w:tcPr>
            <w:tcW w:w="1080" w:type="dxa"/>
            <w:vAlign w:val="center"/>
          </w:tcPr>
          <w:p w14:paraId="08DEDC62" w14:textId="77777777" w:rsidR="00081B7A" w:rsidRPr="00363097" w:rsidRDefault="00081B7A">
            <w:pPr>
              <w:spacing w:before="60" w:after="60" w:line="200" w:lineRule="exact"/>
              <w:jc w:val="right"/>
              <w:rPr>
                <w:b/>
                <w:noProof/>
                <w:sz w:val="16"/>
                <w:szCs w:val="16"/>
              </w:rPr>
            </w:pPr>
          </w:p>
        </w:tc>
        <w:tc>
          <w:tcPr>
            <w:tcW w:w="1080" w:type="dxa"/>
            <w:vAlign w:val="center"/>
          </w:tcPr>
          <w:p w14:paraId="68B95E96" w14:textId="77777777" w:rsidR="00081B7A" w:rsidRPr="00363097" w:rsidRDefault="00081B7A">
            <w:pPr>
              <w:spacing w:before="60" w:after="60" w:line="200" w:lineRule="exact"/>
              <w:jc w:val="right"/>
              <w:rPr>
                <w:b/>
                <w:noProof/>
                <w:sz w:val="16"/>
                <w:szCs w:val="16"/>
              </w:rPr>
            </w:pPr>
          </w:p>
        </w:tc>
      </w:tr>
      <w:tr w:rsidR="00363097" w:rsidRPr="00363097" w14:paraId="2624337F" w14:textId="77777777">
        <w:trPr>
          <w:trHeight w:val="585"/>
        </w:trPr>
        <w:tc>
          <w:tcPr>
            <w:tcW w:w="1980" w:type="dxa"/>
            <w:vAlign w:val="center"/>
          </w:tcPr>
          <w:p w14:paraId="6D9106F1" w14:textId="77777777" w:rsidR="00081B7A" w:rsidRPr="00363097" w:rsidRDefault="00081B7A">
            <w:pPr>
              <w:spacing w:before="60" w:after="60" w:line="200" w:lineRule="exact"/>
              <w:ind w:left="72"/>
              <w:jc w:val="left"/>
              <w:rPr>
                <w:noProof/>
                <w:sz w:val="16"/>
                <w:szCs w:val="16"/>
              </w:rPr>
            </w:pPr>
            <w:r w:rsidRPr="00363097">
              <w:rPr>
                <w:noProof/>
                <w:sz w:val="16"/>
              </w:rPr>
              <w:t xml:space="preserve">Other administrative expenditure </w:t>
            </w:r>
          </w:p>
        </w:tc>
        <w:tc>
          <w:tcPr>
            <w:tcW w:w="1080" w:type="dxa"/>
            <w:vAlign w:val="center"/>
          </w:tcPr>
          <w:p w14:paraId="6FC440F6" w14:textId="77777777" w:rsidR="00081B7A" w:rsidRPr="00363097" w:rsidRDefault="00081B7A">
            <w:pPr>
              <w:spacing w:before="60" w:after="60" w:line="200" w:lineRule="exact"/>
              <w:jc w:val="right"/>
              <w:rPr>
                <w:noProof/>
                <w:sz w:val="16"/>
                <w:szCs w:val="16"/>
              </w:rPr>
            </w:pPr>
          </w:p>
        </w:tc>
        <w:tc>
          <w:tcPr>
            <w:tcW w:w="1080" w:type="dxa"/>
            <w:vAlign w:val="center"/>
          </w:tcPr>
          <w:p w14:paraId="56FD0F7B" w14:textId="77777777" w:rsidR="00081B7A" w:rsidRPr="00363097" w:rsidRDefault="00081B7A">
            <w:pPr>
              <w:spacing w:before="60" w:after="60" w:line="200" w:lineRule="exact"/>
              <w:jc w:val="right"/>
              <w:rPr>
                <w:noProof/>
                <w:sz w:val="16"/>
                <w:szCs w:val="16"/>
              </w:rPr>
            </w:pPr>
          </w:p>
        </w:tc>
        <w:tc>
          <w:tcPr>
            <w:tcW w:w="1080" w:type="dxa"/>
            <w:vAlign w:val="center"/>
          </w:tcPr>
          <w:p w14:paraId="4547D419" w14:textId="77777777" w:rsidR="00081B7A" w:rsidRPr="00363097" w:rsidRDefault="00081B7A">
            <w:pPr>
              <w:spacing w:before="60" w:after="60" w:line="200" w:lineRule="exact"/>
              <w:jc w:val="right"/>
              <w:rPr>
                <w:noProof/>
                <w:sz w:val="16"/>
                <w:szCs w:val="16"/>
              </w:rPr>
            </w:pPr>
          </w:p>
        </w:tc>
        <w:tc>
          <w:tcPr>
            <w:tcW w:w="1080" w:type="dxa"/>
            <w:vAlign w:val="center"/>
          </w:tcPr>
          <w:p w14:paraId="6FA0AAEE" w14:textId="77777777" w:rsidR="00081B7A" w:rsidRPr="00363097" w:rsidRDefault="00081B7A">
            <w:pPr>
              <w:spacing w:before="60" w:after="60" w:line="200" w:lineRule="exact"/>
              <w:jc w:val="right"/>
              <w:rPr>
                <w:noProof/>
                <w:sz w:val="16"/>
                <w:szCs w:val="16"/>
              </w:rPr>
            </w:pPr>
          </w:p>
        </w:tc>
        <w:tc>
          <w:tcPr>
            <w:tcW w:w="1080" w:type="dxa"/>
            <w:vAlign w:val="center"/>
          </w:tcPr>
          <w:p w14:paraId="01CA633A" w14:textId="77777777" w:rsidR="00081B7A" w:rsidRPr="00363097" w:rsidRDefault="00081B7A">
            <w:pPr>
              <w:spacing w:before="60" w:after="60" w:line="200" w:lineRule="exact"/>
              <w:jc w:val="right"/>
              <w:rPr>
                <w:noProof/>
                <w:sz w:val="16"/>
                <w:szCs w:val="16"/>
              </w:rPr>
            </w:pPr>
          </w:p>
        </w:tc>
        <w:tc>
          <w:tcPr>
            <w:tcW w:w="1080" w:type="dxa"/>
            <w:vAlign w:val="center"/>
          </w:tcPr>
          <w:p w14:paraId="4C4D57CD" w14:textId="77777777" w:rsidR="00081B7A" w:rsidRPr="00363097" w:rsidRDefault="00081B7A">
            <w:pPr>
              <w:spacing w:before="60" w:after="60" w:line="200" w:lineRule="exact"/>
              <w:jc w:val="right"/>
              <w:rPr>
                <w:noProof/>
                <w:sz w:val="16"/>
                <w:szCs w:val="16"/>
              </w:rPr>
            </w:pPr>
          </w:p>
        </w:tc>
        <w:tc>
          <w:tcPr>
            <w:tcW w:w="1080" w:type="dxa"/>
            <w:vAlign w:val="center"/>
          </w:tcPr>
          <w:p w14:paraId="4E2E2200" w14:textId="77777777" w:rsidR="00081B7A" w:rsidRPr="00363097" w:rsidRDefault="00081B7A">
            <w:pPr>
              <w:spacing w:before="60" w:after="60" w:line="200" w:lineRule="exact"/>
              <w:jc w:val="right"/>
              <w:rPr>
                <w:b/>
                <w:noProof/>
                <w:sz w:val="16"/>
                <w:szCs w:val="16"/>
              </w:rPr>
            </w:pPr>
          </w:p>
        </w:tc>
        <w:tc>
          <w:tcPr>
            <w:tcW w:w="1080" w:type="dxa"/>
            <w:vAlign w:val="center"/>
          </w:tcPr>
          <w:p w14:paraId="5ADB3244" w14:textId="77777777" w:rsidR="00081B7A" w:rsidRPr="00363097" w:rsidRDefault="00081B7A">
            <w:pPr>
              <w:spacing w:before="60" w:after="60" w:line="200" w:lineRule="exact"/>
              <w:jc w:val="right"/>
              <w:rPr>
                <w:b/>
                <w:noProof/>
                <w:sz w:val="16"/>
                <w:szCs w:val="16"/>
              </w:rPr>
            </w:pPr>
          </w:p>
        </w:tc>
      </w:tr>
      <w:tr w:rsidR="00363097" w:rsidRPr="00363097" w14:paraId="3CF8311F" w14:textId="77777777">
        <w:trPr>
          <w:trHeight w:val="585"/>
        </w:trPr>
        <w:tc>
          <w:tcPr>
            <w:tcW w:w="1980" w:type="dxa"/>
            <w:shd w:val="clear" w:color="auto" w:fill="CCCCCC"/>
            <w:vAlign w:val="center"/>
          </w:tcPr>
          <w:p w14:paraId="55D84BFA" w14:textId="77777777" w:rsidR="00081B7A" w:rsidRPr="00363097" w:rsidRDefault="00081B7A">
            <w:pPr>
              <w:spacing w:before="60" w:after="60" w:line="200" w:lineRule="exact"/>
              <w:jc w:val="center"/>
              <w:rPr>
                <w:b/>
                <w:noProof/>
                <w:sz w:val="16"/>
                <w:szCs w:val="16"/>
                <w:lang w:val="en-IE"/>
              </w:rPr>
            </w:pPr>
            <w:r w:rsidRPr="00363097">
              <w:rPr>
                <w:b/>
                <w:noProof/>
                <w:sz w:val="16"/>
                <w:lang w:val="en-IE"/>
              </w:rPr>
              <w:t>Subtotal HEADING 7</w:t>
            </w:r>
            <w:r w:rsidRPr="00363097">
              <w:rPr>
                <w:noProof/>
                <w:sz w:val="22"/>
                <w:lang w:val="en-IE"/>
              </w:rPr>
              <w:br/>
            </w:r>
            <w:r w:rsidRPr="00363097">
              <w:rPr>
                <w:b/>
                <w:noProof/>
                <w:sz w:val="16"/>
                <w:lang w:val="en-IE"/>
              </w:rPr>
              <w:t xml:space="preserve">of the multiannual financial framework </w:t>
            </w:r>
          </w:p>
        </w:tc>
        <w:tc>
          <w:tcPr>
            <w:tcW w:w="1080" w:type="dxa"/>
            <w:vAlign w:val="center"/>
          </w:tcPr>
          <w:p w14:paraId="65E7A28A"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0253777B"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571B5A03"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4F590500"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2521AEAA"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1836652F"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79D4831A" w14:textId="77777777" w:rsidR="00081B7A" w:rsidRPr="00363097" w:rsidRDefault="00081B7A">
            <w:pPr>
              <w:spacing w:before="60" w:after="60" w:line="200" w:lineRule="exact"/>
              <w:jc w:val="right"/>
              <w:rPr>
                <w:b/>
                <w:noProof/>
                <w:sz w:val="16"/>
                <w:szCs w:val="16"/>
                <w:lang w:val="en-IE"/>
              </w:rPr>
            </w:pPr>
          </w:p>
        </w:tc>
        <w:tc>
          <w:tcPr>
            <w:tcW w:w="1080" w:type="dxa"/>
            <w:vAlign w:val="center"/>
          </w:tcPr>
          <w:p w14:paraId="68B68423" w14:textId="77777777" w:rsidR="00081B7A" w:rsidRPr="00363097" w:rsidRDefault="00081B7A">
            <w:pPr>
              <w:spacing w:before="60" w:after="60" w:line="200" w:lineRule="exact"/>
              <w:jc w:val="right"/>
              <w:rPr>
                <w:b/>
                <w:noProof/>
                <w:sz w:val="16"/>
                <w:szCs w:val="16"/>
                <w:lang w:val="en-IE"/>
              </w:rPr>
            </w:pPr>
          </w:p>
        </w:tc>
      </w:tr>
    </w:tbl>
    <w:p w14:paraId="18813626" w14:textId="77777777" w:rsidR="00081B7A" w:rsidRPr="00363097" w:rsidRDefault="00081B7A" w:rsidP="00081B7A">
      <w:pPr>
        <w:spacing w:line="200" w:lineRule="exact"/>
        <w:rPr>
          <w:noProof/>
          <w:sz w:val="16"/>
          <w:szCs w:val="16"/>
          <w:lang w:val="en-IE"/>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363097" w14:paraId="6452B182" w14:textId="77777777">
        <w:trPr>
          <w:trHeight w:val="585"/>
        </w:trPr>
        <w:tc>
          <w:tcPr>
            <w:tcW w:w="1980" w:type="dxa"/>
            <w:shd w:val="clear" w:color="auto" w:fill="CCCCCC"/>
            <w:vAlign w:val="center"/>
          </w:tcPr>
          <w:p w14:paraId="30071903" w14:textId="77777777" w:rsidR="00081B7A" w:rsidRPr="00363097" w:rsidRDefault="00081B7A">
            <w:pPr>
              <w:spacing w:before="60" w:after="60" w:line="200" w:lineRule="exact"/>
              <w:jc w:val="center"/>
              <w:rPr>
                <w:noProof/>
                <w:sz w:val="16"/>
                <w:szCs w:val="16"/>
                <w:lang w:val="en-IE"/>
              </w:rPr>
            </w:pPr>
            <w:r w:rsidRPr="00363097">
              <w:rPr>
                <w:b/>
                <w:noProof/>
                <w:sz w:val="16"/>
                <w:lang w:val="en-IE"/>
              </w:rPr>
              <w:t>Outside HEADING 7</w:t>
            </w:r>
            <w:r w:rsidRPr="00363097">
              <w:rPr>
                <w:rStyle w:val="FootnoteReference0"/>
                <w:b/>
                <w:noProof/>
                <w:sz w:val="16"/>
              </w:rPr>
              <w:footnoteReference w:id="49"/>
            </w:r>
            <w:r w:rsidRPr="00363097">
              <w:rPr>
                <w:noProof/>
                <w:sz w:val="22"/>
                <w:lang w:val="en-IE"/>
              </w:rPr>
              <w:br/>
            </w:r>
            <w:r w:rsidRPr="00363097">
              <w:rPr>
                <w:b/>
                <w:noProof/>
                <w:sz w:val="16"/>
                <w:lang w:val="en-IE"/>
              </w:rPr>
              <w:t xml:space="preserve">of the multiannual financial framework </w:t>
            </w:r>
          </w:p>
          <w:p w14:paraId="1B574D53" w14:textId="77777777" w:rsidR="00081B7A" w:rsidRPr="00363097" w:rsidRDefault="00081B7A">
            <w:pPr>
              <w:spacing w:before="0" w:after="0" w:line="200" w:lineRule="exact"/>
              <w:jc w:val="center"/>
              <w:rPr>
                <w:b/>
                <w:noProof/>
                <w:sz w:val="16"/>
                <w:szCs w:val="16"/>
                <w:lang w:val="en-IE"/>
              </w:rPr>
            </w:pPr>
          </w:p>
        </w:tc>
        <w:tc>
          <w:tcPr>
            <w:tcW w:w="1080" w:type="dxa"/>
            <w:vAlign w:val="center"/>
          </w:tcPr>
          <w:p w14:paraId="7F3E3CB2"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11AB66D0"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7793EDA2"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01106946"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6DA35B00"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2EE6EE29"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6C4B7422" w14:textId="77777777" w:rsidR="00081B7A" w:rsidRPr="00363097" w:rsidRDefault="00081B7A">
            <w:pPr>
              <w:spacing w:before="60" w:after="60" w:line="200" w:lineRule="exact"/>
              <w:jc w:val="right"/>
              <w:rPr>
                <w:b/>
                <w:noProof/>
                <w:sz w:val="16"/>
                <w:szCs w:val="16"/>
                <w:lang w:val="en-IE"/>
              </w:rPr>
            </w:pPr>
          </w:p>
        </w:tc>
        <w:tc>
          <w:tcPr>
            <w:tcW w:w="1080" w:type="dxa"/>
            <w:vAlign w:val="center"/>
          </w:tcPr>
          <w:p w14:paraId="25B32301" w14:textId="77777777" w:rsidR="00081B7A" w:rsidRPr="00363097" w:rsidRDefault="00081B7A">
            <w:pPr>
              <w:spacing w:before="60" w:after="60" w:line="200" w:lineRule="exact"/>
              <w:jc w:val="right"/>
              <w:rPr>
                <w:b/>
                <w:noProof/>
                <w:sz w:val="16"/>
                <w:szCs w:val="16"/>
                <w:lang w:val="en-IE"/>
              </w:rPr>
            </w:pPr>
          </w:p>
        </w:tc>
      </w:tr>
      <w:tr w:rsidR="00363097" w:rsidRPr="00363097" w14:paraId="56185EB2" w14:textId="77777777">
        <w:trPr>
          <w:trHeight w:val="585"/>
        </w:trPr>
        <w:tc>
          <w:tcPr>
            <w:tcW w:w="1980" w:type="dxa"/>
            <w:vAlign w:val="center"/>
          </w:tcPr>
          <w:p w14:paraId="5370A164" w14:textId="77777777" w:rsidR="00081B7A" w:rsidRPr="00363097" w:rsidRDefault="00081B7A">
            <w:pPr>
              <w:spacing w:before="60" w:after="60" w:line="200" w:lineRule="exact"/>
              <w:ind w:left="72"/>
              <w:jc w:val="left"/>
              <w:rPr>
                <w:noProof/>
                <w:sz w:val="16"/>
                <w:szCs w:val="16"/>
              </w:rPr>
            </w:pPr>
            <w:r w:rsidRPr="00363097">
              <w:rPr>
                <w:noProof/>
                <w:sz w:val="16"/>
              </w:rPr>
              <w:t xml:space="preserve">Human resources </w:t>
            </w:r>
          </w:p>
        </w:tc>
        <w:tc>
          <w:tcPr>
            <w:tcW w:w="1080" w:type="dxa"/>
            <w:vAlign w:val="center"/>
          </w:tcPr>
          <w:p w14:paraId="22EC5903" w14:textId="77777777" w:rsidR="00081B7A" w:rsidRPr="00363097" w:rsidRDefault="00081B7A">
            <w:pPr>
              <w:spacing w:before="60" w:after="60" w:line="200" w:lineRule="exact"/>
              <w:jc w:val="right"/>
              <w:rPr>
                <w:noProof/>
                <w:sz w:val="16"/>
                <w:szCs w:val="16"/>
              </w:rPr>
            </w:pPr>
          </w:p>
        </w:tc>
        <w:tc>
          <w:tcPr>
            <w:tcW w:w="1080" w:type="dxa"/>
            <w:vAlign w:val="center"/>
          </w:tcPr>
          <w:p w14:paraId="601FA034" w14:textId="77777777" w:rsidR="00081B7A" w:rsidRPr="00363097" w:rsidRDefault="00081B7A">
            <w:pPr>
              <w:spacing w:before="60" w:after="60" w:line="200" w:lineRule="exact"/>
              <w:jc w:val="right"/>
              <w:rPr>
                <w:noProof/>
                <w:sz w:val="16"/>
                <w:szCs w:val="16"/>
              </w:rPr>
            </w:pPr>
          </w:p>
        </w:tc>
        <w:tc>
          <w:tcPr>
            <w:tcW w:w="1080" w:type="dxa"/>
            <w:vAlign w:val="center"/>
          </w:tcPr>
          <w:p w14:paraId="3851DC1C" w14:textId="77777777" w:rsidR="00081B7A" w:rsidRPr="00363097" w:rsidRDefault="00081B7A">
            <w:pPr>
              <w:spacing w:before="60" w:after="60" w:line="200" w:lineRule="exact"/>
              <w:jc w:val="right"/>
              <w:rPr>
                <w:noProof/>
                <w:sz w:val="16"/>
                <w:szCs w:val="16"/>
              </w:rPr>
            </w:pPr>
          </w:p>
        </w:tc>
        <w:tc>
          <w:tcPr>
            <w:tcW w:w="1080" w:type="dxa"/>
            <w:vAlign w:val="center"/>
          </w:tcPr>
          <w:p w14:paraId="3775E342" w14:textId="77777777" w:rsidR="00081B7A" w:rsidRPr="00363097" w:rsidRDefault="00081B7A">
            <w:pPr>
              <w:spacing w:before="60" w:after="60" w:line="200" w:lineRule="exact"/>
              <w:jc w:val="right"/>
              <w:rPr>
                <w:noProof/>
                <w:sz w:val="16"/>
                <w:szCs w:val="16"/>
              </w:rPr>
            </w:pPr>
          </w:p>
        </w:tc>
        <w:tc>
          <w:tcPr>
            <w:tcW w:w="1080" w:type="dxa"/>
            <w:vAlign w:val="center"/>
          </w:tcPr>
          <w:p w14:paraId="409C2096" w14:textId="77777777" w:rsidR="00081B7A" w:rsidRPr="00363097" w:rsidRDefault="00081B7A">
            <w:pPr>
              <w:spacing w:before="60" w:after="60" w:line="200" w:lineRule="exact"/>
              <w:jc w:val="right"/>
              <w:rPr>
                <w:noProof/>
                <w:sz w:val="16"/>
                <w:szCs w:val="16"/>
              </w:rPr>
            </w:pPr>
          </w:p>
        </w:tc>
        <w:tc>
          <w:tcPr>
            <w:tcW w:w="1080" w:type="dxa"/>
            <w:vAlign w:val="center"/>
          </w:tcPr>
          <w:p w14:paraId="409AEA84" w14:textId="77777777" w:rsidR="00081B7A" w:rsidRPr="00363097" w:rsidRDefault="00081B7A">
            <w:pPr>
              <w:spacing w:before="60" w:after="60" w:line="200" w:lineRule="exact"/>
              <w:jc w:val="right"/>
              <w:rPr>
                <w:noProof/>
                <w:sz w:val="16"/>
                <w:szCs w:val="16"/>
              </w:rPr>
            </w:pPr>
          </w:p>
        </w:tc>
        <w:tc>
          <w:tcPr>
            <w:tcW w:w="1080" w:type="dxa"/>
            <w:vAlign w:val="center"/>
          </w:tcPr>
          <w:p w14:paraId="1223A37F" w14:textId="77777777" w:rsidR="00081B7A" w:rsidRPr="00363097" w:rsidRDefault="00081B7A">
            <w:pPr>
              <w:spacing w:before="60" w:after="60" w:line="200" w:lineRule="exact"/>
              <w:jc w:val="right"/>
              <w:rPr>
                <w:b/>
                <w:noProof/>
                <w:sz w:val="16"/>
                <w:szCs w:val="16"/>
              </w:rPr>
            </w:pPr>
          </w:p>
        </w:tc>
        <w:tc>
          <w:tcPr>
            <w:tcW w:w="1080" w:type="dxa"/>
            <w:vAlign w:val="center"/>
          </w:tcPr>
          <w:p w14:paraId="7C43F4EF" w14:textId="77777777" w:rsidR="00081B7A" w:rsidRPr="00363097" w:rsidRDefault="00081B7A">
            <w:pPr>
              <w:spacing w:before="60" w:after="60" w:line="200" w:lineRule="exact"/>
              <w:jc w:val="right"/>
              <w:rPr>
                <w:b/>
                <w:noProof/>
                <w:sz w:val="16"/>
                <w:szCs w:val="16"/>
              </w:rPr>
            </w:pPr>
          </w:p>
        </w:tc>
      </w:tr>
      <w:tr w:rsidR="00363097" w:rsidRPr="00363097" w14:paraId="5BA0A733" w14:textId="77777777">
        <w:trPr>
          <w:trHeight w:val="585"/>
        </w:trPr>
        <w:tc>
          <w:tcPr>
            <w:tcW w:w="1980" w:type="dxa"/>
            <w:vAlign w:val="center"/>
          </w:tcPr>
          <w:p w14:paraId="7FF5C5D3" w14:textId="77777777" w:rsidR="00081B7A" w:rsidRPr="00363097" w:rsidRDefault="00081B7A">
            <w:pPr>
              <w:spacing w:before="60" w:after="60" w:line="200" w:lineRule="exact"/>
              <w:ind w:left="72"/>
              <w:jc w:val="left"/>
              <w:rPr>
                <w:noProof/>
                <w:sz w:val="16"/>
                <w:szCs w:val="16"/>
                <w:lang w:val="en-IE"/>
              </w:rPr>
            </w:pPr>
            <w:r w:rsidRPr="00363097">
              <w:rPr>
                <w:noProof/>
                <w:sz w:val="16"/>
                <w:lang w:val="en-IE"/>
              </w:rPr>
              <w:t xml:space="preserve">Other expenditure </w:t>
            </w:r>
            <w:r w:rsidRPr="00363097">
              <w:rPr>
                <w:noProof/>
                <w:sz w:val="22"/>
                <w:lang w:val="en-IE"/>
              </w:rPr>
              <w:br/>
            </w:r>
            <w:r w:rsidRPr="00363097">
              <w:rPr>
                <w:noProof/>
                <w:sz w:val="16"/>
                <w:lang w:val="en-IE"/>
              </w:rPr>
              <w:t>of an administrative nature</w:t>
            </w:r>
          </w:p>
        </w:tc>
        <w:tc>
          <w:tcPr>
            <w:tcW w:w="1080" w:type="dxa"/>
            <w:vAlign w:val="center"/>
          </w:tcPr>
          <w:p w14:paraId="12B336D3"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004B0A35"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59D346A7"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194A65BD"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562DC931"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358C4C38"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6254DE01" w14:textId="77777777" w:rsidR="00081B7A" w:rsidRPr="00363097" w:rsidRDefault="00081B7A">
            <w:pPr>
              <w:spacing w:before="60" w:after="60" w:line="200" w:lineRule="exact"/>
              <w:jc w:val="right"/>
              <w:rPr>
                <w:b/>
                <w:noProof/>
                <w:sz w:val="16"/>
                <w:szCs w:val="16"/>
                <w:lang w:val="en-IE"/>
              </w:rPr>
            </w:pPr>
          </w:p>
        </w:tc>
        <w:tc>
          <w:tcPr>
            <w:tcW w:w="1080" w:type="dxa"/>
            <w:vAlign w:val="center"/>
          </w:tcPr>
          <w:p w14:paraId="6CD5A826" w14:textId="77777777" w:rsidR="00081B7A" w:rsidRPr="00363097" w:rsidRDefault="00081B7A">
            <w:pPr>
              <w:spacing w:before="60" w:after="60" w:line="200" w:lineRule="exact"/>
              <w:jc w:val="right"/>
              <w:rPr>
                <w:b/>
                <w:noProof/>
                <w:sz w:val="16"/>
                <w:szCs w:val="16"/>
                <w:lang w:val="en-IE"/>
              </w:rPr>
            </w:pPr>
          </w:p>
        </w:tc>
      </w:tr>
      <w:tr w:rsidR="00363097" w:rsidRPr="00363097" w14:paraId="71F7371D" w14:textId="77777777">
        <w:trPr>
          <w:trHeight w:val="585"/>
        </w:trPr>
        <w:tc>
          <w:tcPr>
            <w:tcW w:w="1980" w:type="dxa"/>
            <w:shd w:val="clear" w:color="auto" w:fill="CCCCCC"/>
            <w:vAlign w:val="center"/>
          </w:tcPr>
          <w:p w14:paraId="3D3B30DC" w14:textId="77777777" w:rsidR="00081B7A" w:rsidRPr="00363097" w:rsidRDefault="00081B7A">
            <w:pPr>
              <w:spacing w:before="60" w:after="60" w:line="200" w:lineRule="exact"/>
              <w:jc w:val="center"/>
              <w:rPr>
                <w:b/>
                <w:noProof/>
                <w:sz w:val="16"/>
                <w:szCs w:val="16"/>
                <w:lang w:val="en-IE"/>
              </w:rPr>
            </w:pPr>
            <w:r w:rsidRPr="00363097">
              <w:rPr>
                <w:b/>
                <w:noProof/>
                <w:sz w:val="16"/>
                <w:lang w:val="en-IE"/>
              </w:rPr>
              <w:t xml:space="preserve">Subtotal </w:t>
            </w:r>
            <w:r w:rsidRPr="00363097">
              <w:rPr>
                <w:noProof/>
                <w:sz w:val="22"/>
                <w:lang w:val="en-IE"/>
              </w:rPr>
              <w:br/>
            </w:r>
            <w:r w:rsidRPr="00363097">
              <w:rPr>
                <w:b/>
                <w:noProof/>
                <w:sz w:val="16"/>
                <w:lang w:val="en-IE"/>
              </w:rPr>
              <w:t>outside HEADING 7</w:t>
            </w:r>
            <w:r w:rsidRPr="00363097">
              <w:rPr>
                <w:noProof/>
                <w:sz w:val="22"/>
                <w:lang w:val="en-IE"/>
              </w:rPr>
              <w:br/>
            </w:r>
            <w:r w:rsidRPr="00363097">
              <w:rPr>
                <w:b/>
                <w:noProof/>
                <w:sz w:val="16"/>
                <w:lang w:val="en-IE"/>
              </w:rPr>
              <w:t xml:space="preserve">of the multiannual financial framework </w:t>
            </w:r>
          </w:p>
        </w:tc>
        <w:tc>
          <w:tcPr>
            <w:tcW w:w="1080" w:type="dxa"/>
            <w:vAlign w:val="center"/>
          </w:tcPr>
          <w:p w14:paraId="22CE3FE4"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5D75CABE"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0AEFCEB7"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2CDA0757"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43586BAC"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322781DF" w14:textId="77777777" w:rsidR="00081B7A" w:rsidRPr="00363097" w:rsidRDefault="00081B7A">
            <w:pPr>
              <w:spacing w:before="60" w:after="60" w:line="200" w:lineRule="exact"/>
              <w:jc w:val="right"/>
              <w:rPr>
                <w:noProof/>
                <w:sz w:val="16"/>
                <w:szCs w:val="16"/>
                <w:lang w:val="en-IE"/>
              </w:rPr>
            </w:pPr>
          </w:p>
        </w:tc>
        <w:tc>
          <w:tcPr>
            <w:tcW w:w="1080" w:type="dxa"/>
            <w:vAlign w:val="center"/>
          </w:tcPr>
          <w:p w14:paraId="30AE206E" w14:textId="77777777" w:rsidR="00081B7A" w:rsidRPr="00363097" w:rsidRDefault="00081B7A">
            <w:pPr>
              <w:spacing w:before="60" w:after="60" w:line="200" w:lineRule="exact"/>
              <w:jc w:val="right"/>
              <w:rPr>
                <w:b/>
                <w:noProof/>
                <w:sz w:val="16"/>
                <w:szCs w:val="16"/>
                <w:lang w:val="en-IE"/>
              </w:rPr>
            </w:pPr>
          </w:p>
        </w:tc>
        <w:tc>
          <w:tcPr>
            <w:tcW w:w="1080" w:type="dxa"/>
            <w:vAlign w:val="center"/>
          </w:tcPr>
          <w:p w14:paraId="231EDC54" w14:textId="77777777" w:rsidR="00081B7A" w:rsidRPr="00363097" w:rsidRDefault="00081B7A">
            <w:pPr>
              <w:spacing w:before="60" w:after="60" w:line="200" w:lineRule="exact"/>
              <w:jc w:val="right"/>
              <w:rPr>
                <w:b/>
                <w:noProof/>
                <w:sz w:val="16"/>
                <w:szCs w:val="16"/>
                <w:lang w:val="en-IE"/>
              </w:rPr>
            </w:pPr>
          </w:p>
        </w:tc>
      </w:tr>
    </w:tbl>
    <w:p w14:paraId="340A4102" w14:textId="77777777" w:rsidR="00081B7A" w:rsidRPr="00363097" w:rsidRDefault="00081B7A" w:rsidP="00081B7A">
      <w:pPr>
        <w:spacing w:line="200" w:lineRule="exact"/>
        <w:rPr>
          <w:noProof/>
          <w:sz w:val="16"/>
          <w:szCs w:val="16"/>
          <w:lang w:val="en-IE"/>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63097" w:rsidRPr="00363097" w14:paraId="242D3194" w14:textId="77777777">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086CABBE" w14:textId="77777777" w:rsidR="00081B7A" w:rsidRPr="00363097" w:rsidRDefault="00081B7A">
            <w:pPr>
              <w:spacing w:before="60" w:after="60" w:line="200" w:lineRule="exact"/>
              <w:jc w:val="center"/>
              <w:rPr>
                <w:noProof/>
                <w:sz w:val="16"/>
                <w:szCs w:val="16"/>
              </w:rPr>
            </w:pPr>
            <w:r w:rsidRPr="00363097">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4C054C79"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02539D7F"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CCDB4F3"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AA3C7BD"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583278FF"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2358B896"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DAE2631" w14:textId="77777777" w:rsidR="00081B7A" w:rsidRPr="00363097" w:rsidRDefault="00081B7A">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3CFBD528" w14:textId="77777777" w:rsidR="00081B7A" w:rsidRPr="00363097" w:rsidRDefault="00081B7A">
            <w:pPr>
              <w:spacing w:before="60" w:after="60" w:line="200" w:lineRule="exact"/>
              <w:jc w:val="right"/>
              <w:rPr>
                <w:b/>
                <w:noProof/>
                <w:sz w:val="16"/>
                <w:szCs w:val="16"/>
              </w:rPr>
            </w:pPr>
          </w:p>
        </w:tc>
      </w:tr>
    </w:tbl>
    <w:p w14:paraId="74D3D0A1" w14:textId="77777777" w:rsidR="00081B7A" w:rsidRPr="00363097" w:rsidRDefault="00081B7A" w:rsidP="00081B7A">
      <w:pPr>
        <w:rPr>
          <w:noProof/>
          <w:sz w:val="18"/>
          <w:lang w:val="en-IE"/>
        </w:rPr>
      </w:pPr>
      <w:r w:rsidRPr="00363097">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7CF7B6D5" w14:textId="77777777" w:rsidR="00081B7A" w:rsidRPr="00363097" w:rsidRDefault="00081B7A" w:rsidP="00081B7A">
      <w:pPr>
        <w:rPr>
          <w:noProof/>
          <w:sz w:val="18"/>
          <w:lang w:val="en-IE"/>
        </w:rPr>
        <w:sectPr w:rsidR="00081B7A" w:rsidRPr="00363097" w:rsidSect="008D52AB">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14:paraId="462DFD71" w14:textId="77777777" w:rsidR="00081B7A" w:rsidRPr="00363097" w:rsidRDefault="00081B7A" w:rsidP="00081B7A">
      <w:pPr>
        <w:pStyle w:val="ManualHeading4"/>
        <w:rPr>
          <w:bCs/>
          <w:noProof/>
          <w:szCs w:val="24"/>
        </w:rPr>
      </w:pPr>
      <w:bookmarkStart w:id="92" w:name="_Toc82C9CE6E4E1F470F8F09B4938A67F539"/>
      <w:r w:rsidRPr="00363097">
        <w:rPr>
          <w:noProof/>
        </w:rPr>
        <w:t>3.2.3.1.</w:t>
      </w:r>
      <w:r w:rsidRPr="00363097">
        <w:rPr>
          <w:noProof/>
        </w:rPr>
        <w:tab/>
        <w:t xml:space="preserve">Estimated requirements of human resources </w:t>
      </w:r>
      <w:bookmarkEnd w:id="92"/>
    </w:p>
    <w:p w14:paraId="6D60BFD3"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 xml:space="preserve">The proposal/initiative does not require the use of human resources. </w:t>
      </w:r>
    </w:p>
    <w:p w14:paraId="33ABF172" w14:textId="77777777" w:rsidR="00081B7A" w:rsidRPr="00363097" w:rsidRDefault="00081B7A" w:rsidP="00A9571C">
      <w:pPr>
        <w:pStyle w:val="ListDash1"/>
        <w:numPr>
          <w:ilvl w:val="0"/>
          <w:numId w:val="68"/>
        </w:numPr>
        <w:tabs>
          <w:tab w:val="num" w:pos="283"/>
        </w:tabs>
        <w:ind w:left="283" w:hanging="283"/>
        <w:rPr>
          <w:noProof/>
        </w:rPr>
      </w:pPr>
      <w:r w:rsidRPr="00363097">
        <w:rPr>
          <w:rFonts w:ascii="Wingdings" w:eastAsia="Wingdings" w:hAnsi="Wingdings" w:cs="Wingdings"/>
          <w:noProof/>
        </w:rPr>
        <w:t></w:t>
      </w:r>
      <w:r w:rsidRPr="00363097">
        <w:rPr>
          <w:noProof/>
        </w:rPr>
        <w:tab/>
        <w:t>The proposal/initiative requires the use of human resources, as explained below:</w:t>
      </w:r>
    </w:p>
    <w:p w14:paraId="665A7C8D" w14:textId="77777777" w:rsidR="00081B7A" w:rsidRPr="00363097" w:rsidRDefault="00081B7A" w:rsidP="00081B7A">
      <w:pPr>
        <w:spacing w:after="60"/>
        <w:jc w:val="right"/>
        <w:rPr>
          <w:i/>
          <w:noProof/>
          <w:sz w:val="20"/>
          <w:lang w:val="en-IE"/>
        </w:rPr>
      </w:pPr>
      <w:r w:rsidRPr="00363097">
        <w:rPr>
          <w:i/>
          <w:noProof/>
          <w:sz w:val="20"/>
          <w:lang w:val="en-IE"/>
        </w:rPr>
        <w:t>Estimate to be expressed in full time equivalent units</w:t>
      </w:r>
    </w:p>
    <w:tbl>
      <w:tblPr>
        <w:tblW w:w="106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gridCol w:w="731"/>
      </w:tblGrid>
      <w:tr w:rsidR="00363097" w:rsidRPr="00363097" w14:paraId="75632C6C" w14:textId="77777777">
        <w:trPr>
          <w:gridBefore w:val="1"/>
          <w:wBefore w:w="15" w:type="dxa"/>
          <w:trHeight w:val="289"/>
          <w:jc w:val="center"/>
        </w:trPr>
        <w:tc>
          <w:tcPr>
            <w:tcW w:w="4754" w:type="dxa"/>
            <w:gridSpan w:val="2"/>
            <w:shd w:val="clear" w:color="auto" w:fill="auto"/>
          </w:tcPr>
          <w:p w14:paraId="38691AC5" w14:textId="77777777" w:rsidR="00081B7A" w:rsidRPr="00363097" w:rsidRDefault="00081B7A">
            <w:pPr>
              <w:pStyle w:val="Text1"/>
              <w:spacing w:before="40" w:after="40"/>
              <w:ind w:left="0"/>
              <w:jc w:val="center"/>
              <w:rPr>
                <w:i/>
                <w:noProof/>
                <w:sz w:val="16"/>
                <w:szCs w:val="16"/>
              </w:rPr>
            </w:pPr>
          </w:p>
        </w:tc>
        <w:tc>
          <w:tcPr>
            <w:tcW w:w="731" w:type="dxa"/>
            <w:shd w:val="clear" w:color="auto" w:fill="auto"/>
            <w:vAlign w:val="center"/>
          </w:tcPr>
          <w:p w14:paraId="3334C079" w14:textId="77777777" w:rsidR="00081B7A" w:rsidRPr="00363097" w:rsidRDefault="00081B7A">
            <w:pPr>
              <w:spacing w:before="20" w:after="20"/>
              <w:jc w:val="center"/>
              <w:rPr>
                <w:noProof/>
                <w:sz w:val="16"/>
                <w:szCs w:val="16"/>
              </w:rPr>
            </w:pPr>
            <w:r w:rsidRPr="00363097">
              <w:rPr>
                <w:noProof/>
                <w:sz w:val="16"/>
              </w:rPr>
              <w:t>2025</w:t>
            </w:r>
          </w:p>
        </w:tc>
        <w:tc>
          <w:tcPr>
            <w:tcW w:w="731" w:type="dxa"/>
            <w:shd w:val="clear" w:color="auto" w:fill="auto"/>
            <w:vAlign w:val="center"/>
          </w:tcPr>
          <w:p w14:paraId="09C8B1AF" w14:textId="77777777" w:rsidR="00081B7A" w:rsidRPr="00363097" w:rsidRDefault="00081B7A">
            <w:pPr>
              <w:spacing w:before="20" w:after="20"/>
              <w:jc w:val="center"/>
              <w:rPr>
                <w:noProof/>
                <w:sz w:val="16"/>
                <w:szCs w:val="16"/>
              </w:rPr>
            </w:pPr>
            <w:r w:rsidRPr="00363097">
              <w:rPr>
                <w:noProof/>
                <w:sz w:val="16"/>
              </w:rPr>
              <w:t>2026</w:t>
            </w:r>
          </w:p>
        </w:tc>
        <w:tc>
          <w:tcPr>
            <w:tcW w:w="731" w:type="dxa"/>
            <w:shd w:val="clear" w:color="auto" w:fill="auto"/>
            <w:vAlign w:val="center"/>
          </w:tcPr>
          <w:p w14:paraId="7355443D" w14:textId="77777777" w:rsidR="00081B7A" w:rsidRPr="00363097" w:rsidRDefault="00081B7A">
            <w:pPr>
              <w:spacing w:before="20" w:after="20"/>
              <w:jc w:val="center"/>
              <w:rPr>
                <w:noProof/>
                <w:sz w:val="16"/>
                <w:szCs w:val="16"/>
              </w:rPr>
            </w:pPr>
            <w:r w:rsidRPr="00363097">
              <w:rPr>
                <w:noProof/>
                <w:sz w:val="16"/>
                <w:szCs w:val="16"/>
              </w:rPr>
              <w:t>2027</w:t>
            </w:r>
          </w:p>
        </w:tc>
        <w:tc>
          <w:tcPr>
            <w:tcW w:w="731" w:type="dxa"/>
            <w:shd w:val="clear" w:color="auto" w:fill="auto"/>
            <w:vAlign w:val="center"/>
          </w:tcPr>
          <w:p w14:paraId="2927C4CF" w14:textId="77777777" w:rsidR="00081B7A" w:rsidRPr="00363097" w:rsidRDefault="00081B7A">
            <w:pPr>
              <w:spacing w:before="20" w:after="20"/>
              <w:jc w:val="center"/>
              <w:rPr>
                <w:noProof/>
                <w:sz w:val="16"/>
                <w:szCs w:val="16"/>
              </w:rPr>
            </w:pPr>
          </w:p>
        </w:tc>
        <w:tc>
          <w:tcPr>
            <w:tcW w:w="2193" w:type="dxa"/>
            <w:gridSpan w:val="3"/>
            <w:shd w:val="clear" w:color="auto" w:fill="auto"/>
            <w:vAlign w:val="center"/>
          </w:tcPr>
          <w:p w14:paraId="75B5FB5C" w14:textId="77777777" w:rsidR="00081B7A" w:rsidRPr="00363097" w:rsidRDefault="00081B7A">
            <w:pPr>
              <w:jc w:val="center"/>
              <w:rPr>
                <w:b/>
                <w:noProof/>
                <w:sz w:val="16"/>
                <w:szCs w:val="16"/>
                <w:lang w:val="en-IE"/>
              </w:rPr>
            </w:pPr>
          </w:p>
        </w:tc>
        <w:tc>
          <w:tcPr>
            <w:tcW w:w="731" w:type="dxa"/>
            <w:vAlign w:val="center"/>
          </w:tcPr>
          <w:p w14:paraId="6178E12C" w14:textId="77777777" w:rsidR="00081B7A" w:rsidRPr="00363097" w:rsidRDefault="00081B7A">
            <w:pPr>
              <w:spacing w:before="0" w:after="200" w:line="276" w:lineRule="auto"/>
              <w:jc w:val="left"/>
              <w:rPr>
                <w:noProof/>
                <w:sz w:val="16"/>
                <w:szCs w:val="16"/>
              </w:rPr>
            </w:pPr>
          </w:p>
        </w:tc>
      </w:tr>
      <w:tr w:rsidR="00363097" w:rsidRPr="00363097" w14:paraId="7FE5DB30" w14:textId="77777777">
        <w:trPr>
          <w:gridBefore w:val="1"/>
          <w:gridAfter w:val="1"/>
          <w:wBefore w:w="15" w:type="dxa"/>
          <w:wAfter w:w="731" w:type="dxa"/>
          <w:trHeight w:val="289"/>
          <w:jc w:val="center"/>
        </w:trPr>
        <w:tc>
          <w:tcPr>
            <w:tcW w:w="9871" w:type="dxa"/>
            <w:gridSpan w:val="9"/>
            <w:shd w:val="clear" w:color="auto" w:fill="auto"/>
          </w:tcPr>
          <w:p w14:paraId="78AC2A76" w14:textId="77777777" w:rsidR="00081B7A" w:rsidRPr="00363097" w:rsidRDefault="00081B7A">
            <w:pPr>
              <w:jc w:val="left"/>
              <w:rPr>
                <w:noProof/>
                <w:sz w:val="16"/>
                <w:szCs w:val="16"/>
                <w:lang w:val="en-IE"/>
              </w:rPr>
            </w:pPr>
            <w:r w:rsidRPr="00363097">
              <w:rPr>
                <w:rFonts w:ascii="Wingdings" w:eastAsia="Wingdings" w:hAnsi="Wingdings" w:cs="Wingdings"/>
                <w:b/>
                <w:noProof/>
                <w:sz w:val="16"/>
              </w:rPr>
              <w:t>□</w:t>
            </w:r>
            <w:r w:rsidRPr="00363097">
              <w:rPr>
                <w:b/>
                <w:noProof/>
                <w:sz w:val="16"/>
                <w:lang w:val="en-IE"/>
              </w:rPr>
              <w:t xml:space="preserve"> Establishment plan posts (officials and temporary staff)</w:t>
            </w:r>
          </w:p>
        </w:tc>
      </w:tr>
      <w:tr w:rsidR="00363097" w:rsidRPr="00363097" w14:paraId="6151982D" w14:textId="77777777">
        <w:trPr>
          <w:gridBefore w:val="1"/>
          <w:gridAfter w:val="1"/>
          <w:wBefore w:w="15" w:type="dxa"/>
          <w:wAfter w:w="731" w:type="dxa"/>
          <w:trHeight w:val="289"/>
          <w:jc w:val="center"/>
        </w:trPr>
        <w:tc>
          <w:tcPr>
            <w:tcW w:w="4754" w:type="dxa"/>
            <w:gridSpan w:val="2"/>
            <w:shd w:val="clear" w:color="auto" w:fill="auto"/>
            <w:vAlign w:val="center"/>
          </w:tcPr>
          <w:p w14:paraId="3016B70D" w14:textId="77777777" w:rsidR="00081B7A" w:rsidRPr="00363097" w:rsidRDefault="00081B7A">
            <w:pPr>
              <w:pStyle w:val="Text1"/>
              <w:spacing w:beforeLines="20" w:before="48" w:afterLines="20" w:after="48"/>
              <w:ind w:left="134"/>
              <w:jc w:val="left"/>
              <w:rPr>
                <w:b/>
                <w:noProof/>
                <w:sz w:val="16"/>
                <w:szCs w:val="16"/>
              </w:rPr>
            </w:pPr>
            <w:r w:rsidRPr="00363097">
              <w:rPr>
                <w:noProof/>
                <w:sz w:val="16"/>
              </w:rPr>
              <w:t>20 01 02 01</w:t>
            </w:r>
            <w:r w:rsidRPr="00363097">
              <w:rPr>
                <w:rFonts w:ascii="Arial Narrow" w:hAnsi="Arial Narrow"/>
                <w:noProof/>
                <w:sz w:val="20"/>
                <w:szCs w:val="20"/>
              </w:rPr>
              <w:t xml:space="preserve"> </w:t>
            </w:r>
            <w:r w:rsidRPr="00363097">
              <w:rPr>
                <w:noProof/>
                <w:sz w:val="16"/>
              </w:rPr>
              <w:t>(Headquarters and Commission’s Representation Offices)</w:t>
            </w:r>
          </w:p>
        </w:tc>
        <w:tc>
          <w:tcPr>
            <w:tcW w:w="731" w:type="dxa"/>
            <w:shd w:val="clear" w:color="auto" w:fill="auto"/>
            <w:vAlign w:val="center"/>
          </w:tcPr>
          <w:p w14:paraId="727935E0" w14:textId="720A42C6" w:rsidR="00081B7A" w:rsidRPr="00363097" w:rsidRDefault="00081B7A">
            <w:pPr>
              <w:spacing w:beforeLines="20" w:before="48" w:afterLines="20" w:after="48"/>
              <w:jc w:val="center"/>
              <w:rPr>
                <w:noProof/>
                <w:sz w:val="16"/>
                <w:szCs w:val="16"/>
                <w:lang w:val="en-IE"/>
              </w:rPr>
            </w:pPr>
            <w:r w:rsidRPr="00363097">
              <w:rPr>
                <w:noProof/>
                <w:sz w:val="16"/>
                <w:szCs w:val="16"/>
                <w:lang w:val="en-IE"/>
              </w:rPr>
              <w:t>0</w:t>
            </w:r>
            <w:r w:rsidR="00493C93">
              <w:rPr>
                <w:noProof/>
                <w:sz w:val="16"/>
                <w:szCs w:val="16"/>
                <w:lang w:val="en-IE"/>
              </w:rPr>
              <w:t>,</w:t>
            </w:r>
            <w:r w:rsidRPr="00363097">
              <w:rPr>
                <w:noProof/>
                <w:sz w:val="16"/>
                <w:szCs w:val="16"/>
                <w:lang w:val="en-IE"/>
              </w:rPr>
              <w:t>2</w:t>
            </w:r>
          </w:p>
        </w:tc>
        <w:tc>
          <w:tcPr>
            <w:tcW w:w="731" w:type="dxa"/>
            <w:shd w:val="clear" w:color="auto" w:fill="auto"/>
            <w:vAlign w:val="center"/>
          </w:tcPr>
          <w:p w14:paraId="2F14CF82" w14:textId="0EB0A696" w:rsidR="00081B7A" w:rsidRPr="00363097" w:rsidRDefault="00081B7A">
            <w:pPr>
              <w:spacing w:beforeLines="20" w:before="48" w:afterLines="20" w:after="48"/>
              <w:jc w:val="center"/>
              <w:rPr>
                <w:noProof/>
                <w:sz w:val="16"/>
                <w:szCs w:val="16"/>
                <w:lang w:val="en-IE"/>
              </w:rPr>
            </w:pPr>
            <w:r w:rsidRPr="00363097">
              <w:rPr>
                <w:noProof/>
                <w:sz w:val="16"/>
                <w:szCs w:val="16"/>
                <w:lang w:val="en-IE"/>
              </w:rPr>
              <w:t>0</w:t>
            </w:r>
            <w:r w:rsidR="00493C93">
              <w:rPr>
                <w:noProof/>
                <w:sz w:val="16"/>
                <w:szCs w:val="16"/>
                <w:lang w:val="en-IE"/>
              </w:rPr>
              <w:t>,</w:t>
            </w:r>
            <w:r w:rsidRPr="00363097">
              <w:rPr>
                <w:noProof/>
                <w:sz w:val="16"/>
                <w:szCs w:val="16"/>
                <w:lang w:val="en-IE"/>
              </w:rPr>
              <w:t>1</w:t>
            </w:r>
          </w:p>
        </w:tc>
        <w:tc>
          <w:tcPr>
            <w:tcW w:w="731" w:type="dxa"/>
            <w:shd w:val="clear" w:color="auto" w:fill="auto"/>
            <w:vAlign w:val="center"/>
          </w:tcPr>
          <w:p w14:paraId="4C696EE4" w14:textId="29F37753" w:rsidR="00081B7A" w:rsidRPr="00363097" w:rsidRDefault="00081B7A">
            <w:pPr>
              <w:spacing w:beforeLines="20" w:before="48" w:afterLines="20" w:after="48"/>
              <w:jc w:val="center"/>
              <w:rPr>
                <w:noProof/>
                <w:sz w:val="16"/>
                <w:szCs w:val="16"/>
                <w:lang w:val="en-IE"/>
              </w:rPr>
            </w:pPr>
            <w:r w:rsidRPr="00363097">
              <w:rPr>
                <w:noProof/>
                <w:sz w:val="16"/>
                <w:szCs w:val="16"/>
                <w:lang w:val="en-IE"/>
              </w:rPr>
              <w:t>0</w:t>
            </w:r>
            <w:r w:rsidR="00493C93">
              <w:rPr>
                <w:noProof/>
                <w:sz w:val="16"/>
                <w:szCs w:val="16"/>
                <w:lang w:val="en-IE"/>
              </w:rPr>
              <w:t>,</w:t>
            </w:r>
            <w:r w:rsidRPr="00363097">
              <w:rPr>
                <w:noProof/>
                <w:sz w:val="16"/>
                <w:szCs w:val="16"/>
                <w:lang w:val="en-IE"/>
              </w:rPr>
              <w:t>1</w:t>
            </w:r>
          </w:p>
        </w:tc>
        <w:tc>
          <w:tcPr>
            <w:tcW w:w="731" w:type="dxa"/>
            <w:shd w:val="clear" w:color="auto" w:fill="auto"/>
            <w:vAlign w:val="center"/>
          </w:tcPr>
          <w:p w14:paraId="03CFF14E"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5B68F3F5"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6463E7CD"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67C08F98" w14:textId="77777777" w:rsidR="00081B7A" w:rsidRPr="00363097" w:rsidRDefault="00081B7A">
            <w:pPr>
              <w:spacing w:beforeLines="20" w:before="48" w:afterLines="20" w:after="48"/>
              <w:jc w:val="center"/>
              <w:rPr>
                <w:noProof/>
                <w:sz w:val="16"/>
                <w:szCs w:val="16"/>
                <w:lang w:val="en-IE"/>
              </w:rPr>
            </w:pPr>
          </w:p>
        </w:tc>
      </w:tr>
      <w:tr w:rsidR="00363097" w:rsidRPr="00363097" w14:paraId="5E60B90D" w14:textId="77777777">
        <w:trPr>
          <w:gridBefore w:val="1"/>
          <w:gridAfter w:val="1"/>
          <w:wBefore w:w="15" w:type="dxa"/>
          <w:wAfter w:w="731" w:type="dxa"/>
          <w:trHeight w:val="289"/>
          <w:jc w:val="center"/>
        </w:trPr>
        <w:tc>
          <w:tcPr>
            <w:tcW w:w="4754" w:type="dxa"/>
            <w:gridSpan w:val="2"/>
            <w:shd w:val="clear" w:color="auto" w:fill="auto"/>
            <w:vAlign w:val="center"/>
          </w:tcPr>
          <w:p w14:paraId="1247EE03" w14:textId="77777777" w:rsidR="00081B7A" w:rsidRPr="00363097" w:rsidRDefault="00081B7A">
            <w:pPr>
              <w:pStyle w:val="Text1"/>
              <w:spacing w:beforeLines="20" w:before="48" w:afterLines="20" w:after="48"/>
              <w:ind w:left="134"/>
              <w:jc w:val="left"/>
              <w:rPr>
                <w:noProof/>
                <w:sz w:val="16"/>
              </w:rPr>
            </w:pPr>
            <w:r w:rsidRPr="00363097">
              <w:rPr>
                <w:noProof/>
                <w:sz w:val="16"/>
              </w:rPr>
              <w:t>20 01 02 03 (Delegations)</w:t>
            </w:r>
          </w:p>
        </w:tc>
        <w:tc>
          <w:tcPr>
            <w:tcW w:w="731" w:type="dxa"/>
            <w:shd w:val="clear" w:color="auto" w:fill="auto"/>
            <w:vAlign w:val="center"/>
          </w:tcPr>
          <w:p w14:paraId="6C829FA3"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6A33130B"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46E7D50"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5DCA4A9D"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349D6019"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147C6A9D"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412C01D" w14:textId="77777777" w:rsidR="00081B7A" w:rsidRPr="00363097" w:rsidRDefault="00081B7A">
            <w:pPr>
              <w:spacing w:beforeLines="20" w:before="48" w:afterLines="20" w:after="48"/>
              <w:jc w:val="center"/>
              <w:rPr>
                <w:noProof/>
                <w:sz w:val="16"/>
                <w:szCs w:val="16"/>
              </w:rPr>
            </w:pPr>
          </w:p>
        </w:tc>
      </w:tr>
      <w:tr w:rsidR="00363097" w:rsidRPr="00363097" w14:paraId="3DABA5DD" w14:textId="77777777">
        <w:trPr>
          <w:gridBefore w:val="1"/>
          <w:gridAfter w:val="1"/>
          <w:wBefore w:w="15" w:type="dxa"/>
          <w:wAfter w:w="731" w:type="dxa"/>
          <w:trHeight w:val="289"/>
          <w:jc w:val="center"/>
        </w:trPr>
        <w:tc>
          <w:tcPr>
            <w:tcW w:w="4754" w:type="dxa"/>
            <w:gridSpan w:val="2"/>
            <w:shd w:val="clear" w:color="auto" w:fill="auto"/>
            <w:vAlign w:val="center"/>
          </w:tcPr>
          <w:p w14:paraId="3FA8217B" w14:textId="77777777" w:rsidR="00081B7A" w:rsidRPr="00363097" w:rsidRDefault="00081B7A">
            <w:pPr>
              <w:pStyle w:val="Text1"/>
              <w:spacing w:beforeLines="20" w:before="48" w:afterLines="20" w:after="48"/>
              <w:ind w:left="134"/>
              <w:jc w:val="left"/>
              <w:rPr>
                <w:noProof/>
                <w:sz w:val="16"/>
                <w:szCs w:val="16"/>
              </w:rPr>
            </w:pPr>
            <w:r w:rsidRPr="00363097">
              <w:rPr>
                <w:noProof/>
                <w:sz w:val="16"/>
              </w:rPr>
              <w:t>01 01 01 01</w:t>
            </w:r>
            <w:r w:rsidR="003A7C43">
              <w:rPr>
                <w:rFonts w:ascii="Arial Narrow" w:hAnsi="Arial Narrow"/>
                <w:noProof/>
                <w:sz w:val="20"/>
                <w:szCs w:val="20"/>
              </w:rPr>
              <w:t xml:space="preserve"> </w:t>
            </w:r>
            <w:r w:rsidRPr="00363097">
              <w:rPr>
                <w:noProof/>
                <w:sz w:val="16"/>
              </w:rPr>
              <w:t>Indirect research)</w:t>
            </w:r>
          </w:p>
        </w:tc>
        <w:tc>
          <w:tcPr>
            <w:tcW w:w="731" w:type="dxa"/>
            <w:shd w:val="clear" w:color="auto" w:fill="auto"/>
            <w:vAlign w:val="center"/>
          </w:tcPr>
          <w:p w14:paraId="30194BE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55814C5C"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5C5B39CA"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32C4E874"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7167D76"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4D7F11B"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2B497F76" w14:textId="77777777" w:rsidR="00081B7A" w:rsidRPr="00363097" w:rsidRDefault="00081B7A">
            <w:pPr>
              <w:spacing w:beforeLines="20" w:before="48" w:afterLines="20" w:after="48"/>
              <w:jc w:val="center"/>
              <w:rPr>
                <w:noProof/>
                <w:sz w:val="16"/>
                <w:szCs w:val="16"/>
              </w:rPr>
            </w:pPr>
          </w:p>
        </w:tc>
      </w:tr>
      <w:tr w:rsidR="00363097" w:rsidRPr="00363097" w14:paraId="3C881721" w14:textId="77777777">
        <w:trPr>
          <w:gridBefore w:val="1"/>
          <w:gridAfter w:val="1"/>
          <w:wBefore w:w="15" w:type="dxa"/>
          <w:wAfter w:w="731" w:type="dxa"/>
          <w:trHeight w:val="289"/>
          <w:jc w:val="center"/>
        </w:trPr>
        <w:tc>
          <w:tcPr>
            <w:tcW w:w="4754" w:type="dxa"/>
            <w:gridSpan w:val="2"/>
            <w:shd w:val="clear" w:color="auto" w:fill="auto"/>
            <w:vAlign w:val="center"/>
          </w:tcPr>
          <w:p w14:paraId="7D06DA82" w14:textId="77777777" w:rsidR="00081B7A" w:rsidRPr="00363097" w:rsidRDefault="00081B7A">
            <w:pPr>
              <w:pStyle w:val="Text1"/>
              <w:spacing w:beforeLines="20" w:before="48" w:afterLines="20" w:after="48"/>
              <w:ind w:left="134"/>
              <w:jc w:val="left"/>
              <w:rPr>
                <w:noProof/>
                <w:sz w:val="16"/>
                <w:szCs w:val="16"/>
              </w:rPr>
            </w:pPr>
            <w:r w:rsidRPr="00363097">
              <w:rPr>
                <w:noProof/>
                <w:sz w:val="16"/>
              </w:rPr>
              <w:t>01 01 01 11 (Direct research)</w:t>
            </w:r>
          </w:p>
        </w:tc>
        <w:tc>
          <w:tcPr>
            <w:tcW w:w="731" w:type="dxa"/>
            <w:shd w:val="clear" w:color="auto" w:fill="auto"/>
            <w:vAlign w:val="center"/>
          </w:tcPr>
          <w:p w14:paraId="0AF9BB8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299B8E6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FB2918E"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1086DEC3"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211CA114"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625C459E"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8E7B7F0" w14:textId="77777777" w:rsidR="00081B7A" w:rsidRPr="00363097" w:rsidRDefault="00081B7A">
            <w:pPr>
              <w:spacing w:beforeLines="20" w:before="48" w:afterLines="20" w:after="48"/>
              <w:jc w:val="center"/>
              <w:rPr>
                <w:noProof/>
                <w:sz w:val="16"/>
                <w:szCs w:val="16"/>
              </w:rPr>
            </w:pPr>
          </w:p>
        </w:tc>
      </w:tr>
      <w:tr w:rsidR="00363097" w:rsidRPr="00363097" w14:paraId="1E387433" w14:textId="77777777">
        <w:trPr>
          <w:gridBefore w:val="1"/>
          <w:gridAfter w:val="1"/>
          <w:wBefore w:w="15" w:type="dxa"/>
          <w:wAfter w:w="731" w:type="dxa"/>
          <w:trHeight w:val="289"/>
          <w:jc w:val="center"/>
        </w:trPr>
        <w:tc>
          <w:tcPr>
            <w:tcW w:w="4754" w:type="dxa"/>
            <w:gridSpan w:val="2"/>
            <w:shd w:val="clear" w:color="auto" w:fill="auto"/>
            <w:vAlign w:val="center"/>
          </w:tcPr>
          <w:p w14:paraId="4BEC1585" w14:textId="77777777" w:rsidR="00081B7A" w:rsidRPr="00363097" w:rsidRDefault="00081B7A">
            <w:pPr>
              <w:pStyle w:val="Text1"/>
              <w:spacing w:beforeLines="20" w:before="48" w:afterLines="20" w:after="48"/>
              <w:ind w:left="134"/>
              <w:jc w:val="left"/>
              <w:rPr>
                <w:noProof/>
                <w:sz w:val="16"/>
              </w:rPr>
            </w:pPr>
            <w:r w:rsidRPr="00363097">
              <w:rPr>
                <w:noProof/>
                <w:sz w:val="16"/>
              </w:rPr>
              <w:t>Other budget lines (specify)</w:t>
            </w:r>
          </w:p>
        </w:tc>
        <w:tc>
          <w:tcPr>
            <w:tcW w:w="731" w:type="dxa"/>
            <w:shd w:val="clear" w:color="auto" w:fill="auto"/>
            <w:vAlign w:val="center"/>
          </w:tcPr>
          <w:p w14:paraId="3B026290"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658C009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6FF3EE7"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91CF78A"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775137E1"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1D9AF46"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1725BFB6" w14:textId="77777777" w:rsidR="00081B7A" w:rsidRPr="00363097" w:rsidRDefault="00081B7A">
            <w:pPr>
              <w:spacing w:beforeLines="20" w:before="48" w:afterLines="20" w:after="48"/>
              <w:jc w:val="center"/>
              <w:rPr>
                <w:noProof/>
                <w:sz w:val="16"/>
                <w:szCs w:val="16"/>
              </w:rPr>
            </w:pPr>
          </w:p>
        </w:tc>
      </w:tr>
      <w:tr w:rsidR="00363097" w:rsidRPr="00363097" w14:paraId="343D76F3" w14:textId="77777777">
        <w:trPr>
          <w:gridAfter w:val="1"/>
          <w:wAfter w:w="731" w:type="dxa"/>
          <w:trHeight w:val="248"/>
          <w:jc w:val="center"/>
        </w:trPr>
        <w:tc>
          <w:tcPr>
            <w:tcW w:w="9886" w:type="dxa"/>
            <w:gridSpan w:val="10"/>
            <w:shd w:val="clear" w:color="auto" w:fill="auto"/>
            <w:vAlign w:val="center"/>
          </w:tcPr>
          <w:p w14:paraId="76CE9327" w14:textId="77777777" w:rsidR="00081B7A" w:rsidRPr="00363097" w:rsidRDefault="00081B7A">
            <w:pPr>
              <w:pStyle w:val="Text1"/>
              <w:spacing w:before="60" w:after="60"/>
              <w:ind w:left="0"/>
              <w:jc w:val="left"/>
              <w:rPr>
                <w:b/>
                <w:noProof/>
                <w:sz w:val="16"/>
                <w:szCs w:val="16"/>
              </w:rPr>
            </w:pPr>
            <w:r w:rsidRPr="00363097">
              <w:rPr>
                <w:rFonts w:ascii="Wingdings" w:eastAsia="Wingdings" w:hAnsi="Wingdings" w:cs="Wingdings"/>
                <w:b/>
                <w:noProof/>
                <w:sz w:val="16"/>
              </w:rPr>
              <w:t>□</w:t>
            </w:r>
            <w:r w:rsidRPr="00363097">
              <w:rPr>
                <w:b/>
                <w:noProof/>
                <w:sz w:val="16"/>
              </w:rPr>
              <w:t xml:space="preserve"> External staff (in Full Time Equivalent unit: FTE)</w:t>
            </w:r>
            <w:r w:rsidRPr="00363097">
              <w:rPr>
                <w:rStyle w:val="FootnoteReference0"/>
                <w:b/>
                <w:noProof/>
                <w:sz w:val="16"/>
              </w:rPr>
              <w:footnoteReference w:id="50"/>
            </w:r>
          </w:p>
          <w:p w14:paraId="6DF03C12" w14:textId="77777777" w:rsidR="00081B7A" w:rsidRPr="00363097" w:rsidRDefault="00081B7A">
            <w:pPr>
              <w:pStyle w:val="Text1"/>
              <w:spacing w:before="0" w:after="0"/>
              <w:ind w:left="0"/>
              <w:jc w:val="left"/>
              <w:rPr>
                <w:noProof/>
                <w:sz w:val="16"/>
                <w:szCs w:val="16"/>
              </w:rPr>
            </w:pPr>
          </w:p>
        </w:tc>
      </w:tr>
      <w:tr w:rsidR="00363097" w:rsidRPr="00363097" w14:paraId="0921DBCF" w14:textId="77777777">
        <w:trPr>
          <w:gridBefore w:val="1"/>
          <w:gridAfter w:val="1"/>
          <w:wBefore w:w="15" w:type="dxa"/>
          <w:wAfter w:w="731" w:type="dxa"/>
          <w:trHeight w:val="289"/>
          <w:jc w:val="center"/>
        </w:trPr>
        <w:tc>
          <w:tcPr>
            <w:tcW w:w="4754" w:type="dxa"/>
            <w:gridSpan w:val="2"/>
            <w:shd w:val="clear" w:color="auto" w:fill="auto"/>
            <w:vAlign w:val="center"/>
          </w:tcPr>
          <w:p w14:paraId="35091E39" w14:textId="77777777" w:rsidR="00081B7A" w:rsidRPr="00363097" w:rsidRDefault="00081B7A">
            <w:pPr>
              <w:pStyle w:val="Text1"/>
              <w:spacing w:beforeLines="20" w:before="48" w:afterLines="20" w:after="48"/>
              <w:ind w:left="136"/>
              <w:jc w:val="left"/>
              <w:rPr>
                <w:b/>
                <w:noProof/>
                <w:sz w:val="16"/>
                <w:szCs w:val="16"/>
              </w:rPr>
            </w:pPr>
            <w:r w:rsidRPr="00363097">
              <w:rPr>
                <w:noProof/>
                <w:sz w:val="16"/>
              </w:rPr>
              <w:t>20 02 01</w:t>
            </w:r>
            <w:r w:rsidRPr="00363097">
              <w:rPr>
                <w:rFonts w:ascii="Arial Narrow" w:hAnsi="Arial Narrow"/>
                <w:noProof/>
                <w:sz w:val="20"/>
                <w:szCs w:val="20"/>
              </w:rPr>
              <w:t xml:space="preserve"> </w:t>
            </w:r>
            <w:r w:rsidRPr="00363097">
              <w:rPr>
                <w:noProof/>
                <w:sz w:val="16"/>
              </w:rPr>
              <w:t>(AC, END, INT from the ‘global envelope’)</w:t>
            </w:r>
          </w:p>
        </w:tc>
        <w:tc>
          <w:tcPr>
            <w:tcW w:w="731" w:type="dxa"/>
            <w:shd w:val="clear" w:color="auto" w:fill="auto"/>
            <w:vAlign w:val="center"/>
          </w:tcPr>
          <w:p w14:paraId="39D9314C"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5C44FA1D"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5D3C0BA4"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63977C00"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457CFBA5"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66CEB524"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23081BDE" w14:textId="77777777" w:rsidR="00081B7A" w:rsidRPr="00363097" w:rsidRDefault="00081B7A">
            <w:pPr>
              <w:spacing w:beforeLines="20" w:before="48" w:afterLines="20" w:after="48"/>
              <w:jc w:val="center"/>
              <w:rPr>
                <w:noProof/>
                <w:sz w:val="16"/>
                <w:szCs w:val="16"/>
                <w:lang w:val="en-IE"/>
              </w:rPr>
            </w:pPr>
          </w:p>
        </w:tc>
      </w:tr>
      <w:tr w:rsidR="00363097" w:rsidRPr="00363097" w14:paraId="5C44C2AB" w14:textId="77777777">
        <w:trPr>
          <w:gridBefore w:val="1"/>
          <w:gridAfter w:val="1"/>
          <w:wBefore w:w="15" w:type="dxa"/>
          <w:wAfter w:w="731" w:type="dxa"/>
          <w:trHeight w:val="289"/>
          <w:jc w:val="center"/>
        </w:trPr>
        <w:tc>
          <w:tcPr>
            <w:tcW w:w="4754" w:type="dxa"/>
            <w:gridSpan w:val="2"/>
            <w:shd w:val="clear" w:color="auto" w:fill="auto"/>
            <w:vAlign w:val="center"/>
          </w:tcPr>
          <w:p w14:paraId="72FA449A" w14:textId="77777777" w:rsidR="00081B7A" w:rsidRPr="00363097" w:rsidRDefault="00081B7A">
            <w:pPr>
              <w:pStyle w:val="Text1"/>
              <w:spacing w:beforeLines="20" w:before="48" w:afterLines="20" w:after="48"/>
              <w:ind w:left="136"/>
              <w:jc w:val="left"/>
              <w:rPr>
                <w:noProof/>
                <w:sz w:val="16"/>
              </w:rPr>
            </w:pPr>
            <w:r w:rsidRPr="00363097">
              <w:rPr>
                <w:noProof/>
                <w:sz w:val="16"/>
              </w:rPr>
              <w:t>20 02 03 (AC, AL, END, INT and JPD in the delegations)</w:t>
            </w:r>
          </w:p>
        </w:tc>
        <w:tc>
          <w:tcPr>
            <w:tcW w:w="731" w:type="dxa"/>
            <w:shd w:val="clear" w:color="auto" w:fill="auto"/>
            <w:vAlign w:val="center"/>
          </w:tcPr>
          <w:p w14:paraId="0626AED3"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150D9744"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4570D189"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142359B3"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2B34F535"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29AFA92E"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52FA02A8" w14:textId="77777777" w:rsidR="00081B7A" w:rsidRPr="00363097" w:rsidRDefault="00081B7A">
            <w:pPr>
              <w:spacing w:beforeLines="20" w:before="48" w:afterLines="20" w:after="48"/>
              <w:jc w:val="center"/>
              <w:rPr>
                <w:noProof/>
                <w:sz w:val="16"/>
                <w:szCs w:val="16"/>
                <w:lang w:val="en-IE"/>
              </w:rPr>
            </w:pPr>
          </w:p>
        </w:tc>
      </w:tr>
      <w:tr w:rsidR="00363097" w:rsidRPr="00363097" w14:paraId="668BA1B4" w14:textId="77777777">
        <w:trPr>
          <w:gridBefore w:val="1"/>
          <w:gridAfter w:val="1"/>
          <w:wBefore w:w="15" w:type="dxa"/>
          <w:wAfter w:w="731" w:type="dxa"/>
          <w:trHeight w:val="289"/>
          <w:jc w:val="center"/>
        </w:trPr>
        <w:tc>
          <w:tcPr>
            <w:tcW w:w="2376" w:type="dxa"/>
            <w:vMerge w:val="restart"/>
            <w:shd w:val="clear" w:color="auto" w:fill="auto"/>
            <w:vAlign w:val="center"/>
          </w:tcPr>
          <w:p w14:paraId="54ECF994" w14:textId="77777777" w:rsidR="00081B7A" w:rsidRPr="00812D70" w:rsidRDefault="00081B7A" w:rsidP="00812D70">
            <w:pPr>
              <w:pStyle w:val="Text1"/>
              <w:spacing w:beforeLines="20" w:before="48" w:afterLines="20" w:after="48"/>
              <w:ind w:left="136"/>
              <w:jc w:val="left"/>
              <w:rPr>
                <w:noProof/>
                <w:sz w:val="16"/>
                <w:szCs w:val="16"/>
              </w:rPr>
            </w:pPr>
            <w:r w:rsidRPr="00363097">
              <w:rPr>
                <w:b/>
                <w:noProof/>
                <w:sz w:val="16"/>
                <w:szCs w:val="16"/>
              </w:rPr>
              <w:t>XX</w:t>
            </w:r>
            <w:r w:rsidRPr="00363097">
              <w:rPr>
                <w:noProof/>
                <w:sz w:val="16"/>
                <w:szCs w:val="16"/>
              </w:rPr>
              <w:t xml:space="preserve"> 01</w:t>
            </w:r>
            <w:r w:rsidR="003A7C43">
              <w:rPr>
                <w:noProof/>
                <w:sz w:val="16"/>
                <w:szCs w:val="16"/>
              </w:rPr>
              <w:t xml:space="preserve"> </w:t>
            </w:r>
            <w:r w:rsidRPr="00363097">
              <w:rPr>
                <w:noProof/>
                <w:sz w:val="16"/>
                <w:szCs w:val="16"/>
              </w:rPr>
              <w:t xml:space="preserve">xx </w:t>
            </w:r>
            <w:r w:rsidRPr="00363097">
              <w:rPr>
                <w:b/>
                <w:noProof/>
                <w:sz w:val="16"/>
                <w:szCs w:val="16"/>
              </w:rPr>
              <w:t>yy zz</w:t>
            </w:r>
            <w:r w:rsidRPr="006A741D">
              <w:rPr>
                <w:rStyle w:val="FootnoteReference0"/>
                <w:b/>
                <w:noProof/>
                <w:sz w:val="16"/>
              </w:rPr>
              <w:footnoteReference w:id="51"/>
            </w:r>
          </w:p>
          <w:p w14:paraId="222F8C57" w14:textId="77777777" w:rsidR="00081B7A" w:rsidRPr="00363097" w:rsidRDefault="00081B7A">
            <w:pPr>
              <w:pStyle w:val="Text1"/>
              <w:spacing w:beforeLines="20" w:before="48" w:afterLines="20" w:after="48"/>
              <w:ind w:left="136"/>
              <w:jc w:val="left"/>
              <w:rPr>
                <w:b/>
                <w:noProof/>
                <w:sz w:val="16"/>
                <w:szCs w:val="16"/>
              </w:rPr>
            </w:pPr>
          </w:p>
        </w:tc>
        <w:tc>
          <w:tcPr>
            <w:tcW w:w="2378" w:type="dxa"/>
            <w:shd w:val="clear" w:color="auto" w:fill="auto"/>
            <w:vAlign w:val="center"/>
          </w:tcPr>
          <w:p w14:paraId="1527BCD3" w14:textId="77777777" w:rsidR="00081B7A" w:rsidRPr="00363097" w:rsidRDefault="00081B7A">
            <w:pPr>
              <w:pStyle w:val="Text1"/>
              <w:spacing w:beforeLines="20" w:before="48" w:afterLines="20" w:after="48"/>
              <w:ind w:left="136"/>
              <w:jc w:val="left"/>
              <w:rPr>
                <w:b/>
                <w:noProof/>
                <w:sz w:val="16"/>
                <w:szCs w:val="16"/>
              </w:rPr>
            </w:pPr>
            <w:r w:rsidRPr="00363097">
              <w:rPr>
                <w:noProof/>
                <w:sz w:val="16"/>
              </w:rPr>
              <w:t>- at Headquarters</w:t>
            </w:r>
          </w:p>
          <w:p w14:paraId="3083AE9D" w14:textId="77777777" w:rsidR="00081B7A" w:rsidRPr="00363097" w:rsidRDefault="00081B7A">
            <w:pPr>
              <w:pStyle w:val="Text1"/>
              <w:spacing w:beforeLines="20" w:before="48" w:afterLines="20" w:after="48"/>
              <w:ind w:left="136"/>
              <w:jc w:val="left"/>
              <w:rPr>
                <w:b/>
                <w:noProof/>
                <w:sz w:val="16"/>
                <w:szCs w:val="16"/>
              </w:rPr>
            </w:pPr>
          </w:p>
        </w:tc>
        <w:tc>
          <w:tcPr>
            <w:tcW w:w="731" w:type="dxa"/>
            <w:shd w:val="clear" w:color="auto" w:fill="auto"/>
            <w:vAlign w:val="center"/>
          </w:tcPr>
          <w:p w14:paraId="46CE8D35" w14:textId="77777777" w:rsidR="00081B7A" w:rsidRPr="00363097" w:rsidRDefault="00081B7A">
            <w:pPr>
              <w:pStyle w:val="Text1"/>
              <w:spacing w:beforeLines="20" w:before="48" w:afterLines="20" w:after="48"/>
              <w:ind w:left="0"/>
              <w:rPr>
                <w:noProof/>
                <w:sz w:val="16"/>
                <w:szCs w:val="16"/>
              </w:rPr>
            </w:pPr>
          </w:p>
        </w:tc>
        <w:tc>
          <w:tcPr>
            <w:tcW w:w="731" w:type="dxa"/>
            <w:shd w:val="clear" w:color="auto" w:fill="auto"/>
            <w:vAlign w:val="center"/>
          </w:tcPr>
          <w:p w14:paraId="7D0C11BA"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531106DA"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F40C3D1"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2A514FA"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12226B74"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4D80F033" w14:textId="77777777" w:rsidR="00081B7A" w:rsidRPr="00363097" w:rsidRDefault="00081B7A">
            <w:pPr>
              <w:spacing w:beforeLines="20" w:before="48" w:afterLines="20" w:after="48"/>
              <w:jc w:val="center"/>
              <w:rPr>
                <w:noProof/>
                <w:sz w:val="16"/>
                <w:szCs w:val="16"/>
              </w:rPr>
            </w:pPr>
          </w:p>
        </w:tc>
      </w:tr>
      <w:tr w:rsidR="00363097" w:rsidRPr="00363097" w14:paraId="538ED8D1" w14:textId="77777777">
        <w:trPr>
          <w:gridBefore w:val="1"/>
          <w:gridAfter w:val="1"/>
          <w:wBefore w:w="15" w:type="dxa"/>
          <w:wAfter w:w="731" w:type="dxa"/>
          <w:trHeight w:val="289"/>
          <w:jc w:val="center"/>
        </w:trPr>
        <w:tc>
          <w:tcPr>
            <w:tcW w:w="2376" w:type="dxa"/>
            <w:vMerge/>
            <w:shd w:val="clear" w:color="auto" w:fill="auto"/>
            <w:vAlign w:val="center"/>
          </w:tcPr>
          <w:p w14:paraId="15C753AE" w14:textId="77777777" w:rsidR="00081B7A" w:rsidRPr="00363097" w:rsidRDefault="00081B7A">
            <w:pPr>
              <w:pStyle w:val="Text1"/>
              <w:spacing w:beforeLines="20" w:before="48" w:afterLines="20" w:after="48"/>
              <w:ind w:left="136"/>
              <w:jc w:val="left"/>
              <w:rPr>
                <w:b/>
                <w:noProof/>
                <w:sz w:val="16"/>
                <w:szCs w:val="16"/>
              </w:rPr>
            </w:pPr>
          </w:p>
        </w:tc>
        <w:tc>
          <w:tcPr>
            <w:tcW w:w="2378" w:type="dxa"/>
            <w:shd w:val="clear" w:color="auto" w:fill="auto"/>
            <w:vAlign w:val="center"/>
          </w:tcPr>
          <w:p w14:paraId="1AE1F329" w14:textId="77777777" w:rsidR="00081B7A" w:rsidRPr="00363097" w:rsidRDefault="00081B7A">
            <w:pPr>
              <w:pStyle w:val="Text1"/>
              <w:spacing w:beforeLines="20" w:before="48" w:afterLines="20" w:after="48"/>
              <w:ind w:left="136"/>
              <w:jc w:val="left"/>
              <w:rPr>
                <w:b/>
                <w:noProof/>
                <w:sz w:val="16"/>
                <w:szCs w:val="16"/>
              </w:rPr>
            </w:pPr>
            <w:r w:rsidRPr="00363097">
              <w:rPr>
                <w:noProof/>
                <w:sz w:val="16"/>
              </w:rPr>
              <w:t xml:space="preserve">- in Delegations </w:t>
            </w:r>
          </w:p>
        </w:tc>
        <w:tc>
          <w:tcPr>
            <w:tcW w:w="731" w:type="dxa"/>
            <w:shd w:val="clear" w:color="auto" w:fill="auto"/>
            <w:vAlign w:val="center"/>
          </w:tcPr>
          <w:p w14:paraId="693A212B" w14:textId="77777777" w:rsidR="00081B7A" w:rsidRPr="00363097" w:rsidRDefault="00081B7A">
            <w:pPr>
              <w:pStyle w:val="Text1"/>
              <w:spacing w:beforeLines="20" w:before="48" w:afterLines="20" w:after="48"/>
              <w:ind w:left="0"/>
              <w:rPr>
                <w:noProof/>
                <w:sz w:val="16"/>
                <w:szCs w:val="16"/>
              </w:rPr>
            </w:pPr>
          </w:p>
        </w:tc>
        <w:tc>
          <w:tcPr>
            <w:tcW w:w="731" w:type="dxa"/>
            <w:shd w:val="clear" w:color="auto" w:fill="auto"/>
            <w:vAlign w:val="center"/>
          </w:tcPr>
          <w:p w14:paraId="76174E14"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771B3ED6"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6B46956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DDE3510"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20A6538C"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27DFE632" w14:textId="77777777" w:rsidR="00081B7A" w:rsidRPr="00363097" w:rsidRDefault="00081B7A">
            <w:pPr>
              <w:spacing w:beforeLines="20" w:before="48" w:afterLines="20" w:after="48"/>
              <w:jc w:val="center"/>
              <w:rPr>
                <w:noProof/>
                <w:sz w:val="16"/>
                <w:szCs w:val="16"/>
              </w:rPr>
            </w:pPr>
          </w:p>
        </w:tc>
      </w:tr>
      <w:tr w:rsidR="00363097" w:rsidRPr="00363097" w14:paraId="2B5152A5" w14:textId="77777777">
        <w:trPr>
          <w:gridBefore w:val="1"/>
          <w:gridAfter w:val="1"/>
          <w:wBefore w:w="15" w:type="dxa"/>
          <w:wAfter w:w="731" w:type="dxa"/>
          <w:trHeight w:val="289"/>
          <w:jc w:val="center"/>
        </w:trPr>
        <w:tc>
          <w:tcPr>
            <w:tcW w:w="4754" w:type="dxa"/>
            <w:gridSpan w:val="2"/>
            <w:shd w:val="clear" w:color="auto" w:fill="auto"/>
            <w:vAlign w:val="center"/>
          </w:tcPr>
          <w:p w14:paraId="2A209CCC" w14:textId="77777777" w:rsidR="00081B7A" w:rsidRPr="00363097" w:rsidRDefault="00081B7A">
            <w:pPr>
              <w:pStyle w:val="Text1"/>
              <w:spacing w:beforeLines="20" w:before="48" w:afterLines="20" w:after="48"/>
              <w:ind w:left="136"/>
              <w:jc w:val="left"/>
              <w:rPr>
                <w:noProof/>
                <w:sz w:val="16"/>
                <w:szCs w:val="16"/>
              </w:rPr>
            </w:pPr>
            <w:r w:rsidRPr="00363097">
              <w:rPr>
                <w:noProof/>
                <w:sz w:val="16"/>
              </w:rPr>
              <w:t>01 01 01 02</w:t>
            </w:r>
            <w:r w:rsidRPr="00363097">
              <w:rPr>
                <w:rFonts w:ascii="Arial Narrow" w:hAnsi="Arial Narrow"/>
                <w:noProof/>
                <w:sz w:val="20"/>
                <w:szCs w:val="20"/>
              </w:rPr>
              <w:t xml:space="preserve"> </w:t>
            </w:r>
            <w:r w:rsidRPr="00363097">
              <w:rPr>
                <w:noProof/>
                <w:sz w:val="16"/>
                <w:szCs w:val="16"/>
              </w:rPr>
              <w:t>(AC, END, INT - Indirect research)</w:t>
            </w:r>
          </w:p>
        </w:tc>
        <w:tc>
          <w:tcPr>
            <w:tcW w:w="731" w:type="dxa"/>
            <w:shd w:val="clear" w:color="auto" w:fill="auto"/>
            <w:vAlign w:val="center"/>
          </w:tcPr>
          <w:p w14:paraId="402C13E7"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76045DEE"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20946B93"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78EFA078"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1BEC1308"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4AA2E210"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65C75694" w14:textId="77777777" w:rsidR="00081B7A" w:rsidRPr="00363097" w:rsidRDefault="00081B7A">
            <w:pPr>
              <w:spacing w:beforeLines="20" w:before="48" w:afterLines="20" w:after="48"/>
              <w:jc w:val="center"/>
              <w:rPr>
                <w:noProof/>
                <w:sz w:val="16"/>
                <w:szCs w:val="16"/>
                <w:lang w:val="en-IE"/>
              </w:rPr>
            </w:pPr>
          </w:p>
        </w:tc>
      </w:tr>
      <w:tr w:rsidR="00363097" w:rsidRPr="00363097" w14:paraId="2A6F5415" w14:textId="77777777">
        <w:trPr>
          <w:gridBefore w:val="1"/>
          <w:gridAfter w:val="1"/>
          <w:wBefore w:w="15" w:type="dxa"/>
          <w:wAfter w:w="731" w:type="dxa"/>
          <w:trHeight w:val="289"/>
          <w:jc w:val="center"/>
        </w:trPr>
        <w:tc>
          <w:tcPr>
            <w:tcW w:w="4754" w:type="dxa"/>
            <w:gridSpan w:val="2"/>
            <w:shd w:val="clear" w:color="auto" w:fill="auto"/>
            <w:vAlign w:val="center"/>
          </w:tcPr>
          <w:p w14:paraId="69DC467A" w14:textId="77777777" w:rsidR="00081B7A" w:rsidRPr="00363097" w:rsidRDefault="00081B7A">
            <w:pPr>
              <w:pStyle w:val="Text1"/>
              <w:spacing w:beforeLines="20" w:before="48" w:afterLines="20" w:after="48"/>
              <w:ind w:left="136"/>
              <w:jc w:val="left"/>
              <w:rPr>
                <w:noProof/>
                <w:sz w:val="16"/>
                <w:szCs w:val="16"/>
              </w:rPr>
            </w:pPr>
            <w:r w:rsidRPr="00363097">
              <w:rPr>
                <w:noProof/>
                <w:sz w:val="16"/>
              </w:rPr>
              <w:t>01 01 01 12 (AC, END, INT - Direct research)</w:t>
            </w:r>
          </w:p>
        </w:tc>
        <w:tc>
          <w:tcPr>
            <w:tcW w:w="731" w:type="dxa"/>
            <w:shd w:val="clear" w:color="auto" w:fill="auto"/>
            <w:vAlign w:val="center"/>
          </w:tcPr>
          <w:p w14:paraId="42889B8C"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0DC432EA"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3AE1E172"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0692B33A"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44F25F42"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213D40BE" w14:textId="77777777" w:rsidR="00081B7A" w:rsidRPr="00363097" w:rsidRDefault="00081B7A">
            <w:pPr>
              <w:spacing w:beforeLines="20" w:before="48" w:afterLines="20" w:after="48"/>
              <w:jc w:val="center"/>
              <w:rPr>
                <w:noProof/>
                <w:sz w:val="16"/>
                <w:szCs w:val="16"/>
                <w:lang w:val="en-IE"/>
              </w:rPr>
            </w:pPr>
          </w:p>
        </w:tc>
        <w:tc>
          <w:tcPr>
            <w:tcW w:w="731" w:type="dxa"/>
            <w:shd w:val="clear" w:color="auto" w:fill="auto"/>
            <w:vAlign w:val="center"/>
          </w:tcPr>
          <w:p w14:paraId="45E983BA" w14:textId="77777777" w:rsidR="00081B7A" w:rsidRPr="00363097" w:rsidRDefault="00081B7A">
            <w:pPr>
              <w:spacing w:beforeLines="20" w:before="48" w:afterLines="20" w:after="48"/>
              <w:jc w:val="center"/>
              <w:rPr>
                <w:noProof/>
                <w:sz w:val="16"/>
                <w:szCs w:val="16"/>
                <w:lang w:val="en-IE"/>
              </w:rPr>
            </w:pPr>
          </w:p>
        </w:tc>
      </w:tr>
      <w:tr w:rsidR="00363097" w:rsidRPr="00363097" w14:paraId="51DF7DB8" w14:textId="77777777">
        <w:trPr>
          <w:gridBefore w:val="1"/>
          <w:gridAfter w:val="1"/>
          <w:wBefore w:w="15" w:type="dxa"/>
          <w:wAfter w:w="731" w:type="dxa"/>
          <w:trHeight w:val="289"/>
          <w:jc w:val="center"/>
        </w:trPr>
        <w:tc>
          <w:tcPr>
            <w:tcW w:w="4754" w:type="dxa"/>
            <w:gridSpan w:val="2"/>
            <w:shd w:val="clear" w:color="auto" w:fill="auto"/>
            <w:vAlign w:val="center"/>
          </w:tcPr>
          <w:p w14:paraId="0BF9777C" w14:textId="77777777" w:rsidR="00081B7A" w:rsidRPr="00363097" w:rsidRDefault="00081B7A">
            <w:pPr>
              <w:pStyle w:val="Text1"/>
              <w:spacing w:beforeLines="20" w:before="48" w:afterLines="20" w:after="48"/>
              <w:ind w:left="136"/>
              <w:jc w:val="left"/>
              <w:rPr>
                <w:noProof/>
                <w:sz w:val="16"/>
              </w:rPr>
            </w:pPr>
            <w:r w:rsidRPr="00363097">
              <w:rPr>
                <w:noProof/>
                <w:sz w:val="16"/>
              </w:rPr>
              <w:t>Other budget lines (specify)</w:t>
            </w:r>
          </w:p>
        </w:tc>
        <w:tc>
          <w:tcPr>
            <w:tcW w:w="731" w:type="dxa"/>
            <w:shd w:val="clear" w:color="auto" w:fill="auto"/>
            <w:vAlign w:val="center"/>
          </w:tcPr>
          <w:p w14:paraId="7C6978F4"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75522F95"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6CF86C93"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116A3093"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31D643E8"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03F7E038" w14:textId="77777777" w:rsidR="00081B7A" w:rsidRPr="00363097" w:rsidRDefault="00081B7A">
            <w:pPr>
              <w:spacing w:beforeLines="20" w:before="48" w:afterLines="20" w:after="48"/>
              <w:jc w:val="center"/>
              <w:rPr>
                <w:noProof/>
                <w:sz w:val="16"/>
                <w:szCs w:val="16"/>
              </w:rPr>
            </w:pPr>
          </w:p>
        </w:tc>
        <w:tc>
          <w:tcPr>
            <w:tcW w:w="731" w:type="dxa"/>
            <w:shd w:val="clear" w:color="auto" w:fill="auto"/>
            <w:vAlign w:val="center"/>
          </w:tcPr>
          <w:p w14:paraId="57617C04" w14:textId="77777777" w:rsidR="00081B7A" w:rsidRPr="00363097" w:rsidRDefault="00081B7A">
            <w:pPr>
              <w:spacing w:beforeLines="20" w:before="48" w:afterLines="20" w:after="48"/>
              <w:jc w:val="center"/>
              <w:rPr>
                <w:noProof/>
                <w:sz w:val="16"/>
                <w:szCs w:val="16"/>
              </w:rPr>
            </w:pPr>
          </w:p>
        </w:tc>
      </w:tr>
      <w:tr w:rsidR="00363097" w:rsidRPr="00363097" w14:paraId="11918E85" w14:textId="77777777">
        <w:trPr>
          <w:gridBefore w:val="1"/>
          <w:gridAfter w:val="1"/>
          <w:wBefore w:w="15" w:type="dxa"/>
          <w:wAfter w:w="731" w:type="dxa"/>
          <w:trHeight w:val="289"/>
          <w:jc w:val="center"/>
        </w:trPr>
        <w:tc>
          <w:tcPr>
            <w:tcW w:w="4754" w:type="dxa"/>
            <w:gridSpan w:val="2"/>
            <w:tcBorders>
              <w:top w:val="double" w:sz="4" w:space="0" w:color="auto"/>
            </w:tcBorders>
            <w:shd w:val="clear" w:color="auto" w:fill="auto"/>
            <w:vAlign w:val="center"/>
          </w:tcPr>
          <w:p w14:paraId="05E6D4A3" w14:textId="77777777" w:rsidR="00081B7A" w:rsidRPr="00363097" w:rsidRDefault="00081B7A">
            <w:pPr>
              <w:pStyle w:val="Text1"/>
              <w:spacing w:beforeLines="20" w:before="48" w:afterLines="20" w:after="48"/>
              <w:ind w:left="136"/>
              <w:jc w:val="left"/>
              <w:rPr>
                <w:noProof/>
                <w:sz w:val="16"/>
                <w:szCs w:val="16"/>
              </w:rPr>
            </w:pPr>
            <w:r w:rsidRPr="00363097">
              <w:rPr>
                <w:b/>
                <w:noProof/>
                <w:sz w:val="16"/>
              </w:rPr>
              <w:t>TOTAL</w:t>
            </w:r>
          </w:p>
        </w:tc>
        <w:tc>
          <w:tcPr>
            <w:tcW w:w="731" w:type="dxa"/>
            <w:tcBorders>
              <w:top w:val="double" w:sz="4" w:space="0" w:color="auto"/>
            </w:tcBorders>
            <w:shd w:val="clear" w:color="auto" w:fill="auto"/>
            <w:vAlign w:val="center"/>
          </w:tcPr>
          <w:p w14:paraId="03782E10" w14:textId="7C3572C8" w:rsidR="00081B7A" w:rsidRPr="00363097" w:rsidRDefault="00081B7A">
            <w:pPr>
              <w:spacing w:beforeLines="20" w:before="48" w:afterLines="20" w:after="48"/>
              <w:jc w:val="center"/>
              <w:rPr>
                <w:b/>
                <w:noProof/>
                <w:sz w:val="16"/>
                <w:szCs w:val="16"/>
              </w:rPr>
            </w:pPr>
            <w:r w:rsidRPr="00363097">
              <w:rPr>
                <w:b/>
                <w:noProof/>
                <w:sz w:val="16"/>
                <w:szCs w:val="16"/>
              </w:rPr>
              <w:t>0</w:t>
            </w:r>
            <w:r w:rsidR="00493C93">
              <w:rPr>
                <w:b/>
                <w:noProof/>
                <w:sz w:val="16"/>
                <w:szCs w:val="16"/>
              </w:rPr>
              <w:t>,</w:t>
            </w:r>
            <w:r w:rsidRPr="00363097">
              <w:rPr>
                <w:b/>
                <w:noProof/>
                <w:sz w:val="16"/>
                <w:szCs w:val="16"/>
              </w:rPr>
              <w:t>2</w:t>
            </w:r>
          </w:p>
        </w:tc>
        <w:tc>
          <w:tcPr>
            <w:tcW w:w="731" w:type="dxa"/>
            <w:tcBorders>
              <w:top w:val="double" w:sz="4" w:space="0" w:color="auto"/>
            </w:tcBorders>
            <w:shd w:val="clear" w:color="auto" w:fill="auto"/>
            <w:vAlign w:val="center"/>
          </w:tcPr>
          <w:p w14:paraId="348BBBCF" w14:textId="29815560" w:rsidR="00081B7A" w:rsidRPr="00363097" w:rsidRDefault="00081B7A">
            <w:pPr>
              <w:spacing w:beforeLines="20" w:before="48" w:afterLines="20" w:after="48"/>
              <w:jc w:val="center"/>
              <w:rPr>
                <w:b/>
                <w:noProof/>
                <w:sz w:val="16"/>
                <w:szCs w:val="16"/>
              </w:rPr>
            </w:pPr>
            <w:r w:rsidRPr="00363097">
              <w:rPr>
                <w:b/>
                <w:noProof/>
                <w:sz w:val="16"/>
                <w:szCs w:val="16"/>
              </w:rPr>
              <w:t>0</w:t>
            </w:r>
            <w:r w:rsidR="00493C93">
              <w:rPr>
                <w:b/>
                <w:noProof/>
                <w:sz w:val="16"/>
                <w:szCs w:val="16"/>
              </w:rPr>
              <w:t>,</w:t>
            </w:r>
            <w:r w:rsidRPr="00363097">
              <w:rPr>
                <w:b/>
                <w:noProof/>
                <w:sz w:val="16"/>
                <w:szCs w:val="16"/>
              </w:rPr>
              <w:t>1</w:t>
            </w:r>
          </w:p>
        </w:tc>
        <w:tc>
          <w:tcPr>
            <w:tcW w:w="731" w:type="dxa"/>
            <w:tcBorders>
              <w:top w:val="double" w:sz="4" w:space="0" w:color="auto"/>
            </w:tcBorders>
            <w:shd w:val="clear" w:color="auto" w:fill="auto"/>
            <w:vAlign w:val="center"/>
          </w:tcPr>
          <w:p w14:paraId="6FB0BD2D" w14:textId="61B4FAF2" w:rsidR="00081B7A" w:rsidRPr="00363097" w:rsidRDefault="00081B7A">
            <w:pPr>
              <w:spacing w:beforeLines="20" w:before="48" w:afterLines="20" w:after="48"/>
              <w:jc w:val="center"/>
              <w:rPr>
                <w:b/>
                <w:noProof/>
                <w:sz w:val="16"/>
                <w:szCs w:val="16"/>
              </w:rPr>
            </w:pPr>
            <w:r w:rsidRPr="00363097">
              <w:rPr>
                <w:b/>
                <w:noProof/>
                <w:sz w:val="16"/>
                <w:szCs w:val="16"/>
              </w:rPr>
              <w:t>0</w:t>
            </w:r>
            <w:r w:rsidR="00493C93">
              <w:rPr>
                <w:b/>
                <w:noProof/>
                <w:sz w:val="16"/>
                <w:szCs w:val="16"/>
              </w:rPr>
              <w:t>,</w:t>
            </w:r>
            <w:r w:rsidRPr="00363097">
              <w:rPr>
                <w:b/>
                <w:noProof/>
                <w:sz w:val="16"/>
                <w:szCs w:val="16"/>
              </w:rPr>
              <w:t>1</w:t>
            </w:r>
          </w:p>
        </w:tc>
        <w:tc>
          <w:tcPr>
            <w:tcW w:w="731" w:type="dxa"/>
            <w:tcBorders>
              <w:top w:val="double" w:sz="4" w:space="0" w:color="auto"/>
            </w:tcBorders>
            <w:shd w:val="clear" w:color="auto" w:fill="auto"/>
            <w:vAlign w:val="center"/>
          </w:tcPr>
          <w:p w14:paraId="6A566467" w14:textId="77777777" w:rsidR="00081B7A" w:rsidRPr="00363097"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F56A368" w14:textId="77777777" w:rsidR="00081B7A" w:rsidRPr="00363097"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09C7740C" w14:textId="77777777" w:rsidR="00081B7A" w:rsidRPr="00363097" w:rsidRDefault="00081B7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43BBAABB" w14:textId="77777777" w:rsidR="00081B7A" w:rsidRPr="00363097" w:rsidRDefault="00081B7A">
            <w:pPr>
              <w:spacing w:beforeLines="20" w:before="48" w:afterLines="20" w:after="48"/>
              <w:rPr>
                <w:b/>
                <w:noProof/>
                <w:sz w:val="16"/>
                <w:szCs w:val="16"/>
              </w:rPr>
            </w:pPr>
          </w:p>
        </w:tc>
      </w:tr>
    </w:tbl>
    <w:p w14:paraId="18153BD7" w14:textId="77777777" w:rsidR="00081B7A" w:rsidRPr="00363097" w:rsidRDefault="00081B7A" w:rsidP="00081B7A">
      <w:pPr>
        <w:pStyle w:val="Text1"/>
        <w:spacing w:before="60" w:after="60"/>
        <w:rPr>
          <w:noProof/>
          <w:sz w:val="18"/>
          <w:szCs w:val="18"/>
        </w:rPr>
      </w:pPr>
      <w:r w:rsidRPr="00363097">
        <w:rPr>
          <w:b/>
          <w:noProof/>
          <w:sz w:val="18"/>
          <w:szCs w:val="18"/>
        </w:rPr>
        <w:t>XX</w:t>
      </w:r>
      <w:r w:rsidRPr="00363097">
        <w:rPr>
          <w:noProof/>
          <w:sz w:val="18"/>
          <w:szCs w:val="18"/>
        </w:rPr>
        <w:t xml:space="preserve"> is the policy area or budget title concerned</w:t>
      </w:r>
    </w:p>
    <w:p w14:paraId="01A57170" w14:textId="77777777" w:rsidR="00081B7A" w:rsidRPr="00363097" w:rsidRDefault="00081B7A" w:rsidP="00081B7A">
      <w:pPr>
        <w:pStyle w:val="Text1"/>
        <w:rPr>
          <w:noProof/>
          <w:sz w:val="18"/>
          <w:szCs w:val="18"/>
        </w:rPr>
      </w:pPr>
      <w:r w:rsidRPr="00363097">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42FD905B" w14:textId="77777777" w:rsidR="00081B7A" w:rsidRPr="00363097" w:rsidRDefault="00081B7A" w:rsidP="00081B7A">
      <w:pPr>
        <w:rPr>
          <w:noProof/>
          <w:sz w:val="20"/>
          <w:lang w:val="en-IE"/>
        </w:rPr>
      </w:pPr>
      <w:r w:rsidRPr="00363097">
        <w:rPr>
          <w:noProof/>
          <w:sz w:val="20"/>
          <w:lang w:val="en-IE"/>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63097" w:rsidRPr="00363097" w14:paraId="7C3D9919" w14:textId="77777777">
        <w:tc>
          <w:tcPr>
            <w:tcW w:w="3240" w:type="dxa"/>
          </w:tcPr>
          <w:p w14:paraId="1497D585" w14:textId="77777777" w:rsidR="00081B7A" w:rsidRPr="00363097" w:rsidRDefault="00081B7A">
            <w:pPr>
              <w:rPr>
                <w:noProof/>
                <w:sz w:val="20"/>
              </w:rPr>
            </w:pPr>
            <w:r w:rsidRPr="00363097">
              <w:rPr>
                <w:noProof/>
                <w:sz w:val="20"/>
              </w:rPr>
              <w:t>Officials and temporary staff</w:t>
            </w:r>
          </w:p>
        </w:tc>
        <w:tc>
          <w:tcPr>
            <w:tcW w:w="7200" w:type="dxa"/>
          </w:tcPr>
          <w:p w14:paraId="1FE701D2" w14:textId="77777777" w:rsidR="00081B7A" w:rsidRPr="00363097" w:rsidRDefault="00081B7A">
            <w:pPr>
              <w:rPr>
                <w:noProof/>
                <w:sz w:val="20"/>
              </w:rPr>
            </w:pPr>
            <w:r w:rsidRPr="00363097">
              <w:rPr>
                <w:noProof/>
              </w:rPr>
              <w:t>Business Manager for the BEFIT Collaborati</w:t>
            </w:r>
            <w:r w:rsidR="008E0E65" w:rsidRPr="00363097">
              <w:rPr>
                <w:noProof/>
              </w:rPr>
              <w:t>ve</w:t>
            </w:r>
            <w:r w:rsidRPr="00363097">
              <w:rPr>
                <w:noProof/>
              </w:rPr>
              <w:t xml:space="preserve"> Tool</w:t>
            </w:r>
          </w:p>
        </w:tc>
      </w:tr>
      <w:tr w:rsidR="00363097" w:rsidRPr="00363097" w14:paraId="0EC253A2" w14:textId="77777777">
        <w:tc>
          <w:tcPr>
            <w:tcW w:w="3240" w:type="dxa"/>
          </w:tcPr>
          <w:p w14:paraId="62273CAE" w14:textId="77777777" w:rsidR="00081B7A" w:rsidRPr="00363097" w:rsidRDefault="00081B7A">
            <w:pPr>
              <w:spacing w:before="60" w:after="60"/>
              <w:rPr>
                <w:noProof/>
                <w:sz w:val="20"/>
              </w:rPr>
            </w:pPr>
            <w:r w:rsidRPr="00363097">
              <w:rPr>
                <w:noProof/>
                <w:sz w:val="20"/>
              </w:rPr>
              <w:t>External staff</w:t>
            </w:r>
          </w:p>
        </w:tc>
        <w:tc>
          <w:tcPr>
            <w:tcW w:w="7200" w:type="dxa"/>
          </w:tcPr>
          <w:p w14:paraId="164FCEEF" w14:textId="77777777" w:rsidR="00081B7A" w:rsidRPr="00363097" w:rsidRDefault="00081B7A">
            <w:pPr>
              <w:rPr>
                <w:noProof/>
                <w:sz w:val="20"/>
              </w:rPr>
            </w:pPr>
          </w:p>
        </w:tc>
      </w:tr>
    </w:tbl>
    <w:p w14:paraId="500F3927" w14:textId="77777777" w:rsidR="00081B7A" w:rsidRPr="00363097" w:rsidRDefault="00081B7A" w:rsidP="00081B7A">
      <w:pPr>
        <w:rPr>
          <w:noProof/>
        </w:rPr>
        <w:sectPr w:rsidR="00081B7A" w:rsidRPr="00363097" w:rsidSect="008D52AB">
          <w:pgSz w:w="11907" w:h="16840"/>
          <w:pgMar w:top="1134" w:right="1418" w:bottom="1134" w:left="1418" w:header="709" w:footer="709" w:gutter="0"/>
          <w:cols w:space="708"/>
          <w:docGrid w:linePitch="360"/>
        </w:sectPr>
      </w:pPr>
    </w:p>
    <w:p w14:paraId="73107C0F" w14:textId="77777777" w:rsidR="00081B7A" w:rsidRPr="00363097" w:rsidRDefault="00081B7A" w:rsidP="00081B7A">
      <w:pPr>
        <w:pStyle w:val="ManualHeading3"/>
        <w:rPr>
          <w:noProof/>
        </w:rPr>
      </w:pPr>
      <w:bookmarkStart w:id="93" w:name="_Toc514938056"/>
      <w:bookmarkStart w:id="94" w:name="_Toc520485055"/>
      <w:r w:rsidRPr="00363097">
        <w:rPr>
          <w:noProof/>
        </w:rPr>
        <w:t>3.2.4.</w:t>
      </w:r>
      <w:r w:rsidRPr="00363097">
        <w:rPr>
          <w:noProof/>
        </w:rPr>
        <w:tab/>
        <w:t>Compatibility with the current multiannual financial framework</w:t>
      </w:r>
      <w:bookmarkEnd w:id="93"/>
      <w:bookmarkEnd w:id="94"/>
      <w:r w:rsidRPr="00363097">
        <w:rPr>
          <w:noProof/>
        </w:rPr>
        <w:t xml:space="preserve"> </w:t>
      </w:r>
    </w:p>
    <w:p w14:paraId="5A74450E" w14:textId="77777777" w:rsidR="00081B7A" w:rsidRPr="00363097" w:rsidRDefault="00081B7A" w:rsidP="00081B7A">
      <w:pPr>
        <w:pStyle w:val="Text1"/>
        <w:rPr>
          <w:noProof/>
        </w:rPr>
      </w:pPr>
      <w:r w:rsidRPr="00363097">
        <w:rPr>
          <w:noProof/>
        </w:rPr>
        <w:t>The proposal/initiative:</w:t>
      </w:r>
    </w:p>
    <w:p w14:paraId="398A22CC"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can be fully financed through redeployment within the relevant heading of the Multiannual Financial Framework (MFF).</w:t>
      </w:r>
    </w:p>
    <w:p w14:paraId="0365B77E" w14:textId="77777777" w:rsidR="00081B7A" w:rsidRPr="00363097" w:rsidRDefault="000C5314" w:rsidP="00081B7A">
      <w:pPr>
        <w:pStyle w:val="Text1"/>
        <w:pBdr>
          <w:top w:val="single" w:sz="4" w:space="1" w:color="auto"/>
          <w:left w:val="single" w:sz="4" w:space="4" w:color="auto"/>
          <w:bottom w:val="single" w:sz="4" w:space="1" w:color="auto"/>
          <w:right w:val="single" w:sz="4" w:space="4" w:color="auto"/>
        </w:pBdr>
        <w:rPr>
          <w:noProof/>
          <w:sz w:val="20"/>
        </w:rPr>
      </w:pPr>
      <w:r w:rsidRPr="00363097">
        <w:rPr>
          <w:noProof/>
          <w:sz w:val="20"/>
        </w:rPr>
        <w:t>The operational expenditure will be financed from within the foreseen envelope for the Fiscalis programme, under MFF Heading 1</w:t>
      </w:r>
      <w:r w:rsidR="00081B7A" w:rsidRPr="00363097">
        <w:rPr>
          <w:noProof/>
          <w:sz w:val="20"/>
        </w:rPr>
        <w:t>.</w:t>
      </w:r>
    </w:p>
    <w:p w14:paraId="703D05E8"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requires use of the unallocated margin under the relevant heading of the MFF and/or use of the special instruments as defined in the MFF Regulation.</w:t>
      </w:r>
    </w:p>
    <w:p w14:paraId="70188AC4"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requires a revision of the MFF.</w:t>
      </w:r>
    </w:p>
    <w:p w14:paraId="78907A36" w14:textId="77777777" w:rsidR="00081B7A" w:rsidRPr="00363097" w:rsidRDefault="00081B7A" w:rsidP="00081B7A">
      <w:pPr>
        <w:pStyle w:val="ManualHeading3"/>
        <w:rPr>
          <w:bCs/>
          <w:noProof/>
          <w:szCs w:val="24"/>
        </w:rPr>
      </w:pPr>
      <w:bookmarkStart w:id="95" w:name="_Toc514938058"/>
      <w:bookmarkStart w:id="96" w:name="_Toc520485056"/>
      <w:r w:rsidRPr="00363097">
        <w:rPr>
          <w:noProof/>
        </w:rPr>
        <w:t>3.2.5.</w:t>
      </w:r>
      <w:r w:rsidRPr="00363097">
        <w:rPr>
          <w:noProof/>
        </w:rPr>
        <w:tab/>
        <w:t>Third-party contributions</w:t>
      </w:r>
      <w:bookmarkEnd w:id="95"/>
      <w:bookmarkEnd w:id="96"/>
      <w:r w:rsidRPr="00363097">
        <w:rPr>
          <w:noProof/>
        </w:rPr>
        <w:t xml:space="preserve"> </w:t>
      </w:r>
    </w:p>
    <w:p w14:paraId="59AD50F1" w14:textId="77777777" w:rsidR="00081B7A" w:rsidRPr="00363097" w:rsidRDefault="00081B7A" w:rsidP="00081B7A">
      <w:pPr>
        <w:pStyle w:val="Text1"/>
        <w:rPr>
          <w:noProof/>
        </w:rPr>
      </w:pPr>
      <w:r w:rsidRPr="00363097">
        <w:rPr>
          <w:noProof/>
        </w:rPr>
        <w:t>The proposal/initiative:</w:t>
      </w:r>
    </w:p>
    <w:p w14:paraId="690719F8"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does not provide for co-financing by third parties</w:t>
      </w:r>
    </w:p>
    <w:p w14:paraId="507C38ED" w14:textId="77777777" w:rsidR="00081B7A" w:rsidRPr="00363097" w:rsidRDefault="00081B7A" w:rsidP="00A9571C">
      <w:pPr>
        <w:pStyle w:val="ListDash1"/>
        <w:numPr>
          <w:ilvl w:val="0"/>
          <w:numId w:val="68"/>
        </w:numPr>
        <w:tabs>
          <w:tab w:val="num" w:pos="283"/>
        </w:tabs>
        <w:ind w:left="283" w:hanging="283"/>
        <w:rPr>
          <w:noProof/>
        </w:rPr>
      </w:pPr>
      <w:r w:rsidRPr="00363097">
        <w:rPr>
          <w:rFonts w:ascii="Wingdings" w:eastAsia="Wingdings" w:hAnsi="Wingdings" w:cs="Wingdings"/>
          <w:noProof/>
        </w:rPr>
        <w:t></w:t>
      </w:r>
      <w:r w:rsidRPr="00363097">
        <w:rPr>
          <w:noProof/>
        </w:rPr>
        <w:tab/>
        <w:t>provides for the co-financing by third parties estimated below:</w:t>
      </w:r>
    </w:p>
    <w:p w14:paraId="48A0C346" w14:textId="77777777" w:rsidR="00081B7A" w:rsidRPr="00363097" w:rsidRDefault="00081B7A" w:rsidP="00081B7A">
      <w:pPr>
        <w:jc w:val="right"/>
        <w:rPr>
          <w:noProof/>
          <w:sz w:val="20"/>
          <w:lang w:val="en-IE"/>
        </w:rPr>
      </w:pPr>
      <w:r w:rsidRPr="00363097">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363097" w:rsidRPr="00363097" w14:paraId="75A7785F" w14:textId="77777777">
        <w:trPr>
          <w:cantSplit/>
        </w:trPr>
        <w:tc>
          <w:tcPr>
            <w:tcW w:w="2340" w:type="dxa"/>
          </w:tcPr>
          <w:p w14:paraId="5A7032D7" w14:textId="77777777" w:rsidR="00081B7A" w:rsidRPr="00363097" w:rsidRDefault="00081B7A">
            <w:pPr>
              <w:spacing w:before="60" w:after="60"/>
              <w:rPr>
                <w:noProof/>
                <w:sz w:val="20"/>
                <w:lang w:val="en-IE"/>
              </w:rPr>
            </w:pPr>
          </w:p>
        </w:tc>
        <w:tc>
          <w:tcPr>
            <w:tcW w:w="964" w:type="dxa"/>
            <w:vAlign w:val="center"/>
          </w:tcPr>
          <w:p w14:paraId="1D5B36DA"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w:t>
            </w:r>
            <w:r w:rsidRPr="00363097">
              <w:rPr>
                <w:rStyle w:val="FootnoteReference0"/>
                <w:b/>
                <w:noProof/>
                <w:sz w:val="20"/>
              </w:rPr>
              <w:footnoteReference w:id="52"/>
            </w:r>
          </w:p>
        </w:tc>
        <w:tc>
          <w:tcPr>
            <w:tcW w:w="964" w:type="dxa"/>
            <w:vAlign w:val="center"/>
          </w:tcPr>
          <w:p w14:paraId="4F540D61"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N+1</w:t>
            </w:r>
          </w:p>
        </w:tc>
        <w:tc>
          <w:tcPr>
            <w:tcW w:w="964" w:type="dxa"/>
            <w:vAlign w:val="center"/>
          </w:tcPr>
          <w:p w14:paraId="66922751"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N+2</w:t>
            </w:r>
          </w:p>
        </w:tc>
        <w:tc>
          <w:tcPr>
            <w:tcW w:w="964" w:type="dxa"/>
            <w:vAlign w:val="center"/>
          </w:tcPr>
          <w:p w14:paraId="0FFB298B" w14:textId="77777777" w:rsidR="00081B7A" w:rsidRPr="00363097" w:rsidRDefault="00081B7A">
            <w:pPr>
              <w:jc w:val="center"/>
              <w:rPr>
                <w:noProof/>
                <w:sz w:val="20"/>
              </w:rPr>
            </w:pPr>
            <w:r w:rsidRPr="00363097">
              <w:rPr>
                <w:noProof/>
                <w:sz w:val="20"/>
              </w:rPr>
              <w:t>Year</w:t>
            </w:r>
            <w:r w:rsidRPr="00363097">
              <w:rPr>
                <w:noProof/>
                <w:sz w:val="22"/>
              </w:rPr>
              <w:br/>
            </w:r>
            <w:r w:rsidRPr="00363097">
              <w:rPr>
                <w:b/>
                <w:noProof/>
                <w:sz w:val="20"/>
              </w:rPr>
              <w:t>N+3</w:t>
            </w:r>
          </w:p>
        </w:tc>
        <w:tc>
          <w:tcPr>
            <w:tcW w:w="2892" w:type="dxa"/>
            <w:gridSpan w:val="3"/>
            <w:vAlign w:val="center"/>
          </w:tcPr>
          <w:p w14:paraId="3175682D" w14:textId="77777777" w:rsidR="00081B7A" w:rsidRPr="00363097" w:rsidRDefault="00081B7A">
            <w:pPr>
              <w:jc w:val="center"/>
              <w:rPr>
                <w:b/>
                <w:noProof/>
                <w:sz w:val="20"/>
                <w:lang w:val="en-IE"/>
              </w:rPr>
            </w:pPr>
            <w:r w:rsidRPr="00363097">
              <w:rPr>
                <w:noProof/>
                <w:sz w:val="20"/>
                <w:lang w:val="en-IE"/>
              </w:rPr>
              <w:t>Enter as many years as necessary to show the duration of the impact (see point 1.6)</w:t>
            </w:r>
          </w:p>
        </w:tc>
        <w:tc>
          <w:tcPr>
            <w:tcW w:w="1158" w:type="dxa"/>
            <w:vAlign w:val="center"/>
          </w:tcPr>
          <w:p w14:paraId="002A6669" w14:textId="77777777" w:rsidR="00081B7A" w:rsidRPr="00363097" w:rsidRDefault="00081B7A">
            <w:pPr>
              <w:spacing w:before="60" w:after="60"/>
              <w:jc w:val="center"/>
              <w:rPr>
                <w:noProof/>
                <w:sz w:val="20"/>
              </w:rPr>
            </w:pPr>
            <w:r w:rsidRPr="00363097">
              <w:rPr>
                <w:noProof/>
                <w:sz w:val="20"/>
              </w:rPr>
              <w:t>Total</w:t>
            </w:r>
          </w:p>
        </w:tc>
      </w:tr>
      <w:tr w:rsidR="00363097" w:rsidRPr="00363097" w14:paraId="679DC0CD" w14:textId="77777777">
        <w:trPr>
          <w:cantSplit/>
        </w:trPr>
        <w:tc>
          <w:tcPr>
            <w:tcW w:w="2340" w:type="dxa"/>
          </w:tcPr>
          <w:p w14:paraId="34C1D77D" w14:textId="77777777" w:rsidR="00081B7A" w:rsidRPr="00363097" w:rsidRDefault="00081B7A">
            <w:pPr>
              <w:rPr>
                <w:noProof/>
                <w:lang w:val="en-IE"/>
              </w:rPr>
            </w:pPr>
            <w:r w:rsidRPr="00363097">
              <w:rPr>
                <w:noProof/>
                <w:sz w:val="20"/>
                <w:lang w:val="en-IE"/>
              </w:rPr>
              <w:t>Specify the co-financing body</w:t>
            </w:r>
            <w:r w:rsidRPr="00363097">
              <w:rPr>
                <w:i/>
                <w:noProof/>
                <w:sz w:val="20"/>
                <w:lang w:val="en-IE"/>
              </w:rPr>
              <w:t xml:space="preserve"> </w:t>
            </w:r>
          </w:p>
        </w:tc>
        <w:tc>
          <w:tcPr>
            <w:tcW w:w="964" w:type="dxa"/>
            <w:vAlign w:val="center"/>
          </w:tcPr>
          <w:p w14:paraId="0B74ABC2" w14:textId="77777777" w:rsidR="00081B7A" w:rsidRPr="00363097" w:rsidRDefault="00081B7A">
            <w:pPr>
              <w:spacing w:before="60" w:after="60"/>
              <w:jc w:val="center"/>
              <w:rPr>
                <w:noProof/>
                <w:sz w:val="20"/>
                <w:lang w:val="en-IE"/>
              </w:rPr>
            </w:pPr>
          </w:p>
        </w:tc>
        <w:tc>
          <w:tcPr>
            <w:tcW w:w="964" w:type="dxa"/>
            <w:vAlign w:val="center"/>
          </w:tcPr>
          <w:p w14:paraId="15EDE0AF" w14:textId="77777777" w:rsidR="00081B7A" w:rsidRPr="00363097" w:rsidRDefault="00081B7A">
            <w:pPr>
              <w:spacing w:before="60" w:after="60"/>
              <w:jc w:val="center"/>
              <w:rPr>
                <w:noProof/>
                <w:sz w:val="20"/>
                <w:lang w:val="en-IE"/>
              </w:rPr>
            </w:pPr>
          </w:p>
        </w:tc>
        <w:tc>
          <w:tcPr>
            <w:tcW w:w="964" w:type="dxa"/>
            <w:vAlign w:val="center"/>
          </w:tcPr>
          <w:p w14:paraId="61D15DAF" w14:textId="77777777" w:rsidR="00081B7A" w:rsidRPr="00363097" w:rsidRDefault="00081B7A">
            <w:pPr>
              <w:spacing w:before="60" w:after="60"/>
              <w:jc w:val="center"/>
              <w:rPr>
                <w:noProof/>
                <w:sz w:val="20"/>
                <w:lang w:val="en-IE"/>
              </w:rPr>
            </w:pPr>
          </w:p>
        </w:tc>
        <w:tc>
          <w:tcPr>
            <w:tcW w:w="964" w:type="dxa"/>
            <w:vAlign w:val="center"/>
          </w:tcPr>
          <w:p w14:paraId="3803E0AF" w14:textId="77777777" w:rsidR="00081B7A" w:rsidRPr="00363097" w:rsidRDefault="00081B7A">
            <w:pPr>
              <w:spacing w:before="60" w:after="60"/>
              <w:jc w:val="center"/>
              <w:rPr>
                <w:noProof/>
                <w:sz w:val="20"/>
                <w:lang w:val="en-IE"/>
              </w:rPr>
            </w:pPr>
          </w:p>
        </w:tc>
        <w:tc>
          <w:tcPr>
            <w:tcW w:w="964" w:type="dxa"/>
            <w:vAlign w:val="center"/>
          </w:tcPr>
          <w:p w14:paraId="07CF78D0" w14:textId="77777777" w:rsidR="00081B7A" w:rsidRPr="00363097" w:rsidRDefault="00081B7A">
            <w:pPr>
              <w:spacing w:before="60" w:after="60"/>
              <w:jc w:val="center"/>
              <w:rPr>
                <w:noProof/>
                <w:sz w:val="20"/>
                <w:lang w:val="en-IE"/>
              </w:rPr>
            </w:pPr>
          </w:p>
        </w:tc>
        <w:tc>
          <w:tcPr>
            <w:tcW w:w="964" w:type="dxa"/>
            <w:vAlign w:val="center"/>
          </w:tcPr>
          <w:p w14:paraId="3D5A71DE" w14:textId="77777777" w:rsidR="00081B7A" w:rsidRPr="00363097" w:rsidRDefault="00081B7A">
            <w:pPr>
              <w:spacing w:before="60" w:after="60"/>
              <w:jc w:val="center"/>
              <w:rPr>
                <w:noProof/>
                <w:sz w:val="20"/>
                <w:lang w:val="en-IE"/>
              </w:rPr>
            </w:pPr>
          </w:p>
        </w:tc>
        <w:tc>
          <w:tcPr>
            <w:tcW w:w="964" w:type="dxa"/>
            <w:vAlign w:val="center"/>
          </w:tcPr>
          <w:p w14:paraId="51CF353A" w14:textId="77777777" w:rsidR="00081B7A" w:rsidRPr="00363097" w:rsidRDefault="00081B7A">
            <w:pPr>
              <w:spacing w:before="60" w:after="60"/>
              <w:jc w:val="center"/>
              <w:rPr>
                <w:noProof/>
                <w:sz w:val="20"/>
                <w:lang w:val="en-IE"/>
              </w:rPr>
            </w:pPr>
          </w:p>
        </w:tc>
        <w:tc>
          <w:tcPr>
            <w:tcW w:w="1158" w:type="dxa"/>
            <w:vAlign w:val="center"/>
          </w:tcPr>
          <w:p w14:paraId="1539DB46" w14:textId="77777777" w:rsidR="00081B7A" w:rsidRPr="00363097" w:rsidRDefault="00081B7A">
            <w:pPr>
              <w:spacing w:before="60" w:after="60"/>
              <w:jc w:val="center"/>
              <w:rPr>
                <w:noProof/>
                <w:sz w:val="20"/>
                <w:lang w:val="en-IE"/>
              </w:rPr>
            </w:pPr>
          </w:p>
        </w:tc>
      </w:tr>
      <w:tr w:rsidR="00363097" w:rsidRPr="00363097" w14:paraId="39A86511" w14:textId="77777777">
        <w:trPr>
          <w:cantSplit/>
        </w:trPr>
        <w:tc>
          <w:tcPr>
            <w:tcW w:w="2340" w:type="dxa"/>
          </w:tcPr>
          <w:p w14:paraId="29FA7767" w14:textId="77777777" w:rsidR="00081B7A" w:rsidRPr="00363097" w:rsidRDefault="00081B7A">
            <w:pPr>
              <w:spacing w:before="60" w:after="60"/>
              <w:jc w:val="left"/>
              <w:rPr>
                <w:noProof/>
                <w:sz w:val="20"/>
              </w:rPr>
            </w:pPr>
            <w:r w:rsidRPr="00363097">
              <w:rPr>
                <w:noProof/>
                <w:sz w:val="20"/>
              </w:rPr>
              <w:t xml:space="preserve">TOTAL appropriations co-financed </w:t>
            </w:r>
          </w:p>
        </w:tc>
        <w:tc>
          <w:tcPr>
            <w:tcW w:w="964" w:type="dxa"/>
            <w:vAlign w:val="center"/>
          </w:tcPr>
          <w:p w14:paraId="08C378B9" w14:textId="77777777" w:rsidR="00081B7A" w:rsidRPr="00363097" w:rsidRDefault="00081B7A">
            <w:pPr>
              <w:spacing w:before="60" w:after="60"/>
              <w:jc w:val="center"/>
              <w:rPr>
                <w:noProof/>
                <w:sz w:val="20"/>
              </w:rPr>
            </w:pPr>
          </w:p>
        </w:tc>
        <w:tc>
          <w:tcPr>
            <w:tcW w:w="964" w:type="dxa"/>
            <w:vAlign w:val="center"/>
          </w:tcPr>
          <w:p w14:paraId="4DFAFD90" w14:textId="77777777" w:rsidR="00081B7A" w:rsidRPr="00363097" w:rsidRDefault="00081B7A">
            <w:pPr>
              <w:spacing w:before="60" w:after="60"/>
              <w:jc w:val="center"/>
              <w:rPr>
                <w:noProof/>
                <w:sz w:val="20"/>
              </w:rPr>
            </w:pPr>
          </w:p>
        </w:tc>
        <w:tc>
          <w:tcPr>
            <w:tcW w:w="964" w:type="dxa"/>
            <w:vAlign w:val="center"/>
          </w:tcPr>
          <w:p w14:paraId="30DE6B89" w14:textId="77777777" w:rsidR="00081B7A" w:rsidRPr="00363097" w:rsidRDefault="00081B7A">
            <w:pPr>
              <w:spacing w:before="60" w:after="60"/>
              <w:jc w:val="center"/>
              <w:rPr>
                <w:noProof/>
                <w:sz w:val="20"/>
              </w:rPr>
            </w:pPr>
          </w:p>
        </w:tc>
        <w:tc>
          <w:tcPr>
            <w:tcW w:w="964" w:type="dxa"/>
            <w:vAlign w:val="center"/>
          </w:tcPr>
          <w:p w14:paraId="5FD021A9" w14:textId="77777777" w:rsidR="00081B7A" w:rsidRPr="00363097" w:rsidRDefault="00081B7A">
            <w:pPr>
              <w:spacing w:before="60" w:after="60"/>
              <w:jc w:val="center"/>
              <w:rPr>
                <w:noProof/>
                <w:sz w:val="20"/>
              </w:rPr>
            </w:pPr>
          </w:p>
        </w:tc>
        <w:tc>
          <w:tcPr>
            <w:tcW w:w="964" w:type="dxa"/>
            <w:vAlign w:val="center"/>
          </w:tcPr>
          <w:p w14:paraId="4EA847C1" w14:textId="77777777" w:rsidR="00081B7A" w:rsidRPr="00363097" w:rsidRDefault="00081B7A">
            <w:pPr>
              <w:spacing w:before="60" w:after="60"/>
              <w:jc w:val="center"/>
              <w:rPr>
                <w:noProof/>
                <w:sz w:val="20"/>
              </w:rPr>
            </w:pPr>
          </w:p>
        </w:tc>
        <w:tc>
          <w:tcPr>
            <w:tcW w:w="964" w:type="dxa"/>
            <w:vAlign w:val="center"/>
          </w:tcPr>
          <w:p w14:paraId="28D59E84" w14:textId="77777777" w:rsidR="00081B7A" w:rsidRPr="00363097" w:rsidRDefault="00081B7A">
            <w:pPr>
              <w:spacing w:before="60" w:after="60"/>
              <w:jc w:val="center"/>
              <w:rPr>
                <w:noProof/>
                <w:sz w:val="20"/>
              </w:rPr>
            </w:pPr>
          </w:p>
        </w:tc>
        <w:tc>
          <w:tcPr>
            <w:tcW w:w="964" w:type="dxa"/>
            <w:vAlign w:val="center"/>
          </w:tcPr>
          <w:p w14:paraId="262EFAE8" w14:textId="77777777" w:rsidR="00081B7A" w:rsidRPr="00363097" w:rsidRDefault="00081B7A">
            <w:pPr>
              <w:spacing w:before="60" w:after="60"/>
              <w:jc w:val="center"/>
              <w:rPr>
                <w:noProof/>
                <w:sz w:val="20"/>
              </w:rPr>
            </w:pPr>
          </w:p>
        </w:tc>
        <w:tc>
          <w:tcPr>
            <w:tcW w:w="1158" w:type="dxa"/>
            <w:vAlign w:val="center"/>
          </w:tcPr>
          <w:p w14:paraId="735C5EA9" w14:textId="77777777" w:rsidR="00081B7A" w:rsidRPr="00363097" w:rsidRDefault="00081B7A">
            <w:pPr>
              <w:spacing w:before="60" w:after="60"/>
              <w:jc w:val="center"/>
              <w:rPr>
                <w:noProof/>
                <w:sz w:val="20"/>
              </w:rPr>
            </w:pPr>
          </w:p>
        </w:tc>
      </w:tr>
    </w:tbl>
    <w:p w14:paraId="0C3A17C4" w14:textId="77777777" w:rsidR="00081B7A" w:rsidRPr="00363097" w:rsidRDefault="00081B7A" w:rsidP="00081B7A">
      <w:pPr>
        <w:pStyle w:val="ManualHeading2"/>
        <w:rPr>
          <w:bCs/>
          <w:noProof/>
          <w:szCs w:val="24"/>
        </w:rPr>
      </w:pPr>
      <w:r w:rsidRPr="00363097">
        <w:rPr>
          <w:noProof/>
        </w:rPr>
        <w:br w:type="page"/>
      </w:r>
      <w:bookmarkStart w:id="97" w:name="_Toc514938059"/>
      <w:bookmarkStart w:id="98" w:name="_Toc520485057"/>
      <w:r w:rsidRPr="00363097">
        <w:rPr>
          <w:noProof/>
        </w:rPr>
        <w:t>3.3.</w:t>
      </w:r>
      <w:r w:rsidRPr="00363097">
        <w:rPr>
          <w:noProof/>
        </w:rPr>
        <w:tab/>
        <w:t>Estimated impact on revenue</w:t>
      </w:r>
      <w:bookmarkEnd w:id="97"/>
      <w:bookmarkEnd w:id="98"/>
      <w:r w:rsidRPr="00363097">
        <w:rPr>
          <w:noProof/>
        </w:rPr>
        <w:t xml:space="preserve"> </w:t>
      </w:r>
    </w:p>
    <w:p w14:paraId="2BAE84D5" w14:textId="77777777" w:rsidR="00081B7A" w:rsidRPr="00363097" w:rsidRDefault="00081B7A" w:rsidP="00081B7A">
      <w:pPr>
        <w:pStyle w:val="ListDash1"/>
        <w:rPr>
          <w:noProof/>
        </w:rPr>
      </w:pPr>
      <w:r w:rsidRPr="00363097">
        <w:rPr>
          <w:rFonts w:ascii="Wingdings" w:eastAsia="Wingdings" w:hAnsi="Wingdings" w:cs="Wingdings"/>
          <w:noProof/>
        </w:rPr>
        <w:t></w:t>
      </w:r>
      <w:r w:rsidRPr="00363097">
        <w:rPr>
          <w:noProof/>
        </w:rPr>
        <w:tab/>
        <w:t>The proposal/initiative has no financial impact on revenue.</w:t>
      </w:r>
    </w:p>
    <w:p w14:paraId="612AB5EB" w14:textId="77777777" w:rsidR="00081B7A" w:rsidRPr="00363097" w:rsidRDefault="00081B7A" w:rsidP="00A9571C">
      <w:pPr>
        <w:pStyle w:val="ListDash1"/>
        <w:numPr>
          <w:ilvl w:val="0"/>
          <w:numId w:val="68"/>
        </w:numPr>
        <w:tabs>
          <w:tab w:val="num" w:pos="283"/>
        </w:tabs>
        <w:ind w:left="283" w:hanging="283"/>
        <w:rPr>
          <w:noProof/>
        </w:rPr>
      </w:pPr>
      <w:r w:rsidRPr="00363097">
        <w:rPr>
          <w:rFonts w:ascii="Wingdings" w:eastAsia="Wingdings" w:hAnsi="Wingdings" w:cs="Wingdings"/>
          <w:noProof/>
        </w:rPr>
        <w:t></w:t>
      </w:r>
      <w:r w:rsidRPr="00363097">
        <w:rPr>
          <w:noProof/>
        </w:rPr>
        <w:tab/>
        <w:t>The proposal/initiative has the following financial impact:</w:t>
      </w:r>
    </w:p>
    <w:p w14:paraId="3E91F0B5" w14:textId="77777777" w:rsidR="00081B7A" w:rsidRPr="00363097" w:rsidRDefault="00081B7A" w:rsidP="00081B7A">
      <w:pPr>
        <w:pStyle w:val="ListNumberLevel3"/>
        <w:rPr>
          <w:noProof/>
        </w:rPr>
      </w:pPr>
      <w:r w:rsidRPr="00363097">
        <w:rPr>
          <w:rFonts w:ascii="Wingdings" w:eastAsia="Wingdings" w:hAnsi="Wingdings" w:cs="Wingdings"/>
          <w:noProof/>
        </w:rPr>
        <w:t></w:t>
      </w:r>
      <w:r w:rsidRPr="00363097">
        <w:rPr>
          <w:noProof/>
        </w:rPr>
        <w:tab/>
        <w:t xml:space="preserve">on own resources </w:t>
      </w:r>
    </w:p>
    <w:p w14:paraId="7FCC1EA6" w14:textId="77777777" w:rsidR="00081B7A" w:rsidRPr="00363097" w:rsidRDefault="00081B7A" w:rsidP="00A9571C">
      <w:pPr>
        <w:pStyle w:val="ListNumberLevel3"/>
        <w:numPr>
          <w:ilvl w:val="1"/>
          <w:numId w:val="67"/>
        </w:numPr>
        <w:tabs>
          <w:tab w:val="num" w:pos="1417"/>
        </w:tabs>
        <w:ind w:left="1417" w:hanging="708"/>
        <w:rPr>
          <w:noProof/>
        </w:rPr>
      </w:pPr>
      <w:r w:rsidRPr="00363097">
        <w:rPr>
          <w:rFonts w:ascii="Wingdings" w:eastAsia="Wingdings" w:hAnsi="Wingdings" w:cs="Wingdings"/>
          <w:noProof/>
        </w:rPr>
        <w:t></w:t>
      </w:r>
      <w:r w:rsidRPr="00363097">
        <w:rPr>
          <w:noProof/>
        </w:rPr>
        <w:tab/>
        <w:t>on other revenue</w:t>
      </w:r>
    </w:p>
    <w:p w14:paraId="54C0D0C5" w14:textId="77777777" w:rsidR="00081B7A" w:rsidRPr="00363097" w:rsidRDefault="00081B7A" w:rsidP="00081B7A">
      <w:pPr>
        <w:pStyle w:val="ListNumberLevel3"/>
        <w:rPr>
          <w:noProof/>
        </w:rPr>
      </w:pPr>
      <w:r w:rsidRPr="00363097">
        <w:rPr>
          <w:noProof/>
        </w:rPr>
        <w:t xml:space="preserve">please indicate, if the revenue is assigned to expenditure lines </w:t>
      </w:r>
      <w:r w:rsidRPr="00363097">
        <w:rPr>
          <w:rFonts w:ascii="Wingdings" w:eastAsia="Wingdings" w:hAnsi="Wingdings" w:cs="Wingdings"/>
          <w:noProof/>
        </w:rPr>
        <w:t></w:t>
      </w:r>
      <w:r w:rsidRPr="00363097">
        <w:rPr>
          <w:noProof/>
        </w:rPr>
        <w:tab/>
      </w:r>
    </w:p>
    <w:p w14:paraId="0416092F" w14:textId="77777777" w:rsidR="00081B7A" w:rsidRPr="00363097" w:rsidRDefault="00081B7A" w:rsidP="00081B7A">
      <w:pPr>
        <w:rPr>
          <w:i/>
          <w:noProof/>
          <w:sz w:val="20"/>
          <w:lang w:val="en-IE"/>
        </w:rPr>
      </w:pPr>
      <w:r w:rsidRPr="00363097">
        <w:rPr>
          <w:noProof/>
          <w:lang w:val="en-IE"/>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363097" w:rsidRPr="00363097" w14:paraId="12B1018B" w14:textId="77777777">
        <w:trPr>
          <w:trHeight w:val="388"/>
        </w:trPr>
        <w:tc>
          <w:tcPr>
            <w:tcW w:w="2144" w:type="dxa"/>
            <w:vMerge w:val="restart"/>
            <w:vAlign w:val="center"/>
          </w:tcPr>
          <w:p w14:paraId="5C6B0DF7" w14:textId="77777777" w:rsidR="00081B7A" w:rsidRPr="00363097" w:rsidRDefault="00081B7A">
            <w:pPr>
              <w:spacing w:before="40" w:after="40"/>
              <w:rPr>
                <w:noProof/>
                <w:sz w:val="18"/>
              </w:rPr>
            </w:pPr>
            <w:r w:rsidRPr="00363097">
              <w:rPr>
                <w:noProof/>
                <w:sz w:val="18"/>
              </w:rPr>
              <w:t>Budget revenue line:</w:t>
            </w:r>
          </w:p>
        </w:tc>
        <w:tc>
          <w:tcPr>
            <w:tcW w:w="1325" w:type="dxa"/>
            <w:vMerge w:val="restart"/>
            <w:vAlign w:val="center"/>
          </w:tcPr>
          <w:p w14:paraId="120397EC" w14:textId="77777777" w:rsidR="00081B7A" w:rsidRPr="00363097" w:rsidRDefault="00081B7A">
            <w:pPr>
              <w:jc w:val="center"/>
              <w:rPr>
                <w:noProof/>
                <w:sz w:val="18"/>
                <w:lang w:val="en-IE"/>
              </w:rPr>
            </w:pPr>
            <w:r w:rsidRPr="00363097">
              <w:rPr>
                <w:noProof/>
                <w:sz w:val="18"/>
                <w:lang w:val="en-IE"/>
              </w:rPr>
              <w:t>Appropriations available for the current financial year</w:t>
            </w:r>
          </w:p>
        </w:tc>
        <w:tc>
          <w:tcPr>
            <w:tcW w:w="7151" w:type="dxa"/>
            <w:gridSpan w:val="7"/>
            <w:vAlign w:val="center"/>
          </w:tcPr>
          <w:p w14:paraId="2EE7EE62" w14:textId="77777777" w:rsidR="00081B7A" w:rsidRPr="00363097" w:rsidRDefault="00081B7A">
            <w:pPr>
              <w:jc w:val="center"/>
              <w:rPr>
                <w:noProof/>
                <w:sz w:val="18"/>
                <w:lang w:val="en-IE"/>
              </w:rPr>
            </w:pPr>
            <w:r w:rsidRPr="00363097">
              <w:rPr>
                <w:noProof/>
                <w:sz w:val="18"/>
                <w:lang w:val="en-IE"/>
              </w:rPr>
              <w:t>Impact of the proposal/initiative</w:t>
            </w:r>
            <w:r w:rsidRPr="00363097">
              <w:rPr>
                <w:rStyle w:val="FootnoteReference0"/>
                <w:noProof/>
                <w:sz w:val="18"/>
              </w:rPr>
              <w:footnoteReference w:id="53"/>
            </w:r>
          </w:p>
        </w:tc>
      </w:tr>
      <w:tr w:rsidR="00363097" w:rsidRPr="00363097" w14:paraId="2E54E4D5" w14:textId="77777777">
        <w:trPr>
          <w:trHeight w:val="388"/>
        </w:trPr>
        <w:tc>
          <w:tcPr>
            <w:tcW w:w="2144" w:type="dxa"/>
            <w:vMerge/>
          </w:tcPr>
          <w:p w14:paraId="2B94E01A" w14:textId="77777777" w:rsidR="00081B7A" w:rsidRPr="00363097" w:rsidRDefault="00081B7A">
            <w:pPr>
              <w:spacing w:before="40" w:after="40"/>
              <w:rPr>
                <w:noProof/>
                <w:sz w:val="18"/>
                <w:lang w:val="en-IE"/>
              </w:rPr>
            </w:pPr>
          </w:p>
        </w:tc>
        <w:tc>
          <w:tcPr>
            <w:tcW w:w="1325" w:type="dxa"/>
            <w:vMerge/>
          </w:tcPr>
          <w:p w14:paraId="09661E8A" w14:textId="77777777" w:rsidR="00081B7A" w:rsidRPr="00363097" w:rsidRDefault="00081B7A">
            <w:pPr>
              <w:spacing w:beforeLines="40" w:before="96" w:afterLines="40" w:after="96"/>
              <w:rPr>
                <w:i/>
                <w:noProof/>
                <w:sz w:val="18"/>
                <w:lang w:val="en-IE"/>
              </w:rPr>
            </w:pPr>
          </w:p>
        </w:tc>
        <w:tc>
          <w:tcPr>
            <w:tcW w:w="1031" w:type="dxa"/>
            <w:vAlign w:val="center"/>
          </w:tcPr>
          <w:p w14:paraId="2DAE467C" w14:textId="77777777" w:rsidR="00081B7A" w:rsidRPr="00363097" w:rsidRDefault="00081B7A">
            <w:pPr>
              <w:jc w:val="center"/>
              <w:rPr>
                <w:noProof/>
                <w:sz w:val="18"/>
              </w:rPr>
            </w:pPr>
            <w:r w:rsidRPr="00363097">
              <w:rPr>
                <w:noProof/>
                <w:sz w:val="18"/>
              </w:rPr>
              <w:t>Year</w:t>
            </w:r>
            <w:r w:rsidRPr="00363097">
              <w:rPr>
                <w:noProof/>
                <w:sz w:val="22"/>
              </w:rPr>
              <w:br/>
            </w:r>
            <w:r w:rsidRPr="00363097">
              <w:rPr>
                <w:b/>
                <w:noProof/>
                <w:sz w:val="18"/>
              </w:rPr>
              <w:t>N</w:t>
            </w:r>
          </w:p>
        </w:tc>
        <w:tc>
          <w:tcPr>
            <w:tcW w:w="900" w:type="dxa"/>
            <w:vAlign w:val="center"/>
          </w:tcPr>
          <w:p w14:paraId="11D2DF49" w14:textId="77777777" w:rsidR="00081B7A" w:rsidRPr="00363097" w:rsidRDefault="00081B7A">
            <w:pPr>
              <w:jc w:val="center"/>
              <w:rPr>
                <w:noProof/>
                <w:sz w:val="18"/>
              </w:rPr>
            </w:pPr>
            <w:r w:rsidRPr="00363097">
              <w:rPr>
                <w:noProof/>
                <w:sz w:val="18"/>
              </w:rPr>
              <w:t>Year</w:t>
            </w:r>
            <w:r w:rsidRPr="00363097">
              <w:rPr>
                <w:noProof/>
                <w:sz w:val="22"/>
              </w:rPr>
              <w:br/>
            </w:r>
            <w:r w:rsidRPr="00363097">
              <w:rPr>
                <w:b/>
                <w:noProof/>
                <w:sz w:val="18"/>
              </w:rPr>
              <w:t>N+1</w:t>
            </w:r>
          </w:p>
        </w:tc>
        <w:tc>
          <w:tcPr>
            <w:tcW w:w="900" w:type="dxa"/>
            <w:vAlign w:val="center"/>
          </w:tcPr>
          <w:p w14:paraId="61CCBDFF" w14:textId="77777777" w:rsidR="00081B7A" w:rsidRPr="00363097" w:rsidRDefault="00081B7A">
            <w:pPr>
              <w:jc w:val="center"/>
              <w:rPr>
                <w:noProof/>
                <w:sz w:val="18"/>
              </w:rPr>
            </w:pPr>
            <w:r w:rsidRPr="00363097">
              <w:rPr>
                <w:noProof/>
                <w:sz w:val="18"/>
              </w:rPr>
              <w:t>Year</w:t>
            </w:r>
            <w:r w:rsidRPr="00363097">
              <w:rPr>
                <w:noProof/>
                <w:sz w:val="22"/>
              </w:rPr>
              <w:br/>
            </w:r>
            <w:r w:rsidRPr="00363097">
              <w:rPr>
                <w:b/>
                <w:noProof/>
                <w:sz w:val="18"/>
              </w:rPr>
              <w:t>N+2</w:t>
            </w:r>
          </w:p>
        </w:tc>
        <w:tc>
          <w:tcPr>
            <w:tcW w:w="1080" w:type="dxa"/>
            <w:vAlign w:val="center"/>
          </w:tcPr>
          <w:p w14:paraId="06A1CE9C" w14:textId="77777777" w:rsidR="00081B7A" w:rsidRPr="00363097" w:rsidRDefault="00081B7A">
            <w:pPr>
              <w:jc w:val="center"/>
              <w:rPr>
                <w:noProof/>
                <w:sz w:val="18"/>
              </w:rPr>
            </w:pPr>
            <w:r w:rsidRPr="00363097">
              <w:rPr>
                <w:noProof/>
                <w:sz w:val="18"/>
              </w:rPr>
              <w:t>Year</w:t>
            </w:r>
            <w:r w:rsidRPr="00363097">
              <w:rPr>
                <w:noProof/>
                <w:sz w:val="22"/>
              </w:rPr>
              <w:br/>
            </w:r>
            <w:r w:rsidRPr="00363097">
              <w:rPr>
                <w:b/>
                <w:noProof/>
                <w:sz w:val="18"/>
              </w:rPr>
              <w:t>N+3</w:t>
            </w:r>
          </w:p>
        </w:tc>
        <w:tc>
          <w:tcPr>
            <w:tcW w:w="3240" w:type="dxa"/>
            <w:gridSpan w:val="3"/>
            <w:vAlign w:val="center"/>
          </w:tcPr>
          <w:p w14:paraId="087FEA87" w14:textId="77777777" w:rsidR="00081B7A" w:rsidRPr="00363097" w:rsidRDefault="00081B7A">
            <w:pPr>
              <w:jc w:val="center"/>
              <w:rPr>
                <w:b/>
                <w:noProof/>
                <w:sz w:val="18"/>
                <w:lang w:val="en-IE"/>
              </w:rPr>
            </w:pPr>
            <w:r w:rsidRPr="00363097">
              <w:rPr>
                <w:noProof/>
                <w:sz w:val="18"/>
                <w:lang w:val="en-IE"/>
              </w:rPr>
              <w:t>Enter as many years as necessary to show the duration of the impact (see point 1.6)</w:t>
            </w:r>
          </w:p>
        </w:tc>
      </w:tr>
      <w:tr w:rsidR="00363097" w:rsidRPr="00363097" w14:paraId="7C75F36D" w14:textId="77777777">
        <w:trPr>
          <w:trHeight w:val="388"/>
        </w:trPr>
        <w:tc>
          <w:tcPr>
            <w:tcW w:w="2144" w:type="dxa"/>
            <w:vAlign w:val="center"/>
          </w:tcPr>
          <w:p w14:paraId="09DB842B" w14:textId="77777777" w:rsidR="00081B7A" w:rsidRPr="00363097" w:rsidRDefault="00081B7A">
            <w:pPr>
              <w:spacing w:before="40" w:after="40"/>
              <w:rPr>
                <w:noProof/>
                <w:sz w:val="18"/>
              </w:rPr>
            </w:pPr>
            <w:r w:rsidRPr="00363097">
              <w:rPr>
                <w:noProof/>
                <w:sz w:val="18"/>
              </w:rPr>
              <w:t>Article ………….</w:t>
            </w:r>
          </w:p>
        </w:tc>
        <w:tc>
          <w:tcPr>
            <w:tcW w:w="1325" w:type="dxa"/>
          </w:tcPr>
          <w:p w14:paraId="456A0F5B" w14:textId="77777777" w:rsidR="00081B7A" w:rsidRPr="00363097" w:rsidRDefault="00081B7A">
            <w:pPr>
              <w:spacing w:beforeLines="40" w:before="96" w:afterLines="40" w:after="96"/>
              <w:jc w:val="center"/>
              <w:rPr>
                <w:i/>
                <w:noProof/>
                <w:sz w:val="18"/>
              </w:rPr>
            </w:pPr>
          </w:p>
        </w:tc>
        <w:tc>
          <w:tcPr>
            <w:tcW w:w="1031" w:type="dxa"/>
          </w:tcPr>
          <w:p w14:paraId="10DBF692" w14:textId="77777777" w:rsidR="00081B7A" w:rsidRPr="00363097" w:rsidRDefault="00081B7A">
            <w:pPr>
              <w:spacing w:beforeLines="40" w:before="96" w:afterLines="40" w:after="96"/>
              <w:jc w:val="center"/>
              <w:rPr>
                <w:noProof/>
                <w:sz w:val="18"/>
              </w:rPr>
            </w:pPr>
          </w:p>
        </w:tc>
        <w:tc>
          <w:tcPr>
            <w:tcW w:w="900" w:type="dxa"/>
          </w:tcPr>
          <w:p w14:paraId="618EF0B7" w14:textId="77777777" w:rsidR="00081B7A" w:rsidRPr="00363097" w:rsidRDefault="00081B7A">
            <w:pPr>
              <w:spacing w:beforeLines="40" w:before="96" w:afterLines="40" w:after="96"/>
              <w:jc w:val="center"/>
              <w:rPr>
                <w:noProof/>
                <w:sz w:val="18"/>
              </w:rPr>
            </w:pPr>
          </w:p>
        </w:tc>
        <w:tc>
          <w:tcPr>
            <w:tcW w:w="900" w:type="dxa"/>
          </w:tcPr>
          <w:p w14:paraId="43B586BB" w14:textId="77777777" w:rsidR="00081B7A" w:rsidRPr="00363097" w:rsidRDefault="00081B7A">
            <w:pPr>
              <w:spacing w:beforeLines="40" w:before="96" w:afterLines="40" w:after="96"/>
              <w:jc w:val="center"/>
              <w:rPr>
                <w:noProof/>
                <w:sz w:val="18"/>
              </w:rPr>
            </w:pPr>
          </w:p>
        </w:tc>
        <w:tc>
          <w:tcPr>
            <w:tcW w:w="1080" w:type="dxa"/>
          </w:tcPr>
          <w:p w14:paraId="25FE7D24" w14:textId="77777777" w:rsidR="00081B7A" w:rsidRPr="00363097" w:rsidRDefault="00081B7A">
            <w:pPr>
              <w:spacing w:beforeLines="40" w:before="96" w:afterLines="40" w:after="96"/>
              <w:jc w:val="center"/>
              <w:rPr>
                <w:noProof/>
                <w:sz w:val="18"/>
              </w:rPr>
            </w:pPr>
          </w:p>
        </w:tc>
        <w:tc>
          <w:tcPr>
            <w:tcW w:w="1080" w:type="dxa"/>
          </w:tcPr>
          <w:p w14:paraId="2F139350" w14:textId="77777777" w:rsidR="00081B7A" w:rsidRPr="00363097" w:rsidRDefault="00081B7A">
            <w:pPr>
              <w:spacing w:beforeLines="40" w:before="96" w:afterLines="40" w:after="96"/>
              <w:jc w:val="center"/>
              <w:rPr>
                <w:noProof/>
                <w:sz w:val="18"/>
              </w:rPr>
            </w:pPr>
          </w:p>
        </w:tc>
        <w:tc>
          <w:tcPr>
            <w:tcW w:w="1080" w:type="dxa"/>
          </w:tcPr>
          <w:p w14:paraId="1D07379C" w14:textId="77777777" w:rsidR="00081B7A" w:rsidRPr="00363097" w:rsidRDefault="00081B7A">
            <w:pPr>
              <w:spacing w:beforeLines="40" w:before="96" w:afterLines="40" w:after="96"/>
              <w:jc w:val="center"/>
              <w:rPr>
                <w:noProof/>
                <w:sz w:val="18"/>
              </w:rPr>
            </w:pPr>
          </w:p>
        </w:tc>
        <w:tc>
          <w:tcPr>
            <w:tcW w:w="1080" w:type="dxa"/>
          </w:tcPr>
          <w:p w14:paraId="38ED2374" w14:textId="77777777" w:rsidR="00081B7A" w:rsidRPr="00363097" w:rsidRDefault="00081B7A">
            <w:pPr>
              <w:spacing w:beforeLines="40" w:before="96" w:afterLines="40" w:after="96"/>
              <w:jc w:val="center"/>
              <w:rPr>
                <w:noProof/>
                <w:sz w:val="18"/>
              </w:rPr>
            </w:pPr>
          </w:p>
        </w:tc>
      </w:tr>
    </w:tbl>
    <w:p w14:paraId="54089814" w14:textId="77777777" w:rsidR="00081B7A" w:rsidRPr="00363097" w:rsidRDefault="00081B7A" w:rsidP="00081B7A">
      <w:pPr>
        <w:pStyle w:val="Text1"/>
        <w:rPr>
          <w:noProof/>
          <w:sz w:val="20"/>
        </w:rPr>
      </w:pPr>
      <w:r w:rsidRPr="00363097">
        <w:rPr>
          <w:noProof/>
          <w:sz w:val="20"/>
        </w:rPr>
        <w:t>For assigned revenue, specify the budget expenditure line(s) affected.</w:t>
      </w:r>
    </w:p>
    <w:p w14:paraId="68BF1E4A"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w:t>
      </w:r>
    </w:p>
    <w:p w14:paraId="06F9F3B9" w14:textId="77777777" w:rsidR="00081B7A" w:rsidRPr="00363097" w:rsidRDefault="00081B7A" w:rsidP="00081B7A">
      <w:pPr>
        <w:pStyle w:val="Text1"/>
        <w:rPr>
          <w:noProof/>
          <w:sz w:val="20"/>
        </w:rPr>
      </w:pPr>
      <w:r w:rsidRPr="00363097">
        <w:rPr>
          <w:noProof/>
          <w:sz w:val="20"/>
        </w:rPr>
        <w:t>Other remarks (e.g. method/formula used for calculating the impact on revenue or any other information).</w:t>
      </w:r>
    </w:p>
    <w:p w14:paraId="3E07B6D5" w14:textId="77777777" w:rsidR="00081B7A" w:rsidRPr="00363097" w:rsidRDefault="00081B7A" w:rsidP="00081B7A">
      <w:pPr>
        <w:pStyle w:val="Text1"/>
        <w:pBdr>
          <w:top w:val="single" w:sz="4" w:space="1" w:color="auto"/>
          <w:left w:val="single" w:sz="4" w:space="4" w:color="auto"/>
          <w:bottom w:val="single" w:sz="4" w:space="1" w:color="auto"/>
          <w:right w:val="single" w:sz="4" w:space="4" w:color="auto"/>
        </w:pBdr>
        <w:rPr>
          <w:noProof/>
        </w:rPr>
      </w:pPr>
      <w:r w:rsidRPr="00363097">
        <w:rPr>
          <w:noProof/>
        </w:rPr>
        <w:t>[…]</w:t>
      </w:r>
    </w:p>
    <w:sectPr w:rsidR="00081B7A" w:rsidRPr="00363097" w:rsidSect="008D52AB">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10360" w14:textId="77777777" w:rsidR="00E36A22" w:rsidRDefault="00E36A22" w:rsidP="00081B7A">
      <w:pPr>
        <w:spacing w:before="0" w:after="0"/>
      </w:pPr>
      <w:r>
        <w:separator/>
      </w:r>
    </w:p>
    <w:p w14:paraId="012B585D" w14:textId="77777777" w:rsidR="00E36A22" w:rsidRDefault="00E36A22" w:rsidP="00363097"/>
  </w:endnote>
  <w:endnote w:type="continuationSeparator" w:id="0">
    <w:p w14:paraId="7B3E07C7" w14:textId="77777777" w:rsidR="00E36A22" w:rsidRDefault="00E36A22" w:rsidP="00081B7A">
      <w:pPr>
        <w:spacing w:before="0" w:after="0"/>
      </w:pPr>
      <w:r>
        <w:continuationSeparator/>
      </w:r>
    </w:p>
    <w:p w14:paraId="15BD4E5D" w14:textId="77777777" w:rsidR="00E36A22" w:rsidRDefault="00E36A22" w:rsidP="00363097"/>
  </w:endnote>
  <w:endnote w:type="continuationNotice" w:id="1">
    <w:p w14:paraId="6EBE0A8B" w14:textId="77777777" w:rsidR="00E36A22" w:rsidRDefault="00E36A22">
      <w:pPr>
        <w:spacing w:before="0" w:after="0"/>
      </w:pPr>
    </w:p>
    <w:p w14:paraId="0BA76804" w14:textId="77777777" w:rsidR="00E36A22" w:rsidRDefault="00E36A22" w:rsidP="005016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3D0D1" w14:textId="53E99A27" w:rsidR="006C1A08" w:rsidRPr="008D52AB" w:rsidRDefault="008D52AB" w:rsidP="008D52AB">
    <w:pPr>
      <w:pStyle w:val="Footer"/>
      <w:rPr>
        <w:rFonts w:ascii="Arial" w:hAnsi="Arial" w:cs="Arial"/>
        <w:b/>
        <w:sz w:val="48"/>
      </w:rPr>
    </w:pPr>
    <w:r w:rsidRPr="008D52AB">
      <w:rPr>
        <w:rFonts w:ascii="Arial" w:hAnsi="Arial" w:cs="Arial"/>
        <w:b/>
        <w:sz w:val="48"/>
      </w:rPr>
      <w:t>EN</w:t>
    </w:r>
    <w:r w:rsidRPr="008D52AB">
      <w:rPr>
        <w:rFonts w:ascii="Arial" w:hAnsi="Arial" w:cs="Arial"/>
        <w:b/>
        <w:sz w:val="48"/>
      </w:rPr>
      <w:tab/>
    </w:r>
    <w:r w:rsidRPr="008D52AB">
      <w:rPr>
        <w:rFonts w:ascii="Arial" w:hAnsi="Arial" w:cs="Arial"/>
        <w:b/>
        <w:sz w:val="48"/>
      </w:rPr>
      <w:tab/>
    </w:r>
    <w:r w:rsidRPr="008D52AB">
      <w:tab/>
    </w:r>
    <w:r w:rsidRPr="008D52A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551F" w14:textId="4EDA1E93" w:rsidR="008D52AB" w:rsidRPr="008D52AB" w:rsidRDefault="008D52AB" w:rsidP="008D52AB">
    <w:pPr>
      <w:pStyle w:val="Footer"/>
      <w:rPr>
        <w:rFonts w:ascii="Arial" w:hAnsi="Arial" w:cs="Arial"/>
        <w:b/>
        <w:sz w:val="48"/>
      </w:rPr>
    </w:pPr>
    <w:r w:rsidRPr="008D52AB">
      <w:rPr>
        <w:rFonts w:ascii="Arial" w:hAnsi="Arial" w:cs="Arial"/>
        <w:b/>
        <w:sz w:val="48"/>
      </w:rPr>
      <w:t>EN</w:t>
    </w:r>
    <w:r w:rsidRPr="008D52AB">
      <w:rPr>
        <w:rFonts w:ascii="Arial" w:hAnsi="Arial" w:cs="Arial"/>
        <w:b/>
        <w:sz w:val="48"/>
      </w:rPr>
      <w:tab/>
    </w:r>
    <w:r>
      <w:fldChar w:fldCharType="begin"/>
    </w:r>
    <w:r>
      <w:instrText xml:space="preserve"> PAGE  \* MERGEFORMAT </w:instrText>
    </w:r>
    <w:r>
      <w:fldChar w:fldCharType="separate"/>
    </w:r>
    <w:r w:rsidR="00D0687A">
      <w:rPr>
        <w:noProof/>
      </w:rPr>
      <w:t>45</w:t>
    </w:r>
    <w:r>
      <w:fldChar w:fldCharType="end"/>
    </w:r>
    <w:r>
      <w:tab/>
    </w:r>
    <w:r w:rsidRPr="008D52AB">
      <w:tab/>
    </w:r>
    <w:r w:rsidRPr="008D52A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63AC" w14:textId="77777777" w:rsidR="008D52AB" w:rsidRPr="008D52AB" w:rsidRDefault="008D52AB" w:rsidP="008D52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5FD3" w14:textId="6484BF4F" w:rsidR="008D52AB" w:rsidRPr="008D52AB" w:rsidRDefault="008D52AB" w:rsidP="008D52AB">
    <w:pPr>
      <w:pStyle w:val="FooterLandscape"/>
      <w:rPr>
        <w:rFonts w:ascii="Arial" w:hAnsi="Arial" w:cs="Arial"/>
        <w:b/>
        <w:sz w:val="48"/>
      </w:rPr>
    </w:pPr>
    <w:r w:rsidRPr="008D52AB">
      <w:rPr>
        <w:rFonts w:ascii="Arial" w:hAnsi="Arial" w:cs="Arial"/>
        <w:b/>
        <w:sz w:val="48"/>
      </w:rPr>
      <w:t>EN</w:t>
    </w:r>
    <w:r w:rsidRPr="008D52A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D52AB">
      <w:tab/>
    </w:r>
    <w:r w:rsidRPr="008D52AB">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F9BF" w14:textId="77777777" w:rsidR="008D52AB" w:rsidRPr="008D52AB" w:rsidRDefault="008D52AB" w:rsidP="008D52AB">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40E8" w14:textId="6DF1B25B" w:rsidR="008D52AB" w:rsidRPr="008D52AB" w:rsidRDefault="008D52AB" w:rsidP="008D52AB">
    <w:pPr>
      <w:pStyle w:val="Footer"/>
      <w:rPr>
        <w:rFonts w:ascii="Arial" w:hAnsi="Arial" w:cs="Arial"/>
        <w:b/>
        <w:sz w:val="48"/>
      </w:rPr>
    </w:pPr>
    <w:r w:rsidRPr="008D52AB">
      <w:rPr>
        <w:rFonts w:ascii="Arial" w:hAnsi="Arial" w:cs="Arial"/>
        <w:b/>
        <w:sz w:val="48"/>
      </w:rPr>
      <w:t>EN</w:t>
    </w:r>
    <w:r w:rsidRPr="008D52A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D52AB">
      <w:tab/>
    </w:r>
    <w:r w:rsidRPr="008D52AB">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8032" w14:textId="77777777" w:rsidR="008D52AB" w:rsidRPr="008D52AB" w:rsidRDefault="008D52AB" w:rsidP="008D5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455C7" w14:textId="77777777" w:rsidR="00E36A22" w:rsidRDefault="00E36A22" w:rsidP="00081B7A">
      <w:pPr>
        <w:spacing w:before="0" w:after="0"/>
      </w:pPr>
      <w:r>
        <w:separator/>
      </w:r>
    </w:p>
    <w:p w14:paraId="681BA9D4" w14:textId="77777777" w:rsidR="00E36A22" w:rsidRDefault="00E36A22" w:rsidP="00363097"/>
  </w:footnote>
  <w:footnote w:type="continuationSeparator" w:id="0">
    <w:p w14:paraId="5C5EE2B1" w14:textId="77777777" w:rsidR="00E36A22" w:rsidRDefault="00E36A22" w:rsidP="00081B7A">
      <w:pPr>
        <w:spacing w:before="0" w:after="0"/>
      </w:pPr>
      <w:r>
        <w:continuationSeparator/>
      </w:r>
    </w:p>
    <w:p w14:paraId="3F2B8AED" w14:textId="77777777" w:rsidR="00E36A22" w:rsidRDefault="00E36A22" w:rsidP="00363097"/>
  </w:footnote>
  <w:footnote w:type="continuationNotice" w:id="1">
    <w:p w14:paraId="5A9CAEA6" w14:textId="77777777" w:rsidR="00E36A22" w:rsidRDefault="00E36A22">
      <w:pPr>
        <w:spacing w:before="0" w:after="0"/>
      </w:pPr>
    </w:p>
    <w:p w14:paraId="47E4EBB9" w14:textId="77777777" w:rsidR="00E36A22" w:rsidRDefault="00E36A22" w:rsidP="00501613">
      <w:pPr>
        <w:spacing w:before="0" w:after="0"/>
      </w:pPr>
    </w:p>
  </w:footnote>
  <w:footnote w:id="2">
    <w:p w14:paraId="66207242" w14:textId="77777777" w:rsidR="00756CF4" w:rsidRPr="00763286" w:rsidRDefault="00756CF4" w:rsidP="00756CF4">
      <w:pPr>
        <w:pStyle w:val="FootnoteText"/>
        <w:rPr>
          <w:lang w:val="en-IE"/>
        </w:rPr>
      </w:pPr>
      <w:r w:rsidRPr="00917A44">
        <w:rPr>
          <w:rStyle w:val="FootnoteReference0"/>
        </w:rPr>
        <w:footnoteRef/>
      </w:r>
      <w:r w:rsidR="00917A44">
        <w:tab/>
      </w:r>
      <w:r w:rsidRPr="00BC5EA6">
        <w:rPr>
          <w:lang w:val="en-IE"/>
        </w:rPr>
        <w:t>COM(2021) 251 final</w:t>
      </w:r>
    </w:p>
  </w:footnote>
  <w:footnote w:id="3">
    <w:p w14:paraId="05CC4079" w14:textId="77777777" w:rsidR="00756CF4" w:rsidRPr="003D3AFA" w:rsidRDefault="00756CF4" w:rsidP="00756CF4">
      <w:pPr>
        <w:pStyle w:val="FootnoteText"/>
        <w:rPr>
          <w:lang w:val="en-IE"/>
        </w:rPr>
      </w:pPr>
      <w:r w:rsidRPr="00917A44">
        <w:rPr>
          <w:rStyle w:val="FootnoteReference0"/>
        </w:rPr>
        <w:footnoteRef/>
      </w:r>
      <w:r w:rsidR="00917A44">
        <w:tab/>
      </w:r>
      <w:r w:rsidRPr="003D3AFA">
        <w:t xml:space="preserve">COM(2022) 548 final </w:t>
      </w:r>
    </w:p>
  </w:footnote>
  <w:footnote w:id="4">
    <w:p w14:paraId="07D2040E" w14:textId="77777777" w:rsidR="00756CF4" w:rsidRPr="003D3AFA" w:rsidRDefault="00756CF4" w:rsidP="00756CF4">
      <w:pPr>
        <w:pStyle w:val="FootnoteText"/>
        <w:rPr>
          <w:lang w:val="en-IE"/>
        </w:rPr>
      </w:pPr>
      <w:r w:rsidRPr="00917A44">
        <w:rPr>
          <w:rStyle w:val="FootnoteReference0"/>
        </w:rPr>
        <w:footnoteRef/>
      </w:r>
      <w:r w:rsidR="00917A44">
        <w:tab/>
      </w:r>
      <w:r w:rsidRPr="003D3AFA">
        <w:t>COM(2021) 566 final</w:t>
      </w:r>
    </w:p>
  </w:footnote>
  <w:footnote w:id="5">
    <w:p w14:paraId="1EF23301" w14:textId="77777777" w:rsidR="00081B7A" w:rsidRPr="00A53A23" w:rsidRDefault="00081B7A" w:rsidP="00081B7A">
      <w:pPr>
        <w:pStyle w:val="FootnoteText"/>
        <w:rPr>
          <w:lang w:val="pt-BR"/>
        </w:rPr>
      </w:pPr>
      <w:r w:rsidRPr="00634382">
        <w:rPr>
          <w:rStyle w:val="FootnoteReference0"/>
        </w:rPr>
        <w:footnoteRef/>
      </w:r>
      <w:r>
        <w:rPr>
          <w:lang w:val="pt-BR"/>
        </w:rPr>
        <w:tab/>
      </w:r>
      <w:r w:rsidRPr="00A53A23">
        <w:rPr>
          <w:lang w:val="pt-BR"/>
        </w:rPr>
        <w:t>COM(2011) 121/4 final.</w:t>
      </w:r>
    </w:p>
  </w:footnote>
  <w:footnote w:id="6">
    <w:p w14:paraId="4C9B5D64" w14:textId="77777777" w:rsidR="00081B7A" w:rsidRPr="00A53A23" w:rsidRDefault="00081B7A" w:rsidP="00081B7A">
      <w:pPr>
        <w:pStyle w:val="FootnoteText"/>
        <w:rPr>
          <w:lang w:val="pt-BR"/>
        </w:rPr>
      </w:pPr>
      <w:r w:rsidRPr="00634382">
        <w:rPr>
          <w:rStyle w:val="FootnoteReference0"/>
        </w:rPr>
        <w:footnoteRef/>
      </w:r>
      <w:r>
        <w:rPr>
          <w:lang w:val="pt-BR"/>
        </w:rPr>
        <w:tab/>
      </w:r>
      <w:r w:rsidRPr="00A53A23">
        <w:rPr>
          <w:lang w:val="pt-BR"/>
        </w:rPr>
        <w:t>COM(2016) 685 final; COM(2016) 683 final.</w:t>
      </w:r>
    </w:p>
  </w:footnote>
  <w:footnote w:id="7">
    <w:p w14:paraId="7F5AAFB9" w14:textId="77777777" w:rsidR="00081B7A" w:rsidRPr="003D3AFA" w:rsidRDefault="00081B7A" w:rsidP="0057698F">
      <w:pPr>
        <w:spacing w:before="0" w:after="0"/>
        <w:ind w:left="720" w:hanging="720"/>
        <w:rPr>
          <w:sz w:val="20"/>
          <w:szCs w:val="20"/>
          <w:lang w:val="en-IE"/>
        </w:rPr>
      </w:pPr>
      <w:r w:rsidRPr="00917A44">
        <w:rPr>
          <w:rStyle w:val="FootnoteReference0"/>
        </w:rPr>
        <w:footnoteRef/>
      </w:r>
      <w:r w:rsidRPr="003D3AFA">
        <w:rPr>
          <w:sz w:val="20"/>
          <w:szCs w:val="20"/>
          <w:lang w:val="en-IE"/>
        </w:rPr>
        <w:tab/>
        <w:t>Interinstitutional Agreement between the European Parliament, the Council of the European Union and the European Commission on budgetary discipline, on cooperation in budgetary matters and on sound financial management, as well as on new own resources, including a roadmap towards the introduction of new own resources.</w:t>
      </w:r>
    </w:p>
  </w:footnote>
  <w:footnote w:id="8">
    <w:p w14:paraId="551449B6" w14:textId="77777777" w:rsidR="00F11A5C" w:rsidRPr="000D18CE" w:rsidRDefault="00F11A5C" w:rsidP="00F11A5C">
      <w:pPr>
        <w:pStyle w:val="FootnoteText"/>
        <w:rPr>
          <w:lang w:val="en-IE"/>
        </w:rPr>
      </w:pPr>
      <w:r w:rsidRPr="00634382">
        <w:rPr>
          <w:rStyle w:val="FootnoteReference0"/>
        </w:rPr>
        <w:footnoteRef/>
      </w:r>
      <w:r>
        <w:rPr>
          <w:lang w:val="en-IE"/>
        </w:rPr>
        <w:tab/>
      </w:r>
      <w:r w:rsidRPr="000D18CE">
        <w:rPr>
          <w:lang w:val="en-IE"/>
        </w:rPr>
        <w:t>Statement on a Two-Pillar Solution to Address the Tax Challenges Arising from the Digitalisation of the</w:t>
      </w:r>
      <w:r>
        <w:rPr>
          <w:lang w:val="en-IE"/>
        </w:rPr>
        <w:t xml:space="preserve"> </w:t>
      </w:r>
      <w:r w:rsidRPr="000D18CE">
        <w:rPr>
          <w:lang w:val="en-IE"/>
        </w:rPr>
        <w:t xml:space="preserve">Economy – 8 October 2021, OECD/G20 Base Erosion and Profit Shifting Project. </w:t>
      </w:r>
    </w:p>
  </w:footnote>
  <w:footnote w:id="9">
    <w:p w14:paraId="065CAE8D" w14:textId="770C0328" w:rsidR="00864C79" w:rsidRPr="00363097" w:rsidRDefault="00864C79">
      <w:pPr>
        <w:pStyle w:val="FootnoteText"/>
        <w:rPr>
          <w:lang w:val="en-IE"/>
        </w:rPr>
      </w:pPr>
      <w:r w:rsidRPr="00917A44">
        <w:rPr>
          <w:rStyle w:val="FootnoteReference0"/>
        </w:rPr>
        <w:footnoteRef/>
      </w:r>
      <w:r w:rsidR="00917A44">
        <w:tab/>
      </w:r>
      <w:r w:rsidR="00C13FAE" w:rsidRPr="00C13FAE">
        <w:t>Council Directive (EU) 2022/2523 of 14 December 2022 on ensuring a global minimum level of taxation for multinational enterprise groups and large-scale domestic groups in the Union</w:t>
      </w:r>
      <w:r w:rsidR="00C13FAE">
        <w:t xml:space="preserve"> (</w:t>
      </w:r>
      <w:r w:rsidR="00B3495C" w:rsidRPr="00B3495C">
        <w:t>OJ L 328, 22.12.2022, p. 1</w:t>
      </w:r>
      <w:r w:rsidR="00C13FAE">
        <w:t>)</w:t>
      </w:r>
    </w:p>
  </w:footnote>
  <w:footnote w:id="10">
    <w:p w14:paraId="2CA10C20" w14:textId="77777777" w:rsidR="00B42980" w:rsidRPr="007753C2" w:rsidRDefault="00B42980" w:rsidP="00B42980">
      <w:pPr>
        <w:pStyle w:val="FootnoteText"/>
        <w:rPr>
          <w:lang w:val="en-IE"/>
        </w:rPr>
      </w:pPr>
      <w:r w:rsidRPr="00634382">
        <w:rPr>
          <w:rStyle w:val="FootnoteReference0"/>
        </w:rPr>
        <w:footnoteRef/>
      </w:r>
      <w:r>
        <w:tab/>
      </w:r>
      <w:r w:rsidRPr="00600189">
        <w:rPr>
          <w:lang w:val="en-IE"/>
        </w:rPr>
        <w:t xml:space="preserve">Proposal for a COUNCIL DIRECTIVE on laying down rules on a debt-equity bias reduction allowance and on limiting the deductibility of interest for corporate income tax purposes, COM/2022/216 final. </w:t>
      </w:r>
    </w:p>
  </w:footnote>
  <w:footnote w:id="11">
    <w:p w14:paraId="395AE43E" w14:textId="77777777" w:rsidR="00B42980" w:rsidRPr="007753C2" w:rsidRDefault="00B42980" w:rsidP="00B42980">
      <w:pPr>
        <w:pStyle w:val="FootnoteText"/>
        <w:rPr>
          <w:lang w:val="en-IE"/>
        </w:rPr>
      </w:pPr>
      <w:r w:rsidRPr="00634382">
        <w:rPr>
          <w:rStyle w:val="FootnoteReference0"/>
        </w:rPr>
        <w:footnoteRef/>
      </w:r>
      <w:r>
        <w:tab/>
      </w:r>
      <w:r w:rsidRPr="00EF391E">
        <w:t>Proposal for a COUNCIL DIRECTIVE laying down rules to prevent the misuse of shell entities for tax purposes and amending Directive 2011/16/EU</w:t>
      </w:r>
      <w:r>
        <w:t xml:space="preserve">, </w:t>
      </w:r>
      <w:r w:rsidRPr="00AF5516">
        <w:t>COM/2021/565 final</w:t>
      </w:r>
      <w:r>
        <w:t xml:space="preserve">. </w:t>
      </w:r>
    </w:p>
  </w:footnote>
  <w:footnote w:id="12">
    <w:p w14:paraId="6EF2F656" w14:textId="22E20F4B" w:rsidR="00081B7A" w:rsidRPr="00537D3C" w:rsidRDefault="00081B7A" w:rsidP="00081B7A">
      <w:pPr>
        <w:pStyle w:val="FootnoteText"/>
        <w:rPr>
          <w:lang w:val="en-IE"/>
        </w:rPr>
      </w:pPr>
      <w:r w:rsidRPr="00634382">
        <w:rPr>
          <w:rStyle w:val="FootnoteReference0"/>
        </w:rPr>
        <w:footnoteRef/>
      </w:r>
      <w:r>
        <w:tab/>
        <w:t>Council Directive 2011/96/EU of 30 November 2011 on the common system of taxation applicable in the case of parent companies and subsidiaries of different Member States (recast) (OJ L 345, 29.12.2011, p. 8)</w:t>
      </w:r>
    </w:p>
  </w:footnote>
  <w:footnote w:id="13">
    <w:p w14:paraId="79E13CF2" w14:textId="55716A2A" w:rsidR="00081B7A" w:rsidRPr="00537D3C" w:rsidRDefault="00081B7A" w:rsidP="00081B7A">
      <w:pPr>
        <w:pStyle w:val="FootnoteText"/>
        <w:rPr>
          <w:lang w:val="en-IE"/>
        </w:rPr>
      </w:pPr>
      <w:r w:rsidRPr="00634382">
        <w:rPr>
          <w:rStyle w:val="FootnoteReference0"/>
        </w:rPr>
        <w:footnoteRef/>
      </w:r>
      <w:r>
        <w:tab/>
      </w:r>
      <w:r w:rsidRPr="00B837EB">
        <w:rPr>
          <w:lang w:val="en-IE"/>
        </w:rPr>
        <w:t>Council Directive 2003/49/EC of 3 June 2003 on a common system of taxation applicable to interest and royalty payments made between associated companies of different Member States</w:t>
      </w:r>
      <w:r>
        <w:rPr>
          <w:lang w:val="en-IE"/>
        </w:rPr>
        <w:t xml:space="preserve"> (</w:t>
      </w:r>
      <w:r w:rsidRPr="00B837EB">
        <w:rPr>
          <w:lang w:val="en-IE"/>
        </w:rPr>
        <w:t>OJ L 157, 26.6.2003, p. 49</w:t>
      </w:r>
      <w:r>
        <w:rPr>
          <w:lang w:val="en-IE"/>
        </w:rPr>
        <w:t>)</w:t>
      </w:r>
    </w:p>
  </w:footnote>
  <w:footnote w:id="14">
    <w:p w14:paraId="50EC0BEB" w14:textId="77777777" w:rsidR="00081B7A" w:rsidRDefault="00081B7A" w:rsidP="00081B7A">
      <w:pPr>
        <w:pStyle w:val="FootnoteText"/>
      </w:pPr>
      <w:r w:rsidRPr="00634382">
        <w:rPr>
          <w:rStyle w:val="FootnoteReference0"/>
        </w:rPr>
        <w:footnoteRef/>
      </w:r>
      <w:r>
        <w:tab/>
      </w:r>
      <w:r w:rsidRPr="00104842">
        <w:rPr>
          <w:rFonts w:asciiTheme="minorHAnsi" w:hAnsiTheme="minorHAnsi" w:cstheme="minorBidi"/>
          <w:sz w:val="22"/>
          <w:lang w:val="en-IE"/>
        </w:rPr>
        <w:t>C</w:t>
      </w:r>
      <w:r w:rsidRPr="00104842">
        <w:rPr>
          <w:lang w:val="en-IE"/>
        </w:rPr>
        <w:t>ouncil Directive 2009/133/EC of 19 October 2009 on the common system of taxation applicable to mergers, divisions, partial divisions, transfers of assets and exchanges of shares concerning companies of different Member States and to the transfer of the registered office of an SE or SCE between Member States</w:t>
      </w:r>
      <w:r>
        <w:rPr>
          <w:lang w:val="en-IE"/>
        </w:rPr>
        <w:t>.</w:t>
      </w:r>
    </w:p>
  </w:footnote>
  <w:footnote w:id="15">
    <w:p w14:paraId="0A9227E4" w14:textId="77777777" w:rsidR="00081B7A" w:rsidRPr="00A205C2" w:rsidRDefault="00081B7A" w:rsidP="00081B7A">
      <w:pPr>
        <w:pStyle w:val="FootnoteText"/>
        <w:rPr>
          <w:lang w:val="en-US"/>
        </w:rPr>
      </w:pPr>
      <w:r w:rsidRPr="00634382">
        <w:rPr>
          <w:rStyle w:val="FootnoteReference0"/>
        </w:rPr>
        <w:footnoteRef/>
      </w:r>
      <w:r>
        <w:tab/>
      </w:r>
      <w:r w:rsidRPr="005F2D44">
        <w:rPr>
          <w:lang w:val="en-US"/>
        </w:rPr>
        <w:t>Council Directive 2011/16/EU of 15 February 2011 on administrative cooperation in the field of taxation and repealing Directive 77/799/EEC</w:t>
      </w:r>
      <w:r>
        <w:rPr>
          <w:lang w:val="en-US"/>
        </w:rPr>
        <w:t xml:space="preserve"> </w:t>
      </w:r>
      <w:r w:rsidRPr="00AC7C41">
        <w:rPr>
          <w:lang w:val="en-US"/>
        </w:rPr>
        <w:t>(OJ L 64, 11.3.2011, p. 1)</w:t>
      </w:r>
    </w:p>
  </w:footnote>
  <w:footnote w:id="16">
    <w:p w14:paraId="2411106D" w14:textId="7B02B6C1" w:rsidR="00081B7A" w:rsidRPr="00A205C2" w:rsidRDefault="00081B7A" w:rsidP="00081B7A">
      <w:pPr>
        <w:pStyle w:val="FootnoteText"/>
        <w:rPr>
          <w:lang w:val="en-US"/>
        </w:rPr>
      </w:pPr>
      <w:r w:rsidRPr="00634382">
        <w:rPr>
          <w:rStyle w:val="FootnoteReference0"/>
        </w:rPr>
        <w:footnoteRef/>
      </w:r>
      <w:r>
        <w:tab/>
      </w:r>
      <w:r w:rsidRPr="00D06646">
        <w:rPr>
          <w:lang w:val="en-US"/>
        </w:rPr>
        <w:t>Council Directive (EU) 2016/881 of 25 May 2016 amending Directive 2011/16/EU as regards mandatory automatic exchange of information in the field of taxation</w:t>
      </w:r>
      <w:r>
        <w:rPr>
          <w:lang w:val="en-US"/>
        </w:rPr>
        <w:t xml:space="preserve"> (</w:t>
      </w:r>
      <w:r w:rsidRPr="00FC794A">
        <w:rPr>
          <w:lang w:val="en-US"/>
        </w:rPr>
        <w:t>OJ L 146, 3.6.2016, p. 8</w:t>
      </w:r>
      <w:r>
        <w:rPr>
          <w:lang w:val="en-US"/>
        </w:rPr>
        <w:t xml:space="preserve">). </w:t>
      </w:r>
    </w:p>
  </w:footnote>
  <w:footnote w:id="17">
    <w:p w14:paraId="3DAFDAB9" w14:textId="77777777" w:rsidR="00081B7A" w:rsidRPr="002F7B50" w:rsidRDefault="00081B7A" w:rsidP="00081B7A">
      <w:pPr>
        <w:pStyle w:val="FootnoteText"/>
        <w:rPr>
          <w:highlight w:val="yellow"/>
          <w:lang w:val="en-IE"/>
        </w:rPr>
      </w:pPr>
      <w:r w:rsidRPr="00634382">
        <w:rPr>
          <w:rStyle w:val="FootnoteReference0"/>
        </w:rPr>
        <w:footnoteRef/>
      </w:r>
      <w:r>
        <w:rPr>
          <w:lang w:val="en-IE"/>
        </w:rPr>
        <w:tab/>
      </w:r>
      <w:r w:rsidRPr="005F2D44">
        <w:rPr>
          <w:lang w:val="en-US"/>
        </w:rPr>
        <w:t>Council Directive (EU) 2016/1164 of 12 July 2016 laying down rules against tax avoidance practices that directly affect the functioning of the internal market</w:t>
      </w:r>
      <w:r w:rsidRPr="00AC7C41">
        <w:t xml:space="preserve"> </w:t>
      </w:r>
      <w:r>
        <w:t>(</w:t>
      </w:r>
      <w:r w:rsidRPr="00AC7C41">
        <w:rPr>
          <w:lang w:val="en-US"/>
        </w:rPr>
        <w:t>OJ L 193, 19.7.2016, p. 1)</w:t>
      </w:r>
    </w:p>
  </w:footnote>
  <w:footnote w:id="18">
    <w:p w14:paraId="1E66BCBB" w14:textId="77777777" w:rsidR="00183CFA" w:rsidRPr="00363097" w:rsidRDefault="00183CFA">
      <w:pPr>
        <w:pStyle w:val="FootnoteText"/>
        <w:rPr>
          <w:lang w:val="en-IE"/>
        </w:rPr>
      </w:pPr>
      <w:r w:rsidRPr="00917A44">
        <w:rPr>
          <w:rStyle w:val="FootnoteReference0"/>
        </w:rPr>
        <w:footnoteRef/>
      </w:r>
      <w:r w:rsidR="00917A44">
        <w:tab/>
      </w:r>
      <w:hyperlink r:id="rId1" w:history="1">
        <w:r w:rsidR="00C27BAE" w:rsidRPr="00C27BAE">
          <w:rPr>
            <w:rStyle w:val="Hyperlink"/>
          </w:rPr>
          <w:t>OECD/G20 Base Erosion and Profit Shifting Project Outcome Statement on the Two-Pillar Solution to Address the Tax Challenges Arising from the Digitalisation of the Economy of 11 July 2023</w:t>
        </w:r>
      </w:hyperlink>
    </w:p>
  </w:footnote>
  <w:footnote w:id="19">
    <w:p w14:paraId="66631D62" w14:textId="77777777" w:rsidR="00081B7A" w:rsidRPr="00A65E6C" w:rsidRDefault="00081B7A" w:rsidP="00081B7A">
      <w:pPr>
        <w:pStyle w:val="FootnoteText"/>
        <w:rPr>
          <w:lang w:val="en-IE"/>
        </w:rPr>
      </w:pPr>
      <w:r w:rsidRPr="00634382">
        <w:rPr>
          <w:rStyle w:val="FootnoteReference0"/>
        </w:rPr>
        <w:footnoteRef/>
      </w:r>
      <w:r>
        <w:tab/>
      </w:r>
      <w:r w:rsidRPr="00A65E6C">
        <w:t>Call for evidence for an impact assessment</w:t>
      </w:r>
      <w:r w:rsidRPr="00564FD4">
        <w:t xml:space="preserve"> - Ares(2022)7086603</w:t>
      </w:r>
      <w:r>
        <w:t xml:space="preserve">. </w:t>
      </w:r>
    </w:p>
  </w:footnote>
  <w:footnote w:id="20">
    <w:p w14:paraId="036B3570" w14:textId="77777777" w:rsidR="00081B7A" w:rsidRPr="00101528" w:rsidRDefault="00081B7A" w:rsidP="00081B7A">
      <w:pPr>
        <w:pStyle w:val="FootnoteText"/>
        <w:rPr>
          <w:lang w:val="en-IE"/>
        </w:rPr>
      </w:pPr>
      <w:r w:rsidRPr="00634382">
        <w:rPr>
          <w:rStyle w:val="FootnoteReference0"/>
        </w:rPr>
        <w:footnoteRef/>
      </w:r>
      <w:r>
        <w:tab/>
      </w:r>
      <w:r w:rsidRPr="00101528">
        <w:rPr>
          <w:lang w:val="en-IE"/>
        </w:rPr>
        <w:t xml:space="preserve">Ares(2023)3669156, 26 May 2023. </w:t>
      </w:r>
    </w:p>
  </w:footnote>
  <w:footnote w:id="21">
    <w:p w14:paraId="42EDAE54" w14:textId="322A00BA" w:rsidR="00081B7A" w:rsidRPr="00C87EA3" w:rsidRDefault="00081B7A" w:rsidP="00081B7A">
      <w:r w:rsidRPr="00634382">
        <w:rPr>
          <w:rStyle w:val="FootnoteReference0"/>
        </w:rPr>
        <w:footnoteRef/>
      </w:r>
      <w:r>
        <w:tab/>
      </w:r>
      <w:r w:rsidRPr="00C87EA3">
        <w:rPr>
          <w:sz w:val="20"/>
          <w:szCs w:val="20"/>
        </w:rPr>
        <w:t>Charter of Fundamental Rights of the European Unio</w:t>
      </w:r>
      <w:r>
        <w:rPr>
          <w:sz w:val="20"/>
          <w:szCs w:val="20"/>
        </w:rPr>
        <w:t xml:space="preserve">n, </w:t>
      </w:r>
      <w:r w:rsidRPr="00332E8E">
        <w:rPr>
          <w:sz w:val="20"/>
          <w:szCs w:val="20"/>
        </w:rPr>
        <w:t>OJ C 326, 26.10.2012, p. 391</w:t>
      </w:r>
      <w:r>
        <w:rPr>
          <w:sz w:val="20"/>
          <w:szCs w:val="20"/>
        </w:rPr>
        <w:t xml:space="preserve">. </w:t>
      </w:r>
    </w:p>
  </w:footnote>
  <w:footnote w:id="22">
    <w:p w14:paraId="33459F8A" w14:textId="106AA7BB" w:rsidR="00FD7A24" w:rsidRPr="00363097" w:rsidRDefault="00FD7A24">
      <w:pPr>
        <w:pStyle w:val="FootnoteText"/>
        <w:rPr>
          <w:lang w:val="en-IE"/>
        </w:rPr>
      </w:pPr>
      <w:r w:rsidRPr="00917A44">
        <w:rPr>
          <w:rStyle w:val="FootnoteReference0"/>
        </w:rPr>
        <w:footnoteRef/>
      </w:r>
      <w:r w:rsidR="00917A44">
        <w:tab/>
      </w:r>
      <w:r>
        <w:t>R</w:t>
      </w:r>
      <w:r w:rsidRPr="00FD7A24">
        <w:t>egulation (EU) 2016/679 of the European Parliament and of the Council of 27 April 2016 on the protection of natural persons with regard to the processing of personal data and on the free movement of such data, and repealing Directive 95/46/EC (General Data Protection Regulation) (Text with EEA relevance)</w:t>
      </w:r>
      <w:r w:rsidR="00573F15">
        <w:t xml:space="preserve"> (</w:t>
      </w:r>
      <w:r w:rsidR="009E739C" w:rsidRPr="009E739C">
        <w:t>OJ L 119, 4.5.2016, p. 1</w:t>
      </w:r>
      <w:r w:rsidR="00573F15">
        <w:t>)</w:t>
      </w:r>
    </w:p>
  </w:footnote>
  <w:footnote w:id="23">
    <w:p w14:paraId="11062E81" w14:textId="77777777" w:rsidR="00081B7A" w:rsidRPr="00C33759" w:rsidRDefault="00081B7A" w:rsidP="00081B7A">
      <w:pPr>
        <w:pStyle w:val="FootnoteText"/>
        <w:rPr>
          <w:lang w:val="pl-PL"/>
        </w:rPr>
      </w:pPr>
      <w:r>
        <w:rPr>
          <w:rStyle w:val="FootnoteReference0"/>
        </w:rPr>
        <w:footnoteRef/>
      </w:r>
      <w:r w:rsidRPr="00C33759">
        <w:rPr>
          <w:lang w:val="pl-PL"/>
        </w:rPr>
        <w:tab/>
        <w:t>OJ C , , p. .</w:t>
      </w:r>
    </w:p>
  </w:footnote>
  <w:footnote w:id="24">
    <w:p w14:paraId="3532B546" w14:textId="77777777" w:rsidR="00081B7A" w:rsidRPr="00C33759" w:rsidRDefault="00081B7A" w:rsidP="00081B7A">
      <w:pPr>
        <w:pStyle w:val="FootnoteText"/>
        <w:rPr>
          <w:lang w:val="pl-PL"/>
        </w:rPr>
      </w:pPr>
      <w:r>
        <w:rPr>
          <w:rStyle w:val="FootnoteReference0"/>
        </w:rPr>
        <w:footnoteRef/>
      </w:r>
      <w:r w:rsidRPr="00C33759">
        <w:rPr>
          <w:lang w:val="pl-PL"/>
        </w:rPr>
        <w:tab/>
        <w:t>OJ C , , p. .</w:t>
      </w:r>
    </w:p>
  </w:footnote>
  <w:footnote w:id="25">
    <w:p w14:paraId="756110EC" w14:textId="77777777" w:rsidR="00045084" w:rsidRPr="00363097" w:rsidRDefault="00045084">
      <w:pPr>
        <w:pStyle w:val="FootnoteText"/>
        <w:rPr>
          <w:lang w:val="en-IE"/>
        </w:rPr>
      </w:pPr>
      <w:r w:rsidRPr="00917A44">
        <w:rPr>
          <w:rStyle w:val="FootnoteReference0"/>
        </w:rPr>
        <w:footnoteRef/>
      </w:r>
      <w:r w:rsidR="00917A44">
        <w:tab/>
      </w:r>
      <w:r w:rsidRPr="000D18CE">
        <w:rPr>
          <w:lang w:val="en-IE"/>
        </w:rPr>
        <w:t>Statement on a Two-Pillar Solution to Address the Tax Challenges Arising from the Digitalisation of the</w:t>
      </w:r>
      <w:r>
        <w:rPr>
          <w:lang w:val="en-IE"/>
        </w:rPr>
        <w:t xml:space="preserve"> </w:t>
      </w:r>
      <w:r w:rsidRPr="000D18CE">
        <w:rPr>
          <w:lang w:val="en-IE"/>
        </w:rPr>
        <w:t>Economy – 8 October 2021, OECD/G20 Base Erosion and Profit Shifting Project.</w:t>
      </w:r>
    </w:p>
  </w:footnote>
  <w:footnote w:id="26">
    <w:p w14:paraId="27D32D6A" w14:textId="77777777" w:rsidR="00081B7A" w:rsidRPr="0081059A" w:rsidRDefault="00081B7A" w:rsidP="00081B7A">
      <w:pPr>
        <w:pStyle w:val="FootnoteText"/>
        <w:rPr>
          <w:lang w:val="en-IE"/>
        </w:rPr>
      </w:pPr>
      <w:r w:rsidRPr="00634382">
        <w:rPr>
          <w:rStyle w:val="FootnoteReference0"/>
        </w:rPr>
        <w:footnoteRef/>
      </w:r>
      <w:r>
        <w:rPr>
          <w:lang w:val="en-IE"/>
        </w:rPr>
        <w:tab/>
      </w:r>
      <w:r w:rsidRPr="00430F5A">
        <w:rPr>
          <w:lang w:val="en-IE"/>
        </w:rPr>
        <w:t>Council Directive (EU) 2022/2523 of 14 December 2022 on ensuring a global minimum level of taxation for multinational enterprise groups and large-scale domestic groups in the Union (OJ L 328, 22.12.2022, p. 1.)</w:t>
      </w:r>
    </w:p>
  </w:footnote>
  <w:footnote w:id="27">
    <w:p w14:paraId="75B0E913" w14:textId="77777777" w:rsidR="00081B7A" w:rsidRPr="00213FA8" w:rsidRDefault="00081B7A" w:rsidP="00081B7A">
      <w:pPr>
        <w:pStyle w:val="FootnoteText"/>
        <w:rPr>
          <w:lang w:val="en-IE"/>
        </w:rPr>
      </w:pPr>
      <w:r w:rsidRPr="00634382">
        <w:rPr>
          <w:rStyle w:val="FootnoteReference0"/>
        </w:rPr>
        <w:footnoteRef/>
      </w:r>
      <w:r>
        <w:tab/>
      </w:r>
      <w:r w:rsidRPr="0032389F">
        <w:t>Interinstitutional Agreement between the European Parliament, the Council of the European Union and the European Commission on Better Law-Making</w:t>
      </w:r>
      <w:r>
        <w:t xml:space="preserve"> (</w:t>
      </w:r>
      <w:r w:rsidRPr="00A714D3">
        <w:rPr>
          <w:lang w:val="en-IE"/>
        </w:rPr>
        <w:t>OJ L 123, 12.5.2016, p. 1</w:t>
      </w:r>
      <w:r>
        <w:rPr>
          <w:lang w:val="en-IE"/>
        </w:rPr>
        <w:t>).</w:t>
      </w:r>
    </w:p>
  </w:footnote>
  <w:footnote w:id="28">
    <w:p w14:paraId="1EEA7005" w14:textId="77777777" w:rsidR="00081B7A" w:rsidRPr="00430F5A" w:rsidRDefault="00081B7A" w:rsidP="00081B7A">
      <w:pPr>
        <w:pStyle w:val="FootnoteText"/>
        <w:rPr>
          <w:lang w:val="en-IE"/>
        </w:rPr>
      </w:pPr>
      <w:r w:rsidRPr="00634382">
        <w:rPr>
          <w:rStyle w:val="FootnoteReference0"/>
        </w:rPr>
        <w:footnoteRef/>
      </w:r>
      <w:r>
        <w:tab/>
      </w:r>
      <w:r w:rsidRPr="00DC5DD1">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29">
    <w:p w14:paraId="22D83BDF" w14:textId="66B16156" w:rsidR="00081B7A" w:rsidRPr="000064DE" w:rsidRDefault="00917A44" w:rsidP="00081B7A">
      <w:pPr>
        <w:pStyle w:val="FootnoteText"/>
      </w:pPr>
      <w:r w:rsidRPr="00917A44">
        <w:rPr>
          <w:rStyle w:val="FootnoteReference0"/>
        </w:rPr>
        <w:footnoteRef/>
      </w:r>
      <w:r>
        <w:tab/>
      </w:r>
      <w:r w:rsidR="00BE4E18" w:rsidRPr="009C04B5">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BE4E18">
        <w:t xml:space="preserve"> (OJ L 119, 4.5.2016, p. 1).</w:t>
      </w:r>
    </w:p>
  </w:footnote>
  <w:footnote w:id="30">
    <w:p w14:paraId="479F69E7" w14:textId="77777777" w:rsidR="00562EB5" w:rsidRPr="00E46C2B" w:rsidRDefault="00562EB5" w:rsidP="00562EB5">
      <w:pPr>
        <w:pStyle w:val="FootnoteText"/>
        <w:rPr>
          <w:lang w:val="en-IE"/>
        </w:rPr>
      </w:pPr>
      <w:r>
        <w:rPr>
          <w:rStyle w:val="FootnoteReference0"/>
        </w:rPr>
        <w:footnoteRef/>
      </w:r>
      <w:r>
        <w:t xml:space="preserve"> </w:t>
      </w:r>
      <w:r w:rsidRPr="00E46C2B">
        <w:rPr>
          <w:lang w:val="en-IE"/>
        </w:rPr>
        <w:tab/>
      </w:r>
      <w:r w:rsidRPr="005746E9">
        <w:rPr>
          <w:sz w:val="16"/>
          <w:szCs w:val="16"/>
        </w:rPr>
        <w:t>Regulation (EU) 2018/1724 of the European Parliament and of the Council of 2 October 2018 establishing a single digital gateway to provide access to information, to procedures and to assistance and problem-solving services and amending Regulation (EU) No 1024/2012 (OJ L 295, 21.11.2018, p. 1).</w:t>
      </w:r>
    </w:p>
  </w:footnote>
  <w:footnote w:id="31">
    <w:p w14:paraId="5C7D9B7F" w14:textId="77777777" w:rsidR="00081B7A" w:rsidRPr="00363097" w:rsidRDefault="00081B7A" w:rsidP="00081B7A">
      <w:pPr>
        <w:pStyle w:val="FootnoteText"/>
        <w:jc w:val="left"/>
        <w:rPr>
          <w:b/>
          <w:i/>
          <w:lang w:val="en-IE"/>
        </w:rPr>
      </w:pPr>
      <w:r w:rsidRPr="00634382">
        <w:rPr>
          <w:rStyle w:val="FootnoteReference0"/>
        </w:rPr>
        <w:footnoteRef/>
      </w:r>
      <w:r>
        <w:tab/>
        <w:t xml:space="preserve">Regulation (EC) No 1606/2002 of the European Parliament and of the Council of 19 July 2002 on the application of international accounting standards (OJ L 243, 11.9.2002, </w:t>
      </w:r>
      <w:r w:rsidRPr="006C417F">
        <w:t>p. 1</w:t>
      </w:r>
      <w:r>
        <w:t>)</w:t>
      </w:r>
    </w:p>
  </w:footnote>
  <w:footnote w:id="32">
    <w:p w14:paraId="59C34DE6" w14:textId="77777777" w:rsidR="00EE1D5E" w:rsidRPr="00AF70F7" w:rsidRDefault="00EE1D5E" w:rsidP="00363097">
      <w:pPr>
        <w:pStyle w:val="FootnoteText"/>
        <w:jc w:val="left"/>
        <w:rPr>
          <w:lang w:val="en-IE"/>
        </w:rPr>
      </w:pPr>
      <w:r w:rsidRPr="00634382">
        <w:rPr>
          <w:rStyle w:val="FootnoteReference0"/>
        </w:rPr>
        <w:footnoteRef/>
      </w:r>
      <w:r>
        <w:tab/>
        <w:t>Directive 2009/138/EC of the European Parliament and of the Council of 25 November 2009 on the taking-up and pursuit of the business of Insurance and Reinsurance (Solvency II) (OJ L 335, 17.12.2009, p. 1).</w:t>
      </w:r>
    </w:p>
  </w:footnote>
  <w:footnote w:id="33">
    <w:p w14:paraId="34904693" w14:textId="77777777" w:rsidR="00081B7A" w:rsidRPr="00DE61F7" w:rsidRDefault="00081B7A" w:rsidP="00081B7A">
      <w:pPr>
        <w:pStyle w:val="FootnoteText"/>
        <w:rPr>
          <w:i/>
          <w:iCs/>
          <w:lang w:val="en-IE"/>
        </w:rPr>
      </w:pPr>
      <w:r w:rsidRPr="00017090">
        <w:rPr>
          <w:rStyle w:val="FootnoteReference0"/>
        </w:rPr>
        <w:footnoteRef/>
      </w:r>
      <w:r w:rsidRPr="00DE61F7">
        <w:rPr>
          <w:i/>
          <w:iCs/>
          <w:lang w:val="en-IE"/>
        </w:rPr>
        <w:tab/>
      </w:r>
      <w:r w:rsidRPr="00B4030F">
        <w:rPr>
          <w:lang w:val="en-IE"/>
        </w:rPr>
        <w:t xml:space="preserve">Council Directive (EU) 2016/1164 of 12 July 2016 laying down rules against tax avoidance practices that directly affect the functioning of the internal market </w:t>
      </w:r>
      <w:r>
        <w:rPr>
          <w:lang w:val="en-IE"/>
        </w:rPr>
        <w:t>(</w:t>
      </w:r>
      <w:r w:rsidRPr="00D2397A">
        <w:rPr>
          <w:lang w:val="en-IE"/>
        </w:rPr>
        <w:t>OJ L 193, 19.7.2016, p. 1</w:t>
      </w:r>
      <w:r>
        <w:rPr>
          <w:lang w:val="en-IE"/>
        </w:rPr>
        <w:t>)</w:t>
      </w:r>
    </w:p>
  </w:footnote>
  <w:footnote w:id="34">
    <w:p w14:paraId="1DF03CF6" w14:textId="77777777" w:rsidR="00081B7A" w:rsidRPr="00457B7D" w:rsidRDefault="00081B7A" w:rsidP="00081B7A">
      <w:pPr>
        <w:pStyle w:val="FootnoteText"/>
        <w:rPr>
          <w:i/>
          <w:iCs/>
          <w:lang w:val="en-IE"/>
        </w:rPr>
      </w:pPr>
      <w:r w:rsidRPr="00017090">
        <w:rPr>
          <w:rStyle w:val="FootnoteReference0"/>
        </w:rPr>
        <w:footnoteRef/>
      </w:r>
      <w:r w:rsidRPr="00457B7D">
        <w:rPr>
          <w:i/>
          <w:iCs/>
          <w:lang w:val="en-IE"/>
        </w:rPr>
        <w:tab/>
      </w:r>
      <w:r w:rsidRPr="00B4030F">
        <w:t>Council Directive 91/674/EEC of 19 December 1991 on the annual accounts and consolidated accounts of insurance undertakings (OJ L 374, 31.12.1991, p. 7)</w:t>
      </w:r>
    </w:p>
  </w:footnote>
  <w:footnote w:id="35">
    <w:p w14:paraId="245F6EC1" w14:textId="77777777" w:rsidR="00081B7A" w:rsidRPr="00457B7D" w:rsidRDefault="00081B7A" w:rsidP="00081B7A">
      <w:pPr>
        <w:pStyle w:val="FootnoteText"/>
        <w:rPr>
          <w:i/>
          <w:lang w:val="en-IE"/>
        </w:rPr>
      </w:pPr>
      <w:r w:rsidRPr="00634382">
        <w:rPr>
          <w:rStyle w:val="FootnoteReference0"/>
        </w:rPr>
        <w:footnoteRef/>
      </w:r>
      <w:r w:rsidRPr="00457B7D">
        <w:rPr>
          <w:i/>
          <w:lang w:val="en-IE"/>
        </w:rPr>
        <w:tab/>
      </w:r>
      <w:r w:rsidRPr="00457B7D">
        <w:rPr>
          <w:iCs/>
        </w:rPr>
        <w:t>Council Directive 2009/133/EC of 19 October 2009 on the common system of taxation applicable to mergers, divisions, partial divisions, transfers of assets and exchanges of shares concerning companies of different Member States and to the transfer of the registered office of an SE or SCE between Member States</w:t>
      </w:r>
      <w:r w:rsidRPr="00457B7D">
        <w:rPr>
          <w:i/>
          <w:lang w:val="en-IE"/>
        </w:rPr>
        <w:t xml:space="preserve"> </w:t>
      </w:r>
      <w:r w:rsidRPr="00457B7D">
        <w:rPr>
          <w:iCs/>
          <w:lang w:val="en-IE"/>
        </w:rPr>
        <w:t>(OJ L 310, 25.11.2009, p. 34)</w:t>
      </w:r>
    </w:p>
  </w:footnote>
  <w:footnote w:id="36">
    <w:p w14:paraId="7C289D3A" w14:textId="77777777" w:rsidR="00081B7A" w:rsidRPr="004540D0" w:rsidRDefault="00081B7A" w:rsidP="00081B7A">
      <w:pPr>
        <w:pStyle w:val="FootnoteText"/>
        <w:rPr>
          <w:lang w:val="en-IE"/>
        </w:rPr>
      </w:pPr>
      <w:r w:rsidRPr="00751F06">
        <w:rPr>
          <w:rStyle w:val="FootnoteReference0"/>
        </w:rPr>
        <w:footnoteRef/>
      </w:r>
      <w:r w:rsidRPr="00751F06">
        <w:tab/>
      </w:r>
      <w:r w:rsidRPr="00D60D3B">
        <w:t>Council Directive 2011/16/EU of 15 February 2011 on administrative cooperation in the field of taxation and repealing Directive 77/799/EEC</w:t>
      </w:r>
      <w:r>
        <w:t xml:space="preserve"> (</w:t>
      </w:r>
      <w:r w:rsidRPr="008A715D">
        <w:t>OJ L 64, 11.3.2011</w:t>
      </w:r>
      <w:r>
        <w:t xml:space="preserve">, </w:t>
      </w:r>
      <w:r w:rsidRPr="00DE4733">
        <w:t>p. 1</w:t>
      </w:r>
      <w:r>
        <w:t>)</w:t>
      </w:r>
    </w:p>
  </w:footnote>
  <w:footnote w:id="37">
    <w:p w14:paraId="3D24C656" w14:textId="77777777" w:rsidR="00081B7A" w:rsidRPr="00AF64B8" w:rsidRDefault="00081B7A" w:rsidP="00081B7A">
      <w:pPr>
        <w:pStyle w:val="FootnoteText"/>
        <w:rPr>
          <w:i/>
          <w:iCs/>
          <w:lang w:val="en-IE"/>
        </w:rPr>
      </w:pPr>
      <w:r w:rsidRPr="00634382">
        <w:rPr>
          <w:rStyle w:val="FootnoteReference0"/>
        </w:rPr>
        <w:footnoteRef/>
      </w:r>
      <w:r>
        <w:rPr>
          <w:i/>
          <w:iCs/>
        </w:rPr>
        <w:tab/>
      </w:r>
      <w:r w:rsidRPr="00457B7D">
        <w:t>Regulation (EU) No 182/2011 of the European Parliament and of the Council of 16 February 2011 laying down the rules and general principles concerning mechanisms for control by Member States of the Commission’s exercise of implementing powers</w:t>
      </w:r>
      <w:r>
        <w:t xml:space="preserve"> (</w:t>
      </w:r>
      <w:r w:rsidRPr="00DA2C3F">
        <w:t>OJ L 55, 28.2.2011, p. 13</w:t>
      </w:r>
      <w:r>
        <w:t>)</w:t>
      </w:r>
    </w:p>
  </w:footnote>
  <w:footnote w:id="38">
    <w:p w14:paraId="46D9AC48" w14:textId="77777777" w:rsidR="00081B7A" w:rsidRDefault="00081B7A" w:rsidP="00081B7A">
      <w:pPr>
        <w:pStyle w:val="FootnoteText"/>
        <w:rPr>
          <w:szCs w:val="24"/>
        </w:rPr>
      </w:pPr>
      <w:r>
        <w:rPr>
          <w:rStyle w:val="FootnoteReference0"/>
        </w:rPr>
        <w:footnoteRef/>
      </w:r>
      <w:r>
        <w:tab/>
        <w:t>As referred to in Article 58(2)(a) or (b) of the Financial Regulation.</w:t>
      </w:r>
    </w:p>
  </w:footnote>
  <w:footnote w:id="39">
    <w:p w14:paraId="27B3143C" w14:textId="77777777" w:rsidR="00081B7A" w:rsidRDefault="00081B7A" w:rsidP="00081B7A">
      <w:pPr>
        <w:pStyle w:val="FootnoteText"/>
        <w:jc w:val="left"/>
        <w:rPr>
          <w:szCs w:val="24"/>
        </w:rPr>
      </w:pPr>
      <w:r>
        <w:rPr>
          <w:rStyle w:val="FootnoteReference0"/>
        </w:rPr>
        <w:footnoteRef/>
      </w:r>
      <w:r>
        <w:tab/>
        <w:t xml:space="preserve">Details of budget implementation methods and references to the Financial Regulation may be found on the BUDGpedia site: </w:t>
      </w:r>
      <w:hyperlink r:id="rId2" w:history="1">
        <w:r w:rsidRPr="00974254">
          <w:rPr>
            <w:rStyle w:val="Hyperlink"/>
          </w:rPr>
          <w:t>https://myintracomm.ec.europa.eu/corp/budget/financial-rules/budget-implementation/Pages/implementation-methods.aspx</w:t>
        </w:r>
      </w:hyperlink>
    </w:p>
  </w:footnote>
  <w:footnote w:id="40">
    <w:p w14:paraId="1C1BFF9E" w14:textId="77777777" w:rsidR="00081B7A" w:rsidRDefault="00081B7A" w:rsidP="00081B7A">
      <w:pPr>
        <w:pStyle w:val="FootnoteText"/>
        <w:rPr>
          <w:szCs w:val="24"/>
        </w:rPr>
      </w:pPr>
      <w:r>
        <w:rPr>
          <w:rStyle w:val="FootnoteReference0"/>
        </w:rPr>
        <w:footnoteRef/>
      </w:r>
      <w:r>
        <w:tab/>
        <w:t>Diff. = Differentiated appropriations / Non-diff. = Non-differentiated appropriations.</w:t>
      </w:r>
    </w:p>
  </w:footnote>
  <w:footnote w:id="41">
    <w:p w14:paraId="7929FE40" w14:textId="77777777" w:rsidR="00081B7A" w:rsidRDefault="00081B7A" w:rsidP="00081B7A">
      <w:pPr>
        <w:pStyle w:val="FootnoteText"/>
        <w:rPr>
          <w:szCs w:val="24"/>
        </w:rPr>
      </w:pPr>
      <w:r>
        <w:rPr>
          <w:rStyle w:val="FootnoteReference0"/>
        </w:rPr>
        <w:footnoteRef/>
      </w:r>
      <w:r>
        <w:tab/>
        <w:t xml:space="preserve">EFTA: European Free Trade Association. </w:t>
      </w:r>
    </w:p>
  </w:footnote>
  <w:footnote w:id="42">
    <w:p w14:paraId="5B0BE3BF" w14:textId="77777777" w:rsidR="00081B7A" w:rsidRDefault="00081B7A" w:rsidP="00081B7A">
      <w:pPr>
        <w:pStyle w:val="FootnoteText"/>
        <w:rPr>
          <w:szCs w:val="24"/>
        </w:rPr>
      </w:pPr>
      <w:r>
        <w:rPr>
          <w:rStyle w:val="FootnoteReference0"/>
        </w:rPr>
        <w:footnoteRef/>
      </w:r>
      <w:r>
        <w:tab/>
        <w:t>Candidate countries and, where applicable, potential candidates from the Western Balkans.</w:t>
      </w:r>
    </w:p>
  </w:footnote>
  <w:footnote w:id="43">
    <w:p w14:paraId="722CF205" w14:textId="77777777" w:rsidR="00E951AB" w:rsidRPr="00363097" w:rsidRDefault="00E951AB">
      <w:pPr>
        <w:pStyle w:val="FootnoteText"/>
        <w:rPr>
          <w:lang w:val="en-US"/>
        </w:rPr>
      </w:pPr>
      <w:r w:rsidRPr="00917A44">
        <w:rPr>
          <w:rStyle w:val="FootnoteReference0"/>
        </w:rPr>
        <w:footnoteRef/>
      </w:r>
      <w:r w:rsidR="00917A44">
        <w:tab/>
      </w:r>
      <w:r w:rsidR="00965747" w:rsidRPr="00363097">
        <w:rPr>
          <w:sz w:val="18"/>
          <w:szCs w:val="18"/>
        </w:rPr>
        <w:t>The</w:t>
      </w:r>
      <w:r w:rsidR="00247204" w:rsidRPr="007974DD">
        <w:rPr>
          <w:sz w:val="18"/>
          <w:szCs w:val="18"/>
        </w:rPr>
        <w:t xml:space="preserve"> year in which implementation of the proposal/initiative starts</w:t>
      </w:r>
      <w:r w:rsidR="00965747">
        <w:rPr>
          <w:sz w:val="18"/>
          <w:szCs w:val="18"/>
        </w:rPr>
        <w:t xml:space="preserve"> is unknown</w:t>
      </w:r>
      <w:r w:rsidR="00983414">
        <w:rPr>
          <w:sz w:val="18"/>
          <w:szCs w:val="18"/>
        </w:rPr>
        <w:t>.</w:t>
      </w:r>
      <w:r w:rsidR="008C438F">
        <w:rPr>
          <w:sz w:val="18"/>
          <w:szCs w:val="18"/>
        </w:rPr>
        <w:t xml:space="preserve"> As such the year 2025 is taken as an </w:t>
      </w:r>
      <w:r w:rsidR="00E40B89">
        <w:rPr>
          <w:sz w:val="18"/>
          <w:szCs w:val="18"/>
        </w:rPr>
        <w:t xml:space="preserve">assumption. </w:t>
      </w:r>
    </w:p>
  </w:footnote>
  <w:footnote w:id="44">
    <w:p w14:paraId="414DAFA3" w14:textId="77777777" w:rsidR="00081B7A" w:rsidRDefault="00081B7A" w:rsidP="00081B7A">
      <w:pPr>
        <w:pStyle w:val="FootnoteText"/>
        <w:rPr>
          <w:szCs w:val="24"/>
        </w:rPr>
      </w:pPr>
      <w:r w:rsidRPr="00CB7CD3">
        <w:rPr>
          <w:rStyle w:val="FootnoteReference0"/>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45">
    <w:p w14:paraId="5C57E9F0" w14:textId="77777777" w:rsidR="00081B7A" w:rsidRDefault="00081B7A" w:rsidP="00081B7A">
      <w:pPr>
        <w:pStyle w:val="FootnoteText"/>
        <w:rPr>
          <w:szCs w:val="24"/>
        </w:rPr>
      </w:pPr>
      <w:r>
        <w:rPr>
          <w:rStyle w:val="FootnoteReference0"/>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46">
    <w:p w14:paraId="33B68157" w14:textId="77777777" w:rsidR="00081B7A" w:rsidRDefault="00081B7A" w:rsidP="00081B7A">
      <w:pPr>
        <w:pStyle w:val="FootnoteText"/>
        <w:rPr>
          <w:szCs w:val="24"/>
        </w:rPr>
      </w:pPr>
      <w:r>
        <w:rPr>
          <w:rStyle w:val="FootnoteReference0"/>
        </w:rPr>
        <w:footnoteRef/>
      </w:r>
      <w:r>
        <w:tab/>
        <w:t>Outputs are products and services to be supplied (e.g.: number of student exchanges financed, number of km of roads built, etc.).</w:t>
      </w:r>
    </w:p>
  </w:footnote>
  <w:footnote w:id="47">
    <w:p w14:paraId="7B8CC8AF" w14:textId="77777777" w:rsidR="00081B7A" w:rsidRDefault="00081B7A" w:rsidP="00081B7A">
      <w:pPr>
        <w:pStyle w:val="FootnoteText"/>
        <w:rPr>
          <w:szCs w:val="24"/>
        </w:rPr>
      </w:pPr>
      <w:r>
        <w:rPr>
          <w:rStyle w:val="FootnoteReference0"/>
        </w:rPr>
        <w:footnoteRef/>
      </w:r>
      <w:r>
        <w:tab/>
        <w:t xml:space="preserve">As described in point 1.4.2. ‘Specific objective(s)…’ </w:t>
      </w:r>
    </w:p>
  </w:footnote>
  <w:footnote w:id="48">
    <w:p w14:paraId="62FBD8DC" w14:textId="77777777" w:rsidR="00081B7A" w:rsidRPr="008D0E8A" w:rsidRDefault="00081B7A" w:rsidP="00081B7A">
      <w:pPr>
        <w:pStyle w:val="FootnoteText"/>
        <w:rPr>
          <w:sz w:val="18"/>
          <w:szCs w:val="18"/>
        </w:rPr>
      </w:pPr>
      <w:r>
        <w:rPr>
          <w:rStyle w:val="FootnoteReference0"/>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 T</w:t>
      </w:r>
      <w:r w:rsidRPr="007974DD">
        <w:rPr>
          <w:sz w:val="18"/>
          <w:szCs w:val="18"/>
        </w:rPr>
        <w:t>he same for the following years</w:t>
      </w:r>
      <w:r>
        <w:rPr>
          <w:sz w:val="18"/>
          <w:szCs w:val="18"/>
        </w:rPr>
        <w:t>.</w:t>
      </w:r>
    </w:p>
  </w:footnote>
  <w:footnote w:id="49">
    <w:p w14:paraId="72BB505A" w14:textId="77777777" w:rsidR="00081B7A" w:rsidRDefault="00081B7A" w:rsidP="00081B7A">
      <w:pPr>
        <w:pStyle w:val="FootnoteText"/>
        <w:rPr>
          <w:szCs w:val="24"/>
        </w:rPr>
      </w:pPr>
      <w:r w:rsidRPr="00CB7CD3">
        <w:rPr>
          <w:rStyle w:val="FootnoteReference0"/>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50">
    <w:p w14:paraId="17068422" w14:textId="77777777" w:rsidR="00081B7A" w:rsidRDefault="00081B7A" w:rsidP="00081B7A">
      <w:pPr>
        <w:pStyle w:val="FootnoteText"/>
        <w:rPr>
          <w:szCs w:val="24"/>
        </w:rPr>
      </w:pPr>
      <w:r>
        <w:rPr>
          <w:rStyle w:val="FootnoteReference0"/>
        </w:rPr>
        <w:footnoteRef/>
      </w:r>
      <w:r>
        <w:tab/>
        <w:t xml:space="preserve">AC= Contract Staff; AL = Local Staff; END= Seconded National Expert; INT = agency staff; JPD= Junior Professionals in Delegations. </w:t>
      </w:r>
    </w:p>
  </w:footnote>
  <w:footnote w:id="51">
    <w:p w14:paraId="7007D481" w14:textId="77777777" w:rsidR="00081B7A" w:rsidRDefault="00081B7A" w:rsidP="00081B7A">
      <w:pPr>
        <w:pStyle w:val="FootnoteText"/>
        <w:rPr>
          <w:szCs w:val="24"/>
        </w:rPr>
      </w:pPr>
      <w:r>
        <w:rPr>
          <w:rStyle w:val="FootnoteReference0"/>
        </w:rPr>
        <w:footnoteRef/>
      </w:r>
      <w:r>
        <w:tab/>
        <w:t>Sub-ceiling for external staff covered by operational appropriations (former ‘BA’ lines).</w:t>
      </w:r>
    </w:p>
  </w:footnote>
  <w:footnote w:id="52">
    <w:p w14:paraId="777055FE" w14:textId="77777777" w:rsidR="00081B7A" w:rsidRDefault="00081B7A" w:rsidP="00081B7A">
      <w:pPr>
        <w:pStyle w:val="FootnoteText"/>
      </w:pPr>
      <w:r w:rsidRPr="00CB7CD3">
        <w:rPr>
          <w:rStyle w:val="FootnoteReference0"/>
        </w:rPr>
        <w:footnoteRef/>
      </w:r>
      <w:r>
        <w:tab/>
        <w:t>Year N is the year in which implementation of the proposal/initiative starts. Please replace "N" by the expected first year of implementation (for instance: 2021). The same for the following years.</w:t>
      </w:r>
    </w:p>
  </w:footnote>
  <w:footnote w:id="53">
    <w:p w14:paraId="2B9FD84D" w14:textId="77777777" w:rsidR="00081B7A" w:rsidRDefault="00081B7A" w:rsidP="00081B7A">
      <w:pPr>
        <w:pStyle w:val="FootnoteText"/>
        <w:rPr>
          <w:szCs w:val="24"/>
        </w:rPr>
      </w:pPr>
      <w:r>
        <w:rPr>
          <w:rStyle w:val="FootnoteReference0"/>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8747" w14:textId="77777777" w:rsidR="008D52AB" w:rsidRPr="008D52AB" w:rsidRDefault="008D52AB" w:rsidP="008D52AB">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149C" w14:textId="77777777" w:rsidR="008D52AB" w:rsidRPr="008D52AB" w:rsidRDefault="008D52AB" w:rsidP="008D52AB">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DA68" w14:textId="77777777" w:rsidR="008D52AB" w:rsidRPr="008D52AB" w:rsidRDefault="008D52AB" w:rsidP="008D52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A218" w14:textId="77777777" w:rsidR="008D52AB" w:rsidRPr="008D52AB" w:rsidRDefault="008D52AB" w:rsidP="008D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372F1C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9D6454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F80491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0C200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0E0DD7"/>
    <w:multiLevelType w:val="hybridMultilevel"/>
    <w:tmpl w:val="41A488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2C6A95"/>
    <w:multiLevelType w:val="singleLevel"/>
    <w:tmpl w:val="02BAFA82"/>
    <w:name w:val="List Bullet 1"/>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6" w15:restartNumberingAfterBreak="0">
    <w:nsid w:val="0F9E5611"/>
    <w:multiLevelType w:val="multilevel"/>
    <w:tmpl w:val="E7DC9D06"/>
    <w:lvl w:ilvl="0">
      <w:start w:val="1"/>
      <w:numFmt w:val="upperLetter"/>
      <w:pStyle w:val="Heading2new"/>
      <w:lvlText w:val="%1."/>
      <w:lvlJc w:val="left"/>
      <w:pPr>
        <w:ind w:left="710" w:firstLine="0"/>
      </w:pPr>
      <w:rPr>
        <w:rFonts w:hint="default"/>
      </w:rPr>
    </w:lvl>
    <w:lvl w:ilvl="1">
      <w:start w:val="1"/>
      <w:numFmt w:val="decimal"/>
      <w:pStyle w:val="Heading3new"/>
      <w:lvlText w:val="%1.%2."/>
      <w:lvlJc w:val="left"/>
      <w:pPr>
        <w:ind w:left="1844" w:firstLine="0"/>
      </w:pPr>
      <w:rPr>
        <w:rFonts w:hint="default"/>
        <w:b w:val="0"/>
      </w:rPr>
    </w:lvl>
    <w:lvl w:ilvl="2">
      <w:start w:val="1"/>
      <w:numFmt w:val="decimal"/>
      <w:pStyle w:val="Heading4new"/>
      <w:lvlText w:val="%1.%2.%3."/>
      <w:lvlJc w:val="left"/>
      <w:pPr>
        <w:ind w:left="1418"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new"/>
      <w:lvlText w:val="%1.%2.%3.%4."/>
      <w:lvlJc w:val="left"/>
      <w:pPr>
        <w:ind w:left="425"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28364B0"/>
    <w:multiLevelType w:val="singleLevel"/>
    <w:tmpl w:val="D084FB54"/>
    <w:lvl w:ilvl="0">
      <w:start w:val="1"/>
      <w:numFmt w:val="bullet"/>
      <w:pStyle w:val="ListDash4"/>
      <w:lvlText w:val="–"/>
      <w:lvlJc w:val="left"/>
      <w:pPr>
        <w:tabs>
          <w:tab w:val="num" w:pos="1134"/>
        </w:tabs>
        <w:ind w:left="1134" w:hanging="283"/>
      </w:pPr>
      <w:rPr>
        <w:rFonts w:ascii="Times New Roman" w:hAnsi="Times New Roman"/>
      </w:rPr>
    </w:lvl>
  </w:abstractNum>
  <w:abstractNum w:abstractNumId="8" w15:restartNumberingAfterBreak="0">
    <w:nsid w:val="13E4330B"/>
    <w:multiLevelType w:val="multilevel"/>
    <w:tmpl w:val="875C4416"/>
    <w:name w:val="List Dash 3"/>
    <w:lvl w:ilvl="0">
      <w:start w:val="1"/>
      <w:numFmt w:val="decimal"/>
      <w:pStyle w:val="ListNumber1Level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9B589A"/>
    <w:multiLevelType w:val="hybridMultilevel"/>
    <w:tmpl w:val="CBFC0A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D572012"/>
    <w:multiLevelType w:val="hybridMultilevel"/>
    <w:tmpl w:val="022CCD3A"/>
    <w:lvl w:ilvl="0" w:tplc="4B30D17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820C1F"/>
    <w:multiLevelType w:val="singleLevel"/>
    <w:tmpl w:val="7896AADE"/>
    <w:name w:val="List Dash"/>
    <w:lvl w:ilvl="0">
      <w:start w:val="1"/>
      <w:numFmt w:val="bullet"/>
      <w:lvlRestart w:val="0"/>
      <w:pStyle w:val="ListDash1"/>
      <w:lvlText w:val="–"/>
      <w:lvlJc w:val="left"/>
      <w:pPr>
        <w:tabs>
          <w:tab w:val="num" w:pos="283"/>
        </w:tabs>
        <w:ind w:left="283" w:hanging="283"/>
      </w:pPr>
      <w:rPr>
        <w:rFonts w:ascii="Times New Roman" w:hAnsi="Times New Roman" w:cs="Times New Roman"/>
      </w:rPr>
    </w:lvl>
  </w:abstractNum>
  <w:abstractNum w:abstractNumId="16" w15:restartNumberingAfterBreak="0">
    <w:nsid w:val="2F191641"/>
    <w:multiLevelType w:val="multilevel"/>
    <w:tmpl w:val="B67C4E92"/>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1CD398A"/>
    <w:multiLevelType w:val="singleLevel"/>
    <w:tmpl w:val="0276BF00"/>
    <w:lvl w:ilvl="0">
      <w:start w:val="1"/>
      <w:numFmt w:val="bullet"/>
      <w:pStyle w:val="ListNumber1"/>
      <w:lvlText w:val="–"/>
      <w:lvlJc w:val="left"/>
      <w:pPr>
        <w:tabs>
          <w:tab w:val="num" w:pos="1134"/>
        </w:tabs>
        <w:ind w:left="1134" w:hanging="283"/>
      </w:pPr>
      <w:rPr>
        <w:rFonts w:ascii="Times New Roman" w:hAnsi="Times New Roman"/>
      </w:rPr>
    </w:lvl>
  </w:abstractNum>
  <w:abstractNum w:abstractNumId="18" w15:restartNumberingAfterBreak="0">
    <w:nsid w:val="398C015E"/>
    <w:multiLevelType w:val="multilevel"/>
    <w:tmpl w:val="027A66BA"/>
    <w:name w:val="List Dash 4"/>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0329BB"/>
    <w:multiLevelType w:val="hybridMultilevel"/>
    <w:tmpl w:val="36FCF452"/>
    <w:lvl w:ilvl="0" w:tplc="87C87216">
      <w:start w:val="1"/>
      <w:numFmt w:val="decimal"/>
      <w:pStyle w:val="wouldhave"/>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489D74ED"/>
    <w:multiLevelType w:val="singleLevel"/>
    <w:tmpl w:val="C2E2F936"/>
    <w:name w:val="List Dash 2"/>
    <w:lvl w:ilvl="0">
      <w:start w:val="1"/>
      <w:numFmt w:val="bullet"/>
      <w:lvlRestart w:val="0"/>
      <w:pStyle w:val="ListNumberLevel2"/>
      <w:lvlText w:val="–"/>
      <w:lvlJc w:val="left"/>
      <w:pPr>
        <w:tabs>
          <w:tab w:val="num" w:pos="1134"/>
        </w:tabs>
        <w:ind w:left="1134" w:hanging="283"/>
      </w:pPr>
      <w:rPr>
        <w:rFonts w:ascii="Times New Roman" w:hAnsi="Times New Roman" w:cs="Times New Roman"/>
      </w:rPr>
    </w:lvl>
  </w:abstractNum>
  <w:abstractNum w:abstractNumId="25" w15:restartNumberingAfterBreak="0">
    <w:nsid w:val="4D0C058A"/>
    <w:multiLevelType w:val="singleLevel"/>
    <w:tmpl w:val="BAE8D90E"/>
    <w:name w:val="List Dash 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6" w15:restartNumberingAfterBreak="0">
    <w:nsid w:val="542A1204"/>
    <w:multiLevelType w:val="multilevel"/>
    <w:tmpl w:val="BC1E8404"/>
    <w:lvl w:ilvl="0">
      <w:start w:val="1"/>
      <w:numFmt w:val="decimal"/>
      <w:pStyle w:val="ListDash3"/>
      <w:lvlText w:val="(%1)"/>
      <w:lvlJc w:val="left"/>
      <w:pPr>
        <w:tabs>
          <w:tab w:val="num" w:pos="1560"/>
        </w:tabs>
        <w:ind w:left="1560" w:hanging="709"/>
      </w:pPr>
      <w:rPr>
        <w:rFonts w:cs="Times New Roman"/>
      </w:rPr>
    </w:lvl>
    <w:lvl w:ilvl="1">
      <w:start w:val="1"/>
      <w:numFmt w:val="lowerLetter"/>
      <w:pStyle w:val="ListNumber1Level3"/>
      <w:lvlText w:val="(%2)"/>
      <w:lvlJc w:val="left"/>
      <w:pPr>
        <w:tabs>
          <w:tab w:val="num" w:pos="2268"/>
        </w:tabs>
        <w:ind w:left="2268" w:hanging="708"/>
      </w:pPr>
      <w:rPr>
        <w:rFonts w:cs="Times New Roman"/>
      </w:rPr>
    </w:lvl>
    <w:lvl w:ilvl="2">
      <w:start w:val="1"/>
      <w:numFmt w:val="bullet"/>
      <w:pStyle w:val="ListNumber1Level4"/>
      <w:lvlText w:val="–"/>
      <w:lvlJc w:val="left"/>
      <w:pPr>
        <w:tabs>
          <w:tab w:val="num" w:pos="2977"/>
        </w:tabs>
        <w:ind w:left="2977" w:hanging="709"/>
      </w:pPr>
      <w:rPr>
        <w:rFonts w:ascii="Times New Roman" w:hAnsi="Times New Roman"/>
      </w:rPr>
    </w:lvl>
    <w:lvl w:ilvl="3">
      <w:start w:val="1"/>
      <w:numFmt w:val="bullet"/>
      <w:pStyle w:val="Annexetitreact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15:restartNumberingAfterBreak="0">
    <w:nsid w:val="71F06166"/>
    <w:multiLevelType w:val="multilevel"/>
    <w:tmpl w:val="C08066D2"/>
    <w:name w:val="0.6719891"/>
    <w:lvl w:ilvl="0">
      <w:start w:val="1"/>
      <w:numFmt w:val="decimal"/>
      <w:lvlRestart w:val="0"/>
      <w:pStyle w:val="ListBullet1"/>
      <w:lvlText w:val="(%1)"/>
      <w:lvlJc w:val="left"/>
      <w:pPr>
        <w:tabs>
          <w:tab w:val="num" w:pos="709"/>
        </w:tabs>
        <w:ind w:left="709" w:hanging="709"/>
      </w:pPr>
    </w:lvl>
    <w:lvl w:ilvl="1">
      <w:start w:val="1"/>
      <w:numFmt w:val="lowerLetter"/>
      <w:pStyle w:val="ListNumberLevel3"/>
      <w:lvlText w:val="(%2)"/>
      <w:lvlJc w:val="left"/>
      <w:pPr>
        <w:tabs>
          <w:tab w:val="num" w:pos="1417"/>
        </w:tabs>
        <w:ind w:left="1417" w:hanging="708"/>
      </w:pPr>
    </w:lvl>
    <w:lvl w:ilvl="2">
      <w:start w:val="1"/>
      <w:numFmt w:val="bullet"/>
      <w:pStyle w:val="ListNumberLevel4"/>
      <w:lvlText w:val="–"/>
      <w:lvlJc w:val="left"/>
      <w:pPr>
        <w:tabs>
          <w:tab w:val="num" w:pos="2126"/>
        </w:tabs>
        <w:ind w:left="2126" w:hanging="709"/>
      </w:pPr>
      <w:rPr>
        <w:rFonts w:ascii="Times New Roman" w:hAnsi="Times New Roman" w:cs="Times New Roman"/>
      </w:rPr>
    </w:lvl>
    <w:lvl w:ilvl="3">
      <w:start w:val="1"/>
      <w:numFmt w:val="bullet"/>
      <w:pStyle w:val="ListNumber2"/>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9"/>
  </w:num>
  <w:num w:numId="6">
    <w:abstractNumId w:val="6"/>
  </w:num>
  <w:num w:numId="7">
    <w:abstractNumId w:val="5"/>
  </w:num>
  <w:num w:numId="8">
    <w:abstractNumId w:val="15"/>
  </w:num>
  <w:num w:numId="9">
    <w:abstractNumId w:val="25"/>
  </w:num>
  <w:num w:numId="10">
    <w:abstractNumId w:val="24"/>
  </w:num>
  <w:num w:numId="11">
    <w:abstractNumId w:val="33"/>
  </w:num>
  <w:num w:numId="12">
    <w:abstractNumId w:val="7"/>
  </w:num>
  <w:num w:numId="13">
    <w:abstractNumId w:val="17"/>
  </w:num>
  <w:num w:numId="14">
    <w:abstractNumId w:val="8"/>
  </w:num>
  <w:num w:numId="15">
    <w:abstractNumId w:val="18"/>
  </w:num>
  <w:num w:numId="16">
    <w:abstractNumId w:val="16"/>
  </w:num>
  <w:num w:numId="17">
    <w:abstractNumId w:val="2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4"/>
  </w:num>
  <w:num w:numId="69">
    <w:abstractNumId w:val="11"/>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num>
  <w:num w:numId="84">
    <w:abstractNumId w:val="30"/>
  </w:num>
  <w:num w:numId="85">
    <w:abstractNumId w:val="20"/>
  </w:num>
  <w:num w:numId="86">
    <w:abstractNumId w:val="32"/>
  </w:num>
  <w:num w:numId="87">
    <w:abstractNumId w:val="13"/>
  </w:num>
  <w:num w:numId="88">
    <w:abstractNumId w:val="21"/>
  </w:num>
  <w:num w:numId="89">
    <w:abstractNumId w:val="22"/>
  </w:num>
  <w:num w:numId="90">
    <w:abstractNumId w:val="10"/>
  </w:num>
  <w:num w:numId="91">
    <w:abstractNumId w:val="31"/>
  </w:num>
  <w:num w:numId="92">
    <w:abstractNumId w:val="9"/>
  </w:num>
  <w:num w:numId="93">
    <w:abstractNumId w:val="23"/>
  </w:num>
  <w:num w:numId="94">
    <w:abstractNumId w:val="28"/>
  </w:num>
  <w:num w:numId="95">
    <w:abstractNumId w:val="29"/>
  </w:num>
  <w:num w:numId="96">
    <w:abstractNumId w:val="12"/>
  </w:num>
  <w:num w:numId="97">
    <w:abstractNumId w:val="27"/>
  </w:num>
  <w:num w:numId="98">
    <w:abstractNumId w:val="3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3-09-06 17:47: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D124542A-E893-4BD3-86DA-633C9EA79094"/>
    <w:docVar w:name="LW_COVERPAGE_TYPE" w:val="1"/>
    <w:docVar w:name="LW_CROSSREFERENCE" w:val="{SWD(2023) 308 final} - {SWD(2023) 309 final}"/>
    <w:docVar w:name="LW_DocType" w:val="COM"/>
    <w:docVar w:name="LW_EMISSION" w:val="12.9.2023"/>
    <w:docVar w:name="LW_EMISSION_ISODATE" w:val="2023-09-12"/>
    <w:docVar w:name="LW_EMISSION_LOCATION" w:val="STR"/>
    <w:docVar w:name="LW_EMISSION_PREFIX" w:val="Strasbourg, "/>
    <w:docVar w:name="LW_EMISSION_SUFFIX" w:val=" "/>
    <w:docVar w:name="LW_ID_DOCMODEL" w:val="SJ-017"/>
    <w:docVar w:name="LW_ID_DOCSIGNATURE" w:val="SJ-017"/>
    <w:docVar w:name="LW_ID_DOCSTRUCTURE" w:val="COM/PL/ORG"/>
    <w:docVar w:name="LW_ID_DOCTYPE" w:val="SJ-017"/>
    <w:docVar w:name="LW_ID_STATUT" w:val="SJ-017"/>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321"/>
    <w:docVar w:name="LW_REF.II.NEW.CP_YEAR" w:val="2023"/>
    <w:docVar w:name="LW_REF.INST.NEW" w:val="COM"/>
    <w:docVar w:name="LW_REF.INST.NEW_ADOPTED" w:val="final"/>
    <w:docVar w:name="LW_REF.INST.NEW_TEXT" w:val="(2023) 53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Business in Europe: Framework for Income Taxation (BEFIT)"/>
    <w:docVar w:name="LW_TYPE.DOC.CP" w:val="COUNCIL DIRECTIVE"/>
    <w:docVar w:name="LwApiVersions" w:val="LW4CoDe 1.23.2.0; LW 8.0, Build 20211117"/>
  </w:docVars>
  <w:rsids>
    <w:rsidRoot w:val="00081B7A"/>
    <w:rsid w:val="000000B5"/>
    <w:rsid w:val="0000042C"/>
    <w:rsid w:val="00000DF1"/>
    <w:rsid w:val="00001224"/>
    <w:rsid w:val="0000135D"/>
    <w:rsid w:val="000016CC"/>
    <w:rsid w:val="00001ED1"/>
    <w:rsid w:val="0000204D"/>
    <w:rsid w:val="00003110"/>
    <w:rsid w:val="000038E2"/>
    <w:rsid w:val="0000399F"/>
    <w:rsid w:val="00003CE8"/>
    <w:rsid w:val="000048C4"/>
    <w:rsid w:val="00004ADF"/>
    <w:rsid w:val="00005011"/>
    <w:rsid w:val="00005250"/>
    <w:rsid w:val="000055C8"/>
    <w:rsid w:val="00005639"/>
    <w:rsid w:val="00005A65"/>
    <w:rsid w:val="00005A99"/>
    <w:rsid w:val="00006C7A"/>
    <w:rsid w:val="00007E6A"/>
    <w:rsid w:val="0001041C"/>
    <w:rsid w:val="000117F2"/>
    <w:rsid w:val="00013184"/>
    <w:rsid w:val="00013F80"/>
    <w:rsid w:val="00014847"/>
    <w:rsid w:val="00014995"/>
    <w:rsid w:val="00014FAC"/>
    <w:rsid w:val="0001542F"/>
    <w:rsid w:val="00017C5F"/>
    <w:rsid w:val="00017F67"/>
    <w:rsid w:val="000204FB"/>
    <w:rsid w:val="00020C65"/>
    <w:rsid w:val="00021027"/>
    <w:rsid w:val="000214B4"/>
    <w:rsid w:val="00021840"/>
    <w:rsid w:val="00021F77"/>
    <w:rsid w:val="00022784"/>
    <w:rsid w:val="00022936"/>
    <w:rsid w:val="000230B2"/>
    <w:rsid w:val="000233BC"/>
    <w:rsid w:val="000235A3"/>
    <w:rsid w:val="0002364C"/>
    <w:rsid w:val="00023C72"/>
    <w:rsid w:val="00023D8D"/>
    <w:rsid w:val="000245B9"/>
    <w:rsid w:val="000246A6"/>
    <w:rsid w:val="00024901"/>
    <w:rsid w:val="00024959"/>
    <w:rsid w:val="00024ABF"/>
    <w:rsid w:val="00024C37"/>
    <w:rsid w:val="00025BAC"/>
    <w:rsid w:val="00025C12"/>
    <w:rsid w:val="00025EF3"/>
    <w:rsid w:val="00025F8E"/>
    <w:rsid w:val="0002613C"/>
    <w:rsid w:val="00026187"/>
    <w:rsid w:val="00026757"/>
    <w:rsid w:val="00026DE3"/>
    <w:rsid w:val="000271F1"/>
    <w:rsid w:val="000276A5"/>
    <w:rsid w:val="00030375"/>
    <w:rsid w:val="00030721"/>
    <w:rsid w:val="00030804"/>
    <w:rsid w:val="00031ABB"/>
    <w:rsid w:val="00031E16"/>
    <w:rsid w:val="00031F96"/>
    <w:rsid w:val="000338F0"/>
    <w:rsid w:val="00033BC4"/>
    <w:rsid w:val="00033CCE"/>
    <w:rsid w:val="000346DC"/>
    <w:rsid w:val="00034A71"/>
    <w:rsid w:val="000358DA"/>
    <w:rsid w:val="00035E41"/>
    <w:rsid w:val="00035E5B"/>
    <w:rsid w:val="00035EC3"/>
    <w:rsid w:val="00035F1D"/>
    <w:rsid w:val="00035FC5"/>
    <w:rsid w:val="00036577"/>
    <w:rsid w:val="00036663"/>
    <w:rsid w:val="0003681B"/>
    <w:rsid w:val="00036B19"/>
    <w:rsid w:val="0003742C"/>
    <w:rsid w:val="00037AA4"/>
    <w:rsid w:val="00037ECB"/>
    <w:rsid w:val="000400DC"/>
    <w:rsid w:val="00040213"/>
    <w:rsid w:val="000404AE"/>
    <w:rsid w:val="000404EF"/>
    <w:rsid w:val="00041107"/>
    <w:rsid w:val="00041361"/>
    <w:rsid w:val="000413B1"/>
    <w:rsid w:val="00041424"/>
    <w:rsid w:val="000414CD"/>
    <w:rsid w:val="00041F0C"/>
    <w:rsid w:val="00041FF9"/>
    <w:rsid w:val="00042676"/>
    <w:rsid w:val="00042AAD"/>
    <w:rsid w:val="000437D4"/>
    <w:rsid w:val="00043C05"/>
    <w:rsid w:val="00043C63"/>
    <w:rsid w:val="00044323"/>
    <w:rsid w:val="000449F2"/>
    <w:rsid w:val="00045084"/>
    <w:rsid w:val="00045204"/>
    <w:rsid w:val="00045469"/>
    <w:rsid w:val="00046822"/>
    <w:rsid w:val="000476AF"/>
    <w:rsid w:val="000476B5"/>
    <w:rsid w:val="00047AF0"/>
    <w:rsid w:val="00050588"/>
    <w:rsid w:val="00050BB9"/>
    <w:rsid w:val="00051046"/>
    <w:rsid w:val="00051A02"/>
    <w:rsid w:val="00051B1E"/>
    <w:rsid w:val="00051B92"/>
    <w:rsid w:val="00053569"/>
    <w:rsid w:val="00055090"/>
    <w:rsid w:val="00055C4F"/>
    <w:rsid w:val="00055D42"/>
    <w:rsid w:val="00055E4F"/>
    <w:rsid w:val="00056742"/>
    <w:rsid w:val="000567F9"/>
    <w:rsid w:val="00056D66"/>
    <w:rsid w:val="00057364"/>
    <w:rsid w:val="00057879"/>
    <w:rsid w:val="00057DD1"/>
    <w:rsid w:val="00060270"/>
    <w:rsid w:val="000602BA"/>
    <w:rsid w:val="00060740"/>
    <w:rsid w:val="00060829"/>
    <w:rsid w:val="0006093E"/>
    <w:rsid w:val="000609D1"/>
    <w:rsid w:val="00060F9F"/>
    <w:rsid w:val="0006118B"/>
    <w:rsid w:val="00063489"/>
    <w:rsid w:val="000636BC"/>
    <w:rsid w:val="000638A3"/>
    <w:rsid w:val="00063B30"/>
    <w:rsid w:val="00063C23"/>
    <w:rsid w:val="00063C7B"/>
    <w:rsid w:val="00064473"/>
    <w:rsid w:val="0006478B"/>
    <w:rsid w:val="00064927"/>
    <w:rsid w:val="000649DB"/>
    <w:rsid w:val="00064B84"/>
    <w:rsid w:val="0006546D"/>
    <w:rsid w:val="00065A99"/>
    <w:rsid w:val="0006695C"/>
    <w:rsid w:val="00066B57"/>
    <w:rsid w:val="0006713E"/>
    <w:rsid w:val="00067250"/>
    <w:rsid w:val="00067812"/>
    <w:rsid w:val="00067C1C"/>
    <w:rsid w:val="00067D06"/>
    <w:rsid w:val="0007086E"/>
    <w:rsid w:val="000709D8"/>
    <w:rsid w:val="00070E86"/>
    <w:rsid w:val="00071133"/>
    <w:rsid w:val="000717D1"/>
    <w:rsid w:val="0007181E"/>
    <w:rsid w:val="000718C9"/>
    <w:rsid w:val="000721A3"/>
    <w:rsid w:val="000729A8"/>
    <w:rsid w:val="000731C0"/>
    <w:rsid w:val="000732A8"/>
    <w:rsid w:val="000734EE"/>
    <w:rsid w:val="00073B1B"/>
    <w:rsid w:val="00074BF2"/>
    <w:rsid w:val="00074CF1"/>
    <w:rsid w:val="00074E01"/>
    <w:rsid w:val="00074E42"/>
    <w:rsid w:val="00075013"/>
    <w:rsid w:val="000753EE"/>
    <w:rsid w:val="000775B4"/>
    <w:rsid w:val="00077E11"/>
    <w:rsid w:val="00077FC3"/>
    <w:rsid w:val="0008018F"/>
    <w:rsid w:val="000801D7"/>
    <w:rsid w:val="000803C3"/>
    <w:rsid w:val="00080417"/>
    <w:rsid w:val="0008107B"/>
    <w:rsid w:val="000811FF"/>
    <w:rsid w:val="000813B5"/>
    <w:rsid w:val="00081B7A"/>
    <w:rsid w:val="000825B8"/>
    <w:rsid w:val="000825FA"/>
    <w:rsid w:val="00082784"/>
    <w:rsid w:val="00082907"/>
    <w:rsid w:val="0008293B"/>
    <w:rsid w:val="00082EF4"/>
    <w:rsid w:val="000832BE"/>
    <w:rsid w:val="00083BF0"/>
    <w:rsid w:val="00083F48"/>
    <w:rsid w:val="00084AD1"/>
    <w:rsid w:val="00085170"/>
    <w:rsid w:val="000858F7"/>
    <w:rsid w:val="00085F21"/>
    <w:rsid w:val="0008667D"/>
    <w:rsid w:val="00086BA8"/>
    <w:rsid w:val="00086CA8"/>
    <w:rsid w:val="00087398"/>
    <w:rsid w:val="00087FBA"/>
    <w:rsid w:val="00090A3F"/>
    <w:rsid w:val="00090FD7"/>
    <w:rsid w:val="000912DC"/>
    <w:rsid w:val="000919E3"/>
    <w:rsid w:val="00091D0D"/>
    <w:rsid w:val="000920CA"/>
    <w:rsid w:val="000921E8"/>
    <w:rsid w:val="00092848"/>
    <w:rsid w:val="000929BA"/>
    <w:rsid w:val="000933EA"/>
    <w:rsid w:val="0009431F"/>
    <w:rsid w:val="00094D8C"/>
    <w:rsid w:val="00094EE0"/>
    <w:rsid w:val="00095127"/>
    <w:rsid w:val="00095278"/>
    <w:rsid w:val="000958CF"/>
    <w:rsid w:val="00095DCE"/>
    <w:rsid w:val="00097A53"/>
    <w:rsid w:val="00097BAB"/>
    <w:rsid w:val="000A0873"/>
    <w:rsid w:val="000A0AA8"/>
    <w:rsid w:val="000A0C80"/>
    <w:rsid w:val="000A0D0F"/>
    <w:rsid w:val="000A180C"/>
    <w:rsid w:val="000A1BC1"/>
    <w:rsid w:val="000A1E8E"/>
    <w:rsid w:val="000A20D4"/>
    <w:rsid w:val="000A2E69"/>
    <w:rsid w:val="000A34B5"/>
    <w:rsid w:val="000A35E7"/>
    <w:rsid w:val="000A3A6B"/>
    <w:rsid w:val="000A3C77"/>
    <w:rsid w:val="000A3F3C"/>
    <w:rsid w:val="000A50B4"/>
    <w:rsid w:val="000A5264"/>
    <w:rsid w:val="000A5314"/>
    <w:rsid w:val="000A554A"/>
    <w:rsid w:val="000A5DED"/>
    <w:rsid w:val="000A5DFB"/>
    <w:rsid w:val="000A6073"/>
    <w:rsid w:val="000A6287"/>
    <w:rsid w:val="000A65F7"/>
    <w:rsid w:val="000A7ABF"/>
    <w:rsid w:val="000B0635"/>
    <w:rsid w:val="000B07F0"/>
    <w:rsid w:val="000B0A55"/>
    <w:rsid w:val="000B0E32"/>
    <w:rsid w:val="000B21C9"/>
    <w:rsid w:val="000B3626"/>
    <w:rsid w:val="000B3842"/>
    <w:rsid w:val="000B3CB9"/>
    <w:rsid w:val="000B44E0"/>
    <w:rsid w:val="000B532A"/>
    <w:rsid w:val="000B58B7"/>
    <w:rsid w:val="000B5917"/>
    <w:rsid w:val="000B6150"/>
    <w:rsid w:val="000B6BF1"/>
    <w:rsid w:val="000B7ACB"/>
    <w:rsid w:val="000C0010"/>
    <w:rsid w:val="000C0033"/>
    <w:rsid w:val="000C081D"/>
    <w:rsid w:val="000C0C40"/>
    <w:rsid w:val="000C0DEA"/>
    <w:rsid w:val="000C2485"/>
    <w:rsid w:val="000C265E"/>
    <w:rsid w:val="000C29B3"/>
    <w:rsid w:val="000C2EDC"/>
    <w:rsid w:val="000C302B"/>
    <w:rsid w:val="000C30E8"/>
    <w:rsid w:val="000C316E"/>
    <w:rsid w:val="000C3236"/>
    <w:rsid w:val="000C3828"/>
    <w:rsid w:val="000C3A55"/>
    <w:rsid w:val="000C3D17"/>
    <w:rsid w:val="000C4477"/>
    <w:rsid w:val="000C45C4"/>
    <w:rsid w:val="000C4B99"/>
    <w:rsid w:val="000C4DDC"/>
    <w:rsid w:val="000C4F5A"/>
    <w:rsid w:val="000C5314"/>
    <w:rsid w:val="000C5C2C"/>
    <w:rsid w:val="000D003F"/>
    <w:rsid w:val="000D0733"/>
    <w:rsid w:val="000D09D4"/>
    <w:rsid w:val="000D0BFF"/>
    <w:rsid w:val="000D157B"/>
    <w:rsid w:val="000D159D"/>
    <w:rsid w:val="000D2940"/>
    <w:rsid w:val="000D4042"/>
    <w:rsid w:val="000D42B1"/>
    <w:rsid w:val="000D49B7"/>
    <w:rsid w:val="000D51A2"/>
    <w:rsid w:val="000D58D5"/>
    <w:rsid w:val="000D58FB"/>
    <w:rsid w:val="000D5AC0"/>
    <w:rsid w:val="000D5E43"/>
    <w:rsid w:val="000D6011"/>
    <w:rsid w:val="000D6398"/>
    <w:rsid w:val="000D709E"/>
    <w:rsid w:val="000E0923"/>
    <w:rsid w:val="000E188B"/>
    <w:rsid w:val="000E25BF"/>
    <w:rsid w:val="000E2616"/>
    <w:rsid w:val="000E274A"/>
    <w:rsid w:val="000E31E5"/>
    <w:rsid w:val="000E3397"/>
    <w:rsid w:val="000E34EC"/>
    <w:rsid w:val="000E411C"/>
    <w:rsid w:val="000E471C"/>
    <w:rsid w:val="000E4A99"/>
    <w:rsid w:val="000E4FAE"/>
    <w:rsid w:val="000E53FA"/>
    <w:rsid w:val="000E5615"/>
    <w:rsid w:val="000E5AC8"/>
    <w:rsid w:val="000E5CFD"/>
    <w:rsid w:val="000E5E68"/>
    <w:rsid w:val="000E6E72"/>
    <w:rsid w:val="000E7031"/>
    <w:rsid w:val="000E7ACF"/>
    <w:rsid w:val="000E7FF8"/>
    <w:rsid w:val="000F02C3"/>
    <w:rsid w:val="000F0D8C"/>
    <w:rsid w:val="000F1339"/>
    <w:rsid w:val="000F1BDA"/>
    <w:rsid w:val="000F220F"/>
    <w:rsid w:val="000F22DF"/>
    <w:rsid w:val="000F2590"/>
    <w:rsid w:val="000F2DF4"/>
    <w:rsid w:val="000F2E0B"/>
    <w:rsid w:val="000F3461"/>
    <w:rsid w:val="000F3A1E"/>
    <w:rsid w:val="000F3F52"/>
    <w:rsid w:val="000F5746"/>
    <w:rsid w:val="000F59F5"/>
    <w:rsid w:val="000F5D59"/>
    <w:rsid w:val="000F5FB6"/>
    <w:rsid w:val="000F602E"/>
    <w:rsid w:val="000F61D5"/>
    <w:rsid w:val="000F66CA"/>
    <w:rsid w:val="000F672F"/>
    <w:rsid w:val="000F6B1D"/>
    <w:rsid w:val="000F7004"/>
    <w:rsid w:val="000F7023"/>
    <w:rsid w:val="000F7FBA"/>
    <w:rsid w:val="00100392"/>
    <w:rsid w:val="001014DC"/>
    <w:rsid w:val="00101820"/>
    <w:rsid w:val="00101B4F"/>
    <w:rsid w:val="00102066"/>
    <w:rsid w:val="0010222B"/>
    <w:rsid w:val="00102BEC"/>
    <w:rsid w:val="00102CE0"/>
    <w:rsid w:val="00102DE9"/>
    <w:rsid w:val="00102F63"/>
    <w:rsid w:val="00103D43"/>
    <w:rsid w:val="00103D9F"/>
    <w:rsid w:val="00104008"/>
    <w:rsid w:val="001045A1"/>
    <w:rsid w:val="001047AE"/>
    <w:rsid w:val="001047C2"/>
    <w:rsid w:val="001047CC"/>
    <w:rsid w:val="00104D01"/>
    <w:rsid w:val="001059A6"/>
    <w:rsid w:val="00105A34"/>
    <w:rsid w:val="00105C83"/>
    <w:rsid w:val="00105D1B"/>
    <w:rsid w:val="001061BC"/>
    <w:rsid w:val="001062A8"/>
    <w:rsid w:val="001064C3"/>
    <w:rsid w:val="001065F5"/>
    <w:rsid w:val="00106647"/>
    <w:rsid w:val="00106942"/>
    <w:rsid w:val="00106D6C"/>
    <w:rsid w:val="00106DAE"/>
    <w:rsid w:val="001071D8"/>
    <w:rsid w:val="001074A1"/>
    <w:rsid w:val="00107BB5"/>
    <w:rsid w:val="0011000C"/>
    <w:rsid w:val="001100D1"/>
    <w:rsid w:val="0011094E"/>
    <w:rsid w:val="001114D8"/>
    <w:rsid w:val="00111562"/>
    <w:rsid w:val="00111A91"/>
    <w:rsid w:val="00111AD6"/>
    <w:rsid w:val="00111BB1"/>
    <w:rsid w:val="00111D8E"/>
    <w:rsid w:val="00111FBC"/>
    <w:rsid w:val="00112034"/>
    <w:rsid w:val="00112484"/>
    <w:rsid w:val="0011286B"/>
    <w:rsid w:val="001128CE"/>
    <w:rsid w:val="00112FC0"/>
    <w:rsid w:val="00113507"/>
    <w:rsid w:val="00113AF9"/>
    <w:rsid w:val="00113D0F"/>
    <w:rsid w:val="00114154"/>
    <w:rsid w:val="0011473B"/>
    <w:rsid w:val="001159B4"/>
    <w:rsid w:val="00115C2E"/>
    <w:rsid w:val="00115EFD"/>
    <w:rsid w:val="00115FB2"/>
    <w:rsid w:val="0011622A"/>
    <w:rsid w:val="0011622E"/>
    <w:rsid w:val="00116BB9"/>
    <w:rsid w:val="001175F9"/>
    <w:rsid w:val="0011797D"/>
    <w:rsid w:val="00117E8C"/>
    <w:rsid w:val="00120E8A"/>
    <w:rsid w:val="00120EE2"/>
    <w:rsid w:val="00121508"/>
    <w:rsid w:val="001218A9"/>
    <w:rsid w:val="00121BE4"/>
    <w:rsid w:val="00122A25"/>
    <w:rsid w:val="001238EF"/>
    <w:rsid w:val="00124F75"/>
    <w:rsid w:val="00124FC7"/>
    <w:rsid w:val="001250A1"/>
    <w:rsid w:val="00125142"/>
    <w:rsid w:val="00125B30"/>
    <w:rsid w:val="001262AA"/>
    <w:rsid w:val="00126752"/>
    <w:rsid w:val="00127174"/>
    <w:rsid w:val="001274DC"/>
    <w:rsid w:val="00127605"/>
    <w:rsid w:val="00127C37"/>
    <w:rsid w:val="00127D97"/>
    <w:rsid w:val="0013030F"/>
    <w:rsid w:val="00130ADE"/>
    <w:rsid w:val="001319AC"/>
    <w:rsid w:val="00132564"/>
    <w:rsid w:val="0013292C"/>
    <w:rsid w:val="00133134"/>
    <w:rsid w:val="001345C8"/>
    <w:rsid w:val="0013462A"/>
    <w:rsid w:val="00134757"/>
    <w:rsid w:val="00135402"/>
    <w:rsid w:val="001355C1"/>
    <w:rsid w:val="00135AFC"/>
    <w:rsid w:val="00135B8B"/>
    <w:rsid w:val="00135F9C"/>
    <w:rsid w:val="00136035"/>
    <w:rsid w:val="00136685"/>
    <w:rsid w:val="001367FA"/>
    <w:rsid w:val="00136B7F"/>
    <w:rsid w:val="001374F3"/>
    <w:rsid w:val="001379EF"/>
    <w:rsid w:val="00137C38"/>
    <w:rsid w:val="00140F27"/>
    <w:rsid w:val="001419DC"/>
    <w:rsid w:val="00141EF8"/>
    <w:rsid w:val="001424C2"/>
    <w:rsid w:val="00142DA1"/>
    <w:rsid w:val="00142EEA"/>
    <w:rsid w:val="00143012"/>
    <w:rsid w:val="00143370"/>
    <w:rsid w:val="0014388C"/>
    <w:rsid w:val="001454A5"/>
    <w:rsid w:val="001455BB"/>
    <w:rsid w:val="001458F8"/>
    <w:rsid w:val="00145FCB"/>
    <w:rsid w:val="00146177"/>
    <w:rsid w:val="00146236"/>
    <w:rsid w:val="001465A8"/>
    <w:rsid w:val="0014672E"/>
    <w:rsid w:val="0014694D"/>
    <w:rsid w:val="00146CBB"/>
    <w:rsid w:val="00146CC7"/>
    <w:rsid w:val="00146DC2"/>
    <w:rsid w:val="00146E4E"/>
    <w:rsid w:val="00146EEB"/>
    <w:rsid w:val="001472C1"/>
    <w:rsid w:val="00147AAD"/>
    <w:rsid w:val="00150C8E"/>
    <w:rsid w:val="0015104F"/>
    <w:rsid w:val="00151E4B"/>
    <w:rsid w:val="0015209B"/>
    <w:rsid w:val="0015270C"/>
    <w:rsid w:val="00152925"/>
    <w:rsid w:val="00152E77"/>
    <w:rsid w:val="00153A2B"/>
    <w:rsid w:val="00153D3D"/>
    <w:rsid w:val="00154247"/>
    <w:rsid w:val="00156090"/>
    <w:rsid w:val="001562B1"/>
    <w:rsid w:val="00156385"/>
    <w:rsid w:val="0015646D"/>
    <w:rsid w:val="0015647C"/>
    <w:rsid w:val="0015657C"/>
    <w:rsid w:val="001566B3"/>
    <w:rsid w:val="00156BD3"/>
    <w:rsid w:val="00156DDC"/>
    <w:rsid w:val="001601A7"/>
    <w:rsid w:val="00160359"/>
    <w:rsid w:val="00160F33"/>
    <w:rsid w:val="001613D0"/>
    <w:rsid w:val="001618AA"/>
    <w:rsid w:val="00162E85"/>
    <w:rsid w:val="00163067"/>
    <w:rsid w:val="001630CE"/>
    <w:rsid w:val="0016399F"/>
    <w:rsid w:val="00163B55"/>
    <w:rsid w:val="001649CA"/>
    <w:rsid w:val="00165190"/>
    <w:rsid w:val="001652F4"/>
    <w:rsid w:val="00165A08"/>
    <w:rsid w:val="00166209"/>
    <w:rsid w:val="001662EF"/>
    <w:rsid w:val="0016664F"/>
    <w:rsid w:val="0016756B"/>
    <w:rsid w:val="00167B14"/>
    <w:rsid w:val="00167E75"/>
    <w:rsid w:val="00167E83"/>
    <w:rsid w:val="001705B6"/>
    <w:rsid w:val="0017130D"/>
    <w:rsid w:val="001715D2"/>
    <w:rsid w:val="00172471"/>
    <w:rsid w:val="00172868"/>
    <w:rsid w:val="001732DE"/>
    <w:rsid w:val="00173B05"/>
    <w:rsid w:val="00173D09"/>
    <w:rsid w:val="00174FE9"/>
    <w:rsid w:val="00175631"/>
    <w:rsid w:val="00175931"/>
    <w:rsid w:val="00175D7A"/>
    <w:rsid w:val="00176D33"/>
    <w:rsid w:val="00176F4A"/>
    <w:rsid w:val="0017711E"/>
    <w:rsid w:val="001772C8"/>
    <w:rsid w:val="00177A8A"/>
    <w:rsid w:val="00177FE0"/>
    <w:rsid w:val="0018022B"/>
    <w:rsid w:val="00180574"/>
    <w:rsid w:val="00180732"/>
    <w:rsid w:val="001807F4"/>
    <w:rsid w:val="00180A9C"/>
    <w:rsid w:val="0018100C"/>
    <w:rsid w:val="00181EBC"/>
    <w:rsid w:val="00182184"/>
    <w:rsid w:val="0018270B"/>
    <w:rsid w:val="00183BA6"/>
    <w:rsid w:val="00183CFA"/>
    <w:rsid w:val="00183EA0"/>
    <w:rsid w:val="001842F8"/>
    <w:rsid w:val="0018481F"/>
    <w:rsid w:val="001855E2"/>
    <w:rsid w:val="0018596F"/>
    <w:rsid w:val="00185A99"/>
    <w:rsid w:val="00185D13"/>
    <w:rsid w:val="0018641E"/>
    <w:rsid w:val="00186741"/>
    <w:rsid w:val="001867FA"/>
    <w:rsid w:val="001869E4"/>
    <w:rsid w:val="001870B1"/>
    <w:rsid w:val="0018727D"/>
    <w:rsid w:val="001878B0"/>
    <w:rsid w:val="00192128"/>
    <w:rsid w:val="001923E8"/>
    <w:rsid w:val="001924B4"/>
    <w:rsid w:val="001929BC"/>
    <w:rsid w:val="001932AD"/>
    <w:rsid w:val="00193618"/>
    <w:rsid w:val="00193697"/>
    <w:rsid w:val="001936B6"/>
    <w:rsid w:val="00193990"/>
    <w:rsid w:val="00193B9F"/>
    <w:rsid w:val="00193FA8"/>
    <w:rsid w:val="00193FF1"/>
    <w:rsid w:val="001944E4"/>
    <w:rsid w:val="00194929"/>
    <w:rsid w:val="00194D7B"/>
    <w:rsid w:val="00195619"/>
    <w:rsid w:val="00195787"/>
    <w:rsid w:val="00195C78"/>
    <w:rsid w:val="00195ED8"/>
    <w:rsid w:val="00196007"/>
    <w:rsid w:val="00196135"/>
    <w:rsid w:val="00196A86"/>
    <w:rsid w:val="00197184"/>
    <w:rsid w:val="00197613"/>
    <w:rsid w:val="00197C2D"/>
    <w:rsid w:val="001A0C0D"/>
    <w:rsid w:val="001A1234"/>
    <w:rsid w:val="001A1465"/>
    <w:rsid w:val="001A23CD"/>
    <w:rsid w:val="001A3059"/>
    <w:rsid w:val="001A3272"/>
    <w:rsid w:val="001A3757"/>
    <w:rsid w:val="001A4147"/>
    <w:rsid w:val="001A4254"/>
    <w:rsid w:val="001A4AC4"/>
    <w:rsid w:val="001A4DB9"/>
    <w:rsid w:val="001A512A"/>
    <w:rsid w:val="001A529C"/>
    <w:rsid w:val="001A6005"/>
    <w:rsid w:val="001A63FE"/>
    <w:rsid w:val="001A6420"/>
    <w:rsid w:val="001A67C8"/>
    <w:rsid w:val="001A6FE6"/>
    <w:rsid w:val="001A71BB"/>
    <w:rsid w:val="001A71CC"/>
    <w:rsid w:val="001A7244"/>
    <w:rsid w:val="001A78D9"/>
    <w:rsid w:val="001A7BBF"/>
    <w:rsid w:val="001B15EE"/>
    <w:rsid w:val="001B1AB3"/>
    <w:rsid w:val="001B1C56"/>
    <w:rsid w:val="001B2161"/>
    <w:rsid w:val="001B22A3"/>
    <w:rsid w:val="001B2531"/>
    <w:rsid w:val="001B281B"/>
    <w:rsid w:val="001B2FFF"/>
    <w:rsid w:val="001B3073"/>
    <w:rsid w:val="001B311D"/>
    <w:rsid w:val="001B3182"/>
    <w:rsid w:val="001B37CE"/>
    <w:rsid w:val="001B3B8A"/>
    <w:rsid w:val="001B3C2E"/>
    <w:rsid w:val="001B422E"/>
    <w:rsid w:val="001B45C3"/>
    <w:rsid w:val="001B56C5"/>
    <w:rsid w:val="001B5CFE"/>
    <w:rsid w:val="001B5FCD"/>
    <w:rsid w:val="001B657A"/>
    <w:rsid w:val="001B6992"/>
    <w:rsid w:val="001B77B9"/>
    <w:rsid w:val="001B79C3"/>
    <w:rsid w:val="001B7C65"/>
    <w:rsid w:val="001C0021"/>
    <w:rsid w:val="001C0C56"/>
    <w:rsid w:val="001C0C65"/>
    <w:rsid w:val="001C0CDA"/>
    <w:rsid w:val="001C1109"/>
    <w:rsid w:val="001C1724"/>
    <w:rsid w:val="001C349F"/>
    <w:rsid w:val="001C352C"/>
    <w:rsid w:val="001C3C7A"/>
    <w:rsid w:val="001C4967"/>
    <w:rsid w:val="001C5375"/>
    <w:rsid w:val="001C6735"/>
    <w:rsid w:val="001C72C2"/>
    <w:rsid w:val="001C7A08"/>
    <w:rsid w:val="001C7C22"/>
    <w:rsid w:val="001D0079"/>
    <w:rsid w:val="001D0B94"/>
    <w:rsid w:val="001D0D75"/>
    <w:rsid w:val="001D0E75"/>
    <w:rsid w:val="001D16EF"/>
    <w:rsid w:val="001D17F3"/>
    <w:rsid w:val="001D18D0"/>
    <w:rsid w:val="001D1B0E"/>
    <w:rsid w:val="001D1D00"/>
    <w:rsid w:val="001D20D2"/>
    <w:rsid w:val="001D2480"/>
    <w:rsid w:val="001D3D99"/>
    <w:rsid w:val="001D49E3"/>
    <w:rsid w:val="001D53CF"/>
    <w:rsid w:val="001D5C07"/>
    <w:rsid w:val="001D6B10"/>
    <w:rsid w:val="001D7C8D"/>
    <w:rsid w:val="001E09B3"/>
    <w:rsid w:val="001E09BD"/>
    <w:rsid w:val="001E0A3B"/>
    <w:rsid w:val="001E0EE2"/>
    <w:rsid w:val="001E1589"/>
    <w:rsid w:val="001E2612"/>
    <w:rsid w:val="001E2C58"/>
    <w:rsid w:val="001E2F13"/>
    <w:rsid w:val="001E3FA5"/>
    <w:rsid w:val="001E4027"/>
    <w:rsid w:val="001E440C"/>
    <w:rsid w:val="001E4555"/>
    <w:rsid w:val="001E4BA5"/>
    <w:rsid w:val="001E4CB7"/>
    <w:rsid w:val="001E5090"/>
    <w:rsid w:val="001E5858"/>
    <w:rsid w:val="001E5B5D"/>
    <w:rsid w:val="001E5D34"/>
    <w:rsid w:val="001E5E6D"/>
    <w:rsid w:val="001E5FEC"/>
    <w:rsid w:val="001E6B8C"/>
    <w:rsid w:val="001E6CC5"/>
    <w:rsid w:val="001E7AE4"/>
    <w:rsid w:val="001E7EB5"/>
    <w:rsid w:val="001F059C"/>
    <w:rsid w:val="001F0E70"/>
    <w:rsid w:val="001F1321"/>
    <w:rsid w:val="001F1BEE"/>
    <w:rsid w:val="001F254F"/>
    <w:rsid w:val="001F25F5"/>
    <w:rsid w:val="001F27C6"/>
    <w:rsid w:val="001F28CC"/>
    <w:rsid w:val="001F30D6"/>
    <w:rsid w:val="001F3B75"/>
    <w:rsid w:val="001F3D3A"/>
    <w:rsid w:val="001F46DF"/>
    <w:rsid w:val="001F4D53"/>
    <w:rsid w:val="001F5076"/>
    <w:rsid w:val="001F5A9E"/>
    <w:rsid w:val="001F6A07"/>
    <w:rsid w:val="001F712A"/>
    <w:rsid w:val="001F73D5"/>
    <w:rsid w:val="001F7461"/>
    <w:rsid w:val="001F7C47"/>
    <w:rsid w:val="001F7C7B"/>
    <w:rsid w:val="00200394"/>
    <w:rsid w:val="0020078C"/>
    <w:rsid w:val="002009EB"/>
    <w:rsid w:val="00200EF8"/>
    <w:rsid w:val="00201817"/>
    <w:rsid w:val="002018D0"/>
    <w:rsid w:val="002023C5"/>
    <w:rsid w:val="0020265D"/>
    <w:rsid w:val="00202F28"/>
    <w:rsid w:val="00203551"/>
    <w:rsid w:val="002043AA"/>
    <w:rsid w:val="0020456A"/>
    <w:rsid w:val="002048A4"/>
    <w:rsid w:val="00204979"/>
    <w:rsid w:val="00204B9C"/>
    <w:rsid w:val="0020521F"/>
    <w:rsid w:val="00205585"/>
    <w:rsid w:val="0020585D"/>
    <w:rsid w:val="002058C2"/>
    <w:rsid w:val="0020679A"/>
    <w:rsid w:val="00207216"/>
    <w:rsid w:val="0020737F"/>
    <w:rsid w:val="00207597"/>
    <w:rsid w:val="002077E9"/>
    <w:rsid w:val="0020785A"/>
    <w:rsid w:val="002108FC"/>
    <w:rsid w:val="00210BED"/>
    <w:rsid w:val="00210D2B"/>
    <w:rsid w:val="00211204"/>
    <w:rsid w:val="00212033"/>
    <w:rsid w:val="002122E1"/>
    <w:rsid w:val="002128FC"/>
    <w:rsid w:val="002134E4"/>
    <w:rsid w:val="002135CE"/>
    <w:rsid w:val="00214280"/>
    <w:rsid w:val="00214345"/>
    <w:rsid w:val="00214FB4"/>
    <w:rsid w:val="00215001"/>
    <w:rsid w:val="00215666"/>
    <w:rsid w:val="00215CA0"/>
    <w:rsid w:val="00215F3B"/>
    <w:rsid w:val="00216A53"/>
    <w:rsid w:val="00217230"/>
    <w:rsid w:val="0022009A"/>
    <w:rsid w:val="00222002"/>
    <w:rsid w:val="00222079"/>
    <w:rsid w:val="00222550"/>
    <w:rsid w:val="00222E59"/>
    <w:rsid w:val="00222F4A"/>
    <w:rsid w:val="00223AB9"/>
    <w:rsid w:val="00224845"/>
    <w:rsid w:val="002250FF"/>
    <w:rsid w:val="00225400"/>
    <w:rsid w:val="00225434"/>
    <w:rsid w:val="00225CCB"/>
    <w:rsid w:val="002269CE"/>
    <w:rsid w:val="00227312"/>
    <w:rsid w:val="00227628"/>
    <w:rsid w:val="00227A94"/>
    <w:rsid w:val="0023001A"/>
    <w:rsid w:val="00230638"/>
    <w:rsid w:val="002312BC"/>
    <w:rsid w:val="00231456"/>
    <w:rsid w:val="002315E6"/>
    <w:rsid w:val="00231BC6"/>
    <w:rsid w:val="002322DF"/>
    <w:rsid w:val="0023239B"/>
    <w:rsid w:val="00232492"/>
    <w:rsid w:val="00232D3D"/>
    <w:rsid w:val="0023355B"/>
    <w:rsid w:val="00233B25"/>
    <w:rsid w:val="00233C51"/>
    <w:rsid w:val="00233DBF"/>
    <w:rsid w:val="00233DC7"/>
    <w:rsid w:val="0023448B"/>
    <w:rsid w:val="00234742"/>
    <w:rsid w:val="00235C9C"/>
    <w:rsid w:val="00235EBC"/>
    <w:rsid w:val="00236A97"/>
    <w:rsid w:val="00236F94"/>
    <w:rsid w:val="002375FD"/>
    <w:rsid w:val="00237AA5"/>
    <w:rsid w:val="00237D52"/>
    <w:rsid w:val="002400D8"/>
    <w:rsid w:val="002401B0"/>
    <w:rsid w:val="002402F7"/>
    <w:rsid w:val="002404E3"/>
    <w:rsid w:val="00241624"/>
    <w:rsid w:val="002416AC"/>
    <w:rsid w:val="00241746"/>
    <w:rsid w:val="002419C4"/>
    <w:rsid w:val="00241C72"/>
    <w:rsid w:val="00241D75"/>
    <w:rsid w:val="00241F8E"/>
    <w:rsid w:val="00242434"/>
    <w:rsid w:val="002426F7"/>
    <w:rsid w:val="00243A4F"/>
    <w:rsid w:val="00244B74"/>
    <w:rsid w:val="00246664"/>
    <w:rsid w:val="00247204"/>
    <w:rsid w:val="0024720D"/>
    <w:rsid w:val="002472BF"/>
    <w:rsid w:val="002474A2"/>
    <w:rsid w:val="00247779"/>
    <w:rsid w:val="00247ADB"/>
    <w:rsid w:val="0025008A"/>
    <w:rsid w:val="00250302"/>
    <w:rsid w:val="00250652"/>
    <w:rsid w:val="002506E3"/>
    <w:rsid w:val="00250CD3"/>
    <w:rsid w:val="00251773"/>
    <w:rsid w:val="00252690"/>
    <w:rsid w:val="00252752"/>
    <w:rsid w:val="00252780"/>
    <w:rsid w:val="00252854"/>
    <w:rsid w:val="00252C0E"/>
    <w:rsid w:val="00252E5F"/>
    <w:rsid w:val="00254424"/>
    <w:rsid w:val="00254BA9"/>
    <w:rsid w:val="00255179"/>
    <w:rsid w:val="002553A5"/>
    <w:rsid w:val="00255AAD"/>
    <w:rsid w:val="00255C20"/>
    <w:rsid w:val="00255F07"/>
    <w:rsid w:val="002560C4"/>
    <w:rsid w:val="002561D4"/>
    <w:rsid w:val="00257926"/>
    <w:rsid w:val="00257FA3"/>
    <w:rsid w:val="00260252"/>
    <w:rsid w:val="00260845"/>
    <w:rsid w:val="00261628"/>
    <w:rsid w:val="00261735"/>
    <w:rsid w:val="002617E5"/>
    <w:rsid w:val="0026231A"/>
    <w:rsid w:val="00262340"/>
    <w:rsid w:val="00264457"/>
    <w:rsid w:val="00264465"/>
    <w:rsid w:val="00264F26"/>
    <w:rsid w:val="00265684"/>
    <w:rsid w:val="002658D7"/>
    <w:rsid w:val="00265E22"/>
    <w:rsid w:val="002668A7"/>
    <w:rsid w:val="0026719F"/>
    <w:rsid w:val="00270742"/>
    <w:rsid w:val="00270754"/>
    <w:rsid w:val="002707B9"/>
    <w:rsid w:val="00270849"/>
    <w:rsid w:val="00270BE8"/>
    <w:rsid w:val="00270DF7"/>
    <w:rsid w:val="00271055"/>
    <w:rsid w:val="002712C3"/>
    <w:rsid w:val="00271B11"/>
    <w:rsid w:val="00271D2C"/>
    <w:rsid w:val="002733C5"/>
    <w:rsid w:val="00273D73"/>
    <w:rsid w:val="00274195"/>
    <w:rsid w:val="0027461A"/>
    <w:rsid w:val="0027477A"/>
    <w:rsid w:val="00274D47"/>
    <w:rsid w:val="00275273"/>
    <w:rsid w:val="0027579B"/>
    <w:rsid w:val="0027587B"/>
    <w:rsid w:val="00275ACE"/>
    <w:rsid w:val="00276393"/>
    <w:rsid w:val="0027689C"/>
    <w:rsid w:val="0027695A"/>
    <w:rsid w:val="002771B8"/>
    <w:rsid w:val="002774DC"/>
    <w:rsid w:val="002806F9"/>
    <w:rsid w:val="002808F4"/>
    <w:rsid w:val="002811AE"/>
    <w:rsid w:val="00281324"/>
    <w:rsid w:val="00281A21"/>
    <w:rsid w:val="0028209D"/>
    <w:rsid w:val="002825F2"/>
    <w:rsid w:val="0028374E"/>
    <w:rsid w:val="00284315"/>
    <w:rsid w:val="002847F9"/>
    <w:rsid w:val="00284A01"/>
    <w:rsid w:val="00284D0E"/>
    <w:rsid w:val="002853CC"/>
    <w:rsid w:val="002855C1"/>
    <w:rsid w:val="00285973"/>
    <w:rsid w:val="0028597B"/>
    <w:rsid w:val="00285BEE"/>
    <w:rsid w:val="00286DCA"/>
    <w:rsid w:val="00287539"/>
    <w:rsid w:val="00287ED5"/>
    <w:rsid w:val="002907B0"/>
    <w:rsid w:val="00291860"/>
    <w:rsid w:val="00291A60"/>
    <w:rsid w:val="00291AE0"/>
    <w:rsid w:val="00291E0C"/>
    <w:rsid w:val="00292252"/>
    <w:rsid w:val="002922D6"/>
    <w:rsid w:val="00292999"/>
    <w:rsid w:val="002929E3"/>
    <w:rsid w:val="00292F56"/>
    <w:rsid w:val="0029300E"/>
    <w:rsid w:val="00293203"/>
    <w:rsid w:val="002934D5"/>
    <w:rsid w:val="00293926"/>
    <w:rsid w:val="00293927"/>
    <w:rsid w:val="00293B50"/>
    <w:rsid w:val="002947E6"/>
    <w:rsid w:val="00295233"/>
    <w:rsid w:val="0029527B"/>
    <w:rsid w:val="0029533F"/>
    <w:rsid w:val="002954A8"/>
    <w:rsid w:val="002959BB"/>
    <w:rsid w:val="00295B02"/>
    <w:rsid w:val="00295D33"/>
    <w:rsid w:val="00295E2F"/>
    <w:rsid w:val="00295EF0"/>
    <w:rsid w:val="0029601C"/>
    <w:rsid w:val="002962ED"/>
    <w:rsid w:val="00296B6D"/>
    <w:rsid w:val="00296E4D"/>
    <w:rsid w:val="00297054"/>
    <w:rsid w:val="00297472"/>
    <w:rsid w:val="00297520"/>
    <w:rsid w:val="002977B6"/>
    <w:rsid w:val="002A0001"/>
    <w:rsid w:val="002A02BE"/>
    <w:rsid w:val="002A0400"/>
    <w:rsid w:val="002A07B1"/>
    <w:rsid w:val="002A117D"/>
    <w:rsid w:val="002A1370"/>
    <w:rsid w:val="002A1623"/>
    <w:rsid w:val="002A1D24"/>
    <w:rsid w:val="002A2824"/>
    <w:rsid w:val="002A2D59"/>
    <w:rsid w:val="002A2F85"/>
    <w:rsid w:val="002A393C"/>
    <w:rsid w:val="002A3BBA"/>
    <w:rsid w:val="002A43F1"/>
    <w:rsid w:val="002A45FB"/>
    <w:rsid w:val="002A4609"/>
    <w:rsid w:val="002A4F81"/>
    <w:rsid w:val="002A516D"/>
    <w:rsid w:val="002A5203"/>
    <w:rsid w:val="002A540B"/>
    <w:rsid w:val="002A565C"/>
    <w:rsid w:val="002A56D2"/>
    <w:rsid w:val="002A5821"/>
    <w:rsid w:val="002A58F8"/>
    <w:rsid w:val="002A5CD4"/>
    <w:rsid w:val="002A7524"/>
    <w:rsid w:val="002A7DDB"/>
    <w:rsid w:val="002A7E96"/>
    <w:rsid w:val="002B043A"/>
    <w:rsid w:val="002B06B4"/>
    <w:rsid w:val="002B0884"/>
    <w:rsid w:val="002B0DE1"/>
    <w:rsid w:val="002B11F4"/>
    <w:rsid w:val="002B1535"/>
    <w:rsid w:val="002B2465"/>
    <w:rsid w:val="002B24C2"/>
    <w:rsid w:val="002B30AF"/>
    <w:rsid w:val="002B3409"/>
    <w:rsid w:val="002B3824"/>
    <w:rsid w:val="002B3D4F"/>
    <w:rsid w:val="002B445C"/>
    <w:rsid w:val="002B4928"/>
    <w:rsid w:val="002B4C23"/>
    <w:rsid w:val="002B507F"/>
    <w:rsid w:val="002B5E35"/>
    <w:rsid w:val="002B6185"/>
    <w:rsid w:val="002B68BF"/>
    <w:rsid w:val="002B6AA7"/>
    <w:rsid w:val="002B6BCF"/>
    <w:rsid w:val="002B6FC2"/>
    <w:rsid w:val="002B72E6"/>
    <w:rsid w:val="002B7ED2"/>
    <w:rsid w:val="002C0159"/>
    <w:rsid w:val="002C04BB"/>
    <w:rsid w:val="002C16B5"/>
    <w:rsid w:val="002C17BD"/>
    <w:rsid w:val="002C2269"/>
    <w:rsid w:val="002C2277"/>
    <w:rsid w:val="002C2B3B"/>
    <w:rsid w:val="002C3945"/>
    <w:rsid w:val="002C3B4F"/>
    <w:rsid w:val="002C400A"/>
    <w:rsid w:val="002C452C"/>
    <w:rsid w:val="002C4771"/>
    <w:rsid w:val="002C6A32"/>
    <w:rsid w:val="002C6C52"/>
    <w:rsid w:val="002C6CDE"/>
    <w:rsid w:val="002C7242"/>
    <w:rsid w:val="002C72CD"/>
    <w:rsid w:val="002C7322"/>
    <w:rsid w:val="002C740A"/>
    <w:rsid w:val="002C77A8"/>
    <w:rsid w:val="002C7BCE"/>
    <w:rsid w:val="002C7BD6"/>
    <w:rsid w:val="002C7F8A"/>
    <w:rsid w:val="002D0341"/>
    <w:rsid w:val="002D0D7B"/>
    <w:rsid w:val="002D1475"/>
    <w:rsid w:val="002D155C"/>
    <w:rsid w:val="002D15C4"/>
    <w:rsid w:val="002D1AA5"/>
    <w:rsid w:val="002D1F96"/>
    <w:rsid w:val="002D311F"/>
    <w:rsid w:val="002D3592"/>
    <w:rsid w:val="002D3661"/>
    <w:rsid w:val="002D37D4"/>
    <w:rsid w:val="002D382F"/>
    <w:rsid w:val="002D3DBE"/>
    <w:rsid w:val="002D4B39"/>
    <w:rsid w:val="002D548B"/>
    <w:rsid w:val="002D5B85"/>
    <w:rsid w:val="002D5B88"/>
    <w:rsid w:val="002D5BFB"/>
    <w:rsid w:val="002D601D"/>
    <w:rsid w:val="002D6841"/>
    <w:rsid w:val="002D6864"/>
    <w:rsid w:val="002D6AAF"/>
    <w:rsid w:val="002D7098"/>
    <w:rsid w:val="002D72AC"/>
    <w:rsid w:val="002D7C0E"/>
    <w:rsid w:val="002D7C64"/>
    <w:rsid w:val="002D7D34"/>
    <w:rsid w:val="002D7D8F"/>
    <w:rsid w:val="002E04B0"/>
    <w:rsid w:val="002E0CCE"/>
    <w:rsid w:val="002E11D4"/>
    <w:rsid w:val="002E17E1"/>
    <w:rsid w:val="002E17E3"/>
    <w:rsid w:val="002E19F1"/>
    <w:rsid w:val="002E23C1"/>
    <w:rsid w:val="002E278D"/>
    <w:rsid w:val="002E2A0D"/>
    <w:rsid w:val="002E2AB4"/>
    <w:rsid w:val="002E2D3D"/>
    <w:rsid w:val="002E336A"/>
    <w:rsid w:val="002E3410"/>
    <w:rsid w:val="002E3A5B"/>
    <w:rsid w:val="002E3C6E"/>
    <w:rsid w:val="002E3CFF"/>
    <w:rsid w:val="002E42AB"/>
    <w:rsid w:val="002E446F"/>
    <w:rsid w:val="002E4591"/>
    <w:rsid w:val="002E564F"/>
    <w:rsid w:val="002E59EA"/>
    <w:rsid w:val="002E662A"/>
    <w:rsid w:val="002E7310"/>
    <w:rsid w:val="002E739F"/>
    <w:rsid w:val="002E7E35"/>
    <w:rsid w:val="002F00F6"/>
    <w:rsid w:val="002F0CFD"/>
    <w:rsid w:val="002F1289"/>
    <w:rsid w:val="002F13DA"/>
    <w:rsid w:val="002F2AAE"/>
    <w:rsid w:val="002F2EBD"/>
    <w:rsid w:val="002F32C1"/>
    <w:rsid w:val="002F3DE0"/>
    <w:rsid w:val="002F3E05"/>
    <w:rsid w:val="002F3F62"/>
    <w:rsid w:val="002F412F"/>
    <w:rsid w:val="002F42CF"/>
    <w:rsid w:val="002F48D3"/>
    <w:rsid w:val="002F5326"/>
    <w:rsid w:val="002F54D5"/>
    <w:rsid w:val="002F5DF3"/>
    <w:rsid w:val="002F6168"/>
    <w:rsid w:val="002F64DC"/>
    <w:rsid w:val="002F651D"/>
    <w:rsid w:val="002F652A"/>
    <w:rsid w:val="002F679A"/>
    <w:rsid w:val="002F679C"/>
    <w:rsid w:val="002F6E34"/>
    <w:rsid w:val="002F6F9F"/>
    <w:rsid w:val="0030014F"/>
    <w:rsid w:val="00300BAC"/>
    <w:rsid w:val="00301A5C"/>
    <w:rsid w:val="003020F8"/>
    <w:rsid w:val="00302424"/>
    <w:rsid w:val="00302B62"/>
    <w:rsid w:val="0030396E"/>
    <w:rsid w:val="003040BC"/>
    <w:rsid w:val="00304667"/>
    <w:rsid w:val="003046BF"/>
    <w:rsid w:val="003047B9"/>
    <w:rsid w:val="0030506D"/>
    <w:rsid w:val="00305540"/>
    <w:rsid w:val="0030560F"/>
    <w:rsid w:val="003061D8"/>
    <w:rsid w:val="00306963"/>
    <w:rsid w:val="00307597"/>
    <w:rsid w:val="00307BE4"/>
    <w:rsid w:val="00307FE6"/>
    <w:rsid w:val="00310308"/>
    <w:rsid w:val="00310905"/>
    <w:rsid w:val="00311501"/>
    <w:rsid w:val="0031196C"/>
    <w:rsid w:val="00311ACC"/>
    <w:rsid w:val="00311C67"/>
    <w:rsid w:val="00311FDE"/>
    <w:rsid w:val="00312247"/>
    <w:rsid w:val="00312515"/>
    <w:rsid w:val="00312B45"/>
    <w:rsid w:val="00313D3D"/>
    <w:rsid w:val="00314080"/>
    <w:rsid w:val="00314169"/>
    <w:rsid w:val="00314D23"/>
    <w:rsid w:val="00314DBC"/>
    <w:rsid w:val="003158F1"/>
    <w:rsid w:val="00315A6D"/>
    <w:rsid w:val="00315A73"/>
    <w:rsid w:val="00316134"/>
    <w:rsid w:val="00316A37"/>
    <w:rsid w:val="00316A75"/>
    <w:rsid w:val="00320608"/>
    <w:rsid w:val="00320D98"/>
    <w:rsid w:val="00321164"/>
    <w:rsid w:val="0032133D"/>
    <w:rsid w:val="00321EA9"/>
    <w:rsid w:val="003222B0"/>
    <w:rsid w:val="003222F4"/>
    <w:rsid w:val="00322578"/>
    <w:rsid w:val="003225F7"/>
    <w:rsid w:val="0032291B"/>
    <w:rsid w:val="0032295D"/>
    <w:rsid w:val="00322EDF"/>
    <w:rsid w:val="00323D46"/>
    <w:rsid w:val="00323D86"/>
    <w:rsid w:val="00324391"/>
    <w:rsid w:val="00324BAD"/>
    <w:rsid w:val="00324D00"/>
    <w:rsid w:val="003251B4"/>
    <w:rsid w:val="003254AD"/>
    <w:rsid w:val="00325690"/>
    <w:rsid w:val="003259E8"/>
    <w:rsid w:val="00325A94"/>
    <w:rsid w:val="00325B53"/>
    <w:rsid w:val="003262C9"/>
    <w:rsid w:val="00326DEA"/>
    <w:rsid w:val="003276D9"/>
    <w:rsid w:val="003277A8"/>
    <w:rsid w:val="00327A87"/>
    <w:rsid w:val="0033020F"/>
    <w:rsid w:val="003302AF"/>
    <w:rsid w:val="003304D6"/>
    <w:rsid w:val="00330A01"/>
    <w:rsid w:val="003316C0"/>
    <w:rsid w:val="003326EC"/>
    <w:rsid w:val="00332A39"/>
    <w:rsid w:val="00332BC8"/>
    <w:rsid w:val="00332CAE"/>
    <w:rsid w:val="00332D92"/>
    <w:rsid w:val="00332E36"/>
    <w:rsid w:val="0033344A"/>
    <w:rsid w:val="00333837"/>
    <w:rsid w:val="0033388E"/>
    <w:rsid w:val="0033388F"/>
    <w:rsid w:val="00333FA7"/>
    <w:rsid w:val="0033430E"/>
    <w:rsid w:val="003349CB"/>
    <w:rsid w:val="00334C0F"/>
    <w:rsid w:val="00335BF7"/>
    <w:rsid w:val="00335FD5"/>
    <w:rsid w:val="00336206"/>
    <w:rsid w:val="0033684D"/>
    <w:rsid w:val="003368F2"/>
    <w:rsid w:val="003371DA"/>
    <w:rsid w:val="00340931"/>
    <w:rsid w:val="00340D7E"/>
    <w:rsid w:val="00341039"/>
    <w:rsid w:val="00341AD4"/>
    <w:rsid w:val="00341CAC"/>
    <w:rsid w:val="00341E15"/>
    <w:rsid w:val="00341E88"/>
    <w:rsid w:val="0034208C"/>
    <w:rsid w:val="003421B9"/>
    <w:rsid w:val="003430F2"/>
    <w:rsid w:val="0034379D"/>
    <w:rsid w:val="00343973"/>
    <w:rsid w:val="00344175"/>
    <w:rsid w:val="00344EBE"/>
    <w:rsid w:val="00344EDA"/>
    <w:rsid w:val="00344FE5"/>
    <w:rsid w:val="00345181"/>
    <w:rsid w:val="003458B8"/>
    <w:rsid w:val="00346106"/>
    <w:rsid w:val="00347490"/>
    <w:rsid w:val="0034756E"/>
    <w:rsid w:val="00347747"/>
    <w:rsid w:val="00347D71"/>
    <w:rsid w:val="003500A0"/>
    <w:rsid w:val="003500EA"/>
    <w:rsid w:val="003503BC"/>
    <w:rsid w:val="00350690"/>
    <w:rsid w:val="0035076A"/>
    <w:rsid w:val="0035079C"/>
    <w:rsid w:val="00350CB8"/>
    <w:rsid w:val="00351610"/>
    <w:rsid w:val="0035174F"/>
    <w:rsid w:val="00352352"/>
    <w:rsid w:val="00353759"/>
    <w:rsid w:val="003546CF"/>
    <w:rsid w:val="003549E6"/>
    <w:rsid w:val="0035523A"/>
    <w:rsid w:val="00355A0F"/>
    <w:rsid w:val="00356090"/>
    <w:rsid w:val="00356A2E"/>
    <w:rsid w:val="00356B34"/>
    <w:rsid w:val="00356BDA"/>
    <w:rsid w:val="003573CD"/>
    <w:rsid w:val="003575F8"/>
    <w:rsid w:val="00357942"/>
    <w:rsid w:val="00357E11"/>
    <w:rsid w:val="00357FA4"/>
    <w:rsid w:val="003605DD"/>
    <w:rsid w:val="00361C36"/>
    <w:rsid w:val="00361E7A"/>
    <w:rsid w:val="0036207B"/>
    <w:rsid w:val="00362481"/>
    <w:rsid w:val="00362D5A"/>
    <w:rsid w:val="00363097"/>
    <w:rsid w:val="003634B3"/>
    <w:rsid w:val="003642C6"/>
    <w:rsid w:val="00364471"/>
    <w:rsid w:val="00364742"/>
    <w:rsid w:val="003647F3"/>
    <w:rsid w:val="00364D42"/>
    <w:rsid w:val="0036515F"/>
    <w:rsid w:val="00365C55"/>
    <w:rsid w:val="0036600E"/>
    <w:rsid w:val="003663FD"/>
    <w:rsid w:val="0036691B"/>
    <w:rsid w:val="003669A9"/>
    <w:rsid w:val="00367C8F"/>
    <w:rsid w:val="0037082A"/>
    <w:rsid w:val="00370F05"/>
    <w:rsid w:val="00371239"/>
    <w:rsid w:val="003712E1"/>
    <w:rsid w:val="003718C2"/>
    <w:rsid w:val="00371C81"/>
    <w:rsid w:val="0037240A"/>
    <w:rsid w:val="00372562"/>
    <w:rsid w:val="003725FC"/>
    <w:rsid w:val="0037278F"/>
    <w:rsid w:val="003729E3"/>
    <w:rsid w:val="00372D92"/>
    <w:rsid w:val="003735A5"/>
    <w:rsid w:val="00374484"/>
    <w:rsid w:val="0037454A"/>
    <w:rsid w:val="00374960"/>
    <w:rsid w:val="0037499C"/>
    <w:rsid w:val="00374D4B"/>
    <w:rsid w:val="00375195"/>
    <w:rsid w:val="00375677"/>
    <w:rsid w:val="00375886"/>
    <w:rsid w:val="003769FB"/>
    <w:rsid w:val="00377082"/>
    <w:rsid w:val="003773D0"/>
    <w:rsid w:val="0038031B"/>
    <w:rsid w:val="0038077D"/>
    <w:rsid w:val="0038243D"/>
    <w:rsid w:val="00382501"/>
    <w:rsid w:val="003827D3"/>
    <w:rsid w:val="00382E2F"/>
    <w:rsid w:val="0038355D"/>
    <w:rsid w:val="00383A1B"/>
    <w:rsid w:val="00383AA2"/>
    <w:rsid w:val="00383EE5"/>
    <w:rsid w:val="00384098"/>
    <w:rsid w:val="0038421B"/>
    <w:rsid w:val="00384783"/>
    <w:rsid w:val="00385BF3"/>
    <w:rsid w:val="003861E1"/>
    <w:rsid w:val="00387734"/>
    <w:rsid w:val="00387949"/>
    <w:rsid w:val="00387AB2"/>
    <w:rsid w:val="00390205"/>
    <w:rsid w:val="003909A3"/>
    <w:rsid w:val="00390EEF"/>
    <w:rsid w:val="00391018"/>
    <w:rsid w:val="003912CA"/>
    <w:rsid w:val="003913F5"/>
    <w:rsid w:val="0039238D"/>
    <w:rsid w:val="003926C1"/>
    <w:rsid w:val="00392EC8"/>
    <w:rsid w:val="00392EF5"/>
    <w:rsid w:val="003932E5"/>
    <w:rsid w:val="003935BE"/>
    <w:rsid w:val="003936E1"/>
    <w:rsid w:val="00393795"/>
    <w:rsid w:val="00393CCC"/>
    <w:rsid w:val="00393EFB"/>
    <w:rsid w:val="00393F3B"/>
    <w:rsid w:val="00393F84"/>
    <w:rsid w:val="00393FFC"/>
    <w:rsid w:val="003944A0"/>
    <w:rsid w:val="003947C9"/>
    <w:rsid w:val="00394841"/>
    <w:rsid w:val="00394860"/>
    <w:rsid w:val="00394AE1"/>
    <w:rsid w:val="00394EFD"/>
    <w:rsid w:val="003956A4"/>
    <w:rsid w:val="00395A7A"/>
    <w:rsid w:val="00395AE5"/>
    <w:rsid w:val="00395B02"/>
    <w:rsid w:val="00395D2B"/>
    <w:rsid w:val="00395EC3"/>
    <w:rsid w:val="00396B75"/>
    <w:rsid w:val="00396D18"/>
    <w:rsid w:val="00396F53"/>
    <w:rsid w:val="00397DDE"/>
    <w:rsid w:val="003A0792"/>
    <w:rsid w:val="003A084E"/>
    <w:rsid w:val="003A0AF4"/>
    <w:rsid w:val="003A1397"/>
    <w:rsid w:val="003A14E7"/>
    <w:rsid w:val="003A19A7"/>
    <w:rsid w:val="003A1A70"/>
    <w:rsid w:val="003A3591"/>
    <w:rsid w:val="003A3E46"/>
    <w:rsid w:val="003A3ED5"/>
    <w:rsid w:val="003A4203"/>
    <w:rsid w:val="003A43C6"/>
    <w:rsid w:val="003A460B"/>
    <w:rsid w:val="003A49FE"/>
    <w:rsid w:val="003A525F"/>
    <w:rsid w:val="003A5A0A"/>
    <w:rsid w:val="003A5CC0"/>
    <w:rsid w:val="003A64AA"/>
    <w:rsid w:val="003A656F"/>
    <w:rsid w:val="003A6DBA"/>
    <w:rsid w:val="003A7C43"/>
    <w:rsid w:val="003B06F8"/>
    <w:rsid w:val="003B19AE"/>
    <w:rsid w:val="003B1F52"/>
    <w:rsid w:val="003B207F"/>
    <w:rsid w:val="003B23FB"/>
    <w:rsid w:val="003B3BC1"/>
    <w:rsid w:val="003B4174"/>
    <w:rsid w:val="003B45D2"/>
    <w:rsid w:val="003B480F"/>
    <w:rsid w:val="003B4955"/>
    <w:rsid w:val="003B53CB"/>
    <w:rsid w:val="003B622C"/>
    <w:rsid w:val="003B69B0"/>
    <w:rsid w:val="003B6B0E"/>
    <w:rsid w:val="003B6B88"/>
    <w:rsid w:val="003B6E34"/>
    <w:rsid w:val="003B71AF"/>
    <w:rsid w:val="003B721F"/>
    <w:rsid w:val="003B7424"/>
    <w:rsid w:val="003C0BB9"/>
    <w:rsid w:val="003C0C46"/>
    <w:rsid w:val="003C20C0"/>
    <w:rsid w:val="003C24D3"/>
    <w:rsid w:val="003C3718"/>
    <w:rsid w:val="003C37E9"/>
    <w:rsid w:val="003C404D"/>
    <w:rsid w:val="003C44CD"/>
    <w:rsid w:val="003C4925"/>
    <w:rsid w:val="003C5777"/>
    <w:rsid w:val="003C5783"/>
    <w:rsid w:val="003C5B5C"/>
    <w:rsid w:val="003C6305"/>
    <w:rsid w:val="003C68BC"/>
    <w:rsid w:val="003C76E2"/>
    <w:rsid w:val="003C7A3B"/>
    <w:rsid w:val="003C7B27"/>
    <w:rsid w:val="003C7EF3"/>
    <w:rsid w:val="003D050B"/>
    <w:rsid w:val="003D0852"/>
    <w:rsid w:val="003D08D0"/>
    <w:rsid w:val="003D0C01"/>
    <w:rsid w:val="003D1A22"/>
    <w:rsid w:val="003D23E7"/>
    <w:rsid w:val="003D2C6F"/>
    <w:rsid w:val="003D3137"/>
    <w:rsid w:val="003D3309"/>
    <w:rsid w:val="003D37B1"/>
    <w:rsid w:val="003D3AFA"/>
    <w:rsid w:val="003D3EFB"/>
    <w:rsid w:val="003D4568"/>
    <w:rsid w:val="003D540B"/>
    <w:rsid w:val="003D586E"/>
    <w:rsid w:val="003D591D"/>
    <w:rsid w:val="003D5B3E"/>
    <w:rsid w:val="003D5D1B"/>
    <w:rsid w:val="003D63CE"/>
    <w:rsid w:val="003D7ACB"/>
    <w:rsid w:val="003D7CD3"/>
    <w:rsid w:val="003E02C5"/>
    <w:rsid w:val="003E0354"/>
    <w:rsid w:val="003E0760"/>
    <w:rsid w:val="003E0882"/>
    <w:rsid w:val="003E182B"/>
    <w:rsid w:val="003E20C5"/>
    <w:rsid w:val="003E22A6"/>
    <w:rsid w:val="003E25C7"/>
    <w:rsid w:val="003E2787"/>
    <w:rsid w:val="003E2A64"/>
    <w:rsid w:val="003E2E03"/>
    <w:rsid w:val="003E3A85"/>
    <w:rsid w:val="003E51E2"/>
    <w:rsid w:val="003E6193"/>
    <w:rsid w:val="003E65AA"/>
    <w:rsid w:val="003E6672"/>
    <w:rsid w:val="003E694F"/>
    <w:rsid w:val="003E6B4D"/>
    <w:rsid w:val="003E7BFA"/>
    <w:rsid w:val="003E7CA9"/>
    <w:rsid w:val="003F0A80"/>
    <w:rsid w:val="003F0BAF"/>
    <w:rsid w:val="003F0DC5"/>
    <w:rsid w:val="003F0EAF"/>
    <w:rsid w:val="003F1482"/>
    <w:rsid w:val="003F1524"/>
    <w:rsid w:val="003F1528"/>
    <w:rsid w:val="003F15C3"/>
    <w:rsid w:val="003F17EA"/>
    <w:rsid w:val="003F1822"/>
    <w:rsid w:val="003F1D08"/>
    <w:rsid w:val="003F2008"/>
    <w:rsid w:val="003F2380"/>
    <w:rsid w:val="003F25D2"/>
    <w:rsid w:val="003F2B70"/>
    <w:rsid w:val="003F33B1"/>
    <w:rsid w:val="003F4399"/>
    <w:rsid w:val="003F493A"/>
    <w:rsid w:val="003F5CEF"/>
    <w:rsid w:val="003F675E"/>
    <w:rsid w:val="003F6884"/>
    <w:rsid w:val="003F6F23"/>
    <w:rsid w:val="003F6FD1"/>
    <w:rsid w:val="003F77F3"/>
    <w:rsid w:val="0040003B"/>
    <w:rsid w:val="004014AC"/>
    <w:rsid w:val="004020AE"/>
    <w:rsid w:val="00402951"/>
    <w:rsid w:val="00403506"/>
    <w:rsid w:val="00403B0D"/>
    <w:rsid w:val="00403D60"/>
    <w:rsid w:val="00403F3B"/>
    <w:rsid w:val="004044F3"/>
    <w:rsid w:val="0040475A"/>
    <w:rsid w:val="0040512D"/>
    <w:rsid w:val="00405799"/>
    <w:rsid w:val="00405F4B"/>
    <w:rsid w:val="0040722A"/>
    <w:rsid w:val="00410061"/>
    <w:rsid w:val="00411CE3"/>
    <w:rsid w:val="00411D5B"/>
    <w:rsid w:val="004120CC"/>
    <w:rsid w:val="0041250E"/>
    <w:rsid w:val="00412566"/>
    <w:rsid w:val="00412A76"/>
    <w:rsid w:val="004134B8"/>
    <w:rsid w:val="004137C0"/>
    <w:rsid w:val="00413E33"/>
    <w:rsid w:val="00414073"/>
    <w:rsid w:val="004140FD"/>
    <w:rsid w:val="00414297"/>
    <w:rsid w:val="004147CD"/>
    <w:rsid w:val="00414B56"/>
    <w:rsid w:val="00414CCC"/>
    <w:rsid w:val="00414EF8"/>
    <w:rsid w:val="00415098"/>
    <w:rsid w:val="00415393"/>
    <w:rsid w:val="00415603"/>
    <w:rsid w:val="00415B10"/>
    <w:rsid w:val="00415CFB"/>
    <w:rsid w:val="00415DCE"/>
    <w:rsid w:val="00415DE4"/>
    <w:rsid w:val="00415E16"/>
    <w:rsid w:val="00416ABF"/>
    <w:rsid w:val="00416C76"/>
    <w:rsid w:val="0041752B"/>
    <w:rsid w:val="00417C28"/>
    <w:rsid w:val="00417C5B"/>
    <w:rsid w:val="00417D6C"/>
    <w:rsid w:val="00420D24"/>
    <w:rsid w:val="004228A6"/>
    <w:rsid w:val="00422B06"/>
    <w:rsid w:val="00422BEF"/>
    <w:rsid w:val="00423536"/>
    <w:rsid w:val="004240C0"/>
    <w:rsid w:val="00424286"/>
    <w:rsid w:val="004249BE"/>
    <w:rsid w:val="00424AF9"/>
    <w:rsid w:val="00425016"/>
    <w:rsid w:val="00425043"/>
    <w:rsid w:val="004250C5"/>
    <w:rsid w:val="004258D0"/>
    <w:rsid w:val="0042648E"/>
    <w:rsid w:val="00426A1D"/>
    <w:rsid w:val="00426C87"/>
    <w:rsid w:val="00426EDA"/>
    <w:rsid w:val="0042709B"/>
    <w:rsid w:val="00427129"/>
    <w:rsid w:val="004271BE"/>
    <w:rsid w:val="004272F8"/>
    <w:rsid w:val="00427DF9"/>
    <w:rsid w:val="0043073E"/>
    <w:rsid w:val="00431035"/>
    <w:rsid w:val="00431486"/>
    <w:rsid w:val="00431CB1"/>
    <w:rsid w:val="00432809"/>
    <w:rsid w:val="00432A64"/>
    <w:rsid w:val="00433028"/>
    <w:rsid w:val="0043318B"/>
    <w:rsid w:val="00433310"/>
    <w:rsid w:val="00433C43"/>
    <w:rsid w:val="00434549"/>
    <w:rsid w:val="00434923"/>
    <w:rsid w:val="00434C83"/>
    <w:rsid w:val="00435606"/>
    <w:rsid w:val="00435A15"/>
    <w:rsid w:val="00436182"/>
    <w:rsid w:val="00440F7A"/>
    <w:rsid w:val="004411D8"/>
    <w:rsid w:val="00441538"/>
    <w:rsid w:val="00441FF3"/>
    <w:rsid w:val="00442416"/>
    <w:rsid w:val="0044276C"/>
    <w:rsid w:val="004429C7"/>
    <w:rsid w:val="00442D86"/>
    <w:rsid w:val="00442DB2"/>
    <w:rsid w:val="004432AC"/>
    <w:rsid w:val="00443455"/>
    <w:rsid w:val="004435EB"/>
    <w:rsid w:val="00443A2D"/>
    <w:rsid w:val="00444AA8"/>
    <w:rsid w:val="00446E31"/>
    <w:rsid w:val="00446FB0"/>
    <w:rsid w:val="00450739"/>
    <w:rsid w:val="00450A41"/>
    <w:rsid w:val="00450D71"/>
    <w:rsid w:val="00451606"/>
    <w:rsid w:val="00451BA5"/>
    <w:rsid w:val="00451FDD"/>
    <w:rsid w:val="00452230"/>
    <w:rsid w:val="00452429"/>
    <w:rsid w:val="004526CB"/>
    <w:rsid w:val="00452879"/>
    <w:rsid w:val="004528D8"/>
    <w:rsid w:val="0045290D"/>
    <w:rsid w:val="004537A5"/>
    <w:rsid w:val="004539A3"/>
    <w:rsid w:val="004542BF"/>
    <w:rsid w:val="00454473"/>
    <w:rsid w:val="004544B6"/>
    <w:rsid w:val="00454879"/>
    <w:rsid w:val="00454C71"/>
    <w:rsid w:val="00454DB2"/>
    <w:rsid w:val="00455793"/>
    <w:rsid w:val="0045579E"/>
    <w:rsid w:val="00455CBB"/>
    <w:rsid w:val="00455CD3"/>
    <w:rsid w:val="004563D4"/>
    <w:rsid w:val="00456765"/>
    <w:rsid w:val="004567FD"/>
    <w:rsid w:val="004568BE"/>
    <w:rsid w:val="00457C5A"/>
    <w:rsid w:val="00457F34"/>
    <w:rsid w:val="004605B2"/>
    <w:rsid w:val="0046127C"/>
    <w:rsid w:val="004622D7"/>
    <w:rsid w:val="00462681"/>
    <w:rsid w:val="004626C3"/>
    <w:rsid w:val="00462EC6"/>
    <w:rsid w:val="004630A6"/>
    <w:rsid w:val="00463253"/>
    <w:rsid w:val="00463BDD"/>
    <w:rsid w:val="00464176"/>
    <w:rsid w:val="0046447F"/>
    <w:rsid w:val="00465B0F"/>
    <w:rsid w:val="00465B4A"/>
    <w:rsid w:val="00465F82"/>
    <w:rsid w:val="00466494"/>
    <w:rsid w:val="00466888"/>
    <w:rsid w:val="004669F5"/>
    <w:rsid w:val="00466F0F"/>
    <w:rsid w:val="0046776E"/>
    <w:rsid w:val="00467BAE"/>
    <w:rsid w:val="00467E1F"/>
    <w:rsid w:val="00467E4F"/>
    <w:rsid w:val="00467EF9"/>
    <w:rsid w:val="00470CF4"/>
    <w:rsid w:val="00471506"/>
    <w:rsid w:val="0047172E"/>
    <w:rsid w:val="00471AFC"/>
    <w:rsid w:val="00471BFE"/>
    <w:rsid w:val="00472843"/>
    <w:rsid w:val="00472853"/>
    <w:rsid w:val="00472979"/>
    <w:rsid w:val="00472BCC"/>
    <w:rsid w:val="004735E2"/>
    <w:rsid w:val="00473D1B"/>
    <w:rsid w:val="00474373"/>
    <w:rsid w:val="00474445"/>
    <w:rsid w:val="0047455D"/>
    <w:rsid w:val="00474574"/>
    <w:rsid w:val="0047476F"/>
    <w:rsid w:val="00475110"/>
    <w:rsid w:val="004752A5"/>
    <w:rsid w:val="0047554A"/>
    <w:rsid w:val="004757ED"/>
    <w:rsid w:val="00475935"/>
    <w:rsid w:val="00475FA8"/>
    <w:rsid w:val="004763AB"/>
    <w:rsid w:val="004763BC"/>
    <w:rsid w:val="004765AF"/>
    <w:rsid w:val="00476DC9"/>
    <w:rsid w:val="0047735A"/>
    <w:rsid w:val="00480294"/>
    <w:rsid w:val="004809D3"/>
    <w:rsid w:val="00480FC8"/>
    <w:rsid w:val="004811E1"/>
    <w:rsid w:val="00481C68"/>
    <w:rsid w:val="00482477"/>
    <w:rsid w:val="004827CF"/>
    <w:rsid w:val="00482B58"/>
    <w:rsid w:val="00482D7A"/>
    <w:rsid w:val="00484E6B"/>
    <w:rsid w:val="004853BC"/>
    <w:rsid w:val="004858D0"/>
    <w:rsid w:val="00485BAC"/>
    <w:rsid w:val="004866B9"/>
    <w:rsid w:val="004871A3"/>
    <w:rsid w:val="0048747D"/>
    <w:rsid w:val="0049006F"/>
    <w:rsid w:val="00490546"/>
    <w:rsid w:val="00490600"/>
    <w:rsid w:val="00491074"/>
    <w:rsid w:val="00491753"/>
    <w:rsid w:val="004918D2"/>
    <w:rsid w:val="00491A04"/>
    <w:rsid w:val="004932F9"/>
    <w:rsid w:val="004936D2"/>
    <w:rsid w:val="00493C93"/>
    <w:rsid w:val="004942DB"/>
    <w:rsid w:val="0049452B"/>
    <w:rsid w:val="004945C1"/>
    <w:rsid w:val="00494892"/>
    <w:rsid w:val="004948B5"/>
    <w:rsid w:val="00494AEC"/>
    <w:rsid w:val="004950AB"/>
    <w:rsid w:val="0049691C"/>
    <w:rsid w:val="00496BD8"/>
    <w:rsid w:val="00496DF7"/>
    <w:rsid w:val="00497420"/>
    <w:rsid w:val="0049783E"/>
    <w:rsid w:val="00497C07"/>
    <w:rsid w:val="00497DD2"/>
    <w:rsid w:val="004A02D4"/>
    <w:rsid w:val="004A0530"/>
    <w:rsid w:val="004A1E23"/>
    <w:rsid w:val="004A20E4"/>
    <w:rsid w:val="004A23ED"/>
    <w:rsid w:val="004A2413"/>
    <w:rsid w:val="004A28D6"/>
    <w:rsid w:val="004A3AC3"/>
    <w:rsid w:val="004A3F4D"/>
    <w:rsid w:val="004A4001"/>
    <w:rsid w:val="004A4460"/>
    <w:rsid w:val="004A4931"/>
    <w:rsid w:val="004A4D19"/>
    <w:rsid w:val="004A53B2"/>
    <w:rsid w:val="004A55AA"/>
    <w:rsid w:val="004A5CA1"/>
    <w:rsid w:val="004A6171"/>
    <w:rsid w:val="004A66F8"/>
    <w:rsid w:val="004A692D"/>
    <w:rsid w:val="004A6BA2"/>
    <w:rsid w:val="004A6FE5"/>
    <w:rsid w:val="004A7E66"/>
    <w:rsid w:val="004B007C"/>
    <w:rsid w:val="004B0807"/>
    <w:rsid w:val="004B116E"/>
    <w:rsid w:val="004B1C9C"/>
    <w:rsid w:val="004B2FFC"/>
    <w:rsid w:val="004B379A"/>
    <w:rsid w:val="004B3B7C"/>
    <w:rsid w:val="004B3BD7"/>
    <w:rsid w:val="004B4502"/>
    <w:rsid w:val="004B4559"/>
    <w:rsid w:val="004B4FE1"/>
    <w:rsid w:val="004B5CF4"/>
    <w:rsid w:val="004B665D"/>
    <w:rsid w:val="004B68C9"/>
    <w:rsid w:val="004B6A07"/>
    <w:rsid w:val="004B703D"/>
    <w:rsid w:val="004B7060"/>
    <w:rsid w:val="004B7221"/>
    <w:rsid w:val="004B7744"/>
    <w:rsid w:val="004C0A13"/>
    <w:rsid w:val="004C1B6A"/>
    <w:rsid w:val="004C1C84"/>
    <w:rsid w:val="004C3420"/>
    <w:rsid w:val="004C3BE0"/>
    <w:rsid w:val="004C41A0"/>
    <w:rsid w:val="004C42A2"/>
    <w:rsid w:val="004C4952"/>
    <w:rsid w:val="004C4CE3"/>
    <w:rsid w:val="004C52D8"/>
    <w:rsid w:val="004C5448"/>
    <w:rsid w:val="004C5B5F"/>
    <w:rsid w:val="004C622D"/>
    <w:rsid w:val="004C699F"/>
    <w:rsid w:val="004C6F6F"/>
    <w:rsid w:val="004C716D"/>
    <w:rsid w:val="004C7803"/>
    <w:rsid w:val="004C7A1A"/>
    <w:rsid w:val="004C7D09"/>
    <w:rsid w:val="004C7F3C"/>
    <w:rsid w:val="004D0389"/>
    <w:rsid w:val="004D09B9"/>
    <w:rsid w:val="004D0FE6"/>
    <w:rsid w:val="004D1296"/>
    <w:rsid w:val="004D1323"/>
    <w:rsid w:val="004D13A7"/>
    <w:rsid w:val="004D1537"/>
    <w:rsid w:val="004D1A6B"/>
    <w:rsid w:val="004D1C81"/>
    <w:rsid w:val="004D3180"/>
    <w:rsid w:val="004D3D53"/>
    <w:rsid w:val="004D42C5"/>
    <w:rsid w:val="004D4A08"/>
    <w:rsid w:val="004D4DF2"/>
    <w:rsid w:val="004D5A67"/>
    <w:rsid w:val="004D5ABE"/>
    <w:rsid w:val="004D6341"/>
    <w:rsid w:val="004D681E"/>
    <w:rsid w:val="004D6D70"/>
    <w:rsid w:val="004D7497"/>
    <w:rsid w:val="004D7648"/>
    <w:rsid w:val="004D7E03"/>
    <w:rsid w:val="004E0D7B"/>
    <w:rsid w:val="004E1035"/>
    <w:rsid w:val="004E14DC"/>
    <w:rsid w:val="004E1D36"/>
    <w:rsid w:val="004E2017"/>
    <w:rsid w:val="004E23B8"/>
    <w:rsid w:val="004E25B5"/>
    <w:rsid w:val="004E2A31"/>
    <w:rsid w:val="004E30E7"/>
    <w:rsid w:val="004E381C"/>
    <w:rsid w:val="004E3DB0"/>
    <w:rsid w:val="004E4065"/>
    <w:rsid w:val="004E4405"/>
    <w:rsid w:val="004E446A"/>
    <w:rsid w:val="004E479E"/>
    <w:rsid w:val="004E4CA3"/>
    <w:rsid w:val="004E5049"/>
    <w:rsid w:val="004E5B7D"/>
    <w:rsid w:val="004E5FD2"/>
    <w:rsid w:val="004E6379"/>
    <w:rsid w:val="004E664D"/>
    <w:rsid w:val="004E6656"/>
    <w:rsid w:val="004E6D60"/>
    <w:rsid w:val="004E6F33"/>
    <w:rsid w:val="004E70A4"/>
    <w:rsid w:val="004F0B7E"/>
    <w:rsid w:val="004F28CC"/>
    <w:rsid w:val="004F3AAF"/>
    <w:rsid w:val="004F3EED"/>
    <w:rsid w:val="004F3FB8"/>
    <w:rsid w:val="004F4375"/>
    <w:rsid w:val="004F452E"/>
    <w:rsid w:val="004F464C"/>
    <w:rsid w:val="004F48DD"/>
    <w:rsid w:val="004F4E0C"/>
    <w:rsid w:val="004F507A"/>
    <w:rsid w:val="004F539B"/>
    <w:rsid w:val="004F5A12"/>
    <w:rsid w:val="004F5F1A"/>
    <w:rsid w:val="004F6042"/>
    <w:rsid w:val="004F60EB"/>
    <w:rsid w:val="004F61B4"/>
    <w:rsid w:val="004F6288"/>
    <w:rsid w:val="004F6460"/>
    <w:rsid w:val="004F704F"/>
    <w:rsid w:val="005008CE"/>
    <w:rsid w:val="00500EEB"/>
    <w:rsid w:val="00501269"/>
    <w:rsid w:val="00501613"/>
    <w:rsid w:val="00501BBE"/>
    <w:rsid w:val="00501E60"/>
    <w:rsid w:val="005028A0"/>
    <w:rsid w:val="00502E6E"/>
    <w:rsid w:val="00503013"/>
    <w:rsid w:val="00503B70"/>
    <w:rsid w:val="005044E0"/>
    <w:rsid w:val="005049E7"/>
    <w:rsid w:val="00505787"/>
    <w:rsid w:val="00505BFC"/>
    <w:rsid w:val="00505CE3"/>
    <w:rsid w:val="005069BF"/>
    <w:rsid w:val="00507224"/>
    <w:rsid w:val="0051162E"/>
    <w:rsid w:val="00511A4D"/>
    <w:rsid w:val="00512D14"/>
    <w:rsid w:val="00513623"/>
    <w:rsid w:val="00513A4A"/>
    <w:rsid w:val="00513C3E"/>
    <w:rsid w:val="005147B6"/>
    <w:rsid w:val="00514C69"/>
    <w:rsid w:val="00514F8C"/>
    <w:rsid w:val="005153C7"/>
    <w:rsid w:val="00515D7C"/>
    <w:rsid w:val="005162A1"/>
    <w:rsid w:val="00517051"/>
    <w:rsid w:val="00517228"/>
    <w:rsid w:val="0051760B"/>
    <w:rsid w:val="005178A9"/>
    <w:rsid w:val="00517A68"/>
    <w:rsid w:val="00517AF3"/>
    <w:rsid w:val="005204D1"/>
    <w:rsid w:val="0052074E"/>
    <w:rsid w:val="005208B4"/>
    <w:rsid w:val="00520AF8"/>
    <w:rsid w:val="00520E14"/>
    <w:rsid w:val="00521FBE"/>
    <w:rsid w:val="00521FE2"/>
    <w:rsid w:val="00521FFF"/>
    <w:rsid w:val="005229EE"/>
    <w:rsid w:val="00522E49"/>
    <w:rsid w:val="00523614"/>
    <w:rsid w:val="00523647"/>
    <w:rsid w:val="00523F57"/>
    <w:rsid w:val="00523FAD"/>
    <w:rsid w:val="00524792"/>
    <w:rsid w:val="0052496A"/>
    <w:rsid w:val="0052496E"/>
    <w:rsid w:val="005250BA"/>
    <w:rsid w:val="00525E48"/>
    <w:rsid w:val="0052613A"/>
    <w:rsid w:val="00526D1B"/>
    <w:rsid w:val="00526EB2"/>
    <w:rsid w:val="0052735E"/>
    <w:rsid w:val="0052797E"/>
    <w:rsid w:val="00527B0F"/>
    <w:rsid w:val="00527D0A"/>
    <w:rsid w:val="00530CD7"/>
    <w:rsid w:val="005310FB"/>
    <w:rsid w:val="00531E5C"/>
    <w:rsid w:val="00531F33"/>
    <w:rsid w:val="005322B3"/>
    <w:rsid w:val="00532DA4"/>
    <w:rsid w:val="005330FE"/>
    <w:rsid w:val="00533559"/>
    <w:rsid w:val="00533755"/>
    <w:rsid w:val="005339B5"/>
    <w:rsid w:val="00533A6F"/>
    <w:rsid w:val="00534CF7"/>
    <w:rsid w:val="00534EB3"/>
    <w:rsid w:val="00535176"/>
    <w:rsid w:val="00535394"/>
    <w:rsid w:val="005353B1"/>
    <w:rsid w:val="00535533"/>
    <w:rsid w:val="0053561F"/>
    <w:rsid w:val="00535845"/>
    <w:rsid w:val="005361D7"/>
    <w:rsid w:val="0053669E"/>
    <w:rsid w:val="00536803"/>
    <w:rsid w:val="005369A6"/>
    <w:rsid w:val="00536B69"/>
    <w:rsid w:val="00537584"/>
    <w:rsid w:val="0054125E"/>
    <w:rsid w:val="00541369"/>
    <w:rsid w:val="00541D9A"/>
    <w:rsid w:val="005427AE"/>
    <w:rsid w:val="005431CC"/>
    <w:rsid w:val="00544638"/>
    <w:rsid w:val="00544771"/>
    <w:rsid w:val="00544892"/>
    <w:rsid w:val="005448B8"/>
    <w:rsid w:val="00544D87"/>
    <w:rsid w:val="00545DE6"/>
    <w:rsid w:val="00546657"/>
    <w:rsid w:val="0054670F"/>
    <w:rsid w:val="005500DB"/>
    <w:rsid w:val="00550165"/>
    <w:rsid w:val="005502BC"/>
    <w:rsid w:val="00550B03"/>
    <w:rsid w:val="00550C85"/>
    <w:rsid w:val="0055107D"/>
    <w:rsid w:val="00551258"/>
    <w:rsid w:val="0055146B"/>
    <w:rsid w:val="0055205D"/>
    <w:rsid w:val="005528D1"/>
    <w:rsid w:val="00552A85"/>
    <w:rsid w:val="00552DCB"/>
    <w:rsid w:val="00553498"/>
    <w:rsid w:val="00553659"/>
    <w:rsid w:val="005544DE"/>
    <w:rsid w:val="0055496F"/>
    <w:rsid w:val="00555312"/>
    <w:rsid w:val="00556857"/>
    <w:rsid w:val="00557033"/>
    <w:rsid w:val="00557115"/>
    <w:rsid w:val="005578CD"/>
    <w:rsid w:val="00557CD1"/>
    <w:rsid w:val="00560A7A"/>
    <w:rsid w:val="00560EB5"/>
    <w:rsid w:val="0056125C"/>
    <w:rsid w:val="00561312"/>
    <w:rsid w:val="00561A0F"/>
    <w:rsid w:val="00561AE3"/>
    <w:rsid w:val="00561D5E"/>
    <w:rsid w:val="00561D63"/>
    <w:rsid w:val="005621D8"/>
    <w:rsid w:val="00562367"/>
    <w:rsid w:val="00562438"/>
    <w:rsid w:val="0056276C"/>
    <w:rsid w:val="00562EB5"/>
    <w:rsid w:val="00563868"/>
    <w:rsid w:val="00564306"/>
    <w:rsid w:val="00564B70"/>
    <w:rsid w:val="00565445"/>
    <w:rsid w:val="00565D7C"/>
    <w:rsid w:val="005665C8"/>
    <w:rsid w:val="005665DF"/>
    <w:rsid w:val="0056660E"/>
    <w:rsid w:val="005669C5"/>
    <w:rsid w:val="005669DB"/>
    <w:rsid w:val="00567953"/>
    <w:rsid w:val="00567AD0"/>
    <w:rsid w:val="00567DBA"/>
    <w:rsid w:val="00570626"/>
    <w:rsid w:val="00570C70"/>
    <w:rsid w:val="00570CC1"/>
    <w:rsid w:val="0057124C"/>
    <w:rsid w:val="00571729"/>
    <w:rsid w:val="00571C1A"/>
    <w:rsid w:val="00571F93"/>
    <w:rsid w:val="0057214B"/>
    <w:rsid w:val="0057281F"/>
    <w:rsid w:val="00572C02"/>
    <w:rsid w:val="00573602"/>
    <w:rsid w:val="00573F15"/>
    <w:rsid w:val="00574153"/>
    <w:rsid w:val="00574219"/>
    <w:rsid w:val="00574F41"/>
    <w:rsid w:val="00575159"/>
    <w:rsid w:val="00575411"/>
    <w:rsid w:val="00575975"/>
    <w:rsid w:val="00575F3D"/>
    <w:rsid w:val="0057600B"/>
    <w:rsid w:val="005763E8"/>
    <w:rsid w:val="0057698F"/>
    <w:rsid w:val="00577203"/>
    <w:rsid w:val="00580B49"/>
    <w:rsid w:val="00580C1A"/>
    <w:rsid w:val="00581EDE"/>
    <w:rsid w:val="00582311"/>
    <w:rsid w:val="0058254E"/>
    <w:rsid w:val="00584683"/>
    <w:rsid w:val="0058480D"/>
    <w:rsid w:val="00584822"/>
    <w:rsid w:val="00584928"/>
    <w:rsid w:val="00584FC6"/>
    <w:rsid w:val="005852C6"/>
    <w:rsid w:val="00585395"/>
    <w:rsid w:val="005858F4"/>
    <w:rsid w:val="00585FB6"/>
    <w:rsid w:val="00586081"/>
    <w:rsid w:val="0058612C"/>
    <w:rsid w:val="005861E4"/>
    <w:rsid w:val="005864BF"/>
    <w:rsid w:val="0058662C"/>
    <w:rsid w:val="00586A66"/>
    <w:rsid w:val="00586DB9"/>
    <w:rsid w:val="00587E9D"/>
    <w:rsid w:val="0059004A"/>
    <w:rsid w:val="005904F8"/>
    <w:rsid w:val="00590C5B"/>
    <w:rsid w:val="005911EC"/>
    <w:rsid w:val="00591545"/>
    <w:rsid w:val="00591775"/>
    <w:rsid w:val="005919CA"/>
    <w:rsid w:val="00592007"/>
    <w:rsid w:val="00592A76"/>
    <w:rsid w:val="005932AB"/>
    <w:rsid w:val="005934F5"/>
    <w:rsid w:val="005934FC"/>
    <w:rsid w:val="00593575"/>
    <w:rsid w:val="00593588"/>
    <w:rsid w:val="005948F5"/>
    <w:rsid w:val="005949BB"/>
    <w:rsid w:val="0059502E"/>
    <w:rsid w:val="005952E9"/>
    <w:rsid w:val="005953D4"/>
    <w:rsid w:val="00595669"/>
    <w:rsid w:val="00595E24"/>
    <w:rsid w:val="00596C74"/>
    <w:rsid w:val="005971AD"/>
    <w:rsid w:val="00597D03"/>
    <w:rsid w:val="005A00BE"/>
    <w:rsid w:val="005A0171"/>
    <w:rsid w:val="005A072E"/>
    <w:rsid w:val="005A0944"/>
    <w:rsid w:val="005A0CC3"/>
    <w:rsid w:val="005A0F47"/>
    <w:rsid w:val="005A13EC"/>
    <w:rsid w:val="005A14B4"/>
    <w:rsid w:val="005A18DF"/>
    <w:rsid w:val="005A1DE0"/>
    <w:rsid w:val="005A2403"/>
    <w:rsid w:val="005A32E2"/>
    <w:rsid w:val="005A34CA"/>
    <w:rsid w:val="005A3E10"/>
    <w:rsid w:val="005A413B"/>
    <w:rsid w:val="005A4712"/>
    <w:rsid w:val="005A47F4"/>
    <w:rsid w:val="005A4F38"/>
    <w:rsid w:val="005A50AB"/>
    <w:rsid w:val="005A5A00"/>
    <w:rsid w:val="005A610B"/>
    <w:rsid w:val="005A6493"/>
    <w:rsid w:val="005A7122"/>
    <w:rsid w:val="005A7351"/>
    <w:rsid w:val="005A7C14"/>
    <w:rsid w:val="005B0542"/>
    <w:rsid w:val="005B0681"/>
    <w:rsid w:val="005B09EA"/>
    <w:rsid w:val="005B0FE7"/>
    <w:rsid w:val="005B1ADA"/>
    <w:rsid w:val="005B1EB6"/>
    <w:rsid w:val="005B26D7"/>
    <w:rsid w:val="005B2FE0"/>
    <w:rsid w:val="005B313B"/>
    <w:rsid w:val="005B358A"/>
    <w:rsid w:val="005B5266"/>
    <w:rsid w:val="005B6B91"/>
    <w:rsid w:val="005B7363"/>
    <w:rsid w:val="005B779E"/>
    <w:rsid w:val="005B7991"/>
    <w:rsid w:val="005C11E6"/>
    <w:rsid w:val="005C1B73"/>
    <w:rsid w:val="005C2182"/>
    <w:rsid w:val="005C27A7"/>
    <w:rsid w:val="005C2894"/>
    <w:rsid w:val="005C2902"/>
    <w:rsid w:val="005C2E34"/>
    <w:rsid w:val="005C3122"/>
    <w:rsid w:val="005C394D"/>
    <w:rsid w:val="005C43BA"/>
    <w:rsid w:val="005C4670"/>
    <w:rsid w:val="005C5424"/>
    <w:rsid w:val="005C5F31"/>
    <w:rsid w:val="005C72ED"/>
    <w:rsid w:val="005C79B2"/>
    <w:rsid w:val="005C7A31"/>
    <w:rsid w:val="005C7E24"/>
    <w:rsid w:val="005D03D0"/>
    <w:rsid w:val="005D03DC"/>
    <w:rsid w:val="005D07A8"/>
    <w:rsid w:val="005D092B"/>
    <w:rsid w:val="005D0B11"/>
    <w:rsid w:val="005D0BBA"/>
    <w:rsid w:val="005D0BFF"/>
    <w:rsid w:val="005D0D72"/>
    <w:rsid w:val="005D0F53"/>
    <w:rsid w:val="005D1078"/>
    <w:rsid w:val="005D1506"/>
    <w:rsid w:val="005D153B"/>
    <w:rsid w:val="005D15F0"/>
    <w:rsid w:val="005D1D4E"/>
    <w:rsid w:val="005D1E28"/>
    <w:rsid w:val="005D24CD"/>
    <w:rsid w:val="005D2CD9"/>
    <w:rsid w:val="005D316A"/>
    <w:rsid w:val="005D3295"/>
    <w:rsid w:val="005D3838"/>
    <w:rsid w:val="005D3B5C"/>
    <w:rsid w:val="005D41B9"/>
    <w:rsid w:val="005D43BD"/>
    <w:rsid w:val="005D4541"/>
    <w:rsid w:val="005D468C"/>
    <w:rsid w:val="005D48E7"/>
    <w:rsid w:val="005D4987"/>
    <w:rsid w:val="005D5488"/>
    <w:rsid w:val="005D54DF"/>
    <w:rsid w:val="005D5AAE"/>
    <w:rsid w:val="005D5B5E"/>
    <w:rsid w:val="005D5BDA"/>
    <w:rsid w:val="005D6523"/>
    <w:rsid w:val="005D68AF"/>
    <w:rsid w:val="005D71B4"/>
    <w:rsid w:val="005D75BC"/>
    <w:rsid w:val="005D7A3D"/>
    <w:rsid w:val="005E04E1"/>
    <w:rsid w:val="005E07F7"/>
    <w:rsid w:val="005E1ED0"/>
    <w:rsid w:val="005E1FD7"/>
    <w:rsid w:val="005E2BC7"/>
    <w:rsid w:val="005E32DD"/>
    <w:rsid w:val="005E3CEB"/>
    <w:rsid w:val="005E4168"/>
    <w:rsid w:val="005E436A"/>
    <w:rsid w:val="005E438E"/>
    <w:rsid w:val="005E45DB"/>
    <w:rsid w:val="005E5159"/>
    <w:rsid w:val="005E6039"/>
    <w:rsid w:val="005E6875"/>
    <w:rsid w:val="005E72D7"/>
    <w:rsid w:val="005E78A3"/>
    <w:rsid w:val="005E78BB"/>
    <w:rsid w:val="005F02D0"/>
    <w:rsid w:val="005F0646"/>
    <w:rsid w:val="005F0A26"/>
    <w:rsid w:val="005F11B0"/>
    <w:rsid w:val="005F17B6"/>
    <w:rsid w:val="005F1824"/>
    <w:rsid w:val="005F21BF"/>
    <w:rsid w:val="005F24A5"/>
    <w:rsid w:val="005F2520"/>
    <w:rsid w:val="005F2760"/>
    <w:rsid w:val="005F2F59"/>
    <w:rsid w:val="005F34B8"/>
    <w:rsid w:val="005F36A8"/>
    <w:rsid w:val="005F381D"/>
    <w:rsid w:val="005F3845"/>
    <w:rsid w:val="005F3F4D"/>
    <w:rsid w:val="005F3FE6"/>
    <w:rsid w:val="005F4236"/>
    <w:rsid w:val="005F458C"/>
    <w:rsid w:val="005F4CAD"/>
    <w:rsid w:val="005F5076"/>
    <w:rsid w:val="005F575E"/>
    <w:rsid w:val="005F6A4D"/>
    <w:rsid w:val="005F6F42"/>
    <w:rsid w:val="005F7155"/>
    <w:rsid w:val="005F75EB"/>
    <w:rsid w:val="005F787D"/>
    <w:rsid w:val="00600313"/>
    <w:rsid w:val="00600D95"/>
    <w:rsid w:val="00601334"/>
    <w:rsid w:val="0060200E"/>
    <w:rsid w:val="006029CF"/>
    <w:rsid w:val="0060364A"/>
    <w:rsid w:val="006037FC"/>
    <w:rsid w:val="00603880"/>
    <w:rsid w:val="00604234"/>
    <w:rsid w:val="00604B14"/>
    <w:rsid w:val="00604D99"/>
    <w:rsid w:val="00604F6A"/>
    <w:rsid w:val="0060500F"/>
    <w:rsid w:val="006050F8"/>
    <w:rsid w:val="00605287"/>
    <w:rsid w:val="00605672"/>
    <w:rsid w:val="006061C4"/>
    <w:rsid w:val="00606840"/>
    <w:rsid w:val="00607B62"/>
    <w:rsid w:val="00607BF3"/>
    <w:rsid w:val="00607CA5"/>
    <w:rsid w:val="00607CFC"/>
    <w:rsid w:val="00610354"/>
    <w:rsid w:val="0061072F"/>
    <w:rsid w:val="0061101A"/>
    <w:rsid w:val="006111FA"/>
    <w:rsid w:val="00611609"/>
    <w:rsid w:val="00611610"/>
    <w:rsid w:val="00611963"/>
    <w:rsid w:val="00612408"/>
    <w:rsid w:val="00612A3D"/>
    <w:rsid w:val="00612DDB"/>
    <w:rsid w:val="00612E71"/>
    <w:rsid w:val="006136E0"/>
    <w:rsid w:val="00613726"/>
    <w:rsid w:val="00614DC2"/>
    <w:rsid w:val="006153C1"/>
    <w:rsid w:val="00615A80"/>
    <w:rsid w:val="00615C7F"/>
    <w:rsid w:val="00615D1A"/>
    <w:rsid w:val="006161ED"/>
    <w:rsid w:val="00616256"/>
    <w:rsid w:val="0061668B"/>
    <w:rsid w:val="00616AE7"/>
    <w:rsid w:val="00617E6D"/>
    <w:rsid w:val="00620ED5"/>
    <w:rsid w:val="0062107E"/>
    <w:rsid w:val="0062131B"/>
    <w:rsid w:val="00621635"/>
    <w:rsid w:val="0062195E"/>
    <w:rsid w:val="00621C94"/>
    <w:rsid w:val="00621F45"/>
    <w:rsid w:val="00621F9C"/>
    <w:rsid w:val="0062201F"/>
    <w:rsid w:val="006223C4"/>
    <w:rsid w:val="006227B4"/>
    <w:rsid w:val="006229ED"/>
    <w:rsid w:val="00622A1A"/>
    <w:rsid w:val="0062322F"/>
    <w:rsid w:val="00623876"/>
    <w:rsid w:val="00623C3A"/>
    <w:rsid w:val="00623D24"/>
    <w:rsid w:val="0062427B"/>
    <w:rsid w:val="00624695"/>
    <w:rsid w:val="00624C88"/>
    <w:rsid w:val="00624EB0"/>
    <w:rsid w:val="00625031"/>
    <w:rsid w:val="0062522D"/>
    <w:rsid w:val="00625568"/>
    <w:rsid w:val="00626458"/>
    <w:rsid w:val="00626492"/>
    <w:rsid w:val="00627868"/>
    <w:rsid w:val="00631305"/>
    <w:rsid w:val="0063194F"/>
    <w:rsid w:val="00631FA5"/>
    <w:rsid w:val="00631FEF"/>
    <w:rsid w:val="00632462"/>
    <w:rsid w:val="00633113"/>
    <w:rsid w:val="00633184"/>
    <w:rsid w:val="00633237"/>
    <w:rsid w:val="006338C8"/>
    <w:rsid w:val="00633FE7"/>
    <w:rsid w:val="00634583"/>
    <w:rsid w:val="00635187"/>
    <w:rsid w:val="006351D1"/>
    <w:rsid w:val="0063584C"/>
    <w:rsid w:val="00635892"/>
    <w:rsid w:val="0063639A"/>
    <w:rsid w:val="00636560"/>
    <w:rsid w:val="0063662D"/>
    <w:rsid w:val="00636B3E"/>
    <w:rsid w:val="00636B72"/>
    <w:rsid w:val="00636C5C"/>
    <w:rsid w:val="006373DF"/>
    <w:rsid w:val="00637478"/>
    <w:rsid w:val="00637D0F"/>
    <w:rsid w:val="00637F36"/>
    <w:rsid w:val="00637F7B"/>
    <w:rsid w:val="00640182"/>
    <w:rsid w:val="0064029D"/>
    <w:rsid w:val="00640711"/>
    <w:rsid w:val="006408F3"/>
    <w:rsid w:val="00640D0B"/>
    <w:rsid w:val="00640D47"/>
    <w:rsid w:val="0064109C"/>
    <w:rsid w:val="006413F5"/>
    <w:rsid w:val="00641852"/>
    <w:rsid w:val="00642243"/>
    <w:rsid w:val="006424BF"/>
    <w:rsid w:val="0064318C"/>
    <w:rsid w:val="006439AB"/>
    <w:rsid w:val="0064404D"/>
    <w:rsid w:val="0064459C"/>
    <w:rsid w:val="0064460C"/>
    <w:rsid w:val="006446A0"/>
    <w:rsid w:val="006447C6"/>
    <w:rsid w:val="00644B60"/>
    <w:rsid w:val="00644C25"/>
    <w:rsid w:val="00644C74"/>
    <w:rsid w:val="0064544E"/>
    <w:rsid w:val="006454BE"/>
    <w:rsid w:val="00645669"/>
    <w:rsid w:val="00645A0A"/>
    <w:rsid w:val="00645B06"/>
    <w:rsid w:val="00645BFC"/>
    <w:rsid w:val="00646169"/>
    <w:rsid w:val="0064641D"/>
    <w:rsid w:val="0064657E"/>
    <w:rsid w:val="006466B6"/>
    <w:rsid w:val="00646C97"/>
    <w:rsid w:val="00646DFA"/>
    <w:rsid w:val="006472F2"/>
    <w:rsid w:val="00647591"/>
    <w:rsid w:val="00647C35"/>
    <w:rsid w:val="006505C1"/>
    <w:rsid w:val="006517A3"/>
    <w:rsid w:val="00651D4E"/>
    <w:rsid w:val="00651DC3"/>
    <w:rsid w:val="00651F44"/>
    <w:rsid w:val="006520FD"/>
    <w:rsid w:val="00652494"/>
    <w:rsid w:val="006524A0"/>
    <w:rsid w:val="00652671"/>
    <w:rsid w:val="00652B69"/>
    <w:rsid w:val="00652BA1"/>
    <w:rsid w:val="00653291"/>
    <w:rsid w:val="00653766"/>
    <w:rsid w:val="00653A7C"/>
    <w:rsid w:val="0065434E"/>
    <w:rsid w:val="006546E0"/>
    <w:rsid w:val="00654D38"/>
    <w:rsid w:val="00655488"/>
    <w:rsid w:val="006556DF"/>
    <w:rsid w:val="00656604"/>
    <w:rsid w:val="00656A1F"/>
    <w:rsid w:val="00657511"/>
    <w:rsid w:val="00657BC8"/>
    <w:rsid w:val="00657C7B"/>
    <w:rsid w:val="006602CF"/>
    <w:rsid w:val="00662203"/>
    <w:rsid w:val="00662362"/>
    <w:rsid w:val="0066253A"/>
    <w:rsid w:val="0066285E"/>
    <w:rsid w:val="0066297D"/>
    <w:rsid w:val="00662CC2"/>
    <w:rsid w:val="00662F06"/>
    <w:rsid w:val="00662F07"/>
    <w:rsid w:val="006636F7"/>
    <w:rsid w:val="00663CAB"/>
    <w:rsid w:val="00663EFC"/>
    <w:rsid w:val="006640E9"/>
    <w:rsid w:val="00664B79"/>
    <w:rsid w:val="00664DE7"/>
    <w:rsid w:val="006650AB"/>
    <w:rsid w:val="006652B7"/>
    <w:rsid w:val="0066575F"/>
    <w:rsid w:val="006658E0"/>
    <w:rsid w:val="0066651B"/>
    <w:rsid w:val="00666768"/>
    <w:rsid w:val="006669E0"/>
    <w:rsid w:val="00667061"/>
    <w:rsid w:val="00670348"/>
    <w:rsid w:val="0067050E"/>
    <w:rsid w:val="006706D8"/>
    <w:rsid w:val="006708D7"/>
    <w:rsid w:val="00670AA3"/>
    <w:rsid w:val="00670B2D"/>
    <w:rsid w:val="00670BE8"/>
    <w:rsid w:val="00670C7A"/>
    <w:rsid w:val="00671048"/>
    <w:rsid w:val="00671743"/>
    <w:rsid w:val="00672053"/>
    <w:rsid w:val="00672714"/>
    <w:rsid w:val="0067420B"/>
    <w:rsid w:val="00674303"/>
    <w:rsid w:val="0067451A"/>
    <w:rsid w:val="00674F90"/>
    <w:rsid w:val="006751EE"/>
    <w:rsid w:val="00675263"/>
    <w:rsid w:val="00675584"/>
    <w:rsid w:val="006755E8"/>
    <w:rsid w:val="00675E30"/>
    <w:rsid w:val="0067653B"/>
    <w:rsid w:val="00676BF8"/>
    <w:rsid w:val="006776C8"/>
    <w:rsid w:val="00680174"/>
    <w:rsid w:val="00680415"/>
    <w:rsid w:val="006807CB"/>
    <w:rsid w:val="00680BFD"/>
    <w:rsid w:val="00680D2B"/>
    <w:rsid w:val="00680D4C"/>
    <w:rsid w:val="006818F7"/>
    <w:rsid w:val="00681AAE"/>
    <w:rsid w:val="00681C0E"/>
    <w:rsid w:val="006827DF"/>
    <w:rsid w:val="00682C55"/>
    <w:rsid w:val="00682D5F"/>
    <w:rsid w:val="00684124"/>
    <w:rsid w:val="00684353"/>
    <w:rsid w:val="006843D3"/>
    <w:rsid w:val="00684D43"/>
    <w:rsid w:val="00684E44"/>
    <w:rsid w:val="0068606A"/>
    <w:rsid w:val="0068627D"/>
    <w:rsid w:val="00686C1D"/>
    <w:rsid w:val="00690300"/>
    <w:rsid w:val="00690459"/>
    <w:rsid w:val="00690DE8"/>
    <w:rsid w:val="006910CE"/>
    <w:rsid w:val="00691787"/>
    <w:rsid w:val="006918F4"/>
    <w:rsid w:val="0069249A"/>
    <w:rsid w:val="006925F5"/>
    <w:rsid w:val="00692CA9"/>
    <w:rsid w:val="0069311C"/>
    <w:rsid w:val="00693F7B"/>
    <w:rsid w:val="0069400E"/>
    <w:rsid w:val="00694133"/>
    <w:rsid w:val="006944D1"/>
    <w:rsid w:val="006949FF"/>
    <w:rsid w:val="0069573B"/>
    <w:rsid w:val="006960C9"/>
    <w:rsid w:val="0069694B"/>
    <w:rsid w:val="006969D2"/>
    <w:rsid w:val="00696E1E"/>
    <w:rsid w:val="006A045A"/>
    <w:rsid w:val="006A04AB"/>
    <w:rsid w:val="006A0613"/>
    <w:rsid w:val="006A0BEF"/>
    <w:rsid w:val="006A0D98"/>
    <w:rsid w:val="006A1131"/>
    <w:rsid w:val="006A12FE"/>
    <w:rsid w:val="006A20B4"/>
    <w:rsid w:val="006A263E"/>
    <w:rsid w:val="006A2D5F"/>
    <w:rsid w:val="006A3128"/>
    <w:rsid w:val="006A3BCB"/>
    <w:rsid w:val="006A4247"/>
    <w:rsid w:val="006A46CA"/>
    <w:rsid w:val="006A5346"/>
    <w:rsid w:val="006A535F"/>
    <w:rsid w:val="006A57B8"/>
    <w:rsid w:val="006A5996"/>
    <w:rsid w:val="006A632F"/>
    <w:rsid w:val="006A6425"/>
    <w:rsid w:val="006A6706"/>
    <w:rsid w:val="006A6DED"/>
    <w:rsid w:val="006A741D"/>
    <w:rsid w:val="006A76AE"/>
    <w:rsid w:val="006A77E7"/>
    <w:rsid w:val="006A7D8D"/>
    <w:rsid w:val="006B0A23"/>
    <w:rsid w:val="006B0DEA"/>
    <w:rsid w:val="006B147C"/>
    <w:rsid w:val="006B21DD"/>
    <w:rsid w:val="006B228C"/>
    <w:rsid w:val="006B2368"/>
    <w:rsid w:val="006B2FE3"/>
    <w:rsid w:val="006B31CB"/>
    <w:rsid w:val="006B35B9"/>
    <w:rsid w:val="006B442B"/>
    <w:rsid w:val="006B487B"/>
    <w:rsid w:val="006B6721"/>
    <w:rsid w:val="006B6E1F"/>
    <w:rsid w:val="006B7267"/>
    <w:rsid w:val="006C0FA8"/>
    <w:rsid w:val="006C1A08"/>
    <w:rsid w:val="006C1DD1"/>
    <w:rsid w:val="006C2AEF"/>
    <w:rsid w:val="006C2F4D"/>
    <w:rsid w:val="006C2F9D"/>
    <w:rsid w:val="006C34F3"/>
    <w:rsid w:val="006C35B7"/>
    <w:rsid w:val="006C3700"/>
    <w:rsid w:val="006C375C"/>
    <w:rsid w:val="006C3BD9"/>
    <w:rsid w:val="006C3D90"/>
    <w:rsid w:val="006C429D"/>
    <w:rsid w:val="006C47A6"/>
    <w:rsid w:val="006C4F6A"/>
    <w:rsid w:val="006C518B"/>
    <w:rsid w:val="006C5409"/>
    <w:rsid w:val="006C567F"/>
    <w:rsid w:val="006C57C5"/>
    <w:rsid w:val="006C67B6"/>
    <w:rsid w:val="006C6A64"/>
    <w:rsid w:val="006C6E0B"/>
    <w:rsid w:val="006C7AD6"/>
    <w:rsid w:val="006D055A"/>
    <w:rsid w:val="006D0743"/>
    <w:rsid w:val="006D09BC"/>
    <w:rsid w:val="006D0A57"/>
    <w:rsid w:val="006D0BFB"/>
    <w:rsid w:val="006D1446"/>
    <w:rsid w:val="006D1ACC"/>
    <w:rsid w:val="006D1EDF"/>
    <w:rsid w:val="006D21B6"/>
    <w:rsid w:val="006D2CF9"/>
    <w:rsid w:val="006D382F"/>
    <w:rsid w:val="006D3D95"/>
    <w:rsid w:val="006D3E86"/>
    <w:rsid w:val="006D4377"/>
    <w:rsid w:val="006D4636"/>
    <w:rsid w:val="006D48A6"/>
    <w:rsid w:val="006D4D86"/>
    <w:rsid w:val="006D59C5"/>
    <w:rsid w:val="006D5BA4"/>
    <w:rsid w:val="006D611F"/>
    <w:rsid w:val="006D6326"/>
    <w:rsid w:val="006D7ACF"/>
    <w:rsid w:val="006D7BE6"/>
    <w:rsid w:val="006E018D"/>
    <w:rsid w:val="006E0296"/>
    <w:rsid w:val="006E0326"/>
    <w:rsid w:val="006E0436"/>
    <w:rsid w:val="006E0D0E"/>
    <w:rsid w:val="006E0F66"/>
    <w:rsid w:val="006E149E"/>
    <w:rsid w:val="006E188D"/>
    <w:rsid w:val="006E1A56"/>
    <w:rsid w:val="006E1EFF"/>
    <w:rsid w:val="006E2444"/>
    <w:rsid w:val="006E2536"/>
    <w:rsid w:val="006E2B88"/>
    <w:rsid w:val="006E3131"/>
    <w:rsid w:val="006E375A"/>
    <w:rsid w:val="006E3825"/>
    <w:rsid w:val="006E45C3"/>
    <w:rsid w:val="006E4C50"/>
    <w:rsid w:val="006E4FEE"/>
    <w:rsid w:val="006E6BB0"/>
    <w:rsid w:val="006E6C9F"/>
    <w:rsid w:val="006E6E1E"/>
    <w:rsid w:val="006E78B2"/>
    <w:rsid w:val="006F006E"/>
    <w:rsid w:val="006F00A9"/>
    <w:rsid w:val="006F070B"/>
    <w:rsid w:val="006F08B4"/>
    <w:rsid w:val="006F105F"/>
    <w:rsid w:val="006F13F1"/>
    <w:rsid w:val="006F2350"/>
    <w:rsid w:val="006F2B42"/>
    <w:rsid w:val="006F3C73"/>
    <w:rsid w:val="006F3D9D"/>
    <w:rsid w:val="006F485F"/>
    <w:rsid w:val="006F48CC"/>
    <w:rsid w:val="006F48D8"/>
    <w:rsid w:val="006F5105"/>
    <w:rsid w:val="006F5D71"/>
    <w:rsid w:val="006F5DCA"/>
    <w:rsid w:val="006F5EB9"/>
    <w:rsid w:val="006F60BD"/>
    <w:rsid w:val="006F6AF1"/>
    <w:rsid w:val="006F6E96"/>
    <w:rsid w:val="006F6F1E"/>
    <w:rsid w:val="006F7665"/>
    <w:rsid w:val="006F7ABD"/>
    <w:rsid w:val="006F7D98"/>
    <w:rsid w:val="00700DE4"/>
    <w:rsid w:val="00700F23"/>
    <w:rsid w:val="00701027"/>
    <w:rsid w:val="0070135D"/>
    <w:rsid w:val="007013FA"/>
    <w:rsid w:val="00701507"/>
    <w:rsid w:val="0070175A"/>
    <w:rsid w:val="00701E60"/>
    <w:rsid w:val="00702124"/>
    <w:rsid w:val="00702224"/>
    <w:rsid w:val="007025F7"/>
    <w:rsid w:val="00702B6B"/>
    <w:rsid w:val="00702F05"/>
    <w:rsid w:val="0070322C"/>
    <w:rsid w:val="00703723"/>
    <w:rsid w:val="007044B8"/>
    <w:rsid w:val="0070488B"/>
    <w:rsid w:val="00704CA8"/>
    <w:rsid w:val="00704F82"/>
    <w:rsid w:val="007056DF"/>
    <w:rsid w:val="0070595B"/>
    <w:rsid w:val="00705D11"/>
    <w:rsid w:val="00705FE4"/>
    <w:rsid w:val="0070655F"/>
    <w:rsid w:val="00706585"/>
    <w:rsid w:val="00707060"/>
    <w:rsid w:val="007070CB"/>
    <w:rsid w:val="007076B3"/>
    <w:rsid w:val="00707BEA"/>
    <w:rsid w:val="00707E7B"/>
    <w:rsid w:val="0071034E"/>
    <w:rsid w:val="00711038"/>
    <w:rsid w:val="007113D6"/>
    <w:rsid w:val="007114BF"/>
    <w:rsid w:val="00711CD0"/>
    <w:rsid w:val="00712197"/>
    <w:rsid w:val="007126C5"/>
    <w:rsid w:val="00712CA2"/>
    <w:rsid w:val="00712E97"/>
    <w:rsid w:val="00712F7C"/>
    <w:rsid w:val="0071358A"/>
    <w:rsid w:val="00713835"/>
    <w:rsid w:val="00713AB6"/>
    <w:rsid w:val="00713D46"/>
    <w:rsid w:val="0071420E"/>
    <w:rsid w:val="00714A56"/>
    <w:rsid w:val="00714EBE"/>
    <w:rsid w:val="007164FF"/>
    <w:rsid w:val="0071660C"/>
    <w:rsid w:val="00716658"/>
    <w:rsid w:val="00716A23"/>
    <w:rsid w:val="00716CD2"/>
    <w:rsid w:val="00717159"/>
    <w:rsid w:val="007171CE"/>
    <w:rsid w:val="00717A14"/>
    <w:rsid w:val="00717F25"/>
    <w:rsid w:val="00717F2E"/>
    <w:rsid w:val="007202CA"/>
    <w:rsid w:val="0072095F"/>
    <w:rsid w:val="00720B5D"/>
    <w:rsid w:val="00721410"/>
    <w:rsid w:val="0072199B"/>
    <w:rsid w:val="00721C64"/>
    <w:rsid w:val="007222E1"/>
    <w:rsid w:val="007223AB"/>
    <w:rsid w:val="007223B3"/>
    <w:rsid w:val="00723814"/>
    <w:rsid w:val="00724BAF"/>
    <w:rsid w:val="00724D19"/>
    <w:rsid w:val="00725EA6"/>
    <w:rsid w:val="007263E1"/>
    <w:rsid w:val="0072684A"/>
    <w:rsid w:val="00727415"/>
    <w:rsid w:val="00727F77"/>
    <w:rsid w:val="00730446"/>
    <w:rsid w:val="00730E2A"/>
    <w:rsid w:val="0073127B"/>
    <w:rsid w:val="007315B7"/>
    <w:rsid w:val="00732430"/>
    <w:rsid w:val="0073279A"/>
    <w:rsid w:val="007333F5"/>
    <w:rsid w:val="00734183"/>
    <w:rsid w:val="0073458D"/>
    <w:rsid w:val="00734777"/>
    <w:rsid w:val="00734818"/>
    <w:rsid w:val="00734C8B"/>
    <w:rsid w:val="00734F5F"/>
    <w:rsid w:val="00734F85"/>
    <w:rsid w:val="0073555D"/>
    <w:rsid w:val="00735888"/>
    <w:rsid w:val="007368E3"/>
    <w:rsid w:val="00736E1C"/>
    <w:rsid w:val="00736EAA"/>
    <w:rsid w:val="00737098"/>
    <w:rsid w:val="00737232"/>
    <w:rsid w:val="007375E5"/>
    <w:rsid w:val="00737A3E"/>
    <w:rsid w:val="00740205"/>
    <w:rsid w:val="00740315"/>
    <w:rsid w:val="00740595"/>
    <w:rsid w:val="007409E5"/>
    <w:rsid w:val="00741A61"/>
    <w:rsid w:val="00741CD5"/>
    <w:rsid w:val="00742A84"/>
    <w:rsid w:val="0074359A"/>
    <w:rsid w:val="0074368B"/>
    <w:rsid w:val="00743693"/>
    <w:rsid w:val="00743813"/>
    <w:rsid w:val="00744A9A"/>
    <w:rsid w:val="00744B6E"/>
    <w:rsid w:val="00744E08"/>
    <w:rsid w:val="00744E5A"/>
    <w:rsid w:val="00744EA6"/>
    <w:rsid w:val="007453BB"/>
    <w:rsid w:val="00746150"/>
    <w:rsid w:val="007469E5"/>
    <w:rsid w:val="00747532"/>
    <w:rsid w:val="0074758E"/>
    <w:rsid w:val="007477E6"/>
    <w:rsid w:val="00747B3A"/>
    <w:rsid w:val="00747DE4"/>
    <w:rsid w:val="00750607"/>
    <w:rsid w:val="00750973"/>
    <w:rsid w:val="00750A87"/>
    <w:rsid w:val="00750C0A"/>
    <w:rsid w:val="00751278"/>
    <w:rsid w:val="00751EAF"/>
    <w:rsid w:val="00751FAE"/>
    <w:rsid w:val="00752077"/>
    <w:rsid w:val="00752186"/>
    <w:rsid w:val="007522D5"/>
    <w:rsid w:val="0075297D"/>
    <w:rsid w:val="007533D5"/>
    <w:rsid w:val="00753820"/>
    <w:rsid w:val="007548A4"/>
    <w:rsid w:val="00755993"/>
    <w:rsid w:val="00756CF4"/>
    <w:rsid w:val="00756DA4"/>
    <w:rsid w:val="00756E29"/>
    <w:rsid w:val="00757703"/>
    <w:rsid w:val="00757C61"/>
    <w:rsid w:val="00757C7F"/>
    <w:rsid w:val="00757CB2"/>
    <w:rsid w:val="00757F17"/>
    <w:rsid w:val="0076013E"/>
    <w:rsid w:val="00760897"/>
    <w:rsid w:val="00760BB3"/>
    <w:rsid w:val="0076119B"/>
    <w:rsid w:val="00761AA5"/>
    <w:rsid w:val="007625F9"/>
    <w:rsid w:val="00762A13"/>
    <w:rsid w:val="00762A1C"/>
    <w:rsid w:val="00762EAF"/>
    <w:rsid w:val="00763183"/>
    <w:rsid w:val="00763286"/>
    <w:rsid w:val="00763325"/>
    <w:rsid w:val="0076365C"/>
    <w:rsid w:val="007638FF"/>
    <w:rsid w:val="00763BFA"/>
    <w:rsid w:val="00763CF2"/>
    <w:rsid w:val="00763E51"/>
    <w:rsid w:val="00763F9B"/>
    <w:rsid w:val="00764035"/>
    <w:rsid w:val="00764586"/>
    <w:rsid w:val="007650FF"/>
    <w:rsid w:val="007656BD"/>
    <w:rsid w:val="007656DB"/>
    <w:rsid w:val="00765AC1"/>
    <w:rsid w:val="00765AEC"/>
    <w:rsid w:val="00765CF9"/>
    <w:rsid w:val="00765F66"/>
    <w:rsid w:val="0076648A"/>
    <w:rsid w:val="00766666"/>
    <w:rsid w:val="007667B3"/>
    <w:rsid w:val="00766E86"/>
    <w:rsid w:val="0076775D"/>
    <w:rsid w:val="00767C8A"/>
    <w:rsid w:val="00767DB2"/>
    <w:rsid w:val="00767E77"/>
    <w:rsid w:val="007702B9"/>
    <w:rsid w:val="007705C0"/>
    <w:rsid w:val="0077065A"/>
    <w:rsid w:val="00770991"/>
    <w:rsid w:val="00770D56"/>
    <w:rsid w:val="00770F90"/>
    <w:rsid w:val="0077150D"/>
    <w:rsid w:val="0077160E"/>
    <w:rsid w:val="00771986"/>
    <w:rsid w:val="00771BA1"/>
    <w:rsid w:val="00771BB5"/>
    <w:rsid w:val="00772222"/>
    <w:rsid w:val="00772233"/>
    <w:rsid w:val="007723DB"/>
    <w:rsid w:val="00772BE0"/>
    <w:rsid w:val="00773331"/>
    <w:rsid w:val="0077343B"/>
    <w:rsid w:val="007736DD"/>
    <w:rsid w:val="00773825"/>
    <w:rsid w:val="00773845"/>
    <w:rsid w:val="00773D0E"/>
    <w:rsid w:val="00774038"/>
    <w:rsid w:val="007744FC"/>
    <w:rsid w:val="00774805"/>
    <w:rsid w:val="00774BD5"/>
    <w:rsid w:val="00776262"/>
    <w:rsid w:val="00776340"/>
    <w:rsid w:val="0077673E"/>
    <w:rsid w:val="00776EF5"/>
    <w:rsid w:val="007771ED"/>
    <w:rsid w:val="00777E86"/>
    <w:rsid w:val="007812A6"/>
    <w:rsid w:val="0078169D"/>
    <w:rsid w:val="0078178C"/>
    <w:rsid w:val="00781A0B"/>
    <w:rsid w:val="007820B4"/>
    <w:rsid w:val="0078225E"/>
    <w:rsid w:val="00782352"/>
    <w:rsid w:val="007824D1"/>
    <w:rsid w:val="0078255A"/>
    <w:rsid w:val="007830DF"/>
    <w:rsid w:val="0078367C"/>
    <w:rsid w:val="007836BE"/>
    <w:rsid w:val="00783903"/>
    <w:rsid w:val="00783F9B"/>
    <w:rsid w:val="007842A9"/>
    <w:rsid w:val="00784F6D"/>
    <w:rsid w:val="00785C44"/>
    <w:rsid w:val="00785FE0"/>
    <w:rsid w:val="00786276"/>
    <w:rsid w:val="007863FB"/>
    <w:rsid w:val="00786A44"/>
    <w:rsid w:val="00786BF0"/>
    <w:rsid w:val="00786C93"/>
    <w:rsid w:val="00787180"/>
    <w:rsid w:val="007871DA"/>
    <w:rsid w:val="00787672"/>
    <w:rsid w:val="00787B8C"/>
    <w:rsid w:val="00790289"/>
    <w:rsid w:val="00791011"/>
    <w:rsid w:val="0079113F"/>
    <w:rsid w:val="0079130E"/>
    <w:rsid w:val="00791743"/>
    <w:rsid w:val="007917A3"/>
    <w:rsid w:val="00791AFE"/>
    <w:rsid w:val="00792444"/>
    <w:rsid w:val="00792862"/>
    <w:rsid w:val="00792B62"/>
    <w:rsid w:val="00792D57"/>
    <w:rsid w:val="00793146"/>
    <w:rsid w:val="007931BE"/>
    <w:rsid w:val="007932EF"/>
    <w:rsid w:val="00793FC4"/>
    <w:rsid w:val="00794083"/>
    <w:rsid w:val="00794D65"/>
    <w:rsid w:val="00796580"/>
    <w:rsid w:val="00796755"/>
    <w:rsid w:val="00796A9F"/>
    <w:rsid w:val="00797043"/>
    <w:rsid w:val="0079737F"/>
    <w:rsid w:val="007979D8"/>
    <w:rsid w:val="007A03A6"/>
    <w:rsid w:val="007A1A66"/>
    <w:rsid w:val="007A20C1"/>
    <w:rsid w:val="007A3099"/>
    <w:rsid w:val="007A30CA"/>
    <w:rsid w:val="007A31B7"/>
    <w:rsid w:val="007A3EC0"/>
    <w:rsid w:val="007A3F69"/>
    <w:rsid w:val="007A5285"/>
    <w:rsid w:val="007A54FF"/>
    <w:rsid w:val="007A5793"/>
    <w:rsid w:val="007A5966"/>
    <w:rsid w:val="007A5EBD"/>
    <w:rsid w:val="007A5F56"/>
    <w:rsid w:val="007A609F"/>
    <w:rsid w:val="007A6281"/>
    <w:rsid w:val="007A667C"/>
    <w:rsid w:val="007A6B4D"/>
    <w:rsid w:val="007A7395"/>
    <w:rsid w:val="007A7CF8"/>
    <w:rsid w:val="007B03FD"/>
    <w:rsid w:val="007B0A2D"/>
    <w:rsid w:val="007B151B"/>
    <w:rsid w:val="007B2196"/>
    <w:rsid w:val="007B21F0"/>
    <w:rsid w:val="007B28ED"/>
    <w:rsid w:val="007B328C"/>
    <w:rsid w:val="007B3324"/>
    <w:rsid w:val="007B3410"/>
    <w:rsid w:val="007B3B05"/>
    <w:rsid w:val="007B3B89"/>
    <w:rsid w:val="007B3E0A"/>
    <w:rsid w:val="007B4874"/>
    <w:rsid w:val="007B4A85"/>
    <w:rsid w:val="007B4FD6"/>
    <w:rsid w:val="007B4FE9"/>
    <w:rsid w:val="007B5D06"/>
    <w:rsid w:val="007B6452"/>
    <w:rsid w:val="007B6670"/>
    <w:rsid w:val="007B68BF"/>
    <w:rsid w:val="007B6BE3"/>
    <w:rsid w:val="007B7982"/>
    <w:rsid w:val="007B7D09"/>
    <w:rsid w:val="007B7FB1"/>
    <w:rsid w:val="007C0196"/>
    <w:rsid w:val="007C0AAA"/>
    <w:rsid w:val="007C0C02"/>
    <w:rsid w:val="007C1C99"/>
    <w:rsid w:val="007C20E0"/>
    <w:rsid w:val="007C2293"/>
    <w:rsid w:val="007C40D0"/>
    <w:rsid w:val="007C590A"/>
    <w:rsid w:val="007C6183"/>
    <w:rsid w:val="007C6371"/>
    <w:rsid w:val="007C64BC"/>
    <w:rsid w:val="007C7764"/>
    <w:rsid w:val="007C7BE1"/>
    <w:rsid w:val="007D00B4"/>
    <w:rsid w:val="007D08BA"/>
    <w:rsid w:val="007D1415"/>
    <w:rsid w:val="007D1613"/>
    <w:rsid w:val="007D16AC"/>
    <w:rsid w:val="007D18AB"/>
    <w:rsid w:val="007D19D1"/>
    <w:rsid w:val="007D1CDB"/>
    <w:rsid w:val="007D200C"/>
    <w:rsid w:val="007D2BD9"/>
    <w:rsid w:val="007D32FB"/>
    <w:rsid w:val="007D334C"/>
    <w:rsid w:val="007D36FE"/>
    <w:rsid w:val="007D3EC6"/>
    <w:rsid w:val="007D4004"/>
    <w:rsid w:val="007D415A"/>
    <w:rsid w:val="007D42DB"/>
    <w:rsid w:val="007D48E3"/>
    <w:rsid w:val="007D569F"/>
    <w:rsid w:val="007D56A1"/>
    <w:rsid w:val="007D595C"/>
    <w:rsid w:val="007D6258"/>
    <w:rsid w:val="007D6574"/>
    <w:rsid w:val="007D6F50"/>
    <w:rsid w:val="007D72FA"/>
    <w:rsid w:val="007D756C"/>
    <w:rsid w:val="007D770D"/>
    <w:rsid w:val="007D7DEA"/>
    <w:rsid w:val="007E05B0"/>
    <w:rsid w:val="007E0A9F"/>
    <w:rsid w:val="007E167C"/>
    <w:rsid w:val="007E1EDD"/>
    <w:rsid w:val="007E27A8"/>
    <w:rsid w:val="007E2D72"/>
    <w:rsid w:val="007E2E48"/>
    <w:rsid w:val="007E31F7"/>
    <w:rsid w:val="007E32CD"/>
    <w:rsid w:val="007E3537"/>
    <w:rsid w:val="007E3EBA"/>
    <w:rsid w:val="007E4268"/>
    <w:rsid w:val="007E4995"/>
    <w:rsid w:val="007E5004"/>
    <w:rsid w:val="007E5332"/>
    <w:rsid w:val="007E58E4"/>
    <w:rsid w:val="007E5B15"/>
    <w:rsid w:val="007E5FD7"/>
    <w:rsid w:val="007E683D"/>
    <w:rsid w:val="007E6F8F"/>
    <w:rsid w:val="007E7B47"/>
    <w:rsid w:val="007F00D3"/>
    <w:rsid w:val="007F05F5"/>
    <w:rsid w:val="007F07FE"/>
    <w:rsid w:val="007F0E94"/>
    <w:rsid w:val="007F10BE"/>
    <w:rsid w:val="007F10FB"/>
    <w:rsid w:val="007F1E7D"/>
    <w:rsid w:val="007F206D"/>
    <w:rsid w:val="007F29F2"/>
    <w:rsid w:val="007F2C3E"/>
    <w:rsid w:val="007F2F8A"/>
    <w:rsid w:val="007F30CA"/>
    <w:rsid w:val="007F3110"/>
    <w:rsid w:val="007F313A"/>
    <w:rsid w:val="007F377D"/>
    <w:rsid w:val="007F387B"/>
    <w:rsid w:val="007F4058"/>
    <w:rsid w:val="007F4E50"/>
    <w:rsid w:val="007F4ED2"/>
    <w:rsid w:val="007F5234"/>
    <w:rsid w:val="007F7246"/>
    <w:rsid w:val="007F72E6"/>
    <w:rsid w:val="007F76DC"/>
    <w:rsid w:val="007F7FCB"/>
    <w:rsid w:val="0080074C"/>
    <w:rsid w:val="0080224B"/>
    <w:rsid w:val="00802990"/>
    <w:rsid w:val="0080350E"/>
    <w:rsid w:val="00803572"/>
    <w:rsid w:val="00803A6F"/>
    <w:rsid w:val="0080416C"/>
    <w:rsid w:val="00804410"/>
    <w:rsid w:val="008044A8"/>
    <w:rsid w:val="00804EEC"/>
    <w:rsid w:val="00804F71"/>
    <w:rsid w:val="0080514B"/>
    <w:rsid w:val="008058E0"/>
    <w:rsid w:val="008062A3"/>
    <w:rsid w:val="00806F6A"/>
    <w:rsid w:val="008078A9"/>
    <w:rsid w:val="00807971"/>
    <w:rsid w:val="00807B80"/>
    <w:rsid w:val="00807DC3"/>
    <w:rsid w:val="008101A0"/>
    <w:rsid w:val="008124C5"/>
    <w:rsid w:val="00812534"/>
    <w:rsid w:val="0081291A"/>
    <w:rsid w:val="00812A41"/>
    <w:rsid w:val="00812D70"/>
    <w:rsid w:val="00812E0C"/>
    <w:rsid w:val="0081304A"/>
    <w:rsid w:val="0081311E"/>
    <w:rsid w:val="00813A09"/>
    <w:rsid w:val="008140F8"/>
    <w:rsid w:val="008141E0"/>
    <w:rsid w:val="00814D38"/>
    <w:rsid w:val="00815180"/>
    <w:rsid w:val="0081618E"/>
    <w:rsid w:val="008162BE"/>
    <w:rsid w:val="00816A1D"/>
    <w:rsid w:val="00816DB9"/>
    <w:rsid w:val="008175D0"/>
    <w:rsid w:val="00817FCE"/>
    <w:rsid w:val="00820397"/>
    <w:rsid w:val="00820A66"/>
    <w:rsid w:val="00821CA5"/>
    <w:rsid w:val="0082256E"/>
    <w:rsid w:val="008226B6"/>
    <w:rsid w:val="008234EB"/>
    <w:rsid w:val="00823CE6"/>
    <w:rsid w:val="00823E74"/>
    <w:rsid w:val="00823F3F"/>
    <w:rsid w:val="00823FF8"/>
    <w:rsid w:val="0082441E"/>
    <w:rsid w:val="00824509"/>
    <w:rsid w:val="00824E1D"/>
    <w:rsid w:val="00824F47"/>
    <w:rsid w:val="00825408"/>
    <w:rsid w:val="0082560D"/>
    <w:rsid w:val="00825AF7"/>
    <w:rsid w:val="00825C8A"/>
    <w:rsid w:val="008267E7"/>
    <w:rsid w:val="008269DD"/>
    <w:rsid w:val="00826E14"/>
    <w:rsid w:val="00826E32"/>
    <w:rsid w:val="00827574"/>
    <w:rsid w:val="00827813"/>
    <w:rsid w:val="008279D5"/>
    <w:rsid w:val="008279E4"/>
    <w:rsid w:val="00827A07"/>
    <w:rsid w:val="00827A6B"/>
    <w:rsid w:val="0083080F"/>
    <w:rsid w:val="00830E40"/>
    <w:rsid w:val="00831040"/>
    <w:rsid w:val="00831650"/>
    <w:rsid w:val="00831707"/>
    <w:rsid w:val="00832681"/>
    <w:rsid w:val="00832DE4"/>
    <w:rsid w:val="00833457"/>
    <w:rsid w:val="008336B7"/>
    <w:rsid w:val="008337EC"/>
    <w:rsid w:val="00833A81"/>
    <w:rsid w:val="00834211"/>
    <w:rsid w:val="00834219"/>
    <w:rsid w:val="008342C2"/>
    <w:rsid w:val="00834493"/>
    <w:rsid w:val="00834853"/>
    <w:rsid w:val="00834CDC"/>
    <w:rsid w:val="008359CC"/>
    <w:rsid w:val="00836120"/>
    <w:rsid w:val="00836F7C"/>
    <w:rsid w:val="0083735A"/>
    <w:rsid w:val="0084034C"/>
    <w:rsid w:val="00840382"/>
    <w:rsid w:val="0084167A"/>
    <w:rsid w:val="00841F36"/>
    <w:rsid w:val="008424B9"/>
    <w:rsid w:val="008425BA"/>
    <w:rsid w:val="0084277D"/>
    <w:rsid w:val="00842BFC"/>
    <w:rsid w:val="0084313D"/>
    <w:rsid w:val="00843604"/>
    <w:rsid w:val="00844454"/>
    <w:rsid w:val="00844A9E"/>
    <w:rsid w:val="00845950"/>
    <w:rsid w:val="00846617"/>
    <w:rsid w:val="00846C5B"/>
    <w:rsid w:val="00846E56"/>
    <w:rsid w:val="0084704A"/>
    <w:rsid w:val="008472A2"/>
    <w:rsid w:val="008477F6"/>
    <w:rsid w:val="00847C4D"/>
    <w:rsid w:val="00850477"/>
    <w:rsid w:val="008513A7"/>
    <w:rsid w:val="00851AF6"/>
    <w:rsid w:val="00851FC2"/>
    <w:rsid w:val="00852075"/>
    <w:rsid w:val="008528FE"/>
    <w:rsid w:val="00852A50"/>
    <w:rsid w:val="00852A77"/>
    <w:rsid w:val="00852CD0"/>
    <w:rsid w:val="00852D9C"/>
    <w:rsid w:val="00852E54"/>
    <w:rsid w:val="00853F2F"/>
    <w:rsid w:val="00854146"/>
    <w:rsid w:val="00854730"/>
    <w:rsid w:val="00854AFF"/>
    <w:rsid w:val="00854EFB"/>
    <w:rsid w:val="00855045"/>
    <w:rsid w:val="0085508B"/>
    <w:rsid w:val="00855625"/>
    <w:rsid w:val="0085660A"/>
    <w:rsid w:val="00856712"/>
    <w:rsid w:val="0085696A"/>
    <w:rsid w:val="008569E4"/>
    <w:rsid w:val="00856F32"/>
    <w:rsid w:val="00856F52"/>
    <w:rsid w:val="00856FDC"/>
    <w:rsid w:val="00857152"/>
    <w:rsid w:val="008575B3"/>
    <w:rsid w:val="00857ABF"/>
    <w:rsid w:val="008605BC"/>
    <w:rsid w:val="00860C79"/>
    <w:rsid w:val="008610A8"/>
    <w:rsid w:val="00861A64"/>
    <w:rsid w:val="0086271D"/>
    <w:rsid w:val="0086281F"/>
    <w:rsid w:val="00863119"/>
    <w:rsid w:val="00863BEF"/>
    <w:rsid w:val="008643CA"/>
    <w:rsid w:val="00864580"/>
    <w:rsid w:val="00864A92"/>
    <w:rsid w:val="00864C79"/>
    <w:rsid w:val="00864F0A"/>
    <w:rsid w:val="0086505D"/>
    <w:rsid w:val="00865344"/>
    <w:rsid w:val="00865365"/>
    <w:rsid w:val="0086540F"/>
    <w:rsid w:val="00865587"/>
    <w:rsid w:val="008655FC"/>
    <w:rsid w:val="00866419"/>
    <w:rsid w:val="00866AA5"/>
    <w:rsid w:val="00866B08"/>
    <w:rsid w:val="00866E82"/>
    <w:rsid w:val="00866E86"/>
    <w:rsid w:val="00867013"/>
    <w:rsid w:val="0086785A"/>
    <w:rsid w:val="008709A1"/>
    <w:rsid w:val="00871395"/>
    <w:rsid w:val="0087410B"/>
    <w:rsid w:val="008744E0"/>
    <w:rsid w:val="008748C1"/>
    <w:rsid w:val="00874BDB"/>
    <w:rsid w:val="00874D22"/>
    <w:rsid w:val="00875947"/>
    <w:rsid w:val="008762EB"/>
    <w:rsid w:val="00876E70"/>
    <w:rsid w:val="008771D3"/>
    <w:rsid w:val="008776CF"/>
    <w:rsid w:val="008777FD"/>
    <w:rsid w:val="00877B68"/>
    <w:rsid w:val="0088099A"/>
    <w:rsid w:val="008809A0"/>
    <w:rsid w:val="00880B1E"/>
    <w:rsid w:val="00881626"/>
    <w:rsid w:val="00881702"/>
    <w:rsid w:val="00881B1E"/>
    <w:rsid w:val="00882046"/>
    <w:rsid w:val="00882547"/>
    <w:rsid w:val="008833C4"/>
    <w:rsid w:val="008839C3"/>
    <w:rsid w:val="00883A61"/>
    <w:rsid w:val="00884077"/>
    <w:rsid w:val="008842F2"/>
    <w:rsid w:val="00884406"/>
    <w:rsid w:val="00884D7D"/>
    <w:rsid w:val="008856FD"/>
    <w:rsid w:val="008857F7"/>
    <w:rsid w:val="00886535"/>
    <w:rsid w:val="0088696F"/>
    <w:rsid w:val="008869C9"/>
    <w:rsid w:val="00886ADF"/>
    <w:rsid w:val="00886CAF"/>
    <w:rsid w:val="008902A1"/>
    <w:rsid w:val="00890FC4"/>
    <w:rsid w:val="00891237"/>
    <w:rsid w:val="00891750"/>
    <w:rsid w:val="00892431"/>
    <w:rsid w:val="00893009"/>
    <w:rsid w:val="008932D2"/>
    <w:rsid w:val="00893E44"/>
    <w:rsid w:val="00894115"/>
    <w:rsid w:val="00894209"/>
    <w:rsid w:val="008944E1"/>
    <w:rsid w:val="00895B3D"/>
    <w:rsid w:val="00895F86"/>
    <w:rsid w:val="008961AA"/>
    <w:rsid w:val="00896261"/>
    <w:rsid w:val="00896D51"/>
    <w:rsid w:val="00896E9E"/>
    <w:rsid w:val="00897483"/>
    <w:rsid w:val="008A0740"/>
    <w:rsid w:val="008A0A30"/>
    <w:rsid w:val="008A0DBD"/>
    <w:rsid w:val="008A1F2F"/>
    <w:rsid w:val="008A2914"/>
    <w:rsid w:val="008A2A63"/>
    <w:rsid w:val="008A30E2"/>
    <w:rsid w:val="008A32C5"/>
    <w:rsid w:val="008A394D"/>
    <w:rsid w:val="008A3DEC"/>
    <w:rsid w:val="008A4001"/>
    <w:rsid w:val="008A542D"/>
    <w:rsid w:val="008A60C8"/>
    <w:rsid w:val="008A657C"/>
    <w:rsid w:val="008A6E6E"/>
    <w:rsid w:val="008A70AD"/>
    <w:rsid w:val="008A7DE2"/>
    <w:rsid w:val="008B0218"/>
    <w:rsid w:val="008B09C7"/>
    <w:rsid w:val="008B0A95"/>
    <w:rsid w:val="008B12E2"/>
    <w:rsid w:val="008B14C4"/>
    <w:rsid w:val="008B1F02"/>
    <w:rsid w:val="008B2A1D"/>
    <w:rsid w:val="008B445F"/>
    <w:rsid w:val="008B4762"/>
    <w:rsid w:val="008B5A46"/>
    <w:rsid w:val="008B5C7A"/>
    <w:rsid w:val="008B5E6A"/>
    <w:rsid w:val="008B63B2"/>
    <w:rsid w:val="008B662D"/>
    <w:rsid w:val="008B6827"/>
    <w:rsid w:val="008B7798"/>
    <w:rsid w:val="008C0D5B"/>
    <w:rsid w:val="008C1516"/>
    <w:rsid w:val="008C24E2"/>
    <w:rsid w:val="008C2776"/>
    <w:rsid w:val="008C282A"/>
    <w:rsid w:val="008C2CC3"/>
    <w:rsid w:val="008C3287"/>
    <w:rsid w:val="008C3A63"/>
    <w:rsid w:val="008C3C9C"/>
    <w:rsid w:val="008C438F"/>
    <w:rsid w:val="008C440F"/>
    <w:rsid w:val="008C4553"/>
    <w:rsid w:val="008C4875"/>
    <w:rsid w:val="008C4A1A"/>
    <w:rsid w:val="008C59AD"/>
    <w:rsid w:val="008C5BDF"/>
    <w:rsid w:val="008C603B"/>
    <w:rsid w:val="008C6980"/>
    <w:rsid w:val="008C74FC"/>
    <w:rsid w:val="008C7AA6"/>
    <w:rsid w:val="008D0A52"/>
    <w:rsid w:val="008D0FF5"/>
    <w:rsid w:val="008D13F6"/>
    <w:rsid w:val="008D14D7"/>
    <w:rsid w:val="008D1CF1"/>
    <w:rsid w:val="008D20A8"/>
    <w:rsid w:val="008D26BB"/>
    <w:rsid w:val="008D2B96"/>
    <w:rsid w:val="008D2F15"/>
    <w:rsid w:val="008D306F"/>
    <w:rsid w:val="008D32A7"/>
    <w:rsid w:val="008D3705"/>
    <w:rsid w:val="008D4BE8"/>
    <w:rsid w:val="008D50DB"/>
    <w:rsid w:val="008D52AB"/>
    <w:rsid w:val="008D60D3"/>
    <w:rsid w:val="008D66B1"/>
    <w:rsid w:val="008D790F"/>
    <w:rsid w:val="008D7960"/>
    <w:rsid w:val="008D7A08"/>
    <w:rsid w:val="008E0E65"/>
    <w:rsid w:val="008E1054"/>
    <w:rsid w:val="008E207B"/>
    <w:rsid w:val="008E2828"/>
    <w:rsid w:val="008E2D0F"/>
    <w:rsid w:val="008E4D8E"/>
    <w:rsid w:val="008E5007"/>
    <w:rsid w:val="008E55F6"/>
    <w:rsid w:val="008E65BD"/>
    <w:rsid w:val="008E6F26"/>
    <w:rsid w:val="008E732F"/>
    <w:rsid w:val="008E745A"/>
    <w:rsid w:val="008E7669"/>
    <w:rsid w:val="008E767B"/>
    <w:rsid w:val="008E77F7"/>
    <w:rsid w:val="008E7D5D"/>
    <w:rsid w:val="008E7D93"/>
    <w:rsid w:val="008E7DC4"/>
    <w:rsid w:val="008F0238"/>
    <w:rsid w:val="008F068B"/>
    <w:rsid w:val="008F0D12"/>
    <w:rsid w:val="008F0F87"/>
    <w:rsid w:val="008F18EB"/>
    <w:rsid w:val="008F1FE3"/>
    <w:rsid w:val="008F25B8"/>
    <w:rsid w:val="008F31DA"/>
    <w:rsid w:val="008F3AAC"/>
    <w:rsid w:val="008F47E1"/>
    <w:rsid w:val="008F4AE1"/>
    <w:rsid w:val="008F569E"/>
    <w:rsid w:val="008F56A7"/>
    <w:rsid w:val="008F57EE"/>
    <w:rsid w:val="008F5CA4"/>
    <w:rsid w:val="008F6383"/>
    <w:rsid w:val="008F689D"/>
    <w:rsid w:val="008F6C59"/>
    <w:rsid w:val="008F6F37"/>
    <w:rsid w:val="008F7402"/>
    <w:rsid w:val="008F748B"/>
    <w:rsid w:val="008F7B2A"/>
    <w:rsid w:val="009000AA"/>
    <w:rsid w:val="00900B71"/>
    <w:rsid w:val="00900B84"/>
    <w:rsid w:val="00900EEF"/>
    <w:rsid w:val="00901DF5"/>
    <w:rsid w:val="0090236F"/>
    <w:rsid w:val="00902551"/>
    <w:rsid w:val="009037DA"/>
    <w:rsid w:val="009037F8"/>
    <w:rsid w:val="009038DE"/>
    <w:rsid w:val="00904154"/>
    <w:rsid w:val="00904399"/>
    <w:rsid w:val="009043AF"/>
    <w:rsid w:val="00904D31"/>
    <w:rsid w:val="00905258"/>
    <w:rsid w:val="009054A2"/>
    <w:rsid w:val="009055C0"/>
    <w:rsid w:val="0090595B"/>
    <w:rsid w:val="00906448"/>
    <w:rsid w:val="00906676"/>
    <w:rsid w:val="00906D1F"/>
    <w:rsid w:val="009072C0"/>
    <w:rsid w:val="009072C2"/>
    <w:rsid w:val="0091045B"/>
    <w:rsid w:val="0091065D"/>
    <w:rsid w:val="00910BE8"/>
    <w:rsid w:val="00910FD2"/>
    <w:rsid w:val="0091160F"/>
    <w:rsid w:val="00911ACE"/>
    <w:rsid w:val="00911EBB"/>
    <w:rsid w:val="009124DD"/>
    <w:rsid w:val="00912EB6"/>
    <w:rsid w:val="00913097"/>
    <w:rsid w:val="00913206"/>
    <w:rsid w:val="009138A4"/>
    <w:rsid w:val="00913A8F"/>
    <w:rsid w:val="00913BBF"/>
    <w:rsid w:val="00913DD1"/>
    <w:rsid w:val="009141B6"/>
    <w:rsid w:val="00914409"/>
    <w:rsid w:val="009145D6"/>
    <w:rsid w:val="00915032"/>
    <w:rsid w:val="009155B4"/>
    <w:rsid w:val="00915638"/>
    <w:rsid w:val="009156B8"/>
    <w:rsid w:val="00915BF0"/>
    <w:rsid w:val="0091624B"/>
    <w:rsid w:val="009166D8"/>
    <w:rsid w:val="00916A9C"/>
    <w:rsid w:val="00916ABE"/>
    <w:rsid w:val="00917159"/>
    <w:rsid w:val="00917A44"/>
    <w:rsid w:val="00917CE4"/>
    <w:rsid w:val="00920979"/>
    <w:rsid w:val="00920D36"/>
    <w:rsid w:val="0092283E"/>
    <w:rsid w:val="009228C5"/>
    <w:rsid w:val="00922AEF"/>
    <w:rsid w:val="0092386A"/>
    <w:rsid w:val="0092396C"/>
    <w:rsid w:val="00923B71"/>
    <w:rsid w:val="0092435A"/>
    <w:rsid w:val="009248FB"/>
    <w:rsid w:val="00924B46"/>
    <w:rsid w:val="00926166"/>
    <w:rsid w:val="00926320"/>
    <w:rsid w:val="009273BB"/>
    <w:rsid w:val="009276E5"/>
    <w:rsid w:val="00930032"/>
    <w:rsid w:val="009301D5"/>
    <w:rsid w:val="00930300"/>
    <w:rsid w:val="009306A5"/>
    <w:rsid w:val="00930EC0"/>
    <w:rsid w:val="009311F5"/>
    <w:rsid w:val="00932651"/>
    <w:rsid w:val="009326BD"/>
    <w:rsid w:val="00932933"/>
    <w:rsid w:val="00932BB1"/>
    <w:rsid w:val="00932C05"/>
    <w:rsid w:val="00932C0E"/>
    <w:rsid w:val="009330DF"/>
    <w:rsid w:val="00934500"/>
    <w:rsid w:val="009346E6"/>
    <w:rsid w:val="009349E5"/>
    <w:rsid w:val="00934FC9"/>
    <w:rsid w:val="009360ED"/>
    <w:rsid w:val="00936644"/>
    <w:rsid w:val="00936BA4"/>
    <w:rsid w:val="0094088D"/>
    <w:rsid w:val="00940B04"/>
    <w:rsid w:val="009418E4"/>
    <w:rsid w:val="00941F9F"/>
    <w:rsid w:val="00942532"/>
    <w:rsid w:val="00942C82"/>
    <w:rsid w:val="00943A78"/>
    <w:rsid w:val="00943B1E"/>
    <w:rsid w:val="00943ED2"/>
    <w:rsid w:val="00944205"/>
    <w:rsid w:val="0094454B"/>
    <w:rsid w:val="00944B17"/>
    <w:rsid w:val="00944B84"/>
    <w:rsid w:val="00944BB7"/>
    <w:rsid w:val="009450BC"/>
    <w:rsid w:val="009450BF"/>
    <w:rsid w:val="00945298"/>
    <w:rsid w:val="009455FC"/>
    <w:rsid w:val="0094588D"/>
    <w:rsid w:val="00945D4D"/>
    <w:rsid w:val="00946331"/>
    <w:rsid w:val="00946665"/>
    <w:rsid w:val="00946F9A"/>
    <w:rsid w:val="00947FDB"/>
    <w:rsid w:val="00950187"/>
    <w:rsid w:val="00950531"/>
    <w:rsid w:val="009506B3"/>
    <w:rsid w:val="00950DD1"/>
    <w:rsid w:val="00950F5F"/>
    <w:rsid w:val="009514A8"/>
    <w:rsid w:val="0095196F"/>
    <w:rsid w:val="00951B38"/>
    <w:rsid w:val="0095228C"/>
    <w:rsid w:val="00952BB5"/>
    <w:rsid w:val="00952FDA"/>
    <w:rsid w:val="009530F4"/>
    <w:rsid w:val="00953863"/>
    <w:rsid w:val="009543EA"/>
    <w:rsid w:val="0095474F"/>
    <w:rsid w:val="00954BC3"/>
    <w:rsid w:val="0095515B"/>
    <w:rsid w:val="00955457"/>
    <w:rsid w:val="009556C1"/>
    <w:rsid w:val="009557B0"/>
    <w:rsid w:val="009558B0"/>
    <w:rsid w:val="00955B0E"/>
    <w:rsid w:val="009560CA"/>
    <w:rsid w:val="00956CE3"/>
    <w:rsid w:val="009574F2"/>
    <w:rsid w:val="00957A29"/>
    <w:rsid w:val="009606B5"/>
    <w:rsid w:val="00960E5F"/>
    <w:rsid w:val="00961593"/>
    <w:rsid w:val="00961691"/>
    <w:rsid w:val="009618AF"/>
    <w:rsid w:val="00961CFA"/>
    <w:rsid w:val="009633B1"/>
    <w:rsid w:val="009636A8"/>
    <w:rsid w:val="00963CF1"/>
    <w:rsid w:val="0096414D"/>
    <w:rsid w:val="009643F5"/>
    <w:rsid w:val="00964516"/>
    <w:rsid w:val="00965233"/>
    <w:rsid w:val="00965747"/>
    <w:rsid w:val="00965F82"/>
    <w:rsid w:val="00965FA9"/>
    <w:rsid w:val="009663F8"/>
    <w:rsid w:val="00966760"/>
    <w:rsid w:val="009668DD"/>
    <w:rsid w:val="00966EB9"/>
    <w:rsid w:val="00967164"/>
    <w:rsid w:val="009678D6"/>
    <w:rsid w:val="00967BDC"/>
    <w:rsid w:val="00967D17"/>
    <w:rsid w:val="00967DC7"/>
    <w:rsid w:val="009701F9"/>
    <w:rsid w:val="00970970"/>
    <w:rsid w:val="00971F55"/>
    <w:rsid w:val="00972180"/>
    <w:rsid w:val="00972371"/>
    <w:rsid w:val="00974268"/>
    <w:rsid w:val="00974747"/>
    <w:rsid w:val="00974E62"/>
    <w:rsid w:val="009754C3"/>
    <w:rsid w:val="009763E5"/>
    <w:rsid w:val="0097747F"/>
    <w:rsid w:val="00977A57"/>
    <w:rsid w:val="00977AA4"/>
    <w:rsid w:val="00977DED"/>
    <w:rsid w:val="00977F2F"/>
    <w:rsid w:val="0098003E"/>
    <w:rsid w:val="00981331"/>
    <w:rsid w:val="0098206F"/>
    <w:rsid w:val="0098276F"/>
    <w:rsid w:val="009830FC"/>
    <w:rsid w:val="00983414"/>
    <w:rsid w:val="00984303"/>
    <w:rsid w:val="00984607"/>
    <w:rsid w:val="00984952"/>
    <w:rsid w:val="00984B61"/>
    <w:rsid w:val="00985A61"/>
    <w:rsid w:val="00985C58"/>
    <w:rsid w:val="009868BA"/>
    <w:rsid w:val="009869C4"/>
    <w:rsid w:val="0098707C"/>
    <w:rsid w:val="00987B80"/>
    <w:rsid w:val="00987D28"/>
    <w:rsid w:val="00987FE1"/>
    <w:rsid w:val="009904CD"/>
    <w:rsid w:val="00990882"/>
    <w:rsid w:val="00990AC4"/>
    <w:rsid w:val="00990B67"/>
    <w:rsid w:val="00991508"/>
    <w:rsid w:val="00991519"/>
    <w:rsid w:val="00991932"/>
    <w:rsid w:val="0099281A"/>
    <w:rsid w:val="00992BDB"/>
    <w:rsid w:val="0099342E"/>
    <w:rsid w:val="00993975"/>
    <w:rsid w:val="00994036"/>
    <w:rsid w:val="0099421F"/>
    <w:rsid w:val="00994519"/>
    <w:rsid w:val="00994F7D"/>
    <w:rsid w:val="0099512A"/>
    <w:rsid w:val="0099537A"/>
    <w:rsid w:val="009953A3"/>
    <w:rsid w:val="009956FC"/>
    <w:rsid w:val="0099572E"/>
    <w:rsid w:val="00995C4D"/>
    <w:rsid w:val="009961C1"/>
    <w:rsid w:val="00997291"/>
    <w:rsid w:val="009972D0"/>
    <w:rsid w:val="009973EA"/>
    <w:rsid w:val="009975C5"/>
    <w:rsid w:val="00997E1E"/>
    <w:rsid w:val="009A0E1D"/>
    <w:rsid w:val="009A173E"/>
    <w:rsid w:val="009A1E4A"/>
    <w:rsid w:val="009A2514"/>
    <w:rsid w:val="009A2E18"/>
    <w:rsid w:val="009A31BD"/>
    <w:rsid w:val="009A336C"/>
    <w:rsid w:val="009A3CD6"/>
    <w:rsid w:val="009A445B"/>
    <w:rsid w:val="009A4B6C"/>
    <w:rsid w:val="009A4D14"/>
    <w:rsid w:val="009A5111"/>
    <w:rsid w:val="009A554A"/>
    <w:rsid w:val="009A627B"/>
    <w:rsid w:val="009A728A"/>
    <w:rsid w:val="009A738B"/>
    <w:rsid w:val="009A7E41"/>
    <w:rsid w:val="009B019D"/>
    <w:rsid w:val="009B076D"/>
    <w:rsid w:val="009B0E9E"/>
    <w:rsid w:val="009B0F3D"/>
    <w:rsid w:val="009B163E"/>
    <w:rsid w:val="009B18DF"/>
    <w:rsid w:val="009B1903"/>
    <w:rsid w:val="009B22E2"/>
    <w:rsid w:val="009B2404"/>
    <w:rsid w:val="009B3873"/>
    <w:rsid w:val="009B3E1B"/>
    <w:rsid w:val="009B414B"/>
    <w:rsid w:val="009B45DE"/>
    <w:rsid w:val="009B47DB"/>
    <w:rsid w:val="009B5234"/>
    <w:rsid w:val="009B5391"/>
    <w:rsid w:val="009B55B2"/>
    <w:rsid w:val="009B563C"/>
    <w:rsid w:val="009B5932"/>
    <w:rsid w:val="009B5D5A"/>
    <w:rsid w:val="009B5D5B"/>
    <w:rsid w:val="009B5DF0"/>
    <w:rsid w:val="009B625F"/>
    <w:rsid w:val="009B66D0"/>
    <w:rsid w:val="009B68EA"/>
    <w:rsid w:val="009B727B"/>
    <w:rsid w:val="009B7E27"/>
    <w:rsid w:val="009C0C89"/>
    <w:rsid w:val="009C124F"/>
    <w:rsid w:val="009C2307"/>
    <w:rsid w:val="009C262F"/>
    <w:rsid w:val="009C27D0"/>
    <w:rsid w:val="009C2C0E"/>
    <w:rsid w:val="009C3081"/>
    <w:rsid w:val="009C4646"/>
    <w:rsid w:val="009C507D"/>
    <w:rsid w:val="009C6878"/>
    <w:rsid w:val="009C742B"/>
    <w:rsid w:val="009C7E9A"/>
    <w:rsid w:val="009D0CBE"/>
    <w:rsid w:val="009D0EFF"/>
    <w:rsid w:val="009D15E7"/>
    <w:rsid w:val="009D186A"/>
    <w:rsid w:val="009D18AA"/>
    <w:rsid w:val="009D25A0"/>
    <w:rsid w:val="009D28E7"/>
    <w:rsid w:val="009D307A"/>
    <w:rsid w:val="009D320A"/>
    <w:rsid w:val="009D32E9"/>
    <w:rsid w:val="009D368D"/>
    <w:rsid w:val="009D37FE"/>
    <w:rsid w:val="009D3A82"/>
    <w:rsid w:val="009D40EC"/>
    <w:rsid w:val="009D4440"/>
    <w:rsid w:val="009D445F"/>
    <w:rsid w:val="009D5229"/>
    <w:rsid w:val="009D678A"/>
    <w:rsid w:val="009D6A69"/>
    <w:rsid w:val="009D6ABB"/>
    <w:rsid w:val="009D7C42"/>
    <w:rsid w:val="009E0058"/>
    <w:rsid w:val="009E0464"/>
    <w:rsid w:val="009E0500"/>
    <w:rsid w:val="009E05A4"/>
    <w:rsid w:val="009E06E2"/>
    <w:rsid w:val="009E0C31"/>
    <w:rsid w:val="009E0C5A"/>
    <w:rsid w:val="009E2380"/>
    <w:rsid w:val="009E298B"/>
    <w:rsid w:val="009E36A7"/>
    <w:rsid w:val="009E3EFC"/>
    <w:rsid w:val="009E40F3"/>
    <w:rsid w:val="009E4247"/>
    <w:rsid w:val="009E4443"/>
    <w:rsid w:val="009E4F17"/>
    <w:rsid w:val="009E54AA"/>
    <w:rsid w:val="009E6446"/>
    <w:rsid w:val="009E6612"/>
    <w:rsid w:val="009E6A2F"/>
    <w:rsid w:val="009E6DE3"/>
    <w:rsid w:val="009E6FF1"/>
    <w:rsid w:val="009E7186"/>
    <w:rsid w:val="009E7262"/>
    <w:rsid w:val="009E739C"/>
    <w:rsid w:val="009E7B97"/>
    <w:rsid w:val="009E7E4C"/>
    <w:rsid w:val="009F0719"/>
    <w:rsid w:val="009F0777"/>
    <w:rsid w:val="009F0E0D"/>
    <w:rsid w:val="009F10DD"/>
    <w:rsid w:val="009F12C7"/>
    <w:rsid w:val="009F1446"/>
    <w:rsid w:val="009F1B0B"/>
    <w:rsid w:val="009F2537"/>
    <w:rsid w:val="009F2793"/>
    <w:rsid w:val="009F280F"/>
    <w:rsid w:val="009F37D3"/>
    <w:rsid w:val="009F3AC5"/>
    <w:rsid w:val="009F4144"/>
    <w:rsid w:val="009F47B6"/>
    <w:rsid w:val="009F4BF3"/>
    <w:rsid w:val="009F501C"/>
    <w:rsid w:val="009F57AF"/>
    <w:rsid w:val="009F6AA0"/>
    <w:rsid w:val="009F6D7C"/>
    <w:rsid w:val="009F723A"/>
    <w:rsid w:val="009F72F2"/>
    <w:rsid w:val="009F7F30"/>
    <w:rsid w:val="00A00047"/>
    <w:rsid w:val="00A0080E"/>
    <w:rsid w:val="00A009D5"/>
    <w:rsid w:val="00A00A69"/>
    <w:rsid w:val="00A00F42"/>
    <w:rsid w:val="00A00FF3"/>
    <w:rsid w:val="00A01315"/>
    <w:rsid w:val="00A016FF"/>
    <w:rsid w:val="00A01D0F"/>
    <w:rsid w:val="00A01F82"/>
    <w:rsid w:val="00A021D3"/>
    <w:rsid w:val="00A02427"/>
    <w:rsid w:val="00A02B62"/>
    <w:rsid w:val="00A02E17"/>
    <w:rsid w:val="00A02EA9"/>
    <w:rsid w:val="00A036E8"/>
    <w:rsid w:val="00A041BC"/>
    <w:rsid w:val="00A046F2"/>
    <w:rsid w:val="00A04803"/>
    <w:rsid w:val="00A0489F"/>
    <w:rsid w:val="00A05FAD"/>
    <w:rsid w:val="00A06816"/>
    <w:rsid w:val="00A0699F"/>
    <w:rsid w:val="00A069B5"/>
    <w:rsid w:val="00A070A5"/>
    <w:rsid w:val="00A071CF"/>
    <w:rsid w:val="00A07355"/>
    <w:rsid w:val="00A0739E"/>
    <w:rsid w:val="00A1040F"/>
    <w:rsid w:val="00A10438"/>
    <w:rsid w:val="00A1084B"/>
    <w:rsid w:val="00A10E5C"/>
    <w:rsid w:val="00A118D5"/>
    <w:rsid w:val="00A12846"/>
    <w:rsid w:val="00A135CA"/>
    <w:rsid w:val="00A13FDC"/>
    <w:rsid w:val="00A14185"/>
    <w:rsid w:val="00A1421B"/>
    <w:rsid w:val="00A1432F"/>
    <w:rsid w:val="00A1447C"/>
    <w:rsid w:val="00A15883"/>
    <w:rsid w:val="00A15F0A"/>
    <w:rsid w:val="00A16B96"/>
    <w:rsid w:val="00A17679"/>
    <w:rsid w:val="00A177C2"/>
    <w:rsid w:val="00A17826"/>
    <w:rsid w:val="00A17B81"/>
    <w:rsid w:val="00A17CEA"/>
    <w:rsid w:val="00A17DF1"/>
    <w:rsid w:val="00A17F27"/>
    <w:rsid w:val="00A20239"/>
    <w:rsid w:val="00A2050B"/>
    <w:rsid w:val="00A20846"/>
    <w:rsid w:val="00A208DF"/>
    <w:rsid w:val="00A2180A"/>
    <w:rsid w:val="00A21ADF"/>
    <w:rsid w:val="00A2280C"/>
    <w:rsid w:val="00A22F6F"/>
    <w:rsid w:val="00A230FA"/>
    <w:rsid w:val="00A23422"/>
    <w:rsid w:val="00A234C1"/>
    <w:rsid w:val="00A235F3"/>
    <w:rsid w:val="00A23605"/>
    <w:rsid w:val="00A23839"/>
    <w:rsid w:val="00A23C93"/>
    <w:rsid w:val="00A24B44"/>
    <w:rsid w:val="00A24D0A"/>
    <w:rsid w:val="00A24D34"/>
    <w:rsid w:val="00A24DEA"/>
    <w:rsid w:val="00A25465"/>
    <w:rsid w:val="00A25617"/>
    <w:rsid w:val="00A2586C"/>
    <w:rsid w:val="00A25971"/>
    <w:rsid w:val="00A26B44"/>
    <w:rsid w:val="00A26C87"/>
    <w:rsid w:val="00A26F2E"/>
    <w:rsid w:val="00A27311"/>
    <w:rsid w:val="00A2749F"/>
    <w:rsid w:val="00A27B37"/>
    <w:rsid w:val="00A27D7F"/>
    <w:rsid w:val="00A27E55"/>
    <w:rsid w:val="00A30555"/>
    <w:rsid w:val="00A30770"/>
    <w:rsid w:val="00A30878"/>
    <w:rsid w:val="00A30E7A"/>
    <w:rsid w:val="00A31E8D"/>
    <w:rsid w:val="00A32099"/>
    <w:rsid w:val="00A3263D"/>
    <w:rsid w:val="00A32A65"/>
    <w:rsid w:val="00A32B28"/>
    <w:rsid w:val="00A330B8"/>
    <w:rsid w:val="00A3317F"/>
    <w:rsid w:val="00A3383A"/>
    <w:rsid w:val="00A341A1"/>
    <w:rsid w:val="00A3471E"/>
    <w:rsid w:val="00A34AE6"/>
    <w:rsid w:val="00A3585C"/>
    <w:rsid w:val="00A35DEB"/>
    <w:rsid w:val="00A361C3"/>
    <w:rsid w:val="00A36F6F"/>
    <w:rsid w:val="00A373E8"/>
    <w:rsid w:val="00A375CF"/>
    <w:rsid w:val="00A378EB"/>
    <w:rsid w:val="00A37B72"/>
    <w:rsid w:val="00A37E07"/>
    <w:rsid w:val="00A4023D"/>
    <w:rsid w:val="00A40A6A"/>
    <w:rsid w:val="00A40B82"/>
    <w:rsid w:val="00A40BE8"/>
    <w:rsid w:val="00A41193"/>
    <w:rsid w:val="00A413D0"/>
    <w:rsid w:val="00A415FC"/>
    <w:rsid w:val="00A41A4D"/>
    <w:rsid w:val="00A421FB"/>
    <w:rsid w:val="00A4232A"/>
    <w:rsid w:val="00A42B9E"/>
    <w:rsid w:val="00A435D1"/>
    <w:rsid w:val="00A4409B"/>
    <w:rsid w:val="00A44922"/>
    <w:rsid w:val="00A44B2A"/>
    <w:rsid w:val="00A45150"/>
    <w:rsid w:val="00A452CA"/>
    <w:rsid w:val="00A469D6"/>
    <w:rsid w:val="00A47144"/>
    <w:rsid w:val="00A4734A"/>
    <w:rsid w:val="00A474FE"/>
    <w:rsid w:val="00A47AE6"/>
    <w:rsid w:val="00A50155"/>
    <w:rsid w:val="00A502FB"/>
    <w:rsid w:val="00A503BB"/>
    <w:rsid w:val="00A51DF5"/>
    <w:rsid w:val="00A52388"/>
    <w:rsid w:val="00A532F8"/>
    <w:rsid w:val="00A53626"/>
    <w:rsid w:val="00A5396B"/>
    <w:rsid w:val="00A5432D"/>
    <w:rsid w:val="00A543AF"/>
    <w:rsid w:val="00A54B06"/>
    <w:rsid w:val="00A555C2"/>
    <w:rsid w:val="00A55DAC"/>
    <w:rsid w:val="00A567CE"/>
    <w:rsid w:val="00A577F6"/>
    <w:rsid w:val="00A6018E"/>
    <w:rsid w:val="00A6098C"/>
    <w:rsid w:val="00A616D8"/>
    <w:rsid w:val="00A618C5"/>
    <w:rsid w:val="00A6299A"/>
    <w:rsid w:val="00A63595"/>
    <w:rsid w:val="00A63873"/>
    <w:rsid w:val="00A63B94"/>
    <w:rsid w:val="00A63FDD"/>
    <w:rsid w:val="00A653BF"/>
    <w:rsid w:val="00A65543"/>
    <w:rsid w:val="00A65673"/>
    <w:rsid w:val="00A66640"/>
    <w:rsid w:val="00A66C38"/>
    <w:rsid w:val="00A672C6"/>
    <w:rsid w:val="00A6762C"/>
    <w:rsid w:val="00A67CA6"/>
    <w:rsid w:val="00A67D22"/>
    <w:rsid w:val="00A67EBE"/>
    <w:rsid w:val="00A67F73"/>
    <w:rsid w:val="00A705C6"/>
    <w:rsid w:val="00A70703"/>
    <w:rsid w:val="00A708E0"/>
    <w:rsid w:val="00A70D26"/>
    <w:rsid w:val="00A71022"/>
    <w:rsid w:val="00A71496"/>
    <w:rsid w:val="00A71CB6"/>
    <w:rsid w:val="00A72603"/>
    <w:rsid w:val="00A72BF5"/>
    <w:rsid w:val="00A72E38"/>
    <w:rsid w:val="00A72EC0"/>
    <w:rsid w:val="00A7397B"/>
    <w:rsid w:val="00A745C9"/>
    <w:rsid w:val="00A75C80"/>
    <w:rsid w:val="00A7659B"/>
    <w:rsid w:val="00A775EE"/>
    <w:rsid w:val="00A77989"/>
    <w:rsid w:val="00A77E51"/>
    <w:rsid w:val="00A80031"/>
    <w:rsid w:val="00A8021C"/>
    <w:rsid w:val="00A804F9"/>
    <w:rsid w:val="00A80FC1"/>
    <w:rsid w:val="00A81299"/>
    <w:rsid w:val="00A81432"/>
    <w:rsid w:val="00A8188B"/>
    <w:rsid w:val="00A81ACB"/>
    <w:rsid w:val="00A827F3"/>
    <w:rsid w:val="00A82B3A"/>
    <w:rsid w:val="00A8336E"/>
    <w:rsid w:val="00A8344E"/>
    <w:rsid w:val="00A83591"/>
    <w:rsid w:val="00A83A77"/>
    <w:rsid w:val="00A83ACE"/>
    <w:rsid w:val="00A845F4"/>
    <w:rsid w:val="00A84A9D"/>
    <w:rsid w:val="00A85F27"/>
    <w:rsid w:val="00A86412"/>
    <w:rsid w:val="00A872A3"/>
    <w:rsid w:val="00A8761A"/>
    <w:rsid w:val="00A87A34"/>
    <w:rsid w:val="00A87D73"/>
    <w:rsid w:val="00A904B4"/>
    <w:rsid w:val="00A9063D"/>
    <w:rsid w:val="00A90CA2"/>
    <w:rsid w:val="00A91306"/>
    <w:rsid w:val="00A915F1"/>
    <w:rsid w:val="00A9190D"/>
    <w:rsid w:val="00A92960"/>
    <w:rsid w:val="00A92D0B"/>
    <w:rsid w:val="00A92F6F"/>
    <w:rsid w:val="00A93553"/>
    <w:rsid w:val="00A943C3"/>
    <w:rsid w:val="00A944BE"/>
    <w:rsid w:val="00A94D98"/>
    <w:rsid w:val="00A94EAD"/>
    <w:rsid w:val="00A9504C"/>
    <w:rsid w:val="00A9515F"/>
    <w:rsid w:val="00A9571C"/>
    <w:rsid w:val="00A95DEF"/>
    <w:rsid w:val="00A95E74"/>
    <w:rsid w:val="00A95E83"/>
    <w:rsid w:val="00A96093"/>
    <w:rsid w:val="00A9654D"/>
    <w:rsid w:val="00A96CE0"/>
    <w:rsid w:val="00A97002"/>
    <w:rsid w:val="00A97395"/>
    <w:rsid w:val="00A97C34"/>
    <w:rsid w:val="00AA0198"/>
    <w:rsid w:val="00AA0221"/>
    <w:rsid w:val="00AA03BF"/>
    <w:rsid w:val="00AA05D1"/>
    <w:rsid w:val="00AA0888"/>
    <w:rsid w:val="00AA166F"/>
    <w:rsid w:val="00AA16A5"/>
    <w:rsid w:val="00AA17C7"/>
    <w:rsid w:val="00AA2026"/>
    <w:rsid w:val="00AA2601"/>
    <w:rsid w:val="00AA265B"/>
    <w:rsid w:val="00AA2D26"/>
    <w:rsid w:val="00AA2D99"/>
    <w:rsid w:val="00AA2E57"/>
    <w:rsid w:val="00AA2F32"/>
    <w:rsid w:val="00AA3ACB"/>
    <w:rsid w:val="00AA42E4"/>
    <w:rsid w:val="00AA4302"/>
    <w:rsid w:val="00AA4567"/>
    <w:rsid w:val="00AA47B1"/>
    <w:rsid w:val="00AA49CA"/>
    <w:rsid w:val="00AA507E"/>
    <w:rsid w:val="00AA594A"/>
    <w:rsid w:val="00AA5A2B"/>
    <w:rsid w:val="00AA5F39"/>
    <w:rsid w:val="00AA63E1"/>
    <w:rsid w:val="00AA69E0"/>
    <w:rsid w:val="00AA6D94"/>
    <w:rsid w:val="00AA746B"/>
    <w:rsid w:val="00AA74EC"/>
    <w:rsid w:val="00AA7D1C"/>
    <w:rsid w:val="00AB0028"/>
    <w:rsid w:val="00AB0469"/>
    <w:rsid w:val="00AB04E4"/>
    <w:rsid w:val="00AB1686"/>
    <w:rsid w:val="00AB1BBF"/>
    <w:rsid w:val="00AB1E13"/>
    <w:rsid w:val="00AB2722"/>
    <w:rsid w:val="00AB2AEA"/>
    <w:rsid w:val="00AB3482"/>
    <w:rsid w:val="00AB3A67"/>
    <w:rsid w:val="00AB3EEE"/>
    <w:rsid w:val="00AB4DA8"/>
    <w:rsid w:val="00AB539D"/>
    <w:rsid w:val="00AB63B7"/>
    <w:rsid w:val="00AB655C"/>
    <w:rsid w:val="00AB65EE"/>
    <w:rsid w:val="00AB66DD"/>
    <w:rsid w:val="00AB67ED"/>
    <w:rsid w:val="00AB6B96"/>
    <w:rsid w:val="00AB72B4"/>
    <w:rsid w:val="00AB763A"/>
    <w:rsid w:val="00AB7CE4"/>
    <w:rsid w:val="00AC0A37"/>
    <w:rsid w:val="00AC29B5"/>
    <w:rsid w:val="00AC29E2"/>
    <w:rsid w:val="00AC2A51"/>
    <w:rsid w:val="00AC2A7F"/>
    <w:rsid w:val="00AC2C62"/>
    <w:rsid w:val="00AC3772"/>
    <w:rsid w:val="00AC3C06"/>
    <w:rsid w:val="00AC40F9"/>
    <w:rsid w:val="00AC44B7"/>
    <w:rsid w:val="00AC4629"/>
    <w:rsid w:val="00AC57FD"/>
    <w:rsid w:val="00AC5B4B"/>
    <w:rsid w:val="00AC5C2E"/>
    <w:rsid w:val="00AC5ED5"/>
    <w:rsid w:val="00AC636E"/>
    <w:rsid w:val="00AC6DE5"/>
    <w:rsid w:val="00AC6F0A"/>
    <w:rsid w:val="00AC73F1"/>
    <w:rsid w:val="00AD05EC"/>
    <w:rsid w:val="00AD0981"/>
    <w:rsid w:val="00AD0A35"/>
    <w:rsid w:val="00AD0D58"/>
    <w:rsid w:val="00AD1054"/>
    <w:rsid w:val="00AD17A1"/>
    <w:rsid w:val="00AD19F5"/>
    <w:rsid w:val="00AD25F4"/>
    <w:rsid w:val="00AD3675"/>
    <w:rsid w:val="00AD37C4"/>
    <w:rsid w:val="00AD3AEF"/>
    <w:rsid w:val="00AD4311"/>
    <w:rsid w:val="00AD4E8D"/>
    <w:rsid w:val="00AD580F"/>
    <w:rsid w:val="00AD618C"/>
    <w:rsid w:val="00AD65EA"/>
    <w:rsid w:val="00AD6D2B"/>
    <w:rsid w:val="00AD6DD8"/>
    <w:rsid w:val="00AD7320"/>
    <w:rsid w:val="00AD772B"/>
    <w:rsid w:val="00AD781B"/>
    <w:rsid w:val="00AE0975"/>
    <w:rsid w:val="00AE0B18"/>
    <w:rsid w:val="00AE0F88"/>
    <w:rsid w:val="00AE1059"/>
    <w:rsid w:val="00AE126B"/>
    <w:rsid w:val="00AE17D5"/>
    <w:rsid w:val="00AE1952"/>
    <w:rsid w:val="00AE1C9C"/>
    <w:rsid w:val="00AE2085"/>
    <w:rsid w:val="00AE2750"/>
    <w:rsid w:val="00AE2E21"/>
    <w:rsid w:val="00AE30FD"/>
    <w:rsid w:val="00AE3240"/>
    <w:rsid w:val="00AE33B8"/>
    <w:rsid w:val="00AE4B10"/>
    <w:rsid w:val="00AE60CB"/>
    <w:rsid w:val="00AE6804"/>
    <w:rsid w:val="00AE68C7"/>
    <w:rsid w:val="00AE69D2"/>
    <w:rsid w:val="00AE6C34"/>
    <w:rsid w:val="00AE751E"/>
    <w:rsid w:val="00AF093E"/>
    <w:rsid w:val="00AF0FAE"/>
    <w:rsid w:val="00AF1AD0"/>
    <w:rsid w:val="00AF1F20"/>
    <w:rsid w:val="00AF2311"/>
    <w:rsid w:val="00AF2B5E"/>
    <w:rsid w:val="00AF2B77"/>
    <w:rsid w:val="00AF3089"/>
    <w:rsid w:val="00AF30C1"/>
    <w:rsid w:val="00AF3AEC"/>
    <w:rsid w:val="00AF455E"/>
    <w:rsid w:val="00AF456D"/>
    <w:rsid w:val="00AF50D5"/>
    <w:rsid w:val="00AF5220"/>
    <w:rsid w:val="00AF5525"/>
    <w:rsid w:val="00AF5798"/>
    <w:rsid w:val="00AF593D"/>
    <w:rsid w:val="00AF64B7"/>
    <w:rsid w:val="00AF70D7"/>
    <w:rsid w:val="00AF7135"/>
    <w:rsid w:val="00AF7357"/>
    <w:rsid w:val="00AF78B9"/>
    <w:rsid w:val="00AF7A3B"/>
    <w:rsid w:val="00AF7CE2"/>
    <w:rsid w:val="00B00347"/>
    <w:rsid w:val="00B00AA4"/>
    <w:rsid w:val="00B00D56"/>
    <w:rsid w:val="00B00D9F"/>
    <w:rsid w:val="00B01BE1"/>
    <w:rsid w:val="00B01DA9"/>
    <w:rsid w:val="00B0237B"/>
    <w:rsid w:val="00B02994"/>
    <w:rsid w:val="00B02AF3"/>
    <w:rsid w:val="00B02EB7"/>
    <w:rsid w:val="00B02F80"/>
    <w:rsid w:val="00B0364E"/>
    <w:rsid w:val="00B03C49"/>
    <w:rsid w:val="00B03E46"/>
    <w:rsid w:val="00B04343"/>
    <w:rsid w:val="00B04CC5"/>
    <w:rsid w:val="00B04F6E"/>
    <w:rsid w:val="00B04F98"/>
    <w:rsid w:val="00B05022"/>
    <w:rsid w:val="00B05537"/>
    <w:rsid w:val="00B05648"/>
    <w:rsid w:val="00B06072"/>
    <w:rsid w:val="00B0618B"/>
    <w:rsid w:val="00B063BC"/>
    <w:rsid w:val="00B065C2"/>
    <w:rsid w:val="00B06914"/>
    <w:rsid w:val="00B0722D"/>
    <w:rsid w:val="00B0743A"/>
    <w:rsid w:val="00B07CB5"/>
    <w:rsid w:val="00B10746"/>
    <w:rsid w:val="00B1087E"/>
    <w:rsid w:val="00B10BC0"/>
    <w:rsid w:val="00B11273"/>
    <w:rsid w:val="00B1136A"/>
    <w:rsid w:val="00B11A62"/>
    <w:rsid w:val="00B122E2"/>
    <w:rsid w:val="00B123DB"/>
    <w:rsid w:val="00B127E7"/>
    <w:rsid w:val="00B13004"/>
    <w:rsid w:val="00B13EE8"/>
    <w:rsid w:val="00B142A2"/>
    <w:rsid w:val="00B14705"/>
    <w:rsid w:val="00B14C5B"/>
    <w:rsid w:val="00B14CB2"/>
    <w:rsid w:val="00B15974"/>
    <w:rsid w:val="00B15B9D"/>
    <w:rsid w:val="00B160E2"/>
    <w:rsid w:val="00B16E11"/>
    <w:rsid w:val="00B16FE7"/>
    <w:rsid w:val="00B17A30"/>
    <w:rsid w:val="00B201EF"/>
    <w:rsid w:val="00B2033F"/>
    <w:rsid w:val="00B20386"/>
    <w:rsid w:val="00B21458"/>
    <w:rsid w:val="00B21562"/>
    <w:rsid w:val="00B2162C"/>
    <w:rsid w:val="00B21A42"/>
    <w:rsid w:val="00B21A51"/>
    <w:rsid w:val="00B21E06"/>
    <w:rsid w:val="00B21E30"/>
    <w:rsid w:val="00B2277F"/>
    <w:rsid w:val="00B22790"/>
    <w:rsid w:val="00B22846"/>
    <w:rsid w:val="00B23066"/>
    <w:rsid w:val="00B233DC"/>
    <w:rsid w:val="00B235EF"/>
    <w:rsid w:val="00B23A84"/>
    <w:rsid w:val="00B23B9D"/>
    <w:rsid w:val="00B243BB"/>
    <w:rsid w:val="00B247B6"/>
    <w:rsid w:val="00B247CB"/>
    <w:rsid w:val="00B24ABD"/>
    <w:rsid w:val="00B24C50"/>
    <w:rsid w:val="00B252B7"/>
    <w:rsid w:val="00B25837"/>
    <w:rsid w:val="00B25BA8"/>
    <w:rsid w:val="00B25CA7"/>
    <w:rsid w:val="00B26470"/>
    <w:rsid w:val="00B264D1"/>
    <w:rsid w:val="00B26603"/>
    <w:rsid w:val="00B26611"/>
    <w:rsid w:val="00B267E1"/>
    <w:rsid w:val="00B27236"/>
    <w:rsid w:val="00B27C75"/>
    <w:rsid w:val="00B27F80"/>
    <w:rsid w:val="00B30671"/>
    <w:rsid w:val="00B30975"/>
    <w:rsid w:val="00B30CD5"/>
    <w:rsid w:val="00B31639"/>
    <w:rsid w:val="00B31716"/>
    <w:rsid w:val="00B319EC"/>
    <w:rsid w:val="00B31A67"/>
    <w:rsid w:val="00B31C35"/>
    <w:rsid w:val="00B32D03"/>
    <w:rsid w:val="00B33110"/>
    <w:rsid w:val="00B33BB3"/>
    <w:rsid w:val="00B33BF8"/>
    <w:rsid w:val="00B33EF9"/>
    <w:rsid w:val="00B3455F"/>
    <w:rsid w:val="00B34703"/>
    <w:rsid w:val="00B3495C"/>
    <w:rsid w:val="00B349A7"/>
    <w:rsid w:val="00B34AD7"/>
    <w:rsid w:val="00B352B1"/>
    <w:rsid w:val="00B35E8D"/>
    <w:rsid w:val="00B36A15"/>
    <w:rsid w:val="00B36CC7"/>
    <w:rsid w:val="00B36DDB"/>
    <w:rsid w:val="00B375B1"/>
    <w:rsid w:val="00B379AE"/>
    <w:rsid w:val="00B37C36"/>
    <w:rsid w:val="00B4019D"/>
    <w:rsid w:val="00B40555"/>
    <w:rsid w:val="00B405FE"/>
    <w:rsid w:val="00B40A5B"/>
    <w:rsid w:val="00B40DB0"/>
    <w:rsid w:val="00B4124D"/>
    <w:rsid w:val="00B4143F"/>
    <w:rsid w:val="00B4174B"/>
    <w:rsid w:val="00B42129"/>
    <w:rsid w:val="00B421E4"/>
    <w:rsid w:val="00B42289"/>
    <w:rsid w:val="00B4286B"/>
    <w:rsid w:val="00B42980"/>
    <w:rsid w:val="00B429D2"/>
    <w:rsid w:val="00B4313A"/>
    <w:rsid w:val="00B43AED"/>
    <w:rsid w:val="00B43ED3"/>
    <w:rsid w:val="00B449BC"/>
    <w:rsid w:val="00B45285"/>
    <w:rsid w:val="00B45925"/>
    <w:rsid w:val="00B45CE2"/>
    <w:rsid w:val="00B46112"/>
    <w:rsid w:val="00B466C4"/>
    <w:rsid w:val="00B469F3"/>
    <w:rsid w:val="00B46F1A"/>
    <w:rsid w:val="00B46FC0"/>
    <w:rsid w:val="00B47348"/>
    <w:rsid w:val="00B47717"/>
    <w:rsid w:val="00B50C5D"/>
    <w:rsid w:val="00B5156F"/>
    <w:rsid w:val="00B52C75"/>
    <w:rsid w:val="00B5362C"/>
    <w:rsid w:val="00B53A7E"/>
    <w:rsid w:val="00B54717"/>
    <w:rsid w:val="00B54A13"/>
    <w:rsid w:val="00B5529E"/>
    <w:rsid w:val="00B5708C"/>
    <w:rsid w:val="00B609FD"/>
    <w:rsid w:val="00B615AF"/>
    <w:rsid w:val="00B61A4F"/>
    <w:rsid w:val="00B61AF8"/>
    <w:rsid w:val="00B61B2C"/>
    <w:rsid w:val="00B61F22"/>
    <w:rsid w:val="00B62894"/>
    <w:rsid w:val="00B628DD"/>
    <w:rsid w:val="00B62F8E"/>
    <w:rsid w:val="00B630A2"/>
    <w:rsid w:val="00B630AC"/>
    <w:rsid w:val="00B635BE"/>
    <w:rsid w:val="00B6377D"/>
    <w:rsid w:val="00B638F5"/>
    <w:rsid w:val="00B63A40"/>
    <w:rsid w:val="00B63ECC"/>
    <w:rsid w:val="00B63ED1"/>
    <w:rsid w:val="00B64149"/>
    <w:rsid w:val="00B643CA"/>
    <w:rsid w:val="00B64DA2"/>
    <w:rsid w:val="00B64DB0"/>
    <w:rsid w:val="00B65404"/>
    <w:rsid w:val="00B655BB"/>
    <w:rsid w:val="00B65612"/>
    <w:rsid w:val="00B6593F"/>
    <w:rsid w:val="00B65BD7"/>
    <w:rsid w:val="00B65C6E"/>
    <w:rsid w:val="00B65D9F"/>
    <w:rsid w:val="00B66239"/>
    <w:rsid w:val="00B66B87"/>
    <w:rsid w:val="00B66EB3"/>
    <w:rsid w:val="00B67311"/>
    <w:rsid w:val="00B6741E"/>
    <w:rsid w:val="00B6780A"/>
    <w:rsid w:val="00B67D7D"/>
    <w:rsid w:val="00B70538"/>
    <w:rsid w:val="00B7285F"/>
    <w:rsid w:val="00B72920"/>
    <w:rsid w:val="00B72C0E"/>
    <w:rsid w:val="00B72CA5"/>
    <w:rsid w:val="00B72DD9"/>
    <w:rsid w:val="00B72E0F"/>
    <w:rsid w:val="00B73049"/>
    <w:rsid w:val="00B739CE"/>
    <w:rsid w:val="00B7414E"/>
    <w:rsid w:val="00B74384"/>
    <w:rsid w:val="00B75BCD"/>
    <w:rsid w:val="00B76307"/>
    <w:rsid w:val="00B7653A"/>
    <w:rsid w:val="00B8042E"/>
    <w:rsid w:val="00B8062F"/>
    <w:rsid w:val="00B80A49"/>
    <w:rsid w:val="00B80C38"/>
    <w:rsid w:val="00B8155F"/>
    <w:rsid w:val="00B820BC"/>
    <w:rsid w:val="00B8362E"/>
    <w:rsid w:val="00B837B2"/>
    <w:rsid w:val="00B83B5C"/>
    <w:rsid w:val="00B84261"/>
    <w:rsid w:val="00B84331"/>
    <w:rsid w:val="00B85294"/>
    <w:rsid w:val="00B853ED"/>
    <w:rsid w:val="00B8541C"/>
    <w:rsid w:val="00B85903"/>
    <w:rsid w:val="00B86435"/>
    <w:rsid w:val="00B86583"/>
    <w:rsid w:val="00B86A3B"/>
    <w:rsid w:val="00B86B7D"/>
    <w:rsid w:val="00B86CE8"/>
    <w:rsid w:val="00B86E34"/>
    <w:rsid w:val="00B8715F"/>
    <w:rsid w:val="00B871BC"/>
    <w:rsid w:val="00B87E87"/>
    <w:rsid w:val="00B90DF2"/>
    <w:rsid w:val="00B910F5"/>
    <w:rsid w:val="00B9176A"/>
    <w:rsid w:val="00B919B0"/>
    <w:rsid w:val="00B91D09"/>
    <w:rsid w:val="00B91E8F"/>
    <w:rsid w:val="00B91F40"/>
    <w:rsid w:val="00B92933"/>
    <w:rsid w:val="00B92A12"/>
    <w:rsid w:val="00B9308B"/>
    <w:rsid w:val="00B93756"/>
    <w:rsid w:val="00B937B7"/>
    <w:rsid w:val="00B943D1"/>
    <w:rsid w:val="00B944A2"/>
    <w:rsid w:val="00B945CC"/>
    <w:rsid w:val="00B946B7"/>
    <w:rsid w:val="00B951C6"/>
    <w:rsid w:val="00B959E4"/>
    <w:rsid w:val="00B95C08"/>
    <w:rsid w:val="00B9616D"/>
    <w:rsid w:val="00B969AB"/>
    <w:rsid w:val="00B96AB6"/>
    <w:rsid w:val="00B96D1A"/>
    <w:rsid w:val="00B97372"/>
    <w:rsid w:val="00B97B0A"/>
    <w:rsid w:val="00B97C64"/>
    <w:rsid w:val="00BA0300"/>
    <w:rsid w:val="00BA0EA8"/>
    <w:rsid w:val="00BA11AC"/>
    <w:rsid w:val="00BA15A6"/>
    <w:rsid w:val="00BA1A87"/>
    <w:rsid w:val="00BA1D14"/>
    <w:rsid w:val="00BA273E"/>
    <w:rsid w:val="00BA2745"/>
    <w:rsid w:val="00BA2918"/>
    <w:rsid w:val="00BA2B8E"/>
    <w:rsid w:val="00BA339F"/>
    <w:rsid w:val="00BA34AB"/>
    <w:rsid w:val="00BA34F4"/>
    <w:rsid w:val="00BA35B6"/>
    <w:rsid w:val="00BA3770"/>
    <w:rsid w:val="00BA38A4"/>
    <w:rsid w:val="00BA3B5D"/>
    <w:rsid w:val="00BA3CB6"/>
    <w:rsid w:val="00BA457C"/>
    <w:rsid w:val="00BA468A"/>
    <w:rsid w:val="00BA5965"/>
    <w:rsid w:val="00BA5A9C"/>
    <w:rsid w:val="00BA5F3E"/>
    <w:rsid w:val="00BA6052"/>
    <w:rsid w:val="00BA6168"/>
    <w:rsid w:val="00BA6403"/>
    <w:rsid w:val="00BA6450"/>
    <w:rsid w:val="00BA6DD0"/>
    <w:rsid w:val="00BA7E40"/>
    <w:rsid w:val="00BB0091"/>
    <w:rsid w:val="00BB0B13"/>
    <w:rsid w:val="00BB0E3D"/>
    <w:rsid w:val="00BB1082"/>
    <w:rsid w:val="00BB11D4"/>
    <w:rsid w:val="00BB1CD5"/>
    <w:rsid w:val="00BB2063"/>
    <w:rsid w:val="00BB232A"/>
    <w:rsid w:val="00BB283E"/>
    <w:rsid w:val="00BB288C"/>
    <w:rsid w:val="00BB28A8"/>
    <w:rsid w:val="00BB29F5"/>
    <w:rsid w:val="00BB2C47"/>
    <w:rsid w:val="00BB3882"/>
    <w:rsid w:val="00BB3E01"/>
    <w:rsid w:val="00BB41B2"/>
    <w:rsid w:val="00BB45FD"/>
    <w:rsid w:val="00BB47FB"/>
    <w:rsid w:val="00BB48AF"/>
    <w:rsid w:val="00BB4B49"/>
    <w:rsid w:val="00BB5618"/>
    <w:rsid w:val="00BB610A"/>
    <w:rsid w:val="00BB61D0"/>
    <w:rsid w:val="00BB7398"/>
    <w:rsid w:val="00BB758A"/>
    <w:rsid w:val="00BB76A9"/>
    <w:rsid w:val="00BB7EC5"/>
    <w:rsid w:val="00BC038A"/>
    <w:rsid w:val="00BC0572"/>
    <w:rsid w:val="00BC093B"/>
    <w:rsid w:val="00BC1921"/>
    <w:rsid w:val="00BC2153"/>
    <w:rsid w:val="00BC25E4"/>
    <w:rsid w:val="00BC299A"/>
    <w:rsid w:val="00BC3EEB"/>
    <w:rsid w:val="00BC4112"/>
    <w:rsid w:val="00BC419E"/>
    <w:rsid w:val="00BC4571"/>
    <w:rsid w:val="00BC4789"/>
    <w:rsid w:val="00BC478E"/>
    <w:rsid w:val="00BC4BDC"/>
    <w:rsid w:val="00BC4BEF"/>
    <w:rsid w:val="00BC533B"/>
    <w:rsid w:val="00BC56A7"/>
    <w:rsid w:val="00BC590C"/>
    <w:rsid w:val="00BC687D"/>
    <w:rsid w:val="00BC7204"/>
    <w:rsid w:val="00BC76E9"/>
    <w:rsid w:val="00BC7C5F"/>
    <w:rsid w:val="00BC7F07"/>
    <w:rsid w:val="00BD0122"/>
    <w:rsid w:val="00BD17C6"/>
    <w:rsid w:val="00BD18E7"/>
    <w:rsid w:val="00BD192F"/>
    <w:rsid w:val="00BD1C4D"/>
    <w:rsid w:val="00BD1C9D"/>
    <w:rsid w:val="00BD1E7E"/>
    <w:rsid w:val="00BD2565"/>
    <w:rsid w:val="00BD2F5B"/>
    <w:rsid w:val="00BD2F8F"/>
    <w:rsid w:val="00BD3B42"/>
    <w:rsid w:val="00BD45F4"/>
    <w:rsid w:val="00BD49B2"/>
    <w:rsid w:val="00BD4A9D"/>
    <w:rsid w:val="00BD4BA0"/>
    <w:rsid w:val="00BD4BB6"/>
    <w:rsid w:val="00BD4C43"/>
    <w:rsid w:val="00BD50B4"/>
    <w:rsid w:val="00BD52DF"/>
    <w:rsid w:val="00BD5621"/>
    <w:rsid w:val="00BD5A0C"/>
    <w:rsid w:val="00BD5BA8"/>
    <w:rsid w:val="00BD6488"/>
    <w:rsid w:val="00BD6A12"/>
    <w:rsid w:val="00BD771F"/>
    <w:rsid w:val="00BD7A17"/>
    <w:rsid w:val="00BE103F"/>
    <w:rsid w:val="00BE141F"/>
    <w:rsid w:val="00BE2FE5"/>
    <w:rsid w:val="00BE411C"/>
    <w:rsid w:val="00BE4198"/>
    <w:rsid w:val="00BE4210"/>
    <w:rsid w:val="00BE49D1"/>
    <w:rsid w:val="00BE4E18"/>
    <w:rsid w:val="00BE5C79"/>
    <w:rsid w:val="00BE6BBF"/>
    <w:rsid w:val="00BE6DCF"/>
    <w:rsid w:val="00BE7382"/>
    <w:rsid w:val="00BE74FD"/>
    <w:rsid w:val="00BE7EED"/>
    <w:rsid w:val="00BF1632"/>
    <w:rsid w:val="00BF1837"/>
    <w:rsid w:val="00BF1BC7"/>
    <w:rsid w:val="00BF1D8C"/>
    <w:rsid w:val="00BF24BD"/>
    <w:rsid w:val="00BF2B15"/>
    <w:rsid w:val="00BF2C32"/>
    <w:rsid w:val="00BF31C8"/>
    <w:rsid w:val="00BF36A7"/>
    <w:rsid w:val="00BF3733"/>
    <w:rsid w:val="00BF3C0C"/>
    <w:rsid w:val="00BF4001"/>
    <w:rsid w:val="00BF4B28"/>
    <w:rsid w:val="00BF54DA"/>
    <w:rsid w:val="00BF5539"/>
    <w:rsid w:val="00BF563B"/>
    <w:rsid w:val="00BF65D8"/>
    <w:rsid w:val="00BF6660"/>
    <w:rsid w:val="00BF69C3"/>
    <w:rsid w:val="00BF6B65"/>
    <w:rsid w:val="00C010B6"/>
    <w:rsid w:val="00C0152F"/>
    <w:rsid w:val="00C01BD8"/>
    <w:rsid w:val="00C02223"/>
    <w:rsid w:val="00C024DB"/>
    <w:rsid w:val="00C0291F"/>
    <w:rsid w:val="00C02BBD"/>
    <w:rsid w:val="00C02E78"/>
    <w:rsid w:val="00C0305B"/>
    <w:rsid w:val="00C03161"/>
    <w:rsid w:val="00C031EE"/>
    <w:rsid w:val="00C032C7"/>
    <w:rsid w:val="00C03597"/>
    <w:rsid w:val="00C03600"/>
    <w:rsid w:val="00C03868"/>
    <w:rsid w:val="00C0391B"/>
    <w:rsid w:val="00C0437E"/>
    <w:rsid w:val="00C0447F"/>
    <w:rsid w:val="00C04EE8"/>
    <w:rsid w:val="00C05024"/>
    <w:rsid w:val="00C05458"/>
    <w:rsid w:val="00C066B7"/>
    <w:rsid w:val="00C06D14"/>
    <w:rsid w:val="00C06D50"/>
    <w:rsid w:val="00C06F44"/>
    <w:rsid w:val="00C07089"/>
    <w:rsid w:val="00C07443"/>
    <w:rsid w:val="00C07ABD"/>
    <w:rsid w:val="00C1090E"/>
    <w:rsid w:val="00C1103D"/>
    <w:rsid w:val="00C11500"/>
    <w:rsid w:val="00C115E5"/>
    <w:rsid w:val="00C11A18"/>
    <w:rsid w:val="00C11D41"/>
    <w:rsid w:val="00C11F39"/>
    <w:rsid w:val="00C11F99"/>
    <w:rsid w:val="00C11FA5"/>
    <w:rsid w:val="00C1227B"/>
    <w:rsid w:val="00C12301"/>
    <w:rsid w:val="00C123D6"/>
    <w:rsid w:val="00C12615"/>
    <w:rsid w:val="00C12757"/>
    <w:rsid w:val="00C12801"/>
    <w:rsid w:val="00C12B5F"/>
    <w:rsid w:val="00C12B64"/>
    <w:rsid w:val="00C12CD2"/>
    <w:rsid w:val="00C12D22"/>
    <w:rsid w:val="00C12D62"/>
    <w:rsid w:val="00C12F55"/>
    <w:rsid w:val="00C13620"/>
    <w:rsid w:val="00C138CD"/>
    <w:rsid w:val="00C13B3A"/>
    <w:rsid w:val="00C13FAE"/>
    <w:rsid w:val="00C1448A"/>
    <w:rsid w:val="00C14665"/>
    <w:rsid w:val="00C14D32"/>
    <w:rsid w:val="00C150A0"/>
    <w:rsid w:val="00C15545"/>
    <w:rsid w:val="00C167E0"/>
    <w:rsid w:val="00C16AC4"/>
    <w:rsid w:val="00C16AC8"/>
    <w:rsid w:val="00C16D3F"/>
    <w:rsid w:val="00C16F8D"/>
    <w:rsid w:val="00C17553"/>
    <w:rsid w:val="00C17DCD"/>
    <w:rsid w:val="00C20052"/>
    <w:rsid w:val="00C20A1F"/>
    <w:rsid w:val="00C20B2D"/>
    <w:rsid w:val="00C20F02"/>
    <w:rsid w:val="00C210B6"/>
    <w:rsid w:val="00C21874"/>
    <w:rsid w:val="00C21DA9"/>
    <w:rsid w:val="00C22020"/>
    <w:rsid w:val="00C229A4"/>
    <w:rsid w:val="00C22A4F"/>
    <w:rsid w:val="00C237AA"/>
    <w:rsid w:val="00C238F1"/>
    <w:rsid w:val="00C23D2C"/>
    <w:rsid w:val="00C23FFE"/>
    <w:rsid w:val="00C24094"/>
    <w:rsid w:val="00C24DE5"/>
    <w:rsid w:val="00C2533B"/>
    <w:rsid w:val="00C25D86"/>
    <w:rsid w:val="00C260D8"/>
    <w:rsid w:val="00C2627D"/>
    <w:rsid w:val="00C263AA"/>
    <w:rsid w:val="00C2675C"/>
    <w:rsid w:val="00C269F1"/>
    <w:rsid w:val="00C27201"/>
    <w:rsid w:val="00C277A8"/>
    <w:rsid w:val="00C27BAE"/>
    <w:rsid w:val="00C3007E"/>
    <w:rsid w:val="00C3031D"/>
    <w:rsid w:val="00C314B5"/>
    <w:rsid w:val="00C31874"/>
    <w:rsid w:val="00C31BA3"/>
    <w:rsid w:val="00C32C88"/>
    <w:rsid w:val="00C33083"/>
    <w:rsid w:val="00C334D7"/>
    <w:rsid w:val="00C33801"/>
    <w:rsid w:val="00C33B85"/>
    <w:rsid w:val="00C33C21"/>
    <w:rsid w:val="00C33FAE"/>
    <w:rsid w:val="00C340CE"/>
    <w:rsid w:val="00C347E4"/>
    <w:rsid w:val="00C35042"/>
    <w:rsid w:val="00C3542B"/>
    <w:rsid w:val="00C35BB7"/>
    <w:rsid w:val="00C35D25"/>
    <w:rsid w:val="00C36092"/>
    <w:rsid w:val="00C36162"/>
    <w:rsid w:val="00C36365"/>
    <w:rsid w:val="00C36545"/>
    <w:rsid w:val="00C36565"/>
    <w:rsid w:val="00C366B5"/>
    <w:rsid w:val="00C36B87"/>
    <w:rsid w:val="00C37719"/>
    <w:rsid w:val="00C37E6A"/>
    <w:rsid w:val="00C4026D"/>
    <w:rsid w:val="00C40377"/>
    <w:rsid w:val="00C40AE9"/>
    <w:rsid w:val="00C40DEF"/>
    <w:rsid w:val="00C40DF9"/>
    <w:rsid w:val="00C40E84"/>
    <w:rsid w:val="00C4153C"/>
    <w:rsid w:val="00C41927"/>
    <w:rsid w:val="00C420CC"/>
    <w:rsid w:val="00C42523"/>
    <w:rsid w:val="00C4346E"/>
    <w:rsid w:val="00C444CB"/>
    <w:rsid w:val="00C4463F"/>
    <w:rsid w:val="00C447A2"/>
    <w:rsid w:val="00C453AA"/>
    <w:rsid w:val="00C459B3"/>
    <w:rsid w:val="00C459EF"/>
    <w:rsid w:val="00C45D23"/>
    <w:rsid w:val="00C46FB1"/>
    <w:rsid w:val="00C470E1"/>
    <w:rsid w:val="00C50369"/>
    <w:rsid w:val="00C50543"/>
    <w:rsid w:val="00C50603"/>
    <w:rsid w:val="00C50888"/>
    <w:rsid w:val="00C51804"/>
    <w:rsid w:val="00C51E99"/>
    <w:rsid w:val="00C51F89"/>
    <w:rsid w:val="00C521BE"/>
    <w:rsid w:val="00C525BC"/>
    <w:rsid w:val="00C52615"/>
    <w:rsid w:val="00C52A4B"/>
    <w:rsid w:val="00C5351D"/>
    <w:rsid w:val="00C53C2C"/>
    <w:rsid w:val="00C547D6"/>
    <w:rsid w:val="00C54FF3"/>
    <w:rsid w:val="00C5541E"/>
    <w:rsid w:val="00C55830"/>
    <w:rsid w:val="00C55CF4"/>
    <w:rsid w:val="00C55DDA"/>
    <w:rsid w:val="00C55FBB"/>
    <w:rsid w:val="00C5756C"/>
    <w:rsid w:val="00C577AA"/>
    <w:rsid w:val="00C57E82"/>
    <w:rsid w:val="00C60041"/>
    <w:rsid w:val="00C60CB1"/>
    <w:rsid w:val="00C6105C"/>
    <w:rsid w:val="00C61320"/>
    <w:rsid w:val="00C61D19"/>
    <w:rsid w:val="00C61DF5"/>
    <w:rsid w:val="00C6227A"/>
    <w:rsid w:val="00C623E8"/>
    <w:rsid w:val="00C62B80"/>
    <w:rsid w:val="00C62BE9"/>
    <w:rsid w:val="00C62BF9"/>
    <w:rsid w:val="00C63C84"/>
    <w:rsid w:val="00C64EA7"/>
    <w:rsid w:val="00C656BB"/>
    <w:rsid w:val="00C65C0B"/>
    <w:rsid w:val="00C66510"/>
    <w:rsid w:val="00C66783"/>
    <w:rsid w:val="00C66F9A"/>
    <w:rsid w:val="00C67188"/>
    <w:rsid w:val="00C6736B"/>
    <w:rsid w:val="00C70277"/>
    <w:rsid w:val="00C719E9"/>
    <w:rsid w:val="00C71BAD"/>
    <w:rsid w:val="00C71CFC"/>
    <w:rsid w:val="00C720E1"/>
    <w:rsid w:val="00C723E0"/>
    <w:rsid w:val="00C7244B"/>
    <w:rsid w:val="00C7255F"/>
    <w:rsid w:val="00C72A33"/>
    <w:rsid w:val="00C7317A"/>
    <w:rsid w:val="00C73D65"/>
    <w:rsid w:val="00C73DC2"/>
    <w:rsid w:val="00C73E13"/>
    <w:rsid w:val="00C74168"/>
    <w:rsid w:val="00C74782"/>
    <w:rsid w:val="00C74F5F"/>
    <w:rsid w:val="00C74FE6"/>
    <w:rsid w:val="00C75FCB"/>
    <w:rsid w:val="00C76B07"/>
    <w:rsid w:val="00C77ADC"/>
    <w:rsid w:val="00C80FC3"/>
    <w:rsid w:val="00C81976"/>
    <w:rsid w:val="00C8219C"/>
    <w:rsid w:val="00C824F1"/>
    <w:rsid w:val="00C829BB"/>
    <w:rsid w:val="00C83D1E"/>
    <w:rsid w:val="00C83D31"/>
    <w:rsid w:val="00C83FC7"/>
    <w:rsid w:val="00C84159"/>
    <w:rsid w:val="00C844F9"/>
    <w:rsid w:val="00C84AE8"/>
    <w:rsid w:val="00C85054"/>
    <w:rsid w:val="00C86887"/>
    <w:rsid w:val="00C8772D"/>
    <w:rsid w:val="00C878F8"/>
    <w:rsid w:val="00C90570"/>
    <w:rsid w:val="00C90750"/>
    <w:rsid w:val="00C90781"/>
    <w:rsid w:val="00C907A2"/>
    <w:rsid w:val="00C90C5A"/>
    <w:rsid w:val="00C90F97"/>
    <w:rsid w:val="00C910D3"/>
    <w:rsid w:val="00C917B4"/>
    <w:rsid w:val="00C92067"/>
    <w:rsid w:val="00C92772"/>
    <w:rsid w:val="00C92D07"/>
    <w:rsid w:val="00C93804"/>
    <w:rsid w:val="00C93BCF"/>
    <w:rsid w:val="00C93E5C"/>
    <w:rsid w:val="00C94287"/>
    <w:rsid w:val="00C952AC"/>
    <w:rsid w:val="00C95B41"/>
    <w:rsid w:val="00C96084"/>
    <w:rsid w:val="00C960F3"/>
    <w:rsid w:val="00C96F62"/>
    <w:rsid w:val="00C972C2"/>
    <w:rsid w:val="00C972F5"/>
    <w:rsid w:val="00C97524"/>
    <w:rsid w:val="00C97568"/>
    <w:rsid w:val="00C97D64"/>
    <w:rsid w:val="00CA02A6"/>
    <w:rsid w:val="00CA0317"/>
    <w:rsid w:val="00CA04C9"/>
    <w:rsid w:val="00CA0A02"/>
    <w:rsid w:val="00CA0C4D"/>
    <w:rsid w:val="00CA0F9E"/>
    <w:rsid w:val="00CA1363"/>
    <w:rsid w:val="00CA13D7"/>
    <w:rsid w:val="00CA16E0"/>
    <w:rsid w:val="00CA1887"/>
    <w:rsid w:val="00CA189B"/>
    <w:rsid w:val="00CA2E0E"/>
    <w:rsid w:val="00CA3326"/>
    <w:rsid w:val="00CA38EF"/>
    <w:rsid w:val="00CA39E2"/>
    <w:rsid w:val="00CA4051"/>
    <w:rsid w:val="00CA432F"/>
    <w:rsid w:val="00CA4973"/>
    <w:rsid w:val="00CA5EF1"/>
    <w:rsid w:val="00CA6B72"/>
    <w:rsid w:val="00CA6F2A"/>
    <w:rsid w:val="00CA6F74"/>
    <w:rsid w:val="00CA76C9"/>
    <w:rsid w:val="00CA778D"/>
    <w:rsid w:val="00CA7C69"/>
    <w:rsid w:val="00CA7DE0"/>
    <w:rsid w:val="00CB0243"/>
    <w:rsid w:val="00CB0CBC"/>
    <w:rsid w:val="00CB0CC4"/>
    <w:rsid w:val="00CB1C8D"/>
    <w:rsid w:val="00CB243F"/>
    <w:rsid w:val="00CB266D"/>
    <w:rsid w:val="00CB3B83"/>
    <w:rsid w:val="00CB3B87"/>
    <w:rsid w:val="00CB3B8F"/>
    <w:rsid w:val="00CB4FF8"/>
    <w:rsid w:val="00CB51AB"/>
    <w:rsid w:val="00CB5AF6"/>
    <w:rsid w:val="00CB6997"/>
    <w:rsid w:val="00CB70D1"/>
    <w:rsid w:val="00CB7A3D"/>
    <w:rsid w:val="00CB7A97"/>
    <w:rsid w:val="00CB7B78"/>
    <w:rsid w:val="00CB7DF8"/>
    <w:rsid w:val="00CB7E44"/>
    <w:rsid w:val="00CB7F3B"/>
    <w:rsid w:val="00CC0319"/>
    <w:rsid w:val="00CC0853"/>
    <w:rsid w:val="00CC0AD9"/>
    <w:rsid w:val="00CC108B"/>
    <w:rsid w:val="00CC1E59"/>
    <w:rsid w:val="00CC1FD2"/>
    <w:rsid w:val="00CC23C4"/>
    <w:rsid w:val="00CC24BB"/>
    <w:rsid w:val="00CC24CD"/>
    <w:rsid w:val="00CC25CD"/>
    <w:rsid w:val="00CC2C0D"/>
    <w:rsid w:val="00CC2C60"/>
    <w:rsid w:val="00CC2D77"/>
    <w:rsid w:val="00CC2E97"/>
    <w:rsid w:val="00CC318A"/>
    <w:rsid w:val="00CC328B"/>
    <w:rsid w:val="00CC3B07"/>
    <w:rsid w:val="00CC4940"/>
    <w:rsid w:val="00CC51C7"/>
    <w:rsid w:val="00CC589B"/>
    <w:rsid w:val="00CC5AD5"/>
    <w:rsid w:val="00CC5FD0"/>
    <w:rsid w:val="00CC7672"/>
    <w:rsid w:val="00CC776E"/>
    <w:rsid w:val="00CC77B2"/>
    <w:rsid w:val="00CC7A2D"/>
    <w:rsid w:val="00CC7A91"/>
    <w:rsid w:val="00CD025F"/>
    <w:rsid w:val="00CD0B79"/>
    <w:rsid w:val="00CD0C2B"/>
    <w:rsid w:val="00CD13A2"/>
    <w:rsid w:val="00CD14A9"/>
    <w:rsid w:val="00CD14B1"/>
    <w:rsid w:val="00CD1E29"/>
    <w:rsid w:val="00CD2129"/>
    <w:rsid w:val="00CD22EC"/>
    <w:rsid w:val="00CD3DD9"/>
    <w:rsid w:val="00CD4104"/>
    <w:rsid w:val="00CD4EFA"/>
    <w:rsid w:val="00CD528D"/>
    <w:rsid w:val="00CD557B"/>
    <w:rsid w:val="00CD6395"/>
    <w:rsid w:val="00CD6563"/>
    <w:rsid w:val="00CD7748"/>
    <w:rsid w:val="00CD77FD"/>
    <w:rsid w:val="00CD7B55"/>
    <w:rsid w:val="00CE177B"/>
    <w:rsid w:val="00CE1E87"/>
    <w:rsid w:val="00CE27CC"/>
    <w:rsid w:val="00CE32E2"/>
    <w:rsid w:val="00CE370B"/>
    <w:rsid w:val="00CE3C81"/>
    <w:rsid w:val="00CE4020"/>
    <w:rsid w:val="00CE4442"/>
    <w:rsid w:val="00CE447E"/>
    <w:rsid w:val="00CE4F9B"/>
    <w:rsid w:val="00CE5056"/>
    <w:rsid w:val="00CE509C"/>
    <w:rsid w:val="00CE5335"/>
    <w:rsid w:val="00CE5C8D"/>
    <w:rsid w:val="00CE629B"/>
    <w:rsid w:val="00CE64F4"/>
    <w:rsid w:val="00CE6A45"/>
    <w:rsid w:val="00CE7274"/>
    <w:rsid w:val="00CE77B0"/>
    <w:rsid w:val="00CE7BDF"/>
    <w:rsid w:val="00CF01AB"/>
    <w:rsid w:val="00CF01E8"/>
    <w:rsid w:val="00CF01F3"/>
    <w:rsid w:val="00CF01FF"/>
    <w:rsid w:val="00CF064C"/>
    <w:rsid w:val="00CF07DA"/>
    <w:rsid w:val="00CF0BA6"/>
    <w:rsid w:val="00CF10DC"/>
    <w:rsid w:val="00CF1566"/>
    <w:rsid w:val="00CF18A9"/>
    <w:rsid w:val="00CF19E1"/>
    <w:rsid w:val="00CF1ADD"/>
    <w:rsid w:val="00CF258A"/>
    <w:rsid w:val="00CF2BFC"/>
    <w:rsid w:val="00CF37F8"/>
    <w:rsid w:val="00CF3CA3"/>
    <w:rsid w:val="00CF45D0"/>
    <w:rsid w:val="00CF4AC7"/>
    <w:rsid w:val="00CF4C39"/>
    <w:rsid w:val="00CF51A9"/>
    <w:rsid w:val="00CF52BB"/>
    <w:rsid w:val="00CF67AC"/>
    <w:rsid w:val="00CF67C4"/>
    <w:rsid w:val="00CF6C02"/>
    <w:rsid w:val="00CF75B1"/>
    <w:rsid w:val="00CF75CF"/>
    <w:rsid w:val="00CF7AE3"/>
    <w:rsid w:val="00D007CB"/>
    <w:rsid w:val="00D0224A"/>
    <w:rsid w:val="00D02653"/>
    <w:rsid w:val="00D02AEB"/>
    <w:rsid w:val="00D03094"/>
    <w:rsid w:val="00D0378D"/>
    <w:rsid w:val="00D042E3"/>
    <w:rsid w:val="00D04D2A"/>
    <w:rsid w:val="00D06126"/>
    <w:rsid w:val="00D0687A"/>
    <w:rsid w:val="00D06AF0"/>
    <w:rsid w:val="00D06E52"/>
    <w:rsid w:val="00D06E72"/>
    <w:rsid w:val="00D070AF"/>
    <w:rsid w:val="00D075ED"/>
    <w:rsid w:val="00D07E62"/>
    <w:rsid w:val="00D101FC"/>
    <w:rsid w:val="00D1073C"/>
    <w:rsid w:val="00D10F1F"/>
    <w:rsid w:val="00D1195C"/>
    <w:rsid w:val="00D11998"/>
    <w:rsid w:val="00D12019"/>
    <w:rsid w:val="00D12083"/>
    <w:rsid w:val="00D1314D"/>
    <w:rsid w:val="00D13161"/>
    <w:rsid w:val="00D13B66"/>
    <w:rsid w:val="00D14810"/>
    <w:rsid w:val="00D14822"/>
    <w:rsid w:val="00D14853"/>
    <w:rsid w:val="00D15025"/>
    <w:rsid w:val="00D15081"/>
    <w:rsid w:val="00D15090"/>
    <w:rsid w:val="00D15950"/>
    <w:rsid w:val="00D161C8"/>
    <w:rsid w:val="00D169F1"/>
    <w:rsid w:val="00D16EB7"/>
    <w:rsid w:val="00D17401"/>
    <w:rsid w:val="00D17D95"/>
    <w:rsid w:val="00D17FA2"/>
    <w:rsid w:val="00D20381"/>
    <w:rsid w:val="00D20BA1"/>
    <w:rsid w:val="00D20FF2"/>
    <w:rsid w:val="00D215DE"/>
    <w:rsid w:val="00D2182A"/>
    <w:rsid w:val="00D21FD7"/>
    <w:rsid w:val="00D226E3"/>
    <w:rsid w:val="00D22B17"/>
    <w:rsid w:val="00D22C88"/>
    <w:rsid w:val="00D2313D"/>
    <w:rsid w:val="00D23184"/>
    <w:rsid w:val="00D231D5"/>
    <w:rsid w:val="00D244DA"/>
    <w:rsid w:val="00D24676"/>
    <w:rsid w:val="00D24D06"/>
    <w:rsid w:val="00D24FEB"/>
    <w:rsid w:val="00D250C1"/>
    <w:rsid w:val="00D2635B"/>
    <w:rsid w:val="00D26A6A"/>
    <w:rsid w:val="00D271C6"/>
    <w:rsid w:val="00D27AF4"/>
    <w:rsid w:val="00D27BF1"/>
    <w:rsid w:val="00D27CB0"/>
    <w:rsid w:val="00D30551"/>
    <w:rsid w:val="00D3080A"/>
    <w:rsid w:val="00D30DFA"/>
    <w:rsid w:val="00D322ED"/>
    <w:rsid w:val="00D32703"/>
    <w:rsid w:val="00D327E6"/>
    <w:rsid w:val="00D32DE7"/>
    <w:rsid w:val="00D33096"/>
    <w:rsid w:val="00D33A2B"/>
    <w:rsid w:val="00D345F0"/>
    <w:rsid w:val="00D34624"/>
    <w:rsid w:val="00D34A32"/>
    <w:rsid w:val="00D34F0F"/>
    <w:rsid w:val="00D35661"/>
    <w:rsid w:val="00D357EC"/>
    <w:rsid w:val="00D35B5D"/>
    <w:rsid w:val="00D35EDE"/>
    <w:rsid w:val="00D3651F"/>
    <w:rsid w:val="00D376CF"/>
    <w:rsid w:val="00D378F6"/>
    <w:rsid w:val="00D37BAE"/>
    <w:rsid w:val="00D37E60"/>
    <w:rsid w:val="00D37E7B"/>
    <w:rsid w:val="00D37F51"/>
    <w:rsid w:val="00D40290"/>
    <w:rsid w:val="00D4082E"/>
    <w:rsid w:val="00D40A18"/>
    <w:rsid w:val="00D40CB1"/>
    <w:rsid w:val="00D40D69"/>
    <w:rsid w:val="00D411DC"/>
    <w:rsid w:val="00D41D1E"/>
    <w:rsid w:val="00D41E68"/>
    <w:rsid w:val="00D42337"/>
    <w:rsid w:val="00D42998"/>
    <w:rsid w:val="00D429C9"/>
    <w:rsid w:val="00D42E10"/>
    <w:rsid w:val="00D43AFF"/>
    <w:rsid w:val="00D44504"/>
    <w:rsid w:val="00D4463E"/>
    <w:rsid w:val="00D44E32"/>
    <w:rsid w:val="00D46175"/>
    <w:rsid w:val="00D46449"/>
    <w:rsid w:val="00D469A6"/>
    <w:rsid w:val="00D46DB2"/>
    <w:rsid w:val="00D477D9"/>
    <w:rsid w:val="00D47AF1"/>
    <w:rsid w:val="00D50616"/>
    <w:rsid w:val="00D522E2"/>
    <w:rsid w:val="00D52671"/>
    <w:rsid w:val="00D52BB2"/>
    <w:rsid w:val="00D530D9"/>
    <w:rsid w:val="00D53B4F"/>
    <w:rsid w:val="00D54715"/>
    <w:rsid w:val="00D554FB"/>
    <w:rsid w:val="00D5565A"/>
    <w:rsid w:val="00D5577C"/>
    <w:rsid w:val="00D558F0"/>
    <w:rsid w:val="00D55993"/>
    <w:rsid w:val="00D55E7F"/>
    <w:rsid w:val="00D561CE"/>
    <w:rsid w:val="00D5662F"/>
    <w:rsid w:val="00D56654"/>
    <w:rsid w:val="00D56D24"/>
    <w:rsid w:val="00D56EE7"/>
    <w:rsid w:val="00D57EBA"/>
    <w:rsid w:val="00D606D2"/>
    <w:rsid w:val="00D60B5F"/>
    <w:rsid w:val="00D6158F"/>
    <w:rsid w:val="00D61C48"/>
    <w:rsid w:val="00D623F7"/>
    <w:rsid w:val="00D626B8"/>
    <w:rsid w:val="00D62D38"/>
    <w:rsid w:val="00D62E1C"/>
    <w:rsid w:val="00D641E9"/>
    <w:rsid w:val="00D642B0"/>
    <w:rsid w:val="00D649C9"/>
    <w:rsid w:val="00D649D2"/>
    <w:rsid w:val="00D64C0C"/>
    <w:rsid w:val="00D64E75"/>
    <w:rsid w:val="00D64F4C"/>
    <w:rsid w:val="00D65C17"/>
    <w:rsid w:val="00D66016"/>
    <w:rsid w:val="00D663A0"/>
    <w:rsid w:val="00D664F0"/>
    <w:rsid w:val="00D6665C"/>
    <w:rsid w:val="00D66945"/>
    <w:rsid w:val="00D672FF"/>
    <w:rsid w:val="00D6781E"/>
    <w:rsid w:val="00D678F7"/>
    <w:rsid w:val="00D67B68"/>
    <w:rsid w:val="00D67DE4"/>
    <w:rsid w:val="00D707D8"/>
    <w:rsid w:val="00D7126D"/>
    <w:rsid w:val="00D717B7"/>
    <w:rsid w:val="00D719CD"/>
    <w:rsid w:val="00D71BD6"/>
    <w:rsid w:val="00D722D7"/>
    <w:rsid w:val="00D725B2"/>
    <w:rsid w:val="00D727E2"/>
    <w:rsid w:val="00D72A52"/>
    <w:rsid w:val="00D72BDB"/>
    <w:rsid w:val="00D74380"/>
    <w:rsid w:val="00D75008"/>
    <w:rsid w:val="00D75110"/>
    <w:rsid w:val="00D7586B"/>
    <w:rsid w:val="00D75895"/>
    <w:rsid w:val="00D76152"/>
    <w:rsid w:val="00D762D2"/>
    <w:rsid w:val="00D765DD"/>
    <w:rsid w:val="00D76782"/>
    <w:rsid w:val="00D7788B"/>
    <w:rsid w:val="00D77D4E"/>
    <w:rsid w:val="00D77E21"/>
    <w:rsid w:val="00D8087B"/>
    <w:rsid w:val="00D8112B"/>
    <w:rsid w:val="00D812CE"/>
    <w:rsid w:val="00D81523"/>
    <w:rsid w:val="00D8163A"/>
    <w:rsid w:val="00D81F8E"/>
    <w:rsid w:val="00D82222"/>
    <w:rsid w:val="00D8255D"/>
    <w:rsid w:val="00D82756"/>
    <w:rsid w:val="00D8287A"/>
    <w:rsid w:val="00D82B81"/>
    <w:rsid w:val="00D82FC4"/>
    <w:rsid w:val="00D831AB"/>
    <w:rsid w:val="00D85228"/>
    <w:rsid w:val="00D853DA"/>
    <w:rsid w:val="00D85624"/>
    <w:rsid w:val="00D85DCA"/>
    <w:rsid w:val="00D861E2"/>
    <w:rsid w:val="00D86401"/>
    <w:rsid w:val="00D8673E"/>
    <w:rsid w:val="00D87339"/>
    <w:rsid w:val="00D875FC"/>
    <w:rsid w:val="00D87B7D"/>
    <w:rsid w:val="00D90005"/>
    <w:rsid w:val="00D9022E"/>
    <w:rsid w:val="00D9023B"/>
    <w:rsid w:val="00D9030A"/>
    <w:rsid w:val="00D9030F"/>
    <w:rsid w:val="00D904EF"/>
    <w:rsid w:val="00D91871"/>
    <w:rsid w:val="00D91D01"/>
    <w:rsid w:val="00D91D6D"/>
    <w:rsid w:val="00D9324F"/>
    <w:rsid w:val="00D93343"/>
    <w:rsid w:val="00D93AE2"/>
    <w:rsid w:val="00D941C7"/>
    <w:rsid w:val="00D947C5"/>
    <w:rsid w:val="00D94E87"/>
    <w:rsid w:val="00D955C7"/>
    <w:rsid w:val="00D96A57"/>
    <w:rsid w:val="00D9770E"/>
    <w:rsid w:val="00D97C6E"/>
    <w:rsid w:val="00DA017D"/>
    <w:rsid w:val="00DA07A1"/>
    <w:rsid w:val="00DA0F7A"/>
    <w:rsid w:val="00DA14A7"/>
    <w:rsid w:val="00DA154D"/>
    <w:rsid w:val="00DA1B26"/>
    <w:rsid w:val="00DA2453"/>
    <w:rsid w:val="00DA24D7"/>
    <w:rsid w:val="00DA2D6E"/>
    <w:rsid w:val="00DA316A"/>
    <w:rsid w:val="00DA32D9"/>
    <w:rsid w:val="00DA3442"/>
    <w:rsid w:val="00DA3960"/>
    <w:rsid w:val="00DA4175"/>
    <w:rsid w:val="00DA438C"/>
    <w:rsid w:val="00DA43D8"/>
    <w:rsid w:val="00DA4E01"/>
    <w:rsid w:val="00DA5AE4"/>
    <w:rsid w:val="00DA5BB0"/>
    <w:rsid w:val="00DA5CEB"/>
    <w:rsid w:val="00DA62A1"/>
    <w:rsid w:val="00DA6DF8"/>
    <w:rsid w:val="00DA6EB2"/>
    <w:rsid w:val="00DA701C"/>
    <w:rsid w:val="00DA77FF"/>
    <w:rsid w:val="00DA7B30"/>
    <w:rsid w:val="00DA7B41"/>
    <w:rsid w:val="00DB02B4"/>
    <w:rsid w:val="00DB0501"/>
    <w:rsid w:val="00DB0D55"/>
    <w:rsid w:val="00DB0DF3"/>
    <w:rsid w:val="00DB11E1"/>
    <w:rsid w:val="00DB15EE"/>
    <w:rsid w:val="00DB174C"/>
    <w:rsid w:val="00DB2EEB"/>
    <w:rsid w:val="00DB3823"/>
    <w:rsid w:val="00DB3CF5"/>
    <w:rsid w:val="00DB3DDF"/>
    <w:rsid w:val="00DB3E5E"/>
    <w:rsid w:val="00DB4CDD"/>
    <w:rsid w:val="00DB4D73"/>
    <w:rsid w:val="00DB4E9F"/>
    <w:rsid w:val="00DB5714"/>
    <w:rsid w:val="00DB5FD6"/>
    <w:rsid w:val="00DB61C6"/>
    <w:rsid w:val="00DB62BA"/>
    <w:rsid w:val="00DB62C5"/>
    <w:rsid w:val="00DB6506"/>
    <w:rsid w:val="00DB6968"/>
    <w:rsid w:val="00DB6A48"/>
    <w:rsid w:val="00DB6E19"/>
    <w:rsid w:val="00DB77ED"/>
    <w:rsid w:val="00DC054A"/>
    <w:rsid w:val="00DC0FB7"/>
    <w:rsid w:val="00DC1001"/>
    <w:rsid w:val="00DC181B"/>
    <w:rsid w:val="00DC1A77"/>
    <w:rsid w:val="00DC1C6E"/>
    <w:rsid w:val="00DC24A3"/>
    <w:rsid w:val="00DC262C"/>
    <w:rsid w:val="00DC2973"/>
    <w:rsid w:val="00DC2A23"/>
    <w:rsid w:val="00DC2AEF"/>
    <w:rsid w:val="00DC3102"/>
    <w:rsid w:val="00DC316A"/>
    <w:rsid w:val="00DC3953"/>
    <w:rsid w:val="00DC3CD2"/>
    <w:rsid w:val="00DC465C"/>
    <w:rsid w:val="00DC4C5D"/>
    <w:rsid w:val="00DC4CEB"/>
    <w:rsid w:val="00DC5532"/>
    <w:rsid w:val="00DC58E4"/>
    <w:rsid w:val="00DC5E52"/>
    <w:rsid w:val="00DC5F47"/>
    <w:rsid w:val="00DC5FBB"/>
    <w:rsid w:val="00DC658E"/>
    <w:rsid w:val="00DC65BF"/>
    <w:rsid w:val="00DC69EC"/>
    <w:rsid w:val="00DC6D2D"/>
    <w:rsid w:val="00DC7016"/>
    <w:rsid w:val="00DC7893"/>
    <w:rsid w:val="00DC7D17"/>
    <w:rsid w:val="00DD0914"/>
    <w:rsid w:val="00DD0B57"/>
    <w:rsid w:val="00DD171C"/>
    <w:rsid w:val="00DD1873"/>
    <w:rsid w:val="00DD1D3F"/>
    <w:rsid w:val="00DD1DCE"/>
    <w:rsid w:val="00DD2179"/>
    <w:rsid w:val="00DD24BC"/>
    <w:rsid w:val="00DD2A9C"/>
    <w:rsid w:val="00DD2EDB"/>
    <w:rsid w:val="00DD301B"/>
    <w:rsid w:val="00DD314C"/>
    <w:rsid w:val="00DD3399"/>
    <w:rsid w:val="00DD3968"/>
    <w:rsid w:val="00DD4129"/>
    <w:rsid w:val="00DD4429"/>
    <w:rsid w:val="00DD4916"/>
    <w:rsid w:val="00DD50DE"/>
    <w:rsid w:val="00DD5213"/>
    <w:rsid w:val="00DD5406"/>
    <w:rsid w:val="00DD63A4"/>
    <w:rsid w:val="00DD71B7"/>
    <w:rsid w:val="00DD7735"/>
    <w:rsid w:val="00DD7A30"/>
    <w:rsid w:val="00DD7A6A"/>
    <w:rsid w:val="00DE0030"/>
    <w:rsid w:val="00DE028E"/>
    <w:rsid w:val="00DE0299"/>
    <w:rsid w:val="00DE034A"/>
    <w:rsid w:val="00DE05BC"/>
    <w:rsid w:val="00DE0A36"/>
    <w:rsid w:val="00DE1727"/>
    <w:rsid w:val="00DE1895"/>
    <w:rsid w:val="00DE1BFF"/>
    <w:rsid w:val="00DE2B89"/>
    <w:rsid w:val="00DE39EB"/>
    <w:rsid w:val="00DE3EA1"/>
    <w:rsid w:val="00DE400D"/>
    <w:rsid w:val="00DE65FE"/>
    <w:rsid w:val="00DE7667"/>
    <w:rsid w:val="00DE7A0D"/>
    <w:rsid w:val="00DF03AD"/>
    <w:rsid w:val="00DF0B5D"/>
    <w:rsid w:val="00DF0B95"/>
    <w:rsid w:val="00DF1521"/>
    <w:rsid w:val="00DF1F2E"/>
    <w:rsid w:val="00DF223C"/>
    <w:rsid w:val="00DF22FC"/>
    <w:rsid w:val="00DF27E5"/>
    <w:rsid w:val="00DF2A37"/>
    <w:rsid w:val="00DF31BF"/>
    <w:rsid w:val="00DF46CA"/>
    <w:rsid w:val="00DF49AF"/>
    <w:rsid w:val="00DF49CC"/>
    <w:rsid w:val="00DF526E"/>
    <w:rsid w:val="00DF53EB"/>
    <w:rsid w:val="00DF6585"/>
    <w:rsid w:val="00DF67DB"/>
    <w:rsid w:val="00DF6BC2"/>
    <w:rsid w:val="00E0191A"/>
    <w:rsid w:val="00E01A38"/>
    <w:rsid w:val="00E02018"/>
    <w:rsid w:val="00E02A09"/>
    <w:rsid w:val="00E02D0D"/>
    <w:rsid w:val="00E02E35"/>
    <w:rsid w:val="00E02EF6"/>
    <w:rsid w:val="00E02F61"/>
    <w:rsid w:val="00E0492F"/>
    <w:rsid w:val="00E05F8B"/>
    <w:rsid w:val="00E06150"/>
    <w:rsid w:val="00E06285"/>
    <w:rsid w:val="00E068D3"/>
    <w:rsid w:val="00E07121"/>
    <w:rsid w:val="00E076CA"/>
    <w:rsid w:val="00E0789C"/>
    <w:rsid w:val="00E07C2D"/>
    <w:rsid w:val="00E07DBF"/>
    <w:rsid w:val="00E10168"/>
    <w:rsid w:val="00E1054D"/>
    <w:rsid w:val="00E11304"/>
    <w:rsid w:val="00E11456"/>
    <w:rsid w:val="00E1182D"/>
    <w:rsid w:val="00E11A21"/>
    <w:rsid w:val="00E12127"/>
    <w:rsid w:val="00E13272"/>
    <w:rsid w:val="00E1352E"/>
    <w:rsid w:val="00E1380D"/>
    <w:rsid w:val="00E13AF6"/>
    <w:rsid w:val="00E13C5D"/>
    <w:rsid w:val="00E1429A"/>
    <w:rsid w:val="00E1439F"/>
    <w:rsid w:val="00E144BF"/>
    <w:rsid w:val="00E149B1"/>
    <w:rsid w:val="00E14C80"/>
    <w:rsid w:val="00E1500E"/>
    <w:rsid w:val="00E15115"/>
    <w:rsid w:val="00E15632"/>
    <w:rsid w:val="00E15D77"/>
    <w:rsid w:val="00E16016"/>
    <w:rsid w:val="00E16638"/>
    <w:rsid w:val="00E16C2F"/>
    <w:rsid w:val="00E1715B"/>
    <w:rsid w:val="00E178F0"/>
    <w:rsid w:val="00E17AB7"/>
    <w:rsid w:val="00E21E04"/>
    <w:rsid w:val="00E21EEF"/>
    <w:rsid w:val="00E22D36"/>
    <w:rsid w:val="00E23A9D"/>
    <w:rsid w:val="00E23DDB"/>
    <w:rsid w:val="00E23DDD"/>
    <w:rsid w:val="00E23FCC"/>
    <w:rsid w:val="00E2425B"/>
    <w:rsid w:val="00E24F8A"/>
    <w:rsid w:val="00E25A3E"/>
    <w:rsid w:val="00E26FB8"/>
    <w:rsid w:val="00E30D87"/>
    <w:rsid w:val="00E313D8"/>
    <w:rsid w:val="00E315D0"/>
    <w:rsid w:val="00E31876"/>
    <w:rsid w:val="00E31C42"/>
    <w:rsid w:val="00E324ED"/>
    <w:rsid w:val="00E3350F"/>
    <w:rsid w:val="00E33C38"/>
    <w:rsid w:val="00E33C54"/>
    <w:rsid w:val="00E33CAF"/>
    <w:rsid w:val="00E3430E"/>
    <w:rsid w:val="00E34916"/>
    <w:rsid w:val="00E349C9"/>
    <w:rsid w:val="00E34E5A"/>
    <w:rsid w:val="00E34F3B"/>
    <w:rsid w:val="00E35039"/>
    <w:rsid w:val="00E3576B"/>
    <w:rsid w:val="00E35D01"/>
    <w:rsid w:val="00E35E58"/>
    <w:rsid w:val="00E3618F"/>
    <w:rsid w:val="00E36705"/>
    <w:rsid w:val="00E36A22"/>
    <w:rsid w:val="00E36F14"/>
    <w:rsid w:val="00E3719F"/>
    <w:rsid w:val="00E3797C"/>
    <w:rsid w:val="00E37B0A"/>
    <w:rsid w:val="00E37B2E"/>
    <w:rsid w:val="00E4073A"/>
    <w:rsid w:val="00E40B89"/>
    <w:rsid w:val="00E4161B"/>
    <w:rsid w:val="00E41ABB"/>
    <w:rsid w:val="00E430D8"/>
    <w:rsid w:val="00E43880"/>
    <w:rsid w:val="00E4517F"/>
    <w:rsid w:val="00E451CC"/>
    <w:rsid w:val="00E452BA"/>
    <w:rsid w:val="00E453DD"/>
    <w:rsid w:val="00E4549A"/>
    <w:rsid w:val="00E45923"/>
    <w:rsid w:val="00E459D9"/>
    <w:rsid w:val="00E45F55"/>
    <w:rsid w:val="00E46433"/>
    <w:rsid w:val="00E4644C"/>
    <w:rsid w:val="00E46692"/>
    <w:rsid w:val="00E467D7"/>
    <w:rsid w:val="00E46FA6"/>
    <w:rsid w:val="00E50628"/>
    <w:rsid w:val="00E507F3"/>
    <w:rsid w:val="00E510AA"/>
    <w:rsid w:val="00E51673"/>
    <w:rsid w:val="00E51854"/>
    <w:rsid w:val="00E51BD5"/>
    <w:rsid w:val="00E52359"/>
    <w:rsid w:val="00E53E9F"/>
    <w:rsid w:val="00E548B2"/>
    <w:rsid w:val="00E54AF0"/>
    <w:rsid w:val="00E54B3D"/>
    <w:rsid w:val="00E54CC0"/>
    <w:rsid w:val="00E54DA4"/>
    <w:rsid w:val="00E55432"/>
    <w:rsid w:val="00E55495"/>
    <w:rsid w:val="00E55EFD"/>
    <w:rsid w:val="00E5618D"/>
    <w:rsid w:val="00E5659F"/>
    <w:rsid w:val="00E56C1D"/>
    <w:rsid w:val="00E56EA7"/>
    <w:rsid w:val="00E571F3"/>
    <w:rsid w:val="00E5741E"/>
    <w:rsid w:val="00E575A5"/>
    <w:rsid w:val="00E57C9B"/>
    <w:rsid w:val="00E60B79"/>
    <w:rsid w:val="00E6105D"/>
    <w:rsid w:val="00E61BF1"/>
    <w:rsid w:val="00E61E08"/>
    <w:rsid w:val="00E62241"/>
    <w:rsid w:val="00E626FA"/>
    <w:rsid w:val="00E6275E"/>
    <w:rsid w:val="00E62A32"/>
    <w:rsid w:val="00E63763"/>
    <w:rsid w:val="00E63A54"/>
    <w:rsid w:val="00E63C81"/>
    <w:rsid w:val="00E63ED3"/>
    <w:rsid w:val="00E63F2C"/>
    <w:rsid w:val="00E644C1"/>
    <w:rsid w:val="00E64EBA"/>
    <w:rsid w:val="00E65F69"/>
    <w:rsid w:val="00E6615C"/>
    <w:rsid w:val="00E66464"/>
    <w:rsid w:val="00E6679B"/>
    <w:rsid w:val="00E66BD1"/>
    <w:rsid w:val="00E66D20"/>
    <w:rsid w:val="00E66E4B"/>
    <w:rsid w:val="00E677E2"/>
    <w:rsid w:val="00E70075"/>
    <w:rsid w:val="00E70250"/>
    <w:rsid w:val="00E70493"/>
    <w:rsid w:val="00E7072C"/>
    <w:rsid w:val="00E707CC"/>
    <w:rsid w:val="00E709B3"/>
    <w:rsid w:val="00E70DFB"/>
    <w:rsid w:val="00E71675"/>
    <w:rsid w:val="00E718EB"/>
    <w:rsid w:val="00E72250"/>
    <w:rsid w:val="00E72474"/>
    <w:rsid w:val="00E727FA"/>
    <w:rsid w:val="00E72824"/>
    <w:rsid w:val="00E72B75"/>
    <w:rsid w:val="00E73427"/>
    <w:rsid w:val="00E7400C"/>
    <w:rsid w:val="00E7447A"/>
    <w:rsid w:val="00E74878"/>
    <w:rsid w:val="00E74F68"/>
    <w:rsid w:val="00E74FEF"/>
    <w:rsid w:val="00E75186"/>
    <w:rsid w:val="00E757FA"/>
    <w:rsid w:val="00E7671F"/>
    <w:rsid w:val="00E767DE"/>
    <w:rsid w:val="00E76E54"/>
    <w:rsid w:val="00E77876"/>
    <w:rsid w:val="00E77FEE"/>
    <w:rsid w:val="00E8010A"/>
    <w:rsid w:val="00E80128"/>
    <w:rsid w:val="00E81642"/>
    <w:rsid w:val="00E821AF"/>
    <w:rsid w:val="00E82517"/>
    <w:rsid w:val="00E825C2"/>
    <w:rsid w:val="00E8274F"/>
    <w:rsid w:val="00E82815"/>
    <w:rsid w:val="00E8450B"/>
    <w:rsid w:val="00E84798"/>
    <w:rsid w:val="00E84E4D"/>
    <w:rsid w:val="00E84EB7"/>
    <w:rsid w:val="00E8563D"/>
    <w:rsid w:val="00E86250"/>
    <w:rsid w:val="00E86767"/>
    <w:rsid w:val="00E86A13"/>
    <w:rsid w:val="00E87374"/>
    <w:rsid w:val="00E8762C"/>
    <w:rsid w:val="00E87E2B"/>
    <w:rsid w:val="00E9010B"/>
    <w:rsid w:val="00E90C5C"/>
    <w:rsid w:val="00E90D94"/>
    <w:rsid w:val="00E91834"/>
    <w:rsid w:val="00E91DB3"/>
    <w:rsid w:val="00E92614"/>
    <w:rsid w:val="00E92D63"/>
    <w:rsid w:val="00E931A9"/>
    <w:rsid w:val="00E934E0"/>
    <w:rsid w:val="00E93955"/>
    <w:rsid w:val="00E941E8"/>
    <w:rsid w:val="00E9495A"/>
    <w:rsid w:val="00E94E68"/>
    <w:rsid w:val="00E950CE"/>
    <w:rsid w:val="00E951AB"/>
    <w:rsid w:val="00E95334"/>
    <w:rsid w:val="00E95569"/>
    <w:rsid w:val="00E95A12"/>
    <w:rsid w:val="00E95F55"/>
    <w:rsid w:val="00E95F8A"/>
    <w:rsid w:val="00E9687B"/>
    <w:rsid w:val="00E968C2"/>
    <w:rsid w:val="00E96E3E"/>
    <w:rsid w:val="00E972EF"/>
    <w:rsid w:val="00E97571"/>
    <w:rsid w:val="00EA089F"/>
    <w:rsid w:val="00EA10A8"/>
    <w:rsid w:val="00EA1946"/>
    <w:rsid w:val="00EA1B9B"/>
    <w:rsid w:val="00EA1BBF"/>
    <w:rsid w:val="00EA1F53"/>
    <w:rsid w:val="00EA26E3"/>
    <w:rsid w:val="00EA2A39"/>
    <w:rsid w:val="00EA2BB5"/>
    <w:rsid w:val="00EA2F75"/>
    <w:rsid w:val="00EA30E4"/>
    <w:rsid w:val="00EA3635"/>
    <w:rsid w:val="00EA3A46"/>
    <w:rsid w:val="00EA3F0D"/>
    <w:rsid w:val="00EA4660"/>
    <w:rsid w:val="00EA59CC"/>
    <w:rsid w:val="00EA59E0"/>
    <w:rsid w:val="00EA5ADD"/>
    <w:rsid w:val="00EA5B3D"/>
    <w:rsid w:val="00EA5D6D"/>
    <w:rsid w:val="00EA6176"/>
    <w:rsid w:val="00EA633D"/>
    <w:rsid w:val="00EA6811"/>
    <w:rsid w:val="00EA6F21"/>
    <w:rsid w:val="00EA705A"/>
    <w:rsid w:val="00EA711D"/>
    <w:rsid w:val="00EA745E"/>
    <w:rsid w:val="00EB0143"/>
    <w:rsid w:val="00EB0C68"/>
    <w:rsid w:val="00EB1445"/>
    <w:rsid w:val="00EB148B"/>
    <w:rsid w:val="00EB1CA5"/>
    <w:rsid w:val="00EB1F81"/>
    <w:rsid w:val="00EB23E4"/>
    <w:rsid w:val="00EB27D5"/>
    <w:rsid w:val="00EB27F3"/>
    <w:rsid w:val="00EB28F8"/>
    <w:rsid w:val="00EB29FD"/>
    <w:rsid w:val="00EB2BD9"/>
    <w:rsid w:val="00EB2F2B"/>
    <w:rsid w:val="00EB3574"/>
    <w:rsid w:val="00EB54ED"/>
    <w:rsid w:val="00EB5A68"/>
    <w:rsid w:val="00EB61BF"/>
    <w:rsid w:val="00EB72E8"/>
    <w:rsid w:val="00EB735F"/>
    <w:rsid w:val="00EB73AD"/>
    <w:rsid w:val="00EB73CE"/>
    <w:rsid w:val="00EB7C96"/>
    <w:rsid w:val="00EC05D9"/>
    <w:rsid w:val="00EC12DB"/>
    <w:rsid w:val="00EC14C9"/>
    <w:rsid w:val="00EC16BF"/>
    <w:rsid w:val="00EC1A3B"/>
    <w:rsid w:val="00EC1B08"/>
    <w:rsid w:val="00EC287C"/>
    <w:rsid w:val="00EC28D6"/>
    <w:rsid w:val="00EC2DDF"/>
    <w:rsid w:val="00EC3127"/>
    <w:rsid w:val="00EC34CF"/>
    <w:rsid w:val="00EC3A25"/>
    <w:rsid w:val="00EC4442"/>
    <w:rsid w:val="00EC4484"/>
    <w:rsid w:val="00EC4649"/>
    <w:rsid w:val="00EC4B50"/>
    <w:rsid w:val="00EC5AD0"/>
    <w:rsid w:val="00EC5F5E"/>
    <w:rsid w:val="00EC6DCD"/>
    <w:rsid w:val="00EC6E13"/>
    <w:rsid w:val="00EC718E"/>
    <w:rsid w:val="00ED0AA9"/>
    <w:rsid w:val="00ED0ED9"/>
    <w:rsid w:val="00ED129F"/>
    <w:rsid w:val="00ED1643"/>
    <w:rsid w:val="00ED1D4A"/>
    <w:rsid w:val="00ED1F1E"/>
    <w:rsid w:val="00ED233F"/>
    <w:rsid w:val="00ED286B"/>
    <w:rsid w:val="00ED3468"/>
    <w:rsid w:val="00ED3497"/>
    <w:rsid w:val="00ED398F"/>
    <w:rsid w:val="00ED3AD7"/>
    <w:rsid w:val="00ED3B4B"/>
    <w:rsid w:val="00ED41A5"/>
    <w:rsid w:val="00ED44AA"/>
    <w:rsid w:val="00ED4582"/>
    <w:rsid w:val="00ED4A7C"/>
    <w:rsid w:val="00ED4F3D"/>
    <w:rsid w:val="00ED62E9"/>
    <w:rsid w:val="00ED639A"/>
    <w:rsid w:val="00ED6ADB"/>
    <w:rsid w:val="00ED6D88"/>
    <w:rsid w:val="00ED6D9F"/>
    <w:rsid w:val="00ED6FA2"/>
    <w:rsid w:val="00ED6FCD"/>
    <w:rsid w:val="00ED7901"/>
    <w:rsid w:val="00EE0ED4"/>
    <w:rsid w:val="00EE17F6"/>
    <w:rsid w:val="00EE1B2A"/>
    <w:rsid w:val="00EE1D5E"/>
    <w:rsid w:val="00EE1E9B"/>
    <w:rsid w:val="00EE2AEF"/>
    <w:rsid w:val="00EE31AF"/>
    <w:rsid w:val="00EE34D0"/>
    <w:rsid w:val="00EE3B9C"/>
    <w:rsid w:val="00EE440E"/>
    <w:rsid w:val="00EE4B9E"/>
    <w:rsid w:val="00EE4BF4"/>
    <w:rsid w:val="00EE4D89"/>
    <w:rsid w:val="00EE5108"/>
    <w:rsid w:val="00EE55D0"/>
    <w:rsid w:val="00EE6152"/>
    <w:rsid w:val="00EE637E"/>
    <w:rsid w:val="00EE7126"/>
    <w:rsid w:val="00EE7D63"/>
    <w:rsid w:val="00EE7F54"/>
    <w:rsid w:val="00EF0260"/>
    <w:rsid w:val="00EF027A"/>
    <w:rsid w:val="00EF0416"/>
    <w:rsid w:val="00EF0702"/>
    <w:rsid w:val="00EF07C2"/>
    <w:rsid w:val="00EF0DF3"/>
    <w:rsid w:val="00EF0E65"/>
    <w:rsid w:val="00EF14AA"/>
    <w:rsid w:val="00EF2595"/>
    <w:rsid w:val="00EF276F"/>
    <w:rsid w:val="00EF293D"/>
    <w:rsid w:val="00EF33B8"/>
    <w:rsid w:val="00EF38FC"/>
    <w:rsid w:val="00EF3D2A"/>
    <w:rsid w:val="00EF5910"/>
    <w:rsid w:val="00EF6801"/>
    <w:rsid w:val="00EF6ABE"/>
    <w:rsid w:val="00EF70B4"/>
    <w:rsid w:val="00EF7251"/>
    <w:rsid w:val="00EF7511"/>
    <w:rsid w:val="00F00AD3"/>
    <w:rsid w:val="00F01497"/>
    <w:rsid w:val="00F01EAA"/>
    <w:rsid w:val="00F025B7"/>
    <w:rsid w:val="00F027B7"/>
    <w:rsid w:val="00F02897"/>
    <w:rsid w:val="00F031E6"/>
    <w:rsid w:val="00F0436D"/>
    <w:rsid w:val="00F04A0F"/>
    <w:rsid w:val="00F04CC4"/>
    <w:rsid w:val="00F04D59"/>
    <w:rsid w:val="00F05689"/>
    <w:rsid w:val="00F058B2"/>
    <w:rsid w:val="00F06163"/>
    <w:rsid w:val="00F06A9B"/>
    <w:rsid w:val="00F100E6"/>
    <w:rsid w:val="00F1093F"/>
    <w:rsid w:val="00F10FD9"/>
    <w:rsid w:val="00F11A5C"/>
    <w:rsid w:val="00F1389E"/>
    <w:rsid w:val="00F14281"/>
    <w:rsid w:val="00F14999"/>
    <w:rsid w:val="00F14E84"/>
    <w:rsid w:val="00F169C1"/>
    <w:rsid w:val="00F16AD4"/>
    <w:rsid w:val="00F16F1F"/>
    <w:rsid w:val="00F171F8"/>
    <w:rsid w:val="00F17E1A"/>
    <w:rsid w:val="00F2007A"/>
    <w:rsid w:val="00F20323"/>
    <w:rsid w:val="00F20929"/>
    <w:rsid w:val="00F20A07"/>
    <w:rsid w:val="00F20A77"/>
    <w:rsid w:val="00F20F5D"/>
    <w:rsid w:val="00F20FBE"/>
    <w:rsid w:val="00F2117D"/>
    <w:rsid w:val="00F213BE"/>
    <w:rsid w:val="00F214A3"/>
    <w:rsid w:val="00F2163F"/>
    <w:rsid w:val="00F21A52"/>
    <w:rsid w:val="00F21ACE"/>
    <w:rsid w:val="00F21CE1"/>
    <w:rsid w:val="00F21DF4"/>
    <w:rsid w:val="00F223F1"/>
    <w:rsid w:val="00F2280C"/>
    <w:rsid w:val="00F2297F"/>
    <w:rsid w:val="00F229AC"/>
    <w:rsid w:val="00F22AA2"/>
    <w:rsid w:val="00F22ACC"/>
    <w:rsid w:val="00F22CBE"/>
    <w:rsid w:val="00F22D87"/>
    <w:rsid w:val="00F22F22"/>
    <w:rsid w:val="00F2344B"/>
    <w:rsid w:val="00F23A36"/>
    <w:rsid w:val="00F24664"/>
    <w:rsid w:val="00F25541"/>
    <w:rsid w:val="00F25563"/>
    <w:rsid w:val="00F2574F"/>
    <w:rsid w:val="00F259EC"/>
    <w:rsid w:val="00F260A2"/>
    <w:rsid w:val="00F27814"/>
    <w:rsid w:val="00F27E27"/>
    <w:rsid w:val="00F30018"/>
    <w:rsid w:val="00F30239"/>
    <w:rsid w:val="00F3046D"/>
    <w:rsid w:val="00F30F1C"/>
    <w:rsid w:val="00F30F6B"/>
    <w:rsid w:val="00F31409"/>
    <w:rsid w:val="00F318C7"/>
    <w:rsid w:val="00F319CF"/>
    <w:rsid w:val="00F32352"/>
    <w:rsid w:val="00F32357"/>
    <w:rsid w:val="00F329CE"/>
    <w:rsid w:val="00F32D06"/>
    <w:rsid w:val="00F333A9"/>
    <w:rsid w:val="00F334E3"/>
    <w:rsid w:val="00F3449C"/>
    <w:rsid w:val="00F34C3B"/>
    <w:rsid w:val="00F3502B"/>
    <w:rsid w:val="00F3549D"/>
    <w:rsid w:val="00F3569F"/>
    <w:rsid w:val="00F3577A"/>
    <w:rsid w:val="00F35B4B"/>
    <w:rsid w:val="00F35F53"/>
    <w:rsid w:val="00F361FE"/>
    <w:rsid w:val="00F36484"/>
    <w:rsid w:val="00F36659"/>
    <w:rsid w:val="00F36744"/>
    <w:rsid w:val="00F36CA1"/>
    <w:rsid w:val="00F3716C"/>
    <w:rsid w:val="00F3731B"/>
    <w:rsid w:val="00F375DB"/>
    <w:rsid w:val="00F377E3"/>
    <w:rsid w:val="00F37913"/>
    <w:rsid w:val="00F405E4"/>
    <w:rsid w:val="00F4064C"/>
    <w:rsid w:val="00F4087D"/>
    <w:rsid w:val="00F40B0A"/>
    <w:rsid w:val="00F40C13"/>
    <w:rsid w:val="00F40C24"/>
    <w:rsid w:val="00F42FF3"/>
    <w:rsid w:val="00F44180"/>
    <w:rsid w:val="00F44A9D"/>
    <w:rsid w:val="00F44C5C"/>
    <w:rsid w:val="00F4516E"/>
    <w:rsid w:val="00F45579"/>
    <w:rsid w:val="00F45BF1"/>
    <w:rsid w:val="00F460CE"/>
    <w:rsid w:val="00F46A28"/>
    <w:rsid w:val="00F47661"/>
    <w:rsid w:val="00F503F1"/>
    <w:rsid w:val="00F5062C"/>
    <w:rsid w:val="00F506E5"/>
    <w:rsid w:val="00F513FC"/>
    <w:rsid w:val="00F515BD"/>
    <w:rsid w:val="00F51821"/>
    <w:rsid w:val="00F51A9C"/>
    <w:rsid w:val="00F5227C"/>
    <w:rsid w:val="00F5281A"/>
    <w:rsid w:val="00F52EEE"/>
    <w:rsid w:val="00F52FCC"/>
    <w:rsid w:val="00F53AC6"/>
    <w:rsid w:val="00F54182"/>
    <w:rsid w:val="00F54586"/>
    <w:rsid w:val="00F5473C"/>
    <w:rsid w:val="00F554EE"/>
    <w:rsid w:val="00F55EEA"/>
    <w:rsid w:val="00F566E6"/>
    <w:rsid w:val="00F5697E"/>
    <w:rsid w:val="00F56AF1"/>
    <w:rsid w:val="00F57ECE"/>
    <w:rsid w:val="00F57F72"/>
    <w:rsid w:val="00F61574"/>
    <w:rsid w:val="00F62CEC"/>
    <w:rsid w:val="00F62FF1"/>
    <w:rsid w:val="00F63336"/>
    <w:rsid w:val="00F636A9"/>
    <w:rsid w:val="00F63DE0"/>
    <w:rsid w:val="00F647AF"/>
    <w:rsid w:val="00F647B4"/>
    <w:rsid w:val="00F6509B"/>
    <w:rsid w:val="00F650B0"/>
    <w:rsid w:val="00F652F4"/>
    <w:rsid w:val="00F654A1"/>
    <w:rsid w:val="00F65909"/>
    <w:rsid w:val="00F659DD"/>
    <w:rsid w:val="00F661E8"/>
    <w:rsid w:val="00F67040"/>
    <w:rsid w:val="00F670A4"/>
    <w:rsid w:val="00F6711E"/>
    <w:rsid w:val="00F67EB1"/>
    <w:rsid w:val="00F70EBC"/>
    <w:rsid w:val="00F723C7"/>
    <w:rsid w:val="00F724DE"/>
    <w:rsid w:val="00F72585"/>
    <w:rsid w:val="00F7274F"/>
    <w:rsid w:val="00F727E5"/>
    <w:rsid w:val="00F7290C"/>
    <w:rsid w:val="00F7323A"/>
    <w:rsid w:val="00F7323E"/>
    <w:rsid w:val="00F73A1E"/>
    <w:rsid w:val="00F73C5E"/>
    <w:rsid w:val="00F73D64"/>
    <w:rsid w:val="00F73DAB"/>
    <w:rsid w:val="00F74004"/>
    <w:rsid w:val="00F745B6"/>
    <w:rsid w:val="00F7472D"/>
    <w:rsid w:val="00F747A0"/>
    <w:rsid w:val="00F74E14"/>
    <w:rsid w:val="00F74F13"/>
    <w:rsid w:val="00F75229"/>
    <w:rsid w:val="00F7575C"/>
    <w:rsid w:val="00F75883"/>
    <w:rsid w:val="00F75B78"/>
    <w:rsid w:val="00F75F52"/>
    <w:rsid w:val="00F7664C"/>
    <w:rsid w:val="00F769D1"/>
    <w:rsid w:val="00F76B60"/>
    <w:rsid w:val="00F771B5"/>
    <w:rsid w:val="00F77999"/>
    <w:rsid w:val="00F806BD"/>
    <w:rsid w:val="00F80E9B"/>
    <w:rsid w:val="00F82C8D"/>
    <w:rsid w:val="00F8331A"/>
    <w:rsid w:val="00F833ED"/>
    <w:rsid w:val="00F83507"/>
    <w:rsid w:val="00F83742"/>
    <w:rsid w:val="00F83789"/>
    <w:rsid w:val="00F83E61"/>
    <w:rsid w:val="00F841CA"/>
    <w:rsid w:val="00F8524B"/>
    <w:rsid w:val="00F85AD3"/>
    <w:rsid w:val="00F8632C"/>
    <w:rsid w:val="00F8640F"/>
    <w:rsid w:val="00F86EA8"/>
    <w:rsid w:val="00F87049"/>
    <w:rsid w:val="00F87366"/>
    <w:rsid w:val="00F87693"/>
    <w:rsid w:val="00F900F6"/>
    <w:rsid w:val="00F904F1"/>
    <w:rsid w:val="00F907FA"/>
    <w:rsid w:val="00F90D85"/>
    <w:rsid w:val="00F91A9F"/>
    <w:rsid w:val="00F91D5B"/>
    <w:rsid w:val="00F91E2B"/>
    <w:rsid w:val="00F92CD2"/>
    <w:rsid w:val="00F92CDB"/>
    <w:rsid w:val="00F937B6"/>
    <w:rsid w:val="00F958F8"/>
    <w:rsid w:val="00F95C78"/>
    <w:rsid w:val="00F95E0E"/>
    <w:rsid w:val="00F95EF3"/>
    <w:rsid w:val="00F96730"/>
    <w:rsid w:val="00FA0604"/>
    <w:rsid w:val="00FA0826"/>
    <w:rsid w:val="00FA0BF8"/>
    <w:rsid w:val="00FA11FE"/>
    <w:rsid w:val="00FA164C"/>
    <w:rsid w:val="00FA186C"/>
    <w:rsid w:val="00FA1988"/>
    <w:rsid w:val="00FA1E9B"/>
    <w:rsid w:val="00FA2861"/>
    <w:rsid w:val="00FA2DC3"/>
    <w:rsid w:val="00FA3A75"/>
    <w:rsid w:val="00FA3F0F"/>
    <w:rsid w:val="00FA413E"/>
    <w:rsid w:val="00FA48C0"/>
    <w:rsid w:val="00FA4BE0"/>
    <w:rsid w:val="00FA53CE"/>
    <w:rsid w:val="00FA5C1E"/>
    <w:rsid w:val="00FA5CA8"/>
    <w:rsid w:val="00FA5F50"/>
    <w:rsid w:val="00FA65A3"/>
    <w:rsid w:val="00FA6F60"/>
    <w:rsid w:val="00FA7494"/>
    <w:rsid w:val="00FA7FD5"/>
    <w:rsid w:val="00FB00B2"/>
    <w:rsid w:val="00FB05E0"/>
    <w:rsid w:val="00FB0D6C"/>
    <w:rsid w:val="00FB0F8A"/>
    <w:rsid w:val="00FB10A9"/>
    <w:rsid w:val="00FB1BE4"/>
    <w:rsid w:val="00FB1F29"/>
    <w:rsid w:val="00FB2221"/>
    <w:rsid w:val="00FB2723"/>
    <w:rsid w:val="00FB2A9C"/>
    <w:rsid w:val="00FB3009"/>
    <w:rsid w:val="00FB3145"/>
    <w:rsid w:val="00FB3D35"/>
    <w:rsid w:val="00FB42F0"/>
    <w:rsid w:val="00FB4485"/>
    <w:rsid w:val="00FB4C23"/>
    <w:rsid w:val="00FB52A2"/>
    <w:rsid w:val="00FB5434"/>
    <w:rsid w:val="00FB553F"/>
    <w:rsid w:val="00FB5D1A"/>
    <w:rsid w:val="00FB6017"/>
    <w:rsid w:val="00FB6046"/>
    <w:rsid w:val="00FB68EF"/>
    <w:rsid w:val="00FB6C67"/>
    <w:rsid w:val="00FB6FE1"/>
    <w:rsid w:val="00FB7527"/>
    <w:rsid w:val="00FB7548"/>
    <w:rsid w:val="00FB7E5B"/>
    <w:rsid w:val="00FB7EBB"/>
    <w:rsid w:val="00FC0427"/>
    <w:rsid w:val="00FC161B"/>
    <w:rsid w:val="00FC1FCD"/>
    <w:rsid w:val="00FC2079"/>
    <w:rsid w:val="00FC25BB"/>
    <w:rsid w:val="00FC2CEB"/>
    <w:rsid w:val="00FC3177"/>
    <w:rsid w:val="00FC31D1"/>
    <w:rsid w:val="00FC3550"/>
    <w:rsid w:val="00FC38CF"/>
    <w:rsid w:val="00FC38F8"/>
    <w:rsid w:val="00FC4193"/>
    <w:rsid w:val="00FC4319"/>
    <w:rsid w:val="00FC4402"/>
    <w:rsid w:val="00FC4DE3"/>
    <w:rsid w:val="00FC513F"/>
    <w:rsid w:val="00FC5154"/>
    <w:rsid w:val="00FC55BD"/>
    <w:rsid w:val="00FC5CE9"/>
    <w:rsid w:val="00FC6083"/>
    <w:rsid w:val="00FC6681"/>
    <w:rsid w:val="00FC6F09"/>
    <w:rsid w:val="00FC72EE"/>
    <w:rsid w:val="00FC79E0"/>
    <w:rsid w:val="00FC7A61"/>
    <w:rsid w:val="00FC7BFE"/>
    <w:rsid w:val="00FC7EEE"/>
    <w:rsid w:val="00FD0167"/>
    <w:rsid w:val="00FD0281"/>
    <w:rsid w:val="00FD104C"/>
    <w:rsid w:val="00FD1248"/>
    <w:rsid w:val="00FD12D1"/>
    <w:rsid w:val="00FD17C4"/>
    <w:rsid w:val="00FD1A0D"/>
    <w:rsid w:val="00FD21D3"/>
    <w:rsid w:val="00FD22B6"/>
    <w:rsid w:val="00FD2F56"/>
    <w:rsid w:val="00FD3B84"/>
    <w:rsid w:val="00FD434C"/>
    <w:rsid w:val="00FD45CD"/>
    <w:rsid w:val="00FD4832"/>
    <w:rsid w:val="00FD4B3E"/>
    <w:rsid w:val="00FD4CE7"/>
    <w:rsid w:val="00FD4E96"/>
    <w:rsid w:val="00FD52C1"/>
    <w:rsid w:val="00FD5E04"/>
    <w:rsid w:val="00FD621F"/>
    <w:rsid w:val="00FD698C"/>
    <w:rsid w:val="00FD69C9"/>
    <w:rsid w:val="00FD700F"/>
    <w:rsid w:val="00FD7A24"/>
    <w:rsid w:val="00FD7A62"/>
    <w:rsid w:val="00FE0080"/>
    <w:rsid w:val="00FE018D"/>
    <w:rsid w:val="00FE1B8E"/>
    <w:rsid w:val="00FE23D3"/>
    <w:rsid w:val="00FE25CA"/>
    <w:rsid w:val="00FE2D2B"/>
    <w:rsid w:val="00FE3011"/>
    <w:rsid w:val="00FE31FB"/>
    <w:rsid w:val="00FE3810"/>
    <w:rsid w:val="00FE3B03"/>
    <w:rsid w:val="00FE3CD3"/>
    <w:rsid w:val="00FE3EFF"/>
    <w:rsid w:val="00FE4079"/>
    <w:rsid w:val="00FE49DA"/>
    <w:rsid w:val="00FE4AAF"/>
    <w:rsid w:val="00FE5AC6"/>
    <w:rsid w:val="00FE5AD8"/>
    <w:rsid w:val="00FE6432"/>
    <w:rsid w:val="00FE6CCE"/>
    <w:rsid w:val="00FE7826"/>
    <w:rsid w:val="00FE7832"/>
    <w:rsid w:val="00FE7989"/>
    <w:rsid w:val="00FF015A"/>
    <w:rsid w:val="00FF0202"/>
    <w:rsid w:val="00FF07F3"/>
    <w:rsid w:val="00FF0D93"/>
    <w:rsid w:val="00FF152F"/>
    <w:rsid w:val="00FF1F44"/>
    <w:rsid w:val="00FF2495"/>
    <w:rsid w:val="00FF2AE2"/>
    <w:rsid w:val="00FF2ED0"/>
    <w:rsid w:val="00FF3294"/>
    <w:rsid w:val="00FF3A4D"/>
    <w:rsid w:val="00FF3CE0"/>
    <w:rsid w:val="00FF401C"/>
    <w:rsid w:val="00FF4737"/>
    <w:rsid w:val="00FF54BC"/>
    <w:rsid w:val="00FF58C6"/>
    <w:rsid w:val="00FF5E2F"/>
    <w:rsid w:val="00FF6814"/>
    <w:rsid w:val="00FF6D18"/>
    <w:rsid w:val="00FF7263"/>
    <w:rsid w:val="00FF7350"/>
    <w:rsid w:val="00FF73D6"/>
    <w:rsid w:val="04BFD79E"/>
    <w:rsid w:val="0C4E6D84"/>
    <w:rsid w:val="0DA58419"/>
    <w:rsid w:val="103D6924"/>
    <w:rsid w:val="10935270"/>
    <w:rsid w:val="118D1FCF"/>
    <w:rsid w:val="1303582D"/>
    <w:rsid w:val="13BE2A8A"/>
    <w:rsid w:val="180D9C2A"/>
    <w:rsid w:val="190E0022"/>
    <w:rsid w:val="1B23E198"/>
    <w:rsid w:val="1B7411E9"/>
    <w:rsid w:val="1B938D45"/>
    <w:rsid w:val="1C7DC9EF"/>
    <w:rsid w:val="1C961D36"/>
    <w:rsid w:val="1D1C0122"/>
    <w:rsid w:val="1D534537"/>
    <w:rsid w:val="1DD0CAFF"/>
    <w:rsid w:val="1EF801DD"/>
    <w:rsid w:val="221F669B"/>
    <w:rsid w:val="239823CD"/>
    <w:rsid w:val="2501C6D8"/>
    <w:rsid w:val="25A87D92"/>
    <w:rsid w:val="28FC672A"/>
    <w:rsid w:val="2BC7B46E"/>
    <w:rsid w:val="2E1593AC"/>
    <w:rsid w:val="2EFBDCCF"/>
    <w:rsid w:val="30CD91F6"/>
    <w:rsid w:val="30F83198"/>
    <w:rsid w:val="315C5F1D"/>
    <w:rsid w:val="35E0FDA7"/>
    <w:rsid w:val="367248EB"/>
    <w:rsid w:val="3836B023"/>
    <w:rsid w:val="3F85EB2D"/>
    <w:rsid w:val="41822821"/>
    <w:rsid w:val="429A29FD"/>
    <w:rsid w:val="433A0348"/>
    <w:rsid w:val="45723BCE"/>
    <w:rsid w:val="47689972"/>
    <w:rsid w:val="4823E88C"/>
    <w:rsid w:val="48807FCC"/>
    <w:rsid w:val="4C58F58F"/>
    <w:rsid w:val="50819B87"/>
    <w:rsid w:val="520C1C81"/>
    <w:rsid w:val="52CDB386"/>
    <w:rsid w:val="59377897"/>
    <w:rsid w:val="5A028AAA"/>
    <w:rsid w:val="5FA6BA1B"/>
    <w:rsid w:val="5FB238EE"/>
    <w:rsid w:val="5FE4B33D"/>
    <w:rsid w:val="62D66D57"/>
    <w:rsid w:val="667124DE"/>
    <w:rsid w:val="676C9BC8"/>
    <w:rsid w:val="68D6EE50"/>
    <w:rsid w:val="70C9716B"/>
    <w:rsid w:val="75261FDF"/>
    <w:rsid w:val="752CBC63"/>
    <w:rsid w:val="7668C8FB"/>
    <w:rsid w:val="77F03075"/>
    <w:rsid w:val="7B43B8FF"/>
    <w:rsid w:val="7EC3E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1C01B3"/>
  <w15:docId w15:val="{34D57A29-8D86-48A2-A799-983997B7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9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9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9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9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081B7A"/>
    <w:pPr>
      <w:numPr>
        <w:numId w:val="1"/>
      </w:numPr>
      <w:contextualSpacing/>
    </w:pPr>
  </w:style>
  <w:style w:type="paragraph" w:styleId="ListBullet2">
    <w:name w:val="List Bullet 2"/>
    <w:basedOn w:val="Normal"/>
    <w:uiPriority w:val="99"/>
    <w:unhideWhenUsed/>
    <w:rsid w:val="00081B7A"/>
    <w:pPr>
      <w:numPr>
        <w:numId w:val="2"/>
      </w:numPr>
      <w:contextualSpacing/>
    </w:pPr>
  </w:style>
  <w:style w:type="paragraph" w:styleId="ListBullet3">
    <w:name w:val="List Bullet 3"/>
    <w:basedOn w:val="Normal"/>
    <w:uiPriority w:val="99"/>
    <w:unhideWhenUsed/>
    <w:rsid w:val="00081B7A"/>
    <w:pPr>
      <w:numPr>
        <w:numId w:val="3"/>
      </w:numPr>
      <w:contextualSpacing/>
    </w:pPr>
  </w:style>
  <w:style w:type="paragraph" w:styleId="ListBullet4">
    <w:name w:val="List Bullet 4"/>
    <w:basedOn w:val="Normal"/>
    <w:uiPriority w:val="99"/>
    <w:unhideWhenUsed/>
    <w:rsid w:val="00081B7A"/>
    <w:pPr>
      <w:numPr>
        <w:numId w:val="4"/>
      </w:numPr>
      <w:contextualSpacing/>
    </w:pPr>
  </w:style>
  <w:style w:type="character" w:styleId="CommentReference">
    <w:name w:val="annotation reference"/>
    <w:basedOn w:val="DefaultParagraphFont"/>
    <w:uiPriority w:val="99"/>
    <w:unhideWhenUsed/>
    <w:rsid w:val="00081B7A"/>
    <w:rPr>
      <w:sz w:val="16"/>
      <w:szCs w:val="16"/>
    </w:rPr>
  </w:style>
  <w:style w:type="paragraph" w:styleId="CommentText">
    <w:name w:val="annotation text"/>
    <w:aliases w:val="Char2"/>
    <w:basedOn w:val="Normal"/>
    <w:link w:val="CommentTextChar"/>
    <w:unhideWhenUsed/>
    <w:rsid w:val="00081B7A"/>
    <w:rPr>
      <w:sz w:val="20"/>
      <w:szCs w:val="20"/>
    </w:rPr>
  </w:style>
  <w:style w:type="character" w:customStyle="1" w:styleId="CommentTextChar">
    <w:name w:val="Comment Text Char"/>
    <w:aliases w:val="Char2 Char"/>
    <w:basedOn w:val="DefaultParagraphFont"/>
    <w:link w:val="CommentText"/>
    <w:rsid w:val="00081B7A"/>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081B7A"/>
    <w:rPr>
      <w:b/>
      <w:bCs/>
    </w:rPr>
  </w:style>
  <w:style w:type="character" w:customStyle="1" w:styleId="CommentSubjectChar">
    <w:name w:val="Comment Subject Char"/>
    <w:basedOn w:val="CommentTextChar"/>
    <w:link w:val="CommentSubject"/>
    <w:uiPriority w:val="99"/>
    <w:rsid w:val="00081B7A"/>
    <w:rPr>
      <w:rFonts w:ascii="Times New Roman" w:hAnsi="Times New Roman" w:cs="Times New Roman"/>
      <w:b/>
      <w:bCs/>
      <w:sz w:val="20"/>
      <w:szCs w:val="20"/>
      <w:lang w:val="en-GB"/>
    </w:rPr>
  </w:style>
  <w:style w:type="paragraph" w:styleId="Revision">
    <w:name w:val="Revision"/>
    <w:hidden/>
    <w:uiPriority w:val="99"/>
    <w:semiHidden/>
    <w:rsid w:val="00081B7A"/>
    <w:pPr>
      <w:tabs>
        <w:tab w:val="num" w:pos="926"/>
        <w:tab w:val="num" w:pos="1209"/>
      </w:tabs>
      <w:spacing w:after="0" w:line="240" w:lineRule="auto"/>
      <w:ind w:left="1209" w:hanging="360"/>
    </w:pPr>
    <w:rPr>
      <w:rFonts w:ascii="Times New Roman" w:hAnsi="Times New Roman" w:cs="Times New Roman"/>
      <w:sz w:val="24"/>
      <w:lang w:val="en-GB"/>
    </w:rPr>
  </w:style>
  <w:style w:type="character" w:customStyle="1" w:styleId="normaltextrun">
    <w:name w:val="normaltextrun"/>
    <w:basedOn w:val="DefaultParagraphFont"/>
    <w:rsid w:val="00081B7A"/>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List1,FooterText"/>
    <w:basedOn w:val="Normal"/>
    <w:link w:val="ListParagraphChar"/>
    <w:uiPriority w:val="34"/>
    <w:qFormat/>
    <w:rsid w:val="00081B7A"/>
    <w:pPr>
      <w:ind w:left="720"/>
      <w:contextualSpacing/>
    </w:pPr>
  </w:style>
  <w:style w:type="paragraph" w:customStyle="1" w:styleId="chaptertitle">
    <w:name w:val="chaptertitle"/>
    <w:basedOn w:val="Normal"/>
    <w:rsid w:val="00081B7A"/>
    <w:pPr>
      <w:spacing w:before="100" w:beforeAutospacing="1" w:after="100" w:afterAutospacing="1"/>
      <w:jc w:val="left"/>
    </w:pPr>
    <w:rPr>
      <w:rFonts w:eastAsia="Times New Roman"/>
      <w:szCs w:val="24"/>
      <w:lang w:val="en-IE" w:eastAsia="en-IE"/>
    </w:rPr>
  </w:style>
  <w:style w:type="paragraph" w:customStyle="1" w:styleId="titrearticle">
    <w:name w:val="titrearticle"/>
    <w:basedOn w:val="Normal"/>
    <w:rsid w:val="00081B7A"/>
    <w:pPr>
      <w:spacing w:before="100" w:beforeAutospacing="1" w:after="100" w:afterAutospacing="1"/>
      <w:jc w:val="left"/>
    </w:pPr>
    <w:rPr>
      <w:rFonts w:eastAsia="Times New Roman"/>
      <w:szCs w:val="24"/>
      <w:lang w:val="en-IE" w:eastAsia="en-IE"/>
    </w:rPr>
  </w:style>
  <w:style w:type="paragraph" w:customStyle="1" w:styleId="Normal1">
    <w:name w:val="Normal1"/>
    <w:basedOn w:val="Normal"/>
    <w:rsid w:val="00081B7A"/>
    <w:pPr>
      <w:spacing w:before="100" w:beforeAutospacing="1" w:after="100" w:afterAutospacing="1"/>
      <w:jc w:val="left"/>
    </w:pPr>
    <w:rPr>
      <w:rFonts w:eastAsia="Times New Roman"/>
      <w:szCs w:val="24"/>
      <w:lang w:val="en-IE" w:eastAsia="en-IE"/>
    </w:rPr>
  </w:style>
  <w:style w:type="character" w:customStyle="1" w:styleId="tab">
    <w:name w:val="tab"/>
    <w:basedOn w:val="DefaultParagraphFont"/>
    <w:rsid w:val="00081B7A"/>
  </w:style>
  <w:style w:type="paragraph" w:customStyle="1" w:styleId="li">
    <w:name w:val="li"/>
    <w:basedOn w:val="Normal"/>
    <w:rsid w:val="00081B7A"/>
    <w:pPr>
      <w:spacing w:before="100" w:beforeAutospacing="1" w:after="100" w:afterAutospacing="1"/>
      <w:jc w:val="left"/>
    </w:pPr>
    <w:rPr>
      <w:rFonts w:eastAsia="Times New Roman"/>
      <w:szCs w:val="24"/>
      <w:lang w:val="en-IE" w:eastAsia="en-IE"/>
    </w:rPr>
  </w:style>
  <w:style w:type="character" w:customStyle="1" w:styleId="num">
    <w:name w:val="num"/>
    <w:basedOn w:val="DefaultParagraphFont"/>
    <w:rsid w:val="00081B7A"/>
  </w:style>
  <w:style w:type="paragraph" w:customStyle="1" w:styleId="text10">
    <w:name w:val="text1"/>
    <w:basedOn w:val="Normal"/>
    <w:rsid w:val="00081B7A"/>
    <w:pPr>
      <w:spacing w:before="100" w:beforeAutospacing="1" w:after="100" w:afterAutospacing="1"/>
      <w:jc w:val="left"/>
    </w:pPr>
    <w:rPr>
      <w:rFonts w:eastAsia="Times New Roman"/>
      <w:szCs w:val="24"/>
      <w:lang w:val="en-IE" w:eastAsia="en-IE"/>
    </w:rPr>
  </w:style>
  <w:style w:type="character" w:customStyle="1" w:styleId="footnotereference">
    <w:name w:val="footnotereference"/>
    <w:basedOn w:val="DefaultParagraphFont"/>
    <w:rsid w:val="00081B7A"/>
  </w:style>
  <w:style w:type="character" w:styleId="Hyperlink">
    <w:name w:val="Hyperlink"/>
    <w:basedOn w:val="DefaultParagraphFont"/>
    <w:uiPriority w:val="99"/>
    <w:unhideWhenUsed/>
    <w:rsid w:val="00081B7A"/>
    <w:rPr>
      <w:color w:val="0000FF"/>
      <w:u w:val="single"/>
    </w:rPr>
  </w:style>
  <w:style w:type="paragraph" w:customStyle="1" w:styleId="annexetitre">
    <w:name w:val="annexetitre"/>
    <w:basedOn w:val="Normal"/>
    <w:rsid w:val="00081B7A"/>
    <w:pPr>
      <w:spacing w:before="100" w:beforeAutospacing="1" w:after="100" w:afterAutospacing="1"/>
      <w:jc w:val="left"/>
    </w:pPr>
    <w:rPr>
      <w:rFonts w:eastAsia="Times New Roman"/>
      <w:szCs w:val="24"/>
      <w:lang w:val="en-IE" w:eastAsia="en-IE"/>
    </w:rPr>
  </w:style>
  <w:style w:type="character" w:customStyle="1" w:styleId="markedcontent">
    <w:name w:val="markedcontent"/>
    <w:basedOn w:val="DefaultParagraphFont"/>
    <w:rsid w:val="00081B7A"/>
  </w:style>
  <w:style w:type="paragraph" w:customStyle="1" w:styleId="a">
    <w:name w:val="[["/>
    <w:basedOn w:val="li"/>
    <w:rsid w:val="00081B7A"/>
    <w:pPr>
      <w:ind w:left="720"/>
      <w:jc w:val="both"/>
    </w:pPr>
  </w:style>
  <w:style w:type="paragraph" w:customStyle="1" w:styleId="wouldhave">
    <w:name w:val="would have"/>
    <w:basedOn w:val="li"/>
    <w:rsid w:val="00081B7A"/>
    <w:pPr>
      <w:numPr>
        <w:numId w:val="5"/>
      </w:numPr>
      <w:spacing w:after="120" w:afterAutospacing="0"/>
      <w:jc w:val="both"/>
    </w:pPr>
  </w:style>
  <w:style w:type="character" w:styleId="Emphasis">
    <w:name w:val="Emphasis"/>
    <w:basedOn w:val="DefaultParagraphFont"/>
    <w:uiPriority w:val="20"/>
    <w:qFormat/>
    <w:rsid w:val="00081B7A"/>
    <w:rPr>
      <w:i/>
      <w:iCs/>
    </w:rPr>
  </w:style>
  <w:style w:type="paragraph" w:customStyle="1" w:styleId="a0">
    <w:name w:val="("/>
    <w:basedOn w:val="wouldhave"/>
    <w:rsid w:val="00081B7A"/>
  </w:style>
  <w:style w:type="character" w:customStyle="1" w:styleId="UnresolvedMention">
    <w:name w:val="Unresolved Mention"/>
    <w:basedOn w:val="DefaultParagraphFont"/>
    <w:uiPriority w:val="99"/>
    <w:unhideWhenUsed/>
    <w:rsid w:val="00081B7A"/>
    <w:rPr>
      <w:color w:val="605E5C"/>
      <w:shd w:val="clear" w:color="auto" w:fill="E1DFDD"/>
    </w:rPr>
  </w:style>
  <w:style w:type="character" w:styleId="FollowedHyperlink">
    <w:name w:val="FollowedHyperlink"/>
    <w:basedOn w:val="DefaultParagraphFont"/>
    <w:uiPriority w:val="99"/>
    <w:unhideWhenUsed/>
    <w:rsid w:val="00081B7A"/>
    <w:rPr>
      <w:color w:val="800080" w:themeColor="followedHyperlink"/>
      <w:u w:val="single"/>
    </w:rPr>
  </w:style>
  <w:style w:type="paragraph" w:customStyle="1" w:styleId="title-article-norm">
    <w:name w:val="title-article-norm"/>
    <w:basedOn w:val="Normal"/>
    <w:rsid w:val="00081B7A"/>
    <w:pPr>
      <w:spacing w:before="100" w:beforeAutospacing="1" w:after="100" w:afterAutospacing="1"/>
      <w:jc w:val="left"/>
    </w:pPr>
    <w:rPr>
      <w:rFonts w:eastAsia="Times New Roman"/>
      <w:szCs w:val="24"/>
      <w:lang w:val="en-IE" w:eastAsia="en-IE"/>
    </w:rPr>
  </w:style>
  <w:style w:type="paragraph" w:customStyle="1" w:styleId="stitle-article-norm">
    <w:name w:val="stitle-article-norm"/>
    <w:basedOn w:val="Normal"/>
    <w:rsid w:val="00081B7A"/>
    <w:pPr>
      <w:spacing w:before="100" w:beforeAutospacing="1" w:after="100" w:afterAutospacing="1"/>
      <w:jc w:val="left"/>
    </w:pPr>
    <w:rPr>
      <w:rFonts w:eastAsia="Times New Roman"/>
      <w:szCs w:val="24"/>
      <w:lang w:val="en-IE" w:eastAsia="en-IE"/>
    </w:rPr>
  </w:style>
  <w:style w:type="paragraph" w:customStyle="1" w:styleId="norm">
    <w:name w:val="norm"/>
    <w:basedOn w:val="Normal"/>
    <w:rsid w:val="00081B7A"/>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rsid w:val="00081B7A"/>
  </w:style>
  <w:style w:type="character" w:customStyle="1" w:styleId="eop">
    <w:name w:val="eop"/>
    <w:basedOn w:val="DefaultParagraphFont"/>
    <w:rsid w:val="00081B7A"/>
  </w:style>
  <w:style w:type="paragraph" w:customStyle="1" w:styleId="paragraph">
    <w:name w:val="paragraph"/>
    <w:basedOn w:val="Normal"/>
    <w:rsid w:val="00081B7A"/>
    <w:pPr>
      <w:spacing w:before="0" w:beforeAutospacing="1" w:after="200" w:afterAutospacing="1" w:line="276" w:lineRule="auto"/>
      <w:jc w:val="left"/>
    </w:pPr>
    <w:rPr>
      <w:rFonts w:eastAsia="Times New Roman"/>
      <w:szCs w:val="24"/>
      <w:lang w:eastAsia="en-IE"/>
    </w:rPr>
  </w:style>
  <w:style w:type="character" w:customStyle="1" w:styleId="Bodytext1">
    <w:name w:val="Body text|1_"/>
    <w:basedOn w:val="DefaultParagraphFont"/>
    <w:link w:val="Bodytext10"/>
    <w:rsid w:val="00081B7A"/>
  </w:style>
  <w:style w:type="paragraph" w:customStyle="1" w:styleId="Bodytext10">
    <w:name w:val="Body text|1"/>
    <w:basedOn w:val="Normal"/>
    <w:link w:val="Bodytext1"/>
    <w:rsid w:val="00081B7A"/>
    <w:pPr>
      <w:widowControl w:val="0"/>
      <w:spacing w:before="0" w:after="220"/>
      <w:jc w:val="left"/>
    </w:pPr>
    <w:rPr>
      <w:rFonts w:asciiTheme="minorHAnsi" w:hAnsiTheme="minorHAnsi" w:cstheme="minorBidi"/>
      <w:sz w:val="22"/>
      <w:lang w:val="en-US"/>
    </w:rPr>
  </w:style>
  <w:style w:type="paragraph" w:styleId="NormalWeb">
    <w:name w:val="Normal (Web)"/>
    <w:basedOn w:val="Normal"/>
    <w:uiPriority w:val="99"/>
    <w:semiHidden/>
    <w:unhideWhenUsed/>
    <w:rsid w:val="00081B7A"/>
    <w:pPr>
      <w:spacing w:before="100" w:beforeAutospacing="1" w:after="100" w:afterAutospacing="1"/>
      <w:jc w:val="left"/>
    </w:pPr>
    <w:rPr>
      <w:rFonts w:eastAsia="Times New Roman"/>
      <w:szCs w:val="24"/>
      <w:lang w:val="en-IE" w:eastAsia="en-IE"/>
    </w:rPr>
  </w:style>
  <w:style w:type="paragraph" w:customStyle="1" w:styleId="Default">
    <w:name w:val="Default"/>
    <w:rsid w:val="00081B7A"/>
    <w:pPr>
      <w:autoSpaceDE w:val="0"/>
      <w:autoSpaceDN w:val="0"/>
      <w:adjustRightInd w:val="0"/>
      <w:spacing w:after="0" w:line="240" w:lineRule="auto"/>
    </w:pPr>
    <w:rPr>
      <w:rFonts w:ascii="EUAlbertina" w:hAnsi="EUAlbertina" w:cs="EUAlbertina"/>
      <w:color w:val="000000"/>
      <w:sz w:val="24"/>
      <w:szCs w:val="24"/>
      <w:lang w:val="en-IE"/>
    </w:rPr>
  </w:style>
  <w:style w:type="character" w:customStyle="1" w:styleId="highlight">
    <w:name w:val="highlight"/>
    <w:basedOn w:val="DefaultParagraphFont"/>
    <w:rsid w:val="00081B7A"/>
  </w:style>
  <w:style w:type="paragraph" w:customStyle="1" w:styleId="title-bold">
    <w:name w:val="title-bold"/>
    <w:basedOn w:val="Normal"/>
    <w:rsid w:val="00081B7A"/>
    <w:pPr>
      <w:spacing w:before="100" w:beforeAutospacing="1" w:after="100" w:afterAutospacing="1"/>
      <w:jc w:val="left"/>
    </w:pPr>
    <w:rPr>
      <w:rFonts w:eastAsia="Times New Roman"/>
      <w:szCs w:val="24"/>
      <w:lang w:val="en-IE" w:eastAsia="en-IE"/>
    </w:rPr>
  </w:style>
  <w:style w:type="character" w:styleId="PlaceholderText">
    <w:name w:val="Placeholder Text"/>
    <w:basedOn w:val="DefaultParagraphFont"/>
    <w:uiPriority w:val="99"/>
    <w:semiHidden/>
    <w:rsid w:val="00081B7A"/>
    <w:rPr>
      <w:color w:val="808080"/>
    </w:rPr>
  </w:style>
  <w:style w:type="character" w:customStyle="1" w:styleId="Mention">
    <w:name w:val="Mention"/>
    <w:basedOn w:val="DefaultParagraphFont"/>
    <w:uiPriority w:val="99"/>
    <w:unhideWhenUsed/>
    <w:rsid w:val="00081B7A"/>
    <w:rPr>
      <w:color w:val="2B579A"/>
      <w:shd w:val="clear" w:color="auto" w:fill="E1DFDD"/>
    </w:rPr>
  </w:style>
  <w:style w:type="table" w:styleId="TableGrid">
    <w:name w:val="Table Grid"/>
    <w:aliases w:val="Document Table,CV1"/>
    <w:basedOn w:val="TableNormal"/>
    <w:uiPriority w:val="59"/>
    <w:rsid w:val="00081B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081B7A"/>
  </w:style>
  <w:style w:type="paragraph" w:customStyle="1" w:styleId="CharCharChar1">
    <w:name w:val="Char Char Char1"/>
    <w:basedOn w:val="Normal"/>
    <w:link w:val="FootnoteReference0"/>
    <w:uiPriority w:val="99"/>
    <w:rsid w:val="00081B7A"/>
    <w:pPr>
      <w:spacing w:before="0" w:after="160" w:line="240" w:lineRule="exact"/>
    </w:pPr>
    <w:rPr>
      <w:rFonts w:asciiTheme="minorHAnsi" w:hAnsiTheme="minorHAnsi" w:cstheme="minorBidi"/>
      <w:sz w:val="22"/>
      <w:vertAlign w:val="superscript"/>
      <w:lang w:val="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No Spacing1 Char,L Char"/>
    <w:basedOn w:val="DefaultParagraphFont"/>
    <w:link w:val="ListParagraph"/>
    <w:uiPriority w:val="34"/>
    <w:qFormat/>
    <w:locked/>
    <w:rsid w:val="00081B7A"/>
    <w:rPr>
      <w:rFonts w:ascii="Times New Roman" w:hAnsi="Times New Roman" w:cs="Times New Roman"/>
      <w:sz w:val="24"/>
      <w:lang w:val="en-GB"/>
    </w:rPr>
  </w:style>
  <w:style w:type="table" w:customStyle="1" w:styleId="TableGrid4">
    <w:name w:val="Table Grid4"/>
    <w:basedOn w:val="TableNormal"/>
    <w:next w:val="TableGrid"/>
    <w:uiPriority w:val="39"/>
    <w:rsid w:val="00081B7A"/>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new">
    <w:name w:val="Heading 1 new"/>
    <w:basedOn w:val="Normal"/>
    <w:qFormat/>
    <w:rsid w:val="00081B7A"/>
    <w:pPr>
      <w:widowControl w:val="0"/>
      <w:spacing w:before="0" w:after="0"/>
      <w:ind w:left="710"/>
      <w:jc w:val="center"/>
    </w:pPr>
    <w:rPr>
      <w:rFonts w:ascii="Verdana" w:eastAsia="Times New Roman" w:hAnsi="Verdana" w:cs="Calibri"/>
      <w:bCs/>
      <w:sz w:val="28"/>
      <w:szCs w:val="28"/>
      <w:lang w:val="fr-FR" w:eastAsia="fr-BE"/>
    </w:rPr>
  </w:style>
  <w:style w:type="paragraph" w:customStyle="1" w:styleId="Heading2new">
    <w:name w:val="Heading 2 new"/>
    <w:basedOn w:val="Normal"/>
    <w:qFormat/>
    <w:rsid w:val="00081B7A"/>
    <w:pPr>
      <w:widowControl w:val="0"/>
      <w:numPr>
        <w:numId w:val="6"/>
      </w:numPr>
      <w:tabs>
        <w:tab w:val="left" w:pos="-1392"/>
        <w:tab w:val="left" w:pos="-720"/>
        <w:tab w:val="left" w:pos="709"/>
        <w:tab w:val="left" w:pos="993"/>
        <w:tab w:val="left" w:pos="1418"/>
        <w:tab w:val="right" w:pos="9638"/>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ind w:left="720" w:hanging="360"/>
      <w:jc w:val="left"/>
      <w:outlineLvl w:val="0"/>
    </w:pPr>
    <w:rPr>
      <w:rFonts w:ascii="Verdana" w:eastAsia="Times New Roman" w:hAnsi="Verdana" w:cs="Calibri"/>
      <w:caps/>
      <w:szCs w:val="24"/>
      <w:lang w:val="fr-FR" w:eastAsia="fr-BE"/>
    </w:rPr>
  </w:style>
  <w:style w:type="paragraph" w:customStyle="1" w:styleId="Heading3new">
    <w:name w:val="Heading 3 new"/>
    <w:basedOn w:val="Normal"/>
    <w:qFormat/>
    <w:rsid w:val="00081B7A"/>
    <w:pPr>
      <w:widowControl w:val="0"/>
      <w:numPr>
        <w:ilvl w:val="1"/>
        <w:numId w:val="6"/>
      </w:numPr>
      <w:suppressAutoHyphens/>
      <w:spacing w:before="0"/>
      <w:jc w:val="left"/>
      <w:outlineLvl w:val="0"/>
    </w:pPr>
    <w:rPr>
      <w:rFonts w:ascii="Verdana" w:eastAsia="Times New Roman" w:hAnsi="Verdana" w:cs="Calibri"/>
      <w:szCs w:val="24"/>
      <w:lang w:val="fr-FR" w:eastAsia="fr-BE"/>
    </w:rPr>
  </w:style>
  <w:style w:type="paragraph" w:customStyle="1" w:styleId="Heading4new">
    <w:name w:val="Heading 4 new"/>
    <w:basedOn w:val="Normal"/>
    <w:qFormat/>
    <w:rsid w:val="00081B7A"/>
    <w:pPr>
      <w:widowControl w:val="0"/>
      <w:numPr>
        <w:ilvl w:val="2"/>
        <w:numId w:val="6"/>
      </w:numPr>
      <w:suppressAutoHyphens/>
      <w:spacing w:before="0"/>
      <w:jc w:val="left"/>
      <w:outlineLvl w:val="0"/>
    </w:pPr>
    <w:rPr>
      <w:rFonts w:ascii="Verdana" w:eastAsia="Times New Roman" w:hAnsi="Verdana"/>
      <w:szCs w:val="24"/>
      <w:lang w:val="fr-FR" w:eastAsia="fr-BE"/>
    </w:rPr>
  </w:style>
  <w:style w:type="paragraph" w:customStyle="1" w:styleId="Heading5new">
    <w:name w:val="Heading 5 new"/>
    <w:basedOn w:val="Normal"/>
    <w:link w:val="Heading5newChar"/>
    <w:qFormat/>
    <w:rsid w:val="00081B7A"/>
    <w:pPr>
      <w:widowControl w:val="0"/>
      <w:numPr>
        <w:ilvl w:val="3"/>
        <w:numId w:val="6"/>
      </w:numPr>
      <w:suppressAutoHyphens/>
      <w:spacing w:before="0"/>
      <w:jc w:val="left"/>
      <w:outlineLvl w:val="0"/>
    </w:pPr>
    <w:rPr>
      <w:rFonts w:ascii="Verdana" w:eastAsia="Times New Roman" w:hAnsi="Verdana"/>
      <w:bCs/>
      <w:iCs/>
      <w:szCs w:val="24"/>
      <w:lang w:val="fr-FR" w:eastAsia="fr-BE"/>
    </w:rPr>
  </w:style>
  <w:style w:type="character" w:customStyle="1" w:styleId="Heading5newChar">
    <w:name w:val="Heading 5 new Char"/>
    <w:link w:val="Heading5new"/>
    <w:rsid w:val="00081B7A"/>
    <w:rPr>
      <w:rFonts w:ascii="Verdana" w:eastAsia="Times New Roman" w:hAnsi="Verdana" w:cs="Times New Roman"/>
      <w:bCs/>
      <w:iCs/>
      <w:sz w:val="24"/>
      <w:szCs w:val="24"/>
      <w:lang w:val="fr-FR" w:eastAsia="fr-BE"/>
    </w:rPr>
  </w:style>
  <w:style w:type="character" w:customStyle="1" w:styleId="TOCHeadingChar">
    <w:name w:val="TOC Heading Char"/>
    <w:uiPriority w:val="39"/>
    <w:rsid w:val="00081B7A"/>
    <w:rPr>
      <w:rFonts w:ascii="Times New Roman" w:hAnsi="Times New Roman" w:cs="Times New Roman"/>
      <w:b/>
      <w:sz w:val="28"/>
      <w:lang w:val="en-GB"/>
    </w:rPr>
  </w:style>
  <w:style w:type="paragraph" w:styleId="ListNumber">
    <w:name w:val="List Number"/>
    <w:basedOn w:val="Normal"/>
    <w:rsid w:val="00081B7A"/>
    <w:pPr>
      <w:tabs>
        <w:tab w:val="num" w:pos="283"/>
      </w:tabs>
      <w:ind w:left="283" w:hanging="283"/>
    </w:pPr>
    <w:rPr>
      <w:rFonts w:eastAsia="Times New Roman"/>
      <w:lang w:eastAsia="de-DE"/>
    </w:rPr>
  </w:style>
  <w:style w:type="paragraph" w:customStyle="1" w:styleId="ListBullet1">
    <w:name w:val="List Bullet 1"/>
    <w:basedOn w:val="Normal"/>
    <w:rsid w:val="00081B7A"/>
    <w:pPr>
      <w:numPr>
        <w:numId w:val="11"/>
      </w:numPr>
    </w:pPr>
    <w:rPr>
      <w:rFonts w:eastAsia="Times New Roman"/>
      <w:lang w:eastAsia="de-DE"/>
    </w:rPr>
  </w:style>
  <w:style w:type="paragraph" w:customStyle="1" w:styleId="ListDash">
    <w:name w:val="List Dash"/>
    <w:basedOn w:val="Normal"/>
    <w:rsid w:val="00081B7A"/>
    <w:pPr>
      <w:numPr>
        <w:numId w:val="7"/>
      </w:numPr>
    </w:pPr>
    <w:rPr>
      <w:rFonts w:eastAsia="Times New Roman"/>
      <w:lang w:eastAsia="de-DE"/>
    </w:rPr>
  </w:style>
  <w:style w:type="paragraph" w:customStyle="1" w:styleId="ListDash1">
    <w:name w:val="List Dash 1"/>
    <w:basedOn w:val="Normal"/>
    <w:rsid w:val="00081B7A"/>
    <w:pPr>
      <w:numPr>
        <w:numId w:val="8"/>
      </w:numPr>
    </w:pPr>
    <w:rPr>
      <w:rFonts w:eastAsia="Times New Roman"/>
      <w:lang w:eastAsia="de-DE"/>
    </w:rPr>
  </w:style>
  <w:style w:type="paragraph" w:customStyle="1" w:styleId="ListDash2">
    <w:name w:val="List Dash 2"/>
    <w:basedOn w:val="Normal"/>
    <w:rsid w:val="00081B7A"/>
    <w:pPr>
      <w:numPr>
        <w:numId w:val="9"/>
      </w:numPr>
    </w:pPr>
    <w:rPr>
      <w:rFonts w:eastAsia="Times New Roman"/>
      <w:lang w:eastAsia="de-DE"/>
    </w:rPr>
  </w:style>
  <w:style w:type="paragraph" w:customStyle="1" w:styleId="ListNumberLevel2">
    <w:name w:val="List Number (Level 2)"/>
    <w:basedOn w:val="Normal"/>
    <w:rsid w:val="00081B7A"/>
    <w:pPr>
      <w:numPr>
        <w:numId w:val="10"/>
      </w:numPr>
      <w:tabs>
        <w:tab w:val="num" w:pos="709"/>
      </w:tabs>
      <w:ind w:left="709"/>
    </w:pPr>
    <w:rPr>
      <w:rFonts w:eastAsia="Times New Roman"/>
      <w:lang w:eastAsia="de-DE"/>
    </w:rPr>
  </w:style>
  <w:style w:type="paragraph" w:customStyle="1" w:styleId="ListNumberLevel3">
    <w:name w:val="List Number (Level 3)"/>
    <w:basedOn w:val="Normal"/>
    <w:rsid w:val="00081B7A"/>
    <w:pPr>
      <w:numPr>
        <w:ilvl w:val="1"/>
        <w:numId w:val="11"/>
      </w:numPr>
    </w:pPr>
    <w:rPr>
      <w:rFonts w:eastAsia="Times New Roman"/>
      <w:lang w:eastAsia="de-DE"/>
    </w:rPr>
  </w:style>
  <w:style w:type="paragraph" w:customStyle="1" w:styleId="ListNumberLevel4">
    <w:name w:val="List Number (Level 4)"/>
    <w:basedOn w:val="Normal"/>
    <w:rsid w:val="00081B7A"/>
    <w:pPr>
      <w:numPr>
        <w:ilvl w:val="2"/>
        <w:numId w:val="11"/>
      </w:numPr>
    </w:pPr>
    <w:rPr>
      <w:rFonts w:eastAsia="Times New Roman"/>
      <w:lang w:eastAsia="de-DE"/>
    </w:rPr>
  </w:style>
  <w:style w:type="paragraph" w:styleId="ListNumber2">
    <w:name w:val="List Number 2"/>
    <w:basedOn w:val="Normal"/>
    <w:rsid w:val="00081B7A"/>
    <w:pPr>
      <w:numPr>
        <w:ilvl w:val="3"/>
        <w:numId w:val="11"/>
      </w:numPr>
    </w:pPr>
    <w:rPr>
      <w:rFonts w:eastAsia="Times New Roman"/>
      <w:lang w:val="fr-FR" w:eastAsia="en-GB"/>
    </w:rPr>
  </w:style>
  <w:style w:type="paragraph" w:styleId="ListNumber3">
    <w:name w:val="List Number 3"/>
    <w:basedOn w:val="Normal"/>
    <w:rsid w:val="00081B7A"/>
    <w:pPr>
      <w:numPr>
        <w:numId w:val="15"/>
      </w:numPr>
    </w:pPr>
    <w:rPr>
      <w:rFonts w:eastAsia="Times New Roman"/>
      <w:lang w:val="fr-FR" w:eastAsia="en-GB"/>
    </w:rPr>
  </w:style>
  <w:style w:type="paragraph" w:styleId="ListNumber4">
    <w:name w:val="List Number 4"/>
    <w:basedOn w:val="Normal"/>
    <w:rsid w:val="00081B7A"/>
    <w:pPr>
      <w:numPr>
        <w:numId w:val="16"/>
      </w:numPr>
    </w:pPr>
    <w:rPr>
      <w:rFonts w:eastAsia="Times New Roman"/>
      <w:lang w:val="fr-FR" w:eastAsia="en-GB"/>
    </w:rPr>
  </w:style>
  <w:style w:type="paragraph" w:customStyle="1" w:styleId="ListDash3">
    <w:name w:val="List Dash 3"/>
    <w:basedOn w:val="Normal"/>
    <w:rsid w:val="00081B7A"/>
    <w:pPr>
      <w:numPr>
        <w:numId w:val="17"/>
      </w:numPr>
      <w:tabs>
        <w:tab w:val="num" w:pos="850"/>
      </w:tabs>
      <w:ind w:left="850" w:hanging="850"/>
    </w:pPr>
    <w:rPr>
      <w:rFonts w:eastAsia="Times New Roman"/>
      <w:lang w:val="fr-FR" w:eastAsia="en-GB"/>
    </w:rPr>
  </w:style>
  <w:style w:type="paragraph" w:customStyle="1" w:styleId="ListDash4">
    <w:name w:val="List Dash 4"/>
    <w:basedOn w:val="Normal"/>
    <w:rsid w:val="00081B7A"/>
    <w:pPr>
      <w:numPr>
        <w:numId w:val="12"/>
      </w:numPr>
    </w:pPr>
    <w:rPr>
      <w:rFonts w:eastAsia="Times New Roman"/>
      <w:lang w:val="fr-FR" w:eastAsia="en-GB"/>
    </w:rPr>
  </w:style>
  <w:style w:type="paragraph" w:customStyle="1" w:styleId="ListNumber1">
    <w:name w:val="List Number 1"/>
    <w:basedOn w:val="Text1"/>
    <w:rsid w:val="00081B7A"/>
    <w:pPr>
      <w:numPr>
        <w:numId w:val="13"/>
      </w:numPr>
      <w:tabs>
        <w:tab w:val="num" w:pos="1560"/>
      </w:tabs>
      <w:ind w:left="1560" w:hanging="709"/>
    </w:pPr>
    <w:rPr>
      <w:rFonts w:eastAsia="Times New Roman"/>
      <w:lang w:val="fr-FR" w:eastAsia="en-GB"/>
    </w:rPr>
  </w:style>
  <w:style w:type="paragraph" w:customStyle="1" w:styleId="ListNumber1Level2">
    <w:name w:val="List Number 1 (Level 2)"/>
    <w:basedOn w:val="Text1"/>
    <w:rsid w:val="00081B7A"/>
    <w:pPr>
      <w:numPr>
        <w:numId w:val="14"/>
      </w:numPr>
    </w:pPr>
    <w:rPr>
      <w:rFonts w:eastAsia="Times New Roman"/>
      <w:lang w:val="fr-FR" w:eastAsia="en-GB"/>
    </w:rPr>
  </w:style>
  <w:style w:type="paragraph" w:customStyle="1" w:styleId="ListNumber2Level2">
    <w:name w:val="List Number 2 (Level 2)"/>
    <w:basedOn w:val="Text2"/>
    <w:rsid w:val="00081B7A"/>
    <w:pPr>
      <w:numPr>
        <w:ilvl w:val="1"/>
        <w:numId w:val="14"/>
      </w:numPr>
      <w:tabs>
        <w:tab w:val="clear" w:pos="2268"/>
        <w:tab w:val="num" w:pos="1134"/>
      </w:tabs>
      <w:ind w:left="1134" w:hanging="283"/>
    </w:pPr>
    <w:rPr>
      <w:rFonts w:eastAsia="Times New Roman"/>
      <w:lang w:val="fr-FR" w:eastAsia="en-GB"/>
    </w:rPr>
  </w:style>
  <w:style w:type="paragraph" w:customStyle="1" w:styleId="ListNumber3Level2">
    <w:name w:val="List Number 3 (Level 2)"/>
    <w:basedOn w:val="Text3"/>
    <w:rsid w:val="00081B7A"/>
    <w:pPr>
      <w:numPr>
        <w:ilvl w:val="1"/>
        <w:numId w:val="15"/>
      </w:numPr>
    </w:pPr>
    <w:rPr>
      <w:rFonts w:eastAsia="Times New Roman"/>
      <w:lang w:val="fr-FR" w:eastAsia="en-GB"/>
    </w:rPr>
  </w:style>
  <w:style w:type="paragraph" w:customStyle="1" w:styleId="ListNumber4Level2">
    <w:name w:val="List Number 4 (Level 2)"/>
    <w:basedOn w:val="Text4"/>
    <w:rsid w:val="00081B7A"/>
    <w:pPr>
      <w:numPr>
        <w:ilvl w:val="1"/>
        <w:numId w:val="16"/>
      </w:numPr>
    </w:pPr>
    <w:rPr>
      <w:rFonts w:eastAsia="Times New Roman"/>
      <w:lang w:val="fr-FR" w:eastAsia="en-GB"/>
    </w:rPr>
  </w:style>
  <w:style w:type="paragraph" w:customStyle="1" w:styleId="ListNumber1Level3">
    <w:name w:val="List Number 1 (Level 3)"/>
    <w:basedOn w:val="Text1"/>
    <w:rsid w:val="00081B7A"/>
    <w:pPr>
      <w:numPr>
        <w:ilvl w:val="1"/>
        <w:numId w:val="17"/>
      </w:numPr>
    </w:pPr>
    <w:rPr>
      <w:rFonts w:eastAsia="Times New Roman"/>
      <w:lang w:val="fr-FR" w:eastAsia="en-GB"/>
    </w:rPr>
  </w:style>
  <w:style w:type="paragraph" w:customStyle="1" w:styleId="ListNumber2Level3">
    <w:name w:val="List Number 2 (Level 3)"/>
    <w:basedOn w:val="Text2"/>
    <w:rsid w:val="00081B7A"/>
    <w:pPr>
      <w:numPr>
        <w:ilvl w:val="2"/>
        <w:numId w:val="14"/>
      </w:numPr>
      <w:tabs>
        <w:tab w:val="clear" w:pos="2977"/>
        <w:tab w:val="num" w:pos="1134"/>
      </w:tabs>
      <w:ind w:left="1134" w:hanging="283"/>
    </w:pPr>
    <w:rPr>
      <w:rFonts w:eastAsia="Times New Roman"/>
      <w:lang w:val="fr-FR" w:eastAsia="en-GB"/>
    </w:rPr>
  </w:style>
  <w:style w:type="paragraph" w:customStyle="1" w:styleId="ListNumber3Level3">
    <w:name w:val="List Number 3 (Level 3)"/>
    <w:basedOn w:val="Text3"/>
    <w:rsid w:val="00081B7A"/>
    <w:pPr>
      <w:numPr>
        <w:ilvl w:val="2"/>
        <w:numId w:val="15"/>
      </w:numPr>
    </w:pPr>
    <w:rPr>
      <w:rFonts w:eastAsia="Times New Roman"/>
      <w:lang w:val="fr-FR" w:eastAsia="en-GB"/>
    </w:rPr>
  </w:style>
  <w:style w:type="paragraph" w:customStyle="1" w:styleId="ListNumber4Level3">
    <w:name w:val="List Number 4 (Level 3)"/>
    <w:basedOn w:val="Text4"/>
    <w:rsid w:val="00081B7A"/>
    <w:pPr>
      <w:numPr>
        <w:ilvl w:val="2"/>
        <w:numId w:val="16"/>
      </w:numPr>
    </w:pPr>
    <w:rPr>
      <w:rFonts w:eastAsia="Times New Roman"/>
      <w:lang w:val="fr-FR" w:eastAsia="en-GB"/>
    </w:rPr>
  </w:style>
  <w:style w:type="paragraph" w:customStyle="1" w:styleId="ListNumber1Level4">
    <w:name w:val="List Number 1 (Level 4)"/>
    <w:basedOn w:val="Text1"/>
    <w:rsid w:val="00081B7A"/>
    <w:pPr>
      <w:numPr>
        <w:ilvl w:val="2"/>
        <w:numId w:val="17"/>
      </w:numPr>
    </w:pPr>
    <w:rPr>
      <w:rFonts w:eastAsia="Times New Roman"/>
      <w:lang w:val="fr-FR" w:eastAsia="en-GB"/>
    </w:rPr>
  </w:style>
  <w:style w:type="paragraph" w:customStyle="1" w:styleId="ListNumber2Level4">
    <w:name w:val="List Number 2 (Level 4)"/>
    <w:basedOn w:val="Text2"/>
    <w:rsid w:val="00081B7A"/>
    <w:pPr>
      <w:numPr>
        <w:ilvl w:val="3"/>
        <w:numId w:val="14"/>
      </w:numPr>
      <w:tabs>
        <w:tab w:val="clear" w:pos="3686"/>
        <w:tab w:val="num" w:pos="1134"/>
      </w:tabs>
      <w:ind w:left="1134" w:hanging="283"/>
    </w:pPr>
    <w:rPr>
      <w:rFonts w:eastAsia="Times New Roman"/>
      <w:lang w:val="fr-FR" w:eastAsia="en-GB"/>
    </w:rPr>
  </w:style>
  <w:style w:type="paragraph" w:customStyle="1" w:styleId="ListNumber3Level4">
    <w:name w:val="List Number 3 (Level 4)"/>
    <w:basedOn w:val="Text3"/>
    <w:rsid w:val="00081B7A"/>
    <w:pPr>
      <w:numPr>
        <w:ilvl w:val="3"/>
        <w:numId w:val="15"/>
      </w:numPr>
    </w:pPr>
    <w:rPr>
      <w:rFonts w:eastAsia="Times New Roman"/>
      <w:lang w:val="fr-FR" w:eastAsia="en-GB"/>
    </w:rPr>
  </w:style>
  <w:style w:type="paragraph" w:customStyle="1" w:styleId="ListNumber4Level4">
    <w:name w:val="List Number 4 (Level 4)"/>
    <w:basedOn w:val="Text4"/>
    <w:rsid w:val="00081B7A"/>
    <w:pPr>
      <w:numPr>
        <w:ilvl w:val="3"/>
        <w:numId w:val="16"/>
      </w:numPr>
    </w:pPr>
    <w:rPr>
      <w:rFonts w:eastAsia="Times New Roman"/>
      <w:lang w:val="fr-FR" w:eastAsia="en-GB"/>
    </w:rPr>
  </w:style>
  <w:style w:type="paragraph" w:customStyle="1" w:styleId="Annexetitreacte">
    <w:name w:val="Annexe titre (acte)"/>
    <w:basedOn w:val="Normal"/>
    <w:next w:val="Normal"/>
    <w:rsid w:val="00081B7A"/>
    <w:pPr>
      <w:numPr>
        <w:ilvl w:val="3"/>
        <w:numId w:val="17"/>
      </w:numPr>
      <w:jc w:val="center"/>
    </w:pPr>
    <w:rPr>
      <w:rFonts w:eastAsia="Times New Roman"/>
      <w:b/>
      <w:u w:val="single"/>
      <w:lang w:val="fr-FR" w:eastAsia="en-GB"/>
    </w:rPr>
  </w:style>
  <w:style w:type="paragraph" w:customStyle="1" w:styleId="Annexetitreexposglobal">
    <w:name w:val="Annexe titre (exposé global)"/>
    <w:basedOn w:val="Normal"/>
    <w:next w:val="Normal"/>
    <w:rsid w:val="00081B7A"/>
    <w:pPr>
      <w:jc w:val="center"/>
    </w:pPr>
    <w:rPr>
      <w:rFonts w:eastAsia="Times New Roman"/>
      <w:b/>
      <w:u w:val="single"/>
      <w:lang w:val="fr-FR" w:eastAsia="en-GB"/>
    </w:rPr>
  </w:style>
  <w:style w:type="paragraph" w:customStyle="1" w:styleId="Annexetitrefichefinacte">
    <w:name w:val="Annexe titre (fiche fin. acte)"/>
    <w:basedOn w:val="Normal"/>
    <w:next w:val="Normal"/>
    <w:rsid w:val="00081B7A"/>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081B7A"/>
    <w:pPr>
      <w:jc w:val="center"/>
    </w:pPr>
    <w:rPr>
      <w:rFonts w:eastAsia="Times New Roman"/>
      <w:b/>
      <w:u w:val="single"/>
      <w:lang w:val="fr-FR" w:eastAsia="en-GB"/>
    </w:rPr>
  </w:style>
  <w:style w:type="paragraph" w:customStyle="1" w:styleId="Annexetitreglobale">
    <w:name w:val="Annexe titre (globale)"/>
    <w:basedOn w:val="Normal"/>
    <w:next w:val="Normal"/>
    <w:rsid w:val="00081B7A"/>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081B7A"/>
    <w:pPr>
      <w:jc w:val="center"/>
    </w:pPr>
    <w:rPr>
      <w:rFonts w:eastAsia="Times New Roman"/>
      <w:b/>
      <w:u w:val="single"/>
      <w:lang w:val="fr-FR" w:eastAsia="en-GB"/>
    </w:rPr>
  </w:style>
  <w:style w:type="paragraph" w:customStyle="1" w:styleId="Langueoriginale">
    <w:name w:val="Langue originale"/>
    <w:basedOn w:val="Normal"/>
    <w:rsid w:val="00081B7A"/>
    <w:pPr>
      <w:spacing w:before="360"/>
      <w:jc w:val="center"/>
    </w:pPr>
    <w:rPr>
      <w:rFonts w:eastAsia="Times New Roman"/>
      <w:caps/>
      <w:lang w:val="fr-FR" w:eastAsia="en-GB"/>
    </w:rPr>
  </w:style>
  <w:style w:type="paragraph" w:customStyle="1" w:styleId="Phrasefinale">
    <w:name w:val="Phrase finale"/>
    <w:basedOn w:val="Normal"/>
    <w:next w:val="Normal"/>
    <w:rsid w:val="00081B7A"/>
    <w:pPr>
      <w:spacing w:before="360" w:after="0"/>
      <w:jc w:val="center"/>
    </w:pPr>
    <w:rPr>
      <w:rFonts w:eastAsia="Times New Roman"/>
      <w:lang w:val="fr-FR" w:eastAsia="en-GB"/>
    </w:rPr>
  </w:style>
  <w:style w:type="paragraph" w:customStyle="1" w:styleId="Prliminairetitre">
    <w:name w:val="Préliminaire titre"/>
    <w:basedOn w:val="Normal"/>
    <w:next w:val="Normal"/>
    <w:rsid w:val="00081B7A"/>
    <w:pPr>
      <w:spacing w:before="360" w:after="360"/>
      <w:jc w:val="center"/>
    </w:pPr>
    <w:rPr>
      <w:rFonts w:eastAsia="Times New Roman"/>
      <w:b/>
      <w:lang w:val="fr-FR" w:eastAsia="en-GB"/>
    </w:rPr>
  </w:style>
  <w:style w:type="paragraph" w:customStyle="1" w:styleId="Prliminairetype">
    <w:name w:val="Préliminaire type"/>
    <w:basedOn w:val="Normal"/>
    <w:next w:val="Normal"/>
    <w:rsid w:val="00081B7A"/>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081B7A"/>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081B7A"/>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081B7A"/>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081B7A"/>
    <w:pPr>
      <w:spacing w:before="0" w:after="0"/>
      <w:jc w:val="center"/>
    </w:pPr>
    <w:rPr>
      <w:rFonts w:eastAsia="Times New Roman"/>
      <w:b/>
      <w:lang w:val="fr-FR" w:eastAsia="en-GB"/>
    </w:rPr>
  </w:style>
  <w:style w:type="paragraph" w:customStyle="1" w:styleId="Statutprliminaire">
    <w:name w:val="Statut (préliminaire)"/>
    <w:basedOn w:val="Normal"/>
    <w:next w:val="Normal"/>
    <w:rsid w:val="00081B7A"/>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081B7A"/>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081B7A"/>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081B7A"/>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081B7A"/>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081B7A"/>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081B7A"/>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081B7A"/>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081B7A"/>
    <w:pPr>
      <w:jc w:val="center"/>
    </w:pPr>
    <w:rPr>
      <w:rFonts w:eastAsia="Times New Roman"/>
      <w:b/>
      <w:u w:val="single"/>
      <w:lang w:val="fr-FR" w:eastAsia="en-GB"/>
    </w:rPr>
  </w:style>
  <w:style w:type="paragraph" w:styleId="BalloonText">
    <w:name w:val="Balloon Text"/>
    <w:basedOn w:val="Normal"/>
    <w:link w:val="BalloonTextChar"/>
    <w:rsid w:val="00081B7A"/>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081B7A"/>
    <w:rPr>
      <w:rFonts w:ascii="Tahoma" w:eastAsia="Times New Roman" w:hAnsi="Tahoma" w:cs="Tahoma"/>
      <w:sz w:val="16"/>
      <w:szCs w:val="16"/>
      <w:lang w:val="fr-FR" w:eastAsia="en-GB"/>
    </w:rPr>
  </w:style>
  <w:style w:type="paragraph" w:styleId="Caption">
    <w:name w:val="caption"/>
    <w:basedOn w:val="Normal"/>
    <w:next w:val="Normal"/>
    <w:qFormat/>
    <w:rsid w:val="00081B7A"/>
    <w:rPr>
      <w:rFonts w:eastAsia="Times New Roman"/>
      <w:b/>
      <w:bCs/>
      <w:sz w:val="20"/>
      <w:szCs w:val="20"/>
      <w:lang w:val="fr-FR" w:eastAsia="en-GB"/>
    </w:rPr>
  </w:style>
  <w:style w:type="paragraph" w:styleId="TableofFigures">
    <w:name w:val="table of figures"/>
    <w:basedOn w:val="Normal"/>
    <w:next w:val="Normal"/>
    <w:rsid w:val="00081B7A"/>
    <w:rPr>
      <w:rFonts w:eastAsia="Times New Roman"/>
      <w:lang w:val="fr-FR" w:eastAsia="en-GB"/>
    </w:rPr>
  </w:style>
  <w:style w:type="character" w:customStyle="1" w:styleId="tw4winMark">
    <w:name w:val="tw4winMark"/>
    <w:rsid w:val="00081B7A"/>
    <w:rPr>
      <w:vanish/>
      <w:color w:val="800080"/>
      <w:vertAlign w:val="subscript"/>
    </w:rPr>
  </w:style>
  <w:style w:type="paragraph" w:customStyle="1" w:styleId="Sous-titreobjet">
    <w:name w:val="Sous-titre objet"/>
    <w:basedOn w:val="Normal"/>
    <w:rsid w:val="00081B7A"/>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081B7A"/>
  </w:style>
  <w:style w:type="paragraph" w:customStyle="1" w:styleId="FooterCoverPage">
    <w:name w:val="Footer Cover Page"/>
    <w:basedOn w:val="Normal"/>
    <w:link w:val="FooterCoverPageChar"/>
    <w:rsid w:val="00081B7A"/>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081B7A"/>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081B7A"/>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081B7A"/>
    <w:rPr>
      <w:rFonts w:ascii="Times New Roman" w:eastAsia="Calibri" w:hAnsi="Times New Roman" w:cs="Times New Roman"/>
      <w:sz w:val="24"/>
      <w:lang w:val="en-GB" w:eastAsia="en-GB"/>
    </w:rPr>
  </w:style>
  <w:style w:type="character" w:customStyle="1" w:styleId="FooterSensitivityChar">
    <w:name w:val="Footer Sensitivity Char"/>
    <w:rsid w:val="00081B7A"/>
    <w:rPr>
      <w:rFonts w:ascii="Times New Roman" w:hAnsi="Times New Roman" w:cs="Times New Roman"/>
      <w:b/>
      <w:sz w:val="32"/>
      <w:lang w:val="en-GB"/>
    </w:rPr>
  </w:style>
  <w:style w:type="character" w:customStyle="1" w:styleId="HeaderSensitivityChar">
    <w:name w:val="Header Sensitivity Char"/>
    <w:rsid w:val="00081B7A"/>
    <w:rPr>
      <w:rFonts w:ascii="Times New Roman" w:hAnsi="Times New Roman" w:cs="Times New Roman"/>
      <w:b/>
      <w:sz w:val="32"/>
      <w:lang w:val="en-GB"/>
    </w:rPr>
  </w:style>
  <w:style w:type="character" w:customStyle="1" w:styleId="HeaderSensitivityRightChar">
    <w:name w:val="Header Sensitivity Right Char"/>
    <w:rsid w:val="00081B7A"/>
    <w:rPr>
      <w:rFonts w:ascii="Times New Roman" w:hAnsi="Times New Roman" w:cs="Times New Roman"/>
      <w:sz w:val="28"/>
      <w:lang w:val="en-GB"/>
    </w:rPr>
  </w:style>
  <w:style w:type="character" w:styleId="PageNumber">
    <w:name w:val="page number"/>
    <w:rsid w:val="00081B7A"/>
  </w:style>
  <w:style w:type="table" w:customStyle="1" w:styleId="CV11">
    <w:name w:val="CV11"/>
    <w:basedOn w:val="TableNormal"/>
    <w:next w:val="TableGrid"/>
    <w:uiPriority w:val="59"/>
    <w:rsid w:val="00081B7A"/>
    <w:pPr>
      <w:numPr>
        <w:numId w:val="95"/>
      </w:numPr>
      <w:tabs>
        <w:tab w:val="clear" w:pos="1984"/>
        <w:tab w:val="num" w:pos="283"/>
        <w:tab w:val="num" w:pos="720"/>
        <w:tab w:val="num" w:pos="850"/>
        <w:tab w:val="num" w:pos="1417"/>
        <w:tab w:val="num" w:pos="2551"/>
      </w:tabs>
      <w:spacing w:after="0" w:line="240" w:lineRule="auto"/>
      <w:ind w:left="283" w:hanging="283"/>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81B7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81B7A"/>
    <w:rPr>
      <w:rFonts w:eastAsiaTheme="minorEastAsia"/>
      <w:color w:val="5A5A5A" w:themeColor="text1" w:themeTint="A5"/>
      <w:spacing w:val="15"/>
      <w:lang w:val="en-GB"/>
    </w:rPr>
  </w:style>
  <w:style w:type="paragraph" w:customStyle="1" w:styleId="ChapterTitle0">
    <w:name w:val="ChapterTitle0"/>
    <w:basedOn w:val="Normal"/>
    <w:next w:val="Normal"/>
    <w:rsid w:val="00081B7A"/>
    <w:pPr>
      <w:keepNext/>
      <w:spacing w:after="360"/>
      <w:jc w:val="center"/>
    </w:pPr>
    <w:rPr>
      <w:b/>
      <w:sz w:val="32"/>
    </w:rPr>
  </w:style>
  <w:style w:type="paragraph" w:customStyle="1" w:styleId="Annexetitre0">
    <w:name w:val="Annexe titre0"/>
    <w:basedOn w:val="Normal"/>
    <w:next w:val="Normal"/>
    <w:rsid w:val="00081B7A"/>
    <w:pPr>
      <w:jc w:val="center"/>
    </w:pPr>
    <w:rPr>
      <w:b/>
      <w:u w:val="single"/>
    </w:rPr>
  </w:style>
  <w:style w:type="paragraph" w:customStyle="1" w:styleId="Titrearticle0">
    <w:name w:val="Titre article0"/>
    <w:basedOn w:val="Normal"/>
    <w:next w:val="Normal"/>
    <w:rsid w:val="00081B7A"/>
    <w:pPr>
      <w:keepNext/>
      <w:spacing w:before="360"/>
      <w:jc w:val="center"/>
    </w:pPr>
    <w:rPr>
      <w:i/>
    </w:rPr>
  </w:style>
  <w:style w:type="paragraph" w:customStyle="1" w:styleId="ChapterTitle1">
    <w:name w:val="ChapterTitle1"/>
    <w:basedOn w:val="Normal"/>
    <w:next w:val="Normal"/>
    <w:rsid w:val="00081B7A"/>
    <w:pPr>
      <w:keepNext/>
      <w:spacing w:after="360"/>
      <w:jc w:val="center"/>
    </w:pPr>
    <w:rPr>
      <w:b/>
      <w:sz w:val="32"/>
    </w:rPr>
  </w:style>
  <w:style w:type="paragraph" w:customStyle="1" w:styleId="Annexetitre1">
    <w:name w:val="Annexe titre1"/>
    <w:basedOn w:val="Normal"/>
    <w:next w:val="Normal"/>
    <w:rsid w:val="00081B7A"/>
    <w:pPr>
      <w:jc w:val="center"/>
    </w:pPr>
    <w:rPr>
      <w:b/>
      <w:u w:val="single"/>
    </w:rPr>
  </w:style>
  <w:style w:type="paragraph" w:customStyle="1" w:styleId="Titrearticle1">
    <w:name w:val="Titre article1"/>
    <w:basedOn w:val="Normal"/>
    <w:next w:val="Normal"/>
    <w:rsid w:val="00081B7A"/>
    <w:pPr>
      <w:keepNext/>
      <w:spacing w:before="360"/>
      <w:jc w:val="center"/>
    </w:pPr>
    <w:rPr>
      <w:i/>
    </w:rPr>
  </w:style>
  <w:style w:type="character" w:styleId="FootnoteReference0">
    <w:name w:val="footnote reference"/>
    <w:basedOn w:val="DefaultParagraphFont"/>
    <w:link w:val="CharCharChar1"/>
    <w:uiPriority w:val="99"/>
    <w:unhideWhenUsed/>
    <w:rPr>
      <w:shd w:val="clear" w:color="auto" w:fill="auto"/>
      <w:vertAlign w:val="superscript"/>
    </w:rPr>
  </w:style>
  <w:style w:type="paragraph" w:customStyle="1" w:styleId="ChapterTitle2">
    <w:name w:val="ChapterTitle"/>
    <w:basedOn w:val="Normal"/>
    <w:next w:val="Normal"/>
    <w:pPr>
      <w:keepNext/>
      <w:spacing w:after="360"/>
      <w:jc w:val="center"/>
    </w:pPr>
    <w:rPr>
      <w:b/>
      <w:sz w:val="32"/>
    </w:rPr>
  </w:style>
  <w:style w:type="paragraph" w:customStyle="1" w:styleId="Annexetitre2">
    <w:name w:val="Annexe titre"/>
    <w:basedOn w:val="Normal"/>
    <w:next w:val="Normal"/>
    <w:pPr>
      <w:jc w:val="center"/>
    </w:pPr>
    <w:rPr>
      <w:b/>
      <w:u w:val="single"/>
    </w:rPr>
  </w:style>
  <w:style w:type="paragraph" w:customStyle="1" w:styleId="Titrearticle2">
    <w:name w:val="Titre article"/>
    <w:basedOn w:val="Normal"/>
    <w:next w:val="Normal"/>
    <w:pPr>
      <w:keepNext/>
      <w:spacing w:before="360"/>
      <w:jc w:val="center"/>
    </w:pPr>
    <w:rPr>
      <w:i/>
    </w:rPr>
  </w:style>
  <w:style w:type="character" w:customStyle="1" w:styleId="UnresolvedMention1">
    <w:name w:val="Unresolved Mention1"/>
    <w:basedOn w:val="DefaultParagraphFont"/>
    <w:uiPriority w:val="99"/>
    <w:unhideWhenUsed/>
    <w:rsid w:val="00501613"/>
    <w:rPr>
      <w:color w:val="605E5C"/>
      <w:shd w:val="clear" w:color="auto" w:fill="E1DFDD"/>
    </w:rPr>
  </w:style>
  <w:style w:type="character" w:customStyle="1" w:styleId="Mention1">
    <w:name w:val="Mention1"/>
    <w:basedOn w:val="DefaultParagraphFont"/>
    <w:uiPriority w:val="99"/>
    <w:unhideWhenUsed/>
    <w:rsid w:val="00501613"/>
    <w:rPr>
      <w:color w:val="2B579A"/>
      <w:shd w:val="clear" w:color="auto" w:fill="E1DFDD"/>
    </w:rPr>
  </w:style>
  <w:style w:type="table" w:styleId="GridTable1Light">
    <w:name w:val="Grid Table 1 Light"/>
    <w:basedOn w:val="TableNormal"/>
    <w:uiPriority w:val="46"/>
    <w:rsid w:val="006A76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A67F73"/>
    <w:rPr>
      <w:rFonts w:ascii="Segoe UI" w:hAnsi="Segoe UI" w:cs="Segoe UI" w:hint="default"/>
      <w:sz w:val="18"/>
      <w:szCs w:val="18"/>
    </w:rPr>
  </w:style>
  <w:style w:type="paragraph" w:customStyle="1" w:styleId="ChapterTitle20">
    <w:name w:val="ChapterTitle2"/>
    <w:basedOn w:val="Normal"/>
    <w:next w:val="Normal"/>
    <w:pPr>
      <w:keepNext/>
      <w:spacing w:after="360"/>
      <w:jc w:val="center"/>
    </w:pPr>
    <w:rPr>
      <w:b/>
      <w:sz w:val="32"/>
    </w:rPr>
  </w:style>
  <w:style w:type="paragraph" w:customStyle="1" w:styleId="Annexetitre20">
    <w:name w:val="Annexe titre2"/>
    <w:basedOn w:val="Normal"/>
    <w:next w:val="Normal"/>
    <w:pPr>
      <w:jc w:val="center"/>
    </w:pPr>
    <w:rPr>
      <w:b/>
      <w:u w:val="single"/>
    </w:rPr>
  </w:style>
  <w:style w:type="paragraph" w:customStyle="1" w:styleId="Titrearticle20">
    <w:name w:val="Titre article2"/>
    <w:basedOn w:val="Normal"/>
    <w:next w:val="Normal"/>
    <w:pPr>
      <w:keepNext/>
      <w:spacing w:before="360"/>
      <w:jc w:val="center"/>
    </w:pPr>
    <w:rPr>
      <w:i/>
    </w:rPr>
  </w:style>
  <w:style w:type="paragraph" w:customStyle="1" w:styleId="ChapterTitle3">
    <w:name w:val="ChapterTitle3"/>
    <w:basedOn w:val="Normal"/>
    <w:next w:val="Normal"/>
    <w:pPr>
      <w:keepNext/>
      <w:spacing w:after="360"/>
      <w:jc w:val="center"/>
    </w:pPr>
    <w:rPr>
      <w:b/>
      <w:sz w:val="32"/>
    </w:rPr>
  </w:style>
  <w:style w:type="paragraph" w:customStyle="1" w:styleId="Annexetitre3">
    <w:name w:val="Annexe titre3"/>
    <w:basedOn w:val="Normal"/>
    <w:next w:val="Normal"/>
    <w:pPr>
      <w:jc w:val="center"/>
    </w:pPr>
    <w:rPr>
      <w:b/>
      <w:u w:val="single"/>
    </w:rPr>
  </w:style>
  <w:style w:type="paragraph" w:customStyle="1" w:styleId="Titrearticle3">
    <w:name w:val="Titre article3"/>
    <w:basedOn w:val="Normal"/>
    <w:next w:val="Normal"/>
    <w:pPr>
      <w:keepNext/>
      <w:spacing w:before="360"/>
      <w:jc w:val="center"/>
    </w:pPr>
    <w:rPr>
      <w:i/>
    </w:rPr>
  </w:style>
  <w:style w:type="paragraph" w:customStyle="1" w:styleId="ChapterTitle4">
    <w:name w:val="ChapterTitle4"/>
    <w:basedOn w:val="Normal"/>
    <w:next w:val="Normal"/>
    <w:pPr>
      <w:keepNext/>
      <w:spacing w:after="360"/>
      <w:jc w:val="center"/>
    </w:pPr>
    <w:rPr>
      <w:b/>
      <w:sz w:val="32"/>
    </w:rPr>
  </w:style>
  <w:style w:type="paragraph" w:customStyle="1" w:styleId="Annexetitre4">
    <w:name w:val="Annexe titre4"/>
    <w:basedOn w:val="Normal"/>
    <w:next w:val="Normal"/>
    <w:pPr>
      <w:jc w:val="center"/>
    </w:pPr>
    <w:rPr>
      <w:b/>
      <w:u w:val="single"/>
    </w:rPr>
  </w:style>
  <w:style w:type="paragraph" w:customStyle="1" w:styleId="Titrearticle4">
    <w:name w:val="Titre article4"/>
    <w:basedOn w:val="Normal"/>
    <w:next w:val="Normal"/>
    <w:pPr>
      <w:keepNext/>
      <w:spacing w:before="360"/>
      <w:jc w:val="center"/>
    </w:pPr>
    <w:rPr>
      <w:i/>
    </w:rPr>
  </w:style>
  <w:style w:type="paragraph" w:customStyle="1" w:styleId="ChapterTitle5">
    <w:name w:val="ChapterTitle5"/>
    <w:basedOn w:val="Normal"/>
    <w:next w:val="Normal"/>
    <w:pPr>
      <w:keepNext/>
      <w:spacing w:after="360"/>
      <w:jc w:val="center"/>
    </w:pPr>
    <w:rPr>
      <w:b/>
      <w:sz w:val="32"/>
    </w:rPr>
  </w:style>
  <w:style w:type="paragraph" w:customStyle="1" w:styleId="Annexetitre5">
    <w:name w:val="Annexe titre5"/>
    <w:basedOn w:val="Normal"/>
    <w:next w:val="Normal"/>
    <w:pPr>
      <w:jc w:val="center"/>
    </w:pPr>
    <w:rPr>
      <w:b/>
      <w:u w:val="single"/>
    </w:rPr>
  </w:style>
  <w:style w:type="paragraph" w:customStyle="1" w:styleId="Titrearticle5">
    <w:name w:val="Titre article5"/>
    <w:basedOn w:val="Normal"/>
    <w:next w:val="Normal"/>
    <w:pPr>
      <w:keepNext/>
      <w:spacing w:before="360"/>
      <w:jc w:val="center"/>
    </w:pPr>
    <w:rPr>
      <w:i/>
    </w:rPr>
  </w:style>
  <w:style w:type="paragraph" w:customStyle="1" w:styleId="ChapterTitle6">
    <w:name w:val="ChapterTitle6"/>
    <w:basedOn w:val="Normal"/>
    <w:next w:val="Normal"/>
    <w:pPr>
      <w:keepNext/>
      <w:spacing w:after="360"/>
      <w:jc w:val="center"/>
    </w:pPr>
    <w:rPr>
      <w:b/>
      <w:sz w:val="32"/>
    </w:rPr>
  </w:style>
  <w:style w:type="paragraph" w:customStyle="1" w:styleId="Annexetitre6">
    <w:name w:val="Annexe titre6"/>
    <w:basedOn w:val="Normal"/>
    <w:next w:val="Normal"/>
    <w:pPr>
      <w:jc w:val="center"/>
    </w:pPr>
    <w:rPr>
      <w:b/>
      <w:u w:val="single"/>
    </w:rPr>
  </w:style>
  <w:style w:type="paragraph" w:customStyle="1" w:styleId="Titrearticle6">
    <w:name w:val="Titre article6"/>
    <w:basedOn w:val="Normal"/>
    <w:next w:val="Normal"/>
    <w:pPr>
      <w:keepNext/>
      <w:spacing w:before="360"/>
      <w:jc w:val="center"/>
    </w:pPr>
    <w:rPr>
      <w:i/>
    </w:rPr>
  </w:style>
  <w:style w:type="paragraph" w:customStyle="1" w:styleId="ChapterTitle7">
    <w:name w:val="ChapterTitle7"/>
    <w:basedOn w:val="Normal"/>
    <w:next w:val="Normal"/>
    <w:pPr>
      <w:keepNext/>
      <w:spacing w:after="360"/>
      <w:jc w:val="center"/>
    </w:pPr>
    <w:rPr>
      <w:b/>
      <w:sz w:val="32"/>
    </w:rPr>
  </w:style>
  <w:style w:type="paragraph" w:customStyle="1" w:styleId="Annexetitre7">
    <w:name w:val="Annexe titre7"/>
    <w:basedOn w:val="Normal"/>
    <w:next w:val="Normal"/>
    <w:pPr>
      <w:jc w:val="center"/>
    </w:pPr>
    <w:rPr>
      <w:b/>
      <w:u w:val="single"/>
    </w:rPr>
  </w:style>
  <w:style w:type="paragraph" w:customStyle="1" w:styleId="Titrearticle7">
    <w:name w:val="Titre article7"/>
    <w:basedOn w:val="Normal"/>
    <w:next w:val="Normal"/>
    <w:pPr>
      <w:keepNext/>
      <w:spacing w:before="360"/>
      <w:jc w:val="center"/>
    </w:pPr>
    <w:rPr>
      <w:i/>
    </w:rPr>
  </w:style>
  <w:style w:type="paragraph" w:customStyle="1" w:styleId="ChapterTitle8">
    <w:name w:val="ChapterTitle8"/>
    <w:basedOn w:val="Normal"/>
    <w:next w:val="Normal"/>
    <w:pPr>
      <w:keepNext/>
      <w:spacing w:after="360"/>
      <w:jc w:val="center"/>
    </w:pPr>
    <w:rPr>
      <w:b/>
      <w:sz w:val="32"/>
    </w:rPr>
  </w:style>
  <w:style w:type="paragraph" w:customStyle="1" w:styleId="Annexetitre8">
    <w:name w:val="Annexe titre8"/>
    <w:basedOn w:val="Normal"/>
    <w:next w:val="Normal"/>
    <w:pPr>
      <w:jc w:val="center"/>
    </w:pPr>
    <w:rPr>
      <w:b/>
      <w:u w:val="single"/>
    </w:rPr>
  </w:style>
  <w:style w:type="paragraph" w:customStyle="1" w:styleId="Titrearticle8">
    <w:name w:val="Titre article8"/>
    <w:basedOn w:val="Normal"/>
    <w:next w:val="Normal"/>
    <w:pPr>
      <w:keepNext/>
      <w:spacing w:before="360"/>
      <w:jc w:val="center"/>
    </w:pPr>
    <w:rPr>
      <w:i/>
    </w:rPr>
  </w:style>
  <w:style w:type="paragraph" w:customStyle="1" w:styleId="ChapterTitle9">
    <w:name w:val="ChapterTitle9"/>
    <w:basedOn w:val="Normal"/>
    <w:next w:val="Normal"/>
    <w:pPr>
      <w:keepNext/>
      <w:spacing w:after="360"/>
      <w:jc w:val="center"/>
    </w:pPr>
    <w:rPr>
      <w:b/>
      <w:sz w:val="32"/>
    </w:rPr>
  </w:style>
  <w:style w:type="paragraph" w:customStyle="1" w:styleId="Annexetitre9">
    <w:name w:val="Annexe titre9"/>
    <w:basedOn w:val="Normal"/>
    <w:next w:val="Normal"/>
    <w:pPr>
      <w:jc w:val="center"/>
    </w:pPr>
    <w:rPr>
      <w:b/>
      <w:u w:val="single"/>
    </w:rPr>
  </w:style>
  <w:style w:type="paragraph" w:customStyle="1" w:styleId="Titrearticle9">
    <w:name w:val="Titre article9"/>
    <w:basedOn w:val="Normal"/>
    <w:next w:val="Normal"/>
    <w:pPr>
      <w:keepNext/>
      <w:spacing w:before="360"/>
      <w:jc w:val="center"/>
    </w:pPr>
    <w:rPr>
      <w:i/>
    </w:rPr>
  </w:style>
  <w:style w:type="paragraph" w:customStyle="1" w:styleId="ChapterTitle10">
    <w:name w:val="ChapterTitle10"/>
    <w:basedOn w:val="Normal"/>
    <w:next w:val="Normal"/>
    <w:pPr>
      <w:keepNext/>
      <w:spacing w:after="360"/>
      <w:jc w:val="center"/>
    </w:pPr>
    <w:rPr>
      <w:b/>
      <w:sz w:val="32"/>
    </w:rPr>
  </w:style>
  <w:style w:type="paragraph" w:customStyle="1" w:styleId="Annexetitre10">
    <w:name w:val="Annexe titre10"/>
    <w:basedOn w:val="Normal"/>
    <w:next w:val="Normal"/>
    <w:pPr>
      <w:jc w:val="center"/>
    </w:pPr>
    <w:rPr>
      <w:b/>
      <w:u w:val="single"/>
    </w:rPr>
  </w:style>
  <w:style w:type="paragraph" w:customStyle="1" w:styleId="Titrearticle10">
    <w:name w:val="Titre article10"/>
    <w:basedOn w:val="Normal"/>
    <w:next w:val="Normal"/>
    <w:pPr>
      <w:keepNext/>
      <w:spacing w:before="360"/>
      <w:jc w:val="center"/>
    </w:pPr>
    <w:rPr>
      <w:i/>
    </w:rPr>
  </w:style>
  <w:style w:type="paragraph" w:customStyle="1" w:styleId="ChapterTitle11">
    <w:name w:val="ChapterTitle11"/>
    <w:basedOn w:val="Normal"/>
    <w:next w:val="Normal"/>
    <w:pPr>
      <w:keepNext/>
      <w:spacing w:after="360"/>
      <w:jc w:val="center"/>
    </w:pPr>
    <w:rPr>
      <w:b/>
      <w:sz w:val="32"/>
    </w:rPr>
  </w:style>
  <w:style w:type="paragraph" w:customStyle="1" w:styleId="Annexetitre11">
    <w:name w:val="Annexe titre11"/>
    <w:basedOn w:val="Normal"/>
    <w:next w:val="Normal"/>
    <w:pPr>
      <w:jc w:val="center"/>
    </w:pPr>
    <w:rPr>
      <w:b/>
      <w:u w:val="single"/>
    </w:rPr>
  </w:style>
  <w:style w:type="paragraph" w:customStyle="1" w:styleId="Titrearticle11">
    <w:name w:val="Titre article11"/>
    <w:basedOn w:val="Normal"/>
    <w:next w:val="Normal"/>
    <w:pPr>
      <w:keepNext/>
      <w:spacing w:before="360"/>
      <w:jc w:val="center"/>
    </w:pPr>
    <w:rPr>
      <w:i/>
    </w:rPr>
  </w:style>
  <w:style w:type="paragraph" w:customStyle="1" w:styleId="ChapterTitle12">
    <w:name w:val="ChapterTitle12"/>
    <w:basedOn w:val="Normal"/>
    <w:next w:val="Normal"/>
    <w:pPr>
      <w:keepNext/>
      <w:spacing w:after="360"/>
      <w:jc w:val="center"/>
    </w:pPr>
    <w:rPr>
      <w:b/>
      <w:sz w:val="32"/>
    </w:rPr>
  </w:style>
  <w:style w:type="paragraph" w:customStyle="1" w:styleId="Annexetitre12">
    <w:name w:val="Annexe titre12"/>
    <w:basedOn w:val="Normal"/>
    <w:next w:val="Normal"/>
    <w:pPr>
      <w:jc w:val="center"/>
    </w:pPr>
    <w:rPr>
      <w:b/>
      <w:u w:val="single"/>
    </w:rPr>
  </w:style>
  <w:style w:type="paragraph" w:customStyle="1" w:styleId="Titrearticle12">
    <w:name w:val="Titre article12"/>
    <w:basedOn w:val="Normal"/>
    <w:next w:val="Normal"/>
    <w:pPr>
      <w:keepNext/>
      <w:spacing w:before="360"/>
      <w:jc w:val="center"/>
    </w:pPr>
    <w:rPr>
      <w:i/>
    </w:rPr>
  </w:style>
  <w:style w:type="paragraph" w:styleId="Header">
    <w:name w:val="header"/>
    <w:basedOn w:val="Normal"/>
    <w:link w:val="HeaderChar"/>
    <w:uiPriority w:val="99"/>
    <w:unhideWhenUsed/>
    <w:rsid w:val="008D52AB"/>
    <w:pPr>
      <w:tabs>
        <w:tab w:val="center" w:pos="4535"/>
        <w:tab w:val="right" w:pos="9071"/>
      </w:tabs>
      <w:spacing w:before="0"/>
    </w:pPr>
  </w:style>
  <w:style w:type="character" w:customStyle="1" w:styleId="HeaderChar">
    <w:name w:val="Header Char"/>
    <w:basedOn w:val="DefaultParagraphFont"/>
    <w:link w:val="Header"/>
    <w:uiPriority w:val="99"/>
    <w:rsid w:val="008D52AB"/>
    <w:rPr>
      <w:rFonts w:ascii="Times New Roman" w:hAnsi="Times New Roman" w:cs="Times New Roman"/>
      <w:sz w:val="24"/>
      <w:lang w:val="en-GB"/>
    </w:rPr>
  </w:style>
  <w:style w:type="paragraph" w:styleId="Footer">
    <w:name w:val="footer"/>
    <w:basedOn w:val="Normal"/>
    <w:link w:val="FooterChar"/>
    <w:uiPriority w:val="99"/>
    <w:unhideWhenUsed/>
    <w:rsid w:val="008D52AB"/>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D52AB"/>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8D52AB"/>
    <w:pPr>
      <w:tabs>
        <w:tab w:val="center" w:pos="7285"/>
        <w:tab w:val="right" w:pos="14003"/>
      </w:tabs>
      <w:spacing w:before="0"/>
    </w:pPr>
  </w:style>
  <w:style w:type="paragraph" w:customStyle="1" w:styleId="FooterLandscape">
    <w:name w:val="FooterLandscape"/>
    <w:basedOn w:val="Normal"/>
    <w:rsid w:val="008D52AB"/>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8D52A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D52AB"/>
    <w:pPr>
      <w:spacing w:before="0"/>
      <w:jc w:val="right"/>
    </w:pPr>
    <w:rPr>
      <w:sz w:val="28"/>
    </w:rPr>
  </w:style>
  <w:style w:type="paragraph" w:customStyle="1" w:styleId="FooterSensitivity">
    <w:name w:val="Footer Sensitivity"/>
    <w:basedOn w:val="Normal"/>
    <w:rsid w:val="008D52A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4"/>
      </w:numPr>
    </w:pPr>
  </w:style>
  <w:style w:type="paragraph" w:customStyle="1" w:styleId="Tiret1">
    <w:name w:val="Tiret 1"/>
    <w:basedOn w:val="Point1"/>
    <w:pPr>
      <w:numPr>
        <w:numId w:val="85"/>
      </w:numPr>
    </w:pPr>
  </w:style>
  <w:style w:type="paragraph" w:customStyle="1" w:styleId="Tiret2">
    <w:name w:val="Tiret 2"/>
    <w:basedOn w:val="Point2"/>
    <w:pPr>
      <w:numPr>
        <w:numId w:val="86"/>
      </w:numPr>
    </w:pPr>
  </w:style>
  <w:style w:type="paragraph" w:customStyle="1" w:styleId="Tiret3">
    <w:name w:val="Tiret 3"/>
    <w:basedOn w:val="Point3"/>
    <w:pPr>
      <w:numPr>
        <w:numId w:val="87"/>
      </w:numPr>
    </w:pPr>
  </w:style>
  <w:style w:type="paragraph" w:customStyle="1" w:styleId="Tiret4">
    <w:name w:val="Tiret 4"/>
    <w:basedOn w:val="Point4"/>
    <w:pPr>
      <w:numPr>
        <w:numId w:val="88"/>
      </w:numPr>
    </w:pPr>
  </w:style>
  <w:style w:type="paragraph" w:customStyle="1" w:styleId="Tiret5">
    <w:name w:val="Tiret 5"/>
    <w:basedOn w:val="Point5"/>
    <w:pPr>
      <w:numPr>
        <w:numId w:val="8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0"/>
      </w:numPr>
    </w:pPr>
  </w:style>
  <w:style w:type="paragraph" w:customStyle="1" w:styleId="NumPar2">
    <w:name w:val="NumPar 2"/>
    <w:basedOn w:val="Normal"/>
    <w:next w:val="Text1"/>
    <w:pPr>
      <w:numPr>
        <w:ilvl w:val="1"/>
        <w:numId w:val="90"/>
      </w:numPr>
    </w:pPr>
  </w:style>
  <w:style w:type="paragraph" w:customStyle="1" w:styleId="NumPar3">
    <w:name w:val="NumPar 3"/>
    <w:basedOn w:val="Normal"/>
    <w:next w:val="Text1"/>
    <w:pPr>
      <w:numPr>
        <w:ilvl w:val="2"/>
        <w:numId w:val="90"/>
      </w:numPr>
    </w:pPr>
  </w:style>
  <w:style w:type="paragraph" w:customStyle="1" w:styleId="NumPar4">
    <w:name w:val="NumPar 4"/>
    <w:basedOn w:val="Normal"/>
    <w:next w:val="Text1"/>
    <w:pPr>
      <w:numPr>
        <w:ilvl w:val="3"/>
        <w:numId w:val="90"/>
      </w:numPr>
    </w:pPr>
  </w:style>
  <w:style w:type="paragraph" w:customStyle="1" w:styleId="NumPar5">
    <w:name w:val="NumPar 5"/>
    <w:basedOn w:val="Normal"/>
    <w:next w:val="Text2"/>
    <w:pPr>
      <w:numPr>
        <w:ilvl w:val="4"/>
        <w:numId w:val="90"/>
      </w:numPr>
    </w:pPr>
  </w:style>
  <w:style w:type="paragraph" w:customStyle="1" w:styleId="NumPar6">
    <w:name w:val="NumPar 6"/>
    <w:basedOn w:val="Normal"/>
    <w:next w:val="Text2"/>
    <w:pPr>
      <w:numPr>
        <w:ilvl w:val="5"/>
        <w:numId w:val="90"/>
      </w:numPr>
    </w:pPr>
  </w:style>
  <w:style w:type="paragraph" w:customStyle="1" w:styleId="NumPar7">
    <w:name w:val="NumPar 7"/>
    <w:basedOn w:val="Normal"/>
    <w:next w:val="Text2"/>
    <w:pPr>
      <w:numPr>
        <w:ilvl w:val="6"/>
        <w:numId w:val="9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13">
    <w:name w:val="ChapterTitle13"/>
    <w:basedOn w:val="Normal"/>
    <w:next w:val="Normal"/>
    <w:pPr>
      <w:keepNext/>
      <w:spacing w:after="360"/>
      <w:jc w:val="center"/>
    </w:pPr>
    <w:rPr>
      <w:b/>
      <w:sz w:val="32"/>
    </w:rPr>
  </w:style>
  <w:style w:type="paragraph" w:customStyle="1" w:styleId="PartTitle">
    <w:name w:val="PartTitle"/>
    <w:basedOn w:val="Normal"/>
    <w:next w:val="ChapterTitle13"/>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2"/>
      </w:numPr>
    </w:pPr>
  </w:style>
  <w:style w:type="paragraph" w:customStyle="1" w:styleId="Point1number">
    <w:name w:val="Point 1 (number)"/>
    <w:basedOn w:val="Normal"/>
    <w:pPr>
      <w:numPr>
        <w:ilvl w:val="2"/>
        <w:numId w:val="92"/>
      </w:numPr>
    </w:pPr>
  </w:style>
  <w:style w:type="paragraph" w:customStyle="1" w:styleId="Point2number">
    <w:name w:val="Point 2 (number)"/>
    <w:basedOn w:val="Normal"/>
    <w:pPr>
      <w:numPr>
        <w:ilvl w:val="4"/>
        <w:numId w:val="92"/>
      </w:numPr>
    </w:pPr>
  </w:style>
  <w:style w:type="paragraph" w:customStyle="1" w:styleId="Point3number">
    <w:name w:val="Point 3 (number)"/>
    <w:basedOn w:val="Normal"/>
    <w:pPr>
      <w:numPr>
        <w:ilvl w:val="6"/>
        <w:numId w:val="92"/>
      </w:numPr>
    </w:pPr>
  </w:style>
  <w:style w:type="paragraph" w:customStyle="1" w:styleId="Point0letter">
    <w:name w:val="Point 0 (letter)"/>
    <w:basedOn w:val="Normal"/>
    <w:pPr>
      <w:numPr>
        <w:ilvl w:val="1"/>
        <w:numId w:val="92"/>
      </w:numPr>
    </w:pPr>
  </w:style>
  <w:style w:type="paragraph" w:customStyle="1" w:styleId="Point1letter">
    <w:name w:val="Point 1 (letter)"/>
    <w:basedOn w:val="Normal"/>
    <w:pPr>
      <w:numPr>
        <w:ilvl w:val="3"/>
        <w:numId w:val="92"/>
      </w:numPr>
    </w:pPr>
  </w:style>
  <w:style w:type="paragraph" w:customStyle="1" w:styleId="Point2letter">
    <w:name w:val="Point 2 (letter)"/>
    <w:basedOn w:val="Normal"/>
    <w:pPr>
      <w:numPr>
        <w:ilvl w:val="5"/>
        <w:numId w:val="92"/>
      </w:numPr>
    </w:pPr>
  </w:style>
  <w:style w:type="paragraph" w:customStyle="1" w:styleId="Point3letter">
    <w:name w:val="Point 3 (letter)"/>
    <w:basedOn w:val="Normal"/>
    <w:pPr>
      <w:numPr>
        <w:ilvl w:val="7"/>
        <w:numId w:val="92"/>
      </w:numPr>
    </w:pPr>
  </w:style>
  <w:style w:type="paragraph" w:customStyle="1" w:styleId="Point4letter">
    <w:name w:val="Point 4 (letter)"/>
    <w:basedOn w:val="Normal"/>
    <w:pPr>
      <w:numPr>
        <w:ilvl w:val="8"/>
        <w:numId w:val="92"/>
      </w:numPr>
    </w:pPr>
  </w:style>
  <w:style w:type="paragraph" w:customStyle="1" w:styleId="Bullet0">
    <w:name w:val="Bullet 0"/>
    <w:basedOn w:val="Normal"/>
    <w:pPr>
      <w:numPr>
        <w:numId w:val="93"/>
      </w:numPr>
    </w:pPr>
  </w:style>
  <w:style w:type="paragraph" w:customStyle="1" w:styleId="Bullet1">
    <w:name w:val="Bullet 1"/>
    <w:basedOn w:val="Normal"/>
    <w:pPr>
      <w:numPr>
        <w:numId w:val="94"/>
      </w:numPr>
    </w:pPr>
  </w:style>
  <w:style w:type="paragraph" w:customStyle="1" w:styleId="Bullet2">
    <w:name w:val="Bullet 2"/>
    <w:basedOn w:val="Normal"/>
    <w:pPr>
      <w:numPr>
        <w:numId w:val="95"/>
      </w:numPr>
    </w:pPr>
  </w:style>
  <w:style w:type="paragraph" w:customStyle="1" w:styleId="Bullet3">
    <w:name w:val="Bullet 3"/>
    <w:basedOn w:val="Normal"/>
    <w:pPr>
      <w:numPr>
        <w:numId w:val="96"/>
      </w:numPr>
    </w:pPr>
  </w:style>
  <w:style w:type="paragraph" w:customStyle="1" w:styleId="Bullet4">
    <w:name w:val="Bullet 4"/>
    <w:basedOn w:val="Normal"/>
    <w:pPr>
      <w:numPr>
        <w:numId w:val="9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13">
    <w:name w:val="Annexe titre13"/>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13"/>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13">
    <w:name w:val="Titre article13"/>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13"/>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ChapterTitle110">
    <w:name w:val="ChapterTitle110"/>
    <w:basedOn w:val="Normal"/>
    <w:next w:val="Normal"/>
    <w:rsid w:val="0073279A"/>
    <w:pPr>
      <w:keepNext/>
      <w:spacing w:after="360"/>
      <w:jc w:val="center"/>
    </w:pPr>
    <w:rPr>
      <w:b/>
      <w:sz w:val="32"/>
    </w:rPr>
  </w:style>
  <w:style w:type="paragraph" w:customStyle="1" w:styleId="Annexetitre110">
    <w:name w:val="Annexe titre110"/>
    <w:basedOn w:val="Normal"/>
    <w:next w:val="Normal"/>
    <w:rsid w:val="0073279A"/>
    <w:pPr>
      <w:jc w:val="center"/>
    </w:pPr>
    <w:rPr>
      <w:b/>
      <w:u w:val="single"/>
    </w:rPr>
  </w:style>
  <w:style w:type="paragraph" w:customStyle="1" w:styleId="Titrearticle110">
    <w:name w:val="Titre article110"/>
    <w:basedOn w:val="Normal"/>
    <w:next w:val="Normal"/>
    <w:rsid w:val="0073279A"/>
    <w:pPr>
      <w:keepNext/>
      <w:spacing w:before="360"/>
      <w:jc w:val="center"/>
    </w:pPr>
    <w:rPr>
      <w:i/>
    </w:rPr>
  </w:style>
  <w:style w:type="paragraph" w:customStyle="1" w:styleId="ChapterTitle120">
    <w:name w:val="ChapterTitle120"/>
    <w:basedOn w:val="Normal"/>
    <w:next w:val="Normal"/>
    <w:rsid w:val="0073279A"/>
    <w:pPr>
      <w:keepNext/>
      <w:spacing w:after="360"/>
      <w:jc w:val="center"/>
    </w:pPr>
    <w:rPr>
      <w:b/>
      <w:sz w:val="32"/>
    </w:rPr>
  </w:style>
  <w:style w:type="paragraph" w:customStyle="1" w:styleId="Annexetitre120">
    <w:name w:val="Annexe titre120"/>
    <w:basedOn w:val="Normal"/>
    <w:next w:val="Normal"/>
    <w:rsid w:val="0073279A"/>
    <w:pPr>
      <w:jc w:val="center"/>
    </w:pPr>
    <w:rPr>
      <w:b/>
      <w:u w:val="single"/>
    </w:rPr>
  </w:style>
  <w:style w:type="paragraph" w:customStyle="1" w:styleId="Titrearticle120">
    <w:name w:val="Titre article120"/>
    <w:basedOn w:val="Normal"/>
    <w:next w:val="Normal"/>
    <w:rsid w:val="0073279A"/>
    <w:pPr>
      <w:keepNext/>
      <w:spacing w:before="360"/>
      <w:jc w:val="center"/>
    </w:pPr>
    <w:rPr>
      <w:i/>
    </w:rPr>
  </w:style>
  <w:style w:type="paragraph" w:customStyle="1" w:styleId="ChapterTitle130">
    <w:name w:val="ChapterTitle130"/>
    <w:basedOn w:val="Normal"/>
    <w:next w:val="Normal"/>
    <w:rsid w:val="0073279A"/>
    <w:pPr>
      <w:keepNext/>
      <w:spacing w:after="360"/>
      <w:jc w:val="center"/>
    </w:pPr>
    <w:rPr>
      <w:b/>
      <w:sz w:val="32"/>
    </w:rPr>
  </w:style>
  <w:style w:type="paragraph" w:customStyle="1" w:styleId="Annexetitre130">
    <w:name w:val="Annexe titre130"/>
    <w:basedOn w:val="Normal"/>
    <w:next w:val="Normal"/>
    <w:rsid w:val="0073279A"/>
    <w:pPr>
      <w:jc w:val="center"/>
    </w:pPr>
    <w:rPr>
      <w:b/>
      <w:u w:val="single"/>
    </w:rPr>
  </w:style>
  <w:style w:type="paragraph" w:customStyle="1" w:styleId="Titrearticle130">
    <w:name w:val="Titre article130"/>
    <w:basedOn w:val="Normal"/>
    <w:next w:val="Normal"/>
    <w:rsid w:val="0073279A"/>
    <w:pPr>
      <w:keepNext/>
      <w:spacing w:before="360"/>
      <w:jc w:val="center"/>
    </w:pPr>
    <w:rPr>
      <w:i/>
    </w:rPr>
  </w:style>
  <w:style w:type="paragraph" w:customStyle="1" w:styleId="ChapterTitle1100">
    <w:name w:val="ChapterTitle1100"/>
    <w:basedOn w:val="Normal"/>
    <w:next w:val="Normal"/>
    <w:rsid w:val="0073279A"/>
    <w:pPr>
      <w:keepNext/>
      <w:spacing w:after="360"/>
      <w:jc w:val="center"/>
    </w:pPr>
    <w:rPr>
      <w:b/>
      <w:sz w:val="32"/>
    </w:rPr>
  </w:style>
  <w:style w:type="paragraph" w:customStyle="1" w:styleId="Annexetitre1100">
    <w:name w:val="Annexe titre1100"/>
    <w:basedOn w:val="Normal"/>
    <w:next w:val="Normal"/>
    <w:rsid w:val="0073279A"/>
    <w:pPr>
      <w:jc w:val="center"/>
    </w:pPr>
    <w:rPr>
      <w:b/>
      <w:u w:val="single"/>
    </w:rPr>
  </w:style>
  <w:style w:type="paragraph" w:customStyle="1" w:styleId="Titrearticle1100">
    <w:name w:val="Titre article1100"/>
    <w:basedOn w:val="Normal"/>
    <w:next w:val="Normal"/>
    <w:rsid w:val="0073279A"/>
    <w:pPr>
      <w:keepNext/>
      <w:spacing w:before="360"/>
      <w:jc w:val="center"/>
    </w:pPr>
    <w:rPr>
      <w:i/>
    </w:rPr>
  </w:style>
  <w:style w:type="paragraph" w:customStyle="1" w:styleId="ChapterTitle1200">
    <w:name w:val="ChapterTitle1200"/>
    <w:basedOn w:val="Normal"/>
    <w:next w:val="Normal"/>
    <w:rsid w:val="0073279A"/>
    <w:pPr>
      <w:keepNext/>
      <w:spacing w:after="360"/>
      <w:jc w:val="center"/>
    </w:pPr>
    <w:rPr>
      <w:b/>
      <w:sz w:val="32"/>
    </w:rPr>
  </w:style>
  <w:style w:type="paragraph" w:customStyle="1" w:styleId="Annexetitre1200">
    <w:name w:val="Annexe titre1200"/>
    <w:basedOn w:val="Normal"/>
    <w:next w:val="Normal"/>
    <w:rsid w:val="0073279A"/>
    <w:pPr>
      <w:jc w:val="center"/>
    </w:pPr>
    <w:rPr>
      <w:b/>
      <w:u w:val="single"/>
    </w:rPr>
  </w:style>
  <w:style w:type="paragraph" w:customStyle="1" w:styleId="Titrearticle1200">
    <w:name w:val="Titre article1200"/>
    <w:basedOn w:val="Normal"/>
    <w:next w:val="Normal"/>
    <w:rsid w:val="0073279A"/>
    <w:pPr>
      <w:keepNext/>
      <w:spacing w:before="360"/>
      <w:jc w:val="center"/>
    </w:pPr>
    <w:rPr>
      <w:i/>
    </w:rPr>
  </w:style>
  <w:style w:type="paragraph" w:customStyle="1" w:styleId="ChapterTitle1300">
    <w:name w:val="ChapterTitle1300"/>
    <w:basedOn w:val="Normal"/>
    <w:next w:val="Normal"/>
    <w:rsid w:val="0073279A"/>
    <w:pPr>
      <w:keepNext/>
      <w:spacing w:after="360"/>
      <w:jc w:val="center"/>
    </w:pPr>
    <w:rPr>
      <w:b/>
      <w:sz w:val="32"/>
    </w:rPr>
  </w:style>
  <w:style w:type="paragraph" w:customStyle="1" w:styleId="Annexetitre1300">
    <w:name w:val="Annexe titre1300"/>
    <w:basedOn w:val="Normal"/>
    <w:next w:val="Normal"/>
    <w:rsid w:val="0073279A"/>
    <w:pPr>
      <w:jc w:val="center"/>
    </w:pPr>
    <w:rPr>
      <w:b/>
      <w:u w:val="single"/>
    </w:rPr>
  </w:style>
  <w:style w:type="paragraph" w:customStyle="1" w:styleId="Titrearticle1300">
    <w:name w:val="Titre article1300"/>
    <w:basedOn w:val="Normal"/>
    <w:next w:val="Normal"/>
    <w:rsid w:val="0073279A"/>
    <w:pPr>
      <w:keepNext/>
      <w:spacing w:before="360"/>
      <w:jc w:val="center"/>
    </w:pPr>
    <w:rPr>
      <w:i/>
    </w:rPr>
  </w:style>
  <w:style w:type="paragraph" w:customStyle="1" w:styleId="ChapterTitle11000">
    <w:name w:val="ChapterTitle11000"/>
    <w:basedOn w:val="Normal"/>
    <w:next w:val="Normal"/>
    <w:rsid w:val="0073279A"/>
    <w:pPr>
      <w:keepNext/>
      <w:spacing w:after="360"/>
      <w:jc w:val="center"/>
    </w:pPr>
    <w:rPr>
      <w:b/>
      <w:sz w:val="32"/>
    </w:rPr>
  </w:style>
  <w:style w:type="paragraph" w:customStyle="1" w:styleId="Annexetitre11000">
    <w:name w:val="Annexe titre11000"/>
    <w:basedOn w:val="Normal"/>
    <w:next w:val="Normal"/>
    <w:rsid w:val="0073279A"/>
    <w:pPr>
      <w:jc w:val="center"/>
    </w:pPr>
    <w:rPr>
      <w:b/>
      <w:u w:val="single"/>
    </w:rPr>
  </w:style>
  <w:style w:type="paragraph" w:customStyle="1" w:styleId="Titrearticle11000">
    <w:name w:val="Titre article11000"/>
    <w:basedOn w:val="Normal"/>
    <w:next w:val="Normal"/>
    <w:rsid w:val="0073279A"/>
    <w:pPr>
      <w:keepNext/>
      <w:spacing w:before="360"/>
      <w:jc w:val="center"/>
    </w:pPr>
    <w:rPr>
      <w:i/>
    </w:rPr>
  </w:style>
  <w:style w:type="paragraph" w:customStyle="1" w:styleId="ChapterTitle12000">
    <w:name w:val="ChapterTitle12000"/>
    <w:basedOn w:val="Normal"/>
    <w:next w:val="Normal"/>
    <w:rsid w:val="0073279A"/>
    <w:pPr>
      <w:keepNext/>
      <w:spacing w:after="360"/>
      <w:jc w:val="center"/>
    </w:pPr>
    <w:rPr>
      <w:b/>
      <w:sz w:val="32"/>
    </w:rPr>
  </w:style>
  <w:style w:type="paragraph" w:customStyle="1" w:styleId="Annexetitre12000">
    <w:name w:val="Annexe titre12000"/>
    <w:basedOn w:val="Normal"/>
    <w:next w:val="Normal"/>
    <w:rsid w:val="0073279A"/>
    <w:pPr>
      <w:jc w:val="center"/>
    </w:pPr>
    <w:rPr>
      <w:b/>
      <w:u w:val="single"/>
    </w:rPr>
  </w:style>
  <w:style w:type="paragraph" w:customStyle="1" w:styleId="Titrearticle12000">
    <w:name w:val="Titre article12000"/>
    <w:basedOn w:val="Normal"/>
    <w:next w:val="Normal"/>
    <w:rsid w:val="0073279A"/>
    <w:pPr>
      <w:keepNext/>
      <w:spacing w:before="360"/>
      <w:jc w:val="center"/>
    </w:pPr>
    <w:rPr>
      <w:i/>
    </w:rPr>
  </w:style>
  <w:style w:type="paragraph" w:customStyle="1" w:styleId="ChapterTitle13000">
    <w:name w:val="ChapterTitle13000"/>
    <w:basedOn w:val="Normal"/>
    <w:next w:val="Normal"/>
    <w:rsid w:val="0073279A"/>
    <w:pPr>
      <w:keepNext/>
      <w:spacing w:after="360"/>
      <w:jc w:val="center"/>
    </w:pPr>
    <w:rPr>
      <w:b/>
      <w:sz w:val="32"/>
    </w:rPr>
  </w:style>
  <w:style w:type="paragraph" w:customStyle="1" w:styleId="Annexetitre13000">
    <w:name w:val="Annexe titre13000"/>
    <w:basedOn w:val="Normal"/>
    <w:next w:val="Normal"/>
    <w:rsid w:val="0073279A"/>
    <w:pPr>
      <w:jc w:val="center"/>
    </w:pPr>
    <w:rPr>
      <w:b/>
      <w:u w:val="single"/>
    </w:rPr>
  </w:style>
  <w:style w:type="paragraph" w:customStyle="1" w:styleId="Titrearticle13000">
    <w:name w:val="Titre article13000"/>
    <w:basedOn w:val="Normal"/>
    <w:next w:val="Normal"/>
    <w:rsid w:val="0073279A"/>
    <w:pPr>
      <w:keepNext/>
      <w:spacing w:before="360"/>
      <w:jc w:val="center"/>
    </w:pPr>
    <w:rPr>
      <w:i/>
    </w:rPr>
  </w:style>
  <w:style w:type="paragraph" w:customStyle="1" w:styleId="ChapterTitle110000">
    <w:name w:val="ChapterTitle110000"/>
    <w:basedOn w:val="Normal"/>
    <w:next w:val="Normal"/>
    <w:rsid w:val="0073279A"/>
    <w:pPr>
      <w:keepNext/>
      <w:spacing w:after="360"/>
      <w:jc w:val="center"/>
    </w:pPr>
    <w:rPr>
      <w:b/>
      <w:sz w:val="32"/>
    </w:rPr>
  </w:style>
  <w:style w:type="paragraph" w:customStyle="1" w:styleId="Annexetitre110000">
    <w:name w:val="Annexe titre110000"/>
    <w:basedOn w:val="Normal"/>
    <w:next w:val="Normal"/>
    <w:rsid w:val="0073279A"/>
    <w:pPr>
      <w:jc w:val="center"/>
    </w:pPr>
    <w:rPr>
      <w:b/>
      <w:u w:val="single"/>
    </w:rPr>
  </w:style>
  <w:style w:type="paragraph" w:customStyle="1" w:styleId="Titrearticle110000">
    <w:name w:val="Titre article110000"/>
    <w:basedOn w:val="Normal"/>
    <w:next w:val="Normal"/>
    <w:rsid w:val="0073279A"/>
    <w:pPr>
      <w:keepNext/>
      <w:spacing w:before="360"/>
      <w:jc w:val="center"/>
    </w:pPr>
    <w:rPr>
      <w:i/>
    </w:rPr>
  </w:style>
  <w:style w:type="paragraph" w:customStyle="1" w:styleId="ChapterTitle120000">
    <w:name w:val="ChapterTitle120000"/>
    <w:basedOn w:val="Normal"/>
    <w:next w:val="Normal"/>
    <w:rsid w:val="0073279A"/>
    <w:pPr>
      <w:keepNext/>
      <w:spacing w:after="360"/>
      <w:jc w:val="center"/>
    </w:pPr>
    <w:rPr>
      <w:b/>
      <w:sz w:val="32"/>
    </w:rPr>
  </w:style>
  <w:style w:type="paragraph" w:customStyle="1" w:styleId="Annexetitre120000">
    <w:name w:val="Annexe titre120000"/>
    <w:basedOn w:val="Normal"/>
    <w:next w:val="Normal"/>
    <w:rsid w:val="0073279A"/>
    <w:pPr>
      <w:jc w:val="center"/>
    </w:pPr>
    <w:rPr>
      <w:b/>
      <w:u w:val="single"/>
    </w:rPr>
  </w:style>
  <w:style w:type="paragraph" w:customStyle="1" w:styleId="Titrearticle120000">
    <w:name w:val="Titre article120000"/>
    <w:basedOn w:val="Normal"/>
    <w:next w:val="Normal"/>
    <w:rsid w:val="0073279A"/>
    <w:pPr>
      <w:keepNext/>
      <w:spacing w:before="360"/>
      <w:jc w:val="center"/>
    </w:pPr>
    <w:rPr>
      <w:i/>
    </w:rPr>
  </w:style>
  <w:style w:type="paragraph" w:customStyle="1" w:styleId="ChapterTitle130000">
    <w:name w:val="ChapterTitle130000"/>
    <w:basedOn w:val="Normal"/>
    <w:next w:val="Normal"/>
    <w:rsid w:val="0073279A"/>
    <w:pPr>
      <w:keepNext/>
      <w:spacing w:after="360"/>
      <w:jc w:val="center"/>
    </w:pPr>
    <w:rPr>
      <w:b/>
      <w:sz w:val="32"/>
    </w:rPr>
  </w:style>
  <w:style w:type="paragraph" w:customStyle="1" w:styleId="Annexetitre130000">
    <w:name w:val="Annexe titre130000"/>
    <w:basedOn w:val="Normal"/>
    <w:next w:val="Normal"/>
    <w:rsid w:val="0073279A"/>
    <w:pPr>
      <w:jc w:val="center"/>
    </w:pPr>
    <w:rPr>
      <w:b/>
      <w:u w:val="single"/>
    </w:rPr>
  </w:style>
  <w:style w:type="paragraph" w:customStyle="1" w:styleId="Titrearticle130000">
    <w:name w:val="Titre article130000"/>
    <w:basedOn w:val="Normal"/>
    <w:next w:val="Normal"/>
    <w:rsid w:val="0073279A"/>
    <w:pPr>
      <w:keepNext/>
      <w:spacing w:before="360"/>
      <w:jc w:val="center"/>
    </w:pPr>
    <w:rPr>
      <w:i/>
    </w:rPr>
  </w:style>
  <w:style w:type="paragraph" w:customStyle="1" w:styleId="ChapterTitle1100000">
    <w:name w:val="ChapterTitle1100000"/>
    <w:basedOn w:val="Normal"/>
    <w:next w:val="Normal"/>
    <w:rsid w:val="0073279A"/>
    <w:pPr>
      <w:keepNext/>
      <w:spacing w:after="360"/>
      <w:jc w:val="center"/>
    </w:pPr>
    <w:rPr>
      <w:b/>
      <w:sz w:val="32"/>
    </w:rPr>
  </w:style>
  <w:style w:type="paragraph" w:customStyle="1" w:styleId="Annexetitre1100000">
    <w:name w:val="Annexe titre1100000"/>
    <w:basedOn w:val="Normal"/>
    <w:next w:val="Normal"/>
    <w:rsid w:val="0073279A"/>
    <w:pPr>
      <w:jc w:val="center"/>
    </w:pPr>
    <w:rPr>
      <w:b/>
      <w:u w:val="single"/>
    </w:rPr>
  </w:style>
  <w:style w:type="paragraph" w:customStyle="1" w:styleId="Titrearticle1100000">
    <w:name w:val="Titre article1100000"/>
    <w:basedOn w:val="Normal"/>
    <w:next w:val="Normal"/>
    <w:rsid w:val="0073279A"/>
    <w:pPr>
      <w:keepNext/>
      <w:spacing w:before="360"/>
      <w:jc w:val="center"/>
    </w:pPr>
    <w:rPr>
      <w:i/>
    </w:rPr>
  </w:style>
  <w:style w:type="paragraph" w:customStyle="1" w:styleId="ChapterTitle1200000">
    <w:name w:val="ChapterTitle1200000"/>
    <w:basedOn w:val="Normal"/>
    <w:next w:val="Normal"/>
    <w:rsid w:val="0073279A"/>
    <w:pPr>
      <w:keepNext/>
      <w:spacing w:after="360"/>
      <w:jc w:val="center"/>
    </w:pPr>
    <w:rPr>
      <w:b/>
      <w:sz w:val="32"/>
    </w:rPr>
  </w:style>
  <w:style w:type="paragraph" w:customStyle="1" w:styleId="Annexetitre1200000">
    <w:name w:val="Annexe titre1200000"/>
    <w:basedOn w:val="Normal"/>
    <w:next w:val="Normal"/>
    <w:rsid w:val="0073279A"/>
    <w:pPr>
      <w:jc w:val="center"/>
    </w:pPr>
    <w:rPr>
      <w:b/>
      <w:u w:val="single"/>
    </w:rPr>
  </w:style>
  <w:style w:type="paragraph" w:customStyle="1" w:styleId="Titrearticle1200000">
    <w:name w:val="Titre article1200000"/>
    <w:basedOn w:val="Normal"/>
    <w:next w:val="Normal"/>
    <w:rsid w:val="0073279A"/>
    <w:pPr>
      <w:keepNext/>
      <w:spacing w:before="360"/>
      <w:jc w:val="center"/>
    </w:pPr>
    <w:rPr>
      <w:i/>
    </w:rPr>
  </w:style>
  <w:style w:type="paragraph" w:customStyle="1" w:styleId="ChapterTitle1300000">
    <w:name w:val="ChapterTitle1300000"/>
    <w:basedOn w:val="Normal"/>
    <w:next w:val="Normal"/>
    <w:rsid w:val="0073279A"/>
    <w:pPr>
      <w:keepNext/>
      <w:spacing w:after="360"/>
      <w:jc w:val="center"/>
    </w:pPr>
    <w:rPr>
      <w:b/>
      <w:sz w:val="32"/>
    </w:rPr>
  </w:style>
  <w:style w:type="paragraph" w:customStyle="1" w:styleId="Annexetitre1300000">
    <w:name w:val="Annexe titre1300000"/>
    <w:basedOn w:val="Normal"/>
    <w:next w:val="Normal"/>
    <w:rsid w:val="0073279A"/>
    <w:pPr>
      <w:jc w:val="center"/>
    </w:pPr>
    <w:rPr>
      <w:b/>
      <w:u w:val="single"/>
    </w:rPr>
  </w:style>
  <w:style w:type="paragraph" w:customStyle="1" w:styleId="Titrearticle1300000">
    <w:name w:val="Titre article1300000"/>
    <w:basedOn w:val="Normal"/>
    <w:next w:val="Normal"/>
    <w:rsid w:val="0073279A"/>
    <w:pPr>
      <w:keepNext/>
      <w:spacing w:before="360"/>
      <w:jc w:val="center"/>
    </w:pPr>
    <w:rPr>
      <w:i/>
    </w:rPr>
  </w:style>
  <w:style w:type="paragraph" w:customStyle="1" w:styleId="ChapterTitle11000000">
    <w:name w:val="ChapterTitle11000000"/>
    <w:basedOn w:val="Normal"/>
    <w:next w:val="Normal"/>
    <w:rsid w:val="0073279A"/>
    <w:pPr>
      <w:keepNext/>
      <w:spacing w:after="360"/>
      <w:jc w:val="center"/>
    </w:pPr>
    <w:rPr>
      <w:b/>
      <w:sz w:val="32"/>
    </w:rPr>
  </w:style>
  <w:style w:type="paragraph" w:customStyle="1" w:styleId="Annexetitre11000000">
    <w:name w:val="Annexe titre11000000"/>
    <w:basedOn w:val="Normal"/>
    <w:next w:val="Normal"/>
    <w:rsid w:val="0073279A"/>
    <w:pPr>
      <w:jc w:val="center"/>
    </w:pPr>
    <w:rPr>
      <w:b/>
      <w:u w:val="single"/>
    </w:rPr>
  </w:style>
  <w:style w:type="paragraph" w:customStyle="1" w:styleId="Titrearticle11000000">
    <w:name w:val="Titre article11000000"/>
    <w:basedOn w:val="Normal"/>
    <w:next w:val="Normal"/>
    <w:rsid w:val="0073279A"/>
    <w:pPr>
      <w:keepNext/>
      <w:spacing w:before="360"/>
      <w:jc w:val="center"/>
    </w:pPr>
    <w:rPr>
      <w:i/>
    </w:rPr>
  </w:style>
  <w:style w:type="paragraph" w:customStyle="1" w:styleId="ChapterTitle12000000">
    <w:name w:val="ChapterTitle12000000"/>
    <w:basedOn w:val="Normal"/>
    <w:next w:val="Normal"/>
    <w:rsid w:val="0073279A"/>
    <w:pPr>
      <w:keepNext/>
      <w:spacing w:after="360"/>
      <w:jc w:val="center"/>
    </w:pPr>
    <w:rPr>
      <w:b/>
      <w:sz w:val="32"/>
    </w:rPr>
  </w:style>
  <w:style w:type="paragraph" w:customStyle="1" w:styleId="Annexetitre12000000">
    <w:name w:val="Annexe titre12000000"/>
    <w:basedOn w:val="Normal"/>
    <w:next w:val="Normal"/>
    <w:rsid w:val="0073279A"/>
    <w:pPr>
      <w:jc w:val="center"/>
    </w:pPr>
    <w:rPr>
      <w:b/>
      <w:u w:val="single"/>
    </w:rPr>
  </w:style>
  <w:style w:type="paragraph" w:customStyle="1" w:styleId="Titrearticle12000000">
    <w:name w:val="Titre article12000000"/>
    <w:basedOn w:val="Normal"/>
    <w:next w:val="Normal"/>
    <w:rsid w:val="0073279A"/>
    <w:pPr>
      <w:keepNext/>
      <w:spacing w:before="360"/>
      <w:jc w:val="center"/>
    </w:pPr>
    <w:rPr>
      <w:i/>
    </w:rPr>
  </w:style>
  <w:style w:type="paragraph" w:customStyle="1" w:styleId="ChapterTitle13000000">
    <w:name w:val="ChapterTitle13000000"/>
    <w:basedOn w:val="Normal"/>
    <w:next w:val="Normal"/>
    <w:rsid w:val="0073279A"/>
    <w:pPr>
      <w:keepNext/>
      <w:spacing w:after="360"/>
      <w:jc w:val="center"/>
    </w:pPr>
    <w:rPr>
      <w:b/>
      <w:sz w:val="32"/>
    </w:rPr>
  </w:style>
  <w:style w:type="paragraph" w:customStyle="1" w:styleId="Annexetitre13000000">
    <w:name w:val="Annexe titre13000000"/>
    <w:basedOn w:val="Normal"/>
    <w:next w:val="Normal"/>
    <w:rsid w:val="0073279A"/>
    <w:pPr>
      <w:jc w:val="center"/>
    </w:pPr>
    <w:rPr>
      <w:b/>
      <w:u w:val="single"/>
    </w:rPr>
  </w:style>
  <w:style w:type="paragraph" w:customStyle="1" w:styleId="Titrearticle13000000">
    <w:name w:val="Titre article13000000"/>
    <w:basedOn w:val="Normal"/>
    <w:next w:val="Normal"/>
    <w:rsid w:val="0073279A"/>
    <w:pPr>
      <w:keepNext/>
      <w:spacing w:before="360"/>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3212">
      <w:bodyDiv w:val="1"/>
      <w:marLeft w:val="0"/>
      <w:marRight w:val="0"/>
      <w:marTop w:val="0"/>
      <w:marBottom w:val="0"/>
      <w:divBdr>
        <w:top w:val="none" w:sz="0" w:space="0" w:color="auto"/>
        <w:left w:val="none" w:sz="0" w:space="0" w:color="auto"/>
        <w:bottom w:val="none" w:sz="0" w:space="0" w:color="auto"/>
        <w:right w:val="none" w:sz="0" w:space="0" w:color="auto"/>
      </w:divBdr>
    </w:div>
    <w:div w:id="376198527">
      <w:bodyDiv w:val="1"/>
      <w:marLeft w:val="0"/>
      <w:marRight w:val="0"/>
      <w:marTop w:val="0"/>
      <w:marBottom w:val="0"/>
      <w:divBdr>
        <w:top w:val="none" w:sz="0" w:space="0" w:color="auto"/>
        <w:left w:val="none" w:sz="0" w:space="0" w:color="auto"/>
        <w:bottom w:val="none" w:sz="0" w:space="0" w:color="auto"/>
        <w:right w:val="none" w:sz="0" w:space="0" w:color="auto"/>
      </w:divBdr>
    </w:div>
    <w:div w:id="833882187">
      <w:bodyDiv w:val="1"/>
      <w:marLeft w:val="0"/>
      <w:marRight w:val="0"/>
      <w:marTop w:val="0"/>
      <w:marBottom w:val="0"/>
      <w:divBdr>
        <w:top w:val="none" w:sz="0" w:space="0" w:color="auto"/>
        <w:left w:val="none" w:sz="0" w:space="0" w:color="auto"/>
        <w:bottom w:val="none" w:sz="0" w:space="0" w:color="auto"/>
        <w:right w:val="none" w:sz="0" w:space="0" w:color="auto"/>
      </w:divBdr>
    </w:div>
    <w:div w:id="859470719">
      <w:bodyDiv w:val="1"/>
      <w:marLeft w:val="0"/>
      <w:marRight w:val="0"/>
      <w:marTop w:val="0"/>
      <w:marBottom w:val="0"/>
      <w:divBdr>
        <w:top w:val="none" w:sz="0" w:space="0" w:color="auto"/>
        <w:left w:val="none" w:sz="0" w:space="0" w:color="auto"/>
        <w:bottom w:val="none" w:sz="0" w:space="0" w:color="auto"/>
        <w:right w:val="none" w:sz="0" w:space="0" w:color="auto"/>
      </w:divBdr>
    </w:div>
    <w:div w:id="988628434">
      <w:bodyDiv w:val="1"/>
      <w:marLeft w:val="0"/>
      <w:marRight w:val="0"/>
      <w:marTop w:val="0"/>
      <w:marBottom w:val="0"/>
      <w:divBdr>
        <w:top w:val="none" w:sz="0" w:space="0" w:color="auto"/>
        <w:left w:val="none" w:sz="0" w:space="0" w:color="auto"/>
        <w:bottom w:val="none" w:sz="0" w:space="0" w:color="auto"/>
        <w:right w:val="none" w:sz="0" w:space="0" w:color="auto"/>
      </w:divBdr>
    </w:div>
    <w:div w:id="1365250448">
      <w:bodyDiv w:val="1"/>
      <w:marLeft w:val="0"/>
      <w:marRight w:val="0"/>
      <w:marTop w:val="0"/>
      <w:marBottom w:val="0"/>
      <w:divBdr>
        <w:top w:val="none" w:sz="0" w:space="0" w:color="auto"/>
        <w:left w:val="none" w:sz="0" w:space="0" w:color="auto"/>
        <w:bottom w:val="none" w:sz="0" w:space="0" w:color="auto"/>
        <w:right w:val="none" w:sz="0" w:space="0" w:color="auto"/>
      </w:divBdr>
    </w:div>
    <w:div w:id="2017270915">
      <w:bodyDiv w:val="1"/>
      <w:marLeft w:val="0"/>
      <w:marRight w:val="0"/>
      <w:marTop w:val="0"/>
      <w:marBottom w:val="0"/>
      <w:divBdr>
        <w:top w:val="none" w:sz="0" w:space="0" w:color="auto"/>
        <w:left w:val="none" w:sz="0" w:space="0" w:color="auto"/>
        <w:bottom w:val="none" w:sz="0" w:space="0" w:color="auto"/>
        <w:right w:val="none" w:sz="0" w:space="0" w:color="auto"/>
      </w:divBdr>
    </w:div>
    <w:div w:id="213617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2-5-legislative-financial-statement-annex-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www.oecd.org/tax/beps/outcome-statement-on-the-two-pillar-solution-to-address-the-tax-challenges-arising-from-the-digitalisation-of-the-economy-july-202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5" ma:contentTypeDescription="Create a new document." ma:contentTypeScope="" ma:versionID="76e19bc447d9715dc0cb84445b97b68d">
  <xsd:schema xmlns:xsd="http://www.w3.org/2001/XMLSchema" xmlns:xs="http://www.w3.org/2001/XMLSchema" xmlns:p="http://schemas.microsoft.com/office/2006/metadata/properties" xmlns:ns2="013aa35d-30e5-41d1-9a7b-1c862c539650" xmlns:ns3="6f72634d-5da9-4e9f-98c3-3013ce1d074f" targetNamespace="http://schemas.microsoft.com/office/2006/metadata/properties" ma:root="true" ma:fieldsID="c71421a9749e5837940113444c2fca3c" ns2:_="" ns3:_="">
    <xsd:import namespace="013aa35d-30e5-41d1-9a7b-1c862c539650"/>
    <xsd:import namespace="6f72634d-5da9-4e9f-98c3-3013ce1d07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2FC4-0567-423E-BC54-BBBEC2E3FED4}">
  <ds:schemaRefs>
    <ds:schemaRef ds:uri="http://schemas.microsoft.com/sharepoint/v3/contenttype/forms"/>
  </ds:schemaRefs>
</ds:datastoreItem>
</file>

<file path=customXml/itemProps2.xml><?xml version="1.0" encoding="utf-8"?>
<ds:datastoreItem xmlns:ds="http://schemas.openxmlformats.org/officeDocument/2006/customXml" ds:itemID="{D10CFEB7-B397-49F7-84BD-CE0763852C94}">
  <ds:schemaRefs>
    <ds:schemaRef ds:uri="http://schemas.microsoft.com/office/2006/documentManagement/types"/>
    <ds:schemaRef ds:uri="http://www.w3.org/XML/1998/namespace"/>
    <ds:schemaRef ds:uri="http://schemas.microsoft.com/office/infopath/2007/PartnerControls"/>
    <ds:schemaRef ds:uri="http://purl.org/dc/terms/"/>
    <ds:schemaRef ds:uri="6f72634d-5da9-4e9f-98c3-3013ce1d074f"/>
    <ds:schemaRef ds:uri="http://schemas.microsoft.com/office/2006/metadata/properties"/>
    <ds:schemaRef ds:uri="http://purl.org/dc/dcmitype/"/>
    <ds:schemaRef ds:uri="http://purl.org/dc/elements/1.1/"/>
    <ds:schemaRef ds:uri="http://schemas.openxmlformats.org/package/2006/metadata/core-properties"/>
    <ds:schemaRef ds:uri="013aa35d-30e5-41d1-9a7b-1c862c539650"/>
  </ds:schemaRefs>
</ds:datastoreItem>
</file>

<file path=customXml/itemProps3.xml><?xml version="1.0" encoding="utf-8"?>
<ds:datastoreItem xmlns:ds="http://schemas.openxmlformats.org/officeDocument/2006/customXml" ds:itemID="{7862380A-915E-4454-842B-8524A6C5CE7E}">
  <ds:schemaRefs>
    <ds:schemaRef ds:uri="http://schemas.microsoft.com/sharepoint/v3/contenttype/forms"/>
  </ds:schemaRefs>
</ds:datastoreItem>
</file>

<file path=customXml/itemProps4.xml><?xml version="1.0" encoding="utf-8"?>
<ds:datastoreItem xmlns:ds="http://schemas.openxmlformats.org/officeDocument/2006/customXml" ds:itemID="{93134607-1338-440D-8452-3F72C1E3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aa35d-30e5-41d1-9a7b-1c862c539650"/>
    <ds:schemaRef ds:uri="6f72634d-5da9-4e9f-98c3-3013ce1d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475953-DB18-4690-BEFE-281F8213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77</Pages>
  <Words>32920</Words>
  <Characters>172506</Characters>
  <Application>Microsoft Office Word</Application>
  <DocSecurity>0</DocSecurity>
  <Lines>3920</Lines>
  <Paragraphs>1260</Paragraphs>
  <ScaleCrop>false</ScaleCrop>
  <Manager/>
  <Company/>
  <LinksUpToDate>false</LinksUpToDate>
  <CharactersWithSpaces>204166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2023-09-11T12:08:00Z</cp:lastPrinted>
  <dcterms:created xsi:type="dcterms:W3CDTF">2023-09-11T21:26:00Z</dcterms:created>
  <dcterms:modified xsi:type="dcterms:W3CDTF">2023-09-11T21:54:00Z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2023-07-31T08:14:46Z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96ccfd4f-f237-4dab-a8a2-70b8f8d567b9</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SJ-017</vt:lpwstr>
  </property>
  <property fmtid="{D5CDD505-2E9C-101B-9397-08002B2CF9AE}" pid="17" name="ContentTypeId">
    <vt:lpwstr>0x010100F08946F0AA494C4BB25CCD4EAB82602F</vt:lpwstr>
  </property>
  <property fmtid="{D5CDD505-2E9C-101B-9397-08002B2CF9AE}" pid="18" name="DQCStatus">
    <vt:lpwstr>Yellow (DQC version 03)</vt:lpwstr>
  </property>
</Properties>
</file>