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464FB" w14:textId="4A13D4DA" w:rsidR="00516AB4" w:rsidRDefault="00A15599" w:rsidP="00A15599">
      <w:pPr>
        <w:pStyle w:val="Pagedecouverture"/>
        <w:rPr>
          <w:noProof/>
        </w:rPr>
      </w:pPr>
      <w:r>
        <w:rPr>
          <w:noProof/>
        </w:rPr>
        <w:pict w14:anchorId="6086E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65631304-AD41-4D30-8D11-B2661EBE53BE" style="width:455.25pt;height:429pt">
            <v:imagedata r:id="rId11" o:title=""/>
          </v:shape>
        </w:pict>
      </w:r>
    </w:p>
    <w:p w14:paraId="4062C075" w14:textId="77777777" w:rsidR="00516AB4" w:rsidRDefault="00516AB4" w:rsidP="00516AB4">
      <w:pPr>
        <w:rPr>
          <w:noProof/>
        </w:rPr>
        <w:sectPr w:rsidR="00516AB4" w:rsidSect="00A1559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77E2917" w14:textId="77777777" w:rsidR="00516AB4" w:rsidRDefault="00516AB4" w:rsidP="00516AB4">
      <w:pPr>
        <w:pStyle w:val="Annexetitre"/>
        <w:rPr>
          <w:noProof/>
        </w:rPr>
      </w:pPr>
      <w:bookmarkStart w:id="0" w:name="_GoBack"/>
      <w:bookmarkEnd w:id="0"/>
      <w:r w:rsidRPr="00516AB4">
        <w:rPr>
          <w:noProof/>
        </w:rPr>
        <w:lastRenderedPageBreak/>
        <w:t xml:space="preserve">ANNEX </w:t>
      </w:r>
    </w:p>
    <w:p w14:paraId="2DFB1001" w14:textId="77777777" w:rsidR="00516AB4" w:rsidRPr="00516AB4" w:rsidRDefault="00516AB4" w:rsidP="00516AB4">
      <w:pPr>
        <w:rPr>
          <w:noProof/>
        </w:rPr>
      </w:pPr>
    </w:p>
    <w:p w14:paraId="13A1B621" w14:textId="57FE43B0" w:rsidR="00516AB4" w:rsidRPr="005643B2" w:rsidRDefault="00516AB4" w:rsidP="00516AB4">
      <w:pPr>
        <w:jc w:val="center"/>
        <w:rPr>
          <w:b/>
          <w:noProof/>
        </w:rPr>
      </w:pPr>
      <w:r w:rsidRPr="005643B2">
        <w:rPr>
          <w:b/>
          <w:noProof/>
        </w:rPr>
        <w:t>D</w:t>
      </w:r>
      <w:r>
        <w:rPr>
          <w:b/>
          <w:noProof/>
        </w:rPr>
        <w:t>ecision No </w:t>
      </w:r>
      <w:r w:rsidR="00482B22">
        <w:rPr>
          <w:b/>
          <w:noProof/>
        </w:rPr>
        <w:t>[</w:t>
      </w:r>
      <w:r w:rsidR="007F5C65" w:rsidRPr="007F5C65">
        <w:rPr>
          <w:b/>
          <w:bCs/>
          <w:i/>
          <w:iCs/>
          <w:noProof/>
        </w:rPr>
        <w:t>insert number of this Decision – tbc</w:t>
      </w:r>
      <w:r w:rsidR="007F5C65" w:rsidRPr="007F5C65">
        <w:rPr>
          <w:b/>
          <w:bCs/>
          <w:noProof/>
        </w:rPr>
        <w:t xml:space="preserve"> </w:t>
      </w:r>
      <w:r w:rsidR="007C19B5">
        <w:rPr>
          <w:b/>
          <w:noProof/>
        </w:rPr>
        <w:t>1</w:t>
      </w:r>
      <w:r>
        <w:rPr>
          <w:b/>
          <w:noProof/>
        </w:rPr>
        <w:t>/2023</w:t>
      </w:r>
      <w:r w:rsidR="00482B22">
        <w:rPr>
          <w:b/>
          <w:noProof/>
        </w:rPr>
        <w:t>]</w:t>
      </w:r>
      <w:r>
        <w:rPr>
          <w:b/>
          <w:noProof/>
        </w:rPr>
        <w:t xml:space="preserve"> of</w:t>
      </w:r>
      <w:r w:rsidRPr="005643B2">
        <w:rPr>
          <w:b/>
          <w:noProof/>
        </w:rPr>
        <w:t xml:space="preserve"> </w:t>
      </w:r>
      <w:r>
        <w:rPr>
          <w:b/>
          <w:noProof/>
        </w:rPr>
        <w:t>the Specialised Committee on Road Transport</w:t>
      </w:r>
      <w:r>
        <w:rPr>
          <w:b/>
          <w:noProof/>
        </w:rPr>
        <w:br/>
        <w:t>established by the Tra</w:t>
      </w:r>
      <w:r w:rsidRPr="005643B2">
        <w:rPr>
          <w:b/>
          <w:noProof/>
        </w:rPr>
        <w:t xml:space="preserve">de and Cooperation Agreement between the European Union and the European Atomic Energy Community, </w:t>
      </w:r>
      <w:r>
        <w:rPr>
          <w:b/>
          <w:noProof/>
        </w:rPr>
        <w:t>of the one part</w:t>
      </w:r>
      <w:r w:rsidRPr="005643B2">
        <w:rPr>
          <w:b/>
          <w:noProof/>
        </w:rPr>
        <w:t>, and the United Kingdom of Great Britain and Northern Ireland, of the other part</w:t>
      </w:r>
    </w:p>
    <w:p w14:paraId="3DD4D991" w14:textId="77777777" w:rsidR="00516AB4" w:rsidRPr="005643B2" w:rsidRDefault="00516AB4" w:rsidP="00516AB4">
      <w:pPr>
        <w:jc w:val="center"/>
        <w:rPr>
          <w:b/>
          <w:noProof/>
        </w:rPr>
      </w:pPr>
      <w:r w:rsidRPr="005643B2">
        <w:rPr>
          <w:b/>
          <w:noProof/>
        </w:rPr>
        <w:t>of …</w:t>
      </w:r>
    </w:p>
    <w:p w14:paraId="29AB77C1" w14:textId="77777777" w:rsidR="00516AB4" w:rsidRPr="00890115" w:rsidRDefault="00516AB4" w:rsidP="00516AB4">
      <w:pPr>
        <w:jc w:val="center"/>
        <w:rPr>
          <w:b/>
          <w:noProof/>
        </w:rPr>
      </w:pPr>
      <w:bookmarkStart w:id="1" w:name="_Hlk134797726"/>
      <w:r w:rsidRPr="00890115">
        <w:rPr>
          <w:rFonts w:eastAsia="Times New Roman"/>
          <w:b/>
          <w:noProof/>
          <w:color w:val="000000"/>
        </w:rPr>
        <w:t>on the adaptation of technical specifications of the smart tachograph 2</w:t>
      </w:r>
    </w:p>
    <w:bookmarkEnd w:id="1"/>
    <w:p w14:paraId="321DE60E" w14:textId="77777777" w:rsidR="00516AB4" w:rsidRPr="00DD28A0" w:rsidRDefault="00516AB4" w:rsidP="00516AB4">
      <w:pPr>
        <w:pStyle w:val="Institutionquiagit"/>
        <w:rPr>
          <w:noProof/>
          <w:szCs w:val="24"/>
        </w:rPr>
      </w:pPr>
      <w:r w:rsidRPr="00DD28A0">
        <w:rPr>
          <w:noProof/>
          <w:szCs w:val="24"/>
        </w:rPr>
        <w:t>THE SPECIALISED COMMITTEE ON ROAD TRANSPORT,</w:t>
      </w:r>
    </w:p>
    <w:p w14:paraId="400F70BE" w14:textId="49BD339C" w:rsidR="00516AB4" w:rsidRPr="00DD28A0" w:rsidRDefault="00516AB4" w:rsidP="00516AB4">
      <w:pPr>
        <w:rPr>
          <w:noProof/>
          <w:szCs w:val="24"/>
          <w:highlight w:val="yellow"/>
        </w:rPr>
      </w:pPr>
      <w:r w:rsidRPr="00DD28A0">
        <w:rPr>
          <w:noProof/>
          <w:szCs w:val="24"/>
        </w:rPr>
        <w:t>Having regard to the Trade and Cooperation Agreement between the European Union and the European Atomic Energy Community, of the one part, and the United Kingdom of Great Britain and Northern Ireland, of the other part</w:t>
      </w:r>
      <w:r w:rsidRPr="00DD28A0">
        <w:rPr>
          <w:rStyle w:val="FootnoteReference"/>
          <w:noProof/>
          <w:szCs w:val="24"/>
        </w:rPr>
        <w:footnoteReference w:id="2"/>
      </w:r>
      <w:r w:rsidRPr="00DD28A0">
        <w:rPr>
          <w:rStyle w:val="FootnoteReference"/>
          <w:noProof/>
          <w:szCs w:val="24"/>
        </w:rPr>
        <w:t xml:space="preserve"> </w:t>
      </w:r>
      <w:r w:rsidRPr="00DD28A0">
        <w:rPr>
          <w:noProof/>
          <w:szCs w:val="24"/>
        </w:rPr>
        <w:t>(</w:t>
      </w:r>
      <w:r>
        <w:rPr>
          <w:noProof/>
          <w:szCs w:val="24"/>
        </w:rPr>
        <w:t>‘</w:t>
      </w:r>
      <w:r w:rsidRPr="00DD28A0">
        <w:rPr>
          <w:noProof/>
          <w:szCs w:val="24"/>
        </w:rPr>
        <w:t>the Trade and Cooperation Agreement</w:t>
      </w:r>
      <w:r>
        <w:rPr>
          <w:noProof/>
          <w:szCs w:val="24"/>
        </w:rPr>
        <w:t>’</w:t>
      </w:r>
      <w:r w:rsidRPr="00DD28A0">
        <w:rPr>
          <w:noProof/>
          <w:szCs w:val="24"/>
        </w:rPr>
        <w:t xml:space="preserve">), </w:t>
      </w:r>
      <w:r w:rsidRPr="008632EE">
        <w:rPr>
          <w:noProof/>
          <w:szCs w:val="24"/>
        </w:rPr>
        <w:t xml:space="preserve">and in particular Article 468(5) </w:t>
      </w:r>
      <w:r>
        <w:rPr>
          <w:noProof/>
          <w:szCs w:val="24"/>
        </w:rPr>
        <w:t xml:space="preserve">and </w:t>
      </w:r>
      <w:r w:rsidRPr="008632EE">
        <w:rPr>
          <w:noProof/>
          <w:szCs w:val="24"/>
        </w:rPr>
        <w:t>Article 2(2) of Section 4 of Part B of Annex 31 there</w:t>
      </w:r>
      <w:r w:rsidR="006C0230">
        <w:rPr>
          <w:noProof/>
          <w:szCs w:val="24"/>
        </w:rPr>
        <w:t>to</w:t>
      </w:r>
      <w:r w:rsidRPr="008632EE">
        <w:rPr>
          <w:noProof/>
          <w:szCs w:val="24"/>
        </w:rPr>
        <w:t>,</w:t>
      </w:r>
    </w:p>
    <w:p w14:paraId="2B64F1B5" w14:textId="77777777" w:rsidR="00516AB4" w:rsidRPr="00DD28A0" w:rsidRDefault="00516AB4" w:rsidP="00516AB4">
      <w:pPr>
        <w:rPr>
          <w:noProof/>
          <w:szCs w:val="24"/>
        </w:rPr>
      </w:pPr>
      <w:r w:rsidRPr="00DD28A0">
        <w:rPr>
          <w:noProof/>
          <w:szCs w:val="24"/>
        </w:rPr>
        <w:t>Whereas:</w:t>
      </w:r>
    </w:p>
    <w:p w14:paraId="5A996792" w14:textId="341AC1EC" w:rsidR="00516AB4" w:rsidRPr="00713870" w:rsidRDefault="00516AB4" w:rsidP="00516AB4">
      <w:pPr>
        <w:pStyle w:val="ManualConsidrant"/>
        <w:rPr>
          <w:noProof/>
          <w:szCs w:val="24"/>
        </w:rPr>
      </w:pPr>
      <w:r w:rsidRPr="009E31D4">
        <w:rPr>
          <w:noProof/>
          <w:szCs w:val="24"/>
        </w:rPr>
        <w:t>(1)</w:t>
      </w:r>
      <w:r w:rsidRPr="009E31D4">
        <w:rPr>
          <w:noProof/>
          <w:szCs w:val="24"/>
        </w:rPr>
        <w:tab/>
      </w:r>
      <w:sdt>
        <w:sdtPr>
          <w:rPr>
            <w:noProof/>
          </w:rPr>
          <w:tag w:val="goog_rdk_12"/>
          <w:id w:val="1783686967"/>
        </w:sdtPr>
        <w:sdtEndPr/>
        <w:sdtContent>
          <w:sdt>
            <w:sdtPr>
              <w:rPr>
                <w:noProof/>
              </w:rPr>
              <w:tag w:val="goog_rdk_13"/>
              <w:id w:val="496083944"/>
            </w:sdtPr>
            <w:sdtEndPr/>
            <w:sdtContent>
              <w:r w:rsidRPr="009E31D4">
                <w:rPr>
                  <w:noProof/>
                </w:rPr>
                <w:t>P</w:t>
              </w:r>
              <w:r>
                <w:rPr>
                  <w:noProof/>
                </w:rPr>
                <w:t>oint</w:t>
              </w:r>
              <w:r w:rsidRPr="009E31D4">
                <w:rPr>
                  <w:noProof/>
                </w:rPr>
                <w:t xml:space="preserve"> (b) of Article 465(1) of the </w:t>
              </w:r>
              <w:bookmarkStart w:id="2" w:name="_Hlk134718930"/>
              <w:r w:rsidRPr="009E31D4">
                <w:rPr>
                  <w:noProof/>
                </w:rPr>
                <w:t xml:space="preserve">Trade and Cooperation Agreement </w:t>
              </w:r>
              <w:bookmarkEnd w:id="2"/>
              <w:r w:rsidR="007C19B5">
                <w:rPr>
                  <w:noProof/>
                </w:rPr>
                <w:t>provides</w:t>
              </w:r>
              <w:r w:rsidR="007C19B5" w:rsidRPr="009E31D4">
                <w:rPr>
                  <w:noProof/>
                </w:rPr>
                <w:t xml:space="preserve"> </w:t>
              </w:r>
              <w:r w:rsidRPr="009E31D4">
                <w:rPr>
                  <w:noProof/>
                </w:rPr>
                <w:t>that drivers undertaking journeys as referred to in Article 462 of the Trade and Cooperation Agreement must comply with rules on the use of tachographs in accordance with Sections 2 to 4 of Part B of Annex 31 of th</w:t>
              </w:r>
              <w:r>
                <w:rPr>
                  <w:noProof/>
                </w:rPr>
                <w:t xml:space="preserve">at </w:t>
              </w:r>
              <w:r w:rsidRPr="009E31D4">
                <w:rPr>
                  <w:noProof/>
                </w:rPr>
                <w:t>Agreement</w:t>
              </w:r>
              <w:bookmarkStart w:id="3" w:name="_Hlk134797872"/>
              <w:r w:rsidR="007C19B5">
                <w:rPr>
                  <w:noProof/>
                </w:rPr>
                <w:t xml:space="preserve">. Pursuant to </w:t>
              </w:r>
              <w:r>
                <w:rPr>
                  <w:noProof/>
                </w:rPr>
                <w:t xml:space="preserve">Article 466(2) </w:t>
              </w:r>
              <w:r w:rsidR="007C19B5">
                <w:rPr>
                  <w:noProof/>
                </w:rPr>
                <w:t xml:space="preserve">of that Agreement, </w:t>
              </w:r>
              <w:r>
                <w:rPr>
                  <w:noProof/>
                </w:rPr>
                <w:t xml:space="preserve">vehicles undertaking </w:t>
              </w:r>
              <w:r w:rsidR="007C19B5">
                <w:rPr>
                  <w:noProof/>
                </w:rPr>
                <w:t xml:space="preserve">such </w:t>
              </w:r>
              <w:r>
                <w:rPr>
                  <w:noProof/>
                </w:rPr>
                <w:t>journeys must</w:t>
              </w:r>
              <w:r w:rsidRPr="009E31D4">
                <w:rPr>
                  <w:noProof/>
                </w:rPr>
                <w:t xml:space="preserve"> </w:t>
              </w:r>
              <w:r>
                <w:rPr>
                  <w:noProof/>
                </w:rPr>
                <w:t>be</w:t>
              </w:r>
              <w:bookmarkEnd w:id="3"/>
              <w:r w:rsidRPr="009E31D4">
                <w:rPr>
                  <w:noProof/>
                </w:rPr>
                <w:t xml:space="preserve"> equipped with a tachograph in accordance with </w:t>
              </w:r>
              <w:r>
                <w:rPr>
                  <w:noProof/>
                </w:rPr>
                <w:t xml:space="preserve">its </w:t>
              </w:r>
              <w:r w:rsidRPr="009E31D4">
                <w:rPr>
                  <w:noProof/>
                </w:rPr>
                <w:t xml:space="preserve">Section 2 of Part C of the </w:t>
              </w:r>
              <w:r>
                <w:rPr>
                  <w:noProof/>
                </w:rPr>
                <w:t>same Annex</w:t>
              </w:r>
            </w:sdtContent>
          </w:sdt>
        </w:sdtContent>
      </w:sdt>
      <w:r w:rsidRPr="00713870">
        <w:rPr>
          <w:noProof/>
          <w:color w:val="000000" w:themeColor="text1"/>
          <w:szCs w:val="24"/>
          <w:lang w:val="en-US"/>
        </w:rPr>
        <w:t xml:space="preserve">. </w:t>
      </w:r>
    </w:p>
    <w:p w14:paraId="4A273C6E" w14:textId="7E6020DC" w:rsidR="00516AB4" w:rsidRPr="00E44E50" w:rsidRDefault="00516AB4" w:rsidP="00516AB4">
      <w:pPr>
        <w:pStyle w:val="ManualConsidrant"/>
        <w:rPr>
          <w:noProof/>
          <w:szCs w:val="24"/>
        </w:rPr>
      </w:pPr>
      <w:r w:rsidRPr="009E31D4">
        <w:rPr>
          <w:noProof/>
          <w:szCs w:val="24"/>
        </w:rPr>
        <w:t>(</w:t>
      </w:r>
      <w:r>
        <w:rPr>
          <w:noProof/>
          <w:szCs w:val="24"/>
        </w:rPr>
        <w:t>2</w:t>
      </w:r>
      <w:r w:rsidRPr="009E31D4">
        <w:rPr>
          <w:noProof/>
          <w:szCs w:val="24"/>
        </w:rPr>
        <w:t xml:space="preserve">) </w:t>
      </w:r>
      <w:r w:rsidRPr="009E31D4">
        <w:rPr>
          <w:noProof/>
          <w:szCs w:val="24"/>
        </w:rPr>
        <w:tab/>
      </w:r>
      <w:r>
        <w:rPr>
          <w:noProof/>
          <w:szCs w:val="24"/>
        </w:rPr>
        <w:t xml:space="preserve">Pursuant to point (a) of Article 3(1) and </w:t>
      </w:r>
      <w:r>
        <w:rPr>
          <w:noProof/>
          <w:szCs w:val="24"/>
          <w:lang w:val="en-IE"/>
        </w:rPr>
        <w:t>point</w:t>
      </w:r>
      <w:r w:rsidRPr="0002242D">
        <w:rPr>
          <w:noProof/>
          <w:szCs w:val="24"/>
          <w:lang w:val="en-IE"/>
        </w:rPr>
        <w:t xml:space="preserve"> (f) of Article 3(2) of Section 2 of Part C of Annex 31 </w:t>
      </w:r>
      <w:r w:rsidR="007C19B5">
        <w:rPr>
          <w:noProof/>
          <w:szCs w:val="24"/>
          <w:lang w:val="en-IE"/>
        </w:rPr>
        <w:t>to</w:t>
      </w:r>
      <w:r w:rsidR="007C19B5" w:rsidRPr="0002242D">
        <w:rPr>
          <w:noProof/>
          <w:szCs w:val="24"/>
          <w:lang w:val="en-IE"/>
        </w:rPr>
        <w:t xml:space="preserve"> </w:t>
      </w:r>
      <w:r w:rsidRPr="0002242D">
        <w:rPr>
          <w:noProof/>
          <w:szCs w:val="24"/>
          <w:lang w:val="en-IE"/>
        </w:rPr>
        <w:t xml:space="preserve">the </w:t>
      </w:r>
      <w:r w:rsidRPr="009E31D4">
        <w:rPr>
          <w:noProof/>
        </w:rPr>
        <w:t>Trade and Cooperation Agreement</w:t>
      </w:r>
      <w:r>
        <w:rPr>
          <w:noProof/>
        </w:rPr>
        <w:t xml:space="preserve">, vehicles undertaking journeys </w:t>
      </w:r>
      <w:r w:rsidR="007C19B5">
        <w:rPr>
          <w:noProof/>
        </w:rPr>
        <w:t xml:space="preserve">as referred to in Article 462 of the Trade and Cooperation Agreement that are </w:t>
      </w:r>
      <w:r>
        <w:rPr>
          <w:noProof/>
        </w:rPr>
        <w:t>registered for the first time more than two years after the entry into force of the detailed specifications referred to in Article 2(2)</w:t>
      </w:r>
      <w:r w:rsidR="007C19B5">
        <w:rPr>
          <w:noProof/>
        </w:rPr>
        <w:t xml:space="preserve"> point </w:t>
      </w:r>
      <w:r>
        <w:rPr>
          <w:noProof/>
        </w:rPr>
        <w:t xml:space="preserve">(h) of Section 4 of Part B of Annex 31 </w:t>
      </w:r>
      <w:r w:rsidR="007C19B5">
        <w:rPr>
          <w:noProof/>
        </w:rPr>
        <w:t xml:space="preserve">to </w:t>
      </w:r>
      <w:r>
        <w:rPr>
          <w:noProof/>
        </w:rPr>
        <w:t xml:space="preserve">that </w:t>
      </w:r>
      <w:r w:rsidRPr="009E31D4">
        <w:rPr>
          <w:noProof/>
        </w:rPr>
        <w:t>Agreemen</w:t>
      </w:r>
      <w:r>
        <w:rPr>
          <w:noProof/>
        </w:rPr>
        <w:t xml:space="preserve">t, namely 21 August 2023, must be equipped with a smart tachograph </w:t>
      </w:r>
      <w:r w:rsidRPr="0082265D">
        <w:rPr>
          <w:noProof/>
        </w:rPr>
        <w:t>2</w:t>
      </w:r>
      <w:r>
        <w:rPr>
          <w:noProof/>
          <w:szCs w:val="24"/>
        </w:rPr>
        <w:t>.</w:t>
      </w:r>
    </w:p>
    <w:p w14:paraId="0ADE204C" w14:textId="010C23CA" w:rsidR="003773F5" w:rsidRDefault="00516AB4" w:rsidP="00516AB4">
      <w:pPr>
        <w:pStyle w:val="ManualConsidrant"/>
        <w:rPr>
          <w:noProof/>
          <w:szCs w:val="24"/>
          <w:shd w:val="clear" w:color="auto" w:fill="FFFFFF"/>
        </w:rPr>
      </w:pPr>
      <w:r w:rsidRPr="009E31D4">
        <w:rPr>
          <w:noProof/>
          <w:szCs w:val="24"/>
        </w:rPr>
        <w:t>(</w:t>
      </w:r>
      <w:r>
        <w:rPr>
          <w:noProof/>
          <w:szCs w:val="24"/>
        </w:rPr>
        <w:t>3</w:t>
      </w:r>
      <w:r w:rsidRPr="009E31D4">
        <w:rPr>
          <w:noProof/>
          <w:szCs w:val="24"/>
        </w:rPr>
        <w:t>)</w:t>
      </w:r>
      <w:r w:rsidRPr="009E31D4">
        <w:rPr>
          <w:noProof/>
          <w:szCs w:val="24"/>
        </w:rPr>
        <w:tab/>
      </w:r>
      <w:r w:rsidRPr="0082265D">
        <w:rPr>
          <w:noProof/>
          <w:szCs w:val="24"/>
        </w:rPr>
        <w:t>The smart tachograph 2 is defined in subparagraph (h) of Article 2(2) of Section 4 of Part</w:t>
      </w:r>
      <w:r>
        <w:rPr>
          <w:noProof/>
          <w:szCs w:val="24"/>
        </w:rPr>
        <w:t> </w:t>
      </w:r>
      <w:r w:rsidRPr="0082265D">
        <w:rPr>
          <w:noProof/>
          <w:szCs w:val="24"/>
        </w:rPr>
        <w:t xml:space="preserve">B of Annex 31 </w:t>
      </w:r>
      <w:r w:rsidR="007C19B5">
        <w:rPr>
          <w:noProof/>
          <w:szCs w:val="24"/>
        </w:rPr>
        <w:t>to</w:t>
      </w:r>
      <w:r w:rsidR="007C19B5" w:rsidRPr="0082265D">
        <w:rPr>
          <w:noProof/>
          <w:szCs w:val="24"/>
        </w:rPr>
        <w:t xml:space="preserve"> </w:t>
      </w:r>
      <w:r w:rsidRPr="0082265D">
        <w:rPr>
          <w:noProof/>
          <w:szCs w:val="24"/>
        </w:rPr>
        <w:t xml:space="preserve">the </w:t>
      </w:r>
      <w:r w:rsidRPr="009E31D4">
        <w:rPr>
          <w:noProof/>
        </w:rPr>
        <w:t>Trade and Cooperation Agreement</w:t>
      </w:r>
      <w:r w:rsidRPr="0082265D">
        <w:rPr>
          <w:noProof/>
          <w:szCs w:val="24"/>
        </w:rPr>
        <w:t>. The fourth indent of th</w:t>
      </w:r>
      <w:r w:rsidR="007C19B5">
        <w:rPr>
          <w:noProof/>
          <w:szCs w:val="24"/>
        </w:rPr>
        <w:t>at</w:t>
      </w:r>
      <w:r w:rsidRPr="0082265D">
        <w:rPr>
          <w:noProof/>
          <w:szCs w:val="24"/>
        </w:rPr>
        <w:t xml:space="preserve"> subparagraph </w:t>
      </w:r>
      <w:bookmarkStart w:id="4" w:name="_Hlk134798235"/>
      <w:r>
        <w:rPr>
          <w:noProof/>
          <w:szCs w:val="24"/>
        </w:rPr>
        <w:t xml:space="preserve">provides that such tachographs must comply with the </w:t>
      </w:r>
      <w:bookmarkEnd w:id="4"/>
      <w:r w:rsidRPr="0082265D">
        <w:rPr>
          <w:noProof/>
          <w:szCs w:val="24"/>
        </w:rPr>
        <w:t xml:space="preserve">specifications set out in </w:t>
      </w:r>
      <w:r w:rsidRPr="0082265D">
        <w:rPr>
          <w:noProof/>
        </w:rPr>
        <w:t>implementing</w:t>
      </w:r>
      <w:r>
        <w:rPr>
          <w:noProof/>
        </w:rPr>
        <w:t xml:space="preserve"> acts referred to in Article 11 of Regulation (EU) No 165/2014 of the European Parliament and of the Council</w:t>
      </w:r>
      <w:bookmarkStart w:id="5" w:name="_Hlk134798267"/>
      <w:r>
        <w:rPr>
          <w:rStyle w:val="FootnoteReference"/>
          <w:noProof/>
        </w:rPr>
        <w:footnoteReference w:id="3"/>
      </w:r>
      <w:r>
        <w:rPr>
          <w:noProof/>
        </w:rPr>
        <w:t xml:space="preserve">, as adapted by a </w:t>
      </w:r>
      <w:r w:rsidR="008E01E3">
        <w:rPr>
          <w:noProof/>
        </w:rPr>
        <w:t>D</w:t>
      </w:r>
      <w:r>
        <w:rPr>
          <w:noProof/>
        </w:rPr>
        <w:t>ecision of the Specialised Committee on Road Transport</w:t>
      </w:r>
      <w:bookmarkEnd w:id="5"/>
      <w:r w:rsidRPr="0082265D">
        <w:rPr>
          <w:noProof/>
          <w:szCs w:val="24"/>
          <w:shd w:val="clear" w:color="auto" w:fill="FFFFFF"/>
        </w:rPr>
        <w:t xml:space="preserve">. </w:t>
      </w:r>
    </w:p>
    <w:p w14:paraId="5E46337B" w14:textId="2A6BC2B8" w:rsidR="00516AB4" w:rsidRPr="00693D3C" w:rsidRDefault="003773F5" w:rsidP="00516AB4">
      <w:pPr>
        <w:pStyle w:val="ManualConsidrant"/>
        <w:rPr>
          <w:noProof/>
          <w:szCs w:val="24"/>
        </w:rPr>
      </w:pPr>
      <w:r w:rsidRPr="0047552D">
        <w:rPr>
          <w:noProof/>
          <w:szCs w:val="24"/>
          <w:shd w:val="clear" w:color="auto" w:fill="FFFFFF"/>
        </w:rPr>
        <w:t>(4)</w:t>
      </w:r>
      <w:r w:rsidRPr="0047552D">
        <w:rPr>
          <w:noProof/>
          <w:szCs w:val="24"/>
          <w:shd w:val="clear" w:color="auto" w:fill="FFFFFF"/>
        </w:rPr>
        <w:tab/>
      </w:r>
      <w:r w:rsidR="007C19B5" w:rsidRPr="0047552D">
        <w:rPr>
          <w:noProof/>
          <w:szCs w:val="24"/>
          <w:shd w:val="clear" w:color="auto" w:fill="FFFFFF"/>
        </w:rPr>
        <w:t>Commission Implementing Regulation (EU) 2016/799</w:t>
      </w:r>
      <w:r w:rsidR="007C19B5" w:rsidRPr="0047552D">
        <w:rPr>
          <w:rStyle w:val="FootnoteReference"/>
          <w:noProof/>
          <w:szCs w:val="24"/>
        </w:rPr>
        <w:footnoteReference w:id="4"/>
      </w:r>
      <w:r w:rsidR="007C19B5" w:rsidRPr="0047552D">
        <w:rPr>
          <w:noProof/>
          <w:szCs w:val="24"/>
          <w:shd w:val="clear" w:color="auto" w:fill="FFFFFF"/>
        </w:rPr>
        <w:t xml:space="preserve"> </w:t>
      </w:r>
      <w:r w:rsidR="00C97EC5" w:rsidRPr="0047552D">
        <w:rPr>
          <w:noProof/>
          <w:szCs w:val="24"/>
          <w:shd w:val="clear" w:color="auto" w:fill="FFFFFF"/>
        </w:rPr>
        <w:t>la</w:t>
      </w:r>
      <w:r w:rsidR="00C0616A" w:rsidRPr="0047552D">
        <w:rPr>
          <w:noProof/>
          <w:szCs w:val="24"/>
          <w:shd w:val="clear" w:color="auto" w:fill="FFFFFF"/>
        </w:rPr>
        <w:t>id</w:t>
      </w:r>
      <w:r w:rsidR="00C97EC5" w:rsidRPr="0047552D">
        <w:rPr>
          <w:noProof/>
          <w:szCs w:val="24"/>
          <w:shd w:val="clear" w:color="auto" w:fill="FFFFFF"/>
        </w:rPr>
        <w:t xml:space="preserve"> down</w:t>
      </w:r>
      <w:r w:rsidRPr="0047552D">
        <w:rPr>
          <w:noProof/>
          <w:szCs w:val="24"/>
          <w:shd w:val="clear" w:color="auto" w:fill="FFFFFF"/>
        </w:rPr>
        <w:t>,</w:t>
      </w:r>
      <w:r w:rsidR="00C97EC5" w:rsidRPr="0047552D">
        <w:rPr>
          <w:noProof/>
          <w:szCs w:val="24"/>
          <w:shd w:val="clear" w:color="auto" w:fill="FFFFFF"/>
        </w:rPr>
        <w:t xml:space="preserve"> </w:t>
      </w:r>
      <w:r w:rsidRPr="0047552D">
        <w:rPr>
          <w:noProof/>
          <w:szCs w:val="24"/>
          <w:shd w:val="clear" w:color="auto" w:fill="FFFFFF"/>
        </w:rPr>
        <w:t xml:space="preserve">in its Annex IC, </w:t>
      </w:r>
      <w:r w:rsidR="00C97EC5" w:rsidRPr="0047552D">
        <w:rPr>
          <w:noProof/>
          <w:szCs w:val="24"/>
          <w:shd w:val="clear" w:color="auto" w:fill="FFFFFF"/>
        </w:rPr>
        <w:t>the specifications for smart tachograph 1</w:t>
      </w:r>
      <w:r w:rsidR="00C0616A" w:rsidRPr="0047552D">
        <w:rPr>
          <w:noProof/>
          <w:szCs w:val="24"/>
          <w:shd w:val="clear" w:color="auto" w:fill="FFFFFF"/>
        </w:rPr>
        <w:t xml:space="preserve"> and was </w:t>
      </w:r>
      <w:r w:rsidR="00C97EC5" w:rsidRPr="0047552D">
        <w:rPr>
          <w:noProof/>
          <w:szCs w:val="24"/>
          <w:shd w:val="clear" w:color="auto" w:fill="FFFFFF"/>
        </w:rPr>
        <w:t xml:space="preserve">adapted in </w:t>
      </w:r>
      <w:r w:rsidR="00C97EC5" w:rsidRPr="0047552D">
        <w:rPr>
          <w:rFonts w:eastAsia="Times New Roman"/>
          <w:noProof/>
          <w:szCs w:val="24"/>
        </w:rPr>
        <w:t>Appendix 31-B-4-3 to the TCA</w:t>
      </w:r>
      <w:r w:rsidR="007C19B5" w:rsidRPr="0047552D">
        <w:rPr>
          <w:noProof/>
          <w:szCs w:val="24"/>
          <w:shd w:val="clear" w:color="auto" w:fill="FFFFFF"/>
        </w:rPr>
        <w:t>.</w:t>
      </w:r>
      <w:r w:rsidRPr="0047552D">
        <w:rPr>
          <w:noProof/>
          <w:szCs w:val="24"/>
          <w:shd w:val="clear" w:color="auto" w:fill="FFFFFF"/>
        </w:rPr>
        <w:t xml:space="preserve"> </w:t>
      </w:r>
      <w:r w:rsidR="00516AB4" w:rsidRPr="0047552D">
        <w:rPr>
          <w:noProof/>
          <w:szCs w:val="24"/>
          <w:shd w:val="clear" w:color="auto" w:fill="FFFFFF"/>
        </w:rPr>
        <w:t>Commission Implementing Regulation (EU) 2021/1228</w:t>
      </w:r>
      <w:r w:rsidR="00516AB4" w:rsidRPr="0047552D">
        <w:rPr>
          <w:rStyle w:val="FootnoteReference"/>
          <w:noProof/>
          <w:szCs w:val="24"/>
        </w:rPr>
        <w:footnoteReference w:id="5"/>
      </w:r>
      <w:r w:rsidRPr="0047552D">
        <w:rPr>
          <w:noProof/>
          <w:szCs w:val="24"/>
          <w:shd w:val="clear" w:color="auto" w:fill="FFFFFF"/>
        </w:rPr>
        <w:t>, which</w:t>
      </w:r>
      <w:r w:rsidR="00C0616A" w:rsidRPr="0047552D">
        <w:rPr>
          <w:noProof/>
          <w:szCs w:val="24"/>
          <w:shd w:val="clear" w:color="auto" w:fill="FFFFFF"/>
        </w:rPr>
        <w:t xml:space="preserve"> </w:t>
      </w:r>
      <w:r w:rsidRPr="0047552D">
        <w:rPr>
          <w:noProof/>
          <w:szCs w:val="24"/>
          <w:shd w:val="clear" w:color="auto" w:fill="FFFFFF"/>
        </w:rPr>
        <w:t xml:space="preserve">Article 2(2)(h) of Section 4 of Part B </w:t>
      </w:r>
      <w:r w:rsidRPr="0047552D">
        <w:rPr>
          <w:noProof/>
          <w:szCs w:val="24"/>
        </w:rPr>
        <w:t xml:space="preserve">of Annex 31 to the </w:t>
      </w:r>
      <w:r w:rsidRPr="0047552D">
        <w:rPr>
          <w:noProof/>
        </w:rPr>
        <w:t>Trade and Cooperation Agreement</w:t>
      </w:r>
      <w:r w:rsidRPr="0047552D">
        <w:rPr>
          <w:noProof/>
          <w:szCs w:val="24"/>
          <w:shd w:val="clear" w:color="auto" w:fill="FFFFFF"/>
        </w:rPr>
        <w:t xml:space="preserve"> refers to, </w:t>
      </w:r>
      <w:r w:rsidR="00C0616A" w:rsidRPr="0047552D">
        <w:rPr>
          <w:noProof/>
          <w:szCs w:val="24"/>
          <w:shd w:val="clear" w:color="auto" w:fill="FFFFFF"/>
        </w:rPr>
        <w:t xml:space="preserve">was </w:t>
      </w:r>
      <w:r w:rsidRPr="0047552D">
        <w:rPr>
          <w:noProof/>
          <w:szCs w:val="24"/>
          <w:shd w:val="clear" w:color="auto" w:fill="FFFFFF"/>
        </w:rPr>
        <w:t xml:space="preserve">also </w:t>
      </w:r>
      <w:r w:rsidR="00C0616A" w:rsidRPr="0047552D">
        <w:rPr>
          <w:noProof/>
          <w:szCs w:val="24"/>
          <w:shd w:val="clear" w:color="auto" w:fill="FFFFFF"/>
        </w:rPr>
        <w:t>adopted on the basis of Articl</w:t>
      </w:r>
      <w:r w:rsidR="001F0336" w:rsidRPr="0047552D">
        <w:rPr>
          <w:noProof/>
          <w:szCs w:val="24"/>
          <w:shd w:val="clear" w:color="auto" w:fill="FFFFFF"/>
        </w:rPr>
        <w:t>e </w:t>
      </w:r>
      <w:r w:rsidR="00C0616A" w:rsidRPr="0047552D">
        <w:rPr>
          <w:noProof/>
          <w:szCs w:val="24"/>
          <w:shd w:val="clear" w:color="auto" w:fill="FFFFFF"/>
        </w:rPr>
        <w:t>11 of Regulation (EU) No</w:t>
      </w:r>
      <w:r w:rsidR="001F0336" w:rsidRPr="0047552D">
        <w:rPr>
          <w:noProof/>
          <w:szCs w:val="24"/>
          <w:shd w:val="clear" w:color="auto" w:fill="FFFFFF"/>
        </w:rPr>
        <w:t> </w:t>
      </w:r>
      <w:r w:rsidR="00C0616A" w:rsidRPr="0047552D">
        <w:rPr>
          <w:noProof/>
          <w:szCs w:val="24"/>
          <w:shd w:val="clear" w:color="auto" w:fill="FFFFFF"/>
        </w:rPr>
        <w:t>165/2014.</w:t>
      </w:r>
      <w:r w:rsidR="00C0616A">
        <w:rPr>
          <w:noProof/>
          <w:szCs w:val="24"/>
          <w:shd w:val="clear" w:color="auto" w:fill="FFFFFF"/>
        </w:rPr>
        <w:t xml:space="preserve"> </w:t>
      </w:r>
      <w:r>
        <w:rPr>
          <w:noProof/>
          <w:szCs w:val="24"/>
          <w:shd w:val="clear" w:color="auto" w:fill="FFFFFF"/>
        </w:rPr>
        <w:t xml:space="preserve">By amending Annex IC to Commission Implementing Regulation (EU) 2016/799, it </w:t>
      </w:r>
      <w:r w:rsidR="00C0616A">
        <w:rPr>
          <w:noProof/>
          <w:szCs w:val="24"/>
          <w:shd w:val="clear" w:color="auto" w:fill="FFFFFF"/>
        </w:rPr>
        <w:t>la</w:t>
      </w:r>
      <w:r>
        <w:rPr>
          <w:noProof/>
          <w:szCs w:val="24"/>
          <w:shd w:val="clear" w:color="auto" w:fill="FFFFFF"/>
        </w:rPr>
        <w:t>id</w:t>
      </w:r>
      <w:r w:rsidR="00C0616A">
        <w:rPr>
          <w:noProof/>
          <w:szCs w:val="24"/>
          <w:shd w:val="clear" w:color="auto" w:fill="FFFFFF"/>
        </w:rPr>
        <w:t xml:space="preserve"> down the detailed techinical specifications of the smart tachograph 2</w:t>
      </w:r>
      <w:r>
        <w:rPr>
          <w:noProof/>
          <w:szCs w:val="24"/>
          <w:shd w:val="clear" w:color="auto" w:fill="FFFFFF"/>
        </w:rPr>
        <w:t>. I</w:t>
      </w:r>
      <w:r w:rsidR="00C0616A">
        <w:rPr>
          <w:noProof/>
          <w:szCs w:val="24"/>
          <w:shd w:val="clear" w:color="auto" w:fill="FFFFFF"/>
        </w:rPr>
        <w:t xml:space="preserve">t entered into force on 19 of August 2021. </w:t>
      </w:r>
      <w:r>
        <w:rPr>
          <w:noProof/>
          <w:szCs w:val="24"/>
          <w:shd w:val="clear" w:color="auto" w:fill="FFFFFF"/>
        </w:rPr>
        <w:t xml:space="preserve">Commission Implementing Regulation (EU) </w:t>
      </w:r>
      <w:r w:rsidR="00516AB4" w:rsidRPr="00EB7A27">
        <w:rPr>
          <w:noProof/>
          <w:szCs w:val="24"/>
          <w:shd w:val="clear" w:color="auto" w:fill="FFFFFF"/>
        </w:rPr>
        <w:t>2023/</w:t>
      </w:r>
      <w:r w:rsidR="00516AB4">
        <w:rPr>
          <w:noProof/>
          <w:szCs w:val="24"/>
          <w:shd w:val="clear" w:color="auto" w:fill="FFFFFF"/>
        </w:rPr>
        <w:t>980</w:t>
      </w:r>
      <w:r w:rsidR="00516AB4" w:rsidRPr="00EB7A27">
        <w:rPr>
          <w:rStyle w:val="FootnoteReference"/>
          <w:noProof/>
          <w:szCs w:val="24"/>
        </w:rPr>
        <w:footnoteReference w:id="6"/>
      </w:r>
      <w:r>
        <w:rPr>
          <w:noProof/>
          <w:szCs w:val="24"/>
          <w:shd w:val="clear" w:color="auto" w:fill="FFFFFF"/>
        </w:rPr>
        <w:t xml:space="preserve"> introduced additional transitional measures</w:t>
      </w:r>
      <w:r w:rsidR="007C19B5">
        <w:rPr>
          <w:noProof/>
          <w:szCs w:val="24"/>
          <w:shd w:val="clear" w:color="auto" w:fill="FFFFFF"/>
        </w:rPr>
        <w:t>.</w:t>
      </w:r>
      <w:r w:rsidR="00516AB4" w:rsidRPr="00526867">
        <w:rPr>
          <w:noProof/>
          <w:szCs w:val="24"/>
          <w:shd w:val="clear" w:color="auto" w:fill="FFFFFF"/>
        </w:rPr>
        <w:t xml:space="preserve"> </w:t>
      </w:r>
      <w:r w:rsidR="00516AB4">
        <w:rPr>
          <w:noProof/>
          <w:szCs w:val="24"/>
          <w:shd w:val="clear" w:color="auto" w:fill="FFFFFF"/>
        </w:rPr>
        <w:t xml:space="preserve">Annex </w:t>
      </w:r>
      <w:r>
        <w:rPr>
          <w:noProof/>
          <w:szCs w:val="24"/>
          <w:shd w:val="clear" w:color="auto" w:fill="FFFFFF"/>
        </w:rPr>
        <w:t xml:space="preserve">IC to Commission Implementing Regulation (EU) 2016/799 </w:t>
      </w:r>
      <w:r w:rsidR="00516AB4">
        <w:rPr>
          <w:noProof/>
          <w:szCs w:val="24"/>
          <w:shd w:val="clear" w:color="auto" w:fill="FFFFFF"/>
        </w:rPr>
        <w:t>as amended</w:t>
      </w:r>
      <w:r w:rsidR="00516AB4" w:rsidRPr="00526867">
        <w:rPr>
          <w:noProof/>
          <w:szCs w:val="24"/>
          <w:shd w:val="clear" w:color="auto" w:fill="FFFFFF"/>
        </w:rPr>
        <w:t xml:space="preserve"> should therefore be adapted </w:t>
      </w:r>
      <w:bookmarkStart w:id="6" w:name="_Hlk134798406"/>
      <w:r w:rsidR="007C19B5">
        <w:rPr>
          <w:noProof/>
          <w:szCs w:val="24"/>
          <w:shd w:val="clear" w:color="auto" w:fill="FFFFFF"/>
        </w:rPr>
        <w:t xml:space="preserve">by </w:t>
      </w:r>
      <w:r w:rsidR="007A25EA">
        <w:rPr>
          <w:noProof/>
          <w:szCs w:val="24"/>
          <w:shd w:val="clear" w:color="auto" w:fill="FFFFFF"/>
        </w:rPr>
        <w:t>D</w:t>
      </w:r>
      <w:r w:rsidR="007C19B5">
        <w:rPr>
          <w:noProof/>
          <w:szCs w:val="24"/>
          <w:shd w:val="clear" w:color="auto" w:fill="FFFFFF"/>
        </w:rPr>
        <w:t xml:space="preserve">ecision of the Specialised Committee on Road Transport, </w:t>
      </w:r>
      <w:r w:rsidR="00516AB4">
        <w:rPr>
          <w:noProof/>
          <w:szCs w:val="24"/>
          <w:shd w:val="clear" w:color="auto" w:fill="FFFFFF"/>
        </w:rPr>
        <w:t xml:space="preserve">pursuant to </w:t>
      </w:r>
      <w:r w:rsidR="00516AB4" w:rsidRPr="0082265D">
        <w:rPr>
          <w:noProof/>
          <w:szCs w:val="24"/>
        </w:rPr>
        <w:t xml:space="preserve">subparagraph (h) of Article 2(2) of Section 4 of Part B of Annex 31 </w:t>
      </w:r>
      <w:r w:rsidR="007C19B5">
        <w:rPr>
          <w:noProof/>
          <w:szCs w:val="24"/>
        </w:rPr>
        <w:t>to</w:t>
      </w:r>
      <w:r w:rsidR="007C19B5" w:rsidRPr="0082265D">
        <w:rPr>
          <w:noProof/>
          <w:szCs w:val="24"/>
        </w:rPr>
        <w:t xml:space="preserve"> </w:t>
      </w:r>
      <w:r w:rsidR="00516AB4" w:rsidRPr="0082265D">
        <w:rPr>
          <w:noProof/>
          <w:szCs w:val="24"/>
        </w:rPr>
        <w:t xml:space="preserve">the </w:t>
      </w:r>
      <w:r w:rsidR="00516AB4" w:rsidRPr="009E31D4">
        <w:rPr>
          <w:noProof/>
        </w:rPr>
        <w:t>Trade and Cooperation Agreement</w:t>
      </w:r>
      <w:r w:rsidR="00516AB4">
        <w:rPr>
          <w:noProof/>
        </w:rPr>
        <w:t>, fourth indent</w:t>
      </w:r>
      <w:bookmarkEnd w:id="6"/>
      <w:r w:rsidR="00516AB4" w:rsidRPr="00526867">
        <w:rPr>
          <w:noProof/>
          <w:szCs w:val="24"/>
          <w:shd w:val="clear" w:color="auto" w:fill="FFFFFF"/>
        </w:rPr>
        <w:t>.</w:t>
      </w:r>
    </w:p>
    <w:p w14:paraId="4631E8A0" w14:textId="64BB6B1D" w:rsidR="00516AB4" w:rsidRDefault="00516AB4" w:rsidP="00EA5EBD">
      <w:pPr>
        <w:pStyle w:val="ManualConsidrant"/>
        <w:rPr>
          <w:noProof/>
          <w:shd w:val="clear" w:color="auto" w:fill="FFFFFF"/>
        </w:rPr>
      </w:pPr>
      <w:r>
        <w:rPr>
          <w:noProof/>
          <w:shd w:val="clear" w:color="auto" w:fill="FFFFFF"/>
        </w:rPr>
        <w:t>(</w:t>
      </w:r>
      <w:r w:rsidR="009F166C">
        <w:rPr>
          <w:noProof/>
          <w:shd w:val="clear" w:color="auto" w:fill="FFFFFF"/>
        </w:rPr>
        <w:t>5</w:t>
      </w:r>
      <w:r>
        <w:rPr>
          <w:noProof/>
          <w:shd w:val="clear" w:color="auto" w:fill="FFFFFF"/>
        </w:rPr>
        <w:t xml:space="preserve">) </w:t>
      </w:r>
      <w:r>
        <w:rPr>
          <w:noProof/>
          <w:shd w:val="clear" w:color="auto" w:fill="FFFFFF"/>
        </w:rPr>
        <w:tab/>
      </w:r>
      <w:bookmarkStart w:id="7" w:name="_Hlk135040828"/>
      <w:r w:rsidR="00C97362">
        <w:rPr>
          <w:noProof/>
          <w:shd w:val="clear" w:color="auto" w:fill="FFFFFF"/>
        </w:rPr>
        <w:t>E</w:t>
      </w:r>
      <w:r>
        <w:rPr>
          <w:noProof/>
          <w:shd w:val="clear" w:color="auto" w:fill="FFFFFF"/>
        </w:rPr>
        <w:t xml:space="preserve">quipment </w:t>
      </w:r>
      <w:r w:rsidR="00C97362">
        <w:rPr>
          <w:noProof/>
          <w:shd w:val="clear" w:color="auto" w:fill="FFFFFF"/>
        </w:rPr>
        <w:t xml:space="preserve">ensuring </w:t>
      </w:r>
      <w:r w:rsidR="00C97362" w:rsidRPr="00C97362">
        <w:rPr>
          <w:noProof/>
          <w:shd w:val="clear" w:color="auto" w:fill="FFFFFF"/>
        </w:rPr>
        <w:t>automatic recording of the border crossing</w:t>
      </w:r>
      <w:r w:rsidR="002D0C17">
        <w:rPr>
          <w:noProof/>
          <w:shd w:val="clear" w:color="auto" w:fill="FFFFFF"/>
        </w:rPr>
        <w:t>,</w:t>
      </w:r>
      <w:r w:rsidR="00C97362" w:rsidRPr="00C97362">
        <w:rPr>
          <w:noProof/>
          <w:shd w:val="clear" w:color="auto" w:fill="FFFFFF"/>
        </w:rPr>
        <w:t xml:space="preserve"> recording of loading and unloading activities</w:t>
      </w:r>
      <w:r w:rsidR="002D0C17">
        <w:rPr>
          <w:noProof/>
          <w:shd w:val="clear" w:color="auto" w:fill="FFFFFF"/>
        </w:rPr>
        <w:t xml:space="preserve"> and</w:t>
      </w:r>
      <w:r w:rsidR="00C97362" w:rsidRPr="00C97362">
        <w:rPr>
          <w:noProof/>
          <w:shd w:val="clear" w:color="auto" w:fill="FFFFFF"/>
        </w:rPr>
        <w:t xml:space="preserve"> recording whether the vehicle is used for carriage of goods or passengers</w:t>
      </w:r>
      <w:r w:rsidR="002D0C17">
        <w:rPr>
          <w:noProof/>
          <w:shd w:val="clear" w:color="auto" w:fill="FFFFFF"/>
        </w:rPr>
        <w:t xml:space="preserve"> </w:t>
      </w:r>
      <w:r>
        <w:rPr>
          <w:noProof/>
          <w:shd w:val="clear" w:color="auto" w:fill="FFFFFF"/>
        </w:rPr>
        <w:t>is already available both in the Union and the United Kingdom</w:t>
      </w:r>
      <w:r w:rsidR="002C7692">
        <w:rPr>
          <w:noProof/>
          <w:shd w:val="clear" w:color="auto" w:fill="FFFFFF"/>
        </w:rPr>
        <w:t>. Also,</w:t>
      </w:r>
      <w:r w:rsidR="007C19B5">
        <w:rPr>
          <w:noProof/>
          <w:shd w:val="clear" w:color="auto" w:fill="FFFFFF"/>
        </w:rPr>
        <w:t xml:space="preserve"> for </w:t>
      </w:r>
      <w:r>
        <w:rPr>
          <w:noProof/>
          <w:shd w:val="clear" w:color="auto" w:fill="FFFFFF"/>
        </w:rPr>
        <w:t>newly-registered vehicles in both Parties undertaking international journeys, obligation</w:t>
      </w:r>
      <w:r w:rsidR="00EA5EBD">
        <w:rPr>
          <w:noProof/>
          <w:shd w:val="clear" w:color="auto" w:fill="FFFFFF"/>
        </w:rPr>
        <w:t>s</w:t>
      </w:r>
      <w:r>
        <w:rPr>
          <w:noProof/>
          <w:shd w:val="clear" w:color="auto" w:fill="FFFFFF"/>
        </w:rPr>
        <w:t xml:space="preserve"> to be equipped with </w:t>
      </w:r>
      <w:r w:rsidR="00C97362">
        <w:rPr>
          <w:noProof/>
          <w:shd w:val="clear" w:color="auto" w:fill="FFFFFF"/>
        </w:rPr>
        <w:t>such</w:t>
      </w:r>
      <w:r>
        <w:rPr>
          <w:noProof/>
          <w:shd w:val="clear" w:color="auto" w:fill="FFFFFF"/>
        </w:rPr>
        <w:t xml:space="preserve"> tachograph</w:t>
      </w:r>
      <w:r w:rsidR="00C97362">
        <w:rPr>
          <w:noProof/>
          <w:shd w:val="clear" w:color="auto" w:fill="FFFFFF"/>
        </w:rPr>
        <w:t>s</w:t>
      </w:r>
      <w:r>
        <w:rPr>
          <w:noProof/>
          <w:shd w:val="clear" w:color="auto" w:fill="FFFFFF"/>
        </w:rPr>
        <w:t xml:space="preserve"> </w:t>
      </w:r>
      <w:r w:rsidR="007C19B5">
        <w:rPr>
          <w:noProof/>
          <w:shd w:val="clear" w:color="auto" w:fill="FFFFFF"/>
        </w:rPr>
        <w:t>appl</w:t>
      </w:r>
      <w:r w:rsidR="00EA5EBD">
        <w:rPr>
          <w:noProof/>
          <w:shd w:val="clear" w:color="auto" w:fill="FFFFFF"/>
        </w:rPr>
        <w:t xml:space="preserve">y </w:t>
      </w:r>
      <w:r w:rsidR="007C19B5">
        <w:rPr>
          <w:noProof/>
          <w:shd w:val="clear" w:color="auto" w:fill="FFFFFF"/>
        </w:rPr>
        <w:t xml:space="preserve">since </w:t>
      </w:r>
      <w:r>
        <w:rPr>
          <w:noProof/>
          <w:shd w:val="clear" w:color="auto" w:fill="FFFFFF"/>
        </w:rPr>
        <w:t xml:space="preserve">21 August 2023, </w:t>
      </w:r>
      <w:r w:rsidR="007C19B5">
        <w:rPr>
          <w:noProof/>
          <w:shd w:val="clear" w:color="auto" w:fill="FFFFFF"/>
        </w:rPr>
        <w:t xml:space="preserve">in accordance with domestic law </w:t>
      </w:r>
      <w:r>
        <w:rPr>
          <w:noProof/>
          <w:shd w:val="clear" w:color="auto" w:fill="FFFFFF"/>
        </w:rPr>
        <w:t>of each Party.</w:t>
      </w:r>
      <w:r w:rsidR="00EA5EBD">
        <w:rPr>
          <w:noProof/>
          <w:shd w:val="clear" w:color="auto" w:fill="FFFFFF"/>
        </w:rPr>
        <w:t xml:space="preserve"> Nonetheless, </w:t>
      </w:r>
      <w:r w:rsidR="002D0C17">
        <w:rPr>
          <w:noProof/>
          <w:shd w:val="clear" w:color="auto" w:fill="FFFFFF"/>
        </w:rPr>
        <w:t xml:space="preserve">undertakings will be </w:t>
      </w:r>
      <w:r w:rsidR="00EA5EBD">
        <w:rPr>
          <w:noProof/>
          <w:shd w:val="clear" w:color="auto" w:fill="FFFFFF"/>
        </w:rPr>
        <w:t xml:space="preserve">able to comply </w:t>
      </w:r>
      <w:r w:rsidR="002D0C17">
        <w:rPr>
          <w:noProof/>
          <w:shd w:val="clear" w:color="auto" w:fill="FFFFFF"/>
        </w:rPr>
        <w:t xml:space="preserve">with the requirement set under </w:t>
      </w:r>
      <w:r w:rsidR="00EA5EBD">
        <w:rPr>
          <w:noProof/>
          <w:szCs w:val="24"/>
        </w:rPr>
        <w:t>point</w:t>
      </w:r>
      <w:r w:rsidR="00EA5EBD" w:rsidRPr="0082265D">
        <w:rPr>
          <w:noProof/>
          <w:szCs w:val="24"/>
        </w:rPr>
        <w:t xml:space="preserve"> (</w:t>
      </w:r>
      <w:r w:rsidR="00EA5EBD">
        <w:rPr>
          <w:noProof/>
          <w:szCs w:val="24"/>
        </w:rPr>
        <w:t>f</w:t>
      </w:r>
      <w:r w:rsidR="00EA5EBD" w:rsidRPr="0082265D">
        <w:rPr>
          <w:noProof/>
          <w:szCs w:val="24"/>
        </w:rPr>
        <w:t xml:space="preserve">) of Article </w:t>
      </w:r>
      <w:r w:rsidR="00EA5EBD">
        <w:rPr>
          <w:noProof/>
          <w:szCs w:val="24"/>
        </w:rPr>
        <w:t>3</w:t>
      </w:r>
      <w:r w:rsidR="00EA5EBD" w:rsidRPr="0082265D">
        <w:rPr>
          <w:noProof/>
          <w:szCs w:val="24"/>
        </w:rPr>
        <w:t xml:space="preserve">(2) of Section </w:t>
      </w:r>
      <w:r w:rsidR="00EA5EBD">
        <w:rPr>
          <w:noProof/>
          <w:szCs w:val="24"/>
        </w:rPr>
        <w:t>2</w:t>
      </w:r>
      <w:r w:rsidR="00EA5EBD" w:rsidRPr="0082265D">
        <w:rPr>
          <w:noProof/>
          <w:szCs w:val="24"/>
        </w:rPr>
        <w:t xml:space="preserve"> of Part </w:t>
      </w:r>
      <w:r w:rsidR="00EA5EBD">
        <w:rPr>
          <w:noProof/>
          <w:szCs w:val="24"/>
        </w:rPr>
        <w:t>C</w:t>
      </w:r>
      <w:r w:rsidR="00EA5EBD" w:rsidRPr="0082265D">
        <w:rPr>
          <w:noProof/>
          <w:szCs w:val="24"/>
        </w:rPr>
        <w:t xml:space="preserve"> of Annex 31 </w:t>
      </w:r>
      <w:r w:rsidR="00EA5EBD">
        <w:rPr>
          <w:noProof/>
          <w:shd w:val="clear" w:color="auto" w:fill="FFFFFF"/>
        </w:rPr>
        <w:t xml:space="preserve">only from the moment when the detailed specifications of the smart tachograph 2 will be adapted by this </w:t>
      </w:r>
      <w:r w:rsidR="00B456AD">
        <w:rPr>
          <w:noProof/>
          <w:shd w:val="clear" w:color="auto" w:fill="FFFFFF"/>
        </w:rPr>
        <w:t>D</w:t>
      </w:r>
      <w:r w:rsidR="00EA5EBD">
        <w:rPr>
          <w:noProof/>
          <w:shd w:val="clear" w:color="auto" w:fill="FFFFFF"/>
        </w:rPr>
        <w:t>ecision</w:t>
      </w:r>
      <w:r w:rsidR="002D0C17">
        <w:rPr>
          <w:noProof/>
          <w:shd w:val="clear" w:color="auto" w:fill="FFFFFF"/>
        </w:rPr>
        <w:t xml:space="preserve">. </w:t>
      </w:r>
      <w:r w:rsidRPr="005A7962">
        <w:rPr>
          <w:noProof/>
          <w:shd w:val="clear" w:color="auto" w:fill="FFFFFF"/>
        </w:rPr>
        <w:t xml:space="preserve">In order to </w:t>
      </w:r>
      <w:r w:rsidR="002D0C17" w:rsidRPr="009F166C">
        <w:rPr>
          <w:noProof/>
          <w:shd w:val="clear" w:color="auto" w:fill="FFFFFF"/>
        </w:rPr>
        <w:t xml:space="preserve">ensure adequate </w:t>
      </w:r>
      <w:r w:rsidRPr="005A7962">
        <w:rPr>
          <w:noProof/>
          <w:shd w:val="clear" w:color="auto" w:fill="FFFFFF"/>
        </w:rPr>
        <w:t xml:space="preserve">time and legal clarity about the </w:t>
      </w:r>
      <w:r w:rsidR="002D0C17" w:rsidRPr="009F166C">
        <w:rPr>
          <w:noProof/>
          <w:shd w:val="clear" w:color="auto" w:fill="FFFFFF"/>
        </w:rPr>
        <w:t>application of that requirement</w:t>
      </w:r>
      <w:r w:rsidR="00EA5EBD" w:rsidRPr="009F166C">
        <w:rPr>
          <w:noProof/>
          <w:shd w:val="clear" w:color="auto" w:fill="FFFFFF"/>
        </w:rPr>
        <w:t>,</w:t>
      </w:r>
      <w:r w:rsidR="002D0C17" w:rsidRPr="009F166C">
        <w:rPr>
          <w:noProof/>
          <w:shd w:val="clear" w:color="auto" w:fill="FFFFFF"/>
        </w:rPr>
        <w:t xml:space="preserve"> and </w:t>
      </w:r>
      <w:r w:rsidR="00326AF1" w:rsidRPr="009F166C">
        <w:rPr>
          <w:noProof/>
          <w:shd w:val="clear" w:color="auto" w:fill="FFFFFF"/>
        </w:rPr>
        <w:t>considering</w:t>
      </w:r>
      <w:r w:rsidR="002D0C17" w:rsidRPr="009F166C">
        <w:rPr>
          <w:noProof/>
          <w:shd w:val="clear" w:color="auto" w:fill="FFFFFF"/>
        </w:rPr>
        <w:t xml:space="preserve"> that this </w:t>
      </w:r>
      <w:r w:rsidRPr="005A7962">
        <w:rPr>
          <w:noProof/>
          <w:shd w:val="clear" w:color="auto" w:fill="FFFFFF"/>
        </w:rPr>
        <w:t>Decision</w:t>
      </w:r>
      <w:r w:rsidR="002D0C17" w:rsidRPr="009F166C">
        <w:rPr>
          <w:noProof/>
          <w:shd w:val="clear" w:color="auto" w:fill="FFFFFF"/>
        </w:rPr>
        <w:t xml:space="preserve"> is adopted more than two years </w:t>
      </w:r>
      <w:r w:rsidR="002D0C17" w:rsidRPr="005A7962">
        <w:rPr>
          <w:noProof/>
          <w:shd w:val="clear" w:color="auto" w:fill="FFFFFF"/>
        </w:rPr>
        <w:t>after the entry into force of the detailed specifications of the smart tachograph 2</w:t>
      </w:r>
      <w:r w:rsidRPr="005A7962">
        <w:rPr>
          <w:noProof/>
          <w:shd w:val="clear" w:color="auto" w:fill="FFFFFF"/>
        </w:rPr>
        <w:t xml:space="preserve">, </w:t>
      </w:r>
      <w:bookmarkEnd w:id="7"/>
      <w:r w:rsidR="002D0C17" w:rsidRPr="009F166C">
        <w:rPr>
          <w:noProof/>
          <w:shd w:val="clear" w:color="auto" w:fill="FFFFFF"/>
        </w:rPr>
        <w:t>it is appropriate to esta</w:t>
      </w:r>
      <w:r w:rsidR="00326AF1" w:rsidRPr="009F166C">
        <w:rPr>
          <w:noProof/>
          <w:shd w:val="clear" w:color="auto" w:fill="FFFFFF"/>
        </w:rPr>
        <w:t>b</w:t>
      </w:r>
      <w:r w:rsidR="002D0C17" w:rsidRPr="009F166C">
        <w:rPr>
          <w:noProof/>
          <w:shd w:val="clear" w:color="auto" w:fill="FFFFFF"/>
        </w:rPr>
        <w:t>lish a date of application</w:t>
      </w:r>
      <w:r w:rsidR="00AD4907" w:rsidRPr="009F166C">
        <w:rPr>
          <w:noProof/>
          <w:shd w:val="clear" w:color="auto" w:fill="FFFFFF"/>
        </w:rPr>
        <w:t>. Hence,</w:t>
      </w:r>
      <w:r w:rsidR="002D0C17" w:rsidRPr="009F166C">
        <w:rPr>
          <w:noProof/>
          <w:shd w:val="clear" w:color="auto" w:fill="FFFFFF"/>
        </w:rPr>
        <w:t xml:space="preserve"> </w:t>
      </w:r>
      <w:r w:rsidRPr="005A7962">
        <w:rPr>
          <w:noProof/>
          <w:shd w:val="clear" w:color="auto" w:fill="FFFFFF"/>
        </w:rPr>
        <w:t xml:space="preserve">this Decision should </w:t>
      </w:r>
      <w:r w:rsidR="007C19B5" w:rsidRPr="005A7962">
        <w:rPr>
          <w:noProof/>
          <w:shd w:val="clear" w:color="auto" w:fill="FFFFFF"/>
        </w:rPr>
        <w:t>apply from</w:t>
      </w:r>
      <w:r w:rsidRPr="005A7962">
        <w:rPr>
          <w:noProof/>
          <w:shd w:val="clear" w:color="auto" w:fill="FFFFFF"/>
        </w:rPr>
        <w:t xml:space="preserve"> 21 February 2024. </w:t>
      </w:r>
      <w:r>
        <w:rPr>
          <w:noProof/>
          <w:shd w:val="clear" w:color="auto" w:fill="FFFFFF"/>
        </w:rPr>
        <w:tab/>
      </w:r>
    </w:p>
    <w:p w14:paraId="03B60E08" w14:textId="77777777" w:rsidR="00516AB4" w:rsidRPr="00DD28A0" w:rsidRDefault="00516AB4" w:rsidP="00516AB4">
      <w:pPr>
        <w:pStyle w:val="ManualConsidrant"/>
        <w:tabs>
          <w:tab w:val="left" w:pos="851"/>
        </w:tabs>
        <w:rPr>
          <w:noProof/>
          <w:szCs w:val="24"/>
          <w:highlight w:val="yellow"/>
        </w:rPr>
      </w:pPr>
      <w:r w:rsidRPr="009E31D4" w:rsidDel="00537D8C">
        <w:rPr>
          <w:noProof/>
          <w:color w:val="000000"/>
          <w:shd w:val="clear" w:color="auto" w:fill="FFFFFF"/>
        </w:rPr>
        <w:t xml:space="preserve"> </w:t>
      </w:r>
    </w:p>
    <w:p w14:paraId="7A44FC74" w14:textId="77777777" w:rsidR="00516AB4" w:rsidRPr="00DD28A0" w:rsidRDefault="00516AB4" w:rsidP="00516AB4">
      <w:pPr>
        <w:pStyle w:val="Formuledadoption"/>
        <w:ind w:left="240"/>
        <w:rPr>
          <w:noProof/>
          <w:szCs w:val="24"/>
        </w:rPr>
      </w:pPr>
      <w:r w:rsidRPr="00DD28A0">
        <w:rPr>
          <w:noProof/>
          <w:szCs w:val="24"/>
        </w:rPr>
        <w:t>HAS ADOPTED THIS DECISION:</w:t>
      </w:r>
    </w:p>
    <w:p w14:paraId="4395ED25" w14:textId="77777777" w:rsidR="00516AB4" w:rsidRPr="00580F45" w:rsidRDefault="00516AB4" w:rsidP="00516AB4">
      <w:pPr>
        <w:jc w:val="center"/>
        <w:rPr>
          <w:i/>
          <w:iCs/>
          <w:noProof/>
          <w:szCs w:val="24"/>
        </w:rPr>
      </w:pPr>
      <w:r w:rsidRPr="00580F45">
        <w:rPr>
          <w:i/>
          <w:iCs/>
          <w:noProof/>
          <w:szCs w:val="24"/>
        </w:rPr>
        <w:t xml:space="preserve">Article </w:t>
      </w:r>
      <w:r>
        <w:rPr>
          <w:i/>
          <w:iCs/>
          <w:noProof/>
          <w:szCs w:val="24"/>
        </w:rPr>
        <w:t>1</w:t>
      </w:r>
    </w:p>
    <w:p w14:paraId="69B779C8" w14:textId="77777777" w:rsidR="00516AB4" w:rsidRPr="00580F45" w:rsidRDefault="00516AB4" w:rsidP="00516AB4">
      <w:pPr>
        <w:jc w:val="center"/>
        <w:rPr>
          <w:b/>
          <w:bCs/>
          <w:noProof/>
          <w:szCs w:val="24"/>
        </w:rPr>
      </w:pPr>
      <w:r w:rsidRPr="00580F45">
        <w:rPr>
          <w:b/>
          <w:bCs/>
          <w:noProof/>
          <w:szCs w:val="24"/>
        </w:rPr>
        <w:t>Adapt</w:t>
      </w:r>
      <w:r>
        <w:rPr>
          <w:b/>
          <w:bCs/>
          <w:noProof/>
          <w:szCs w:val="24"/>
        </w:rPr>
        <w:t>at</w:t>
      </w:r>
      <w:r w:rsidRPr="00580F45">
        <w:rPr>
          <w:b/>
          <w:bCs/>
          <w:noProof/>
          <w:szCs w:val="24"/>
        </w:rPr>
        <w:t>ions to the technical specifications for smart tachograph 2</w:t>
      </w:r>
    </w:p>
    <w:p w14:paraId="3EC7E997" w14:textId="320B77F6" w:rsidR="00516AB4" w:rsidRDefault="00516AB4" w:rsidP="00516AB4">
      <w:pPr>
        <w:rPr>
          <w:noProof/>
        </w:rPr>
      </w:pPr>
      <w:r>
        <w:rPr>
          <w:noProof/>
        </w:rPr>
        <w:t>Pursuant</w:t>
      </w:r>
      <w:r>
        <w:rPr>
          <w:noProof/>
          <w:szCs w:val="24"/>
          <w:shd w:val="clear" w:color="auto" w:fill="FFFFFF"/>
        </w:rPr>
        <w:t xml:space="preserve"> to </w:t>
      </w:r>
      <w:r>
        <w:rPr>
          <w:noProof/>
          <w:szCs w:val="24"/>
        </w:rPr>
        <w:t>point</w:t>
      </w:r>
      <w:r w:rsidRPr="0082265D">
        <w:rPr>
          <w:noProof/>
          <w:szCs w:val="24"/>
        </w:rPr>
        <w:t xml:space="preserve"> (h) of Article 2(2) of Section 4 of Part B of Annex 31 </w:t>
      </w:r>
      <w:r w:rsidR="006C0230">
        <w:rPr>
          <w:noProof/>
          <w:szCs w:val="24"/>
        </w:rPr>
        <w:t xml:space="preserve">to </w:t>
      </w:r>
      <w:r w:rsidRPr="0082265D">
        <w:rPr>
          <w:noProof/>
          <w:szCs w:val="24"/>
        </w:rPr>
        <w:t xml:space="preserve">the </w:t>
      </w:r>
      <w:r w:rsidRPr="009E31D4">
        <w:rPr>
          <w:noProof/>
        </w:rPr>
        <w:t>Trade and</w:t>
      </w:r>
      <w:r>
        <w:rPr>
          <w:noProof/>
        </w:rPr>
        <w:t xml:space="preserve"> </w:t>
      </w:r>
      <w:r w:rsidRPr="009E31D4">
        <w:rPr>
          <w:noProof/>
        </w:rPr>
        <w:t>Cooperation Agreement</w:t>
      </w:r>
      <w:r>
        <w:rPr>
          <w:noProof/>
        </w:rPr>
        <w:t>, fourth indent, Annex</w:t>
      </w:r>
      <w:r w:rsidRPr="00D501F6">
        <w:rPr>
          <w:noProof/>
        </w:rPr>
        <w:t xml:space="preserve"> </w:t>
      </w:r>
      <w:r>
        <w:rPr>
          <w:noProof/>
        </w:rPr>
        <w:t xml:space="preserve">IC to Commission </w:t>
      </w:r>
      <w:r w:rsidRPr="00D501F6">
        <w:rPr>
          <w:noProof/>
        </w:rPr>
        <w:t>Implementing Regulation (EU) 2016/799</w:t>
      </w:r>
      <w:r>
        <w:rPr>
          <w:noProof/>
        </w:rPr>
        <w:t xml:space="preserve"> is</w:t>
      </w:r>
      <w:r w:rsidRPr="00D501F6">
        <w:rPr>
          <w:noProof/>
        </w:rPr>
        <w:t xml:space="preserve"> adapted as follows</w:t>
      </w:r>
      <w:r>
        <w:rPr>
          <w:noProof/>
        </w:rPr>
        <w:t xml:space="preserve">. </w:t>
      </w:r>
    </w:p>
    <w:p w14:paraId="165909F8" w14:textId="77777777" w:rsidR="00516AB4" w:rsidRDefault="00516AB4" w:rsidP="00516AB4">
      <w:pPr>
        <w:rPr>
          <w:noProof/>
        </w:rPr>
      </w:pPr>
    </w:p>
    <w:p w14:paraId="70E026D6" w14:textId="77777777" w:rsidR="00516AB4" w:rsidRPr="00D501F6" w:rsidRDefault="00516AB4" w:rsidP="00516AB4">
      <w:pPr>
        <w:rPr>
          <w:noProof/>
        </w:rPr>
      </w:pPr>
      <w:r>
        <w:rPr>
          <w:noProof/>
        </w:rPr>
        <w:t xml:space="preserve">The following adaptations apply throughout Annex IC, including its Appendices 1 to 17: </w:t>
      </w:r>
      <w:r w:rsidRPr="00D501F6">
        <w:rPr>
          <w:noProof/>
        </w:rPr>
        <w:t xml:space="preserve"> </w:t>
      </w:r>
    </w:p>
    <w:p w14:paraId="623EE556" w14:textId="77777777" w:rsidR="00516AB4" w:rsidRDefault="00516AB4" w:rsidP="009B2427">
      <w:pPr>
        <w:pStyle w:val="Point1letter"/>
        <w:numPr>
          <w:ilvl w:val="3"/>
          <w:numId w:val="1"/>
        </w:numPr>
        <w:tabs>
          <w:tab w:val="clear" w:pos="1417"/>
          <w:tab w:val="num" w:pos="567"/>
        </w:tabs>
        <w:ind w:left="567"/>
        <w:rPr>
          <w:noProof/>
        </w:rPr>
      </w:pPr>
      <w:r>
        <w:rPr>
          <w:noProof/>
        </w:rPr>
        <w:t xml:space="preserve">In the case of the United Kingdom, the references to “Member State” or “Member States”, wherever they occur, are replaced by “Party”, except for the references in point (229) of subsection 4.1 and in point (424) of Section 7;  </w:t>
      </w:r>
    </w:p>
    <w:p w14:paraId="21F10F5A" w14:textId="77777777" w:rsidR="00516AB4" w:rsidRDefault="00516AB4" w:rsidP="009B2427">
      <w:pPr>
        <w:pStyle w:val="Point1letter"/>
        <w:numPr>
          <w:ilvl w:val="3"/>
          <w:numId w:val="1"/>
        </w:numPr>
        <w:tabs>
          <w:tab w:val="clear" w:pos="1417"/>
          <w:tab w:val="num" w:pos="567"/>
        </w:tabs>
        <w:ind w:left="567"/>
        <w:rPr>
          <w:noProof/>
        </w:rPr>
      </w:pPr>
      <w:r>
        <w:rPr>
          <w:noProof/>
        </w:rPr>
        <w:t>For "Regulation (EEC) No 3820/85" and "Regulation (EC) No 561/2006" substitute "Section 2 of Part B of Annex 31 to the Trade and Cooperation Agreement between the European Union and the European Atomic Energy Community, of the one part, and the United Kingdom of Great Britain and Northern Ireland, of the other part";</w:t>
      </w:r>
    </w:p>
    <w:p w14:paraId="37E6B3E2" w14:textId="77777777" w:rsidR="00516AB4" w:rsidRDefault="00516AB4" w:rsidP="009B2427">
      <w:pPr>
        <w:pStyle w:val="Point1letter"/>
        <w:numPr>
          <w:ilvl w:val="3"/>
          <w:numId w:val="1"/>
        </w:numPr>
        <w:tabs>
          <w:tab w:val="clear" w:pos="1417"/>
          <w:tab w:val="num" w:pos="567"/>
        </w:tabs>
        <w:ind w:left="567"/>
        <w:rPr>
          <w:noProof/>
        </w:rPr>
      </w:pPr>
      <w:r>
        <w:rPr>
          <w:noProof/>
        </w:rPr>
        <w:t xml:space="preserve">For “Regulation (EU) No 165/2014” substitute “Section 4 of Part B and Section 2 of Part C of Annex 31 to the Trade and Cooperation Agreement between the European Union and the European Atomic Energy Community, of the one part, and the United Kingdom of Great Britain and Northern Ireland, of the other part”, </w:t>
      </w:r>
      <w:r w:rsidRPr="00696C29">
        <w:rPr>
          <w:noProof/>
        </w:rPr>
        <w:t>except for the references in points (226d), (237), (402), (424), ITS_01 and MIG_025</w:t>
      </w:r>
      <w:r>
        <w:rPr>
          <w:noProof/>
        </w:rPr>
        <w:t>;</w:t>
      </w:r>
    </w:p>
    <w:p w14:paraId="288FA3D1" w14:textId="77777777" w:rsidR="00516AB4" w:rsidRDefault="00516AB4" w:rsidP="009B2427">
      <w:pPr>
        <w:pStyle w:val="Point1letter"/>
        <w:numPr>
          <w:ilvl w:val="3"/>
          <w:numId w:val="1"/>
        </w:numPr>
        <w:tabs>
          <w:tab w:val="clear" w:pos="1417"/>
          <w:tab w:val="num" w:pos="567"/>
        </w:tabs>
        <w:ind w:left="567"/>
        <w:rPr>
          <w:noProof/>
        </w:rPr>
      </w:pPr>
      <w:r>
        <w:rPr>
          <w:noProof/>
        </w:rPr>
        <w:t>For “Directive (EU) 2015/719” and for “Council Directive 96/53/EC” substitute “Section 1 of Part C of Annex 31 to the Trade and Cooperation Agreement between the European Union and the European Atomic Energy Community, of the one part, and the United Kingdom of Great Britain and Northern Ireland, of the other part”;</w:t>
      </w:r>
    </w:p>
    <w:p w14:paraId="298C640A" w14:textId="66ABC344" w:rsidR="00516AB4" w:rsidRDefault="00516AB4" w:rsidP="009B2427">
      <w:pPr>
        <w:pStyle w:val="Point1letter"/>
        <w:numPr>
          <w:ilvl w:val="3"/>
          <w:numId w:val="1"/>
        </w:numPr>
        <w:tabs>
          <w:tab w:val="clear" w:pos="1417"/>
          <w:tab w:val="num" w:pos="567"/>
        </w:tabs>
        <w:ind w:left="567"/>
        <w:rPr>
          <w:noProof/>
        </w:rPr>
      </w:pPr>
      <w:r>
        <w:rPr>
          <w:noProof/>
        </w:rPr>
        <w:t xml:space="preserve"> </w:t>
      </w:r>
      <w:r w:rsidRPr="00696C29">
        <w:rPr>
          <w:noProof/>
        </w:rPr>
        <w:t>For “Annex IB to Regulation (EEC) No 3</w:t>
      </w:r>
      <w:r w:rsidR="008302D2">
        <w:rPr>
          <w:noProof/>
        </w:rPr>
        <w:t>82</w:t>
      </w:r>
      <w:r w:rsidRPr="00696C29">
        <w:rPr>
          <w:noProof/>
        </w:rPr>
        <w:t>1/85” substitute “Annex IB to Regulation (EEC) No 3</w:t>
      </w:r>
      <w:r w:rsidR="008302D2">
        <w:rPr>
          <w:noProof/>
        </w:rPr>
        <w:t>82</w:t>
      </w:r>
      <w:r w:rsidRPr="00696C29">
        <w:rPr>
          <w:noProof/>
        </w:rPr>
        <w:t>1/85 as adapted by Appendix 31-B-4-2 of Annex 31 to the Trade and Cooperation Agreement between the European Union and the European Atomic Energy Community, of the one part, and the United Kingdom of Great Britain and Northern Ireland, of the other part</w:t>
      </w:r>
      <w:r>
        <w:rPr>
          <w:noProof/>
        </w:rPr>
        <w:t>”;</w:t>
      </w:r>
    </w:p>
    <w:p w14:paraId="09E6A8AE" w14:textId="77777777" w:rsidR="00516AB4" w:rsidRDefault="00516AB4" w:rsidP="00516AB4">
      <w:pPr>
        <w:numPr>
          <w:ilvl w:val="3"/>
          <w:numId w:val="0"/>
        </w:numPr>
        <w:rPr>
          <w:noProof/>
        </w:rPr>
      </w:pPr>
    </w:p>
    <w:p w14:paraId="70E1D4E7" w14:textId="77777777" w:rsidR="00516AB4" w:rsidRDefault="00516AB4" w:rsidP="00516AB4">
      <w:pPr>
        <w:numPr>
          <w:ilvl w:val="3"/>
          <w:numId w:val="0"/>
        </w:numPr>
        <w:rPr>
          <w:noProof/>
        </w:rPr>
      </w:pPr>
      <w:r w:rsidRPr="00B275DC">
        <w:rPr>
          <w:b/>
          <w:bCs/>
          <w:noProof/>
        </w:rPr>
        <w:t>Section 1</w:t>
      </w:r>
      <w:r>
        <w:rPr>
          <w:noProof/>
        </w:rPr>
        <w:t xml:space="preserve"> (Definitions) of Annex IC to Commission Implementing Regulation (EU) 2016/799 is further adapted as follows:</w:t>
      </w:r>
    </w:p>
    <w:p w14:paraId="22B19CE1" w14:textId="77777777" w:rsidR="00516AB4" w:rsidRDefault="00516AB4" w:rsidP="009B2427">
      <w:pPr>
        <w:pStyle w:val="Point1letter"/>
        <w:numPr>
          <w:ilvl w:val="3"/>
          <w:numId w:val="1"/>
        </w:numPr>
        <w:tabs>
          <w:tab w:val="clear" w:pos="1417"/>
          <w:tab w:val="num" w:pos="567"/>
        </w:tabs>
        <w:ind w:left="567"/>
        <w:rPr>
          <w:noProof/>
        </w:rPr>
      </w:pPr>
      <w:r>
        <w:rPr>
          <w:noProof/>
        </w:rPr>
        <w:t xml:space="preserve">Point (u) is replaced by the following: </w:t>
      </w:r>
    </w:p>
    <w:p w14:paraId="12DC1A10" w14:textId="77777777" w:rsidR="00516AB4" w:rsidRDefault="00516AB4" w:rsidP="00516AB4">
      <w:pPr>
        <w:numPr>
          <w:ilvl w:val="3"/>
          <w:numId w:val="0"/>
        </w:numPr>
        <w:rPr>
          <w:noProof/>
        </w:rPr>
      </w:pPr>
      <w:r>
        <w:rPr>
          <w:noProof/>
        </w:rPr>
        <w:t>"(u) 'effective circumference of the wheels' means: the average of the distances travelled by each of the wheels moving the vehicle (driving wheels) in the course of one complete rotation. The measurement of those distances shall be made under standard test conditions as defined under requirement 414 and is expressed in the form 'l = … mm'. Vehicle manufacturers may replace the measurement of those distances by a theoretical calculation which takes into account the distribution of the weight on the axles, vehicle unladen in normal running order, namely with coolant fluid, lubricants, fuel, tools, spare-wheel and driver. The methods for such theoretical calculation are subject to approval by the competent authority in a Party and can take place only before tachograph activation;"</w:t>
      </w:r>
    </w:p>
    <w:p w14:paraId="20E0A5BD" w14:textId="77777777" w:rsidR="00516AB4" w:rsidRDefault="00516AB4" w:rsidP="009B2427">
      <w:pPr>
        <w:pStyle w:val="Point1letter"/>
        <w:numPr>
          <w:ilvl w:val="3"/>
          <w:numId w:val="1"/>
        </w:numPr>
        <w:tabs>
          <w:tab w:val="clear" w:pos="1417"/>
          <w:tab w:val="num" w:pos="567"/>
        </w:tabs>
        <w:ind w:left="567"/>
        <w:rPr>
          <w:noProof/>
        </w:rPr>
      </w:pPr>
      <w:r>
        <w:rPr>
          <w:noProof/>
        </w:rPr>
        <w:t>In point (hh), the reference to “Council Directive 92/6/EEC” is replaced by “the applicable law of each Party”;</w:t>
      </w:r>
    </w:p>
    <w:p w14:paraId="654319E7" w14:textId="77777777" w:rsidR="00516AB4" w:rsidRDefault="00516AB4" w:rsidP="009B2427">
      <w:pPr>
        <w:pStyle w:val="Point1letter"/>
        <w:numPr>
          <w:ilvl w:val="3"/>
          <w:numId w:val="1"/>
        </w:numPr>
        <w:tabs>
          <w:tab w:val="clear" w:pos="1417"/>
          <w:tab w:val="num" w:pos="567"/>
        </w:tabs>
        <w:ind w:left="567"/>
        <w:rPr>
          <w:noProof/>
        </w:rPr>
      </w:pPr>
      <w:r>
        <w:rPr>
          <w:noProof/>
        </w:rPr>
        <w:t>In point (uu), the reference to “Directive 92/23/EEC” is replaced by “UNECE Regulation No 54”;</w:t>
      </w:r>
    </w:p>
    <w:p w14:paraId="5A458F61" w14:textId="77777777" w:rsidR="00516AB4" w:rsidRDefault="00516AB4" w:rsidP="009B2427">
      <w:pPr>
        <w:pStyle w:val="Point1letter"/>
        <w:numPr>
          <w:ilvl w:val="3"/>
          <w:numId w:val="1"/>
        </w:numPr>
        <w:tabs>
          <w:tab w:val="clear" w:pos="1417"/>
          <w:tab w:val="num" w:pos="567"/>
        </w:tabs>
        <w:ind w:left="567"/>
        <w:rPr>
          <w:noProof/>
        </w:rPr>
      </w:pPr>
      <w:r>
        <w:rPr>
          <w:noProof/>
        </w:rPr>
        <w:t>The footnote in point (vv) is replaced by the following:</w:t>
      </w:r>
    </w:p>
    <w:p w14:paraId="399A5B9F" w14:textId="77777777" w:rsidR="00516AB4" w:rsidRDefault="00516AB4" w:rsidP="00516AB4">
      <w:pPr>
        <w:numPr>
          <w:ilvl w:val="3"/>
          <w:numId w:val="0"/>
        </w:numPr>
        <w:rPr>
          <w:noProof/>
        </w:rPr>
      </w:pPr>
      <w:r>
        <w:rPr>
          <w:noProof/>
        </w:rPr>
        <w:t xml:space="preserve">"'Vehicle Identification Number' means a fixed combination of characters assigned to each vehicle by the manufacturer, which consists of two sections: the first, composed of not more than six characters (letters or figures), identifying the general characteristics of the vehicle, in particular the type and model; the second, composed of eight characters of which the first four may be letters or figures and the other four figures only, providing, in conjunction with the first section, clear identification of a particular vehicle.”; </w:t>
      </w:r>
    </w:p>
    <w:p w14:paraId="71B9C55D" w14:textId="77777777" w:rsidR="00516AB4" w:rsidRDefault="00516AB4" w:rsidP="009B2427">
      <w:pPr>
        <w:pStyle w:val="Point1letter"/>
        <w:numPr>
          <w:ilvl w:val="3"/>
          <w:numId w:val="1"/>
        </w:numPr>
        <w:tabs>
          <w:tab w:val="clear" w:pos="1417"/>
          <w:tab w:val="num" w:pos="567"/>
        </w:tabs>
        <w:ind w:left="567"/>
        <w:rPr>
          <w:noProof/>
        </w:rPr>
      </w:pPr>
      <w:r>
        <w:rPr>
          <w:noProof/>
        </w:rPr>
        <w:t>In point (yy), the first indent is replaced by the following:</w:t>
      </w:r>
    </w:p>
    <w:p w14:paraId="7ED5827C" w14:textId="77777777" w:rsidR="00516AB4" w:rsidRDefault="00516AB4" w:rsidP="00516AB4">
      <w:pPr>
        <w:numPr>
          <w:ilvl w:val="3"/>
          <w:numId w:val="0"/>
        </w:numPr>
        <w:rPr>
          <w:noProof/>
        </w:rPr>
      </w:pPr>
      <w:r>
        <w:rPr>
          <w:noProof/>
        </w:rPr>
        <w:t>"– installed and used only in M1 and N1 type vehicles as defined in the Consolidated Resolution on the Construction of Vehicles (R.E.3);";</w:t>
      </w:r>
    </w:p>
    <w:p w14:paraId="5FFBB912" w14:textId="77777777" w:rsidR="00516AB4" w:rsidRDefault="00516AB4" w:rsidP="009B2427">
      <w:pPr>
        <w:pStyle w:val="Point1letter"/>
        <w:numPr>
          <w:ilvl w:val="3"/>
          <w:numId w:val="1"/>
        </w:numPr>
        <w:tabs>
          <w:tab w:val="clear" w:pos="1417"/>
          <w:tab w:val="num" w:pos="567"/>
        </w:tabs>
        <w:ind w:left="567"/>
        <w:rPr>
          <w:noProof/>
        </w:rPr>
      </w:pPr>
      <w:r>
        <w:rPr>
          <w:noProof/>
        </w:rPr>
        <w:t>Point (aaa) is deleted;</w:t>
      </w:r>
    </w:p>
    <w:p w14:paraId="56F7C247" w14:textId="1B5E406F" w:rsidR="00516AB4" w:rsidRDefault="00516AB4" w:rsidP="009B2427">
      <w:pPr>
        <w:pStyle w:val="Point1letter"/>
        <w:numPr>
          <w:ilvl w:val="3"/>
          <w:numId w:val="1"/>
        </w:numPr>
        <w:tabs>
          <w:tab w:val="clear" w:pos="1417"/>
          <w:tab w:val="num" w:pos="567"/>
        </w:tabs>
        <w:ind w:left="567"/>
        <w:rPr>
          <w:noProof/>
        </w:rPr>
      </w:pPr>
      <w:r>
        <w:rPr>
          <w:noProof/>
        </w:rPr>
        <w:t>In point (ccc), the definition of ‘introduction date’ is replaced by “</w:t>
      </w:r>
      <w:r w:rsidRPr="00696C29">
        <w:rPr>
          <w:noProof/>
        </w:rPr>
        <w:t xml:space="preserve">the date of </w:t>
      </w:r>
      <w:r w:rsidR="007C19B5">
        <w:rPr>
          <w:noProof/>
        </w:rPr>
        <w:t>application</w:t>
      </w:r>
      <w:r w:rsidRPr="00696C29">
        <w:rPr>
          <w:noProof/>
        </w:rPr>
        <w:t xml:space="preserve"> of Decision No </w:t>
      </w:r>
      <w:r w:rsidR="00EA5EBD">
        <w:rPr>
          <w:noProof/>
        </w:rPr>
        <w:t>[</w:t>
      </w:r>
      <w:r w:rsidR="00EA5EBD">
        <w:rPr>
          <w:i/>
          <w:iCs/>
          <w:noProof/>
        </w:rPr>
        <w:t xml:space="preserve">insert number of this Decision </w:t>
      </w:r>
      <w:r w:rsidR="00BB10F6">
        <w:rPr>
          <w:i/>
          <w:iCs/>
          <w:noProof/>
        </w:rPr>
        <w:t>–</w:t>
      </w:r>
      <w:r w:rsidR="00EA5EBD">
        <w:rPr>
          <w:i/>
          <w:iCs/>
          <w:noProof/>
        </w:rPr>
        <w:t xml:space="preserve"> </w:t>
      </w:r>
      <w:r w:rsidR="00BB10F6">
        <w:rPr>
          <w:i/>
          <w:iCs/>
          <w:noProof/>
        </w:rPr>
        <w:t xml:space="preserve">tbc </w:t>
      </w:r>
      <w:r w:rsidR="007C19B5" w:rsidRPr="009F166C">
        <w:rPr>
          <w:noProof/>
        </w:rPr>
        <w:t>1</w:t>
      </w:r>
      <w:r w:rsidRPr="009F166C">
        <w:rPr>
          <w:noProof/>
        </w:rPr>
        <w:t>/2023</w:t>
      </w:r>
      <w:r w:rsidR="00EA5EBD">
        <w:rPr>
          <w:noProof/>
        </w:rPr>
        <w:t>]</w:t>
      </w:r>
      <w:r w:rsidRPr="00696C29">
        <w:rPr>
          <w:noProof/>
        </w:rPr>
        <w:t xml:space="preserve"> of the Specialised Committee on Road Transport established by the Trade and Cooperation Agreement between the European Union and the European Atomic Energy Community, of the one part, and the United Kingdom of Great Britain and Northern Ireland, of the other part</w:t>
      </w:r>
      <w:r>
        <w:rPr>
          <w:noProof/>
        </w:rPr>
        <w:t>”.</w:t>
      </w:r>
    </w:p>
    <w:p w14:paraId="79E4F65B" w14:textId="77777777" w:rsidR="00516AB4" w:rsidRDefault="00516AB4" w:rsidP="00516AB4">
      <w:pPr>
        <w:numPr>
          <w:ilvl w:val="3"/>
          <w:numId w:val="0"/>
        </w:numPr>
        <w:rPr>
          <w:noProof/>
        </w:rPr>
      </w:pPr>
    </w:p>
    <w:p w14:paraId="5FCBF5B8" w14:textId="77777777" w:rsidR="00516AB4" w:rsidRDefault="00516AB4" w:rsidP="00516AB4">
      <w:pPr>
        <w:numPr>
          <w:ilvl w:val="3"/>
          <w:numId w:val="0"/>
        </w:numPr>
        <w:rPr>
          <w:noProof/>
        </w:rPr>
      </w:pPr>
      <w:r w:rsidRPr="00B275DC">
        <w:rPr>
          <w:b/>
          <w:bCs/>
          <w:noProof/>
        </w:rPr>
        <w:t>Section 2</w:t>
      </w:r>
      <w:r>
        <w:rPr>
          <w:noProof/>
        </w:rPr>
        <w:t xml:space="preserve"> (General characteristics and functions of the recording equipment) of Annex IC to Commission Implementing Regulation (EU) 2016/799 is further adapted as follows:</w:t>
      </w:r>
    </w:p>
    <w:p w14:paraId="2E9E8D01" w14:textId="77777777" w:rsidR="00516AB4" w:rsidRPr="00696C29" w:rsidRDefault="00516AB4" w:rsidP="009B2427">
      <w:pPr>
        <w:pStyle w:val="Point1letter"/>
        <w:numPr>
          <w:ilvl w:val="3"/>
          <w:numId w:val="1"/>
        </w:numPr>
        <w:tabs>
          <w:tab w:val="clear" w:pos="1417"/>
          <w:tab w:val="num" w:pos="567"/>
        </w:tabs>
        <w:ind w:left="567"/>
        <w:rPr>
          <w:noProof/>
        </w:rPr>
      </w:pPr>
      <w:r w:rsidRPr="00696C29">
        <w:rPr>
          <w:noProof/>
        </w:rPr>
        <w:t>The last subparagraph of paragraph (7) of subsection 2.1 is replaced by the following:</w:t>
      </w:r>
    </w:p>
    <w:p w14:paraId="13942E31" w14:textId="77777777" w:rsidR="00516AB4" w:rsidRPr="00147A4A" w:rsidRDefault="00516AB4" w:rsidP="00516AB4">
      <w:pPr>
        <w:numPr>
          <w:ilvl w:val="3"/>
          <w:numId w:val="0"/>
        </w:numPr>
        <w:rPr>
          <w:noProof/>
        </w:rPr>
      </w:pPr>
      <w:r w:rsidRPr="00696C29">
        <w:rPr>
          <w:noProof/>
          <w:color w:val="000000" w:themeColor="text1"/>
        </w:rPr>
        <w:t xml:space="preserve">“This is done in accordance with Article 4 of Section 2 of Part C of Annex 31 </w:t>
      </w:r>
      <w:r w:rsidRPr="00696C29">
        <w:rPr>
          <w:noProof/>
        </w:rPr>
        <w:t>to the Trade and Cooperation Agreement between the European Union and the European Atomic Energy Community, of the one part, and the United Kingdom of Great Britain and Northern Ireland, of the other part</w:t>
      </w:r>
      <w:r w:rsidRPr="00696C29">
        <w:rPr>
          <w:noProof/>
          <w:color w:val="000000" w:themeColor="text1"/>
        </w:rPr>
        <w:t>.”.</w:t>
      </w:r>
    </w:p>
    <w:p w14:paraId="36BCC493" w14:textId="77777777" w:rsidR="00516AB4" w:rsidRDefault="00516AB4" w:rsidP="00516AB4">
      <w:pPr>
        <w:numPr>
          <w:ilvl w:val="3"/>
          <w:numId w:val="0"/>
        </w:numPr>
        <w:rPr>
          <w:noProof/>
        </w:rPr>
      </w:pPr>
    </w:p>
    <w:p w14:paraId="02CE0CC7" w14:textId="77777777" w:rsidR="00516AB4" w:rsidRDefault="00516AB4" w:rsidP="00516AB4">
      <w:pPr>
        <w:rPr>
          <w:noProof/>
        </w:rPr>
      </w:pPr>
      <w:r w:rsidRPr="00B275DC">
        <w:rPr>
          <w:b/>
          <w:bCs/>
          <w:noProof/>
        </w:rPr>
        <w:t>Section 3</w:t>
      </w:r>
      <w:r>
        <w:rPr>
          <w:noProof/>
        </w:rPr>
        <w:t xml:space="preserve"> (Construction and functional requirements for recording equipment) of Annex IC to Commission Implementing Regulation (EU) 2016/799 is further adapted as follows:</w:t>
      </w:r>
    </w:p>
    <w:p w14:paraId="35CCEBCF" w14:textId="77777777" w:rsidR="00516AB4" w:rsidRDefault="00516AB4" w:rsidP="009B2427">
      <w:pPr>
        <w:pStyle w:val="Point1letter"/>
        <w:numPr>
          <w:ilvl w:val="3"/>
          <w:numId w:val="1"/>
        </w:numPr>
        <w:tabs>
          <w:tab w:val="clear" w:pos="1417"/>
          <w:tab w:val="num" w:pos="567"/>
        </w:tabs>
        <w:ind w:left="567"/>
        <w:rPr>
          <w:noProof/>
        </w:rPr>
      </w:pPr>
      <w:r>
        <w:rPr>
          <w:noProof/>
        </w:rPr>
        <w:t>Point (201) of subsection 3.20 is replaced by the following:</w:t>
      </w:r>
    </w:p>
    <w:p w14:paraId="117F42EA" w14:textId="77777777" w:rsidR="00516AB4" w:rsidRDefault="00516AB4" w:rsidP="00516AB4">
      <w:pPr>
        <w:numPr>
          <w:ilvl w:val="3"/>
          <w:numId w:val="0"/>
        </w:numPr>
        <w:rPr>
          <w:noProof/>
        </w:rPr>
      </w:pPr>
      <w:r>
        <w:rPr>
          <w:noProof/>
        </w:rPr>
        <w:t xml:space="preserve">"The vehicle unit may also be able to output the following data using an appropriate dedicated serial link independent from an optional CAN bus connection (ISO 11898 Road vehicles — Interchange of digital information — Controller Area Network (CAN) for high speed communication), to allow their processing by other electronic units installed in the vehicle: </w:t>
      </w:r>
    </w:p>
    <w:p w14:paraId="5A36C5E6" w14:textId="77777777" w:rsidR="00516AB4" w:rsidRDefault="00516AB4" w:rsidP="00516AB4">
      <w:pPr>
        <w:numPr>
          <w:ilvl w:val="3"/>
          <w:numId w:val="0"/>
        </w:numPr>
        <w:rPr>
          <w:noProof/>
        </w:rPr>
      </w:pPr>
      <w:r>
        <w:rPr>
          <w:noProof/>
        </w:rPr>
        <w:t xml:space="preserve">– current UTC date and time, </w:t>
      </w:r>
    </w:p>
    <w:p w14:paraId="0252FFEB" w14:textId="77777777" w:rsidR="00516AB4" w:rsidRDefault="00516AB4" w:rsidP="00516AB4">
      <w:pPr>
        <w:numPr>
          <w:ilvl w:val="3"/>
          <w:numId w:val="0"/>
        </w:numPr>
        <w:rPr>
          <w:noProof/>
        </w:rPr>
      </w:pPr>
      <w:r>
        <w:rPr>
          <w:noProof/>
        </w:rPr>
        <w:t xml:space="preserve">– speed of the vehicle, </w:t>
      </w:r>
    </w:p>
    <w:p w14:paraId="45309B69" w14:textId="77777777" w:rsidR="00516AB4" w:rsidRDefault="00516AB4" w:rsidP="00516AB4">
      <w:pPr>
        <w:numPr>
          <w:ilvl w:val="3"/>
          <w:numId w:val="0"/>
        </w:numPr>
        <w:rPr>
          <w:noProof/>
        </w:rPr>
      </w:pPr>
      <w:r>
        <w:rPr>
          <w:noProof/>
        </w:rPr>
        <w:t xml:space="preserve">– total distance travelled by the vehicle (odometer), </w:t>
      </w:r>
    </w:p>
    <w:p w14:paraId="74C6D818" w14:textId="77777777" w:rsidR="00516AB4" w:rsidRDefault="00516AB4" w:rsidP="00516AB4">
      <w:pPr>
        <w:numPr>
          <w:ilvl w:val="3"/>
          <w:numId w:val="0"/>
        </w:numPr>
        <w:rPr>
          <w:noProof/>
        </w:rPr>
      </w:pPr>
      <w:r>
        <w:rPr>
          <w:noProof/>
        </w:rPr>
        <w:t xml:space="preserve">– currently selected driver and co-driver activity, </w:t>
      </w:r>
    </w:p>
    <w:p w14:paraId="0B5D1678" w14:textId="77777777" w:rsidR="00516AB4" w:rsidRDefault="00516AB4" w:rsidP="00516AB4">
      <w:pPr>
        <w:numPr>
          <w:ilvl w:val="3"/>
          <w:numId w:val="0"/>
        </w:numPr>
        <w:rPr>
          <w:noProof/>
        </w:rPr>
      </w:pPr>
      <w:r>
        <w:rPr>
          <w:noProof/>
        </w:rPr>
        <w:t xml:space="preserve">– information if any tachograph card is currently inserted in the driver slot and in the co-driver slot and (if applicable) information about the corresponding cards identification (card number and issuing country). </w:t>
      </w:r>
    </w:p>
    <w:p w14:paraId="0D33B5EA" w14:textId="77777777" w:rsidR="00516AB4" w:rsidRDefault="00516AB4" w:rsidP="00516AB4">
      <w:pPr>
        <w:numPr>
          <w:ilvl w:val="3"/>
          <w:numId w:val="0"/>
        </w:numPr>
        <w:rPr>
          <w:noProof/>
        </w:rPr>
      </w:pPr>
      <w:r>
        <w:rPr>
          <w:noProof/>
        </w:rPr>
        <w:t xml:space="preserve">Other data may also be output in addition to that minimum list. </w:t>
      </w:r>
    </w:p>
    <w:p w14:paraId="13D68DF4" w14:textId="77777777" w:rsidR="00516AB4" w:rsidRDefault="00516AB4" w:rsidP="00516AB4">
      <w:pPr>
        <w:numPr>
          <w:ilvl w:val="3"/>
          <w:numId w:val="0"/>
        </w:numPr>
        <w:rPr>
          <w:noProof/>
        </w:rPr>
      </w:pPr>
      <w:r>
        <w:rPr>
          <w:noProof/>
        </w:rPr>
        <w:t xml:space="preserve">When the ignition of the vehicle is ON, those data shall be permanently broadcast. When the ignition of the vehicle is OFF, at least any change of driver or co-driver activity and/or any insertion or withdrawal of a tachograph card shall generate a corresponding data output. In the event that data output has been withheld whilst the ignition of the vehicle is OFF, that data shall be made available once the ignition of the vehicle is ON again. </w:t>
      </w:r>
    </w:p>
    <w:p w14:paraId="2910891B" w14:textId="77777777" w:rsidR="00516AB4" w:rsidRDefault="00516AB4" w:rsidP="00516AB4">
      <w:pPr>
        <w:numPr>
          <w:ilvl w:val="3"/>
          <w:numId w:val="0"/>
        </w:numPr>
        <w:rPr>
          <w:noProof/>
        </w:rPr>
      </w:pPr>
      <w:r>
        <w:rPr>
          <w:noProof/>
        </w:rPr>
        <w:t>The driver consent shall be required in case personal data are transmitted.”;</w:t>
      </w:r>
    </w:p>
    <w:p w14:paraId="7A68A4E0" w14:textId="77777777" w:rsidR="00516AB4" w:rsidRPr="00696C29" w:rsidRDefault="00516AB4" w:rsidP="009B2427">
      <w:pPr>
        <w:pStyle w:val="Point1letter"/>
        <w:numPr>
          <w:ilvl w:val="3"/>
          <w:numId w:val="1"/>
        </w:numPr>
        <w:tabs>
          <w:tab w:val="clear" w:pos="1417"/>
          <w:tab w:val="num" w:pos="567"/>
        </w:tabs>
        <w:ind w:left="567"/>
        <w:rPr>
          <w:noProof/>
        </w:rPr>
      </w:pPr>
      <w:r w:rsidRPr="00696C29">
        <w:rPr>
          <w:noProof/>
          <w:color w:val="000000" w:themeColor="text1"/>
        </w:rPr>
        <w:t>In point (226d) of section 3.28, “, in accordance with Article 12(5) of Regulation (EU) No 165/2014” is deleted.</w:t>
      </w:r>
    </w:p>
    <w:p w14:paraId="1B8A1DF0" w14:textId="77777777" w:rsidR="00516AB4" w:rsidRDefault="00516AB4" w:rsidP="00516AB4">
      <w:pPr>
        <w:numPr>
          <w:ilvl w:val="3"/>
          <w:numId w:val="0"/>
        </w:numPr>
        <w:rPr>
          <w:noProof/>
        </w:rPr>
      </w:pPr>
    </w:p>
    <w:p w14:paraId="1CAB3DB5" w14:textId="77777777" w:rsidR="00516AB4" w:rsidRDefault="00516AB4" w:rsidP="00516AB4">
      <w:pPr>
        <w:numPr>
          <w:ilvl w:val="3"/>
          <w:numId w:val="0"/>
        </w:numPr>
        <w:rPr>
          <w:noProof/>
        </w:rPr>
      </w:pPr>
      <w:r w:rsidRPr="00B275DC">
        <w:rPr>
          <w:b/>
          <w:bCs/>
          <w:noProof/>
        </w:rPr>
        <w:t>Section 4</w:t>
      </w:r>
      <w:r>
        <w:rPr>
          <w:noProof/>
        </w:rPr>
        <w:t xml:space="preserve"> (Construction and functional requirements for tachograph cards) of Annex IC to Commission Implementing Regulation (EU) 2016/799 is further adapted as follows:</w:t>
      </w:r>
    </w:p>
    <w:p w14:paraId="706B0119" w14:textId="77777777" w:rsidR="00516AB4" w:rsidRDefault="00516AB4" w:rsidP="009B2427">
      <w:pPr>
        <w:pStyle w:val="Point1letter"/>
        <w:numPr>
          <w:ilvl w:val="3"/>
          <w:numId w:val="1"/>
        </w:numPr>
        <w:tabs>
          <w:tab w:val="clear" w:pos="1417"/>
          <w:tab w:val="num" w:pos="567"/>
        </w:tabs>
        <w:ind w:left="567"/>
        <w:rPr>
          <w:noProof/>
        </w:rPr>
      </w:pPr>
      <w:r>
        <w:rPr>
          <w:noProof/>
        </w:rPr>
        <w:t>In point (229) of subsection 4.1, the following subparagraph is added:</w:t>
      </w:r>
    </w:p>
    <w:p w14:paraId="54160CB3" w14:textId="77777777" w:rsidR="00516AB4" w:rsidRDefault="00516AB4" w:rsidP="00516AB4">
      <w:pPr>
        <w:numPr>
          <w:ilvl w:val="3"/>
          <w:numId w:val="0"/>
        </w:numPr>
        <w:rPr>
          <w:noProof/>
        </w:rPr>
      </w:pPr>
      <w:r>
        <w:rPr>
          <w:noProof/>
        </w:rPr>
        <w:t>“For the United Kingdom, the distinguishing sign shall be: UK”;</w:t>
      </w:r>
    </w:p>
    <w:p w14:paraId="6CF2092A" w14:textId="77777777" w:rsidR="00516AB4" w:rsidRDefault="00516AB4" w:rsidP="009B2427">
      <w:pPr>
        <w:pStyle w:val="Point1letter"/>
        <w:numPr>
          <w:ilvl w:val="3"/>
          <w:numId w:val="1"/>
        </w:numPr>
        <w:tabs>
          <w:tab w:val="clear" w:pos="1417"/>
          <w:tab w:val="num" w:pos="567"/>
        </w:tabs>
        <w:ind w:left="567"/>
        <w:rPr>
          <w:noProof/>
        </w:rPr>
      </w:pPr>
      <w:r>
        <w:rPr>
          <w:noProof/>
        </w:rPr>
        <w:t>In point (237), for “Article 26.4 of Regulation (EU) No. 165/2014" substitute "Article 9(2) of Section 2 of Part C of Annex 31 to the Trade and Cooperation Agreement between the European Union and the European Atomic Energy Community, of the one part, and the United Kingdom of Great Britain and Northern Ireland, of the other part";</w:t>
      </w:r>
    </w:p>
    <w:p w14:paraId="1C567DCE" w14:textId="77777777" w:rsidR="00516AB4" w:rsidRDefault="00516AB4" w:rsidP="009B2427">
      <w:pPr>
        <w:pStyle w:val="Point1letter"/>
        <w:numPr>
          <w:ilvl w:val="3"/>
          <w:numId w:val="1"/>
        </w:numPr>
        <w:tabs>
          <w:tab w:val="clear" w:pos="1417"/>
          <w:tab w:val="num" w:pos="567"/>
        </w:tabs>
        <w:ind w:left="567"/>
        <w:rPr>
          <w:noProof/>
        </w:rPr>
      </w:pPr>
      <w:r>
        <w:rPr>
          <w:noProof/>
        </w:rPr>
        <w:t>In point (241) of subsection 4.4, the word “Community territory” is replaced by “the territory of the Union and of the United Kingdom”;</w:t>
      </w:r>
    </w:p>
    <w:p w14:paraId="3D2510E4" w14:textId="77777777" w:rsidR="00516AB4" w:rsidRDefault="00516AB4" w:rsidP="00516AB4">
      <w:pPr>
        <w:numPr>
          <w:ilvl w:val="3"/>
          <w:numId w:val="0"/>
        </w:numPr>
        <w:rPr>
          <w:noProof/>
        </w:rPr>
      </w:pPr>
    </w:p>
    <w:p w14:paraId="5205D87D" w14:textId="77777777" w:rsidR="00516AB4" w:rsidRDefault="00516AB4" w:rsidP="00516AB4">
      <w:pPr>
        <w:numPr>
          <w:ilvl w:val="3"/>
          <w:numId w:val="0"/>
        </w:numPr>
        <w:rPr>
          <w:noProof/>
        </w:rPr>
      </w:pPr>
      <w:r w:rsidRPr="00B275DC">
        <w:rPr>
          <w:b/>
          <w:bCs/>
          <w:noProof/>
        </w:rPr>
        <w:t>Section 5</w:t>
      </w:r>
      <w:r>
        <w:rPr>
          <w:noProof/>
        </w:rPr>
        <w:t xml:space="preserve"> (Installation of recording equipment) of Annex IC to Commission Implementing Regulation (EU) 2016/799 is further adapted as follows:</w:t>
      </w:r>
    </w:p>
    <w:p w14:paraId="454F0F33" w14:textId="77777777" w:rsidR="00516AB4" w:rsidRDefault="00516AB4" w:rsidP="009B2427">
      <w:pPr>
        <w:pStyle w:val="Point1letter"/>
        <w:numPr>
          <w:ilvl w:val="3"/>
          <w:numId w:val="1"/>
        </w:numPr>
        <w:tabs>
          <w:tab w:val="clear" w:pos="1417"/>
          <w:tab w:val="num" w:pos="567"/>
        </w:tabs>
        <w:ind w:left="567"/>
        <w:rPr>
          <w:noProof/>
        </w:rPr>
      </w:pPr>
      <w:r>
        <w:rPr>
          <w:noProof/>
        </w:rPr>
        <w:t>The first paragraph of point (397) in subsection 5.2 is replaced by the following:</w:t>
      </w:r>
    </w:p>
    <w:p w14:paraId="0506DE90" w14:textId="77777777" w:rsidR="00516AB4" w:rsidRDefault="00516AB4" w:rsidP="00516AB4">
      <w:pPr>
        <w:numPr>
          <w:ilvl w:val="3"/>
          <w:numId w:val="0"/>
        </w:numPr>
        <w:rPr>
          <w:noProof/>
        </w:rPr>
      </w:pPr>
      <w:r>
        <w:rPr>
          <w:noProof/>
        </w:rPr>
        <w:t>"(397) For M1 and N1 vehicles only, and which are fitted with an adaptor in conformity with Appendix 16 of this Annex and where it is not possible to include all the information necessary, as described in Requirement 396, a second, additional, plaque may be used. In such cases, this additional plaque shall contain at least the last four indents described in Requirement 396.";</w:t>
      </w:r>
    </w:p>
    <w:p w14:paraId="7394F547" w14:textId="77777777" w:rsidR="00516AB4" w:rsidRDefault="00516AB4" w:rsidP="009B2427">
      <w:pPr>
        <w:pStyle w:val="Point1letter"/>
        <w:numPr>
          <w:ilvl w:val="3"/>
          <w:numId w:val="1"/>
        </w:numPr>
        <w:tabs>
          <w:tab w:val="clear" w:pos="1417"/>
          <w:tab w:val="num" w:pos="567"/>
        </w:tabs>
        <w:ind w:left="567"/>
        <w:rPr>
          <w:noProof/>
        </w:rPr>
      </w:pPr>
      <w:r>
        <w:rPr>
          <w:noProof/>
        </w:rPr>
        <w:t>In point (402) of subsection 5.3, for "Article 22(3) of Regulation (EU) No 165/2014" substitute "Article 5(3) of Section 2 of Part C of Annex 31 to the Trade and Cooperation Agreement between the European Union and the European Atomic Energy Community, of the one part, and the United Kingdom of Great Britain and Northern Ireland, of the other part.".</w:t>
      </w:r>
    </w:p>
    <w:p w14:paraId="3492A320" w14:textId="77777777" w:rsidR="00516AB4" w:rsidRDefault="00516AB4" w:rsidP="00516AB4">
      <w:pPr>
        <w:numPr>
          <w:ilvl w:val="3"/>
          <w:numId w:val="0"/>
        </w:numPr>
        <w:rPr>
          <w:noProof/>
        </w:rPr>
      </w:pPr>
    </w:p>
    <w:p w14:paraId="7888BFB0" w14:textId="77777777" w:rsidR="00516AB4" w:rsidRDefault="00516AB4" w:rsidP="00516AB4">
      <w:pPr>
        <w:numPr>
          <w:ilvl w:val="3"/>
          <w:numId w:val="0"/>
        </w:numPr>
        <w:rPr>
          <w:noProof/>
        </w:rPr>
      </w:pPr>
      <w:r w:rsidRPr="00B275DC">
        <w:rPr>
          <w:b/>
          <w:bCs/>
          <w:noProof/>
        </w:rPr>
        <w:t>Section 6</w:t>
      </w:r>
      <w:r>
        <w:rPr>
          <w:noProof/>
        </w:rPr>
        <w:t xml:space="preserve"> (Checks, inspections and repairs) of Annex IC to Commission Implementing Regulation (EU) 2016/799 is further adapted as follows:</w:t>
      </w:r>
    </w:p>
    <w:p w14:paraId="312EC491" w14:textId="77777777" w:rsidR="00516AB4" w:rsidRDefault="00516AB4" w:rsidP="009B2427">
      <w:pPr>
        <w:pStyle w:val="Point1letter"/>
        <w:numPr>
          <w:ilvl w:val="3"/>
          <w:numId w:val="1"/>
        </w:numPr>
        <w:tabs>
          <w:tab w:val="clear" w:pos="1417"/>
          <w:tab w:val="num" w:pos="567"/>
        </w:tabs>
        <w:ind w:left="567"/>
        <w:rPr>
          <w:noProof/>
        </w:rPr>
      </w:pPr>
      <w:r>
        <w:rPr>
          <w:noProof/>
        </w:rPr>
        <w:t>The introductory sentence is replaced by the following: “Requirements on the circumstances in which seals may be removed are defined in Chapter 5.3 of this Annex.”.</w:t>
      </w:r>
    </w:p>
    <w:p w14:paraId="6A37AB71" w14:textId="77777777" w:rsidR="00516AB4" w:rsidRDefault="00516AB4" w:rsidP="00516AB4">
      <w:pPr>
        <w:numPr>
          <w:ilvl w:val="3"/>
          <w:numId w:val="0"/>
        </w:numPr>
        <w:rPr>
          <w:noProof/>
        </w:rPr>
      </w:pPr>
    </w:p>
    <w:p w14:paraId="74B8F3CD" w14:textId="77777777" w:rsidR="00516AB4" w:rsidRDefault="00516AB4" w:rsidP="00516AB4">
      <w:pPr>
        <w:numPr>
          <w:ilvl w:val="3"/>
          <w:numId w:val="0"/>
        </w:numPr>
        <w:rPr>
          <w:noProof/>
        </w:rPr>
      </w:pPr>
      <w:r w:rsidRPr="00B275DC">
        <w:rPr>
          <w:b/>
          <w:bCs/>
          <w:noProof/>
        </w:rPr>
        <w:t>Section 7</w:t>
      </w:r>
      <w:r>
        <w:rPr>
          <w:noProof/>
        </w:rPr>
        <w:t xml:space="preserve"> (Card issuing) of Annex IC to Commission Implementing Regulation (EU) 2016/799 is further adapted as follows:</w:t>
      </w:r>
    </w:p>
    <w:p w14:paraId="766DF2EF" w14:textId="77777777" w:rsidR="00516AB4" w:rsidRDefault="00516AB4" w:rsidP="009B2427">
      <w:pPr>
        <w:pStyle w:val="Point1letter"/>
        <w:numPr>
          <w:ilvl w:val="3"/>
          <w:numId w:val="1"/>
        </w:numPr>
        <w:tabs>
          <w:tab w:val="clear" w:pos="1417"/>
          <w:tab w:val="num" w:pos="567"/>
        </w:tabs>
        <w:ind w:left="567"/>
        <w:rPr>
          <w:noProof/>
        </w:rPr>
      </w:pPr>
      <w:r>
        <w:rPr>
          <w:noProof/>
        </w:rPr>
        <w:t>In point (424), after the reference to “Member States” insert “and the United Kingdom”, and for the reference to “Article 31 of Regulation (EU) No 165/2014” substitute “Article 13 of Section 2 of Part C of Annex 31 to the Trade and Cooperation Agreement between the European Union and the European Atomic Energy Community, of the one part, and the United Kingdom of Great Britain and Northern Ireland, of the other part”.</w:t>
      </w:r>
    </w:p>
    <w:p w14:paraId="730DB794" w14:textId="77777777" w:rsidR="00516AB4" w:rsidRDefault="00516AB4" w:rsidP="00516AB4">
      <w:pPr>
        <w:numPr>
          <w:ilvl w:val="3"/>
          <w:numId w:val="0"/>
        </w:numPr>
        <w:rPr>
          <w:noProof/>
        </w:rPr>
      </w:pPr>
    </w:p>
    <w:p w14:paraId="7048933C" w14:textId="77777777" w:rsidR="00516AB4" w:rsidRDefault="00516AB4" w:rsidP="00516AB4">
      <w:pPr>
        <w:numPr>
          <w:ilvl w:val="3"/>
          <w:numId w:val="0"/>
        </w:numPr>
        <w:rPr>
          <w:noProof/>
        </w:rPr>
      </w:pPr>
      <w:r w:rsidRPr="00B275DC">
        <w:rPr>
          <w:b/>
          <w:bCs/>
          <w:noProof/>
        </w:rPr>
        <w:t>Appendix 1</w:t>
      </w:r>
      <w:r>
        <w:rPr>
          <w:noProof/>
        </w:rPr>
        <w:t xml:space="preserve"> (Data dictionary) of Annex IC to Commission Implementing Regulation (EU) 2016/799 is further adapted as follows:</w:t>
      </w:r>
    </w:p>
    <w:p w14:paraId="2B456959" w14:textId="77777777" w:rsidR="00516AB4" w:rsidRDefault="00516AB4" w:rsidP="009B2427">
      <w:pPr>
        <w:pStyle w:val="Point1letter"/>
        <w:numPr>
          <w:ilvl w:val="3"/>
          <w:numId w:val="1"/>
        </w:numPr>
        <w:tabs>
          <w:tab w:val="clear" w:pos="1417"/>
          <w:tab w:val="num" w:pos="567"/>
        </w:tabs>
        <w:ind w:left="567"/>
        <w:rPr>
          <w:noProof/>
        </w:rPr>
      </w:pPr>
      <w:r>
        <w:rPr>
          <w:noProof/>
        </w:rPr>
        <w:t>In point 2.163, for “Directive 92/23/EEC” substitute “UNECE Regulation No 54”.</w:t>
      </w:r>
    </w:p>
    <w:p w14:paraId="20E73B40" w14:textId="77777777" w:rsidR="00516AB4" w:rsidRDefault="00516AB4" w:rsidP="00516AB4">
      <w:pPr>
        <w:numPr>
          <w:ilvl w:val="3"/>
          <w:numId w:val="0"/>
        </w:numPr>
        <w:rPr>
          <w:noProof/>
        </w:rPr>
      </w:pPr>
    </w:p>
    <w:p w14:paraId="61D8B767" w14:textId="77777777" w:rsidR="00516AB4" w:rsidRDefault="00516AB4" w:rsidP="00516AB4">
      <w:pPr>
        <w:numPr>
          <w:ilvl w:val="3"/>
          <w:numId w:val="0"/>
        </w:numPr>
        <w:rPr>
          <w:noProof/>
        </w:rPr>
      </w:pPr>
      <w:r w:rsidRPr="00B275DC">
        <w:rPr>
          <w:b/>
          <w:bCs/>
          <w:noProof/>
        </w:rPr>
        <w:t>Appendix 11</w:t>
      </w:r>
      <w:r>
        <w:rPr>
          <w:noProof/>
        </w:rPr>
        <w:t xml:space="preserve"> (Common security mechanisms) of Annex IC to Commission Implementing Regulation (EU) 2016/799 is further adapted as follows:</w:t>
      </w:r>
    </w:p>
    <w:p w14:paraId="5200CA40" w14:textId="77777777" w:rsidR="00516AB4" w:rsidRDefault="00516AB4" w:rsidP="009B2427">
      <w:pPr>
        <w:pStyle w:val="Point1letter"/>
        <w:numPr>
          <w:ilvl w:val="3"/>
          <w:numId w:val="1"/>
        </w:numPr>
        <w:tabs>
          <w:tab w:val="clear" w:pos="1417"/>
          <w:tab w:val="num" w:pos="567"/>
        </w:tabs>
        <w:ind w:left="567"/>
        <w:rPr>
          <w:noProof/>
        </w:rPr>
      </w:pPr>
      <w:r>
        <w:rPr>
          <w:noProof/>
        </w:rPr>
        <w:t>In point 9.1.4 (Equipment Level: Vehicle Units), in the first note below CSM_78, for "Regulation (EU) No 581/2010" substitute "Article 7(5) of Section 2 of Part B Annex 31 to the Trade and Cooperation Agreement between the European Union and the European Atomic Energy Community, of the one part, and the United Kingdom of Great Britain and Northern Ireland, of the other part";</w:t>
      </w:r>
    </w:p>
    <w:p w14:paraId="035BDF4E" w14:textId="77777777" w:rsidR="00516AB4" w:rsidRDefault="00516AB4" w:rsidP="009B2427">
      <w:pPr>
        <w:pStyle w:val="Point1letter"/>
        <w:numPr>
          <w:ilvl w:val="3"/>
          <w:numId w:val="1"/>
        </w:numPr>
        <w:tabs>
          <w:tab w:val="clear" w:pos="1417"/>
          <w:tab w:val="num" w:pos="567"/>
        </w:tabs>
        <w:ind w:left="567"/>
        <w:rPr>
          <w:noProof/>
        </w:rPr>
      </w:pPr>
      <w:r>
        <w:rPr>
          <w:noProof/>
        </w:rPr>
        <w:t>In point 9.1.5 (Equipment level: Tachograph Cards), in the note below CSM_89, for "Regulation (EU) No 581/2010" substitute "Article 7(5) of Section 2 of Part B Annex 31 to the Trade and Cooperation Agreement between the European Union and the European Atomic Energy Community, of the one part, and the United Kingdom of Great Britain and Northern Ireland, of the other part".</w:t>
      </w:r>
    </w:p>
    <w:p w14:paraId="769275F2" w14:textId="77777777" w:rsidR="00516AB4" w:rsidRDefault="00516AB4" w:rsidP="00516AB4">
      <w:pPr>
        <w:numPr>
          <w:ilvl w:val="3"/>
          <w:numId w:val="0"/>
        </w:numPr>
        <w:rPr>
          <w:noProof/>
        </w:rPr>
      </w:pPr>
    </w:p>
    <w:p w14:paraId="6BC3B11C" w14:textId="77777777" w:rsidR="00516AB4" w:rsidRDefault="00516AB4" w:rsidP="00516AB4">
      <w:pPr>
        <w:numPr>
          <w:ilvl w:val="3"/>
          <w:numId w:val="0"/>
        </w:numPr>
        <w:rPr>
          <w:noProof/>
        </w:rPr>
      </w:pPr>
      <w:r w:rsidRPr="00B275DC">
        <w:rPr>
          <w:b/>
          <w:bCs/>
          <w:noProof/>
        </w:rPr>
        <w:t>Appendix 12</w:t>
      </w:r>
      <w:r>
        <w:rPr>
          <w:noProof/>
        </w:rPr>
        <w:t xml:space="preserve"> (Positioning based on Global Navigation Satellite System (GNSS)) of Annex IC to Commission Implementing Regulation (EU) 2016/799 is further adapted as follows: </w:t>
      </w:r>
    </w:p>
    <w:p w14:paraId="4D6E641A" w14:textId="77777777" w:rsidR="00516AB4" w:rsidRPr="00696C29" w:rsidRDefault="00516AB4" w:rsidP="009B2427">
      <w:pPr>
        <w:pStyle w:val="Point1letter"/>
        <w:numPr>
          <w:ilvl w:val="3"/>
          <w:numId w:val="1"/>
        </w:numPr>
        <w:tabs>
          <w:tab w:val="clear" w:pos="1417"/>
          <w:tab w:val="num" w:pos="567"/>
        </w:tabs>
        <w:ind w:left="567"/>
        <w:rPr>
          <w:noProof/>
        </w:rPr>
      </w:pPr>
      <w:r>
        <w:rPr>
          <w:noProof/>
        </w:rPr>
        <w:t>In Section 2 (</w:t>
      </w:r>
      <w:r w:rsidRPr="00696C29">
        <w:rPr>
          <w:noProof/>
        </w:rPr>
        <w:t>Basic Characteristics of the GNSS Receiver), the reference to "compatibility with the services provided by the Galileo and European Geostationary Navigation Overlay Service (EGNOS) programmes as set out in Regulation (EU) No 1285/2013 of the European Parliament and of the Council", is replaced by "compatibility with Satellite Based Augmentation Systems (SBAS)".</w:t>
      </w:r>
    </w:p>
    <w:p w14:paraId="1F0306B3" w14:textId="77777777" w:rsidR="00516AB4" w:rsidRPr="00696C29" w:rsidRDefault="00516AB4" w:rsidP="00516AB4">
      <w:pPr>
        <w:numPr>
          <w:ilvl w:val="3"/>
          <w:numId w:val="0"/>
        </w:numPr>
        <w:rPr>
          <w:noProof/>
        </w:rPr>
      </w:pPr>
    </w:p>
    <w:p w14:paraId="5224BEEB" w14:textId="77777777" w:rsidR="00516AB4" w:rsidRPr="00696C29" w:rsidRDefault="00516AB4" w:rsidP="00516AB4">
      <w:pPr>
        <w:numPr>
          <w:ilvl w:val="3"/>
          <w:numId w:val="0"/>
        </w:numPr>
        <w:rPr>
          <w:noProof/>
        </w:rPr>
      </w:pPr>
      <w:r w:rsidRPr="00696C29">
        <w:rPr>
          <w:b/>
          <w:bCs/>
          <w:noProof/>
        </w:rPr>
        <w:t>Appendix 13</w:t>
      </w:r>
      <w:r w:rsidRPr="00696C29">
        <w:rPr>
          <w:noProof/>
        </w:rPr>
        <w:t xml:space="preserve"> (ITS Interface) of Annex IC to Commission Implementing Regulation (EU) 2016/799 is further adapted as follows:</w:t>
      </w:r>
    </w:p>
    <w:p w14:paraId="66BD188F" w14:textId="77777777" w:rsidR="00516AB4" w:rsidRPr="00696C29" w:rsidRDefault="00516AB4" w:rsidP="009B2427">
      <w:pPr>
        <w:pStyle w:val="Point1letter"/>
        <w:numPr>
          <w:ilvl w:val="3"/>
          <w:numId w:val="1"/>
        </w:numPr>
        <w:tabs>
          <w:tab w:val="clear" w:pos="1417"/>
          <w:tab w:val="num" w:pos="567"/>
        </w:tabs>
        <w:ind w:left="567"/>
        <w:rPr>
          <w:noProof/>
        </w:rPr>
      </w:pPr>
      <w:r w:rsidRPr="00696C29">
        <w:rPr>
          <w:noProof/>
        </w:rPr>
        <w:t>In requirement ITS_01, the terms “, requested in Articles 10 and 11 of Regulation (EU) No 165/2014” are deleted.</w:t>
      </w:r>
    </w:p>
    <w:p w14:paraId="7F6401F5" w14:textId="77777777" w:rsidR="00516AB4" w:rsidRPr="00696C29" w:rsidRDefault="00516AB4" w:rsidP="00516AB4">
      <w:pPr>
        <w:numPr>
          <w:ilvl w:val="3"/>
          <w:numId w:val="0"/>
        </w:numPr>
        <w:rPr>
          <w:noProof/>
        </w:rPr>
      </w:pPr>
    </w:p>
    <w:p w14:paraId="3AAC164E" w14:textId="77777777" w:rsidR="00516AB4" w:rsidRPr="00696C29" w:rsidRDefault="00516AB4" w:rsidP="00516AB4">
      <w:pPr>
        <w:numPr>
          <w:ilvl w:val="3"/>
          <w:numId w:val="0"/>
        </w:numPr>
        <w:rPr>
          <w:noProof/>
        </w:rPr>
      </w:pPr>
      <w:r w:rsidRPr="00696C29">
        <w:rPr>
          <w:b/>
          <w:bCs/>
          <w:noProof/>
        </w:rPr>
        <w:t>Appendix 15</w:t>
      </w:r>
      <w:r w:rsidRPr="00696C29">
        <w:rPr>
          <w:noProof/>
        </w:rPr>
        <w:t xml:space="preserve"> (Migration: Managing the co-existence of equipment generations and versions) of Annex IC to Commission Implementing Regulation (EU) 2016/799 is further adapted as follows:</w:t>
      </w:r>
    </w:p>
    <w:p w14:paraId="76E08360" w14:textId="6030FA27" w:rsidR="00516AB4" w:rsidRPr="00696C29" w:rsidRDefault="00516AB4" w:rsidP="009B2427">
      <w:pPr>
        <w:pStyle w:val="Point1letter"/>
        <w:numPr>
          <w:ilvl w:val="3"/>
          <w:numId w:val="1"/>
        </w:numPr>
        <w:tabs>
          <w:tab w:val="clear" w:pos="1417"/>
          <w:tab w:val="num" w:pos="567"/>
        </w:tabs>
        <w:ind w:left="567"/>
        <w:rPr>
          <w:noProof/>
        </w:rPr>
      </w:pPr>
      <w:r w:rsidRPr="00696C29">
        <w:rPr>
          <w:noProof/>
        </w:rPr>
        <w:t xml:space="preserve">In subsection 2.2, </w:t>
      </w:r>
      <w:r w:rsidRPr="00696C29">
        <w:rPr>
          <w:noProof/>
          <w:color w:val="000000" w:themeColor="text1"/>
        </w:rPr>
        <w:t xml:space="preserve">“Annex IC of this Regulation” is replaced by “Annex IC of this Regulation as adapted by Decision </w:t>
      </w:r>
      <w:r w:rsidR="00BB10F6">
        <w:rPr>
          <w:noProof/>
          <w:color w:val="000000" w:themeColor="text1"/>
        </w:rPr>
        <w:t>[</w:t>
      </w:r>
      <w:r w:rsidR="00BB10F6">
        <w:rPr>
          <w:i/>
          <w:iCs/>
          <w:noProof/>
        </w:rPr>
        <w:t xml:space="preserve">insert number of this Decision – tbc </w:t>
      </w:r>
      <w:r w:rsidR="007C19B5">
        <w:rPr>
          <w:noProof/>
          <w:color w:val="000000" w:themeColor="text1"/>
        </w:rPr>
        <w:t>1</w:t>
      </w:r>
      <w:r w:rsidRPr="00696C29">
        <w:rPr>
          <w:noProof/>
          <w:color w:val="000000" w:themeColor="text1"/>
        </w:rPr>
        <w:t>/2023</w:t>
      </w:r>
      <w:r w:rsidR="00BB10F6">
        <w:rPr>
          <w:noProof/>
          <w:color w:val="000000" w:themeColor="text1"/>
        </w:rPr>
        <w:t>]</w:t>
      </w:r>
      <w:r w:rsidRPr="00696C29">
        <w:rPr>
          <w:noProof/>
          <w:color w:val="000000" w:themeColor="text1"/>
        </w:rPr>
        <w:t xml:space="preserve"> of the Specialised Committee on Road Transport </w:t>
      </w:r>
      <w:r w:rsidRPr="00696C29">
        <w:rPr>
          <w:noProof/>
        </w:rPr>
        <w:t>established by the Trade and Cooperation Agreement between the European Union and the European Atomic Energy Community, of the one part, and the United Kingdom of Great Britain and Northern Ireland, of the other part</w:t>
      </w:r>
      <w:r w:rsidRPr="00696C29">
        <w:rPr>
          <w:noProof/>
          <w:color w:val="000000" w:themeColor="text1"/>
        </w:rPr>
        <w:t>”;</w:t>
      </w:r>
    </w:p>
    <w:p w14:paraId="1E1D004C" w14:textId="77777777" w:rsidR="00516AB4" w:rsidRPr="00696C29" w:rsidRDefault="00516AB4" w:rsidP="009B2427">
      <w:pPr>
        <w:pStyle w:val="Point1letter"/>
        <w:numPr>
          <w:ilvl w:val="3"/>
          <w:numId w:val="1"/>
        </w:numPr>
        <w:tabs>
          <w:tab w:val="clear" w:pos="1417"/>
          <w:tab w:val="num" w:pos="567"/>
        </w:tabs>
        <w:ind w:left="567"/>
        <w:rPr>
          <w:noProof/>
        </w:rPr>
      </w:pPr>
      <w:r w:rsidRPr="00696C29">
        <w:rPr>
          <w:noProof/>
          <w:color w:val="000000" w:themeColor="text1"/>
        </w:rPr>
        <w:t xml:space="preserve">In requirement MIG_025 in subsection 5, </w:t>
      </w:r>
      <w:r w:rsidRPr="00696C29">
        <w:rPr>
          <w:noProof/>
        </w:rPr>
        <w:t>“Article 34(7) of Regulation (EU) No 165/2014” is replaced by “Article 6(7) of Section 4 of Part B of Annex 31 to the Trade and Cooperation Agreement between the European Union and the European Atomic Energy Community, of one part, and the United Kingdom of Great Britain and Northern Ireland, of the other part”.</w:t>
      </w:r>
    </w:p>
    <w:p w14:paraId="59A1385A" w14:textId="77777777" w:rsidR="00516AB4" w:rsidRDefault="00516AB4" w:rsidP="00516AB4">
      <w:pPr>
        <w:numPr>
          <w:ilvl w:val="3"/>
          <w:numId w:val="0"/>
        </w:numPr>
        <w:rPr>
          <w:b/>
          <w:bCs/>
          <w:noProof/>
        </w:rPr>
      </w:pPr>
    </w:p>
    <w:p w14:paraId="18FBBF3F" w14:textId="77777777" w:rsidR="00516AB4" w:rsidRDefault="00516AB4" w:rsidP="00516AB4">
      <w:pPr>
        <w:numPr>
          <w:ilvl w:val="3"/>
          <w:numId w:val="0"/>
        </w:numPr>
        <w:rPr>
          <w:noProof/>
        </w:rPr>
      </w:pPr>
      <w:r w:rsidRPr="00B275DC">
        <w:rPr>
          <w:b/>
          <w:bCs/>
          <w:noProof/>
        </w:rPr>
        <w:t>Appendix 16</w:t>
      </w:r>
      <w:r>
        <w:rPr>
          <w:noProof/>
        </w:rPr>
        <w:t xml:space="preserve"> (Adaptor for M1 and N1 category vehicles) of Annex IC to Commission Implementing Regulation (EU) 2016/799 is further adapted as follows:</w:t>
      </w:r>
    </w:p>
    <w:p w14:paraId="0CE4929B" w14:textId="77777777" w:rsidR="00516AB4" w:rsidRDefault="00516AB4" w:rsidP="009B2427">
      <w:pPr>
        <w:pStyle w:val="Point1letter"/>
        <w:numPr>
          <w:ilvl w:val="3"/>
          <w:numId w:val="1"/>
        </w:numPr>
        <w:tabs>
          <w:tab w:val="clear" w:pos="1417"/>
          <w:tab w:val="num" w:pos="567"/>
        </w:tabs>
        <w:ind w:left="567"/>
        <w:rPr>
          <w:noProof/>
        </w:rPr>
      </w:pPr>
      <w:r>
        <w:rPr>
          <w:noProof/>
        </w:rPr>
        <w:t>In point 5.1 in the table under Section (7) (Type approval of recording equipment when an adaptor is used), the reference to “Directive 2006/28/EC” is replaced by “UNECE Regulation No 10”.</w:t>
      </w:r>
    </w:p>
    <w:p w14:paraId="37D8F90F" w14:textId="77777777" w:rsidR="00516AB4" w:rsidRPr="008F6B48" w:rsidRDefault="00516AB4" w:rsidP="00516AB4">
      <w:pPr>
        <w:pStyle w:val="Titrearticle"/>
        <w:keepNext w:val="0"/>
        <w:widowControl w:val="0"/>
        <w:outlineLvl w:val="0"/>
        <w:rPr>
          <w:iCs/>
          <w:noProof/>
          <w:szCs w:val="24"/>
        </w:rPr>
      </w:pPr>
      <w:r w:rsidRPr="008F6B48">
        <w:rPr>
          <w:iCs/>
          <w:noProof/>
          <w:szCs w:val="24"/>
        </w:rPr>
        <w:t xml:space="preserve">Article </w:t>
      </w:r>
      <w:r>
        <w:rPr>
          <w:iCs/>
          <w:noProof/>
          <w:szCs w:val="24"/>
        </w:rPr>
        <w:t>2</w:t>
      </w:r>
    </w:p>
    <w:p w14:paraId="19D7897F" w14:textId="6B9FBB7D" w:rsidR="00516AB4" w:rsidRPr="007849D0" w:rsidRDefault="00516AB4" w:rsidP="00516AB4">
      <w:pPr>
        <w:jc w:val="center"/>
        <w:rPr>
          <w:b/>
          <w:bCs/>
          <w:i/>
          <w:noProof/>
          <w:szCs w:val="24"/>
        </w:rPr>
      </w:pPr>
      <w:r w:rsidRPr="007849D0">
        <w:rPr>
          <w:b/>
          <w:bCs/>
          <w:noProof/>
          <w:szCs w:val="24"/>
        </w:rPr>
        <w:t>Entry into force</w:t>
      </w:r>
      <w:r w:rsidR="006C0230">
        <w:rPr>
          <w:b/>
          <w:bCs/>
          <w:noProof/>
          <w:szCs w:val="24"/>
        </w:rPr>
        <w:t xml:space="preserve"> and application</w:t>
      </w:r>
    </w:p>
    <w:p w14:paraId="2FF26646" w14:textId="77777777" w:rsidR="006C0230" w:rsidRDefault="00516AB4" w:rsidP="00516AB4">
      <w:pPr>
        <w:rPr>
          <w:noProof/>
          <w:szCs w:val="24"/>
        </w:rPr>
      </w:pPr>
      <w:r w:rsidRPr="00DD28A0">
        <w:rPr>
          <w:noProof/>
          <w:szCs w:val="24"/>
        </w:rPr>
        <w:t xml:space="preserve">This Decision shall enter into force on </w:t>
      </w:r>
      <w:r w:rsidR="006C0230">
        <w:rPr>
          <w:noProof/>
          <w:szCs w:val="24"/>
        </w:rPr>
        <w:t xml:space="preserve">the day following its adoption. </w:t>
      </w:r>
    </w:p>
    <w:p w14:paraId="7CC286D4" w14:textId="2223757B" w:rsidR="00516AB4" w:rsidRDefault="006C0230" w:rsidP="00516AB4">
      <w:pPr>
        <w:rPr>
          <w:noProof/>
          <w:szCs w:val="24"/>
        </w:rPr>
      </w:pPr>
      <w:r>
        <w:rPr>
          <w:noProof/>
          <w:szCs w:val="24"/>
        </w:rPr>
        <w:t xml:space="preserve">It shall apply from </w:t>
      </w:r>
      <w:r w:rsidR="00516AB4">
        <w:rPr>
          <w:noProof/>
          <w:szCs w:val="24"/>
        </w:rPr>
        <w:t>21 February 2024</w:t>
      </w:r>
      <w:r w:rsidR="00516AB4" w:rsidRPr="00DD28A0">
        <w:rPr>
          <w:noProof/>
          <w:szCs w:val="24"/>
        </w:rPr>
        <w:t>.</w:t>
      </w:r>
    </w:p>
    <w:p w14:paraId="455EC21B" w14:textId="77777777" w:rsidR="006C0230" w:rsidRPr="00DD28A0" w:rsidRDefault="006C0230" w:rsidP="00516AB4">
      <w:pPr>
        <w:rPr>
          <w:noProof/>
          <w:color w:val="000000" w:themeColor="text1"/>
          <w:szCs w:val="24"/>
        </w:rPr>
      </w:pPr>
    </w:p>
    <w:p w14:paraId="4DBB6DF9" w14:textId="77777777" w:rsidR="00516AB4" w:rsidRPr="00DD28A0" w:rsidRDefault="00516AB4" w:rsidP="00516AB4">
      <w:pPr>
        <w:pStyle w:val="Fait"/>
        <w:rPr>
          <w:noProof/>
          <w:szCs w:val="24"/>
        </w:rPr>
      </w:pPr>
      <w:r w:rsidRPr="00DD28A0">
        <w:rPr>
          <w:noProof/>
          <w:szCs w:val="24"/>
        </w:rPr>
        <w:t xml:space="preserve">Done at </w:t>
      </w:r>
      <w:r>
        <w:rPr>
          <w:noProof/>
          <w:szCs w:val="24"/>
        </w:rPr>
        <w:t xml:space="preserve">Brussels, </w:t>
      </w:r>
    </w:p>
    <w:p w14:paraId="2A76C625" w14:textId="77777777" w:rsidR="00516AB4" w:rsidRPr="00DD28A0" w:rsidRDefault="00516AB4" w:rsidP="00516AB4">
      <w:pPr>
        <w:pStyle w:val="Institutionquisigne"/>
        <w:ind w:left="3600"/>
        <w:rPr>
          <w:noProof/>
          <w:szCs w:val="24"/>
        </w:rPr>
      </w:pPr>
      <w:r w:rsidRPr="00DD28A0">
        <w:rPr>
          <w:noProof/>
          <w:szCs w:val="24"/>
        </w:rPr>
        <w:t>For the Specialised Committee on Road Transport</w:t>
      </w:r>
    </w:p>
    <w:p w14:paraId="299C475E" w14:textId="77777777" w:rsidR="00516AB4" w:rsidRPr="00C16197" w:rsidRDefault="00516AB4" w:rsidP="00516AB4">
      <w:pPr>
        <w:pStyle w:val="Personnequisigne"/>
        <w:rPr>
          <w:noProof/>
        </w:rPr>
      </w:pPr>
      <w:r w:rsidRPr="00DD28A0">
        <w:rPr>
          <w:noProof/>
        </w:rPr>
        <w:tab/>
        <w:t>The Co-chairs</w:t>
      </w:r>
    </w:p>
    <w:p w14:paraId="6B6AB763" w14:textId="77777777" w:rsidR="00516AB4" w:rsidRDefault="00516AB4" w:rsidP="00516AB4">
      <w:pPr>
        <w:rPr>
          <w:noProof/>
        </w:rPr>
      </w:pPr>
    </w:p>
    <w:p w14:paraId="780A53C9" w14:textId="77777777" w:rsidR="00905D22" w:rsidRPr="00516AB4" w:rsidRDefault="00905D22" w:rsidP="00516AB4">
      <w:pPr>
        <w:rPr>
          <w:noProof/>
        </w:rPr>
      </w:pPr>
    </w:p>
    <w:sectPr w:rsidR="00905D22" w:rsidRPr="00516AB4" w:rsidSect="00A15599">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D7DE" w14:textId="77777777" w:rsidR="00337A3E" w:rsidRDefault="00337A3E" w:rsidP="00516AB4">
      <w:pPr>
        <w:spacing w:before="0" w:after="0"/>
      </w:pPr>
      <w:r>
        <w:separator/>
      </w:r>
    </w:p>
  </w:endnote>
  <w:endnote w:type="continuationSeparator" w:id="0">
    <w:p w14:paraId="072D719F" w14:textId="77777777" w:rsidR="00337A3E" w:rsidRDefault="00337A3E" w:rsidP="00516AB4">
      <w:pPr>
        <w:spacing w:before="0" w:after="0"/>
      </w:pPr>
      <w:r>
        <w:continuationSeparator/>
      </w:r>
    </w:p>
  </w:endnote>
  <w:endnote w:type="continuationNotice" w:id="1">
    <w:p w14:paraId="61CD5657" w14:textId="77777777" w:rsidR="00337A3E" w:rsidRDefault="00337A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A4B6" w14:textId="2EB41AB0" w:rsidR="00516AB4" w:rsidRPr="00A15599" w:rsidRDefault="00516AB4" w:rsidP="00A15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06F1" w14:textId="3BE25F20" w:rsidR="00516AB4" w:rsidRPr="00A15599" w:rsidRDefault="00A15599" w:rsidP="00A15599">
    <w:pPr>
      <w:pStyle w:val="Footer"/>
      <w:rPr>
        <w:rFonts w:ascii="Arial" w:hAnsi="Arial" w:cs="Arial"/>
        <w:b/>
        <w:sz w:val="48"/>
      </w:rPr>
    </w:pPr>
    <w:r w:rsidRPr="00A15599">
      <w:rPr>
        <w:rFonts w:ascii="Arial" w:hAnsi="Arial" w:cs="Arial"/>
        <w:b/>
        <w:sz w:val="48"/>
      </w:rPr>
      <w:t>EN</w:t>
    </w:r>
    <w:r w:rsidRPr="00A15599">
      <w:rPr>
        <w:rFonts w:ascii="Arial" w:hAnsi="Arial" w:cs="Arial"/>
        <w:b/>
        <w:sz w:val="48"/>
      </w:rPr>
      <w:tab/>
    </w:r>
    <w:r w:rsidRPr="00A15599">
      <w:rPr>
        <w:rFonts w:ascii="Arial" w:hAnsi="Arial" w:cs="Arial"/>
        <w:b/>
        <w:sz w:val="48"/>
      </w:rPr>
      <w:tab/>
    </w:r>
    <w:r w:rsidRPr="00A15599">
      <w:tab/>
    </w:r>
    <w:r w:rsidRPr="00A1559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BA6E" w14:textId="77777777" w:rsidR="00A15599" w:rsidRPr="00A15599" w:rsidRDefault="00A15599" w:rsidP="00A15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E0CD" w14:textId="1D680427" w:rsidR="00A15599" w:rsidRPr="00A15599" w:rsidRDefault="00A15599" w:rsidP="00A15599">
    <w:pPr>
      <w:pStyle w:val="Footer"/>
      <w:rPr>
        <w:rFonts w:ascii="Arial" w:hAnsi="Arial" w:cs="Arial"/>
        <w:b/>
        <w:sz w:val="48"/>
      </w:rPr>
    </w:pPr>
    <w:r w:rsidRPr="00A15599">
      <w:rPr>
        <w:rFonts w:ascii="Arial" w:hAnsi="Arial" w:cs="Arial"/>
        <w:b/>
        <w:sz w:val="48"/>
      </w:rPr>
      <w:t>EN</w:t>
    </w:r>
    <w:r w:rsidRPr="00A1559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15599">
      <w:tab/>
    </w:r>
    <w:r w:rsidRPr="00A1559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7576" w14:textId="77777777" w:rsidR="00A15599" w:rsidRPr="00A15599" w:rsidRDefault="00A15599" w:rsidP="00A1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6E9B" w14:textId="77777777" w:rsidR="00337A3E" w:rsidRDefault="00337A3E" w:rsidP="00516AB4">
      <w:pPr>
        <w:spacing w:before="0" w:after="0"/>
      </w:pPr>
      <w:r>
        <w:separator/>
      </w:r>
    </w:p>
  </w:footnote>
  <w:footnote w:type="continuationSeparator" w:id="0">
    <w:p w14:paraId="5AF9130A" w14:textId="77777777" w:rsidR="00337A3E" w:rsidRDefault="00337A3E" w:rsidP="00516AB4">
      <w:pPr>
        <w:spacing w:before="0" w:after="0"/>
      </w:pPr>
      <w:r>
        <w:continuationSeparator/>
      </w:r>
    </w:p>
  </w:footnote>
  <w:footnote w:type="continuationNotice" w:id="1">
    <w:p w14:paraId="11C8699A" w14:textId="77777777" w:rsidR="00337A3E" w:rsidRDefault="00337A3E">
      <w:pPr>
        <w:spacing w:before="0" w:after="0"/>
      </w:pPr>
    </w:p>
  </w:footnote>
  <w:footnote w:id="2">
    <w:p w14:paraId="51C7A5B6" w14:textId="77777777" w:rsidR="00516AB4" w:rsidRDefault="00516AB4" w:rsidP="00516AB4">
      <w:pPr>
        <w:pStyle w:val="FootnoteText"/>
      </w:pPr>
      <w:r>
        <w:rPr>
          <w:rStyle w:val="FootnoteReference"/>
        </w:rPr>
        <w:footnoteRef/>
      </w:r>
      <w:r>
        <w:tab/>
      </w:r>
      <w:r>
        <w:rPr>
          <w:iCs/>
        </w:rPr>
        <w:t>OJEU L 149, 30.04.2021, p. 10.</w:t>
      </w:r>
      <w:r>
        <w:rPr>
          <w:rStyle w:val="Emphasis"/>
          <w:rFonts w:ascii="Segoe UI" w:hAnsi="Segoe UI" w:cs="Segoe UI"/>
          <w:color w:val="444444"/>
          <w:sz w:val="21"/>
          <w:szCs w:val="21"/>
          <w:shd w:val="clear" w:color="auto" w:fill="FFFFFF"/>
        </w:rPr>
        <w:t> </w:t>
      </w:r>
    </w:p>
  </w:footnote>
  <w:footnote w:id="3">
    <w:p w14:paraId="732D1D04" w14:textId="77777777" w:rsidR="00516AB4" w:rsidRPr="00A12C06" w:rsidRDefault="00516AB4" w:rsidP="00516AB4">
      <w:pPr>
        <w:pStyle w:val="FootnoteText"/>
        <w:rPr>
          <w:lang w:val="en-IE"/>
        </w:rPr>
      </w:pPr>
      <w:r>
        <w:rPr>
          <w:rStyle w:val="FootnoteReference"/>
        </w:rPr>
        <w:footnoteRef/>
      </w:r>
      <w:r>
        <w:tab/>
      </w:r>
      <w:r w:rsidRPr="00A12C06">
        <w:t>Regulation (EU) No</w:t>
      </w:r>
      <w:r>
        <w:t> </w:t>
      </w:r>
      <w:r w:rsidRPr="00A12C06">
        <w:t>165/2014 of the European Parliament and of the Council of 4</w:t>
      </w:r>
      <w:r>
        <w:t> </w:t>
      </w:r>
      <w:r w:rsidRPr="00A12C06">
        <w:t>February 2014 on tachographs in road transport, repealing Council Regulation (EEC) No</w:t>
      </w:r>
      <w:r>
        <w:t> </w:t>
      </w:r>
      <w:r w:rsidRPr="00A12C06">
        <w:t>3821/85 on recording equipment in road transport and amending Regulation (EC) No</w:t>
      </w:r>
      <w:r>
        <w:t> </w:t>
      </w:r>
      <w:r w:rsidRPr="00A12C06">
        <w:t>561/2006 of the European Parliament and of the Council on the harmonisation of certain social legislation relating to road transport (OJEU L 60, 28.2.2014, p. 1)</w:t>
      </w:r>
      <w:r>
        <w:t>.</w:t>
      </w:r>
    </w:p>
  </w:footnote>
  <w:footnote w:id="4">
    <w:p w14:paraId="6CEC199E" w14:textId="77777777" w:rsidR="007C19B5" w:rsidRPr="004259E6" w:rsidRDefault="007C19B5" w:rsidP="007C19B5">
      <w:pPr>
        <w:pStyle w:val="FootnoteText"/>
        <w:rPr>
          <w:lang w:val="en-IE"/>
        </w:rPr>
      </w:pPr>
      <w:r>
        <w:rPr>
          <w:rStyle w:val="FootnoteReference"/>
        </w:rPr>
        <w:footnoteRef/>
      </w:r>
      <w:r w:rsidRPr="004259E6">
        <w:rPr>
          <w:lang w:val="en-IE"/>
        </w:rPr>
        <w:tab/>
      </w:r>
      <w:r w:rsidRPr="004259E6">
        <w:t>Commission Implementing Regulation (EU) 2016/799 of 18</w:t>
      </w:r>
      <w:r>
        <w:t> </w:t>
      </w:r>
      <w:r w:rsidRPr="004259E6">
        <w:t>March 2016 implementing Regulation (EU) No</w:t>
      </w:r>
      <w:r>
        <w:t> </w:t>
      </w:r>
      <w:r w:rsidRPr="004259E6">
        <w:t>165/2014 of the European Parliament and of the Council laying down the requirements for the construction, testing, installation, operation and repair of tachographs and their components</w:t>
      </w:r>
      <w:r>
        <w:t xml:space="preserve"> </w:t>
      </w:r>
      <w:r w:rsidRPr="007428FF">
        <w:t>(OJ L 139, 26.5.2016, p. 1).</w:t>
      </w:r>
    </w:p>
  </w:footnote>
  <w:footnote w:id="5">
    <w:p w14:paraId="24BF23DB" w14:textId="77777777" w:rsidR="00516AB4" w:rsidRPr="00E925B8" w:rsidRDefault="00516AB4" w:rsidP="00516AB4">
      <w:pPr>
        <w:pStyle w:val="FootnoteText"/>
        <w:rPr>
          <w:lang w:val="en-IE"/>
        </w:rPr>
      </w:pPr>
      <w:r>
        <w:rPr>
          <w:rStyle w:val="FootnoteReference"/>
        </w:rPr>
        <w:footnoteRef/>
      </w:r>
      <w:r w:rsidRPr="00E925B8">
        <w:rPr>
          <w:lang w:val="en-IE"/>
        </w:rPr>
        <w:tab/>
      </w:r>
      <w:r w:rsidRPr="00E925B8">
        <w:t>Commission Implementing Regulation (EU) 2021/1228 of 16 July 2021 amending Implementing Regulation (EU) 2016/799 as regards the requirements for the construction, testing, installation, operation and repair of smart tachographs and their components</w:t>
      </w:r>
      <w:r>
        <w:t xml:space="preserve"> (</w:t>
      </w:r>
      <w:r w:rsidRPr="00C3793B">
        <w:t>OJ L 273, 30.7.2021, p. 1</w:t>
      </w:r>
      <w:r>
        <w:t>)</w:t>
      </w:r>
      <w:r w:rsidRPr="00C3793B">
        <w:t>.</w:t>
      </w:r>
    </w:p>
  </w:footnote>
  <w:footnote w:id="6">
    <w:p w14:paraId="53CF56B5" w14:textId="77777777" w:rsidR="00516AB4" w:rsidRPr="0075038D" w:rsidRDefault="00516AB4" w:rsidP="00516AB4">
      <w:pPr>
        <w:pStyle w:val="FootnoteText"/>
        <w:rPr>
          <w:bCs/>
        </w:rPr>
      </w:pPr>
      <w:r>
        <w:rPr>
          <w:rStyle w:val="FootnoteReference"/>
        </w:rPr>
        <w:footnoteRef/>
      </w:r>
      <w:r w:rsidRPr="00C3793B">
        <w:rPr>
          <w:lang w:val="en-IE"/>
        </w:rPr>
        <w:tab/>
      </w:r>
      <w:r w:rsidRPr="0075038D">
        <w:rPr>
          <w:lang w:val="en-IE"/>
        </w:rPr>
        <w:t xml:space="preserve">Commission Implementing Regulation (EU) </w:t>
      </w:r>
      <w:r w:rsidRPr="00C0247D">
        <w:rPr>
          <w:lang w:val="en-IE"/>
        </w:rPr>
        <w:t xml:space="preserve">2023/980 of 16 May 2023 </w:t>
      </w:r>
      <w:r w:rsidRPr="00C0247D">
        <w:rPr>
          <w:bCs/>
        </w:rPr>
        <w:t>amending Implementing Regulation (EU) 2016/799 as regards a transitional smart tachograph and its use of the Galileo Open Service Navigation Message Authentication and amending Implementing Regulation (EU) 2021/1228</w:t>
      </w:r>
      <w:r w:rsidRPr="00C0247D">
        <w:rPr>
          <w:b/>
        </w:rPr>
        <w:t xml:space="preserve"> </w:t>
      </w:r>
      <w:r w:rsidRPr="00C0247D">
        <w:rPr>
          <w:bCs/>
        </w:rPr>
        <w:t>(OJ L 134, 22.5.2023, p.</w:t>
      </w:r>
      <w:r>
        <w:rPr>
          <w:bCs/>
        </w:rPr>
        <w:t> </w:t>
      </w:r>
      <w:r w:rsidRPr="00C0247D">
        <w:rPr>
          <w:bCs/>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275" w14:textId="77777777" w:rsidR="00A15599" w:rsidRPr="00A15599" w:rsidRDefault="00A15599" w:rsidP="00A15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1EBF" w14:textId="77777777" w:rsidR="00A15599" w:rsidRPr="00A15599" w:rsidRDefault="00A15599" w:rsidP="00A15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A56A" w14:textId="77777777" w:rsidR="00A15599" w:rsidRPr="00A15599" w:rsidRDefault="00A15599" w:rsidP="00A1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07A6AD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480758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A58C26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7E4C97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6 08:06: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65631304-AD41-4D30-8D11-B2661EBE53BE"/>
    <w:docVar w:name="LW_COVERPAGE_TYPE" w:val="1"/>
    <w:docVar w:name="LW_CROSSREFERENCE" w:val="&lt;UNUSED&gt;"/>
    <w:docVar w:name="LW_DocType" w:val="ANNEX"/>
    <w:docVar w:name="LW_EMISSION" w:val="13.9.2023"/>
    <w:docVar w:name="LW_EMISSION_ISODATE" w:val="2023-09-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pecialised Committee on Road Transport established by the Trade and Cooperation Agreement between the European Union and the European Atomic Energy Community of the one part, and the United Kingdom of Great Britain and Northern Ireland, of the other part, on the adaptation of technical specifications of the smart tachograph 2"/>
    <w:docVar w:name="LW_OBJETACTEPRINCIPAL.CP" w:val="on the position to be taken on behalf of the European Union in the Specialised Committee on Road Transport established by the Trade and Cooperation Agreement between the European Union and the European Atomic Energy Community of the one part, and the United Kingdom of Great Britain and Northern Ireland, of the other part, on the adaptation of technical specifications of the smart tachograph 2"/>
    <w:docVar w:name="LW_PART_NBR" w:val="1"/>
    <w:docVar w:name="LW_PART_NBR_TOTAL" w:val="1"/>
    <w:docVar w:name="LW_REF.INST.NEW" w:val="COM"/>
    <w:docVar w:name="LW_REF.INST.NEW_ADOPTED" w:val="final"/>
    <w:docVar w:name="LW_REF.INST.NEW_TEXT" w:val="(2023) 52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3.2.0; LW 8.0, Build 20211117"/>
  </w:docVars>
  <w:rsids>
    <w:rsidRoot w:val="00516AB4"/>
    <w:rsid w:val="000A4BE5"/>
    <w:rsid w:val="000E1C61"/>
    <w:rsid w:val="00165C4F"/>
    <w:rsid w:val="001C14DA"/>
    <w:rsid w:val="001D154B"/>
    <w:rsid w:val="001F0336"/>
    <w:rsid w:val="001F343E"/>
    <w:rsid w:val="002232C7"/>
    <w:rsid w:val="002325B1"/>
    <w:rsid w:val="002C7692"/>
    <w:rsid w:val="002D0C17"/>
    <w:rsid w:val="00326AF1"/>
    <w:rsid w:val="00337A3E"/>
    <w:rsid w:val="003773F5"/>
    <w:rsid w:val="003E48B5"/>
    <w:rsid w:val="004005C5"/>
    <w:rsid w:val="0041606C"/>
    <w:rsid w:val="0047552D"/>
    <w:rsid w:val="00482B22"/>
    <w:rsid w:val="00482F2B"/>
    <w:rsid w:val="00492EB7"/>
    <w:rsid w:val="004B5B1A"/>
    <w:rsid w:val="004E5BCE"/>
    <w:rsid w:val="004F0304"/>
    <w:rsid w:val="004F69A3"/>
    <w:rsid w:val="00516AB4"/>
    <w:rsid w:val="00526A40"/>
    <w:rsid w:val="005407D7"/>
    <w:rsid w:val="005A7962"/>
    <w:rsid w:val="005E2A4B"/>
    <w:rsid w:val="00600686"/>
    <w:rsid w:val="00604F7D"/>
    <w:rsid w:val="00612344"/>
    <w:rsid w:val="0062574C"/>
    <w:rsid w:val="00626E37"/>
    <w:rsid w:val="00684598"/>
    <w:rsid w:val="006A6BCB"/>
    <w:rsid w:val="006B316A"/>
    <w:rsid w:val="006C0230"/>
    <w:rsid w:val="0073380B"/>
    <w:rsid w:val="007A25EA"/>
    <w:rsid w:val="007C19B5"/>
    <w:rsid w:val="007F5C65"/>
    <w:rsid w:val="00812083"/>
    <w:rsid w:val="008302D2"/>
    <w:rsid w:val="00832E9B"/>
    <w:rsid w:val="008C11FE"/>
    <w:rsid w:val="008D2EAE"/>
    <w:rsid w:val="008D6398"/>
    <w:rsid w:val="008E01E3"/>
    <w:rsid w:val="008E4CEA"/>
    <w:rsid w:val="00905D22"/>
    <w:rsid w:val="00925913"/>
    <w:rsid w:val="00935385"/>
    <w:rsid w:val="00942D9C"/>
    <w:rsid w:val="00965AF4"/>
    <w:rsid w:val="00967E15"/>
    <w:rsid w:val="00997EC4"/>
    <w:rsid w:val="009B2427"/>
    <w:rsid w:val="009E10D4"/>
    <w:rsid w:val="009F166C"/>
    <w:rsid w:val="00A01210"/>
    <w:rsid w:val="00A15599"/>
    <w:rsid w:val="00A35BCC"/>
    <w:rsid w:val="00A406F6"/>
    <w:rsid w:val="00A6243B"/>
    <w:rsid w:val="00A71E2F"/>
    <w:rsid w:val="00A71F6D"/>
    <w:rsid w:val="00A737AE"/>
    <w:rsid w:val="00A863C1"/>
    <w:rsid w:val="00AD4907"/>
    <w:rsid w:val="00B43975"/>
    <w:rsid w:val="00B456AD"/>
    <w:rsid w:val="00B76A70"/>
    <w:rsid w:val="00BA4F3C"/>
    <w:rsid w:val="00BB10F6"/>
    <w:rsid w:val="00BB30BC"/>
    <w:rsid w:val="00C0616A"/>
    <w:rsid w:val="00C0661F"/>
    <w:rsid w:val="00C12CFE"/>
    <w:rsid w:val="00C54A08"/>
    <w:rsid w:val="00C617E1"/>
    <w:rsid w:val="00C953CA"/>
    <w:rsid w:val="00C97362"/>
    <w:rsid w:val="00C97EC5"/>
    <w:rsid w:val="00D328C4"/>
    <w:rsid w:val="00D33986"/>
    <w:rsid w:val="00D94B8E"/>
    <w:rsid w:val="00DE3718"/>
    <w:rsid w:val="00E50012"/>
    <w:rsid w:val="00E90D79"/>
    <w:rsid w:val="00EA5EBD"/>
    <w:rsid w:val="00EB4F02"/>
    <w:rsid w:val="00ED0AF9"/>
    <w:rsid w:val="00ED76BF"/>
    <w:rsid w:val="00F1059A"/>
    <w:rsid w:val="00F7024E"/>
    <w:rsid w:val="00F82260"/>
    <w:rsid w:val="00FB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5F6C1D"/>
  <w15:docId w15:val="{6C55005F-56A5-4B24-B5A1-51CEDBD3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16AB4"/>
    <w:rPr>
      <w:i/>
      <w:iCs/>
    </w:rPr>
  </w:style>
  <w:style w:type="character" w:styleId="Hyperlink">
    <w:name w:val="Hyperlink"/>
    <w:basedOn w:val="DefaultParagraphFont"/>
    <w:uiPriority w:val="99"/>
    <w:semiHidden/>
    <w:unhideWhenUsed/>
    <w:rsid w:val="00925913"/>
    <w:rPr>
      <w:color w:val="0000FF" w:themeColor="hyperlink"/>
      <w:u w:val="single"/>
    </w:rPr>
  </w:style>
  <w:style w:type="character" w:styleId="CommentReference">
    <w:name w:val="annotation reference"/>
    <w:basedOn w:val="DefaultParagraphFont"/>
    <w:uiPriority w:val="99"/>
    <w:semiHidden/>
    <w:unhideWhenUsed/>
    <w:rsid w:val="00925913"/>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Revision">
    <w:name w:val="Revision"/>
    <w:hidden/>
    <w:uiPriority w:val="99"/>
    <w:semiHidden/>
    <w:rsid w:val="006C0230"/>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6C0230"/>
    <w:rPr>
      <w:b/>
      <w:bCs/>
    </w:rPr>
  </w:style>
  <w:style w:type="character" w:customStyle="1" w:styleId="CommentSubjectChar">
    <w:name w:val="Comment Subject Char"/>
    <w:basedOn w:val="CommentTextChar"/>
    <w:link w:val="CommentSubject"/>
    <w:uiPriority w:val="99"/>
    <w:semiHidden/>
    <w:rsid w:val="006C0230"/>
    <w:rPr>
      <w:rFonts w:ascii="Times New Roman" w:hAnsi="Times New Roman" w:cs="Times New Roman"/>
      <w:b/>
      <w:bCs/>
      <w:sz w:val="20"/>
      <w:szCs w:val="20"/>
      <w:lang w:val="en-GB"/>
    </w:rPr>
  </w:style>
  <w:style w:type="paragraph" w:styleId="ListBullet">
    <w:name w:val="List Bullet"/>
    <w:basedOn w:val="Normal"/>
    <w:uiPriority w:val="99"/>
    <w:semiHidden/>
    <w:unhideWhenUsed/>
    <w:rsid w:val="007C19B5"/>
    <w:pPr>
      <w:numPr>
        <w:numId w:val="2"/>
      </w:numPr>
      <w:contextualSpacing/>
    </w:pPr>
  </w:style>
  <w:style w:type="paragraph" w:styleId="ListBullet2">
    <w:name w:val="List Bullet 2"/>
    <w:basedOn w:val="Normal"/>
    <w:uiPriority w:val="99"/>
    <w:semiHidden/>
    <w:unhideWhenUsed/>
    <w:rsid w:val="007C19B5"/>
    <w:pPr>
      <w:numPr>
        <w:numId w:val="3"/>
      </w:numPr>
      <w:contextualSpacing/>
    </w:pPr>
  </w:style>
  <w:style w:type="paragraph" w:styleId="ListBullet3">
    <w:name w:val="List Bullet 3"/>
    <w:basedOn w:val="Normal"/>
    <w:uiPriority w:val="99"/>
    <w:semiHidden/>
    <w:unhideWhenUsed/>
    <w:rsid w:val="007C19B5"/>
    <w:pPr>
      <w:numPr>
        <w:numId w:val="4"/>
      </w:numPr>
      <w:contextualSpacing/>
    </w:pPr>
  </w:style>
  <w:style w:type="paragraph" w:styleId="ListBullet4">
    <w:name w:val="List Bullet 4"/>
    <w:basedOn w:val="Normal"/>
    <w:uiPriority w:val="99"/>
    <w:semiHidden/>
    <w:unhideWhenUsed/>
    <w:rsid w:val="007C19B5"/>
    <w:pPr>
      <w:numPr>
        <w:numId w:val="5"/>
      </w:numPr>
      <w:contextualSpacing/>
    </w:pPr>
  </w:style>
  <w:style w:type="paragraph" w:styleId="Header">
    <w:name w:val="header"/>
    <w:basedOn w:val="Normal"/>
    <w:link w:val="HeaderChar"/>
    <w:uiPriority w:val="99"/>
    <w:unhideWhenUsed/>
    <w:rsid w:val="00A15599"/>
    <w:pPr>
      <w:tabs>
        <w:tab w:val="center" w:pos="4535"/>
        <w:tab w:val="right" w:pos="9071"/>
      </w:tabs>
      <w:spacing w:before="0"/>
    </w:pPr>
  </w:style>
  <w:style w:type="character" w:customStyle="1" w:styleId="HeaderChar">
    <w:name w:val="Header Char"/>
    <w:basedOn w:val="DefaultParagraphFont"/>
    <w:link w:val="Header"/>
    <w:uiPriority w:val="99"/>
    <w:rsid w:val="00A15599"/>
    <w:rPr>
      <w:rFonts w:ascii="Times New Roman" w:hAnsi="Times New Roman" w:cs="Times New Roman"/>
      <w:sz w:val="24"/>
      <w:lang w:val="en-GB"/>
    </w:rPr>
  </w:style>
  <w:style w:type="paragraph" w:styleId="Footer">
    <w:name w:val="footer"/>
    <w:basedOn w:val="Normal"/>
    <w:link w:val="FooterChar"/>
    <w:uiPriority w:val="99"/>
    <w:unhideWhenUsed/>
    <w:rsid w:val="00A155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55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15599"/>
    <w:pPr>
      <w:tabs>
        <w:tab w:val="center" w:pos="7285"/>
        <w:tab w:val="right" w:pos="14003"/>
      </w:tabs>
      <w:spacing w:before="0"/>
    </w:pPr>
  </w:style>
  <w:style w:type="paragraph" w:customStyle="1" w:styleId="FooterLandscape">
    <w:name w:val="FooterLandscape"/>
    <w:basedOn w:val="Normal"/>
    <w:rsid w:val="00A1559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1559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15599"/>
    <w:pPr>
      <w:spacing w:before="0"/>
      <w:jc w:val="right"/>
    </w:pPr>
    <w:rPr>
      <w:sz w:val="28"/>
    </w:rPr>
  </w:style>
  <w:style w:type="paragraph" w:customStyle="1" w:styleId="FooterSensitivity">
    <w:name w:val="Footer Sensitivity"/>
    <w:basedOn w:val="Normal"/>
    <w:rsid w:val="00A1559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33f916-ce21-4f98-a771-0bef3058c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37e0e33-a802-4302-8cc8-d84d7732b0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EB0B91E7464E95EBA7AA7632CE11" ma:contentTypeVersion="12" ma:contentTypeDescription="Create a new document." ma:contentTypeScope="" ma:versionID="d3ce8463f80f8d435a9f146b369d36ba">
  <xsd:schema xmlns:xsd="http://www.w3.org/2001/XMLSchema" xmlns:xs="http://www.w3.org/2001/XMLSchema" xmlns:p="http://schemas.microsoft.com/office/2006/metadata/properties" xmlns:ns2="f133f916-ce21-4f98-a771-0bef3058cb3e" xmlns:ns3="237e0e33-a802-4302-8cc8-d84d7732b0d9" targetNamespace="http://schemas.microsoft.com/office/2006/metadata/properties" ma:root="true" ma:fieldsID="77222e77b44d5bb6423eb6a95e43ae65" ns2:_="" ns3:_="">
    <xsd:import namespace="f133f916-ce21-4f98-a771-0bef3058cb3e"/>
    <xsd:import namespace="237e0e33-a802-4302-8cc8-d84d7732b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f916-ce21-4f98-a771-0bef305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0e33-a802-4302-8cc8-d84d7732b0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dfdb3-8c71-4595-9b02-2349378e6ae9}" ma:internalName="TaxCatchAll" ma:showField="CatchAllData" ma:web="237e0e33-a802-4302-8cc8-d84d7732b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A5F7-AF6E-4920-BE3F-DEB7F9CCA56A}">
  <ds:schemaRefs>
    <ds:schemaRef ds:uri="http://schemas.microsoft.com/office/2006/metadata/properties"/>
    <ds:schemaRef ds:uri="http://schemas.microsoft.com/office/infopath/2007/PartnerControls"/>
    <ds:schemaRef ds:uri="f133f916-ce21-4f98-a771-0bef3058cb3e"/>
    <ds:schemaRef ds:uri="237e0e33-a802-4302-8cc8-d84d7732b0d9"/>
  </ds:schemaRefs>
</ds:datastoreItem>
</file>

<file path=customXml/itemProps2.xml><?xml version="1.0" encoding="utf-8"?>
<ds:datastoreItem xmlns:ds="http://schemas.openxmlformats.org/officeDocument/2006/customXml" ds:itemID="{C28BDD22-2B03-4755-AE30-5D103627251C}">
  <ds:schemaRefs>
    <ds:schemaRef ds:uri="http://schemas.microsoft.com/sharepoint/v3/contenttype/forms"/>
  </ds:schemaRefs>
</ds:datastoreItem>
</file>

<file path=customXml/itemProps3.xml><?xml version="1.0" encoding="utf-8"?>
<ds:datastoreItem xmlns:ds="http://schemas.openxmlformats.org/officeDocument/2006/customXml" ds:itemID="{D4337B8F-E3C9-4012-BC3E-C9CE085D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f916-ce21-4f98-a771-0bef3058cb3e"/>
    <ds:schemaRef ds:uri="237e0e33-a802-4302-8cc8-d84d7732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232BF-395F-424A-8FA2-051C62A5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8</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Romain (MOVE)</dc:creator>
  <cp:keywords/>
  <dc:description/>
  <cp:lastModifiedBy>EC CoDe</cp:lastModifiedBy>
  <cp:revision>18</cp:revision>
  <dcterms:created xsi:type="dcterms:W3CDTF">2023-08-24T12:51:00Z</dcterms:created>
  <dcterms:modified xsi:type="dcterms:W3CDTF">2023-09-06T06:06:00Z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2023-06-08T13:25:08Z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afaceca6-41de-48a9-8d22-f036bfa011f3</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0x010100100AEB0B91E7464E95EBA7AA7632CE11</vt:lpwstr>
  </property>
  <property fmtid="{D5CDD505-2E9C-101B-9397-08002B2CF9AE}" pid="21" name="MediaServiceImageTags">
    <vt:lpwstr/>
  </property>
  <property fmtid="{D5CDD505-2E9C-101B-9397-08002B2CF9AE}" pid="22" name="DQCStatus">
    <vt:lpwstr>Green (DQC version 03)</vt:lpwstr>
  </property>
</Properties>
</file>