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86CCF" w14:textId="52B90243" w:rsidR="00E859DB" w:rsidRPr="00C16A84" w:rsidRDefault="00396AE5" w:rsidP="00396AE5">
      <w:pPr>
        <w:pStyle w:val="Pagedecouverture"/>
        <w:rPr>
          <w:noProof/>
        </w:rPr>
      </w:pPr>
      <w:r>
        <w:rPr>
          <w:noProof/>
        </w:rPr>
        <w:pict w14:anchorId="646E7D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77B2A87A-766B-42FA-BA17-0B66741BCDC9" style="width:455.25pt;height:441pt">
            <v:imagedata r:id="rId8" o:title=""/>
          </v:shape>
        </w:pict>
      </w:r>
    </w:p>
    <w:p w14:paraId="0232F92D" w14:textId="77777777" w:rsidR="00E859DB" w:rsidRPr="00C16A84" w:rsidRDefault="00E859DB" w:rsidP="00E859DB">
      <w:pPr>
        <w:rPr>
          <w:noProof/>
        </w:rPr>
        <w:sectPr w:rsidR="00E859DB" w:rsidRPr="00C16A84" w:rsidSect="00396AE5">
          <w:footerReference w:type="default" r:id="rId9"/>
          <w:pgSz w:w="11907" w:h="16839"/>
          <w:pgMar w:top="1134" w:right="1417" w:bottom="1134" w:left="1417" w:header="709" w:footer="709" w:gutter="0"/>
          <w:pgNumType w:start="0"/>
          <w:cols w:space="720"/>
          <w:docGrid w:linePitch="360"/>
        </w:sectPr>
      </w:pPr>
    </w:p>
    <w:p w14:paraId="788DDAC2" w14:textId="77777777" w:rsidR="00E859DB" w:rsidRPr="00C16A84" w:rsidRDefault="00E859DB" w:rsidP="00BB6B30">
      <w:pPr>
        <w:pStyle w:val="Exposdesmotifstitre"/>
        <w:rPr>
          <w:noProof/>
        </w:rPr>
      </w:pPr>
      <w:bookmarkStart w:id="0" w:name="_GoBack"/>
      <w:bookmarkEnd w:id="0"/>
      <w:r w:rsidRPr="00C16A84">
        <w:rPr>
          <w:noProof/>
        </w:rPr>
        <w:lastRenderedPageBreak/>
        <w:t>OBRAZLOŽENJE</w:t>
      </w:r>
    </w:p>
    <w:p w14:paraId="750E3325" w14:textId="77777777" w:rsidR="00E859DB" w:rsidRPr="00C16A84" w:rsidRDefault="00E859DB" w:rsidP="009C0009">
      <w:pPr>
        <w:pStyle w:val="ManualHeading1"/>
        <w:outlineLvl w:val="9"/>
        <w:rPr>
          <w:noProof/>
        </w:rPr>
      </w:pPr>
      <w:r w:rsidRPr="00C16A84">
        <w:rPr>
          <w:noProof/>
        </w:rPr>
        <w:t>1.</w:t>
      </w:r>
      <w:r w:rsidRPr="00C16A84">
        <w:rPr>
          <w:noProof/>
        </w:rPr>
        <w:tab/>
        <w:t>KONTEKST PRIJEDLOGA</w:t>
      </w:r>
    </w:p>
    <w:p w14:paraId="3CCD0E26" w14:textId="77777777" w:rsidR="00E859DB" w:rsidRPr="00C16A84" w:rsidRDefault="00E859DB" w:rsidP="009C0009">
      <w:pPr>
        <w:pStyle w:val="ManualHeading2"/>
        <w:outlineLvl w:val="9"/>
        <w:rPr>
          <w:rFonts w:eastAsia="Arial Unicode MS"/>
          <w:noProof/>
        </w:rPr>
      </w:pPr>
      <w:r w:rsidRPr="00C16A84">
        <w:rPr>
          <w:noProof/>
          <w:color w:val="000000"/>
          <w:u w:color="000000"/>
          <w:bdr w:val="nil"/>
        </w:rPr>
        <w:t>•</w:t>
      </w:r>
      <w:r w:rsidRPr="00C16A84">
        <w:rPr>
          <w:noProof/>
        </w:rPr>
        <w:tab/>
        <w:t>Razlozi i ciljevi prijedloga</w:t>
      </w:r>
    </w:p>
    <w:p w14:paraId="21A49D73" w14:textId="77777777" w:rsidR="008E472F" w:rsidRPr="00C16A84" w:rsidRDefault="008E472F" w:rsidP="008E472F">
      <w:pPr>
        <w:rPr>
          <w:noProof/>
        </w:rPr>
      </w:pPr>
      <w:r w:rsidRPr="00C16A84">
        <w:rPr>
          <w:noProof/>
        </w:rPr>
        <w:t xml:space="preserve">Europska unija (EU) temelji se na vrijednostima ljudskog dostojanstva, slobode i poštovanja ljudskih prava te se bori protiv diskriminacije, među ostalim na temelju invaliditeta, kako je utvrđeno u Ugovoru o Europskoj uniji, Ugovoru o funkcioniranju Europske unije (UFEU) i Povelji o temeljnim pravima (Povelja). </w:t>
      </w:r>
    </w:p>
    <w:p w14:paraId="43390FDB" w14:textId="77777777" w:rsidR="008E472F" w:rsidRPr="00C16A84" w:rsidRDefault="008E472F" w:rsidP="008E472F">
      <w:pPr>
        <w:rPr>
          <w:noProof/>
        </w:rPr>
      </w:pPr>
      <w:r w:rsidRPr="00C16A84">
        <w:rPr>
          <w:noProof/>
        </w:rPr>
        <w:t xml:space="preserve">Pravo građana EU-a na slobodno kretanje i boravak u Europskoj uniji jedno je od najdragocjenijih postignuća EU-a i važan pokretač njegova gospodarstva. </w:t>
      </w:r>
    </w:p>
    <w:p w14:paraId="7F221E8B" w14:textId="77777777" w:rsidR="008E472F" w:rsidRPr="00C16A84" w:rsidRDefault="008E472F" w:rsidP="008E472F">
      <w:pPr>
        <w:rPr>
          <w:noProof/>
        </w:rPr>
      </w:pPr>
      <w:r w:rsidRPr="00C16A84">
        <w:rPr>
          <w:noProof/>
        </w:rPr>
        <w:t>EU i sve njegove države članice stranke su Konvencije UN-a o pravima osoba s invaliditetom (UNCRPD). Njezina je svrha promicanje, zaštita i osiguravanje punog i ravnopravnog uživanja svih ljudskih prava i temeljnih sloboda svih osoba s invaliditetom i promicanje poštovanja njihova urođenog dostojanstva. Njome se države stranke obvezuje da osobama s invaliditetom priznaju prava na slobodu kretanja na ravnopravnoj osnovi s drugima. Obvezuje ih se i da poduzmu djelotvorne mjere osiguranja slobode kretanja s najvećom mogućom neovisnošću za osobe s invaliditetom, uključujući olakšavanje slobode kretanja osoba s invaliditetom na način i u vrijeme koje one same izaberu i po pristupačnoj cijeni.</w:t>
      </w:r>
    </w:p>
    <w:p w14:paraId="5AFAC077" w14:textId="77777777" w:rsidR="008E472F" w:rsidRPr="00C16A84" w:rsidRDefault="008E472F" w:rsidP="008E472F">
      <w:pPr>
        <w:rPr>
          <w:noProof/>
        </w:rPr>
      </w:pPr>
      <w:r w:rsidRPr="00C16A84">
        <w:rPr>
          <w:noProof/>
        </w:rPr>
        <w:t>U europskom stupu socijalnih prava, koji su Europski parlament, Vijeće i Europska komisija proglasili u Göteborgu 17. studenoga 2017.</w:t>
      </w:r>
      <w:bookmarkStart w:id="1" w:name="_Hlk143845531"/>
      <w:bookmarkEnd w:id="1"/>
      <w:r w:rsidRPr="00C16A84">
        <w:rPr>
          <w:rStyle w:val="FootnoteReference"/>
          <w:noProof/>
        </w:rPr>
        <w:footnoteReference w:id="1"/>
      </w:r>
      <w:r w:rsidRPr="00C16A84">
        <w:rPr>
          <w:noProof/>
        </w:rPr>
        <w:t>, propisano je da svi, bez obzira na invaliditet, imaju pravo na jednako postupanje i jednake mogućnosti u pogledu pristupa robi i uslugama dostupnima javnosti (3. načelo). U njemu se potvrđuje i pravo osoba s invaliditetom na usluge koje im omogućuju sudjelovanje u društvu (17. načelo). U Akcijskom planu za provedbu europskog stupa socijalnih prava upućuje se na znatne prepreke na koje osobe s invaliditetom i dalje nailaze i koje se nastoje svladati u okviru Strategije o pravima osoba s invaliditetom za razdoblje 2021.–2030.</w:t>
      </w:r>
    </w:p>
    <w:p w14:paraId="60B68CBD" w14:textId="77777777" w:rsidR="008E472F" w:rsidRPr="00C16A84" w:rsidRDefault="008E472F" w:rsidP="008E472F">
      <w:pPr>
        <w:rPr>
          <w:noProof/>
        </w:rPr>
      </w:pPr>
      <w:r w:rsidRPr="00C16A84">
        <w:rPr>
          <w:noProof/>
        </w:rPr>
        <w:t xml:space="preserve">Osobe s invaliditetom kojima taj status procjenjuju i priznaju nadležna tijela u državi članici često imaju pravo na posebne uvjete ili povlašteno postupanje u pogledu pristupa raznim uslugama, </w:t>
      </w:r>
      <w:bookmarkStart w:id="2" w:name="_Hlk141866508"/>
      <w:r w:rsidRPr="00C16A84">
        <w:rPr>
          <w:noProof/>
        </w:rPr>
        <w:t>aktivnostima i sadržajima, među ostalim kad se pružaju bez naknade</w:t>
      </w:r>
      <w:bookmarkEnd w:id="2"/>
      <w:r w:rsidRPr="00C16A84">
        <w:rPr>
          <w:noProof/>
        </w:rPr>
        <w:t xml:space="preserve">, neovisno o tome pružaju li ih javna tijela ili privatni subjekti te pružaju li se na temelju nacionalnih ili lokalnih pravila/pravnih obveza ili dobrovoljno, što je često slučaj (posebno ako ih pružaju privatni subjekti). </w:t>
      </w:r>
    </w:p>
    <w:p w14:paraId="564223FF" w14:textId="77777777" w:rsidR="008E472F" w:rsidRPr="00C16A84" w:rsidRDefault="008E472F" w:rsidP="008E472F">
      <w:pPr>
        <w:rPr>
          <w:noProof/>
        </w:rPr>
      </w:pPr>
      <w:r w:rsidRPr="00C16A84">
        <w:rPr>
          <w:noProof/>
        </w:rPr>
        <w:t>Posebni uvjeti ili povlašteno postupanje najčešće se nude ili pružaju u pogledu javnog i privatnog prijevoza, parkirnih mjesta, kulturnih događanja (npr. muzeji), rekreacijskih i sportskih centara ili usluga, zabavnih parkova, turizma. Mogu uključivati besplatan pristup, niže cijene, niže pristojbe ili korisničke naknade za ceste/mostove/tunele s naplatom, prioritetan pristup, osobnu asistenciju, podršku (kao što je pristup brajici, zvučnim vodičima), nabavu pomagala, mogućnost duljeg parkiranja ili rezervirana (parkirna) mjesta</w:t>
      </w:r>
      <w:r w:rsidRPr="00C16A84">
        <w:rPr>
          <w:rStyle w:val="FootnoteReference"/>
          <w:noProof/>
        </w:rPr>
        <w:footnoteReference w:id="2"/>
      </w:r>
      <w:r w:rsidRPr="00C16A84">
        <w:rPr>
          <w:noProof/>
        </w:rPr>
        <w:t xml:space="preserve">. </w:t>
      </w:r>
      <w:bookmarkStart w:id="3" w:name="_Hlk141980224"/>
      <w:r w:rsidRPr="00C16A84">
        <w:rPr>
          <w:noProof/>
        </w:rPr>
        <w:t xml:space="preserve">U putničkom prijevozu osobni asistenti ili druge osobe koje su pratnja ili pružaju pomoć osobama s invaliditetom mogu putovati besplatno ili, ako je to izvedivo, sjediti pokraj osobe s </w:t>
      </w:r>
      <w:r w:rsidRPr="00C16A84">
        <w:rPr>
          <w:noProof/>
        </w:rPr>
        <w:lastRenderedPageBreak/>
        <w:t xml:space="preserve">invaliditetom </w:t>
      </w:r>
      <w:bookmarkEnd w:id="3"/>
      <w:r w:rsidRPr="00C16A84">
        <w:rPr>
          <w:noProof/>
        </w:rPr>
        <w:t>ili osobe sa smanjenom pokretljivošću</w:t>
      </w:r>
      <w:r w:rsidRPr="00C16A84">
        <w:rPr>
          <w:rStyle w:val="FootnoteReference"/>
          <w:noProof/>
        </w:rPr>
        <w:footnoteReference w:id="3"/>
      </w:r>
      <w:r w:rsidRPr="00C16A84">
        <w:rPr>
          <w:noProof/>
        </w:rPr>
        <w:t>. Povlašteno postupanje i posebni uvjeti nude se i u pristupu aktivnostima ili sadržajima koji se pružaju bez naknade.</w:t>
      </w:r>
    </w:p>
    <w:p w14:paraId="426BD8B6" w14:textId="77777777" w:rsidR="008E472F" w:rsidRPr="00C16A84" w:rsidRDefault="008E472F" w:rsidP="008E472F">
      <w:pPr>
        <w:rPr>
          <w:noProof/>
        </w:rPr>
      </w:pPr>
      <w:r w:rsidRPr="00C16A84">
        <w:rPr>
          <w:noProof/>
        </w:rPr>
        <w:t xml:space="preserve">Međutim, osobe s invaliditetom kojima je taj status priznat u državi članici boravišta, a koje putuju u drugu državu članicu, mogu naići na poteškoće u ostvarivanju prava na posebne uvjete ili povlašteno postupanje koji se nude ili su predviđeni u državi članici koju posjećuju, često zbog nepriznavanja njihove iskaznice za osobe s invaliditetom ili potvrde o invaliditetu koje je izdala država članica boravišta. </w:t>
      </w:r>
    </w:p>
    <w:p w14:paraId="3E65873F" w14:textId="77777777" w:rsidR="008E472F" w:rsidRPr="00C16A84" w:rsidRDefault="008E472F" w:rsidP="008E472F">
      <w:pPr>
        <w:rPr>
          <w:noProof/>
        </w:rPr>
      </w:pPr>
      <w:r w:rsidRPr="00C16A84">
        <w:rPr>
          <w:noProof/>
        </w:rPr>
        <w:t>Bitan čimbenik koji, uz fizičke i druge prepreke u pristupu javnim i privatnim prostorima, brojne osobe s invaliditetom odvraća od odlaska na putovanje visoki su putni troškovi</w:t>
      </w:r>
      <w:r w:rsidRPr="00C16A84">
        <w:rPr>
          <w:rStyle w:val="FootnoteReference"/>
          <w:noProof/>
        </w:rPr>
        <w:footnoteReference w:id="4"/>
      </w:r>
      <w:r w:rsidRPr="00C16A84">
        <w:rPr>
          <w:noProof/>
        </w:rPr>
        <w:t>, koji su zbog njihovih specifičnih potreba viši nego putni troškovi osoba bez invaliditeta</w:t>
      </w:r>
      <w:r w:rsidRPr="00C16A84">
        <w:rPr>
          <w:rStyle w:val="FootnoteReference"/>
          <w:noProof/>
        </w:rPr>
        <w:footnoteReference w:id="5"/>
      </w:r>
      <w:r w:rsidRPr="00C16A84">
        <w:rPr>
          <w:noProof/>
        </w:rPr>
        <w:t>. Eurostatova anketa o osobama koje ne sudjeluju u turizmu, koja je pokazala da 44,83 % ukupnog stanovništva 2019. nije sudjelovalo u turizmu „iz financijskih razloga”, potvrđuje da opća populacija od putovanja najviše odustaje upravo iz tih razloga</w:t>
      </w:r>
      <w:r w:rsidRPr="00C16A84">
        <w:rPr>
          <w:rStyle w:val="FootnoteReference"/>
          <w:noProof/>
        </w:rPr>
        <w:footnoteReference w:id="6"/>
      </w:r>
      <w:r w:rsidRPr="00C16A84">
        <w:rPr>
          <w:noProof/>
        </w:rPr>
        <w:t>. Osobe s invaliditetom izložene su većem riziku od siromaštva od osoba bez invaliditeta. Na razini EU-a 2021. riziku od siromaštva bilo je izloženo oko 21,1 % osoba s invaliditetom u dobi od 16 i više godina u usporedbi s 14,9 % osoba bez invaliditeta. Postotak za sve osobe u dobi od 16 i više godina iznosio je 16,4 %.</w:t>
      </w:r>
    </w:p>
    <w:p w14:paraId="58026084" w14:textId="77777777" w:rsidR="008E472F" w:rsidRPr="00C16A84" w:rsidRDefault="008E472F" w:rsidP="008E472F">
      <w:pPr>
        <w:rPr>
          <w:noProof/>
        </w:rPr>
      </w:pPr>
      <w:r w:rsidRPr="00C16A84">
        <w:rPr>
          <w:noProof/>
        </w:rPr>
        <w:t>Pravna nesigurnost i mogući dodatni troškovi mogu osobama s invaliditetom otežati puno i učinkovito ostvarivanje njihovih prava na slobodno kretanje.</w:t>
      </w:r>
    </w:p>
    <w:p w14:paraId="6E3D7F9E" w14:textId="77777777" w:rsidR="008E472F" w:rsidRPr="00C16A84" w:rsidRDefault="008E472F" w:rsidP="008E472F">
      <w:pPr>
        <w:rPr>
          <w:noProof/>
        </w:rPr>
      </w:pPr>
      <w:r w:rsidRPr="00C16A84">
        <w:rPr>
          <w:noProof/>
        </w:rPr>
        <w:t>Nadalje, brojnim osobama s invaliditetom osobni je automobil najbolji ili jedini način na koji se mogu neovisno kretati. Mogućnost parkiranja što bliže njihovu odredištu i dostupnost rezerviranih prostora za parkiranje odnosno mogućnosti duljeg parkiranja za osobe s invaliditetom ključne su za podupiranje njihove autonomije i olakšavaju ostvarivanje njihovih prava na slobodno kretanje. Parkirna karta EU-a za osobe s invaliditetom uvedena je Preporukom Vijeća iz 1998. kojom je uspostavljen standardiziran zajednički model/obrazac za EU</w:t>
      </w:r>
      <w:r w:rsidRPr="00C16A84">
        <w:rPr>
          <w:rStyle w:val="FootnoteReference"/>
          <w:noProof/>
        </w:rPr>
        <w:footnoteReference w:id="7"/>
      </w:r>
      <w:r w:rsidRPr="00C16A84">
        <w:rPr>
          <w:noProof/>
        </w:rPr>
        <w:t xml:space="preserve"> i jedno je od najvidljivijih i najvažnijih postignuća politike EU-a za osobe s invaliditetom. U širokoj je upotrebi u svim državama članicama. Unatoč tomu, pri upotrebi tog standardiziranog modela nositelji parkirne karte EU-a za osobe s invaliditetom nailaze na poteškoće kao što su nesigurnost u pogledu dodijeljenih prava i ograničeno priznavanje karte kad putuju u druge države članice te novčane kazne koje im se izriču čak i nakon predočenja karte ili unatoč tomu što je istaknuta na vozilu. Osim toga, nacionalne razlike u sadržaju i izgledu obrasca te primjeni parkirne karte EU-a za osobe s invaliditetom otežavaju njezinu </w:t>
      </w:r>
      <w:r w:rsidRPr="00C16A84">
        <w:rPr>
          <w:noProof/>
        </w:rPr>
        <w:lastRenderedPageBreak/>
        <w:t>upotrebu, povećavaju (pravnu) nesigurnost i dovode do rizika od krivotvorenja ili prijevara, kao i problema u izvršenju relevantnih propisa</w:t>
      </w:r>
      <w:r w:rsidRPr="00C16A84">
        <w:rPr>
          <w:rStyle w:val="FootnoteReference"/>
          <w:noProof/>
        </w:rPr>
        <w:footnoteReference w:id="8"/>
      </w:r>
      <w:r w:rsidRPr="00C16A84">
        <w:rPr>
          <w:noProof/>
        </w:rPr>
        <w:t>.</w:t>
      </w:r>
    </w:p>
    <w:p w14:paraId="4855BE2B" w14:textId="77777777" w:rsidR="008E472F" w:rsidRPr="00C16A84" w:rsidRDefault="008E472F" w:rsidP="008E472F">
      <w:pPr>
        <w:rPr>
          <w:noProof/>
        </w:rPr>
      </w:pPr>
      <w:r w:rsidRPr="00C16A84">
        <w:rPr>
          <w:noProof/>
        </w:rPr>
        <w:t xml:space="preserve">Stoga se ovom inicijativom uspostavljaju okvir, pravila i zajednički uvjeti, uključujući zajednički standardizirani model, za europsku iskaznicu za osobe s invaliditetom kao dokaz priznatog statusa osobe s invaliditetom i europsku parkirnu kartu za osobe s invaliditetom kao dokaz njihova priznatog prava na </w:t>
      </w:r>
      <w:bookmarkStart w:id="4" w:name="_Hlk139642386"/>
      <w:r w:rsidRPr="00C16A84">
        <w:rPr>
          <w:noProof/>
        </w:rPr>
        <w:t xml:space="preserve">uvjete i prostore za parkiranje </w:t>
      </w:r>
      <w:bookmarkStart w:id="5" w:name="_Hlk139642428"/>
      <w:bookmarkEnd w:id="4"/>
      <w:r w:rsidRPr="00C16A84">
        <w:rPr>
          <w:noProof/>
        </w:rPr>
        <w:t xml:space="preserve">rezervirane za osobe s invaliditetom </w:t>
      </w:r>
      <w:bookmarkEnd w:id="5"/>
      <w:r w:rsidRPr="00C16A84">
        <w:rPr>
          <w:noProof/>
        </w:rPr>
        <w:t xml:space="preserve">(„parkirna prava”). Cilj je inicijative omogućiti da nositelji europske iskaznice za osobe s invaliditetom u svim državama članicama imaju ravnopravan pristup posebnim uvjetima ili povlaštenom postupanju u pogledu usluga, </w:t>
      </w:r>
      <w:bookmarkStart w:id="6" w:name="_Hlk141868231"/>
      <w:r w:rsidRPr="00C16A84">
        <w:rPr>
          <w:noProof/>
        </w:rPr>
        <w:t>aktivnosti i sadržaja, među ostalim kad se pružaju bez naknade</w:t>
      </w:r>
      <w:bookmarkEnd w:id="6"/>
      <w:r w:rsidRPr="00C16A84">
        <w:rPr>
          <w:noProof/>
        </w:rPr>
        <w:t xml:space="preserve">, odnosno da nositelji europske parkirne karte za osobe s invaliditetom imaju ravnopravan pristup uvjetima i prostorima za parkiranje. </w:t>
      </w:r>
    </w:p>
    <w:p w14:paraId="1C6D5582" w14:textId="77777777" w:rsidR="008E472F" w:rsidRPr="00C16A84" w:rsidRDefault="008E472F" w:rsidP="008E472F">
      <w:pPr>
        <w:rPr>
          <w:noProof/>
        </w:rPr>
      </w:pPr>
      <w:r w:rsidRPr="00C16A84">
        <w:rPr>
          <w:noProof/>
        </w:rPr>
        <w:t>Uzajamno priznavanje europske iskaznice za osobe s invaliditetom i europske parkirne karte za osobe s invaliditetom trebalo bi osobama s invaliditetom koje putuju u drugu državu članicu ili je posjećuju olakšati i zajamčiti ostvarivanje njihovih prava na posebne uvjete i/ili povlašteno postupanje koje nude privatni subjekti ili javna tijela u pogledu pristupa uslugama, aktivnostima i sadržajima, među ostalim kad se pružaju bez naknade, kao i ostvarivanje njihovih prava na uvjete i prostore za parkiranje rezervirane za osobe s invaliditetom, bez diskriminacije na temelju državljanstva ili mjesta boravišta i ravnopravno s nositeljima nacionalnih potvrda, iskaznica za osobe s invaliditetom ili drugih službenih isprava kojima se priznaje njihov status osobe s invaliditetom, koje su izdala nadležna tijela u zemlji domaćinu.</w:t>
      </w:r>
    </w:p>
    <w:p w14:paraId="2976268F" w14:textId="77777777" w:rsidR="008E472F" w:rsidRPr="00C16A84" w:rsidRDefault="008E472F" w:rsidP="008E472F">
      <w:pPr>
        <w:rPr>
          <w:noProof/>
        </w:rPr>
      </w:pPr>
      <w:r w:rsidRPr="00C16A84">
        <w:rPr>
          <w:noProof/>
        </w:rPr>
        <w:t xml:space="preserve">Uspostavom okvira s pravilima i zajedničkim uvjetima za europsku iskaznicu za osobe s invaliditetom i europsku parkirnu kartu za osobe s invaliditetom poduprijet će se učinkovitije i uključivije sudjelovanje i uključivanje osoba s invaliditetom u društvo. </w:t>
      </w:r>
    </w:p>
    <w:p w14:paraId="34B1F69E" w14:textId="77777777" w:rsidR="008E472F" w:rsidRPr="00C16A84" w:rsidRDefault="008E472F" w:rsidP="008E472F">
      <w:pPr>
        <w:rPr>
          <w:noProof/>
        </w:rPr>
      </w:pPr>
      <w:r w:rsidRPr="00C16A84">
        <w:rPr>
          <w:noProof/>
        </w:rPr>
        <w:t>Predloženo uvođenje europske iskaznice za osobe s invaliditetom jedna je od vodećih inicijativa Strategije o pravima osoba s invaliditetom za razdoblje 2021.–2030.</w:t>
      </w:r>
      <w:r w:rsidRPr="00C16A84">
        <w:rPr>
          <w:rStyle w:val="FootnoteReference"/>
          <w:noProof/>
        </w:rPr>
        <w:footnoteReference w:id="9"/>
      </w:r>
      <w:r w:rsidRPr="00C16A84">
        <w:rPr>
          <w:noProof/>
        </w:rPr>
        <w:t>:</w:t>
      </w:r>
    </w:p>
    <w:p w14:paraId="2A4EEDDB" w14:textId="77777777" w:rsidR="008E472F" w:rsidRPr="00C16A84" w:rsidRDefault="008E472F" w:rsidP="008E472F">
      <w:pPr>
        <w:rPr>
          <w:i/>
          <w:iCs/>
          <w:noProof/>
          <w:sz w:val="20"/>
          <w:szCs w:val="20"/>
        </w:rPr>
      </w:pPr>
      <w:r w:rsidRPr="00C16A84">
        <w:rPr>
          <w:noProof/>
          <w:sz w:val="20"/>
        </w:rPr>
        <w:t>„Komisija će predložiti da se do kraja 2023. uvede europska iskaznica za osobe s invaliditetom, koja bi trebala biti priznata u svim državama članicama.</w:t>
      </w:r>
      <w:r w:rsidRPr="00C16A84">
        <w:rPr>
          <w:i/>
          <w:noProof/>
          <w:sz w:val="20"/>
        </w:rPr>
        <w:t xml:space="preserve"> </w:t>
      </w:r>
      <w:r w:rsidRPr="00C16A84">
        <w:rPr>
          <w:noProof/>
          <w:sz w:val="20"/>
        </w:rPr>
        <w:t>Temeljit će se na iskustvu iz pilot-projekta iskaznice EU-a za osobe s invaliditetom koji se provodi u osam država članica i na europskoj parkirnoj karti za osobe s invaliditetom.”</w:t>
      </w:r>
    </w:p>
    <w:p w14:paraId="3107B7F6" w14:textId="77777777" w:rsidR="008E472F" w:rsidRPr="00C16A84" w:rsidRDefault="008E472F" w:rsidP="008E472F">
      <w:pPr>
        <w:rPr>
          <w:noProof/>
        </w:rPr>
      </w:pPr>
      <w:r w:rsidRPr="00C16A84">
        <w:rPr>
          <w:noProof/>
        </w:rPr>
        <w:t>Namjera podnošenja prijedloga o europskoj iskaznici za osobe s invaliditetom iznesena je i u Komunikaciji o konferenciji o budućnosti Europe „Provođenje vizije u djelo”</w:t>
      </w:r>
      <w:r w:rsidRPr="00C16A84">
        <w:rPr>
          <w:rStyle w:val="FootnoteReference"/>
          <w:noProof/>
        </w:rPr>
        <w:footnoteReference w:id="10"/>
      </w:r>
      <w:r w:rsidRPr="00C16A84">
        <w:rPr>
          <w:noProof/>
        </w:rPr>
        <w:t>, a istaknula ju je i predsjednica Ursula von der Leyen u kontekstu svojeg govora o stanju Unije 2022.</w:t>
      </w:r>
      <w:r w:rsidRPr="00C16A84">
        <w:rPr>
          <w:rStyle w:val="FootnoteReference"/>
          <w:noProof/>
        </w:rPr>
        <w:footnoteReference w:id="11"/>
      </w:r>
      <w:r w:rsidRPr="00C16A84">
        <w:rPr>
          <w:noProof/>
        </w:rPr>
        <w:t xml:space="preserve"> Inicijativa je dio programa rada Komisije za 2023. „Čvrsta i ujedinjena Unija”</w:t>
      </w:r>
      <w:r w:rsidRPr="00C16A84">
        <w:rPr>
          <w:rStyle w:val="FootnoteReference"/>
          <w:noProof/>
        </w:rPr>
        <w:footnoteReference w:id="12"/>
      </w:r>
      <w:r w:rsidRPr="00C16A84">
        <w:rPr>
          <w:noProof/>
        </w:rPr>
        <w:t>.</w:t>
      </w:r>
    </w:p>
    <w:p w14:paraId="10292433" w14:textId="77777777" w:rsidR="008E472F" w:rsidRPr="00C16A84" w:rsidRDefault="008E472F" w:rsidP="008E472F">
      <w:pPr>
        <w:rPr>
          <w:noProof/>
        </w:rPr>
      </w:pPr>
      <w:r w:rsidRPr="00C16A84">
        <w:rPr>
          <w:noProof/>
        </w:rPr>
        <w:t>Europski parlament pozvao je na uvođenje iskaznice u tri rezolucije. U Rezoluciji od 18. lipnja 2020. o europskoj strategiji za osobe s invaliditetom za razdoblje nakon 2020.</w:t>
      </w:r>
      <w:r w:rsidRPr="00C16A84">
        <w:rPr>
          <w:rStyle w:val="FootnoteReference"/>
          <w:noProof/>
        </w:rPr>
        <w:footnoteReference w:id="13"/>
      </w:r>
      <w:r w:rsidRPr="00C16A84">
        <w:rPr>
          <w:noProof/>
        </w:rPr>
        <w:t xml:space="preserve"> zatražio je od Komisije da proširi postojeći pilot-projekt iskaznice EU-a za osobe s invaliditetom i zajamči potpuno priznavanje parkirne karte EU-a za osobe s invaliditetom u svim državama članicama. U Rezoluciji od 7. listopada 2021. o zaštiti osoba s invaliditetom preko predstavki</w:t>
      </w:r>
      <w:r w:rsidRPr="00C16A84">
        <w:rPr>
          <w:rStyle w:val="FootnoteReference"/>
          <w:noProof/>
        </w:rPr>
        <w:footnoteReference w:id="14"/>
      </w:r>
      <w:r w:rsidRPr="00C16A84">
        <w:rPr>
          <w:noProof/>
        </w:rPr>
        <w:t xml:space="preserve"> pozdravio je plan da se predstavi inicijativa o europskoj iskaznici za osobe </w:t>
      </w:r>
      <w:r w:rsidRPr="00C16A84">
        <w:rPr>
          <w:noProof/>
        </w:rPr>
        <w:lastRenderedPageBreak/>
        <w:t>s invaliditetom koja bi trebala biti priznata u svim državama članicama u cilju proširenja pilot-projekata u pogledu te iskaznice i modela parkirne karte EU-a za osobe s invaliditetom. U Rezoluciji od 13. prosinca 2022. prema jednakim pravima za osobe s invaliditetom</w:t>
      </w:r>
      <w:r w:rsidRPr="00C16A84">
        <w:rPr>
          <w:rStyle w:val="FootnoteReference"/>
          <w:noProof/>
        </w:rPr>
        <w:footnoteReference w:id="15"/>
      </w:r>
      <w:r w:rsidRPr="00C16A84">
        <w:rPr>
          <w:noProof/>
        </w:rPr>
        <w:t xml:space="preserve"> zalagao se za pravno obvezujuću i ambicioznu inicijativu kojom bi se obuhvatio niz područja koja nadilaze kulturu, slobodne aktivnosti i sport.</w:t>
      </w:r>
    </w:p>
    <w:p w14:paraId="155E651D" w14:textId="77777777" w:rsidR="008E472F" w:rsidRPr="00C16A84" w:rsidRDefault="008E472F" w:rsidP="008E472F">
      <w:pPr>
        <w:rPr>
          <w:noProof/>
        </w:rPr>
      </w:pPr>
      <w:r w:rsidRPr="00C16A84">
        <w:rPr>
          <w:noProof/>
        </w:rPr>
        <w:t>Nadalje, Europski gospodarski i socijalni odbor donio je pozitivno razmatračko mišljenje</w:t>
      </w:r>
      <w:r w:rsidRPr="00C16A84">
        <w:rPr>
          <w:rStyle w:val="FootnoteReference"/>
          <w:noProof/>
        </w:rPr>
        <w:footnoteReference w:id="16"/>
      </w:r>
      <w:r w:rsidRPr="00C16A84">
        <w:rPr>
          <w:noProof/>
        </w:rPr>
        <w:t xml:space="preserve"> o europskoj iskaznici za osobe s invaliditetom, u kojem je u kontekstu parkirne karte EU-a prepoznao važnost ažuriranja zakonodavstva kojim se usklađuju značajke, postupci izdavanja i funkcioniranje te karte.</w:t>
      </w:r>
    </w:p>
    <w:p w14:paraId="6159BFEE" w14:textId="77777777" w:rsidR="00E859DB" w:rsidRPr="00C16A84" w:rsidRDefault="00E859DB" w:rsidP="009C0009">
      <w:pPr>
        <w:pStyle w:val="ManualHeading2"/>
        <w:outlineLvl w:val="9"/>
        <w:rPr>
          <w:rFonts w:eastAsia="Arial Unicode MS"/>
          <w:noProof/>
          <w:color w:val="000000"/>
          <w:u w:color="000000"/>
          <w:bdr w:val="nil"/>
        </w:rPr>
      </w:pPr>
      <w:r w:rsidRPr="00C16A84">
        <w:rPr>
          <w:noProof/>
          <w:color w:val="000000"/>
          <w:u w:color="000000"/>
          <w:bdr w:val="nil"/>
        </w:rPr>
        <w:t>•</w:t>
      </w:r>
      <w:r w:rsidRPr="00C16A84">
        <w:rPr>
          <w:noProof/>
        </w:rPr>
        <w:tab/>
        <w:t>Dosljednost s postojećim odredbama politike u tom području</w:t>
      </w:r>
    </w:p>
    <w:p w14:paraId="4B2508B8" w14:textId="77777777" w:rsidR="006E5363" w:rsidRPr="00C16A84" w:rsidRDefault="006E5363" w:rsidP="006E5363">
      <w:pPr>
        <w:rPr>
          <w:noProof/>
        </w:rPr>
      </w:pPr>
      <w:r w:rsidRPr="00C16A84">
        <w:rPr>
          <w:noProof/>
        </w:rPr>
        <w:t>Ova se inicijativa temelji na dvama postojećim instrumentima.</w:t>
      </w:r>
    </w:p>
    <w:p w14:paraId="66CC4CF7" w14:textId="77777777" w:rsidR="006E5363" w:rsidRPr="00C16A84" w:rsidRDefault="0019405B" w:rsidP="006E5363">
      <w:pPr>
        <w:rPr>
          <w:noProof/>
        </w:rPr>
      </w:pPr>
      <w:r w:rsidRPr="00C16A84">
        <w:rPr>
          <w:noProof/>
        </w:rPr>
        <w:t xml:space="preserve">Kad je riječ o europskoj iskaznici za osobe s invaliditetom, Prijedlog se temelji na povezanom </w:t>
      </w:r>
      <w:r w:rsidRPr="00C16A84">
        <w:rPr>
          <w:b/>
          <w:noProof/>
        </w:rPr>
        <w:t>pilot-projektu</w:t>
      </w:r>
      <w:r w:rsidRPr="00C16A84">
        <w:rPr>
          <w:noProof/>
        </w:rPr>
        <w:t>, koji se njime proširuje na sve države članice i više područja politika, koja osim usluga obuhvaćaju i aktivnosti i sadržaje, među ostalim kad se pružaju bez naknade. Pilot-projekt je od 2016. do 2018. dobrovoljno provodilo osam država članica (Belgija, Cipar, Estonija, Finska, Italija, Malta, Rumunjska i Slovenija), koje su ga nastavile provoditi i nakon njegova završetka. Pilot-projektom je uveden zajednički obrazac iskaznice na temelju kojeg je osam država članica sudionica dobrovoljno uzajamno priznavalo status osobe s invaliditetom (utvrđen u skladu s njihovim nacionalnim kriterijima prihvatljivosti, pravilima, praksom i postupcima) kako bi se osobama s invaliditetom koje putuju u jednu od zemalja sudionica omogućio pristup pogodnostima i uslugama u području kulture, slobodnih aktivnosti, sporta, a u nekim zemljama i prijevoza</w:t>
      </w:r>
      <w:r w:rsidRPr="00C16A84">
        <w:rPr>
          <w:rStyle w:val="FootnoteReference"/>
          <w:noProof/>
        </w:rPr>
        <w:footnoteReference w:id="17"/>
      </w:r>
      <w:r w:rsidRPr="00C16A84">
        <w:rPr>
          <w:noProof/>
        </w:rPr>
        <w:t>. Nacionalni pružatelji usluga u tim sektorima mogli su se dobrovoljno pridružiti programu upotrebe iskaznice. Paket pogodnosti u svakoj pojedinačnoj državi članici ovisio je o broju i vrsti pružatelja usluga koji sudjeluju u programu. Nakon što su pristupili programu upotrebe iskaznice, pružatelji usluga bili su obvezni nositeljima iskaznica iz drugih država članica sudionica ponuditi iste pogodnosti koje su pružali i državljanima s invaliditetom. Države članice morale su voditi i redovito ažurirati evidenciju o uslugama koje su dio programa.</w:t>
      </w:r>
    </w:p>
    <w:p w14:paraId="46B17C91" w14:textId="77777777" w:rsidR="006E5363" w:rsidRPr="00C16A84" w:rsidRDefault="006E5363" w:rsidP="006E5363">
      <w:pPr>
        <w:rPr>
          <w:noProof/>
        </w:rPr>
      </w:pPr>
      <w:r w:rsidRPr="00C16A84">
        <w:rPr>
          <w:noProof/>
        </w:rPr>
        <w:t>Pilot-projekt EU-a jasno je pokazao prednosti za osobe s invaliditetom u pristupu uslugama u području kulture, slobodnih aktivnosti, sporta, a u nekim slučajevima i prijevoza, te u podupiranju njihova prekograničnog kretanja unutar EU-a na kratko razdoblje. Osim toga, u studiji iz 2021. o procjeni provedbe pilot-mjere u pogledu iskaznice EU-a za osobe s invaliditetom i povezanih pogodnosti</w:t>
      </w:r>
      <w:r w:rsidRPr="00C16A84">
        <w:rPr>
          <w:rStyle w:val="FootnoteReference"/>
          <w:noProof/>
        </w:rPr>
        <w:footnoteReference w:id="18"/>
      </w:r>
      <w:r w:rsidRPr="00C16A84">
        <w:rPr>
          <w:noProof/>
        </w:rPr>
        <w:t xml:space="preserve"> potvrđena je dodana vrijednost EU-a te iskaznice te je zaključeno da postoji potencijal za opsežniju primjenu.</w:t>
      </w:r>
    </w:p>
    <w:p w14:paraId="2204A28A" w14:textId="77777777" w:rsidR="006E5363" w:rsidRPr="00C16A84" w:rsidRDefault="006E5363" w:rsidP="006E5363">
      <w:pPr>
        <w:rPr>
          <w:noProof/>
        </w:rPr>
      </w:pPr>
      <w:r w:rsidRPr="00C16A84">
        <w:rPr>
          <w:noProof/>
        </w:rPr>
        <w:t xml:space="preserve">Obrazloženje/logika ovog zakonodavnog prijedloga razlikuje se od obrazloženja/logike pilot-projekta (u kojem su se u javnu bazu podataka, koja je obuhvaćala četiri sektora, unosili (na nacionalnoj razini) razrađeni popisi „pružatelja sudionika”). Ovim zakonodavnim prijedlogom, koji omogućuje uzajamno priznavanje europske iskaznice za osobe s invaliditetom u svim državama članicama, nastoji se nositeljima iskaznice koji putuju u drugu državu članicu ili je posjećuju osigurati ravnopravan pristup postojećim posebnim uvjetima ili povlaštenom postupanju u pogledu raznih usluga, aktivnosti i sadržaja, među ostalim kad se </w:t>
      </w:r>
      <w:r w:rsidRPr="00C16A84">
        <w:rPr>
          <w:noProof/>
        </w:rPr>
        <w:lastRenderedPageBreak/>
        <w:t>pružaju bez naknade. Taj bi pristup trebao znatno smanjiti administrativno opterećenje država članica zbog pilot-projekta, koje se odnosi na održavanje i ažuriranje baza podataka pružatelja usluga koji prihvaćaju europsku iskaznicu za osobe s invaliditetom.</w:t>
      </w:r>
    </w:p>
    <w:p w14:paraId="26DC5623" w14:textId="77777777" w:rsidR="006E5363" w:rsidRPr="00C16A84" w:rsidRDefault="00286DCC" w:rsidP="006E5363">
      <w:pPr>
        <w:rPr>
          <w:noProof/>
        </w:rPr>
      </w:pPr>
      <w:r w:rsidRPr="00C16A84">
        <w:rPr>
          <w:noProof/>
        </w:rPr>
        <w:t>Kad je riječ o europskoj parkirnoj karti za osobe s invaliditetom, inicijativom se zamjenjuje sustav uspostavljen Preporukom Vijeća 98/376/EZ</w:t>
      </w:r>
      <w:r w:rsidRPr="00C16A84">
        <w:rPr>
          <w:rStyle w:val="FootnoteReference"/>
          <w:noProof/>
        </w:rPr>
        <w:footnoteReference w:id="19"/>
      </w:r>
      <w:r w:rsidRPr="00C16A84">
        <w:rPr>
          <w:noProof/>
        </w:rPr>
        <w:t>, kojom se uveo dobrovoljni europski model parkirne karte za osobe s invaliditetom i olakšalo priznavanje parkirne karte u svim državama članicama. Zbog dodavanja elemenata odnosno odstupanja od preporučenog modela na nacionalnoj razini postoje brojne različite karte</w:t>
      </w:r>
      <w:r w:rsidRPr="00C16A84">
        <w:rPr>
          <w:rStyle w:val="FootnoteReference"/>
          <w:noProof/>
        </w:rPr>
        <w:footnoteReference w:id="20"/>
      </w:r>
      <w:r w:rsidRPr="00C16A84">
        <w:rPr>
          <w:noProof/>
        </w:rPr>
        <w:t xml:space="preserve">, što otežava njihovo prekogranično priznavanje i pristup osoba s invaliditetom posebnim uvjetima i prostorima za parkiranje rezerviranima za osobe s invaliditetom koje imaju „lokalnu” parkirnu kartu. Nadalje, Preporuka Vijeća nije ažurirana kako bi se uzeo u obzir razvoj tehnologije i digitalizacije niti kako bi se državama članicama koje imaju probleme s prijevarama i krivotvorenjem iskaznice/karte pomoglo u njihovu rješavanju.  </w:t>
      </w:r>
    </w:p>
    <w:p w14:paraId="6DE1338F" w14:textId="77777777" w:rsidR="00E859DB" w:rsidRPr="00C16A84" w:rsidRDefault="006E5363" w:rsidP="006E5363">
      <w:pPr>
        <w:pBdr>
          <w:top w:val="nil"/>
          <w:left w:val="nil"/>
          <w:bottom w:val="nil"/>
          <w:right w:val="nil"/>
          <w:between w:val="nil"/>
          <w:bar w:val="nil"/>
        </w:pBdr>
        <w:spacing w:before="0" w:after="240"/>
        <w:rPr>
          <w:noProof/>
        </w:rPr>
      </w:pPr>
      <w:r w:rsidRPr="00C16A84">
        <w:rPr>
          <w:noProof/>
        </w:rPr>
        <w:t>Prijedlogom će se uvesti zajednička pravila i uvjeti kojima se uređuju izdavanje europske parkirne karte za osobe s invaliditetom i njezin zajednički predložak koji će se primjenjivati u svim državama članicama i zamijeniti sve postojeće nacionalne parkirne karte.</w:t>
      </w:r>
    </w:p>
    <w:p w14:paraId="7383F3A6" w14:textId="77777777" w:rsidR="00514AE8" w:rsidRPr="00C16A84" w:rsidRDefault="00514AE8" w:rsidP="006E5363">
      <w:pPr>
        <w:pBdr>
          <w:top w:val="nil"/>
          <w:left w:val="nil"/>
          <w:bottom w:val="nil"/>
          <w:right w:val="nil"/>
          <w:between w:val="nil"/>
          <w:bar w:val="nil"/>
        </w:pBdr>
        <w:spacing w:before="0" w:after="240"/>
        <w:rPr>
          <w:rFonts w:eastAsia="Arial Unicode MS"/>
          <w:noProof/>
        </w:rPr>
      </w:pPr>
      <w:r w:rsidRPr="00C16A84">
        <w:rPr>
          <w:noProof/>
        </w:rPr>
        <w:t>Nadalje, kako bi se zajamčilo jednako postupanje kao i prema građanima EU-a, Komisija namjerava predložiti zaseban pravni akt kojim bi se područje primjene ovog Prijedloga proširilo na državljane trećih zemalja koji se zakonito nalaze ili borave na državnom području države članice i imaju pravo putovati u druge države članice u skladu s pravom Unije.</w:t>
      </w:r>
    </w:p>
    <w:p w14:paraId="28272D81" w14:textId="77777777" w:rsidR="00E859DB" w:rsidRPr="00C16A84" w:rsidRDefault="00E859DB" w:rsidP="009C0009">
      <w:pPr>
        <w:pStyle w:val="ManualHeading2"/>
        <w:outlineLvl w:val="9"/>
        <w:rPr>
          <w:rFonts w:eastAsia="Arial Unicode MS"/>
          <w:noProof/>
        </w:rPr>
      </w:pPr>
      <w:r w:rsidRPr="00C16A84">
        <w:rPr>
          <w:noProof/>
          <w:color w:val="000000"/>
          <w:u w:color="000000"/>
          <w:bdr w:val="nil"/>
        </w:rPr>
        <w:t>•</w:t>
      </w:r>
      <w:r w:rsidRPr="00C16A84">
        <w:rPr>
          <w:noProof/>
        </w:rPr>
        <w:tab/>
        <w:t>Dosljednost u odnosu na druge politike Unije</w:t>
      </w:r>
    </w:p>
    <w:p w14:paraId="02096DA2" w14:textId="77777777" w:rsidR="00E96981" w:rsidRPr="00C16A84" w:rsidRDefault="00E96981" w:rsidP="00E96981">
      <w:pPr>
        <w:rPr>
          <w:noProof/>
        </w:rPr>
      </w:pPr>
      <w:r w:rsidRPr="00C16A84">
        <w:rPr>
          <w:noProof/>
        </w:rPr>
        <w:t>Cilj je ove inicijative osobama s invaliditetom koje putuju u drugu državu članicu ili je posjećuju olakšati ostvarivanje njihovih prava na slobodno kretanje unutar EU-a tako da im se olakša ostvarivanje prava na dostupne posebne uvjete i/ili povlašteno postupanje u pristupu uslugama, aktivnostima i sadržajima, među ostalim kad se pružaju bez naknade, ravnopravno s osobama s invaliditetom koje imaju boravište u toj drugoj državi članici.</w:t>
      </w:r>
    </w:p>
    <w:p w14:paraId="3EBF8311" w14:textId="77777777" w:rsidR="00E96981" w:rsidRPr="00C16A84" w:rsidRDefault="00E96981" w:rsidP="00E96981">
      <w:pPr>
        <w:rPr>
          <w:noProof/>
        </w:rPr>
      </w:pPr>
      <w:r w:rsidRPr="00C16A84">
        <w:rPr>
          <w:noProof/>
        </w:rPr>
        <w:t>U kontekstu usluga koje se uobičajeno obavljaju uz naknadu na unutarnjem tržištu ovaj Prijedlog dopunjuje Direktivu 2006/123 o uslugama na unutarnjem tržištu</w:t>
      </w:r>
      <w:r w:rsidRPr="00C16A84">
        <w:rPr>
          <w:rStyle w:val="FootnoteReference"/>
          <w:noProof/>
        </w:rPr>
        <w:footnoteReference w:id="21"/>
      </w:r>
      <w:r w:rsidRPr="00C16A84">
        <w:rPr>
          <w:noProof/>
        </w:rPr>
        <w:t>. Osim toga, dopunjuje Europski akt o pristupačnosti (Direktiva 2019/882)</w:t>
      </w:r>
      <w:r w:rsidRPr="00C16A84">
        <w:rPr>
          <w:rStyle w:val="FootnoteReference"/>
          <w:noProof/>
        </w:rPr>
        <w:footnoteReference w:id="22"/>
      </w:r>
      <w:r w:rsidRPr="00C16A84">
        <w:rPr>
          <w:noProof/>
        </w:rPr>
        <w:t xml:space="preserve"> i Direktivu o pristupačnosti interneta (Direktiva (EU) 2016/2102)</w:t>
      </w:r>
      <w:r w:rsidRPr="00C16A84">
        <w:rPr>
          <w:rStyle w:val="FootnoteReference"/>
          <w:noProof/>
        </w:rPr>
        <w:footnoteReference w:id="23"/>
      </w:r>
      <w:r w:rsidRPr="00C16A84">
        <w:rPr>
          <w:noProof/>
        </w:rPr>
        <w:t xml:space="preserve">, kojima se nastoje ukloniti i spriječiti prepreke koje proizlaze iz različitih zahtjeva za pristupačnost u državama članicama. </w:t>
      </w:r>
    </w:p>
    <w:p w14:paraId="54140B41" w14:textId="77777777" w:rsidR="00E96981" w:rsidRPr="00C16A84" w:rsidRDefault="00E96981" w:rsidP="00E96981">
      <w:pPr>
        <w:rPr>
          <w:noProof/>
        </w:rPr>
      </w:pPr>
      <w:r w:rsidRPr="00C16A84">
        <w:rPr>
          <w:noProof/>
        </w:rPr>
        <w:t>Prijedlog dopunjuje i potencijalno olakšava primjenu zakonodavnih akata EU-a o pravima putnika koji su od 2004. do 2021. doneseni za četiri vrste prijevoza: zrakoplovni, željeznički, vodni i autobusni</w:t>
      </w:r>
      <w:r w:rsidRPr="00C16A84">
        <w:rPr>
          <w:rStyle w:val="FootnoteReference"/>
          <w:noProof/>
        </w:rPr>
        <w:footnoteReference w:id="24"/>
      </w:r>
      <w:r w:rsidRPr="00C16A84">
        <w:rPr>
          <w:noProof/>
        </w:rPr>
        <w:t xml:space="preserve">. Tim se zakonodavnim aktima putnicima s invaliditetom i smanjenom </w:t>
      </w:r>
      <w:r w:rsidRPr="00C16A84">
        <w:rPr>
          <w:noProof/>
        </w:rPr>
        <w:lastRenderedPageBreak/>
        <w:t>pokretljivošću jamči pravo na nediskriminaciju u pristupu prijevozu i na besplatnu pomoć te prema potrebi na prilagodbu usluga prijevoza njihovim posebnim potrebama kako bi te četiri vrste prijevoza mogli upotrebljavati kao i bilo koji drugi građanin.</w:t>
      </w:r>
    </w:p>
    <w:p w14:paraId="2000928F" w14:textId="77777777" w:rsidR="00E96981" w:rsidRPr="00C16A84" w:rsidRDefault="00E96981" w:rsidP="00E96981">
      <w:pPr>
        <w:rPr>
          <w:noProof/>
        </w:rPr>
      </w:pPr>
      <w:r w:rsidRPr="00C16A84">
        <w:rPr>
          <w:noProof/>
        </w:rPr>
        <w:t>U kontekstu cesta s naplatom cestarine inicijativa je u skladu i s nedavno donesenom Direktivom (EU) 2022/362</w:t>
      </w:r>
      <w:r w:rsidRPr="00C16A84">
        <w:rPr>
          <w:rStyle w:val="FootnoteReference"/>
          <w:noProof/>
        </w:rPr>
        <w:footnoteReference w:id="25"/>
      </w:r>
      <w:r w:rsidRPr="00C16A84">
        <w:rPr>
          <w:noProof/>
        </w:rPr>
        <w:t>, koja državama članicama omogućuje propisivanje nižih pristojbi ili korisničkih naknada za ceste/mostove/tunele s naplatom te izuzeća od obveze plaćanja takvih pristojbi ili korisničkih naknada za sva vozila koja upotrebljavaju osobe s invaliditetom ili su u njihovu vlasništvu.</w:t>
      </w:r>
    </w:p>
    <w:p w14:paraId="51033889" w14:textId="77777777" w:rsidR="00E859DB" w:rsidRPr="00C16A84" w:rsidRDefault="00E96981" w:rsidP="00E96981">
      <w:pPr>
        <w:rPr>
          <w:noProof/>
          <w:szCs w:val="24"/>
        </w:rPr>
      </w:pPr>
      <w:r w:rsidRPr="00C16A84">
        <w:rPr>
          <w:noProof/>
        </w:rPr>
        <w:t>Prijedlogom će se usto poduprijeti učinkovitije i uključivije sudjelovanje osoba s invaliditetom u društvu, kako je predviđeno Konvencijom UN-a o pravima osoba s invaliditetom, i doprinijeti provedbi Programa Ujedinjenih naroda za održivi razvoj do 2030., čiji je 8. cilj poticati politike kojima se promiču održivi turizam i lokalna kultura, 10. cilj smanjiti nejednakosti, a 11. cilj svima omogućiti pristup sigurnim, cjenovno pristupačnim, pristupačnim i održivim prometnim sustavima.</w:t>
      </w:r>
    </w:p>
    <w:p w14:paraId="039CCFA4" w14:textId="77777777" w:rsidR="0024303E" w:rsidRPr="00C16A84" w:rsidRDefault="0024303E" w:rsidP="00E96981">
      <w:pPr>
        <w:rPr>
          <w:noProof/>
          <w:szCs w:val="24"/>
        </w:rPr>
      </w:pPr>
      <w:r w:rsidRPr="00C16A84">
        <w:rPr>
          <w:noProof/>
        </w:rPr>
        <w:t>Nadalje, Prijedlogom se uvodi dodatna sastavnica šire europske infrastrukture za digitalno certificiranje, koja se temelji na iskustvu s EU digitalnom COVID potvrdom i koja će se nakon donošenja predložene revidirane uredbe povezati s europskom lisnicom za digitalni identitet.</w:t>
      </w:r>
    </w:p>
    <w:p w14:paraId="31D68153" w14:textId="77777777" w:rsidR="00E859DB" w:rsidRPr="00C16A84" w:rsidRDefault="00E859DB" w:rsidP="009C0009">
      <w:pPr>
        <w:pStyle w:val="ManualHeading1"/>
        <w:outlineLvl w:val="9"/>
        <w:rPr>
          <w:noProof/>
        </w:rPr>
      </w:pPr>
      <w:r w:rsidRPr="00C16A84">
        <w:rPr>
          <w:noProof/>
        </w:rPr>
        <w:t>2.</w:t>
      </w:r>
      <w:r w:rsidRPr="00C16A84">
        <w:rPr>
          <w:noProof/>
        </w:rPr>
        <w:tab/>
        <w:t>PRAVNA OSNOVA, SUPSIDIJARNOST I PROPORCIONALNOST</w:t>
      </w:r>
    </w:p>
    <w:p w14:paraId="0D2C1037" w14:textId="77777777" w:rsidR="00E859DB" w:rsidRPr="00C16A84" w:rsidRDefault="00E859DB" w:rsidP="009C0009">
      <w:pPr>
        <w:pStyle w:val="ManualHeading2"/>
        <w:outlineLvl w:val="9"/>
        <w:rPr>
          <w:rFonts w:eastAsia="Arial Unicode MS"/>
          <w:noProof/>
          <w:u w:color="000000"/>
          <w:bdr w:val="nil"/>
        </w:rPr>
      </w:pPr>
      <w:r w:rsidRPr="00C16A84">
        <w:rPr>
          <w:noProof/>
          <w:u w:color="000000"/>
          <w:bdr w:val="nil"/>
        </w:rPr>
        <w:t>•</w:t>
      </w:r>
      <w:r w:rsidRPr="00C16A84">
        <w:rPr>
          <w:noProof/>
        </w:rPr>
        <w:tab/>
      </w:r>
      <w:r w:rsidRPr="00C16A84">
        <w:rPr>
          <w:noProof/>
          <w:u w:color="000000"/>
          <w:bdr w:val="nil"/>
        </w:rPr>
        <w:t>Pravna osnova</w:t>
      </w:r>
    </w:p>
    <w:p w14:paraId="6E76D742" w14:textId="77777777" w:rsidR="00A0100D" w:rsidRPr="00C16A84" w:rsidRDefault="00A0100D" w:rsidP="00A0100D">
      <w:pPr>
        <w:rPr>
          <w:noProof/>
        </w:rPr>
      </w:pPr>
      <w:r w:rsidRPr="00C16A84">
        <w:rPr>
          <w:noProof/>
        </w:rPr>
        <w:t>Ovaj Prijedlog ima više međusobno povezanih ciljeva iz nekoliko područja politika, kao što su usluge, promet i prava na slobodno kretanje. Stoga je najprikladnije i najprimjerenije da se temelji na različitim pravnim osnovama kako bi se obuhvatili razni ciljevi ove inicijative.</w:t>
      </w:r>
    </w:p>
    <w:p w14:paraId="602CF18A" w14:textId="77777777" w:rsidR="00A0100D" w:rsidRPr="00C16A84" w:rsidRDefault="00A0100D" w:rsidP="00A0100D">
      <w:pPr>
        <w:rPr>
          <w:noProof/>
        </w:rPr>
      </w:pPr>
      <w:r w:rsidRPr="00C16A84">
        <w:rPr>
          <w:noProof/>
        </w:rPr>
        <w:t xml:space="preserve">Članak 53. stavak 1. i članak 62. UFEU-a (o uslugama koje se uobičajeno obavljaju uz naknadu na unutarnjem tržištu) relevantni su jer se Prijedlogom nositeljima iskaznice dodjeljuje pravo na povlaštene uvjete/povlašteno postupanje u pristupu uslugama na ravnopravnoj osnovi s osobama s invaliditetom u državi članici koju se posjećuje. </w:t>
      </w:r>
    </w:p>
    <w:p w14:paraId="373B30FF" w14:textId="77777777" w:rsidR="00A0100D" w:rsidRPr="00C16A84" w:rsidRDefault="00A0100D" w:rsidP="00A0100D">
      <w:pPr>
        <w:rPr>
          <w:noProof/>
        </w:rPr>
      </w:pPr>
      <w:r w:rsidRPr="00C16A84">
        <w:rPr>
          <w:noProof/>
        </w:rPr>
        <w:t>Za posebne uvjete i povlašteno postupanje u pogledu pristupa uslugama u području prijevoza, uključujući prostore za parkiranje, članak 91. UFEU-a čini potrebnu pravnu osnovu. Taj je članak relevantan i jer je omogućio donošenje Preporuke Vijeća iz 1998.</w:t>
      </w:r>
      <w:r w:rsidRPr="00C16A84">
        <w:rPr>
          <w:rStyle w:val="FootnoteReference"/>
          <w:noProof/>
        </w:rPr>
        <w:footnoteReference w:id="26"/>
      </w:r>
      <w:r w:rsidRPr="00C16A84">
        <w:rPr>
          <w:noProof/>
        </w:rPr>
        <w:t xml:space="preserve">, kojom je uspostavljen postojeći dobrovoljni program parkirne karte EU-a koji će ova inicijativa zamijeniti. </w:t>
      </w:r>
    </w:p>
    <w:p w14:paraId="74D375C2" w14:textId="77777777" w:rsidR="00E859DB" w:rsidRPr="00C16A84" w:rsidRDefault="00A0100D" w:rsidP="00A0100D">
      <w:pPr>
        <w:pBdr>
          <w:top w:val="nil"/>
          <w:left w:val="nil"/>
          <w:bottom w:val="nil"/>
          <w:right w:val="nil"/>
          <w:between w:val="nil"/>
          <w:bar w:val="nil"/>
        </w:pBdr>
        <w:spacing w:before="0" w:after="240"/>
        <w:rPr>
          <w:strike/>
          <w:noProof/>
          <w:szCs w:val="24"/>
        </w:rPr>
      </w:pPr>
      <w:r w:rsidRPr="00C16A84">
        <w:rPr>
          <w:noProof/>
        </w:rPr>
        <w:t xml:space="preserve">Članak 21. stavak 2. UFEU-a, na temelju kojeg Europska unija može djelovati i donositi odredbe kako bi građanima EU-a olakšala slobodno kretanje i boravak na državnom području država članica, supsidijarna je pravna osnova potrebna kako bi se obuhvatili posebni uvjeti ili povlašteno postupanje u pristupu aktivnostima i sadržajima koji nisu „usluge” obuhvaćene </w:t>
      </w:r>
      <w:r w:rsidRPr="00C16A84">
        <w:rPr>
          <w:noProof/>
        </w:rPr>
        <w:lastRenderedPageBreak/>
        <w:t>navedenim pravnim osnovama, osobito aktivnostima i sadržajima koji se pružaju bez naknade. Nadalje, bez obzira na njihovo državljanstvo, članovi obitelji građanina Unije koji ostvaruje svoje pravo na slobodno kretanje u skladu s pravilima Unije izjednačeni su s građanima Unije.</w:t>
      </w:r>
    </w:p>
    <w:p w14:paraId="6F598C7C" w14:textId="77777777" w:rsidR="00E859DB" w:rsidRPr="00C16A84" w:rsidRDefault="00E859DB" w:rsidP="009C0009">
      <w:pPr>
        <w:pStyle w:val="ManualHeading2"/>
        <w:outlineLvl w:val="9"/>
        <w:rPr>
          <w:rFonts w:eastAsia="Arial Unicode MS"/>
          <w:noProof/>
          <w:u w:color="000000"/>
          <w:bdr w:val="nil"/>
        </w:rPr>
      </w:pPr>
      <w:r w:rsidRPr="00C16A84">
        <w:rPr>
          <w:noProof/>
          <w:u w:color="000000"/>
          <w:bdr w:val="nil"/>
        </w:rPr>
        <w:t>•</w:t>
      </w:r>
      <w:r w:rsidRPr="00C16A84">
        <w:rPr>
          <w:noProof/>
        </w:rPr>
        <w:tab/>
      </w:r>
      <w:r w:rsidRPr="00C16A84">
        <w:rPr>
          <w:noProof/>
          <w:u w:color="000000"/>
          <w:bdr w:val="nil"/>
        </w:rPr>
        <w:t xml:space="preserve">Supsidijarnost (za neisključivu nadležnost) </w:t>
      </w:r>
    </w:p>
    <w:p w14:paraId="596F585F" w14:textId="77777777" w:rsidR="00385DB5" w:rsidRPr="00C16A84" w:rsidRDefault="00385DB5" w:rsidP="00385DB5">
      <w:pPr>
        <w:rPr>
          <w:noProof/>
        </w:rPr>
      </w:pPr>
      <w:r w:rsidRPr="00C16A84">
        <w:rPr>
          <w:noProof/>
        </w:rPr>
        <w:t>Prijedlog je u potpunosti u skladu s načelom supsidijarnosti. Različite međusobno povezane ciljeve ovog Prijedloga ne mogu dostatno ostvariti države članice same, nego se zbog opsega i učinaka djelovanja oni na bolji način mogu ostvariti na razini EU-a. Stoga je nužno djelovanje na razini EU-a.</w:t>
      </w:r>
    </w:p>
    <w:p w14:paraId="1F9E20EF" w14:textId="77777777" w:rsidR="00385DB5" w:rsidRPr="00C16A84" w:rsidRDefault="00385DB5" w:rsidP="00385DB5">
      <w:pPr>
        <w:rPr>
          <w:noProof/>
        </w:rPr>
      </w:pPr>
      <w:r w:rsidRPr="00C16A84">
        <w:rPr>
          <w:noProof/>
        </w:rPr>
        <w:t xml:space="preserve">Utvrđeni problemi imaju prekograničnu dimenziju zbog koje ih države članice ne mogu same riješiti. Potreba za djelovanjem EU-a izravno proizlazi iz problema na koje nailaze osobe s invaliditetom na prekograničnim putovanjima u EU-u i koji se mogu riješiti koordiniranim pristupom država članica koji će tim osobama olakšati pristup posebnim uvjetima ili povlaštenom postupanju koji je ravnopravan pristupu nositelja iskaznice za osobe s invaliditetom ili potvrde o invaliditetu koje je izdala zemlja koju se posjećuje. </w:t>
      </w:r>
    </w:p>
    <w:p w14:paraId="1062444C" w14:textId="77777777" w:rsidR="00385DB5" w:rsidRPr="00C16A84" w:rsidRDefault="00385DB5" w:rsidP="00385DB5">
      <w:pPr>
        <w:rPr>
          <w:noProof/>
        </w:rPr>
      </w:pPr>
      <w:r w:rsidRPr="00C16A84">
        <w:rPr>
          <w:noProof/>
        </w:rPr>
        <w:t>Izostanak djelovanja na razini EU-a vjerojatno bi doveo do primjene različitih sustava u državama članicama, zbog čega bi se nastavile poteškoće u prekograničnom priznavanju iskaznica za osobe s invaliditetom i potvrda o invaliditetu te parkirne karte EU-a. Bez intervencije EU-a vjerojatno bi se povećale postojeće razlike među nacionalnim iskaznicama za osobe s invaliditetom i potvrdama o invaliditetu, a razlike u postupanju prema osobama s invaliditetom u državama članicama i dalje bi postojale ili bi se dodatno povećale, što bi negativno utjecalo na njihov pristup posebnim uvjetima ili povlaštenom postupanju u pogledu usluga, aktivnosti i sadržaja, među ostalim kad se pružaju bez naknade, što bi pak moglo ugroziti ostvarivanje njihovih prava na slobodno kretanje.</w:t>
      </w:r>
    </w:p>
    <w:p w14:paraId="24E2D86D" w14:textId="77777777" w:rsidR="00385DB5" w:rsidRPr="00C16A84" w:rsidRDefault="00385DB5" w:rsidP="00385DB5">
      <w:pPr>
        <w:rPr>
          <w:noProof/>
        </w:rPr>
      </w:pPr>
      <w:r w:rsidRPr="00C16A84">
        <w:rPr>
          <w:noProof/>
        </w:rPr>
        <w:t xml:space="preserve">Inicijativom se ne nastoje uskladiti kriteriji prihvatljivosti, uvjeti ni postupci procjene za stjecanje statusa osobe s invaliditetom, već je to i dalje u nadležnosti država članica. Stoga ovaj Prijedlog ne utječe na nadležnost država članica da utvrde uvjete i postupke za procjenu statusa osobe s invaliditetom kako bi im se dodijelila europska iskaznica za osobe s invaliditetom, za priznavanje prava na uvjete i prostore za parkiranje rezervirane za osobe s invaliditetom te za izdavanje potvrde, iskaznice ili parkirne karte za osobe s invaliditetom ili druge službene isprave na lokalnoj, regionalnoj ili nacionalnoj razini. </w:t>
      </w:r>
    </w:p>
    <w:p w14:paraId="2D9585A5" w14:textId="77777777" w:rsidR="00E859DB" w:rsidRPr="00C16A84" w:rsidRDefault="009C303C" w:rsidP="00385DB5">
      <w:pPr>
        <w:pBdr>
          <w:top w:val="nil"/>
          <w:left w:val="nil"/>
          <w:bottom w:val="nil"/>
          <w:right w:val="nil"/>
          <w:between w:val="nil"/>
          <w:bar w:val="nil"/>
        </w:pBdr>
        <w:spacing w:before="0" w:after="240"/>
        <w:rPr>
          <w:rFonts w:eastAsia="Arial Unicode MS"/>
          <w:noProof/>
        </w:rPr>
      </w:pPr>
      <w:r w:rsidRPr="00C16A84">
        <w:rPr>
          <w:noProof/>
        </w:rPr>
        <w:t>Nadalje, Prijedlog ne zadire u nadležnost država članica da odluče hoće li pravo na posebne pogodnosti odnosno povlaštene uvjete, kao što su besplatan pristup i niže cijene, ili povlašteno postupanje dodijeliti osobama s invaliditetom i, ako je primjenjivo, osobama koje su njihova pratnja ili im pružaju pomoć. U Prijedlogu se ne propisuje ni da privatni subjekti ili javna tijela moraju osigurati povlaštene uvjete. Njime se samo osigurava da, kad postoje, takvi posebni uvjeti ili povlašteno postupanje budu ravnopravno dostupni svim osobama s invaliditetom koje su nositelji europske iskaznice za osobe s invaliditetom ili europske parkirne karte za osobe s invaliditetom te da su informacije o njima dostupne u pristupačnim oblicima u skladu s relevantnim zahtjevima za pristupačnost usluga iz Priloga I. Direktivi 2019/882.</w:t>
      </w:r>
    </w:p>
    <w:p w14:paraId="5C34DFAF" w14:textId="77777777" w:rsidR="00E859DB" w:rsidRPr="00C16A84" w:rsidRDefault="00E859DB" w:rsidP="009C0009">
      <w:pPr>
        <w:pStyle w:val="ManualHeading2"/>
        <w:outlineLvl w:val="9"/>
        <w:rPr>
          <w:rFonts w:eastAsia="Arial Unicode MS"/>
          <w:noProof/>
          <w:u w:color="000000"/>
          <w:bdr w:val="nil"/>
        </w:rPr>
      </w:pPr>
      <w:r w:rsidRPr="00C16A84">
        <w:rPr>
          <w:noProof/>
          <w:u w:color="000000"/>
          <w:bdr w:val="nil"/>
        </w:rPr>
        <w:t>•</w:t>
      </w:r>
      <w:r w:rsidRPr="00C16A84">
        <w:rPr>
          <w:noProof/>
        </w:rPr>
        <w:tab/>
      </w:r>
      <w:r w:rsidRPr="00C16A84">
        <w:rPr>
          <w:noProof/>
          <w:u w:color="000000"/>
          <w:bdr w:val="nil"/>
        </w:rPr>
        <w:t>Proporcionalnost</w:t>
      </w:r>
    </w:p>
    <w:p w14:paraId="7376271F" w14:textId="77777777" w:rsidR="002F5859" w:rsidRPr="00C16A84" w:rsidRDefault="002F5859" w:rsidP="002F5859">
      <w:pPr>
        <w:rPr>
          <w:noProof/>
        </w:rPr>
      </w:pPr>
      <w:r w:rsidRPr="00C16A84">
        <w:rPr>
          <w:noProof/>
        </w:rPr>
        <w:t>U skladu s načelom proporcionalnosti oblik i sadržaj Prijedloga ne prelaze ono što je potrebno i proporcionalno za ostvarivanje njegovih različitih međusobno povezanih ciljeva.</w:t>
      </w:r>
    </w:p>
    <w:p w14:paraId="16C7B558" w14:textId="77777777" w:rsidR="00E859DB" w:rsidRPr="00C16A84" w:rsidRDefault="002F5859" w:rsidP="002F5859">
      <w:pPr>
        <w:pBdr>
          <w:top w:val="nil"/>
          <w:left w:val="nil"/>
          <w:bottom w:val="nil"/>
          <w:right w:val="nil"/>
          <w:between w:val="nil"/>
          <w:bar w:val="nil"/>
        </w:pBdr>
        <w:spacing w:before="0" w:after="240"/>
        <w:rPr>
          <w:rFonts w:eastAsia="Arial Unicode MS"/>
          <w:noProof/>
        </w:rPr>
      </w:pPr>
      <w:r w:rsidRPr="00C16A84">
        <w:rPr>
          <w:noProof/>
        </w:rPr>
        <w:t xml:space="preserve">Utvrđena su opća zajednička pravila i zajednički standardizirani obrazac/predložak iskaznice i karte. No, uzimajući u obzir nacionalne razlike, okolnosti i praksu, sama procjena statusa </w:t>
      </w:r>
      <w:r w:rsidRPr="00C16A84">
        <w:rPr>
          <w:noProof/>
        </w:rPr>
        <w:lastRenderedPageBreak/>
        <w:t>osobe s invaliditetom, uspostava postupaka potrebnih za izdavanje iskaznica i utvrđivanje posebnih uvjeta ili povlaštenog postupanja za osobe s invaliditetom u pristupu uslugama, aktivnostima i sadržajima, među ostalim kad se pružaju bez naknade, prepuštaju se državama članicama, osim ako je pravom Unije predviđeno drukčije.</w:t>
      </w:r>
    </w:p>
    <w:p w14:paraId="0684A5CC" w14:textId="77777777" w:rsidR="00E859DB" w:rsidRPr="00C16A84" w:rsidRDefault="00E859DB" w:rsidP="009C0009">
      <w:pPr>
        <w:pStyle w:val="ManualHeading2"/>
        <w:outlineLvl w:val="9"/>
        <w:rPr>
          <w:rFonts w:eastAsia="Arial Unicode MS"/>
          <w:noProof/>
          <w:u w:color="000000"/>
          <w:bdr w:val="nil"/>
        </w:rPr>
      </w:pPr>
      <w:r w:rsidRPr="00C16A84">
        <w:rPr>
          <w:noProof/>
          <w:u w:color="000000"/>
          <w:bdr w:val="nil"/>
        </w:rPr>
        <w:t>•</w:t>
      </w:r>
      <w:r w:rsidRPr="00C16A84">
        <w:rPr>
          <w:noProof/>
        </w:rPr>
        <w:tab/>
      </w:r>
      <w:r w:rsidRPr="00C16A84">
        <w:rPr>
          <w:noProof/>
          <w:u w:color="000000"/>
          <w:bdr w:val="nil"/>
        </w:rPr>
        <w:t>Odabir instrumenta</w:t>
      </w:r>
    </w:p>
    <w:p w14:paraId="29D938C2" w14:textId="77777777" w:rsidR="00DD31F3" w:rsidRPr="00C16A84" w:rsidRDefault="00897DB0" w:rsidP="00DD31F3">
      <w:pPr>
        <w:rPr>
          <w:noProof/>
          <w:szCs w:val="24"/>
        </w:rPr>
      </w:pPr>
      <w:r w:rsidRPr="00C16A84">
        <w:rPr>
          <w:noProof/>
        </w:rPr>
        <w:t>U skladu s utvrđenim pravnim osnovama iz UFEU-a, posebno njegovim člankom 53. stavkom 1. i člankom 62. u vezi s njegovim člankom 91. te njegovim člankom 21. stavkom 2., direktiva se smatra prikladnim, proporcionalnim i djelotvornim instrumentom za ostvarivanje različitih međusobno povezanih ciljeva inicijative.</w:t>
      </w:r>
    </w:p>
    <w:p w14:paraId="0D63466B" w14:textId="77777777" w:rsidR="00E859DB" w:rsidRPr="00C16A84" w:rsidRDefault="00E859DB" w:rsidP="009C0009">
      <w:pPr>
        <w:pStyle w:val="ManualHeading1"/>
        <w:outlineLvl w:val="9"/>
        <w:rPr>
          <w:noProof/>
        </w:rPr>
      </w:pPr>
      <w:r w:rsidRPr="00C16A84">
        <w:rPr>
          <w:noProof/>
        </w:rPr>
        <w:t>3.</w:t>
      </w:r>
      <w:r w:rsidRPr="00C16A84">
        <w:rPr>
          <w:noProof/>
        </w:rPr>
        <w:tab/>
        <w:t xml:space="preserve">REZULTATI </w:t>
      </w:r>
      <w:r w:rsidRPr="00C16A84">
        <w:rPr>
          <w:i/>
          <w:noProof/>
        </w:rPr>
        <w:t>EX POST</w:t>
      </w:r>
      <w:r w:rsidRPr="00C16A84">
        <w:rPr>
          <w:noProof/>
        </w:rPr>
        <w:t xml:space="preserve"> EVALUACIJA, SAVJETOVANJA S DIONICIMA I PROCJENA UČINKA</w:t>
      </w:r>
    </w:p>
    <w:p w14:paraId="3491257A" w14:textId="77777777" w:rsidR="00E859DB" w:rsidRPr="00C16A84" w:rsidRDefault="00E859DB" w:rsidP="009C0009">
      <w:pPr>
        <w:pStyle w:val="ManualHeading2"/>
        <w:outlineLvl w:val="9"/>
        <w:rPr>
          <w:rFonts w:eastAsia="Arial Unicode MS"/>
          <w:noProof/>
          <w:u w:color="000000"/>
          <w:bdr w:val="nil"/>
        </w:rPr>
      </w:pPr>
      <w:r w:rsidRPr="00C16A84">
        <w:rPr>
          <w:noProof/>
          <w:u w:color="000000"/>
          <w:bdr w:val="nil"/>
        </w:rPr>
        <w:t>•</w:t>
      </w:r>
      <w:r w:rsidRPr="00C16A84">
        <w:rPr>
          <w:noProof/>
        </w:rPr>
        <w:tab/>
      </w:r>
      <w:r w:rsidRPr="00C16A84">
        <w:rPr>
          <w:noProof/>
          <w:u w:color="000000"/>
          <w:bdr w:val="nil"/>
        </w:rPr>
        <w:t>Savjetovanja s dionicima</w:t>
      </w:r>
    </w:p>
    <w:p w14:paraId="3F579269" w14:textId="77777777" w:rsidR="00897DB0" w:rsidRPr="00C16A84" w:rsidRDefault="00897DB0" w:rsidP="00897DB0">
      <w:pPr>
        <w:rPr>
          <w:noProof/>
        </w:rPr>
      </w:pPr>
      <w:r w:rsidRPr="00C16A84">
        <w:rPr>
          <w:noProof/>
        </w:rPr>
        <w:t>Međusektorska upravljačka skupina za europsku iskaznicu za osobe s invaliditetom osnovana je u srpnju 2022. i aktivno je sudjelovala u pripremi inicijative, među ostalim i u procjeni njezina učinka.</w:t>
      </w:r>
    </w:p>
    <w:p w14:paraId="1D989EDD" w14:textId="77777777" w:rsidR="00897DB0" w:rsidRPr="00C16A84" w:rsidRDefault="00897DB0" w:rsidP="00897DB0">
      <w:pPr>
        <w:rPr>
          <w:noProof/>
        </w:rPr>
      </w:pPr>
      <w:r w:rsidRPr="00C16A84">
        <w:rPr>
          <w:noProof/>
        </w:rPr>
        <w:t>U skladu sa Smjernicama za bolju regulativu provedeno je savjetovanje s brojnim međunarodnim dionicima, dionicima iz EU-a i nacionalnim dionicima, i to s i. dionicima koji su zainteresirani za to pitanje (npr. nacionalna javna tijela, pružatelji usluga, nevladine organizacije), ii. mogućim korisnicima europske iskaznice za osobe s invaliditetom ili europske parkirne karte za osobe s invaliditetom (npr. osobe s invaliditetom, osobni asistenti) i iii. stručnjacima (npr. istraživači, konzultantska društva i savjetnici, međunarodne organizacije).</w:t>
      </w:r>
    </w:p>
    <w:p w14:paraId="03133A2A" w14:textId="77777777" w:rsidR="00897DB0" w:rsidRPr="00C16A84" w:rsidRDefault="00897DB0" w:rsidP="00897DB0">
      <w:pPr>
        <w:rPr>
          <w:noProof/>
        </w:rPr>
      </w:pPr>
      <w:r w:rsidRPr="00C16A84">
        <w:rPr>
          <w:noProof/>
        </w:rPr>
        <w:t>Savjetovanje s dionicima uključivalo je: (a) javno savjetovanje, (b) strateške i (c) ciljane razgovore, (d) ciljane internetske ankete, (e) tri internetske radionice, (f) šest ciljnih skupina s pružateljima usluga iz odabranih država članica i (g) šest studija slučaja. Dionici su ujedno mogli poslati primjedbe na Komisijin (h) poziv na očitovanje</w:t>
      </w:r>
      <w:r w:rsidRPr="00C16A84">
        <w:rPr>
          <w:rStyle w:val="FootnoteReference"/>
          <w:noProof/>
        </w:rPr>
        <w:footnoteReference w:id="27"/>
      </w:r>
      <w:r w:rsidRPr="00C16A84">
        <w:rPr>
          <w:noProof/>
        </w:rPr>
        <w:t>.</w:t>
      </w:r>
    </w:p>
    <w:p w14:paraId="13AB0160" w14:textId="77777777" w:rsidR="00E859DB" w:rsidRPr="00C16A84" w:rsidRDefault="00897DB0" w:rsidP="00897DB0">
      <w:pPr>
        <w:pBdr>
          <w:top w:val="nil"/>
          <w:left w:val="nil"/>
          <w:bottom w:val="nil"/>
          <w:right w:val="nil"/>
          <w:between w:val="nil"/>
          <w:bar w:val="nil"/>
        </w:pBdr>
        <w:spacing w:before="0" w:after="240"/>
        <w:rPr>
          <w:rFonts w:eastAsia="Arial Unicode MS"/>
          <w:noProof/>
        </w:rPr>
      </w:pPr>
      <w:r w:rsidRPr="00C16A84">
        <w:rPr>
          <w:noProof/>
        </w:rPr>
        <w:t xml:space="preserve">Većinu aktivnosti savjetovanja organizirao je vanjski izvođač u okviru popratne studije uz pripremu procjene učinka. Komisija se savjetovala i s tijelima država članica i organizacijama civilnog društva koje zastupaju osobe s invaliditetom i članice su Platforme za osobe s invaliditetom. Rasprave na sastancima Platforme i njezine posebne podskupine za europsku iskaznicu za osobe s invaliditetom bile su ključne za dobivanje povratnih informacija za poboljšanje Prijedloga. </w:t>
      </w:r>
    </w:p>
    <w:p w14:paraId="2260887C" w14:textId="77777777" w:rsidR="00E859DB" w:rsidRPr="00C16A84" w:rsidRDefault="00E859DB" w:rsidP="009C0009">
      <w:pPr>
        <w:pStyle w:val="ManualHeading2"/>
        <w:outlineLvl w:val="9"/>
        <w:rPr>
          <w:rFonts w:eastAsia="Arial Unicode MS"/>
          <w:noProof/>
          <w:u w:color="000000"/>
          <w:bdr w:val="nil"/>
        </w:rPr>
      </w:pPr>
      <w:r w:rsidRPr="00C16A84">
        <w:rPr>
          <w:noProof/>
          <w:u w:color="000000"/>
          <w:bdr w:val="nil"/>
        </w:rPr>
        <w:t>•</w:t>
      </w:r>
      <w:r w:rsidRPr="00C16A84">
        <w:rPr>
          <w:noProof/>
        </w:rPr>
        <w:tab/>
      </w:r>
      <w:r w:rsidRPr="00C16A84">
        <w:rPr>
          <w:noProof/>
          <w:u w:color="000000"/>
          <w:bdr w:val="nil"/>
        </w:rPr>
        <w:t>Procjena učinka</w:t>
      </w:r>
    </w:p>
    <w:p w14:paraId="6C60C7E6" w14:textId="77777777" w:rsidR="00AE2196" w:rsidRPr="00C16A84" w:rsidRDefault="00AE2196" w:rsidP="00AE2196">
      <w:pPr>
        <w:rPr>
          <w:noProof/>
        </w:rPr>
      </w:pPr>
      <w:r w:rsidRPr="00C16A84">
        <w:rPr>
          <w:noProof/>
        </w:rPr>
        <w:t>Prijedlogu inicijative Komisije o utvrđivanju okvira, pravila i uvjeta za izdavanje i upotrebu europske iskaznice za osobe s invaliditetom i europske parkirne karte za osobe s invaliditetom priloženo je izvješće o procjeni učinka</w:t>
      </w:r>
      <w:r w:rsidRPr="00C16A84">
        <w:rPr>
          <w:rStyle w:val="FootnoteReference"/>
          <w:noProof/>
        </w:rPr>
        <w:footnoteReference w:id="28"/>
      </w:r>
      <w:r w:rsidRPr="00C16A84">
        <w:rPr>
          <w:noProof/>
        </w:rPr>
        <w:t>, čiji je nacrt podnesen Odboru za nadzor regulative 21. lipnja 2023. Taj odbor donio je 19. srpnja 2023. pozitivno mišljenje sa zadrškama. Izvješće o procjeni učinka revidirano je u skladu s nalazima i preporukama Odbora. Razmotrene su i detaljnije tehničke primjedbe Odbora.</w:t>
      </w:r>
    </w:p>
    <w:p w14:paraId="57E1AE00" w14:textId="77777777" w:rsidR="00AE2196" w:rsidRPr="00C16A84" w:rsidRDefault="00AE2196" w:rsidP="00AE2196">
      <w:pPr>
        <w:rPr>
          <w:noProof/>
        </w:rPr>
      </w:pPr>
      <w:r w:rsidRPr="00C16A84">
        <w:rPr>
          <w:noProof/>
        </w:rPr>
        <w:t xml:space="preserve">Osmišljavanje opcija i odbacivanje određenih opcija uvelike se temelje na iskustvu stečenom u provedbi pilot-projekta europske iskaznice za osobe s invaliditetom i Preporuke Vijeća </w:t>
      </w:r>
      <w:r w:rsidRPr="00C16A84">
        <w:rPr>
          <w:noProof/>
        </w:rPr>
        <w:lastRenderedPageBreak/>
        <w:t>98/376/EZ od 4. lipnja 1998. o parkirnoj karti za osobe s invaliditetom, kao i na povratnim informacijama dionika i država članica.</w:t>
      </w:r>
    </w:p>
    <w:p w14:paraId="07DD2220" w14:textId="77777777" w:rsidR="00AE2196" w:rsidRPr="00C16A84" w:rsidRDefault="00AE2196" w:rsidP="00AE2196">
      <w:pPr>
        <w:rPr>
          <w:noProof/>
        </w:rPr>
      </w:pPr>
      <w:r w:rsidRPr="00C16A84">
        <w:rPr>
          <w:noProof/>
        </w:rPr>
        <w:t>Razmatrala se opcija spajanja europske iskaznice za osobe s invaliditetom i europske parkirne karte za osobe s invaliditetom u jedinstvenu iskaznicu, no odbačena je zbog praktične i tehničke neizvedivosti</w:t>
      </w:r>
      <w:r w:rsidRPr="00C16A84">
        <w:rPr>
          <w:rStyle w:val="FootnoteReference"/>
          <w:noProof/>
        </w:rPr>
        <w:footnoteReference w:id="29"/>
      </w:r>
      <w:r w:rsidRPr="00C16A84">
        <w:rPr>
          <w:noProof/>
        </w:rPr>
        <w:t xml:space="preserve">. Kriteriji prihvatljivosti, postupci izdavanja, opseg i upotreba iskaznice i karte razlikuju se. Ne bi svi nositelji europske iskaznice za osobe s invaliditetom bili i nositelji europske parkirne karte za osobe s invaliditetom. Dionici s kojima je provedeno savjetovanje istaknuli su da bi se spajanjem iskaznice i karte ograničila mogućnost osoba s invaliditetom da istodobno upotrebljavaju obje isprave. Naime, europska parkirna karta u pravilu se ostavlja i ističe na određenom mjestu u vozilu, dok bi europsku iskaznicu za osobe s invaliditetom nositelj iskaznice trebao nositi sa sobom. Dionici su stoga smatrali da bi kartu i iskaznicu trebalo zadržati kao dvije različite isprave. </w:t>
      </w:r>
    </w:p>
    <w:p w14:paraId="4972DD39" w14:textId="77777777" w:rsidR="00AE2196" w:rsidRPr="00C16A84" w:rsidRDefault="00AE2196" w:rsidP="00AE2196">
      <w:pPr>
        <w:rPr>
          <w:noProof/>
        </w:rPr>
      </w:pPr>
      <w:r w:rsidRPr="00C16A84">
        <w:rPr>
          <w:noProof/>
        </w:rPr>
        <w:t xml:space="preserve">U procjeni su razmotrene opcije politike usmjerene na olakšavanje uzajamnog priznavanja statusa osobe s invaliditetom u EU-u u pogledu pristupa uslugama kad se posjećuje druga država članica (A) te na olakšavanje upotrebe europske parkirne karte za osobe s invaliditetom i povećanje s tim povezane pravne sigurnosti (B), što bi zajedno riješilo uočene probleme. </w:t>
      </w:r>
    </w:p>
    <w:p w14:paraId="569DA501" w14:textId="77777777" w:rsidR="00AE2196" w:rsidRPr="00C16A84" w:rsidRDefault="00AE2196" w:rsidP="00AE2196">
      <w:pPr>
        <w:rPr>
          <w:noProof/>
        </w:rPr>
      </w:pPr>
      <w:r w:rsidRPr="00C16A84">
        <w:rPr>
          <w:noProof/>
        </w:rPr>
        <w:t>Odbačeno je i nekoliko drugih opcija, kao što su dobrovoljni aranžmani</w:t>
      </w:r>
      <w:r w:rsidRPr="00C16A84">
        <w:rPr>
          <w:rStyle w:val="FootnoteReference"/>
          <w:noProof/>
        </w:rPr>
        <w:footnoteReference w:id="30"/>
      </w:r>
      <w:r w:rsidRPr="00C16A84">
        <w:rPr>
          <w:noProof/>
        </w:rPr>
        <w:t>, obuhvaćanje samo određenih usluga</w:t>
      </w:r>
      <w:r w:rsidRPr="00C16A84">
        <w:rPr>
          <w:rStyle w:val="FootnoteReference"/>
          <w:noProof/>
        </w:rPr>
        <w:footnoteReference w:id="31"/>
      </w:r>
      <w:r w:rsidRPr="00C16A84">
        <w:rPr>
          <w:noProof/>
        </w:rPr>
        <w:t>, usklađivanje definicija i kriterija prihvatljivosti za procjenu statusa osobe s invaliditetom</w:t>
      </w:r>
      <w:r w:rsidRPr="00C16A84">
        <w:rPr>
          <w:rStyle w:val="FootnoteReference"/>
          <w:noProof/>
        </w:rPr>
        <w:footnoteReference w:id="32"/>
      </w:r>
      <w:r w:rsidRPr="00C16A84">
        <w:rPr>
          <w:noProof/>
        </w:rPr>
        <w:t xml:space="preserve"> ili usklađivanje postupaka za izdavanje iskaznice/karte na razini EU-a</w:t>
      </w:r>
      <w:r w:rsidRPr="00C16A84">
        <w:rPr>
          <w:rStyle w:val="FootnoteReference"/>
          <w:noProof/>
        </w:rPr>
        <w:footnoteReference w:id="33"/>
      </w:r>
      <w:r w:rsidRPr="00C16A84">
        <w:rPr>
          <w:noProof/>
        </w:rPr>
        <w:t>.</w:t>
      </w:r>
    </w:p>
    <w:p w14:paraId="78CFF445" w14:textId="77777777" w:rsidR="00AE2196" w:rsidRPr="00C16A84" w:rsidRDefault="00AE2196" w:rsidP="00AE2196">
      <w:pPr>
        <w:rPr>
          <w:noProof/>
        </w:rPr>
      </w:pPr>
      <w:r w:rsidRPr="00C16A84">
        <w:rPr>
          <w:noProof/>
        </w:rPr>
        <w:t>Najpoželjnija je kombinacija opcije politike A2 (obvezni model europske iskaznice za osobe s invaliditetom za putovanja u svim državama članicama koji obuhvaća sve uslužne sektore) i opcije B2 (obvezni model europske parkirne karte za osobe s invaliditetom).</w:t>
      </w:r>
    </w:p>
    <w:p w14:paraId="5CDB0442" w14:textId="77777777" w:rsidR="00AE2196" w:rsidRPr="00C16A84" w:rsidRDefault="00AE2196" w:rsidP="00AE2196">
      <w:pPr>
        <w:rPr>
          <w:noProof/>
        </w:rPr>
      </w:pPr>
      <w:r w:rsidRPr="00C16A84">
        <w:rPr>
          <w:i/>
          <w:noProof/>
        </w:rPr>
        <w:t>Opcija politike A2</w:t>
      </w:r>
      <w:r w:rsidRPr="00C16A84">
        <w:rPr>
          <w:noProof/>
        </w:rPr>
        <w:t xml:space="preserve"> najviše olakšava uzajamno priznavanje statusa osobe s invaliditetom u pogledu pristupa uslugama kad se posjećuje druga država članica jer se njome predviđa uvođenje europske iskaznice za osobe s invaliditetom koja će se upotrebljavati upravo u tu svrhu i može se lako prepoznati u svim državama članicama. Iskaznica bi uklonila nesigurnost i pružatelja usluga, koji moraju provjeravati imaju li korisnici njihovih usluga status osobe s invaliditetom, i osoba s invaliditetom koje putuju u druge države članice ili ih posjećuju. </w:t>
      </w:r>
    </w:p>
    <w:p w14:paraId="593F484B" w14:textId="77777777" w:rsidR="00E859DB" w:rsidRPr="00C16A84" w:rsidRDefault="00AE2196" w:rsidP="00AE2196">
      <w:pPr>
        <w:pBdr>
          <w:top w:val="nil"/>
          <w:left w:val="nil"/>
          <w:bottom w:val="nil"/>
          <w:right w:val="nil"/>
          <w:between w:val="nil"/>
          <w:bar w:val="nil"/>
        </w:pBdr>
        <w:spacing w:before="0" w:after="240"/>
        <w:rPr>
          <w:rFonts w:eastAsia="Arial Unicode MS"/>
          <w:noProof/>
        </w:rPr>
      </w:pPr>
      <w:r w:rsidRPr="00C16A84">
        <w:rPr>
          <w:i/>
          <w:noProof/>
        </w:rPr>
        <w:t>Opcija politike B2</w:t>
      </w:r>
      <w:r w:rsidRPr="00C16A84">
        <w:rPr>
          <w:noProof/>
        </w:rPr>
        <w:t xml:space="preserve"> najviše olakšava priznavanje parkirne karte EU-a. Tim obvezujućim zakonodavnim instrumentom propisuju se minimalni zahtjevi modela zajedničke parkirne karte EU-a te njezin sigurnosni format i značajke. Homogeniji jedinstveni obrazac nacionalnih parkirnih karti smanjio bi nesigurnost osoba s invaliditetom povezanu s njihovim priznavanjem, čime bi im se olakšao život kad putuju automobilom u EU-u. To bi nositeljima karte omogućilo da putuju automobilom, a da se pritom ne pitaju hoće li njihova parkirna </w:t>
      </w:r>
      <w:r w:rsidRPr="00C16A84">
        <w:rPr>
          <w:noProof/>
        </w:rPr>
        <w:lastRenderedPageBreak/>
        <w:t xml:space="preserve">karta biti priznata u inozemstvu. Donijelo bi i uštede osobama s invaliditetom jer bi mogle upotrebljavati javna parkirna mjesta rezervirana za osobe s invaliditetom. </w:t>
      </w:r>
    </w:p>
    <w:p w14:paraId="6BC549CC" w14:textId="77777777" w:rsidR="00643D91" w:rsidRPr="00C16A84" w:rsidRDefault="00643D91" w:rsidP="00AE2196">
      <w:pPr>
        <w:pBdr>
          <w:top w:val="nil"/>
          <w:left w:val="nil"/>
          <w:bottom w:val="nil"/>
          <w:right w:val="nil"/>
          <w:between w:val="nil"/>
          <w:bar w:val="nil"/>
        </w:pBdr>
        <w:spacing w:before="0" w:after="240"/>
        <w:rPr>
          <w:rFonts w:eastAsia="Arial Unicode MS"/>
          <w:noProof/>
        </w:rPr>
      </w:pPr>
      <w:r w:rsidRPr="00C16A84">
        <w:rPr>
          <w:noProof/>
        </w:rPr>
        <w:t>Očekuje se da će najpoželjnija kombinacija opcija politike imati pozitivne socijalne učinke i iznimno pozitivno utjecati na ostvarivanje temeljnih prava unutar EU-a (posebno pravo na slobodno kretanje, nediskriminaciju i integraciju osoba s invaliditetom). Kombinirane opcije politike vjerojatno će imati malen i neznatan utjecaj na okoliš te ograničene pozitivne digitalne učinke. Ne očekuje se da će najpoželjnije opcije politike imati znatan učinak na konkurentnost i MSP-ove, a očekivani administrativni troškovi za poduzeća bit će neznatni</w:t>
      </w:r>
      <w:r w:rsidRPr="00C16A84">
        <w:rPr>
          <w:rStyle w:val="FootnoteReference"/>
          <w:rFonts w:eastAsia="Arial Unicode MS"/>
          <w:noProof/>
        </w:rPr>
        <w:footnoteReference w:id="34"/>
      </w:r>
      <w:r w:rsidRPr="00C16A84">
        <w:rPr>
          <w:noProof/>
        </w:rPr>
        <w:t>.</w:t>
      </w:r>
    </w:p>
    <w:p w14:paraId="0AAD0E2D" w14:textId="77777777" w:rsidR="00E859DB" w:rsidRPr="00C16A84" w:rsidRDefault="00E859DB" w:rsidP="009C0009">
      <w:pPr>
        <w:pStyle w:val="ManualHeading2"/>
        <w:outlineLvl w:val="9"/>
        <w:rPr>
          <w:rFonts w:eastAsia="Arial Unicode MS"/>
          <w:noProof/>
          <w:u w:color="000000"/>
          <w:bdr w:val="nil"/>
        </w:rPr>
      </w:pPr>
      <w:r w:rsidRPr="00C16A84">
        <w:rPr>
          <w:noProof/>
          <w:u w:color="000000"/>
          <w:bdr w:val="nil"/>
        </w:rPr>
        <w:t>•</w:t>
      </w:r>
      <w:r w:rsidRPr="00C16A84">
        <w:rPr>
          <w:noProof/>
        </w:rPr>
        <w:tab/>
      </w:r>
      <w:r w:rsidRPr="00C16A84">
        <w:rPr>
          <w:noProof/>
          <w:u w:color="000000"/>
          <w:bdr w:val="nil"/>
        </w:rPr>
        <w:t>Temeljna prava</w:t>
      </w:r>
    </w:p>
    <w:p w14:paraId="2C057997" w14:textId="77777777" w:rsidR="007F68E5" w:rsidRPr="00C16A84" w:rsidRDefault="007F68E5" w:rsidP="007F68E5">
      <w:pPr>
        <w:rPr>
          <w:noProof/>
        </w:rPr>
      </w:pPr>
      <w:r w:rsidRPr="00C16A84">
        <w:rPr>
          <w:noProof/>
        </w:rPr>
        <w:t>Prijedlog bi pozitivno utjecao</w:t>
      </w:r>
      <w:r w:rsidRPr="00C16A84">
        <w:rPr>
          <w:rStyle w:val="FootnoteReference"/>
          <w:noProof/>
        </w:rPr>
        <w:footnoteReference w:id="35"/>
      </w:r>
      <w:r w:rsidRPr="00C16A84">
        <w:rPr>
          <w:noProof/>
        </w:rPr>
        <w:t xml:space="preserve"> na nekoliko prava priznatih u Povelji o temeljnim pravima Europske unije.</w:t>
      </w:r>
    </w:p>
    <w:p w14:paraId="691653E5" w14:textId="77777777" w:rsidR="007F68E5" w:rsidRPr="00C16A84" w:rsidRDefault="007F68E5" w:rsidP="007F68E5">
      <w:pPr>
        <w:rPr>
          <w:noProof/>
        </w:rPr>
      </w:pPr>
      <w:r w:rsidRPr="00C16A84">
        <w:rPr>
          <w:noProof/>
        </w:rPr>
        <w:t>Smanjenjem nesigurnosti u pogledu priznavanja iskaznica za osobe s invaliditetom i parkirnih karti u cijelom EU-u olakšalo bi se učinkovito ostvarivanje prava na slobodno kretanje osobama s invaliditetom kad putuju u državu članicu koja nije država članica njihova boravišta ili je posjećuju (članak 45. Povelje).</w:t>
      </w:r>
    </w:p>
    <w:p w14:paraId="189D6152" w14:textId="77777777" w:rsidR="00596D56" w:rsidRPr="00C16A84" w:rsidRDefault="00596D56" w:rsidP="007F68E5">
      <w:pPr>
        <w:rPr>
          <w:noProof/>
        </w:rPr>
      </w:pPr>
      <w:r w:rsidRPr="00C16A84">
        <w:rPr>
          <w:noProof/>
        </w:rPr>
        <w:t>Osobe s invaliditetom koje putuju u drugu državu članicu ili je posjećuju trebale bi ostvarivati pravo na ravnopravan pristup posebnim uvjetima ili povlaštenom postupanju koji se nude u pogledu usluga, aktivnosti i sadržaja, među ostalim kad se pružaju bez naknade, te uvjetima i prostorima za parkiranje rezerviranima za osobe s invaliditetom jer takav pristup osigurava njihovu neovisnost, društvenu uključenost i sudjelovanje u životu zajednice (članak 26. Povelje).</w:t>
      </w:r>
    </w:p>
    <w:p w14:paraId="68AB3432" w14:textId="77777777" w:rsidR="007F68E5" w:rsidRPr="00C16A84" w:rsidRDefault="00623E28" w:rsidP="007F68E5">
      <w:pPr>
        <w:rPr>
          <w:noProof/>
        </w:rPr>
      </w:pPr>
      <w:r w:rsidRPr="00C16A84">
        <w:rPr>
          <w:noProof/>
        </w:rPr>
        <w:t>Prijedlog bi doprinio provedbi načela nediskriminacije i jednakosti u pristupu uslugama (članak 21. Povelje). Mogućnost ostvarivanja prava na posebne uvjete ili povlašteno postupanje odnosno uvjete i prostore za parkiranje rezervirane za osobe s invaliditetom u svim državama članicama na ravnopravnoj osnovi s osobama s invaliditetom koje imaju boravište i kojima je taj status priznat u toj zemlji te bez diskriminacije na temelju državljanstva ili mjesta boravišta važni su čimbenici koji utječu na njihov izbor upotrebe takvih usluga.</w:t>
      </w:r>
    </w:p>
    <w:p w14:paraId="0AFE3EDB" w14:textId="77777777" w:rsidR="00E859DB" w:rsidRPr="00C16A84" w:rsidRDefault="007F68E5" w:rsidP="007F68E5">
      <w:pPr>
        <w:pBdr>
          <w:top w:val="nil"/>
          <w:left w:val="nil"/>
          <w:bottom w:val="nil"/>
          <w:right w:val="nil"/>
          <w:between w:val="nil"/>
          <w:bar w:val="nil"/>
        </w:pBdr>
        <w:spacing w:before="0" w:after="240"/>
        <w:rPr>
          <w:rFonts w:eastAsia="Arial Unicode MS"/>
          <w:noProof/>
        </w:rPr>
      </w:pPr>
      <w:r w:rsidRPr="00C16A84">
        <w:rPr>
          <w:noProof/>
        </w:rPr>
        <w:t xml:space="preserve">Uspostava okvira pravila i zajedničkih uvjeta za europsku iskaznicu za osobe s invaliditetom i europsku parkirnu kartu za osobe s invaliditetom pomoći će i u promicanju, zaštiti i osiguravanju punog i ravnopravnog uživanja svih ljudskih prava i temeljnih sloboda svih osoba s invaliditetom te promicanju poštovanja njihova urođenog dostojanstva. Time će se osigurati učinkovitije i uključivije sudjelovanje osoba s invaliditetom u društvu, kako je predviđeno Konvencijom UN-a o pravima osoba s invaliditetom. </w:t>
      </w:r>
    </w:p>
    <w:p w14:paraId="56BDFF1F" w14:textId="77777777" w:rsidR="005F11B4" w:rsidRPr="00C16A84" w:rsidRDefault="005F11B4" w:rsidP="005F11B4">
      <w:pPr>
        <w:pBdr>
          <w:top w:val="nil"/>
          <w:left w:val="nil"/>
          <w:bottom w:val="nil"/>
          <w:right w:val="nil"/>
          <w:between w:val="nil"/>
          <w:bar w:val="nil"/>
        </w:pBdr>
        <w:spacing w:before="0" w:after="240"/>
        <w:rPr>
          <w:rFonts w:eastAsia="Arial Unicode MS"/>
          <w:noProof/>
        </w:rPr>
      </w:pPr>
      <w:r w:rsidRPr="00C16A84">
        <w:rPr>
          <w:noProof/>
        </w:rPr>
        <w:t>Za provedbu ovog Prijedloga potrebno je obrađivati osobne podatke, posebno podatke o statusu osobe s invaliditetom nositelja iskaznice/karte. Obrada osobnih podataka pojedinaca, što uključuje prikupljanje osobnih podataka, pristup tim podacima i njihovu upotrebu, utječe na pravo na privatnost i pravo na zaštitu osobnih podataka na temelju članaka 7. i 8. Povelje. Zadiranje u ta temeljna prava potrebno je i zaista ispunjava cilj od općeg interesa koji je priznat pravom Unije.</w:t>
      </w:r>
    </w:p>
    <w:p w14:paraId="51F11E81" w14:textId="77777777" w:rsidR="005F11B4" w:rsidRPr="00C16A84" w:rsidRDefault="00EE6555" w:rsidP="00EE6555">
      <w:pPr>
        <w:pBdr>
          <w:top w:val="nil"/>
          <w:left w:val="nil"/>
          <w:bottom w:val="nil"/>
          <w:right w:val="nil"/>
          <w:between w:val="nil"/>
          <w:bar w:val="nil"/>
        </w:pBdr>
        <w:spacing w:before="0" w:after="240"/>
        <w:rPr>
          <w:rFonts w:eastAsia="Arial Unicode MS"/>
          <w:noProof/>
        </w:rPr>
      </w:pPr>
      <w:r w:rsidRPr="00C16A84">
        <w:rPr>
          <w:noProof/>
        </w:rPr>
        <w:t xml:space="preserve">U kontekstu prava na zaštitu osobnih podataka tijela država članica koja izdaju iskaznicu/kartu bit će voditelji obrade podataka. Pri provedbi ove Direktive države članice </w:t>
      </w:r>
      <w:r w:rsidRPr="00C16A84">
        <w:rPr>
          <w:noProof/>
        </w:rPr>
        <w:lastRenderedPageBreak/>
        <w:t>trebale bi u svojem nacionalnom zakonodavstvu predvidjeti odgovarajuće zaštitne mjere za obradu osobnih podataka, posebno osobnih podataka o statusu osobe s invaliditetom nositelja iskaznice/karte, u skladu s Uredbom (EU) 2016/679 Europskog parlamenta i Vijeća</w:t>
      </w:r>
      <w:r w:rsidRPr="00C16A84">
        <w:rPr>
          <w:rStyle w:val="FootnoteReference"/>
          <w:rFonts w:eastAsia="Arial Unicode MS"/>
          <w:noProof/>
        </w:rPr>
        <w:footnoteReference w:id="36"/>
      </w:r>
      <w:r w:rsidRPr="00C16A84">
        <w:rPr>
          <w:noProof/>
        </w:rPr>
        <w:t xml:space="preserve">. Države članice trebale bi se pobrinuti i za sigurnost, autentičnost i povjerljivost osobnih podataka koji se prikupljaju i pohranjuju za potrebe ove Direktive. Dodatne sigurnosne mjere za osobne podatke mogu se propisati provedbenim aktom nakon utvrđivanja digitalnih značajki i obrasca digitalne iskaznice/karte. Za potrebe predložene direktive osobni podaci moraju biti navedeni samo na fizičkoj iskaznici/karti odnosno na izdanoj digitalnoj iskaznici/karti nakon što se utvrde njezin obrazac i specifikacije. </w:t>
      </w:r>
    </w:p>
    <w:p w14:paraId="2A2C1754" w14:textId="77777777" w:rsidR="00E859DB" w:rsidRPr="00C16A84" w:rsidRDefault="00E859DB" w:rsidP="009C0009">
      <w:pPr>
        <w:pStyle w:val="ManualHeading1"/>
        <w:outlineLvl w:val="9"/>
        <w:rPr>
          <w:noProof/>
        </w:rPr>
      </w:pPr>
      <w:r w:rsidRPr="00C16A84">
        <w:rPr>
          <w:noProof/>
        </w:rPr>
        <w:t>4.</w:t>
      </w:r>
      <w:r w:rsidRPr="00C16A84">
        <w:rPr>
          <w:noProof/>
        </w:rPr>
        <w:tab/>
        <w:t>UTJECAJ NA PRORAČUN</w:t>
      </w:r>
    </w:p>
    <w:p w14:paraId="7887AA88" w14:textId="77777777" w:rsidR="00E859DB" w:rsidRPr="00C16A84" w:rsidRDefault="002D1B68" w:rsidP="00550536">
      <w:pPr>
        <w:pBdr>
          <w:top w:val="nil"/>
          <w:left w:val="nil"/>
          <w:bottom w:val="nil"/>
          <w:right w:val="nil"/>
          <w:between w:val="nil"/>
          <w:bar w:val="nil"/>
        </w:pBdr>
        <w:spacing w:before="0" w:after="240"/>
        <w:rPr>
          <w:rFonts w:eastAsia="Arial Unicode MS"/>
          <w:noProof/>
        </w:rPr>
      </w:pPr>
      <w:r w:rsidRPr="00C16A84">
        <w:rPr>
          <w:noProof/>
        </w:rPr>
        <w:t xml:space="preserve">Prijedlog ima vrlo ograničen utjecaj na proračun EU-a. Jedini operativni troškovi odnose se na organizaciju sastanaka odbora i stručne skupine te potporu za provjere nacionalnih mjera za prenošenje, tj. odobrena sredstva za poslovanje iznose 0,62 milijuna EUR u okviru postojeće proračunske linije, dok administrativni rashodi iznose oko 0,342 milijuna EUR godišnje. Za pokrivanje tih rashoda nije potrebno povećanje sredstava, već samo njihova unutarnja preraspodjela. </w:t>
      </w:r>
    </w:p>
    <w:p w14:paraId="07A62C61" w14:textId="77777777" w:rsidR="00E859DB" w:rsidRPr="00C16A84" w:rsidRDefault="00E859DB" w:rsidP="009C0009">
      <w:pPr>
        <w:pStyle w:val="ManualHeading1"/>
        <w:outlineLvl w:val="9"/>
        <w:rPr>
          <w:noProof/>
        </w:rPr>
      </w:pPr>
      <w:r w:rsidRPr="00C16A84">
        <w:rPr>
          <w:noProof/>
        </w:rPr>
        <w:t>5.</w:t>
      </w:r>
      <w:r w:rsidRPr="00C16A84">
        <w:rPr>
          <w:noProof/>
        </w:rPr>
        <w:tab/>
        <w:t>DRUGI ELEMENTI</w:t>
      </w:r>
    </w:p>
    <w:p w14:paraId="0D013A37" w14:textId="77777777" w:rsidR="00E859DB" w:rsidRPr="00C16A84" w:rsidRDefault="00E859DB" w:rsidP="009C0009">
      <w:pPr>
        <w:pStyle w:val="ManualHeading2"/>
        <w:outlineLvl w:val="9"/>
        <w:rPr>
          <w:rFonts w:eastAsia="Arial Unicode MS"/>
          <w:noProof/>
          <w:u w:color="000000"/>
          <w:bdr w:val="nil"/>
        </w:rPr>
      </w:pPr>
      <w:r w:rsidRPr="00C16A84">
        <w:rPr>
          <w:noProof/>
          <w:u w:color="000000"/>
          <w:bdr w:val="nil"/>
        </w:rPr>
        <w:t>•</w:t>
      </w:r>
      <w:r w:rsidRPr="00C16A84">
        <w:rPr>
          <w:noProof/>
        </w:rPr>
        <w:tab/>
      </w:r>
      <w:r w:rsidRPr="00C16A84">
        <w:rPr>
          <w:noProof/>
          <w:u w:color="000000"/>
          <w:bdr w:val="nil"/>
        </w:rPr>
        <w:t>Planovi provedbe i mehanizmi praćenja, evaluacije i izvješćivanja</w:t>
      </w:r>
    </w:p>
    <w:p w14:paraId="03231392" w14:textId="77777777" w:rsidR="0010032C" w:rsidRPr="00C16A84" w:rsidRDefault="0010032C" w:rsidP="0010032C">
      <w:pPr>
        <w:rPr>
          <w:noProof/>
        </w:rPr>
      </w:pPr>
      <w:r w:rsidRPr="00C16A84">
        <w:rPr>
          <w:noProof/>
        </w:rPr>
        <w:t>Ako se Prijedlog odobri, države članice morat će u roku od šest mjeseci nakon njegova stupanja na snagu obavijestiti Komisiju o tijelu (ili tijelima) koje su imenovale za izdavanje, produljenje i oduzimanje europske iskaznice za osobe s invaliditetom i europske parkirne karte za osobe s invaliditetom, kao i o uvjetima za izdavanje ili proglašenje tih isprava nevaljanima.</w:t>
      </w:r>
    </w:p>
    <w:p w14:paraId="73B2755E" w14:textId="77777777" w:rsidR="00DD31F3" w:rsidRPr="00C16A84" w:rsidRDefault="0010032C" w:rsidP="0010032C">
      <w:pPr>
        <w:rPr>
          <w:noProof/>
          <w:szCs w:val="24"/>
        </w:rPr>
      </w:pPr>
      <w:r w:rsidRPr="00C16A84">
        <w:rPr>
          <w:noProof/>
        </w:rPr>
        <w:t>Države članice morat će Komisiji dostaviti sve informacije koje su joj potrebne za sastavljanje redovitog izvješća Europskom parlamentu, Vijeću, Gospodarskom i socijalnom odboru i Odboru regija o primjeni Direktive.</w:t>
      </w:r>
    </w:p>
    <w:p w14:paraId="204D933C" w14:textId="77777777" w:rsidR="00E859DB" w:rsidRPr="00C16A84" w:rsidRDefault="00E859DB" w:rsidP="009C0009">
      <w:pPr>
        <w:pStyle w:val="ManualHeading2"/>
        <w:outlineLvl w:val="9"/>
        <w:rPr>
          <w:rFonts w:eastAsia="Arial Unicode MS"/>
          <w:noProof/>
          <w:u w:color="000000"/>
          <w:bdr w:val="nil"/>
        </w:rPr>
      </w:pPr>
      <w:r w:rsidRPr="00C16A84">
        <w:rPr>
          <w:noProof/>
          <w:u w:color="000000"/>
          <w:bdr w:val="nil"/>
        </w:rPr>
        <w:t>•</w:t>
      </w:r>
      <w:r w:rsidRPr="00C16A84">
        <w:rPr>
          <w:noProof/>
        </w:rPr>
        <w:tab/>
      </w:r>
      <w:r w:rsidRPr="00C16A84">
        <w:rPr>
          <w:noProof/>
          <w:u w:color="000000"/>
          <w:bdr w:val="nil"/>
        </w:rPr>
        <w:t>Dokumenti s objašnjenjima (za direktive)</w:t>
      </w:r>
    </w:p>
    <w:p w14:paraId="5B16278F" w14:textId="77777777" w:rsidR="00AE70E8" w:rsidRPr="00C16A84" w:rsidRDefault="005D1D68" w:rsidP="00086ECF">
      <w:pPr>
        <w:rPr>
          <w:noProof/>
          <w:szCs w:val="24"/>
        </w:rPr>
      </w:pPr>
      <w:r w:rsidRPr="00C16A84">
        <w:rPr>
          <w:noProof/>
        </w:rPr>
        <w:t>Za prenošenje Prijedloga u nacionalno zakonodavstvo nisu potrebni dokumenti s objašnjenjima.</w:t>
      </w:r>
    </w:p>
    <w:p w14:paraId="7BF86CB7" w14:textId="77777777" w:rsidR="00E859DB" w:rsidRPr="00C16A84" w:rsidRDefault="00E859DB" w:rsidP="009C0009">
      <w:pPr>
        <w:pStyle w:val="ManualHeading2"/>
        <w:outlineLvl w:val="9"/>
        <w:rPr>
          <w:rFonts w:eastAsia="Arial Unicode MS"/>
          <w:noProof/>
          <w:u w:color="000000"/>
          <w:bdr w:val="nil"/>
        </w:rPr>
      </w:pPr>
      <w:r w:rsidRPr="00C16A84">
        <w:rPr>
          <w:noProof/>
          <w:u w:color="000000"/>
          <w:bdr w:val="nil"/>
        </w:rPr>
        <w:t>•</w:t>
      </w:r>
      <w:r w:rsidRPr="00C16A84">
        <w:rPr>
          <w:noProof/>
        </w:rPr>
        <w:tab/>
      </w:r>
      <w:r w:rsidRPr="00C16A84">
        <w:rPr>
          <w:noProof/>
          <w:u w:color="000000"/>
          <w:bdr w:val="nil"/>
        </w:rPr>
        <w:t>Detaljno obrazloženje posebnih odredaba prijedloga</w:t>
      </w:r>
    </w:p>
    <w:p w14:paraId="046FAB89" w14:textId="77777777" w:rsidR="005D1D68" w:rsidRPr="00C16A84" w:rsidRDefault="005D1D68" w:rsidP="005D1D68">
      <w:pPr>
        <w:rPr>
          <w:noProof/>
        </w:rPr>
      </w:pPr>
      <w:r w:rsidRPr="00C16A84">
        <w:rPr>
          <w:noProof/>
        </w:rPr>
        <w:t xml:space="preserve">U </w:t>
      </w:r>
      <w:r w:rsidRPr="00C16A84">
        <w:rPr>
          <w:noProof/>
          <w:u w:val="single"/>
        </w:rPr>
        <w:t>članku 1.</w:t>
      </w:r>
      <w:r w:rsidRPr="00C16A84">
        <w:rPr>
          <w:noProof/>
        </w:rPr>
        <w:t xml:space="preserve"> opisuje se predmet. </w:t>
      </w:r>
    </w:p>
    <w:p w14:paraId="4B144E68" w14:textId="77777777" w:rsidR="005D1D68" w:rsidRPr="00C16A84" w:rsidRDefault="005D1D68" w:rsidP="005D1D68">
      <w:pPr>
        <w:rPr>
          <w:noProof/>
        </w:rPr>
      </w:pPr>
      <w:r w:rsidRPr="00C16A84">
        <w:rPr>
          <w:noProof/>
        </w:rPr>
        <w:t xml:space="preserve">U </w:t>
      </w:r>
      <w:r w:rsidRPr="00C16A84">
        <w:rPr>
          <w:noProof/>
          <w:u w:val="single"/>
        </w:rPr>
        <w:t>članku 2.</w:t>
      </w:r>
      <w:r w:rsidRPr="00C16A84">
        <w:rPr>
          <w:noProof/>
        </w:rPr>
        <w:t xml:space="preserve"> o području primjene utvrđuje se materijalno područje primjene i opisuju obuhvaćene usluge, aktivnosti i sadržaji, među ostalim kad se pružaju bez naknade. Ponavlja se da su države članice i dalje nadležne za procjenu statusa osobe s invaliditetom i izdavanje europske iskaznice za osobe s invaliditetom i europske parkirne karte za osobe s invaliditetom, za utvrđivanje postupaka za njihovo izdavanje u skladu sa zajedničkim elementima utvrđenima u člancima 6. i 7. te za odlučivanje o tome hoće li pravo na posebne pogodnosti ili specifične posebne uvjete ili povlašteno postupanje dodijeliti osobama s </w:t>
      </w:r>
      <w:r w:rsidRPr="00C16A84">
        <w:rPr>
          <w:noProof/>
        </w:rPr>
        <w:lastRenderedPageBreak/>
        <w:t>invaliditetom i, ako je primjenjivo, osobama koje su njihova pratnja ili im pružaju pomoć. Predmet se dodatno ograničava isključivanjem socijalnih naknada.</w:t>
      </w:r>
    </w:p>
    <w:p w14:paraId="6510C8FD" w14:textId="77777777" w:rsidR="005D1D68" w:rsidRPr="00C16A84" w:rsidRDefault="005D1D68" w:rsidP="005D1D68">
      <w:pPr>
        <w:ind w:left="720" w:hanging="720"/>
        <w:rPr>
          <w:noProof/>
        </w:rPr>
      </w:pPr>
      <w:r w:rsidRPr="00C16A84">
        <w:rPr>
          <w:noProof/>
        </w:rPr>
        <w:t xml:space="preserve">U </w:t>
      </w:r>
      <w:r w:rsidRPr="00C16A84">
        <w:rPr>
          <w:noProof/>
          <w:u w:val="single"/>
        </w:rPr>
        <w:t>članku 3.</w:t>
      </w:r>
      <w:r w:rsidRPr="00C16A84">
        <w:rPr>
          <w:noProof/>
        </w:rPr>
        <w:t xml:space="preserve"> nalaze se ključne definicije.</w:t>
      </w:r>
    </w:p>
    <w:p w14:paraId="4FFB909D" w14:textId="77777777" w:rsidR="005D1D68" w:rsidRPr="00C16A84" w:rsidRDefault="005D1D68" w:rsidP="005D1D68">
      <w:pPr>
        <w:rPr>
          <w:noProof/>
        </w:rPr>
      </w:pPr>
      <w:r w:rsidRPr="00C16A84">
        <w:rPr>
          <w:noProof/>
        </w:rPr>
        <w:t xml:space="preserve">U </w:t>
      </w:r>
      <w:r w:rsidRPr="00C16A84">
        <w:rPr>
          <w:noProof/>
          <w:u w:val="single"/>
        </w:rPr>
        <w:t>članku 4.</w:t>
      </w:r>
      <w:r w:rsidRPr="00C16A84">
        <w:rPr>
          <w:noProof/>
        </w:rPr>
        <w:t xml:space="preserve"> navode se nositelji prava, dok se u </w:t>
      </w:r>
      <w:r w:rsidRPr="00C16A84">
        <w:rPr>
          <w:noProof/>
          <w:u w:val="single"/>
        </w:rPr>
        <w:t>članku 5.</w:t>
      </w:r>
      <w:r w:rsidRPr="00C16A84">
        <w:rPr>
          <w:noProof/>
        </w:rPr>
        <w:t xml:space="preserve"> propisuje da nositelji europske iskaznice za osobe s invaliditetom i europske parkirne karte za osobe s invaliditetom te osobe koje su njihova pratnja ili im pružaju pomoć, uključujući osobe koje su priznate kao osobni asistenti u skladu s nacionalnim zakonodavstvom ili praksom, imaju pravo na ravnopravan pristup posebnim uvjetima ili povlaštenom postupanju.</w:t>
      </w:r>
    </w:p>
    <w:p w14:paraId="00E7B6CC" w14:textId="77777777" w:rsidR="005D1D68" w:rsidRPr="00C16A84" w:rsidRDefault="005D1D68" w:rsidP="005D1D68">
      <w:pPr>
        <w:rPr>
          <w:noProof/>
        </w:rPr>
      </w:pPr>
      <w:r w:rsidRPr="00C16A84">
        <w:rPr>
          <w:noProof/>
        </w:rPr>
        <w:t xml:space="preserve">U </w:t>
      </w:r>
      <w:r w:rsidRPr="00C16A84">
        <w:rPr>
          <w:noProof/>
          <w:u w:val="single"/>
        </w:rPr>
        <w:t>člancima 6. i 7.</w:t>
      </w:r>
      <w:r w:rsidRPr="00C16A84">
        <w:rPr>
          <w:noProof/>
        </w:rPr>
        <w:t xml:space="preserve"> utvrđuju se obrazac, postupci i administrativne formalnosti za europsku iskaznicu za osobe s invaliditetom i europsku parkirnu kartu za osobe s invaliditetom. Utvrđuju se odredbe o uvođenju i valjanosti iskaznice/karte te njihovim obrascima koji su prikazani u prilozima. U oba se članka Komisiju ovlašćuje za donošenje delegiranih akata kojima će se utvrditi detaljne odredbe o digitalizaciji iskaznice/karte.</w:t>
      </w:r>
    </w:p>
    <w:p w14:paraId="545C68D4" w14:textId="77777777" w:rsidR="005D1D68" w:rsidRPr="00C16A84" w:rsidRDefault="005D1D68" w:rsidP="005D1D68">
      <w:pPr>
        <w:rPr>
          <w:noProof/>
        </w:rPr>
      </w:pPr>
      <w:r w:rsidRPr="00C16A84">
        <w:rPr>
          <w:noProof/>
        </w:rPr>
        <w:t xml:space="preserve">U </w:t>
      </w:r>
      <w:r w:rsidRPr="00C16A84">
        <w:rPr>
          <w:noProof/>
          <w:u w:val="single"/>
        </w:rPr>
        <w:t>članku 8.</w:t>
      </w:r>
      <w:r w:rsidRPr="00C16A84">
        <w:rPr>
          <w:noProof/>
        </w:rPr>
        <w:t xml:space="preserve"> propisuje se mogućnost donošenja zajedničkih tehničkih specifikacija u kojima će se pobliže odrediti obrazac iskaznice/karte i format budućih digitalnih elemenata.</w:t>
      </w:r>
    </w:p>
    <w:p w14:paraId="782E7A1C" w14:textId="77777777" w:rsidR="005D1D68" w:rsidRPr="00C16A84" w:rsidRDefault="005D1D68" w:rsidP="005D1D68">
      <w:pPr>
        <w:rPr>
          <w:noProof/>
        </w:rPr>
      </w:pPr>
      <w:r w:rsidRPr="00C16A84">
        <w:rPr>
          <w:noProof/>
        </w:rPr>
        <w:t xml:space="preserve">U </w:t>
      </w:r>
      <w:r w:rsidRPr="00C16A84">
        <w:rPr>
          <w:noProof/>
          <w:u w:val="single"/>
        </w:rPr>
        <w:t>članku 9.</w:t>
      </w:r>
      <w:r w:rsidRPr="00C16A84">
        <w:rPr>
          <w:noProof/>
        </w:rPr>
        <w:t xml:space="preserve"> utvrđuju se odredbe o nadzoru, usklađenosti i pristupačnosti informacija u pogledu upotrebe iskaznice/karte, među ostalim u slučaju rizika od krivotvorenja ili prijevare.</w:t>
      </w:r>
    </w:p>
    <w:p w14:paraId="2A0F7B76" w14:textId="77777777" w:rsidR="005D1D68" w:rsidRPr="00C16A84" w:rsidRDefault="005D1D68" w:rsidP="00086ECF">
      <w:pPr>
        <w:rPr>
          <w:noProof/>
        </w:rPr>
      </w:pPr>
      <w:r w:rsidRPr="00C16A84">
        <w:rPr>
          <w:noProof/>
        </w:rPr>
        <w:t xml:space="preserve">U </w:t>
      </w:r>
      <w:r w:rsidRPr="00C16A84">
        <w:rPr>
          <w:noProof/>
          <w:u w:val="single"/>
        </w:rPr>
        <w:t>članku 10.</w:t>
      </w:r>
      <w:r w:rsidRPr="00C16A84">
        <w:rPr>
          <w:noProof/>
        </w:rPr>
        <w:t xml:space="preserve"> države članice obvezuje se da odrede nadležna tijela koja će izdavati iskaznicu/kartu.</w:t>
      </w:r>
    </w:p>
    <w:p w14:paraId="2F0017F0" w14:textId="77777777" w:rsidR="005D1D68" w:rsidRPr="00C16A84" w:rsidRDefault="005D1D68" w:rsidP="005D1D68">
      <w:pPr>
        <w:rPr>
          <w:noProof/>
        </w:rPr>
      </w:pPr>
      <w:r w:rsidRPr="00C16A84">
        <w:rPr>
          <w:noProof/>
        </w:rPr>
        <w:t xml:space="preserve">U </w:t>
      </w:r>
      <w:r w:rsidRPr="00C16A84">
        <w:rPr>
          <w:noProof/>
          <w:u w:val="single"/>
        </w:rPr>
        <w:t>člancima 11. i 12.</w:t>
      </w:r>
      <w:r w:rsidRPr="00C16A84">
        <w:rPr>
          <w:noProof/>
        </w:rPr>
        <w:t xml:space="preserve"> utvrđuju se pravila i postupci za Komisijino izvršavanje delegiranja te za provedbene akte iz članaka 6., 7. i 8.</w:t>
      </w:r>
    </w:p>
    <w:p w14:paraId="31A32343" w14:textId="77777777" w:rsidR="005D1D68" w:rsidRPr="00C16A84" w:rsidRDefault="005D1D68" w:rsidP="005D1D68">
      <w:pPr>
        <w:rPr>
          <w:noProof/>
        </w:rPr>
      </w:pPr>
      <w:r w:rsidRPr="00C16A84">
        <w:rPr>
          <w:noProof/>
          <w:u w:val="single"/>
        </w:rPr>
        <w:t>Članci 13. i 14.</w:t>
      </w:r>
      <w:r w:rsidRPr="00C16A84">
        <w:rPr>
          <w:noProof/>
        </w:rPr>
        <w:t xml:space="preserve"> odnose se na izvršenje i sankcije, pa na temelju njih organizacije koje zastupaju osobe s invaliditetom i druga javna tijela s legitimnim interesima mogu poduzeti mjere za osiguravanje usklađenosti s Direktivom. Sankcije bi trebale biti popraćene korektivnim mjerama jer je važno riješiti probleme na koje se naišlo pri upotrebi iskaznice/karte i poduzeti korake za buduća poboljšanja.</w:t>
      </w:r>
    </w:p>
    <w:p w14:paraId="5A8C8958" w14:textId="77777777" w:rsidR="005D1D68" w:rsidRPr="00C16A84" w:rsidRDefault="005D1D68" w:rsidP="005D1D68">
      <w:pPr>
        <w:rPr>
          <w:noProof/>
        </w:rPr>
      </w:pPr>
      <w:r w:rsidRPr="00C16A84">
        <w:rPr>
          <w:noProof/>
          <w:u w:val="single"/>
        </w:rPr>
        <w:t>Članak 15.</w:t>
      </w:r>
      <w:r w:rsidRPr="00C16A84">
        <w:rPr>
          <w:noProof/>
        </w:rPr>
        <w:t xml:space="preserve"> sadržava popratne mjere za pristup informacijama i informiranje, uključujući pristupačnost informacija.</w:t>
      </w:r>
    </w:p>
    <w:p w14:paraId="5C7DE429" w14:textId="77777777" w:rsidR="005D1D68" w:rsidRPr="00C16A84" w:rsidRDefault="005D1D68" w:rsidP="005D1D68">
      <w:pPr>
        <w:rPr>
          <w:noProof/>
        </w:rPr>
      </w:pPr>
      <w:r w:rsidRPr="00C16A84">
        <w:rPr>
          <w:noProof/>
          <w:u w:val="single"/>
        </w:rPr>
        <w:t>Članak 16.</w:t>
      </w:r>
      <w:r w:rsidRPr="00C16A84">
        <w:rPr>
          <w:noProof/>
        </w:rPr>
        <w:t xml:space="preserve"> odnosi se na izvješćivanje i preispitivanje te obvezu izrade prvog i kasnijih izvješća o primjeni Direktive.</w:t>
      </w:r>
    </w:p>
    <w:p w14:paraId="64A6E803" w14:textId="77777777" w:rsidR="005D1D68" w:rsidRPr="00C16A84" w:rsidRDefault="005D1D68" w:rsidP="005D1D68">
      <w:pPr>
        <w:rPr>
          <w:noProof/>
        </w:rPr>
      </w:pPr>
      <w:r w:rsidRPr="00C16A84">
        <w:rPr>
          <w:noProof/>
          <w:u w:val="single"/>
        </w:rPr>
        <w:t>Člankom 17.</w:t>
      </w:r>
      <w:r w:rsidRPr="00C16A84">
        <w:rPr>
          <w:noProof/>
        </w:rPr>
        <w:t xml:space="preserve"> propisuje se da postojeća preporuka o europskoj parkirnoj karti za osobe s invaliditetom zastarijeva i da se prestaje primjenjivati.</w:t>
      </w:r>
    </w:p>
    <w:p w14:paraId="721FA33D" w14:textId="77777777" w:rsidR="005D1D68" w:rsidRPr="00C16A84" w:rsidRDefault="005D1D68" w:rsidP="005D1D68">
      <w:pPr>
        <w:ind w:left="720" w:hanging="720"/>
        <w:rPr>
          <w:noProof/>
        </w:rPr>
      </w:pPr>
      <w:r w:rsidRPr="00C16A84">
        <w:rPr>
          <w:noProof/>
        </w:rPr>
        <w:t xml:space="preserve">U </w:t>
      </w:r>
      <w:r w:rsidRPr="00C16A84">
        <w:rPr>
          <w:noProof/>
          <w:u w:val="single"/>
        </w:rPr>
        <w:t>člancima 18. i 19.</w:t>
      </w:r>
      <w:r w:rsidRPr="00C16A84">
        <w:rPr>
          <w:noProof/>
        </w:rPr>
        <w:t xml:space="preserve"> utvrđuju se odredbe o prenošenju i stupanju na snagu.</w:t>
      </w:r>
    </w:p>
    <w:p w14:paraId="42C6476F" w14:textId="77777777" w:rsidR="00AE70E8" w:rsidRPr="00C16A84" w:rsidRDefault="005D1D68" w:rsidP="005D1D68">
      <w:pPr>
        <w:rPr>
          <w:noProof/>
          <w:szCs w:val="24"/>
        </w:rPr>
      </w:pPr>
      <w:r w:rsidRPr="00C16A84">
        <w:rPr>
          <w:noProof/>
        </w:rPr>
        <w:t xml:space="preserve">U </w:t>
      </w:r>
      <w:r w:rsidRPr="00C16A84">
        <w:rPr>
          <w:noProof/>
          <w:u w:val="single"/>
        </w:rPr>
        <w:t>prilozima I. i II.</w:t>
      </w:r>
      <w:r w:rsidRPr="00C16A84">
        <w:rPr>
          <w:noProof/>
        </w:rPr>
        <w:t xml:space="preserve"> opisuju se europska iskaznica za osobe s invaliditetom i europska parkirna karta za osobe s invaliditetom te se utvrđuju sadržaj i izgled njihova obrasca.</w:t>
      </w:r>
    </w:p>
    <w:p w14:paraId="4BAF32EF" w14:textId="77777777" w:rsidR="00E859DB" w:rsidRPr="00C16A84" w:rsidRDefault="00E859DB" w:rsidP="00AC7E92">
      <w:pPr>
        <w:spacing w:before="0" w:after="0"/>
        <w:jc w:val="left"/>
        <w:rPr>
          <w:noProof/>
        </w:rPr>
        <w:sectPr w:rsidR="00E859DB" w:rsidRPr="00C16A84" w:rsidSect="00396AE5">
          <w:footerReference w:type="default" r:id="rId10"/>
          <w:footerReference w:type="first" r:id="rId11"/>
          <w:pgSz w:w="11907" w:h="16839"/>
          <w:pgMar w:top="1134" w:right="1417" w:bottom="1134" w:left="1417" w:header="709" w:footer="709" w:gutter="0"/>
          <w:cols w:space="708"/>
          <w:docGrid w:linePitch="360"/>
        </w:sectPr>
      </w:pPr>
    </w:p>
    <w:p w14:paraId="1B41CADA" w14:textId="3EA061C0" w:rsidR="00D04F92" w:rsidRPr="00C16A84" w:rsidRDefault="00844766" w:rsidP="00844766">
      <w:pPr>
        <w:pStyle w:val="Rfrenceinterinstitutionnelle"/>
        <w:rPr>
          <w:noProof/>
        </w:rPr>
      </w:pPr>
      <w:r w:rsidRPr="00844766">
        <w:lastRenderedPageBreak/>
        <w:t>2023/0311 (COD)</w:t>
      </w:r>
    </w:p>
    <w:p w14:paraId="460FC05F" w14:textId="0F845E4F" w:rsidR="00E859DB" w:rsidRPr="00C16A84" w:rsidRDefault="00C16A84" w:rsidP="00C16A84">
      <w:pPr>
        <w:pStyle w:val="Statut"/>
        <w:rPr>
          <w:noProof/>
        </w:rPr>
      </w:pPr>
      <w:r w:rsidRPr="00C16A84">
        <w:rPr>
          <w:noProof/>
        </w:rPr>
        <w:t>Prijedlog</w:t>
      </w:r>
    </w:p>
    <w:p w14:paraId="6553D8AC" w14:textId="20FE8955" w:rsidR="00E859DB" w:rsidRPr="00C16A84" w:rsidRDefault="00C16A84" w:rsidP="00C16A84">
      <w:pPr>
        <w:pStyle w:val="Typedudocument"/>
        <w:rPr>
          <w:noProof/>
        </w:rPr>
      </w:pPr>
      <w:r w:rsidRPr="00C16A84">
        <w:rPr>
          <w:noProof/>
        </w:rPr>
        <w:t>DIREKTIVE EUROPSKOG PARLAMENTA I VIJEĆA</w:t>
      </w:r>
    </w:p>
    <w:p w14:paraId="5CAC285B" w14:textId="4C6BABDE" w:rsidR="00E859DB" w:rsidRPr="00C16A84" w:rsidRDefault="00C16A84" w:rsidP="00C16A84">
      <w:pPr>
        <w:pStyle w:val="Titreobjet"/>
        <w:rPr>
          <w:noProof/>
        </w:rPr>
      </w:pPr>
      <w:r w:rsidRPr="00C16A84">
        <w:rPr>
          <w:noProof/>
        </w:rPr>
        <w:t xml:space="preserve">o uspostavi europske iskaznice za osobe s invaliditetom i europske parkirne karte za osobe s invaliditetom  </w:t>
      </w:r>
      <w:r w:rsidRPr="00C16A84">
        <w:rPr>
          <w:noProof/>
        </w:rPr>
        <w:br/>
      </w:r>
    </w:p>
    <w:p w14:paraId="53951E26" w14:textId="67E5C184" w:rsidR="00E859DB" w:rsidRPr="00C16A84" w:rsidRDefault="00C16A84" w:rsidP="00C16A84">
      <w:pPr>
        <w:pStyle w:val="IntrtEEE"/>
        <w:rPr>
          <w:noProof/>
        </w:rPr>
      </w:pPr>
      <w:r w:rsidRPr="00C16A84">
        <w:rPr>
          <w:noProof/>
        </w:rPr>
        <w:t>(Tekst značajan za EGP)</w:t>
      </w:r>
    </w:p>
    <w:p w14:paraId="1AB271A5" w14:textId="77777777" w:rsidR="00E859DB" w:rsidRPr="00C16A84" w:rsidRDefault="00E859DB" w:rsidP="00CA5179">
      <w:pPr>
        <w:pStyle w:val="Institutionquiagit"/>
        <w:rPr>
          <w:noProof/>
        </w:rPr>
      </w:pPr>
      <w:r w:rsidRPr="00C16A84">
        <w:rPr>
          <w:noProof/>
        </w:rPr>
        <w:t>EUROPSKI PARLAMENT I VIJEĆE EUROPSKE UNIJE,</w:t>
      </w:r>
    </w:p>
    <w:p w14:paraId="4ABE989D" w14:textId="77777777" w:rsidR="00E859DB" w:rsidRPr="00C16A84" w:rsidRDefault="00E859DB" w:rsidP="00CA5179">
      <w:pPr>
        <w:rPr>
          <w:noProof/>
        </w:rPr>
      </w:pPr>
      <w:r w:rsidRPr="00C16A84">
        <w:rPr>
          <w:noProof/>
        </w:rPr>
        <w:t>uzimajući u obzir Ugovor o funkcioniranju Europske unije, a posebno njegov članak 53. stavak 1. i članak 62., članak 91. i članak 21. stavak 2.,</w:t>
      </w:r>
    </w:p>
    <w:p w14:paraId="0CF1986E" w14:textId="77777777" w:rsidR="00E859DB" w:rsidRPr="00C16A84" w:rsidRDefault="00E859DB" w:rsidP="00CA5179">
      <w:pPr>
        <w:rPr>
          <w:noProof/>
        </w:rPr>
      </w:pPr>
      <w:r w:rsidRPr="00C16A84">
        <w:rPr>
          <w:noProof/>
        </w:rPr>
        <w:t>uzimajući u obzir prijedlog Europske komisije,</w:t>
      </w:r>
    </w:p>
    <w:p w14:paraId="2B715BD3" w14:textId="77777777" w:rsidR="00E859DB" w:rsidRPr="00C16A84" w:rsidRDefault="00E859DB" w:rsidP="00CA5179">
      <w:pPr>
        <w:rPr>
          <w:noProof/>
        </w:rPr>
      </w:pPr>
      <w:r w:rsidRPr="00C16A84">
        <w:rPr>
          <w:noProof/>
        </w:rPr>
        <w:t>nakon prosljeđivanja nacrta zakonodavnog akta nacionalnim parlamentima,</w:t>
      </w:r>
    </w:p>
    <w:p w14:paraId="36DC7968" w14:textId="77777777" w:rsidR="00E859DB" w:rsidRPr="00C16A84" w:rsidRDefault="00E859DB" w:rsidP="00CA5179">
      <w:pPr>
        <w:rPr>
          <w:noProof/>
        </w:rPr>
      </w:pPr>
      <w:r w:rsidRPr="00C16A84">
        <w:rPr>
          <w:noProof/>
        </w:rPr>
        <w:t>uzimajući u obzir mišljenje Europskoga gospodarskog i socijalnog odbora</w:t>
      </w:r>
      <w:r w:rsidRPr="00C16A84">
        <w:rPr>
          <w:rStyle w:val="FootnoteReference"/>
          <w:noProof/>
        </w:rPr>
        <w:footnoteReference w:id="37"/>
      </w:r>
      <w:r w:rsidRPr="00C16A84">
        <w:rPr>
          <w:noProof/>
        </w:rPr>
        <w:t xml:space="preserve">, </w:t>
      </w:r>
    </w:p>
    <w:p w14:paraId="432A56C2" w14:textId="77777777" w:rsidR="00E859DB" w:rsidRPr="00C16A84" w:rsidRDefault="00E859DB" w:rsidP="00CA5179">
      <w:pPr>
        <w:rPr>
          <w:noProof/>
        </w:rPr>
      </w:pPr>
      <w:r w:rsidRPr="00C16A84">
        <w:rPr>
          <w:noProof/>
        </w:rPr>
        <w:t>uzimajući u obzir mišljenje Odbora regija</w:t>
      </w:r>
      <w:r w:rsidRPr="00C16A84">
        <w:rPr>
          <w:rStyle w:val="FootnoteReference"/>
          <w:noProof/>
        </w:rPr>
        <w:footnoteReference w:id="38"/>
      </w:r>
      <w:r w:rsidRPr="00C16A84">
        <w:rPr>
          <w:noProof/>
        </w:rPr>
        <w:t>,</w:t>
      </w:r>
    </w:p>
    <w:p w14:paraId="4A4F315C" w14:textId="77777777" w:rsidR="00E859DB" w:rsidRPr="00C16A84" w:rsidRDefault="00E859DB" w:rsidP="00CA5179">
      <w:pPr>
        <w:rPr>
          <w:noProof/>
        </w:rPr>
      </w:pPr>
      <w:r w:rsidRPr="00C16A84">
        <w:rPr>
          <w:noProof/>
        </w:rPr>
        <w:t>u skladu s redovnim zakonodavnim postupkom,</w:t>
      </w:r>
    </w:p>
    <w:p w14:paraId="5B256AF1" w14:textId="77777777" w:rsidR="00E859DB" w:rsidRPr="00C16A84" w:rsidRDefault="00E859DB" w:rsidP="00CA5179">
      <w:pPr>
        <w:rPr>
          <w:noProof/>
        </w:rPr>
      </w:pPr>
      <w:r w:rsidRPr="00C16A84">
        <w:rPr>
          <w:noProof/>
        </w:rPr>
        <w:t>budući da:</w:t>
      </w:r>
    </w:p>
    <w:p w14:paraId="45847532" w14:textId="5D0A8A93" w:rsidR="00E859DB" w:rsidRPr="00C16A84" w:rsidRDefault="00F341B8" w:rsidP="00F341B8">
      <w:pPr>
        <w:pStyle w:val="ManualConsidrant"/>
        <w:rPr>
          <w:noProof/>
        </w:rPr>
      </w:pPr>
      <w:r w:rsidRPr="00F341B8">
        <w:t>(1)</w:t>
      </w:r>
      <w:r w:rsidRPr="00F341B8">
        <w:tab/>
      </w:r>
      <w:r w:rsidR="008D2667" w:rsidRPr="00C16A84">
        <w:rPr>
          <w:noProof/>
        </w:rPr>
        <w:t>Europska unija (EU) temelji se na vrijednostima ljudskog dostojanstva, slobode i poštovanja ljudskih prava i predana je borbi protiv diskriminacije, među ostalim na temelju invaliditeta, kako je utvrđeno u Ugovoru o Europskoj uniji (UEU), Ugovoru o funkcioniranju Europske unije (UFEU) i Povelji Europske unije o temeljnim pravima („Povelja”).</w:t>
      </w:r>
    </w:p>
    <w:p w14:paraId="0590CA3F" w14:textId="0A00D57B" w:rsidR="00E859DB" w:rsidRPr="00C16A84" w:rsidRDefault="00F341B8" w:rsidP="00F341B8">
      <w:pPr>
        <w:pStyle w:val="ManualConsidrant"/>
        <w:rPr>
          <w:noProof/>
        </w:rPr>
      </w:pPr>
      <w:r w:rsidRPr="00F341B8">
        <w:t>(2)</w:t>
      </w:r>
      <w:r w:rsidRPr="00F341B8">
        <w:tab/>
      </w:r>
      <w:r w:rsidR="008D2667" w:rsidRPr="00C16A84">
        <w:rPr>
          <w:noProof/>
        </w:rPr>
        <w:t>U članku 26. Povelje Unija priznaje i poštuje pravo osoba s invaliditetom na mjere čiji je cilj osiguravanje njihove neovisnosti, društvene i profesionalne uključenosti te njihovo sudjelovanje u životu zajednice.</w:t>
      </w:r>
    </w:p>
    <w:p w14:paraId="1EAB8684" w14:textId="65124C2A" w:rsidR="00E859DB" w:rsidRPr="00C16A84" w:rsidRDefault="00F341B8" w:rsidP="00F341B8">
      <w:pPr>
        <w:pStyle w:val="ManualConsidrant"/>
        <w:rPr>
          <w:noProof/>
        </w:rPr>
      </w:pPr>
      <w:r w:rsidRPr="00F341B8">
        <w:t>(3)</w:t>
      </w:r>
      <w:r w:rsidRPr="00F341B8">
        <w:tab/>
      </w:r>
      <w:r w:rsidR="00C11726" w:rsidRPr="00C16A84">
        <w:rPr>
          <w:noProof/>
        </w:rPr>
        <w:t>Svaki građanin Unije ima temeljno pravo slobodno se kretati i boraviti na državnom području država članica, podložno ograničenjima i uvjetima utvrđenima u Ugovorima i u mjerama donesenima radi njihove provedbe.</w:t>
      </w:r>
    </w:p>
    <w:p w14:paraId="35542F33" w14:textId="7DF2C23B" w:rsidR="00C11726" w:rsidRPr="00C16A84" w:rsidRDefault="00F341B8" w:rsidP="00F341B8">
      <w:pPr>
        <w:pStyle w:val="ManualConsidrant"/>
        <w:rPr>
          <w:noProof/>
        </w:rPr>
      </w:pPr>
      <w:r w:rsidRPr="00F341B8">
        <w:t>(4)</w:t>
      </w:r>
      <w:r w:rsidRPr="00F341B8">
        <w:tab/>
      </w:r>
      <w:r w:rsidR="00C11726" w:rsidRPr="00C16A84">
        <w:rPr>
          <w:noProof/>
        </w:rPr>
        <w:t xml:space="preserve">Prema Sudu Europske unije status građanina Unije predodređen je da bude temeljni status državljana država članica pri ostvarivanju prava na kretanje i boravak na državnom području država članica, koji onima od tih državljana koji se nalaze u istoj situaciji omogućuje da se u području primjene UFEU-a </w:t>
      </w:r>
      <w:r w:rsidR="00C11726" w:rsidRPr="00C16A84">
        <w:rPr>
          <w:i/>
          <w:noProof/>
        </w:rPr>
        <w:t>ratione materiae</w:t>
      </w:r>
      <w:r w:rsidR="00C11726" w:rsidRPr="00C16A84">
        <w:rPr>
          <w:noProof/>
        </w:rPr>
        <w:t>, neovisno o njihovu državljanstvu i ne dovodeći u pitanje iznimke izričito predviđene s tim u vezi, prema njima jednako pravno postupa.</w:t>
      </w:r>
    </w:p>
    <w:p w14:paraId="79A388AC" w14:textId="11517B45" w:rsidR="008F258F" w:rsidRPr="00C16A84" w:rsidRDefault="00F341B8" w:rsidP="00F341B8">
      <w:pPr>
        <w:pStyle w:val="ManualConsidrant"/>
        <w:rPr>
          <w:noProof/>
        </w:rPr>
      </w:pPr>
      <w:r w:rsidRPr="00F341B8">
        <w:t>(5)</w:t>
      </w:r>
      <w:r w:rsidRPr="00F341B8">
        <w:tab/>
      </w:r>
      <w:r w:rsidR="0078229C" w:rsidRPr="00C16A84">
        <w:rPr>
          <w:noProof/>
        </w:rPr>
        <w:t>Unija je stranka Konvencije Ujedinjenih naroda o pravima osoba s invaliditetom (UNCRPD)</w:t>
      </w:r>
      <w:r w:rsidR="0078229C" w:rsidRPr="00C16A84">
        <w:rPr>
          <w:rStyle w:val="FootnoteReference"/>
          <w:noProof/>
        </w:rPr>
        <w:footnoteReference w:id="39"/>
      </w:r>
      <w:r w:rsidR="0078229C" w:rsidRPr="00C16A84">
        <w:rPr>
          <w:noProof/>
        </w:rPr>
        <w:t xml:space="preserve">, čije je odredbe, koje su sastavni dio pravnog poretka Unije, obvezuju u </w:t>
      </w:r>
      <w:r w:rsidR="0078229C" w:rsidRPr="00C16A84">
        <w:rPr>
          <w:noProof/>
        </w:rPr>
        <w:lastRenderedPageBreak/>
        <w:t>okviru njezinih nadležnosti. Sve države članice su stranke Konvencije UN-a o pravima osoba s invaliditetom, koja i njih obvezuje u okviru njihovih nadležnosti.</w:t>
      </w:r>
    </w:p>
    <w:p w14:paraId="11BF23D3" w14:textId="0EB3585C" w:rsidR="008F258F" w:rsidRPr="00C16A84" w:rsidRDefault="00F341B8" w:rsidP="00F341B8">
      <w:pPr>
        <w:pStyle w:val="ManualConsidrant"/>
        <w:rPr>
          <w:noProof/>
        </w:rPr>
      </w:pPr>
      <w:r w:rsidRPr="00F341B8">
        <w:t>(6)</w:t>
      </w:r>
      <w:r w:rsidRPr="00F341B8">
        <w:tab/>
      </w:r>
      <w:r w:rsidR="0078229C" w:rsidRPr="00C16A84">
        <w:rPr>
          <w:noProof/>
        </w:rPr>
        <w:t>Svrha Konvencije UN-a o pravima osoba s invaliditetom je promicanje, zaštita i osiguravanje punog i ravnopravnog uživanja svih ljudskih prava i temeljnih sloboda svih osoba s invaliditetom i promicanje poštovanja njihova urođenog dostojanstva kako bi se osiguralo njihovo puno i stvarno sudjelovanje i uključivanje u društvo na ravnopravnoj osnovi s drugima. U Konvenciji se potvrđuje i koliko je važno i potrebno poduzimanje odgovarajućih mjera da bi se osigurala pristupačnost za osobe s invaliditetom.</w:t>
      </w:r>
    </w:p>
    <w:p w14:paraId="6CCE1A82" w14:textId="0D5B9D6F" w:rsidR="00994234" w:rsidRPr="00C16A84" w:rsidRDefault="00F341B8" w:rsidP="00F341B8">
      <w:pPr>
        <w:pStyle w:val="ManualConsidrant"/>
        <w:rPr>
          <w:noProof/>
        </w:rPr>
      </w:pPr>
      <w:r w:rsidRPr="00F341B8">
        <w:t>(7)</w:t>
      </w:r>
      <w:r w:rsidRPr="00F341B8">
        <w:tab/>
      </w:r>
      <w:r w:rsidR="0078229C" w:rsidRPr="00C16A84">
        <w:rPr>
          <w:noProof/>
        </w:rPr>
        <w:t>U europskom stupu socijalnih prava koji su Europski parlament, Vijeće i Europska komisija proglasili u Göteborgu 17. studenoga 2017.</w:t>
      </w:r>
      <w:r w:rsidR="0078229C" w:rsidRPr="00C16A84">
        <w:rPr>
          <w:rStyle w:val="FootnoteReference"/>
          <w:noProof/>
        </w:rPr>
        <w:footnoteReference w:id="40"/>
      </w:r>
      <w:r w:rsidR="0078229C" w:rsidRPr="00C16A84">
        <w:rPr>
          <w:noProof/>
        </w:rPr>
        <w:t xml:space="preserve"> propisano je da svi, među ostalim bez obzira na invaliditet, imaju pravo na jednako postupanje i jednake mogućnosti u pogledu pristupa robi i uslugama dostupnima javnosti (3. načelo). U njemu se potvrđuje i pravo osoba s invaliditetom na usluge koje im omogućuju sudjelovanje u društvu (17. načelo).</w:t>
      </w:r>
    </w:p>
    <w:p w14:paraId="39DBEAA8" w14:textId="69B62FFB" w:rsidR="0078229C" w:rsidRPr="00C16A84" w:rsidRDefault="00F341B8" w:rsidP="00F341B8">
      <w:pPr>
        <w:pStyle w:val="ManualConsidrant"/>
        <w:rPr>
          <w:noProof/>
        </w:rPr>
      </w:pPr>
      <w:r w:rsidRPr="00F341B8">
        <w:t>(8)</w:t>
      </w:r>
      <w:r w:rsidRPr="00F341B8">
        <w:tab/>
      </w:r>
      <w:r w:rsidR="0038721F" w:rsidRPr="00C16A84">
        <w:rPr>
          <w:noProof/>
        </w:rPr>
        <w:t>Cilj je Direktive (EU) 2019/882 Europskog parlamenta i Vijeća</w:t>
      </w:r>
      <w:r w:rsidR="0038721F" w:rsidRPr="00C16A84">
        <w:rPr>
          <w:rStyle w:val="FootnoteReference"/>
          <w:noProof/>
        </w:rPr>
        <w:footnoteReference w:id="41"/>
      </w:r>
      <w:r w:rsidR="0038721F" w:rsidRPr="00C16A84">
        <w:rPr>
          <w:noProof/>
        </w:rPr>
        <w:t xml:space="preserve"> („Europski akt o pristupačnosti”) poboljšati pristup proizvodima i uslugama ukidanjem i sprečavanjem prepreka koje proizlaze iz različitih zahtjeva za pristupačnost u državama članicama, što doprinosi povećanju dostupnosti pristupačnih proizvoda i usluga na unutarnjem tržištu, uključujući pristup internetskim stranicama i uslugama na mobilnim uređajima određenih javnih službi</w:t>
      </w:r>
      <w:r w:rsidR="0038721F" w:rsidRPr="00C16A84">
        <w:rPr>
          <w:rStyle w:val="FootnoteReference"/>
          <w:noProof/>
        </w:rPr>
        <w:footnoteReference w:id="42"/>
      </w:r>
      <w:r w:rsidR="0038721F" w:rsidRPr="00C16A84">
        <w:rPr>
          <w:noProof/>
        </w:rPr>
        <w:t>, te poboljšati pristupačnost relevantnih informacija. Osim toga, pravo Unije jamči i pravo na nediskriminaciju u pristupu prijevozu te druga prava, kao što je pravo na besplatnu pomoć za putnike s invaliditetom i smanjenom pokretljivošću koji putuju zrakoplovom</w:t>
      </w:r>
      <w:r w:rsidR="0038721F" w:rsidRPr="00C16A84">
        <w:rPr>
          <w:rStyle w:val="FootnoteReference"/>
          <w:noProof/>
        </w:rPr>
        <w:footnoteReference w:id="43"/>
      </w:r>
      <w:r w:rsidR="0038721F" w:rsidRPr="00C16A84">
        <w:rPr>
          <w:noProof/>
        </w:rPr>
        <w:t>, željeznicom</w:t>
      </w:r>
      <w:r w:rsidR="0038721F" w:rsidRPr="00C16A84">
        <w:rPr>
          <w:rStyle w:val="FootnoteReference"/>
          <w:noProof/>
        </w:rPr>
        <w:footnoteReference w:id="44"/>
      </w:r>
      <w:r w:rsidR="0038721F" w:rsidRPr="00C16A84">
        <w:rPr>
          <w:noProof/>
        </w:rPr>
        <w:t>, plovilima</w:t>
      </w:r>
      <w:r w:rsidR="0038721F" w:rsidRPr="00C16A84">
        <w:rPr>
          <w:rStyle w:val="FootnoteReference"/>
          <w:noProof/>
        </w:rPr>
        <w:footnoteReference w:id="45"/>
      </w:r>
      <w:r w:rsidR="0038721F" w:rsidRPr="00C16A84">
        <w:rPr>
          <w:noProof/>
        </w:rPr>
        <w:t xml:space="preserve"> ili autobusom</w:t>
      </w:r>
      <w:r w:rsidR="0038721F" w:rsidRPr="00C16A84">
        <w:rPr>
          <w:rStyle w:val="FootnoteReference"/>
          <w:noProof/>
        </w:rPr>
        <w:footnoteReference w:id="46"/>
      </w:r>
      <w:r w:rsidR="0038721F" w:rsidRPr="00C16A84">
        <w:rPr>
          <w:noProof/>
        </w:rPr>
        <w:t>. U kontekstu cesta s naplatom cestarine</w:t>
      </w:r>
      <w:r w:rsidR="0038721F" w:rsidRPr="00C16A84">
        <w:rPr>
          <w:rStyle w:val="FootnoteReference"/>
          <w:noProof/>
        </w:rPr>
        <w:footnoteReference w:id="47"/>
      </w:r>
      <w:r w:rsidR="0038721F" w:rsidRPr="00C16A84">
        <w:rPr>
          <w:noProof/>
        </w:rPr>
        <w:t xml:space="preserve"> države članice mogu u skladu s pravom Unije propisati niže pristojbe ili korisničke naknade za ceste/mostove/tunele s naplatom te izuzeća od obveze plaćanja takvih pristojbi ili korisničkih naknada za sva vozila koja upotrebljavaju osobe s invaliditetom ili su u njihovu vlasništvu.</w:t>
      </w:r>
    </w:p>
    <w:p w14:paraId="44C60B91" w14:textId="655ADBFC" w:rsidR="008F258F" w:rsidRPr="00C16A84" w:rsidRDefault="00F341B8" w:rsidP="00F341B8">
      <w:pPr>
        <w:pStyle w:val="ManualConsidrant"/>
        <w:rPr>
          <w:noProof/>
        </w:rPr>
      </w:pPr>
      <w:r w:rsidRPr="00F341B8">
        <w:t>(9)</w:t>
      </w:r>
      <w:r w:rsidRPr="00F341B8">
        <w:tab/>
      </w:r>
      <w:r w:rsidR="0078229C" w:rsidRPr="00C16A84">
        <w:rPr>
          <w:noProof/>
        </w:rPr>
        <w:t xml:space="preserve">Osobe s invaliditetom mogu nadležnim tijelima u državi članici u kojoj borave podnijeti zahtjev za priznavanje statusa osobe s invaliditetom jer je to pitanje u njihovoj nadležnosti. Svaka država članica i njezina nadležna tijela imaju uspostavljen </w:t>
      </w:r>
      <w:r w:rsidR="0078229C" w:rsidRPr="00C16A84">
        <w:rPr>
          <w:noProof/>
        </w:rPr>
        <w:lastRenderedPageBreak/>
        <w:t>postupak procjene invaliditeta, koji se razlikuje među državama članicama. Ako nadležna tijela podnositelju zahtjeva priznaju status osobe s invaliditetom, izdaju mu potvrdu o invaliditetu, iskaznicu za osobe s invaliditetom ili drugu službenu ispravu kojom mu se priznaje status osobe s invaliditetom.</w:t>
      </w:r>
    </w:p>
    <w:p w14:paraId="7CB6A006" w14:textId="66BFC0F8" w:rsidR="008F258F" w:rsidRPr="00C16A84" w:rsidRDefault="00F341B8" w:rsidP="00F341B8">
      <w:pPr>
        <w:pStyle w:val="ManualConsidrant"/>
        <w:rPr>
          <w:noProof/>
        </w:rPr>
      </w:pPr>
      <w:r w:rsidRPr="00F341B8">
        <w:t>(10)</w:t>
      </w:r>
      <w:r w:rsidRPr="00F341B8">
        <w:tab/>
      </w:r>
      <w:r w:rsidR="0078229C" w:rsidRPr="00C16A84">
        <w:rPr>
          <w:noProof/>
        </w:rPr>
        <w:t>Zbog nepriznavanja statusa među državama članicama osobe s invaliditetom mogu naići na određene poteškoće u ostvarivanju svojih temeljnih prava na slobodno kretanje.</w:t>
      </w:r>
    </w:p>
    <w:p w14:paraId="05260B08" w14:textId="4B3260FE" w:rsidR="008F258F" w:rsidRPr="00C16A84" w:rsidRDefault="00F341B8" w:rsidP="00F341B8">
      <w:pPr>
        <w:pStyle w:val="ManualConsidrant"/>
        <w:rPr>
          <w:noProof/>
        </w:rPr>
      </w:pPr>
      <w:r w:rsidRPr="00F341B8">
        <w:t>(11)</w:t>
      </w:r>
      <w:r w:rsidRPr="00F341B8">
        <w:tab/>
      </w:r>
      <w:r w:rsidR="003E44D0" w:rsidRPr="00C16A84">
        <w:rPr>
          <w:noProof/>
        </w:rPr>
        <w:t xml:space="preserve">Osobi s invaliditetom koja se na dulje razdoblje seli u drugu državu članicu radi zaposlenja, studiranja ili u druge svrhe taj status mogu procijeniti i službeno priznati nadležna tijela druge države članice te joj se može izdati potvrda o invaliditetu, iskaznica za osobe s invaliditetom ili druga službena isprava kojom joj se </w:t>
      </w:r>
      <w:bookmarkStart w:id="10" w:name="_Hlk138255196"/>
      <w:r w:rsidR="003E44D0" w:rsidRPr="00C16A84">
        <w:rPr>
          <w:noProof/>
        </w:rPr>
        <w:t>priznaje status osobe s invaliditetom</w:t>
      </w:r>
      <w:bookmarkEnd w:id="10"/>
      <w:r w:rsidR="003E44D0" w:rsidRPr="00C16A84">
        <w:rPr>
          <w:noProof/>
        </w:rPr>
        <w:t xml:space="preserve"> u skladu s primjenjivim pravilima te države članice, osim ako je drukčije predviđeno zakonom ili dogovoreno između država članica.</w:t>
      </w:r>
    </w:p>
    <w:p w14:paraId="1F81E755" w14:textId="7B92D640" w:rsidR="008F258F" w:rsidRPr="00C16A84" w:rsidRDefault="00F341B8" w:rsidP="00F341B8">
      <w:pPr>
        <w:pStyle w:val="ManualConsidrant"/>
        <w:rPr>
          <w:noProof/>
        </w:rPr>
      </w:pPr>
      <w:r w:rsidRPr="00F341B8">
        <w:t>(12)</w:t>
      </w:r>
      <w:r w:rsidRPr="00F341B8">
        <w:tab/>
      </w:r>
      <w:r w:rsidR="003E44D0" w:rsidRPr="00C16A84">
        <w:rPr>
          <w:noProof/>
        </w:rPr>
        <w:t>Međutim, osobe s invaliditetom s priznatim statusom koje na kratko razdoblje putuju u državu članicu koja nije država članica njihova boravišta ili je posjećuju mogu naići na znatne poteškoće u ostvarivanju svojeg prava na posebne uvjete i/ili povlašteno postupanje koji se nude u državi članici u koju putuju ili koju posjećuju ako im se ne prizna status osobe s invaliditetom u toj državi članici i ako nemaju potvrdu, iskaznicu za osobe s invaliditetom ili drugu službenu ispravu kojom im se priznaje status osobe s invaliditetom u državi članici domaćinu.</w:t>
      </w:r>
    </w:p>
    <w:p w14:paraId="55946EE9" w14:textId="626298F5" w:rsidR="008F258F" w:rsidRPr="00C16A84" w:rsidRDefault="00F341B8" w:rsidP="00F341B8">
      <w:pPr>
        <w:pStyle w:val="ManualConsidrant"/>
        <w:rPr>
          <w:noProof/>
        </w:rPr>
      </w:pPr>
      <w:r w:rsidRPr="00F341B8">
        <w:t>(13)</w:t>
      </w:r>
      <w:r w:rsidRPr="00F341B8">
        <w:tab/>
      </w:r>
      <w:r w:rsidR="00470960" w:rsidRPr="00C16A84">
        <w:rPr>
          <w:noProof/>
        </w:rPr>
        <w:t>U tom su slučaju osobe s invaliditetom koje putuju u drugu državu članicu ili je posjećuju u nepovoljnijem položaju pri ostvarivanju svojih prava na slobodno kretanje u odnosu na osobe s invaliditetom koje imaju potvrdu o invaliditetu, iskaznicu za osobe s invaliditetom ili drugu službenu ispravu kojom im se priznaje status osobe s invaliditetom u državi članici u koju putuju ili koju posjećuju.</w:t>
      </w:r>
    </w:p>
    <w:p w14:paraId="3A6FC1FA" w14:textId="0D99DA91" w:rsidR="008F258F" w:rsidRPr="00C16A84" w:rsidRDefault="00F341B8" w:rsidP="00F341B8">
      <w:pPr>
        <w:pStyle w:val="ManualConsidrant"/>
        <w:rPr>
          <w:noProof/>
        </w:rPr>
      </w:pPr>
      <w:r w:rsidRPr="00F341B8">
        <w:t>(14)</w:t>
      </w:r>
      <w:r w:rsidRPr="00F341B8">
        <w:tab/>
      </w:r>
      <w:r w:rsidR="00470960" w:rsidRPr="00C16A84">
        <w:rPr>
          <w:noProof/>
        </w:rPr>
        <w:t>Nadalje, kad putuju u drugu državu članicu ili je posjećuju, veliku im nesigurnost stvara i neznanje o tome mogu li se priznati i, ako mogu, u kojoj se mjeri priznaju njihov status osobe s invaliditetom i službene isprave kojima se priznaje taj status. Naposljetku, razni čimbenici mogu osobe s invaliditetom spriječiti u ostvarivanju njihovih prava na slobodno kretanje.</w:t>
      </w:r>
    </w:p>
    <w:p w14:paraId="6C716BC9" w14:textId="414BA230" w:rsidR="008F258F" w:rsidRPr="00C16A84" w:rsidRDefault="00F341B8" w:rsidP="00F341B8">
      <w:pPr>
        <w:pStyle w:val="ManualConsidrant"/>
        <w:rPr>
          <w:noProof/>
        </w:rPr>
      </w:pPr>
      <w:r w:rsidRPr="00F341B8">
        <w:t>(15)</w:t>
      </w:r>
      <w:r w:rsidRPr="00F341B8">
        <w:tab/>
      </w:r>
      <w:r w:rsidR="00745C3E" w:rsidRPr="00C16A84">
        <w:rPr>
          <w:noProof/>
        </w:rPr>
        <w:t>Bitan čimbenik koji, uz fizičke i druge prepreke u pristupu javnim i privatnim prostorima, mnoge osobe s invaliditetom odvraća od odlaska na putovanje visoki su putni troškovi</w:t>
      </w:r>
      <w:r w:rsidR="00745C3E" w:rsidRPr="00C16A84">
        <w:rPr>
          <w:rStyle w:val="FootnoteReference"/>
          <w:noProof/>
        </w:rPr>
        <w:footnoteReference w:id="48"/>
      </w:r>
      <w:r w:rsidR="00745C3E" w:rsidRPr="00C16A84">
        <w:rPr>
          <w:noProof/>
        </w:rPr>
        <w:t>, koji su zbog njihovih specifičnih potreba i moguće potrebe za pratnjom ili pomoći druge osobe, uključujući osobe koje su priznate kao osobni asistenti u skladu s nacionalnim zakonodavstvom, viši nego putni troškovi osoba bez invaliditeta</w:t>
      </w:r>
      <w:r w:rsidR="00745C3E" w:rsidRPr="00C16A84">
        <w:rPr>
          <w:rStyle w:val="FootnoteReference"/>
          <w:noProof/>
        </w:rPr>
        <w:footnoteReference w:id="49"/>
      </w:r>
      <w:r w:rsidR="00745C3E" w:rsidRPr="00C16A84">
        <w:rPr>
          <w:noProof/>
        </w:rPr>
        <w:t>. Nepriznavanje statusa osobe s invaliditetom u drugim državama članicama može ograničiti njihov pristup posebnim uvjetima, kao što su besplatan pristup ili niže cijene, ili povlaštenom postupanju te utječe na njihove putne troškove, život i odluke.</w:t>
      </w:r>
    </w:p>
    <w:p w14:paraId="5640E14C" w14:textId="12B19271" w:rsidR="008F258F" w:rsidRPr="00C16A84" w:rsidRDefault="00F341B8" w:rsidP="00F341B8">
      <w:pPr>
        <w:pStyle w:val="ManualConsidrant"/>
        <w:rPr>
          <w:noProof/>
        </w:rPr>
      </w:pPr>
      <w:r w:rsidRPr="00F341B8">
        <w:t>(16)</w:t>
      </w:r>
      <w:r w:rsidRPr="00F341B8">
        <w:tab/>
      </w:r>
      <w:r w:rsidR="00745C3E" w:rsidRPr="00C16A84">
        <w:rPr>
          <w:noProof/>
        </w:rPr>
        <w:t xml:space="preserve">Povlašteno postupanje (kao što su osobna asistencija ili prioritetni pristup), koje se nudi uz naknadu ili bez nje, može biti važan čimbenik koji osobama s invaliditetom </w:t>
      </w:r>
      <w:r w:rsidR="00745C3E" w:rsidRPr="00C16A84">
        <w:rPr>
          <w:noProof/>
        </w:rPr>
        <w:lastRenderedPageBreak/>
        <w:t>omogućuje pristup i bolje iskustvo s raznim uslugama, aktivnostima ili sadržajima. No ako se u državi članici koju posjećuju ili u koju putuju ne priznaju njihov status osobe s invaliditetom ni službene isprave izdane u drugim državama članicama kojima se priznaje taj status, osobe s invaliditetom možda neće moći ostvariti pravo na posebne uvjete ili povlašteno postupanje koje privatni subjekti ili javna tijela u toj državi članici nude nositeljima potvrde o invaliditetu, iskaznice za osobe s invaliditetom ili druge službene isprave kojom im se priznaje status osobe s invaliditetom i koja je izdana u toj državi članici.</w:t>
      </w:r>
    </w:p>
    <w:p w14:paraId="12101460" w14:textId="11B9745B" w:rsidR="008F258F" w:rsidRPr="00C16A84" w:rsidRDefault="00F341B8" w:rsidP="00F341B8">
      <w:pPr>
        <w:pStyle w:val="ManualConsidrant"/>
        <w:rPr>
          <w:noProof/>
        </w:rPr>
      </w:pPr>
      <w:r w:rsidRPr="00F341B8">
        <w:t>(17)</w:t>
      </w:r>
      <w:r w:rsidRPr="00F341B8">
        <w:tab/>
      </w:r>
      <w:r w:rsidR="006338C0" w:rsidRPr="00C16A84">
        <w:rPr>
          <w:noProof/>
        </w:rPr>
        <w:t>Pilot-projekt iskaznice EU-a za osobe s invaliditetom pokrenut 2016. i proveden u osam država članica pokazao je prednosti za osobe s invaliditetom u pristupu uslugama u području kulture, slobodnih aktivnosti, sporta, a u nekim slučajevima i prijevoza, te u podupiranju njihova prekograničnog kretanja u EU-u na kratko razdoblje</w:t>
      </w:r>
      <w:r w:rsidR="006338C0" w:rsidRPr="00C16A84">
        <w:rPr>
          <w:rStyle w:val="FootnoteReference"/>
          <w:noProof/>
        </w:rPr>
        <w:footnoteReference w:id="50"/>
      </w:r>
      <w:r w:rsidR="006338C0" w:rsidRPr="00C16A84">
        <w:rPr>
          <w:noProof/>
        </w:rPr>
        <w:t>. Osim toga, uključivao je i druge primjere usluga, aktivnosti i sadržaja za koje se nude posebni uvjeti ili povlašteno postupanje za osobe s invaliditetom.</w:t>
      </w:r>
    </w:p>
    <w:p w14:paraId="0DEA72B5" w14:textId="24D4C5EA" w:rsidR="008F258F" w:rsidRPr="00C16A84" w:rsidRDefault="00F341B8" w:rsidP="00F341B8">
      <w:pPr>
        <w:pStyle w:val="ManualConsidrant"/>
        <w:rPr>
          <w:noProof/>
        </w:rPr>
      </w:pPr>
      <w:r w:rsidRPr="00F341B8">
        <w:t>(18)</w:t>
      </w:r>
      <w:r w:rsidRPr="00F341B8">
        <w:tab/>
      </w:r>
      <w:r w:rsidR="006338C0" w:rsidRPr="00C16A84">
        <w:rPr>
          <w:noProof/>
        </w:rPr>
        <w:t>Na temelju svojeg statusa osobe s invaliditetom mogu nadležnim tijelima u državi članici u kojoj borave podnijeti zahtjev za izdavanje parkirne karte za osobe s invaliditetom kojom se priznaje pravo na određene uvjete i prostore za parkiranje rezervirane za osobe s invaliditetom. Svaka država članica ima uspostavljen postupak podnošenja zahtjeva za izdavanje parkirne karte za osobe s invaliditetom (ili osobe koje su njihova pratnja ili im pružaju pomoć, uključujući osobne asistente) na lokalnoj, regionalnoj ili nacionalnoj razini, kao i kriterije prihvatljivosti.</w:t>
      </w:r>
    </w:p>
    <w:p w14:paraId="763F3655" w14:textId="554DCD96" w:rsidR="008F258F" w:rsidRPr="00C16A84" w:rsidRDefault="00F341B8" w:rsidP="00F341B8">
      <w:pPr>
        <w:pStyle w:val="ManualConsidrant"/>
        <w:rPr>
          <w:noProof/>
        </w:rPr>
      </w:pPr>
      <w:r w:rsidRPr="00F341B8">
        <w:t>(19)</w:t>
      </w:r>
      <w:r w:rsidRPr="00F341B8">
        <w:tab/>
      </w:r>
      <w:r w:rsidR="006338C0" w:rsidRPr="00C16A84">
        <w:rPr>
          <w:noProof/>
        </w:rPr>
        <w:t>Preporukom Vijeća 98/376/EZ</w:t>
      </w:r>
      <w:r w:rsidR="006338C0" w:rsidRPr="00C16A84">
        <w:rPr>
          <w:rStyle w:val="FootnoteReference"/>
          <w:noProof/>
        </w:rPr>
        <w:footnoteReference w:id="51"/>
      </w:r>
      <w:r w:rsidR="006338C0" w:rsidRPr="00C16A84">
        <w:rPr>
          <w:noProof/>
        </w:rPr>
        <w:t xml:space="preserve"> propisan je europski model parkirne karte za osobe s invaliditetom, što je olakšalo priznavanje parkirne karte u državama članicama. No zbog njezine primjene i dodavanja elemenata odnosno odstupanja od preporučenog modela na nacionalnoj razini postoje brojne različite karte. To otežava njihovo prekogranično priznavanje u drugim državama članicama, a time i pristup osoba s invaliditetom uvjetima i prostorima za parkiranje rezerviranima za osobe s invaliditetom koje su nositelji parkirne karte u drugim državama članicama. Nadalje, Preporuka Vijeća nije ažurirana kako bi se uzeo u obzir aktualni razvoj tehnologije i digitalizacije. Države članice suočavaju se i s prijevarama i krivotvorenjem karata jer ih je zbog prilično jednostavnog izgleda lako krivotvoriti, a taj se izgled u praksi razlikuje u svakoj državi članici, što otežava provjeru.</w:t>
      </w:r>
    </w:p>
    <w:p w14:paraId="72145E00" w14:textId="5A179220" w:rsidR="008F258F" w:rsidRPr="00C16A84" w:rsidRDefault="00F341B8" w:rsidP="00F341B8">
      <w:pPr>
        <w:pStyle w:val="ManualConsidrant"/>
        <w:rPr>
          <w:noProof/>
        </w:rPr>
      </w:pPr>
      <w:r w:rsidRPr="00F341B8">
        <w:t>(20)</w:t>
      </w:r>
      <w:r w:rsidRPr="00F341B8">
        <w:tab/>
      </w:r>
      <w:r w:rsidR="006338C0" w:rsidRPr="00C16A84">
        <w:rPr>
          <w:noProof/>
        </w:rPr>
        <w:t>Kako bi se osobama s invaliditetom koje putuju u drugu državu članicu ili je posjećuju olakšao pristup posebnim uvjetima ili povlaštenom postupanju u pogledu usluga, aktivnosti i sadržaja u drugim državama članicama, među ostalim kad se pružaju bez naknade, trebalo bi ukloniti preostale prepreke i poteškoće na koje nailaze zbog nepriznavanja njihova statusa osobe s invaliditetom, službenih isprava izdanih u drugim državama članicama kojima se priznaje taj status i njihovih parkirnih prava.</w:t>
      </w:r>
    </w:p>
    <w:p w14:paraId="12672169" w14:textId="6A3A4FE2" w:rsidR="008F258F" w:rsidRPr="00C16A84" w:rsidRDefault="00F341B8" w:rsidP="00F341B8">
      <w:pPr>
        <w:pStyle w:val="ManualConsidrant"/>
        <w:rPr>
          <w:noProof/>
        </w:rPr>
      </w:pPr>
      <w:r w:rsidRPr="00F341B8">
        <w:t>(21)</w:t>
      </w:r>
      <w:r w:rsidRPr="00F341B8">
        <w:tab/>
      </w:r>
      <w:r w:rsidR="007E5600" w:rsidRPr="00C16A84">
        <w:rPr>
          <w:noProof/>
        </w:rPr>
        <w:t xml:space="preserve">Stoga, kako bi se osobama s invaliditetom koje na kratko razdoblje putuju u drugu državu članicu ili je posjećuju olakšalo ostvarivanje prava na pristup posebnim uvjetima ili povlaštenom postupanju koje nude privatni subjekti ili javna tijela bez </w:t>
      </w:r>
      <w:r w:rsidR="007E5600" w:rsidRPr="00C16A84">
        <w:rPr>
          <w:noProof/>
        </w:rPr>
        <w:lastRenderedPageBreak/>
        <w:t>diskriminacije na temelju državljanstva i na ravnopravnoj osnovi s osobama s invaliditetom u toj državi članici te kako bi im se olakšali upotreba prijevoza i ostvarivanje prava na uvjete i prostore za parkiranje rezervirane za osobe s invaliditetom na ravnopravnoj osnovi kao i u toj državi članici, potrebno je uspostaviti okvir, pravila i zajedničke uvjete, uključujući zajednički standardizirani model, za europsku iskaznicu za osobe s invaliditetom kao dokaz priznatog statusa osobe s invaliditetom i europsku parkirnu kartu za osobe s invaliditetom kao dokaz njihova priznatog prava na uvjete i prostore za parkiranje rezervirane za osobe s invaliditetom.</w:t>
      </w:r>
    </w:p>
    <w:p w14:paraId="197972EB" w14:textId="259F4582" w:rsidR="008F258F" w:rsidRPr="00C16A84" w:rsidRDefault="00F341B8" w:rsidP="00F341B8">
      <w:pPr>
        <w:pStyle w:val="ManualConsidrant"/>
        <w:rPr>
          <w:noProof/>
        </w:rPr>
      </w:pPr>
      <w:r w:rsidRPr="00F341B8">
        <w:t>(22)</w:t>
      </w:r>
      <w:r w:rsidRPr="00F341B8">
        <w:tab/>
      </w:r>
      <w:r w:rsidR="007E5600" w:rsidRPr="00C16A84">
        <w:rPr>
          <w:noProof/>
        </w:rPr>
        <w:t>Uzajamnim priznavanjem europske iskaznice za osobe s invaliditetom i europske parkirne karte za osobe s invaliditetom trebalo bi osobama s priznatim statusom u državi članici olakšati i zajamčiti pristup posebnim uvjetima ili povlaštenom postupanju koje privatni subjekti ili javna tijela nude za razne usluge, aktivnosti i sadržaje, među ostalim kad se pružaju bez naknade, kao i pristup uvjetima i prostorima za parkiranje rezerviranima za osobe s invaliditetom, koji je ravnopravan pristupu nositelja nacionalnih potvrda, iskaznica za osobe s invaliditetom ili drugih službenih isprava kojima se priznaje taj status i parkirnih karata za osobe s invaliditetom, koje su izdala nadležna tijela u zemlji domaćinu.</w:t>
      </w:r>
    </w:p>
    <w:p w14:paraId="633A5692" w14:textId="67BBAB15" w:rsidR="008F258F" w:rsidRPr="00C16A84" w:rsidRDefault="00F341B8" w:rsidP="00F341B8">
      <w:pPr>
        <w:pStyle w:val="ManualConsidrant"/>
        <w:rPr>
          <w:noProof/>
        </w:rPr>
      </w:pPr>
      <w:bookmarkStart w:id="11" w:name="_Hlk140843635"/>
      <w:r w:rsidRPr="00F341B8">
        <w:t>(23)</w:t>
      </w:r>
      <w:r w:rsidRPr="00F341B8">
        <w:tab/>
      </w:r>
      <w:r w:rsidR="004C1CA7" w:rsidRPr="00C16A84">
        <w:rPr>
          <w:noProof/>
        </w:rPr>
        <w:t>Osim na uvjete i prostore za parkiranje usluge, aktivnosti i sadržaji obuhvaćeni ovom Direktivom odnose se na vrlo raznolike aktivnosti, uključujući aktivnosti koje javna tijela ili privatni subjekti pružaju bez naknade na temelju obveza (nacionalnih/lokalnih pravila ili pravnih obveza), a često i dobrovoljno (posebno privatni subjekti) u raznim područjima politike, kao što su kultura, slobodne aktivnosti, turizam, sport, javni i privatni prijevoz, obrazovanje.</w:t>
      </w:r>
    </w:p>
    <w:bookmarkEnd w:id="11"/>
    <w:p w14:paraId="5017F787" w14:textId="58A5B272" w:rsidR="008F258F" w:rsidRPr="00C16A84" w:rsidRDefault="00F341B8" w:rsidP="00F341B8">
      <w:pPr>
        <w:pStyle w:val="ManualConsidrant"/>
        <w:rPr>
          <w:noProof/>
        </w:rPr>
      </w:pPr>
      <w:r w:rsidRPr="00F341B8">
        <w:t>(24)</w:t>
      </w:r>
      <w:r w:rsidRPr="00F341B8">
        <w:tab/>
      </w:r>
      <w:r w:rsidR="00F03568" w:rsidRPr="00C16A84">
        <w:rPr>
          <w:noProof/>
        </w:rPr>
        <w:t>Primjeri posebnih uvjeta ili povlaštenog postupanja uključuju besplatan pristup, niže cijene, niže pristojbe ili korisničke naknade za ceste/mostove/tunele s naplatom, prioritetni pristup, posebno označena sjedala u parkovima i drugim javnim prostorima, pristupačna sjedala na kulturnim ili javnim događanjima, osobnu asistenciju, životinje pomagače, pomoć na plaži pri ulasku u vodu, podršku (kao što je pristup brajici, zvučnim vodičima, tumačima znakovnog jezika), nabavu pomagala ili pružanje pomoći, posudbu invalidskih kolica, posudbu plutajućih invalidskih kolica, dobivanje turističkih informacija u pristupačnim oblicima, upotrebu mobilnog skutera na cestama ili invalidskih kolica na biciklističkim stazama bez novčane kazne itd. Uvjeti i prostori za parkiranje uključuju mogućnost duljeg parkiranja ili rezervirana parkirna mjesta. Uz posebne uvjete ili povlašteno postupanje koji se osobama s invaliditetom nude u putničkom prijevozu životinje pomagači, osobni asistenti ili druge osobe koje su pratnja ili pružaju pomoć osobama s invaliditetom (ili osobama sa smanjenom pokretljivošću) mogu putovati besplatno ili, ako je to izvedivo, sjediti pokraj osobe s invaliditetom u skladu s nacionalnim zakonodavstvom ili praksom.</w:t>
      </w:r>
    </w:p>
    <w:p w14:paraId="427FE3BD" w14:textId="3159AF45" w:rsidR="00CA795C" w:rsidRPr="00C16A84" w:rsidRDefault="00F341B8" w:rsidP="00F341B8">
      <w:pPr>
        <w:pStyle w:val="ManualConsidrant"/>
        <w:rPr>
          <w:noProof/>
        </w:rPr>
      </w:pPr>
      <w:r w:rsidRPr="00F341B8">
        <w:t>(25)</w:t>
      </w:r>
      <w:r w:rsidRPr="00F341B8">
        <w:tab/>
      </w:r>
      <w:r w:rsidR="008B3578" w:rsidRPr="00C16A84">
        <w:rPr>
          <w:noProof/>
        </w:rPr>
        <w:t xml:space="preserve">Ovom se Direktivom utvrđuju način izdavanja europske iskaznice za osobe s invaliditetom i europske parkirne karte za osobe s invaliditetom u državi članici te primjenjivi postupci i nadležnosti te države članice za procjenu i priznavanje statusa osobe s invaliditetom i parkirnih prava osoba s invaliditetom. </w:t>
      </w:r>
    </w:p>
    <w:p w14:paraId="3F50A081" w14:textId="63258484" w:rsidR="0062341A" w:rsidRPr="00C16A84" w:rsidRDefault="00F341B8" w:rsidP="00F341B8">
      <w:pPr>
        <w:pStyle w:val="ManualConsidrant"/>
        <w:rPr>
          <w:noProof/>
        </w:rPr>
      </w:pPr>
      <w:r w:rsidRPr="00F341B8">
        <w:t>(26)</w:t>
      </w:r>
      <w:r w:rsidRPr="00F341B8">
        <w:tab/>
      </w:r>
      <w:r w:rsidR="00CD7A82" w:rsidRPr="00C16A84">
        <w:rPr>
          <w:noProof/>
        </w:rPr>
        <w:t xml:space="preserve">Osim o fizičkoj iskaznici/karti, države članice trebale bi donijeti odredbe o digitalnoj iskaznici/karti nakon što se na temelju prijedloga Komisije delegiranim i provedbenim aktima utvrde njezin obrazac i specifikacije. Takav bi se prijedlog trebao temeljiti na iskustvu iz prošlog i aktualnog rada na europskoj razini na digitalizaciji potvrda i isprava, kao što je EU digitalna COVID potvrda uvedena Uredbom (EU) 2021/953, i trebao bi omogućiti upotrebu europske iskaznice za osobe s invaliditetom i europske </w:t>
      </w:r>
      <w:r w:rsidR="00CD7A82" w:rsidRPr="00C16A84">
        <w:rPr>
          <w:noProof/>
        </w:rPr>
        <w:lastRenderedPageBreak/>
        <w:t>parkirne karte u okviru europske lisnice za digitalni identitet</w:t>
      </w:r>
      <w:r w:rsidR="00CD7A82" w:rsidRPr="00C16A84">
        <w:rPr>
          <w:rStyle w:val="FootnoteReference"/>
          <w:noProof/>
          <w:szCs w:val="24"/>
        </w:rPr>
        <w:footnoteReference w:id="52"/>
      </w:r>
      <w:r w:rsidR="00CD7A82" w:rsidRPr="00C16A84">
        <w:rPr>
          <w:noProof/>
        </w:rPr>
        <w:t>. Osobama s invaliditetom trebalo bi omogućiti da upotrebljavaju digitalnu ili fizičku iskaznicu/kartu ili obje.</w:t>
      </w:r>
    </w:p>
    <w:p w14:paraId="132A3C59" w14:textId="6D6552C7" w:rsidR="000F3FD4" w:rsidRPr="00C16A84" w:rsidRDefault="00F341B8" w:rsidP="00F341B8">
      <w:pPr>
        <w:pStyle w:val="ManualConsidrant"/>
        <w:rPr>
          <w:noProof/>
        </w:rPr>
      </w:pPr>
      <w:r w:rsidRPr="00F341B8">
        <w:t>(27)</w:t>
      </w:r>
      <w:r w:rsidRPr="00F341B8">
        <w:tab/>
      </w:r>
      <w:r w:rsidR="000F3FD4" w:rsidRPr="00C16A84">
        <w:rPr>
          <w:noProof/>
        </w:rPr>
        <w:t>Za izdavanje europske iskaznice za osobe s invaliditetom i europske parkirne karte za osobe s invaliditetom potrebno je obrađivati osobne podatke, uključujući posebno podatke o statusu osobe s invaliditetom nositelja iskaznice/karte koji se smatraju „podacima koji se odnose na zdravlje” u smislu članka 4. točke 15. Uredbe (EU) 2016/679</w:t>
      </w:r>
      <w:r w:rsidR="000F3FD4" w:rsidRPr="00C16A84">
        <w:rPr>
          <w:rStyle w:val="FootnoteReference"/>
          <w:noProof/>
        </w:rPr>
        <w:footnoteReference w:id="53"/>
      </w:r>
      <w:r w:rsidR="000F3FD4" w:rsidRPr="00C16A84">
        <w:rPr>
          <w:noProof/>
        </w:rPr>
        <w:t xml:space="preserve"> i posebna su kategorija osobnih podataka u smislu članka 9. te uredbe. Svaka obrada osobnih podataka u kontekstu ove Direktive trebala bi biti u skladu s primjenjivim zakonodavstvom o zaštiti podataka, posebno s Uredbom (EU) 2016/679. Pri prenošenju ove Direktive države članice trebale bi u nacionalno zakonodavstvo uključiti odgovarajuće zaštitne mjere za obradu osobnih podataka, osobito za posebne kategorije osobnih podataka. Države članice trebale bi se pobrinuti i za sigurnost, cjelovitost, autentičnost i povjerljivost podataka koji se prikupljaju i pohranjuju za potrebe ove Direktive.</w:t>
      </w:r>
    </w:p>
    <w:p w14:paraId="5659E0BF" w14:textId="7F2945BD" w:rsidR="008B3578" w:rsidRPr="00C16A84" w:rsidRDefault="00F341B8" w:rsidP="00F341B8">
      <w:pPr>
        <w:pStyle w:val="ManualConsidrant"/>
        <w:rPr>
          <w:noProof/>
        </w:rPr>
      </w:pPr>
      <w:r w:rsidRPr="00F341B8">
        <w:t>(28)</w:t>
      </w:r>
      <w:r w:rsidRPr="00F341B8">
        <w:tab/>
      </w:r>
      <w:r w:rsidR="008B3578" w:rsidRPr="00C16A84">
        <w:rPr>
          <w:noProof/>
        </w:rPr>
        <w:t xml:space="preserve">Država članica odgovorna za izdavanje europske iskaznice za osobe s invaliditetom ili europske parkirne karte za osobe s invaliditetom trebala bi biti država članica u kojoj osoba uobičajeno boravi u smislu Uredbe (EZ) br. 883/2004 </w:t>
      </w:r>
      <w:bookmarkStart w:id="12" w:name="_Hlk141441367"/>
      <w:r w:rsidR="008B3578" w:rsidRPr="00C16A84">
        <w:rPr>
          <w:noProof/>
        </w:rPr>
        <w:t>Europskog parlamenta i Vijeća</w:t>
      </w:r>
      <w:r w:rsidR="008B3578" w:rsidRPr="00C16A84">
        <w:rPr>
          <w:rStyle w:val="FootnoteReference"/>
          <w:noProof/>
        </w:rPr>
        <w:footnoteReference w:id="54"/>
      </w:r>
      <w:r w:rsidR="008B3578" w:rsidRPr="00C16A84">
        <w:rPr>
          <w:noProof/>
        </w:rPr>
        <w:t xml:space="preserve"> </w:t>
      </w:r>
      <w:bookmarkEnd w:id="12"/>
      <w:r w:rsidR="008B3578" w:rsidRPr="00C16A84">
        <w:rPr>
          <w:noProof/>
        </w:rPr>
        <w:t>i Uredbe (EZ) br. 987/2009 Europskog parlamenta i Vijeća</w:t>
      </w:r>
      <w:r w:rsidR="008B3578" w:rsidRPr="00C16A84">
        <w:rPr>
          <w:rStyle w:val="FootnoteReference"/>
          <w:noProof/>
        </w:rPr>
        <w:footnoteReference w:id="55"/>
      </w:r>
      <w:r w:rsidR="008B3578" w:rsidRPr="00C16A84">
        <w:rPr>
          <w:noProof/>
        </w:rPr>
        <w:t xml:space="preserve"> i u kojoj je provedena procjena njezina statusa osobe s invaliditetom. Nositelji europske iskaznice za osobe s invaliditetom ili europske parkirne karte za osobe s invaliditetom trebali bi moći koristiti te isprave tijekom boravka u svim drugim državama članicama.</w:t>
      </w:r>
    </w:p>
    <w:p w14:paraId="510FE4FD" w14:textId="74BC8438" w:rsidR="008F258F" w:rsidRPr="00C16A84" w:rsidRDefault="00F341B8" w:rsidP="00F341B8">
      <w:pPr>
        <w:pStyle w:val="ManualConsidrant"/>
        <w:rPr>
          <w:noProof/>
        </w:rPr>
      </w:pPr>
      <w:r w:rsidRPr="00F341B8">
        <w:t>(29)</w:t>
      </w:r>
      <w:r w:rsidRPr="00F341B8">
        <w:tab/>
      </w:r>
      <w:r w:rsidR="001130FA" w:rsidRPr="00C16A84">
        <w:rPr>
          <w:noProof/>
        </w:rPr>
        <w:t xml:space="preserve">Kako bi se radnicima s invaliditetom zajamčilo učinkovito i puno ostvarenje njihovih prava na slobodno kretanje i na usluge, aktivnosti i sadržaje koje nude države članice, među ostalim kad se pružaju bez naknade, europska iskaznica za osobe s invaliditetom i europska parkirna karta za osobe s invaliditetom trebale bi biti dostupne i radnicima koji putuju u drugu državu članicu ili je posjećuju radi posla. </w:t>
      </w:r>
    </w:p>
    <w:p w14:paraId="69D0A370" w14:textId="0013053C" w:rsidR="008F258F" w:rsidRPr="00C16A84" w:rsidRDefault="00F341B8" w:rsidP="00F341B8">
      <w:pPr>
        <w:pStyle w:val="ManualConsidrant"/>
        <w:rPr>
          <w:noProof/>
        </w:rPr>
      </w:pPr>
      <w:r w:rsidRPr="00F341B8">
        <w:t>(30)</w:t>
      </w:r>
      <w:r w:rsidRPr="00F341B8">
        <w:tab/>
      </w:r>
      <w:r w:rsidR="00E01FBC" w:rsidRPr="00C16A84">
        <w:rPr>
          <w:noProof/>
        </w:rPr>
        <w:t>Predviđeni okvir za uzajamno priznavanje europske iskaznice za osobe s invaliditetom i europske parkirne karte za osobe s invaliditetom ne utječe na nadležnost država članica za procjenu i priznavanje statusa osobe s invaliditetom i dodjelu prava na posebne uvjete, kao što su besplatan pristup, niže cijene ili povlašteno postupanje, osobama s invaliditetom i/ili osobama koje su njihova pratnja ili im pružaju pomoć, uključujući osobne asistente. Ne obuhvaća socijalne naknade, socijalnu zaštitu ni socijalnu pomoć obuhvaćene člankom 24. stavkom 2. Direktive 2004/38/EZ Europskog parlamenta i Vijeća</w:t>
      </w:r>
      <w:r w:rsidR="00E01FBC" w:rsidRPr="00C16A84">
        <w:rPr>
          <w:rStyle w:val="FootnoteReference"/>
          <w:noProof/>
        </w:rPr>
        <w:footnoteReference w:id="56"/>
      </w:r>
      <w:r w:rsidR="00E01FBC" w:rsidRPr="00C16A84">
        <w:rPr>
          <w:noProof/>
        </w:rPr>
        <w:t xml:space="preserve">. </w:t>
      </w:r>
    </w:p>
    <w:p w14:paraId="041ADE40" w14:textId="7934F7CA" w:rsidR="008F258F" w:rsidRPr="00C16A84" w:rsidRDefault="00F341B8" w:rsidP="00F341B8">
      <w:pPr>
        <w:pStyle w:val="ManualConsidrant"/>
        <w:rPr>
          <w:noProof/>
        </w:rPr>
      </w:pPr>
      <w:r w:rsidRPr="00F341B8">
        <w:lastRenderedPageBreak/>
        <w:t>(31)</w:t>
      </w:r>
      <w:r w:rsidRPr="00F341B8">
        <w:tab/>
      </w:r>
      <w:r w:rsidR="00577DAD" w:rsidRPr="00C16A84">
        <w:rPr>
          <w:noProof/>
        </w:rPr>
        <w:t xml:space="preserve">Radi lakšeg pristupa i boljeg informiranja o posebnim uvjetima ili povlaštenom postupanju dostupnima kad se putuje u drugu državu članicu ili je se posjećuje sve relevantne informacije o uvjetima, pravilima, praksi i postupcima za ishođenje i kasniju upotrebu europske iskaznice za osobe s invaliditetom i/ili europske parkirne karte za osobe s invaliditetom trebalo bi objaviti na jasan, cjelovit i korisnicima prilagođen način i u pristupačnim oblicima za osobe s invaliditetom </w:t>
      </w:r>
      <w:bookmarkStart w:id="13" w:name="_Hlk141442269"/>
      <w:r w:rsidR="00577DAD" w:rsidRPr="00C16A84">
        <w:rPr>
          <w:noProof/>
        </w:rPr>
        <w:t>u skladu s relevantnim zahtjevima za pristupačnost usluga utvrđenima u Prilogu I. Direktivi (EU) 2019/882.</w:t>
      </w:r>
      <w:bookmarkEnd w:id="13"/>
      <w:r w:rsidR="00577DAD" w:rsidRPr="00C16A84">
        <w:rPr>
          <w:noProof/>
        </w:rPr>
        <w:t xml:space="preserve"> Privatni subjekti ili javna tijela koji su osobama s invaliditetom osigurali posebne uvjete ili povlašteno postupanje trebali bi informacije o tome objaviti na jasan i korisnicima prilagođen način te u pristupačnim oblicima za osobe s invaliditetom u skladu s relevantnim zahtjevima za pristupačnost usluga utvrđenima u Prilogu I. Direktivi (EU) 2019/882.</w:t>
      </w:r>
    </w:p>
    <w:p w14:paraId="15CCF992" w14:textId="2AB83E26" w:rsidR="001C6287" w:rsidRPr="00C16A84" w:rsidRDefault="00F341B8" w:rsidP="00F341B8">
      <w:pPr>
        <w:pStyle w:val="ManualConsidrant"/>
        <w:rPr>
          <w:noProof/>
        </w:rPr>
      </w:pPr>
      <w:r w:rsidRPr="00F341B8">
        <w:t>(32)</w:t>
      </w:r>
      <w:r w:rsidRPr="00F341B8">
        <w:tab/>
      </w:r>
      <w:r w:rsidR="009653BB" w:rsidRPr="00C16A84">
        <w:rPr>
          <w:noProof/>
        </w:rPr>
        <w:t>Države članice trebale bi poduzeti sve potrebne korake kako bi se izbjegao rizik od krivotvorenja ili prijevare pri izdavanju europske iskaznice za osobe s invaliditetom ili europske parkirne karte za osobe s invaliditetom i trebale bi se aktivno boriti protiv prijevarne upotrebe i krivotvorenja tih isprava.</w:t>
      </w:r>
    </w:p>
    <w:p w14:paraId="738F11FB" w14:textId="5064164C" w:rsidR="001C6287" w:rsidRPr="00C16A84" w:rsidRDefault="00F341B8" w:rsidP="00F341B8">
      <w:pPr>
        <w:pStyle w:val="ManualConsidrant"/>
        <w:rPr>
          <w:noProof/>
        </w:rPr>
      </w:pPr>
      <w:r w:rsidRPr="00F341B8">
        <w:t>(33)</w:t>
      </w:r>
      <w:r w:rsidRPr="00F341B8">
        <w:tab/>
      </w:r>
      <w:r w:rsidR="006E64AE" w:rsidRPr="00C16A84">
        <w:rPr>
          <w:noProof/>
        </w:rPr>
        <w:t>Radi pravilne primjene ove Direktive Komisiji bi trebalo delegirati ovlast za donošenje akata u skladu s člankom 290. UFEU-a kojima će se Direktiva dopuniti kako bi se utvrdio obrazac digitalne europske iskaznice za osobe s invaliditetom i digitalne europske parkirne karte za osobe s invaliditetom te kojima će se izmijeniti prilozi I. i II. radi izmjene zajedničkih značajki standardiziranog obrasca, prilagodbe obrasca razvoju tehnologije, sprečavanja krivotvorenja i prijevare te osiguranja interoperabilnosti.</w:t>
      </w:r>
    </w:p>
    <w:p w14:paraId="52B1B003" w14:textId="58445455" w:rsidR="00B7435D" w:rsidRPr="00C16A84" w:rsidRDefault="00F341B8" w:rsidP="00F341B8">
      <w:pPr>
        <w:pStyle w:val="ManualConsidrant"/>
        <w:rPr>
          <w:noProof/>
        </w:rPr>
      </w:pPr>
      <w:r w:rsidRPr="00F341B8">
        <w:t>(34)</w:t>
      </w:r>
      <w:r w:rsidRPr="00F341B8">
        <w:tab/>
      </w:r>
      <w:r w:rsidR="00B7435D" w:rsidRPr="00C16A84">
        <w:rPr>
          <w:noProof/>
        </w:rPr>
        <w:t>Kako bi se osigurali jedinstveni uvjeti za provedbu ove Direktive, Komisiji bi trebalo dodijeliti provedbene ovlasti za utvrđivanje zajedničkih tehničkih specifikacija kojima se pobliže određuju obrazac europske iskaznice za osobe s invaliditetom odnosno obrazac europske parkirne karte za osobe s invaliditetom, njihove sigurnosne i digitalne značajke te pitanja interoperabilnosti. Te bi ovlasti trebalo izvršavati u skladu s Uredbom (EU) br. 182/2011 Europskog parlamenta i Vijeća</w:t>
      </w:r>
      <w:r w:rsidR="00B7435D" w:rsidRPr="00C16A84">
        <w:rPr>
          <w:rStyle w:val="FootnoteReference"/>
          <w:noProof/>
        </w:rPr>
        <w:footnoteReference w:id="57"/>
      </w:r>
      <w:r w:rsidR="00B7435D" w:rsidRPr="00C16A84">
        <w:rPr>
          <w:noProof/>
        </w:rPr>
        <w:t>.</w:t>
      </w:r>
    </w:p>
    <w:p w14:paraId="05BA373D" w14:textId="5BC60F43" w:rsidR="001C6287" w:rsidRPr="00C16A84" w:rsidRDefault="00F341B8" w:rsidP="00F341B8">
      <w:pPr>
        <w:pStyle w:val="ManualConsidrant"/>
        <w:rPr>
          <w:noProof/>
        </w:rPr>
      </w:pPr>
      <w:r w:rsidRPr="00F341B8">
        <w:t>(35)</w:t>
      </w:r>
      <w:r w:rsidRPr="00F341B8">
        <w:tab/>
      </w:r>
      <w:r w:rsidR="00B7435D" w:rsidRPr="00C16A84">
        <w:rPr>
          <w:noProof/>
        </w:rPr>
        <w:t>Države članice trebale bi osigurati odgovarajuća i djelotvorna sredstva za osiguranje usklađenosti s ovom Direktivom te bi stoga trebale uspostaviti odgovarajuće pravne lijekove, uključujući provjere usklađenosti te upravne i sudske postupke, kako bi se zajamčilo da osobe s invaliditetom, osobe koje su njihova pratnja ili im pružaju pomoć, uključujući osobne asistente, kao i javna tijela ili privatna udruženja, organizacije ili drugi pravni subjekti s legitimnim interesom mogu postupati u ime osobe s invaliditetom u skladu s nacionalnim pravom.</w:t>
      </w:r>
    </w:p>
    <w:p w14:paraId="53E5D1F6" w14:textId="0CEC2EA4" w:rsidR="001C6287" w:rsidRPr="00C16A84" w:rsidRDefault="00F341B8" w:rsidP="00F341B8">
      <w:pPr>
        <w:pStyle w:val="ManualConsidrant"/>
        <w:rPr>
          <w:noProof/>
        </w:rPr>
      </w:pPr>
      <w:r w:rsidRPr="00F341B8">
        <w:t>(36)</w:t>
      </w:r>
      <w:r w:rsidRPr="00F341B8">
        <w:tab/>
      </w:r>
      <w:r w:rsidR="00E663B3" w:rsidRPr="00C16A84">
        <w:rPr>
          <w:noProof/>
        </w:rPr>
        <w:t>Države članice trebale bi poduzeti odgovarajuće mjere i propisati učinkovite, proporcionalne i odvraćajuće sankcije u slučaju kršenja ili neispunjenja obveza utvrđenih u ovoj Direktivi koje se odnose na prava obuhvaćena njezinim područjem primjene. Takve sankcije mogu uključivati administrativne i financijske sankcije, kao što su novčane kazne ili plaćanje odštete, kao i druge vrste sankcija.</w:t>
      </w:r>
    </w:p>
    <w:p w14:paraId="32B4AA0D" w14:textId="4BE78BD4" w:rsidR="001C6287" w:rsidRPr="00C16A84" w:rsidRDefault="00F341B8" w:rsidP="00F341B8">
      <w:pPr>
        <w:pStyle w:val="ManualConsidrant"/>
        <w:rPr>
          <w:noProof/>
        </w:rPr>
      </w:pPr>
      <w:r w:rsidRPr="00F341B8">
        <w:t>(37)</w:t>
      </w:r>
      <w:r w:rsidRPr="00F341B8">
        <w:tab/>
      </w:r>
      <w:r w:rsidR="00E663B3" w:rsidRPr="00C16A84">
        <w:rPr>
          <w:noProof/>
        </w:rPr>
        <w:t xml:space="preserve">Ovom se Direktivom poštuju temeljna prava i načela priznata osobito Poveljom. Ovom se Direktivom posebno nastoji osigurati potpuno poštovanje prava osoba s invaliditetom na mjere čiji je cilj osigurati njihovu neovisnost, društvenu i </w:t>
      </w:r>
      <w:r w:rsidR="00E663B3" w:rsidRPr="00C16A84">
        <w:rPr>
          <w:noProof/>
        </w:rPr>
        <w:lastRenderedPageBreak/>
        <w:t>profesionalnu uključenost te sudjelovanje u životu zajednice te promicati primjenu članka 26. Povelje.</w:t>
      </w:r>
    </w:p>
    <w:p w14:paraId="57EC8CD6" w14:textId="7A8B451E" w:rsidR="001C6287" w:rsidRPr="00C16A84" w:rsidRDefault="00F341B8" w:rsidP="00F341B8">
      <w:pPr>
        <w:pStyle w:val="ManualConsidrant"/>
        <w:rPr>
          <w:noProof/>
        </w:rPr>
      </w:pPr>
      <w:r w:rsidRPr="00F341B8">
        <w:t>(38)</w:t>
      </w:r>
      <w:r w:rsidRPr="00F341B8">
        <w:tab/>
      </w:r>
      <w:r w:rsidR="00E663B3" w:rsidRPr="00C16A84">
        <w:rPr>
          <w:noProof/>
        </w:rPr>
        <w:t>S obzirom na to da cilj ove Direktive, odnosno povećanje mogućnosti osoba s invaliditetom da putuju u druge države članice ili ih posjećuju, ne mogu dostatno ostvariti države članice, nego se zbog opsega ili učinaka djelovanja kojim se uspostavlja okvir s pravilima i zajedničkim uvjetima oni na bolji način mogu ostvariti na razini Unije, Unija može donijeti mjere u skladu s načelom supsidijarnosti utvrđenim u članku 5. Ugovora o Europskoj uniji. U skladu s načelom proporcionalnosti utvrđenim u tom članku, ova Direktiva ne prelazi ono što je potrebno za ostvarivanje tog cilja,</w:t>
      </w:r>
    </w:p>
    <w:p w14:paraId="28E3DEF6" w14:textId="77777777" w:rsidR="00E859DB" w:rsidRPr="00C16A84" w:rsidRDefault="00E859DB" w:rsidP="00CA5179">
      <w:pPr>
        <w:pStyle w:val="Formuledadoption"/>
        <w:rPr>
          <w:noProof/>
        </w:rPr>
      </w:pPr>
      <w:r w:rsidRPr="00C16A84">
        <w:rPr>
          <w:noProof/>
        </w:rPr>
        <w:t>DONIJELI SU OVU DIREKTIVU:</w:t>
      </w:r>
    </w:p>
    <w:p w14:paraId="48ED4873" w14:textId="77777777" w:rsidR="00DB7ABC" w:rsidRPr="00C16A84" w:rsidRDefault="001C6287" w:rsidP="00DB7ABC">
      <w:pPr>
        <w:jc w:val="center"/>
        <w:rPr>
          <w:b/>
          <w:bCs/>
          <w:noProof/>
        </w:rPr>
      </w:pPr>
      <w:r w:rsidRPr="00C16A84">
        <w:rPr>
          <w:b/>
          <w:noProof/>
        </w:rPr>
        <w:t>POGLAVLJE I.</w:t>
      </w:r>
    </w:p>
    <w:p w14:paraId="52014FC0" w14:textId="77777777" w:rsidR="001C6287" w:rsidRPr="00C16A84" w:rsidRDefault="001C6287" w:rsidP="00DB7ABC">
      <w:pPr>
        <w:jc w:val="center"/>
        <w:rPr>
          <w:b/>
          <w:bCs/>
          <w:noProof/>
        </w:rPr>
      </w:pPr>
      <w:r w:rsidRPr="00C16A84">
        <w:rPr>
          <w:b/>
          <w:noProof/>
        </w:rPr>
        <w:t>OPĆE ODREDBE</w:t>
      </w:r>
    </w:p>
    <w:p w14:paraId="175D48C7" w14:textId="77777777" w:rsidR="00E859DB" w:rsidRPr="00C16A84" w:rsidRDefault="00E859DB" w:rsidP="00CA5179">
      <w:pPr>
        <w:pStyle w:val="Titrearticle"/>
        <w:rPr>
          <w:noProof/>
        </w:rPr>
      </w:pPr>
      <w:r w:rsidRPr="00C16A84">
        <w:rPr>
          <w:noProof/>
        </w:rPr>
        <w:t>Članak 1.</w:t>
      </w:r>
    </w:p>
    <w:p w14:paraId="70BDAD77" w14:textId="77777777" w:rsidR="00DB7ABC" w:rsidRPr="00C16A84" w:rsidRDefault="00DB7ABC" w:rsidP="00DB7ABC">
      <w:pPr>
        <w:jc w:val="center"/>
        <w:rPr>
          <w:b/>
          <w:i/>
          <w:noProof/>
          <w:szCs w:val="24"/>
        </w:rPr>
      </w:pPr>
      <w:r w:rsidRPr="00C16A84">
        <w:rPr>
          <w:b/>
          <w:i/>
          <w:noProof/>
        </w:rPr>
        <w:t>Predmet</w:t>
      </w:r>
    </w:p>
    <w:p w14:paraId="37B4B0C2" w14:textId="77777777" w:rsidR="00DB7ABC" w:rsidRPr="00C16A84" w:rsidRDefault="00DB7ABC" w:rsidP="00DB7ABC">
      <w:pPr>
        <w:rPr>
          <w:noProof/>
          <w:szCs w:val="24"/>
        </w:rPr>
      </w:pPr>
      <w:r w:rsidRPr="00C16A84">
        <w:rPr>
          <w:noProof/>
        </w:rPr>
        <w:t>Ovom se Direktivom utvrđuju:</w:t>
      </w:r>
    </w:p>
    <w:p w14:paraId="29EDC623" w14:textId="4D66C473" w:rsidR="00E859DB" w:rsidRPr="00C16A84" w:rsidRDefault="00F341B8" w:rsidP="00F341B8">
      <w:pPr>
        <w:pStyle w:val="Point0"/>
        <w:rPr>
          <w:noProof/>
        </w:rPr>
      </w:pPr>
      <w:r w:rsidRPr="00F341B8">
        <w:t>(a)</w:t>
      </w:r>
      <w:r w:rsidRPr="00F341B8">
        <w:tab/>
      </w:r>
      <w:r w:rsidR="00423A7D" w:rsidRPr="00C16A84">
        <w:rPr>
          <w:noProof/>
        </w:rPr>
        <w:t>pravila kojima se uređuje izdavanje europske iskaznice za osobe s invaliditetom kao dokaz statusa osobe s invaliditetom i europske parkirne karte za osobe s invaliditetom kao dokaz prava na uvjete i prostore za parkiranje rezervirane za osobe s invaliditetom kako bi se olakšao kratak boravak osoba s invaliditetom u državi članici koja nije država članica njihova boravišta tako da im se omogući pristup svim posebnim uvjetima ili povlaštenom postupanju u pogledu usluga, aktivnosti ili sadržaja, među ostalim kad se pružaju bez naknade, ili uvjetima i prostorima za parkiranje koji se nude ili su rezervirani za osobe s invaliditetom ili osobe koje su njihova pratnja ili im pružaju pomoć, uključujući njihove osobne asistente;</w:t>
      </w:r>
    </w:p>
    <w:p w14:paraId="21D70761" w14:textId="51B9510A" w:rsidR="00DB7ABC" w:rsidRPr="00C16A84" w:rsidRDefault="00F341B8" w:rsidP="00F341B8">
      <w:pPr>
        <w:pStyle w:val="Point0"/>
        <w:rPr>
          <w:noProof/>
        </w:rPr>
      </w:pPr>
      <w:r w:rsidRPr="00F341B8">
        <w:t>(b)</w:t>
      </w:r>
      <w:r w:rsidRPr="00F341B8">
        <w:tab/>
      </w:r>
      <w:r w:rsidR="00423A7D" w:rsidRPr="00C16A84">
        <w:rPr>
          <w:noProof/>
        </w:rPr>
        <w:t>zajednički predlošci za europsku iskaznicu za osobe s invaliditetom i europsku parkirnu kartu za osobe s invaliditetom.</w:t>
      </w:r>
    </w:p>
    <w:p w14:paraId="5142E5D6" w14:textId="77777777" w:rsidR="00DB7ABC" w:rsidRPr="00C16A84" w:rsidRDefault="00E859DB" w:rsidP="00DB7ABC">
      <w:pPr>
        <w:pStyle w:val="Titrearticle"/>
        <w:keepLines/>
        <w:rPr>
          <w:noProof/>
        </w:rPr>
      </w:pPr>
      <w:r w:rsidRPr="00C16A84">
        <w:rPr>
          <w:noProof/>
        </w:rPr>
        <w:t>Članak 2.</w:t>
      </w:r>
    </w:p>
    <w:p w14:paraId="0E78152B" w14:textId="77777777" w:rsidR="00DB7ABC" w:rsidRPr="00C16A84" w:rsidRDefault="00DB7ABC" w:rsidP="00DB7ABC">
      <w:pPr>
        <w:jc w:val="center"/>
        <w:rPr>
          <w:b/>
          <w:bCs/>
          <w:i/>
          <w:iCs/>
          <w:noProof/>
        </w:rPr>
      </w:pPr>
      <w:r w:rsidRPr="00C16A84">
        <w:rPr>
          <w:b/>
          <w:i/>
          <w:noProof/>
        </w:rPr>
        <w:t>Područje primjene</w:t>
      </w:r>
    </w:p>
    <w:p w14:paraId="2FD0BE9B" w14:textId="4637475B" w:rsidR="00514AE8" w:rsidRPr="00C16A84" w:rsidRDefault="00F341B8" w:rsidP="00F341B8">
      <w:pPr>
        <w:pStyle w:val="ManualNumPar1"/>
        <w:rPr>
          <w:noProof/>
        </w:rPr>
      </w:pPr>
      <w:bookmarkStart w:id="14" w:name="_Hlk140513880"/>
      <w:bookmarkStart w:id="15" w:name="_Hlk141369868"/>
      <w:bookmarkStart w:id="16" w:name="_Hlk140513797"/>
      <w:bookmarkStart w:id="17" w:name="_Hlk141111055"/>
      <w:r w:rsidRPr="00F341B8">
        <w:t>1.</w:t>
      </w:r>
      <w:r w:rsidRPr="00F341B8">
        <w:tab/>
      </w:r>
      <w:r w:rsidR="000F74F5" w:rsidRPr="00C16A84">
        <w:rPr>
          <w:noProof/>
        </w:rPr>
        <w:t xml:space="preserve">Ova se Direktiva primjenjuje na </w:t>
      </w:r>
      <w:bookmarkEnd w:id="14"/>
      <w:r w:rsidR="000F74F5" w:rsidRPr="00C16A84">
        <w:rPr>
          <w:noProof/>
        </w:rPr>
        <w:t>uvjete i prostore za parkiranje te na sve slučajeve u kojima privatni subjekti ili javna tijela osobama s invaliditetom nude posebne uvjete ili povlašteno postupanje u pogledu pristupa sljedećim uslugama, aktivnostima i sadržajima:</w:t>
      </w:r>
    </w:p>
    <w:p w14:paraId="6D0AB922" w14:textId="77777777" w:rsidR="00473196" w:rsidRPr="00C16A84" w:rsidRDefault="000F74F5" w:rsidP="00DA64DF">
      <w:pPr>
        <w:pStyle w:val="Tiret1"/>
        <w:numPr>
          <w:ilvl w:val="0"/>
          <w:numId w:val="32"/>
        </w:numPr>
        <w:rPr>
          <w:noProof/>
        </w:rPr>
      </w:pPr>
      <w:r w:rsidRPr="00C16A84">
        <w:rPr>
          <w:noProof/>
        </w:rPr>
        <w:t xml:space="preserve">usluge u smislu članka 57. UFEU-a, </w:t>
      </w:r>
    </w:p>
    <w:p w14:paraId="2CC2CE16" w14:textId="77777777" w:rsidR="00473196" w:rsidRPr="00C16A84" w:rsidRDefault="00AA71FD" w:rsidP="00473196">
      <w:pPr>
        <w:pStyle w:val="Tiret1"/>
        <w:rPr>
          <w:noProof/>
        </w:rPr>
      </w:pPr>
      <w:r w:rsidRPr="00C16A84">
        <w:rPr>
          <w:noProof/>
        </w:rPr>
        <w:t xml:space="preserve">usluge putničkog prijevoza, </w:t>
      </w:r>
    </w:p>
    <w:p w14:paraId="08D04DE4" w14:textId="4159CAB8" w:rsidR="00794925" w:rsidRPr="00C16A84" w:rsidRDefault="0099168A" w:rsidP="00473196">
      <w:pPr>
        <w:pStyle w:val="Tiret1"/>
        <w:rPr>
          <w:noProof/>
        </w:rPr>
      </w:pPr>
      <w:r w:rsidRPr="00C16A84">
        <w:rPr>
          <w:noProof/>
        </w:rPr>
        <w:t xml:space="preserve">druge aktivnosti i sadržaji, </w:t>
      </w:r>
      <w:bookmarkEnd w:id="15"/>
      <w:r w:rsidRPr="00C16A84">
        <w:rPr>
          <w:noProof/>
        </w:rPr>
        <w:t xml:space="preserve">među ostalim kad se pružaju bez naknade. </w:t>
      </w:r>
      <w:bookmarkEnd w:id="16"/>
    </w:p>
    <w:bookmarkEnd w:id="17"/>
    <w:p w14:paraId="3A48D714" w14:textId="38022AF8" w:rsidR="00BB4134" w:rsidRPr="00C16A84" w:rsidRDefault="00F341B8" w:rsidP="00F341B8">
      <w:pPr>
        <w:pStyle w:val="ManualNumPar1"/>
        <w:rPr>
          <w:noProof/>
        </w:rPr>
      </w:pPr>
      <w:r w:rsidRPr="00F341B8">
        <w:t>2.</w:t>
      </w:r>
      <w:r w:rsidRPr="00F341B8">
        <w:tab/>
      </w:r>
      <w:r w:rsidR="0084029E" w:rsidRPr="00C16A84">
        <w:rPr>
          <w:noProof/>
        </w:rPr>
        <w:t>Ova se Direktiva ne primjenjuje na:</w:t>
      </w:r>
    </w:p>
    <w:p w14:paraId="176FFD66" w14:textId="13C99913" w:rsidR="00391B5A" w:rsidRPr="00C16A84" w:rsidRDefault="00F341B8" w:rsidP="00F341B8">
      <w:pPr>
        <w:pStyle w:val="Point1"/>
        <w:rPr>
          <w:noProof/>
        </w:rPr>
      </w:pPr>
      <w:r w:rsidRPr="00F341B8">
        <w:t>(a)</w:t>
      </w:r>
      <w:r w:rsidRPr="00F341B8">
        <w:tab/>
      </w:r>
      <w:r w:rsidR="00543389" w:rsidRPr="00C16A84">
        <w:rPr>
          <w:noProof/>
        </w:rPr>
        <w:t>davanja u području socijalne sigurnosti iz uredbi (EZ) br. 883/2004 i (EZ) br. 987/2009;</w:t>
      </w:r>
    </w:p>
    <w:p w14:paraId="3E58F172" w14:textId="79BE8665" w:rsidR="00391B5A" w:rsidRPr="00C16A84" w:rsidRDefault="00F341B8" w:rsidP="00F341B8">
      <w:pPr>
        <w:pStyle w:val="Point1"/>
        <w:rPr>
          <w:noProof/>
        </w:rPr>
      </w:pPr>
      <w:r w:rsidRPr="00F341B8">
        <w:t>(b)</w:t>
      </w:r>
      <w:r w:rsidRPr="00F341B8">
        <w:tab/>
      </w:r>
      <w:r w:rsidR="00543389" w:rsidRPr="00C16A84">
        <w:rPr>
          <w:noProof/>
        </w:rPr>
        <w:t>posebna doprinosna ili nedoprinosna novčana davanja ili davanja u naravi u području socijalne sigurnosti, socijalne zaštite ili zapošljavanja;</w:t>
      </w:r>
      <w:bookmarkStart w:id="18" w:name="_Hlk140339489"/>
    </w:p>
    <w:p w14:paraId="75336F83" w14:textId="1DA90F59" w:rsidR="006B227D" w:rsidRPr="00C16A84" w:rsidRDefault="00F341B8" w:rsidP="00F341B8">
      <w:pPr>
        <w:pStyle w:val="Point1"/>
        <w:rPr>
          <w:noProof/>
        </w:rPr>
      </w:pPr>
      <w:r w:rsidRPr="00F341B8">
        <w:lastRenderedPageBreak/>
        <w:t>(c)</w:t>
      </w:r>
      <w:r w:rsidRPr="00F341B8">
        <w:tab/>
      </w:r>
      <w:r w:rsidR="00543389" w:rsidRPr="00C16A84">
        <w:rPr>
          <w:noProof/>
        </w:rPr>
        <w:t>socijalnu pomoć obuhvaćenu člankom 24. stavkom 2. Direktive 2004/38/EZ.</w:t>
      </w:r>
    </w:p>
    <w:p w14:paraId="5149F145" w14:textId="7A90BCD4" w:rsidR="00794925" w:rsidRPr="00C16A84" w:rsidRDefault="00F341B8" w:rsidP="00F341B8">
      <w:pPr>
        <w:pStyle w:val="ManualNumPar1"/>
        <w:rPr>
          <w:noProof/>
          <w:szCs w:val="24"/>
        </w:rPr>
      </w:pPr>
      <w:r w:rsidRPr="00F341B8">
        <w:t>3.</w:t>
      </w:r>
      <w:r w:rsidRPr="00F341B8">
        <w:tab/>
      </w:r>
      <w:r w:rsidR="00BD1C52" w:rsidRPr="00C16A84">
        <w:rPr>
          <w:noProof/>
        </w:rPr>
        <w:t>Ova Direktiva ne utječe na nadležnost država članica da utvrde uvjete za procjenu i priznavanje statusa osobe s invaliditetom ili za dodjelu prava na uvjete i prostore za parkiranje rezervirane za osobe s invaliditetom. Ne utječe na nadležnost država članica da usto na nacionalnoj, regionalnoj ili lokalnoj razini izdaju potvrdu, iskaznicu za osobe s invaliditetom ili drugu službenu ispravu za osobe s invaliditetom.</w:t>
      </w:r>
    </w:p>
    <w:p w14:paraId="1CB9C780" w14:textId="292E9181" w:rsidR="00794925" w:rsidRPr="00C16A84" w:rsidRDefault="00F341B8" w:rsidP="00F341B8">
      <w:pPr>
        <w:pStyle w:val="ManualNumPar1"/>
        <w:rPr>
          <w:noProof/>
          <w:szCs w:val="24"/>
        </w:rPr>
      </w:pPr>
      <w:r w:rsidRPr="00F341B8">
        <w:t>4.</w:t>
      </w:r>
      <w:r w:rsidRPr="00F341B8">
        <w:tab/>
      </w:r>
      <w:r w:rsidR="00BD1C52" w:rsidRPr="00C16A84">
        <w:rPr>
          <w:noProof/>
        </w:rPr>
        <w:t>Ova Direktiva ne zadire u nadležnost država članica da dodijele ili uvedu obvezu dodjeljivanja prava na posebne pogodnosti ili određene povlaštene uvjete, kao što su besplatan pristup ili niže cijene, ili na povlašteno postupanje osobama s invaliditetom i, ako je predviđeno, osobama koje su njihova pratnja ili im pružaju pomoć, uključujući njihove osobne asistente.</w:t>
      </w:r>
    </w:p>
    <w:p w14:paraId="1E272E67" w14:textId="0D985CD8" w:rsidR="00794925" w:rsidRPr="00C16A84" w:rsidRDefault="00F341B8" w:rsidP="00F341B8">
      <w:pPr>
        <w:pStyle w:val="ManualNumPar1"/>
        <w:rPr>
          <w:noProof/>
          <w:szCs w:val="24"/>
        </w:rPr>
      </w:pPr>
      <w:r w:rsidRPr="00F341B8">
        <w:t>5.</w:t>
      </w:r>
      <w:r w:rsidRPr="00F341B8">
        <w:tab/>
      </w:r>
      <w:r w:rsidR="00BD1C52" w:rsidRPr="00C16A84">
        <w:rPr>
          <w:noProof/>
        </w:rPr>
        <w:t xml:space="preserve">Ova Direktiva ne dovodi u pitanje prava koja osobe s invaliditetom ili </w:t>
      </w:r>
      <w:bookmarkStart w:id="19" w:name="_Hlk141981425"/>
      <w:r w:rsidR="00BD1C52" w:rsidRPr="00C16A84">
        <w:rPr>
          <w:noProof/>
        </w:rPr>
        <w:t>osobe koje su njihova pratnja ili im pružaju pomoć, uključujući</w:t>
      </w:r>
      <w:bookmarkEnd w:id="19"/>
      <w:r w:rsidR="00BD1C52" w:rsidRPr="00C16A84">
        <w:rPr>
          <w:noProof/>
        </w:rPr>
        <w:t xml:space="preserve"> njihove osobne asistente, mogu imati na temelju drugih odredaba prava Unije ili nacionalnog prava kojim se provodi pravo Unije, uključujući odredbe kojima se odobravaju određene pogodnosti, posebni uvjeti ili povlašteno postupanje.</w:t>
      </w:r>
    </w:p>
    <w:p w14:paraId="602BE209" w14:textId="77777777" w:rsidR="00794925" w:rsidRPr="00C16A84" w:rsidRDefault="00794925" w:rsidP="00794925">
      <w:pPr>
        <w:pStyle w:val="Titrearticle"/>
        <w:rPr>
          <w:noProof/>
        </w:rPr>
      </w:pPr>
      <w:r w:rsidRPr="00C16A84">
        <w:rPr>
          <w:noProof/>
        </w:rPr>
        <w:t>Članak 3.</w:t>
      </w:r>
    </w:p>
    <w:p w14:paraId="0E8B4B17" w14:textId="77777777" w:rsidR="00794925" w:rsidRPr="00C16A84" w:rsidRDefault="00794925" w:rsidP="00794925">
      <w:pPr>
        <w:jc w:val="center"/>
        <w:rPr>
          <w:b/>
          <w:bCs/>
          <w:i/>
          <w:iCs/>
          <w:noProof/>
        </w:rPr>
      </w:pPr>
      <w:r w:rsidRPr="00C16A84">
        <w:rPr>
          <w:b/>
          <w:i/>
          <w:noProof/>
        </w:rPr>
        <w:t>Definicije</w:t>
      </w:r>
    </w:p>
    <w:p w14:paraId="10CC6057" w14:textId="77777777" w:rsidR="00484A47" w:rsidRPr="00C16A84" w:rsidRDefault="00484A47" w:rsidP="00545E38">
      <w:pPr>
        <w:rPr>
          <w:noProof/>
          <w:szCs w:val="24"/>
        </w:rPr>
      </w:pPr>
      <w:r w:rsidRPr="00C16A84">
        <w:rPr>
          <w:noProof/>
        </w:rPr>
        <w:t>Za potrebe ove Direktive primjenjuju se sljedeće definicije:</w:t>
      </w:r>
      <w:bookmarkEnd w:id="18"/>
    </w:p>
    <w:p w14:paraId="0B9898D0" w14:textId="05399867" w:rsidR="003F0A4B" w:rsidRPr="00C16A84" w:rsidRDefault="00F341B8" w:rsidP="00F341B8">
      <w:pPr>
        <w:pStyle w:val="Point1"/>
        <w:rPr>
          <w:noProof/>
        </w:rPr>
      </w:pPr>
      <w:r w:rsidRPr="00F341B8">
        <w:t>(a)</w:t>
      </w:r>
      <w:r w:rsidRPr="00F341B8">
        <w:tab/>
      </w:r>
      <w:r w:rsidR="00AB632A" w:rsidRPr="00C16A84">
        <w:rPr>
          <w:noProof/>
        </w:rPr>
        <w:t>„građanin Unije” znači svaka osoba s državljanstvom države članice;</w:t>
      </w:r>
    </w:p>
    <w:p w14:paraId="2A9DCF99" w14:textId="7DF6EEF1" w:rsidR="009111BD" w:rsidRPr="00C16A84" w:rsidRDefault="00F341B8" w:rsidP="00F341B8">
      <w:pPr>
        <w:pStyle w:val="Point1"/>
        <w:rPr>
          <w:noProof/>
        </w:rPr>
      </w:pPr>
      <w:r w:rsidRPr="00F341B8">
        <w:t>(b)</w:t>
      </w:r>
      <w:r w:rsidRPr="00F341B8">
        <w:tab/>
      </w:r>
      <w:r w:rsidR="00514AE8" w:rsidRPr="00C16A84">
        <w:rPr>
          <w:noProof/>
        </w:rPr>
        <w:t>„član obitelji građanina Unije” znači član obitelji, bez obzira na državljanstvo, građanina Unije koji ostvaruje svoje pravo na slobodno kretanje u skladu s pravilima Unije;</w:t>
      </w:r>
    </w:p>
    <w:p w14:paraId="0331D975" w14:textId="08FD7179" w:rsidR="00545E38" w:rsidRPr="00C16A84" w:rsidRDefault="00F341B8" w:rsidP="00F341B8">
      <w:pPr>
        <w:pStyle w:val="Point1"/>
        <w:rPr>
          <w:noProof/>
        </w:rPr>
      </w:pPr>
      <w:r w:rsidRPr="00F341B8">
        <w:t>(c)</w:t>
      </w:r>
      <w:r w:rsidRPr="00F341B8">
        <w:tab/>
      </w:r>
      <w:r w:rsidR="00AB632A" w:rsidRPr="00C16A84">
        <w:rPr>
          <w:noProof/>
        </w:rPr>
        <w:t>„osobe s invaliditetom” znači osobe koje imaju dugotrajna tjelesna, mentalna, intelektualna ili osjetilna oštećenja koja u međudjelovanju s različitim preprekama mogu sprečavati njihovo puno i učinkovito sudjelovanje u društvu na ravnopravnoj osnovi s drugima;</w:t>
      </w:r>
    </w:p>
    <w:p w14:paraId="2A700BD0" w14:textId="4ADFDBBB" w:rsidR="00545E38" w:rsidRPr="00C16A84" w:rsidRDefault="00F341B8" w:rsidP="00F341B8">
      <w:pPr>
        <w:pStyle w:val="Point1"/>
        <w:rPr>
          <w:noProof/>
        </w:rPr>
      </w:pPr>
      <w:r w:rsidRPr="00F341B8">
        <w:t>(d)</w:t>
      </w:r>
      <w:r w:rsidRPr="00F341B8">
        <w:tab/>
      </w:r>
      <w:r w:rsidR="00AB632A" w:rsidRPr="00C16A84">
        <w:rPr>
          <w:noProof/>
        </w:rPr>
        <w:t xml:space="preserve">„osobni asistent” znači </w:t>
      </w:r>
      <w:bookmarkStart w:id="20" w:name="_Hlk141978664"/>
      <w:r w:rsidR="00AB632A" w:rsidRPr="00C16A84">
        <w:rPr>
          <w:noProof/>
        </w:rPr>
        <w:t>osoba koja je pratnja ili pruža pomoć osobama s invaliditetom</w:t>
      </w:r>
      <w:bookmarkEnd w:id="20"/>
      <w:r w:rsidR="00AB632A" w:rsidRPr="00C16A84">
        <w:rPr>
          <w:noProof/>
        </w:rPr>
        <w:t xml:space="preserve"> i </w:t>
      </w:r>
      <w:bookmarkStart w:id="21" w:name="_Hlk141979365"/>
      <w:r w:rsidR="00AB632A" w:rsidRPr="00C16A84">
        <w:rPr>
          <w:noProof/>
        </w:rPr>
        <w:t>priznata je kao takva u skladu s nacionalnim zakonodavstvom ili praksom</w:t>
      </w:r>
      <w:bookmarkEnd w:id="21"/>
      <w:r w:rsidR="00AB632A" w:rsidRPr="00C16A84">
        <w:rPr>
          <w:noProof/>
        </w:rPr>
        <w:t>;</w:t>
      </w:r>
    </w:p>
    <w:p w14:paraId="2781E7C8" w14:textId="6DB81A8F" w:rsidR="00D25A12" w:rsidRPr="00C16A84" w:rsidRDefault="00F341B8" w:rsidP="00F341B8">
      <w:pPr>
        <w:pStyle w:val="Point1"/>
        <w:rPr>
          <w:noProof/>
        </w:rPr>
      </w:pPr>
      <w:r w:rsidRPr="00F341B8">
        <w:t>(e)</w:t>
      </w:r>
      <w:r w:rsidRPr="00F341B8">
        <w:tab/>
      </w:r>
      <w:r w:rsidR="00D25A12" w:rsidRPr="00C16A84">
        <w:rPr>
          <w:noProof/>
        </w:rPr>
        <w:t>„posebni uvjeti ili povlašteno postupanje” znači specifični uvjeti, uključujući one koji se odnose na financijske uvjete, ili različito postupanje u pogledu pomoći i podrške, kao što su besplatan pristup, niže cijene ili prioritetni pristup, koji se nude osobama s invaliditetom i/ili, ako je primjenjivo, osobama koje su njihova pratnja ili im pružaju pomoć, uključujući osobne asistente ili životinje pomagače priznate u skladu s nacionalnim zakonodavstvom ili praksom, neovisno o tome pružaju li se dobrovoljno ili na temelju pravnih obveza;</w:t>
      </w:r>
    </w:p>
    <w:p w14:paraId="3DA5BD7F" w14:textId="308EB4BA" w:rsidR="00545E38" w:rsidRPr="00C16A84" w:rsidRDefault="00F341B8" w:rsidP="00F341B8">
      <w:pPr>
        <w:pStyle w:val="Point1"/>
        <w:rPr>
          <w:noProof/>
        </w:rPr>
      </w:pPr>
      <w:r w:rsidRPr="00F341B8">
        <w:t>(f)</w:t>
      </w:r>
      <w:r w:rsidRPr="00F341B8">
        <w:tab/>
      </w:r>
      <w:r w:rsidR="00AB632A" w:rsidRPr="00C16A84">
        <w:rPr>
          <w:noProof/>
        </w:rPr>
        <w:t xml:space="preserve">„uvjeti i prostori za parkiranje” znači općenito sva parkirna mjesta rezervirana za osobe s invaliditetom te odgovarajuće parkirne pogodnosti ili povlašteni uvjeti koji se pružaju osobama s invaliditetom, kao što su besplatno parkiranje, niže cijene, niže pristojbe ili korisničke naknade za ceste/mostove/tunele s </w:t>
      </w:r>
      <w:r w:rsidR="00AB632A" w:rsidRPr="00C16A84">
        <w:rPr>
          <w:noProof/>
        </w:rPr>
        <w:lastRenderedPageBreak/>
        <w:t>naplatom ili parkirna mjesta s mogućnosti duljeg parkiranja, neovisno o tome pružaju li se dobrovoljno ili na temelju pravnih obveza.</w:t>
      </w:r>
    </w:p>
    <w:p w14:paraId="1A6382D0" w14:textId="77777777" w:rsidR="000D6DBF" w:rsidRPr="00C16A84" w:rsidRDefault="000D6DBF" w:rsidP="000D6DBF">
      <w:pPr>
        <w:pStyle w:val="Titrearticle"/>
        <w:rPr>
          <w:noProof/>
        </w:rPr>
      </w:pPr>
      <w:r w:rsidRPr="00C16A84">
        <w:rPr>
          <w:noProof/>
        </w:rPr>
        <w:t>Članak 4.</w:t>
      </w:r>
    </w:p>
    <w:p w14:paraId="769E1896" w14:textId="77777777" w:rsidR="000D6DBF" w:rsidRPr="00C16A84" w:rsidRDefault="000D6DBF" w:rsidP="000D6DBF">
      <w:pPr>
        <w:jc w:val="center"/>
        <w:rPr>
          <w:b/>
          <w:bCs/>
          <w:i/>
          <w:iCs/>
          <w:noProof/>
        </w:rPr>
      </w:pPr>
      <w:r w:rsidRPr="00C16A84">
        <w:rPr>
          <w:b/>
          <w:i/>
          <w:noProof/>
        </w:rPr>
        <w:t>Nositelji prava</w:t>
      </w:r>
    </w:p>
    <w:p w14:paraId="2A222715" w14:textId="77777777" w:rsidR="000D6DBF" w:rsidRPr="00C16A84" w:rsidRDefault="000D6DBF" w:rsidP="000D6DBF">
      <w:pPr>
        <w:rPr>
          <w:noProof/>
        </w:rPr>
      </w:pPr>
      <w:r w:rsidRPr="00C16A84">
        <w:rPr>
          <w:noProof/>
        </w:rPr>
        <w:t>Ova se Direktiva primjenjuje na:</w:t>
      </w:r>
    </w:p>
    <w:p w14:paraId="7B421C61" w14:textId="6A614486" w:rsidR="000D6DBF" w:rsidRPr="00C16A84" w:rsidRDefault="00F341B8" w:rsidP="00F341B8">
      <w:pPr>
        <w:pStyle w:val="Point1"/>
        <w:rPr>
          <w:noProof/>
        </w:rPr>
      </w:pPr>
      <w:r w:rsidRPr="00F341B8">
        <w:t>(a)</w:t>
      </w:r>
      <w:r w:rsidRPr="00F341B8">
        <w:tab/>
      </w:r>
      <w:r w:rsidR="00FD3605" w:rsidRPr="00C16A84">
        <w:rPr>
          <w:noProof/>
        </w:rPr>
        <w:t xml:space="preserve">građane Unije </w:t>
      </w:r>
      <w:bookmarkStart w:id="22" w:name="_Hlk140135470"/>
      <w:r w:rsidR="00FD3605" w:rsidRPr="00C16A84">
        <w:rPr>
          <w:noProof/>
        </w:rPr>
        <w:t xml:space="preserve">i članove obitelji građana Unije čiji su status osobe s invaliditetom priznala nadležna tijela u državi članici njihova boravišta izdavanjem </w:t>
      </w:r>
      <w:bookmarkStart w:id="23" w:name="_Hlk133525874"/>
      <w:r w:rsidR="00FD3605" w:rsidRPr="00C16A84">
        <w:rPr>
          <w:noProof/>
        </w:rPr>
        <w:t xml:space="preserve">potvrde, iskaznice </w:t>
      </w:r>
      <w:bookmarkStart w:id="24" w:name="_Hlk140335699"/>
      <w:r w:rsidR="00FD3605" w:rsidRPr="00C16A84">
        <w:rPr>
          <w:noProof/>
        </w:rPr>
        <w:t>ili druge službene isprave</w:t>
      </w:r>
      <w:bookmarkEnd w:id="23"/>
      <w:r w:rsidR="00FD3605" w:rsidRPr="00C16A84">
        <w:rPr>
          <w:noProof/>
        </w:rPr>
        <w:t xml:space="preserve"> </w:t>
      </w:r>
      <w:bookmarkEnd w:id="24"/>
      <w:r w:rsidR="00FD3605" w:rsidRPr="00C16A84">
        <w:rPr>
          <w:noProof/>
        </w:rPr>
        <w:t>u skladu s nacionalnim nadležnostima, praksom i postupcima te, ako je primjenjivo, na osobe koje su njihova pratnja ili im pružaju pomoć, uključujući</w:t>
      </w:r>
      <w:bookmarkEnd w:id="22"/>
      <w:r w:rsidR="00FD3605" w:rsidRPr="00C16A84">
        <w:rPr>
          <w:noProof/>
        </w:rPr>
        <w:t xml:space="preserve"> osobne asistente; </w:t>
      </w:r>
    </w:p>
    <w:p w14:paraId="3247A794" w14:textId="37F26D8B" w:rsidR="00830A0A" w:rsidRPr="00C16A84" w:rsidRDefault="00F341B8" w:rsidP="00F341B8">
      <w:pPr>
        <w:pStyle w:val="Point1"/>
        <w:rPr>
          <w:noProof/>
        </w:rPr>
      </w:pPr>
      <w:r w:rsidRPr="00F341B8">
        <w:t>(b)</w:t>
      </w:r>
      <w:r w:rsidRPr="00F341B8">
        <w:tab/>
      </w:r>
      <w:r w:rsidR="000717C7" w:rsidRPr="00C16A84">
        <w:rPr>
          <w:noProof/>
        </w:rPr>
        <w:t>građane Unije i članove obitelji građana Unije čija su prava na uvjete i prostore za parkiranje rezervirane za osobe s invaliditetom priznata u njihovoj državi članici boravišta izdavanjem parkirne karte ili druge isprave u skladu s nacionalnim nadležnostima, praksom i postupcima te, ako je primjenjivo, na osobe koje su njihova pratnja ili im pružaju pomoć, uključujući osobne asistente.</w:t>
      </w:r>
    </w:p>
    <w:p w14:paraId="01F4B9CD" w14:textId="77777777" w:rsidR="00830A0A" w:rsidRPr="00C16A84" w:rsidRDefault="00830A0A" w:rsidP="00830A0A">
      <w:pPr>
        <w:pStyle w:val="Titrearticle"/>
        <w:rPr>
          <w:noProof/>
        </w:rPr>
      </w:pPr>
      <w:r w:rsidRPr="00C16A84">
        <w:rPr>
          <w:noProof/>
        </w:rPr>
        <w:t>Članak 5.</w:t>
      </w:r>
    </w:p>
    <w:p w14:paraId="2488A991" w14:textId="77777777" w:rsidR="00830A0A" w:rsidRPr="00C16A84" w:rsidRDefault="00830A0A" w:rsidP="00830A0A">
      <w:pPr>
        <w:jc w:val="center"/>
        <w:rPr>
          <w:b/>
          <w:bCs/>
          <w:i/>
          <w:noProof/>
          <w:szCs w:val="24"/>
        </w:rPr>
      </w:pPr>
      <w:r w:rsidRPr="00C16A84">
        <w:rPr>
          <w:b/>
          <w:i/>
          <w:noProof/>
        </w:rPr>
        <w:t>Ravnopravan pristup posebnim uvjetima ili povlaštenom postupanju te uvjetima i prostorima za parkiranje za osobe s invaliditetom</w:t>
      </w:r>
    </w:p>
    <w:p w14:paraId="29DDED15" w14:textId="77777777" w:rsidR="00A559F1" w:rsidRPr="00C16A84" w:rsidRDefault="00A559F1" w:rsidP="00830A0A">
      <w:pPr>
        <w:jc w:val="center"/>
        <w:rPr>
          <w:noProof/>
          <w:szCs w:val="24"/>
        </w:rPr>
      </w:pPr>
    </w:p>
    <w:p w14:paraId="41DCFB19" w14:textId="2E3B6730" w:rsidR="00830A0A" w:rsidRPr="00C16A84" w:rsidRDefault="00F341B8" w:rsidP="00F341B8">
      <w:pPr>
        <w:pStyle w:val="ManualNumPar1"/>
        <w:rPr>
          <w:noProof/>
          <w:szCs w:val="24"/>
        </w:rPr>
      </w:pPr>
      <w:bookmarkStart w:id="25" w:name="_Hlk139894851"/>
      <w:r w:rsidRPr="00F341B8">
        <w:t>1.</w:t>
      </w:r>
      <w:r w:rsidRPr="00F341B8">
        <w:tab/>
      </w:r>
      <w:r w:rsidR="009168EE" w:rsidRPr="00C16A84">
        <w:rPr>
          <w:noProof/>
        </w:rPr>
        <w:t xml:space="preserve">Države članice poduzimaju potrebne mjere kako bi </w:t>
      </w:r>
      <w:bookmarkEnd w:id="25"/>
      <w:r w:rsidR="009168EE" w:rsidRPr="00C16A84">
        <w:rPr>
          <w:noProof/>
        </w:rPr>
        <w:t xml:space="preserve">nositelji europske iskaznice za osobe s invaliditetom koji putuju u državu članicu koja nije država članica njihova boravišta ili je posjećuju imali pristup svim posebnim uvjetima ili povlaštenom postupanju koji se nude u pogledu usluga, aktivnosti i sadržaja iz članka 2. stavka 1. koji je ravnopravan pristupu osoba s invaliditetom </w:t>
      </w:r>
      <w:bookmarkStart w:id="26" w:name="_Hlk139897750"/>
      <w:r w:rsidR="009168EE" w:rsidRPr="00C16A84">
        <w:rPr>
          <w:noProof/>
        </w:rPr>
        <w:t>koje su nositelji potvrde o invaliditetu, iskaznice za osobe s invaliditetom ili druge službene isprave kojom im se priznaje status osobe s invaliditetom u toj državi članici</w:t>
      </w:r>
      <w:bookmarkEnd w:id="26"/>
      <w:r w:rsidR="009168EE" w:rsidRPr="00C16A84">
        <w:rPr>
          <w:noProof/>
        </w:rPr>
        <w:t>.</w:t>
      </w:r>
    </w:p>
    <w:p w14:paraId="5599B7F6" w14:textId="046B94E2" w:rsidR="00A559F1" w:rsidRPr="00C16A84" w:rsidRDefault="00F341B8" w:rsidP="00F341B8">
      <w:pPr>
        <w:pStyle w:val="ManualNumPar1"/>
        <w:rPr>
          <w:noProof/>
          <w:szCs w:val="24"/>
        </w:rPr>
      </w:pPr>
      <w:r w:rsidRPr="00F341B8">
        <w:t>2.</w:t>
      </w:r>
      <w:r w:rsidRPr="00F341B8">
        <w:tab/>
      </w:r>
      <w:r w:rsidR="006A197B" w:rsidRPr="00C16A84">
        <w:rPr>
          <w:noProof/>
        </w:rPr>
        <w:t>Države članice poduzimaju potrebne mjere kako bi nositelji europske parkirne karte za osobe s invaliditetom koji putuju u državu članicu koja nije država članica njihova boravišta ili je posjećuju u toj drugoj državi članici imali pristup uvjetima i prostorima za parkiranje rezerviranima za osobe s invaliditetom koji je ravnopravan pristupu nositelja parkirnih karata izdanih u toj državi članici.</w:t>
      </w:r>
    </w:p>
    <w:p w14:paraId="053335F5" w14:textId="014663B4" w:rsidR="00A559F1" w:rsidRPr="00C16A84" w:rsidRDefault="00F341B8" w:rsidP="00F341B8">
      <w:pPr>
        <w:pStyle w:val="ManualNumPar1"/>
        <w:rPr>
          <w:noProof/>
          <w:szCs w:val="24"/>
        </w:rPr>
      </w:pPr>
      <w:r w:rsidRPr="00F341B8">
        <w:t>3.</w:t>
      </w:r>
      <w:r w:rsidRPr="00F341B8">
        <w:tab/>
      </w:r>
      <w:r w:rsidR="002F2AE6" w:rsidRPr="00C16A84">
        <w:rPr>
          <w:noProof/>
        </w:rPr>
        <w:t>Osim ako je drukčije navedeno u relevantnim odredbama ove Direktive ili drugom pravu Unije, države članice poduzimaju potrebne mjere:</w:t>
      </w:r>
    </w:p>
    <w:p w14:paraId="18A9A676" w14:textId="7F873698" w:rsidR="00A559F1" w:rsidRPr="00C16A84" w:rsidRDefault="00F341B8" w:rsidP="00F341B8">
      <w:pPr>
        <w:pStyle w:val="Point1"/>
        <w:rPr>
          <w:noProof/>
        </w:rPr>
      </w:pPr>
      <w:r w:rsidRPr="00F341B8">
        <w:t>(a)</w:t>
      </w:r>
      <w:r w:rsidRPr="00F341B8">
        <w:tab/>
      </w:r>
      <w:r w:rsidR="002F2AE6" w:rsidRPr="00C16A84">
        <w:rPr>
          <w:noProof/>
        </w:rPr>
        <w:t>kako bi osobe koje su pratnja ili pružaju pomoć nositeljima europske iskaznice za osobe s invaliditetom, uključujući osobne asistente, odnosno životinje pomagači ostvarili ravnopravan pristup povoljnim uvjetima za osobe koje su pratnja ili pružaju pomoć osobama s invaliditetom, uključujući osobne asistente, odnosno specifičnim uvjetima za životinje pomagače kad su ti povoljni i specifični uvjeti uključeni u posebne uvjete ili povlašteno postupanje iz stavka 1. ovog članka;</w:t>
      </w:r>
    </w:p>
    <w:p w14:paraId="3F63C805" w14:textId="07C72FF3" w:rsidR="00A559F1" w:rsidRPr="00C16A84" w:rsidRDefault="00F341B8" w:rsidP="00F341B8">
      <w:pPr>
        <w:pStyle w:val="Point1"/>
        <w:rPr>
          <w:noProof/>
        </w:rPr>
      </w:pPr>
      <w:r w:rsidRPr="00F341B8">
        <w:lastRenderedPageBreak/>
        <w:t>(b)</w:t>
      </w:r>
      <w:r w:rsidRPr="00F341B8">
        <w:tab/>
      </w:r>
      <w:r w:rsidR="002F2AE6" w:rsidRPr="00C16A84">
        <w:rPr>
          <w:noProof/>
        </w:rPr>
        <w:t>kako bi osobe koje su pratnja ili pružaju pomoć nositeljima europske parkirne karte za osobe s invaliditetom, uključujući osobne asistente, ostvarile ravnopravan pristup povoljnim uvjetima za osobe koje su pratnja ili pružaju pomoć osobama s invaliditetom, uključujući osobne asistente, kad su ti povoljni uvjeti uključeni u uvjete i prostore za parkiranje iz stavka 2. ovog članka.</w:t>
      </w:r>
    </w:p>
    <w:p w14:paraId="71FD48C5" w14:textId="77777777" w:rsidR="006E6653" w:rsidRPr="00C16A84" w:rsidRDefault="006E6653" w:rsidP="00091884">
      <w:pPr>
        <w:rPr>
          <w:noProof/>
        </w:rPr>
      </w:pPr>
    </w:p>
    <w:p w14:paraId="1CDDAF6B" w14:textId="77777777" w:rsidR="006E6653" w:rsidRPr="00C16A84" w:rsidRDefault="006E6653" w:rsidP="006E6653">
      <w:pPr>
        <w:jc w:val="center"/>
        <w:rPr>
          <w:b/>
          <w:noProof/>
          <w:szCs w:val="24"/>
        </w:rPr>
      </w:pPr>
      <w:r w:rsidRPr="00C16A84">
        <w:rPr>
          <w:b/>
          <w:noProof/>
        </w:rPr>
        <w:t>POGLAVLJE II.</w:t>
      </w:r>
    </w:p>
    <w:p w14:paraId="7F9F6D77" w14:textId="77777777" w:rsidR="00401D9F" w:rsidRPr="00C16A84" w:rsidRDefault="00401D9F" w:rsidP="00401D9F">
      <w:pPr>
        <w:jc w:val="center"/>
        <w:rPr>
          <w:bCs/>
          <w:noProof/>
          <w:szCs w:val="24"/>
        </w:rPr>
      </w:pPr>
      <w:r w:rsidRPr="00C16A84">
        <w:rPr>
          <w:b/>
          <w:noProof/>
        </w:rPr>
        <w:t>EUROPSKA ISKAZNICA ZA OSOBE S INVALIDITETOM I EUROPSKA PARKIRNA KARTA ZA OSOBE S INVALIDITETOM</w:t>
      </w:r>
    </w:p>
    <w:p w14:paraId="22376704" w14:textId="77777777" w:rsidR="00401D9F" w:rsidRPr="00C16A84" w:rsidRDefault="00401D9F" w:rsidP="00401D9F">
      <w:pPr>
        <w:pStyle w:val="Titrearticle"/>
        <w:rPr>
          <w:noProof/>
        </w:rPr>
      </w:pPr>
      <w:r w:rsidRPr="00C16A84">
        <w:rPr>
          <w:noProof/>
        </w:rPr>
        <w:t>Članak 6.</w:t>
      </w:r>
    </w:p>
    <w:p w14:paraId="4277D6CD" w14:textId="77777777" w:rsidR="00401D9F" w:rsidRPr="00C16A84" w:rsidRDefault="00401D9F" w:rsidP="00401D9F">
      <w:pPr>
        <w:jc w:val="center"/>
        <w:rPr>
          <w:b/>
          <w:i/>
          <w:noProof/>
          <w:szCs w:val="24"/>
        </w:rPr>
      </w:pPr>
      <w:r w:rsidRPr="00C16A84">
        <w:rPr>
          <w:b/>
          <w:i/>
          <w:noProof/>
        </w:rPr>
        <w:t>Obrazac, uzajamno priznavanje, izdavanje i valjanost europske iskaznice za osobe s invaliditetom</w:t>
      </w:r>
    </w:p>
    <w:p w14:paraId="0A7841DB" w14:textId="0907B569" w:rsidR="009C7808" w:rsidRPr="00C16A84" w:rsidRDefault="00F341B8" w:rsidP="00F341B8">
      <w:pPr>
        <w:pStyle w:val="ManualNumPar1"/>
        <w:rPr>
          <w:noProof/>
          <w:szCs w:val="24"/>
        </w:rPr>
      </w:pPr>
      <w:r w:rsidRPr="00F341B8">
        <w:t>1.</w:t>
      </w:r>
      <w:r w:rsidRPr="00F341B8">
        <w:tab/>
      </w:r>
      <w:r w:rsidR="009663BF" w:rsidRPr="00C16A84">
        <w:rPr>
          <w:noProof/>
        </w:rPr>
        <w:t xml:space="preserve">Svaka država članica uvodi europsku iskaznicu za osobe s invaliditetom prema zajedničkom standardiziranom obrascu utvrđenom u Prilogu I. Države članice obvezne su u fizičku europsku iskaznicu za osobe s invaliditetom dodati digitalne značajke koje elektroničkim sredstvima sprečavaju prijevare čim Komisija u tehničkim specifikacijama iz članka 8. utvrdi zahtjeve za digitalne značajke iz Priloga I. </w:t>
      </w:r>
      <w:bookmarkStart w:id="27" w:name="_Hlk141368641"/>
      <w:r w:rsidR="009663BF" w:rsidRPr="00C16A84">
        <w:rPr>
          <w:noProof/>
        </w:rPr>
        <w:t>Digitalni medij za pohranu ne smije sadržavati druge osobne podatke osim onih propisanih za europsku iskaznicu za osobe s invaliditetom u Prilogu I.</w:t>
      </w:r>
      <w:bookmarkEnd w:id="27"/>
    </w:p>
    <w:p w14:paraId="428317B2" w14:textId="0A736C20" w:rsidR="00D85762" w:rsidRPr="00C16A84" w:rsidRDefault="00F341B8" w:rsidP="00F341B8">
      <w:pPr>
        <w:pStyle w:val="ManualNumPar1"/>
        <w:rPr>
          <w:noProof/>
        </w:rPr>
      </w:pPr>
      <w:r w:rsidRPr="00F341B8">
        <w:t>2.</w:t>
      </w:r>
      <w:r w:rsidRPr="00F341B8">
        <w:tab/>
      </w:r>
      <w:r w:rsidR="009663BF" w:rsidRPr="00C16A84">
        <w:rPr>
          <w:noProof/>
        </w:rPr>
        <w:t>Europske iskaznice za osobe s invaliditetom koje izdaju države članice uzajamno se priznaju u svim državama članicama.</w:t>
      </w:r>
    </w:p>
    <w:p w14:paraId="3A30D6CA" w14:textId="77F844C7" w:rsidR="00B47456" w:rsidRPr="00C16A84" w:rsidRDefault="00F341B8" w:rsidP="00F341B8">
      <w:pPr>
        <w:pStyle w:val="ManualNumPar1"/>
        <w:rPr>
          <w:noProof/>
        </w:rPr>
      </w:pPr>
      <w:r w:rsidRPr="00F341B8">
        <w:t>3.</w:t>
      </w:r>
      <w:r w:rsidRPr="00F341B8">
        <w:tab/>
      </w:r>
      <w:r w:rsidR="009663BF" w:rsidRPr="00C16A84">
        <w:rPr>
          <w:noProof/>
        </w:rPr>
        <w:t>Nadležna tijela u državama članicama izdaju, produljuju ili oduzimaju europsku iskaznicu za osobe s invaliditetom u skladu sa svojim nacionalnim pravilima, postupcima i praksom. Ne dovodeći u pitanje Uredbu (EU) 2016/679, države članice brinu se za sigurnost, cjelovitost, autentičnost i povjerljivost podataka koji se prikupljaju i pohranjuju za potrebe ove Direktive. Nadležno tijelo odgovorno za izdavanje europske iskaznice za osobe s invaliditetom smatra se voditeljem obrade iz članka 4. točke 7. Uredbe (EU) 2016/679 i snosi odgovornost za obradu osobnih podataka. Suradnja s vanjskim pružateljima usluga ne isključuje odgovornost države članice koja proizlazi iz prava Unije ili nacionalnog prava za kršenje obveza u pogledu osobnih podataka.</w:t>
      </w:r>
    </w:p>
    <w:p w14:paraId="7EACD606" w14:textId="68A0B2CD" w:rsidR="009663BF" w:rsidRPr="00C16A84" w:rsidRDefault="00F341B8" w:rsidP="00F341B8">
      <w:pPr>
        <w:pStyle w:val="ManualNumPar1"/>
        <w:rPr>
          <w:noProof/>
        </w:rPr>
      </w:pPr>
      <w:r w:rsidRPr="00F341B8">
        <w:t>4.</w:t>
      </w:r>
      <w:r w:rsidRPr="00F341B8">
        <w:tab/>
      </w:r>
      <w:r w:rsidR="009663BF" w:rsidRPr="00C16A84">
        <w:rPr>
          <w:noProof/>
        </w:rPr>
        <w:t>Europsku iskaznicu za osobe s invaliditetom izdaje ili produljuje država članica boravišta izravno ili na zahtjev osobe s invaliditetom. Izdaje se i produljuje u roku koji je u primjenjivom nacionalnom zakonodavstvu propisan za izdavanje potvrda o invaliditetu, iskaznica za osobe s invaliditetom ili druge službene isprave kojom se priznaje status osobe s invaliditetom.</w:t>
      </w:r>
    </w:p>
    <w:p w14:paraId="479BB1CB" w14:textId="515FF0AB" w:rsidR="00F550D9" w:rsidRPr="00C16A84" w:rsidRDefault="00F341B8" w:rsidP="00F341B8">
      <w:pPr>
        <w:pStyle w:val="ManualNumPar1"/>
        <w:rPr>
          <w:noProof/>
        </w:rPr>
      </w:pPr>
      <w:r w:rsidRPr="00F341B8">
        <w:t>5.</w:t>
      </w:r>
      <w:r w:rsidRPr="00F341B8">
        <w:tab/>
      </w:r>
      <w:r w:rsidR="00F550D9" w:rsidRPr="00C16A84">
        <w:rPr>
          <w:noProof/>
        </w:rPr>
        <w:t>Europska iskaznica za osobe s invaliditetom izdaje se u fizičkom obliku i dopunjuje digitalnim oblikom nakon donošenja delegiranih akata iz stavka 7. Osobe s invaliditetom mogu upotrebljavati digitalnu ili fizičku iskaznicu ili obje.</w:t>
      </w:r>
    </w:p>
    <w:p w14:paraId="3B009E46" w14:textId="32BE80CC" w:rsidR="00F550D9" w:rsidRPr="00C16A84" w:rsidRDefault="00F341B8" w:rsidP="00F341B8">
      <w:pPr>
        <w:pStyle w:val="ManualNumPar1"/>
        <w:rPr>
          <w:noProof/>
        </w:rPr>
      </w:pPr>
      <w:r w:rsidRPr="00F341B8">
        <w:t>6.</w:t>
      </w:r>
      <w:r w:rsidRPr="00F341B8">
        <w:tab/>
      </w:r>
      <w:r w:rsidR="00F550D9" w:rsidRPr="00C16A84">
        <w:rPr>
          <w:noProof/>
        </w:rPr>
        <w:t>Europska iskaznica za osobe s invaliditetom koju izdaje država članica valjana je najmanje jednako dugo kao potvrda o invaliditetu, iskaznica za osobe s invaliditetom ili druga službena isprava kojom se priznaje status osobe s invaliditetom, koja ima najdulji rok važenja i koju je dotičnoj osobi izdalo nadležno tijelo države članice na njezinu državnom području.</w:t>
      </w:r>
    </w:p>
    <w:p w14:paraId="21C4C1FE" w14:textId="56A92A09" w:rsidR="00F550D9" w:rsidRPr="00C16A84" w:rsidRDefault="00F341B8" w:rsidP="00F341B8">
      <w:pPr>
        <w:pStyle w:val="ManualNumPar1"/>
        <w:rPr>
          <w:noProof/>
        </w:rPr>
      </w:pPr>
      <w:r w:rsidRPr="00F341B8">
        <w:lastRenderedPageBreak/>
        <w:t>7.</w:t>
      </w:r>
      <w:r w:rsidRPr="00F341B8">
        <w:tab/>
      </w:r>
      <w:r w:rsidR="00F550D9" w:rsidRPr="00C16A84">
        <w:rPr>
          <w:noProof/>
        </w:rPr>
        <w:t>Komisija je ovlaštena za donošenje delegiranih akata u skladu s člankom 11. o dopuni ove Direktive utvrđivanjem obrasca digitalne europske iskaznice za osobe s invaliditetom i osiguravanjem interoperabilnost i o izmjeni Priloga I. radi izmjene zajedničkih značajki standardiziranog obrasca, prilagodbe obrasca razvoju tehnologije, uvođenja digitalnih značajki za sprečavanje krivotvorenja i prijevara te suzbijanja zloupotrebe ili nepravilne upotrebe i osiguranja interoperabilnosti.</w:t>
      </w:r>
    </w:p>
    <w:p w14:paraId="1452E998" w14:textId="77777777" w:rsidR="007532ED" w:rsidRPr="00C16A84" w:rsidRDefault="007532ED" w:rsidP="007532ED">
      <w:pPr>
        <w:pStyle w:val="Titrearticle"/>
        <w:rPr>
          <w:noProof/>
        </w:rPr>
      </w:pPr>
      <w:r w:rsidRPr="00C16A84">
        <w:rPr>
          <w:noProof/>
        </w:rPr>
        <w:t>Članak 7.</w:t>
      </w:r>
    </w:p>
    <w:p w14:paraId="4BD82829" w14:textId="77777777" w:rsidR="007532ED" w:rsidRPr="00C16A84" w:rsidRDefault="007532ED" w:rsidP="007532ED">
      <w:pPr>
        <w:jc w:val="center"/>
        <w:rPr>
          <w:b/>
          <w:i/>
          <w:noProof/>
        </w:rPr>
      </w:pPr>
      <w:r w:rsidRPr="00C16A84">
        <w:rPr>
          <w:b/>
          <w:i/>
          <w:noProof/>
        </w:rPr>
        <w:t>Obrazac, uzajamno priznavanje, izdavanje i valjanost europske parkirne karte za osobe s invaliditetom</w:t>
      </w:r>
    </w:p>
    <w:p w14:paraId="3E8992B9" w14:textId="7306604C" w:rsidR="007532ED" w:rsidRPr="00C16A84" w:rsidRDefault="00F341B8" w:rsidP="00F341B8">
      <w:pPr>
        <w:pStyle w:val="ManualNumPar1"/>
        <w:rPr>
          <w:noProof/>
        </w:rPr>
      </w:pPr>
      <w:r w:rsidRPr="00F341B8">
        <w:t>1.</w:t>
      </w:r>
      <w:r w:rsidRPr="00F341B8">
        <w:tab/>
      </w:r>
      <w:r w:rsidR="007532ED" w:rsidRPr="00C16A84">
        <w:rPr>
          <w:noProof/>
        </w:rPr>
        <w:t>Svaka država članica uvodi europsku parkirnu kartu za osobe s invaliditetom prema zajedničkom standardiziranom obrascu utvrđenom u Prilogu II. Države članice obvezne su u fizičku europsku parkirnu kartu za osobe s invaliditetom dodati digitalne značajke koje elektroničkim sredstvima sprečavaju prijevare čim Komisija u tehničkim specifikacijama iz članka 8. utvrdi zahtjeve za digitalne značajke iz Priloga II. Digitalni medij za pohranu ne smije sadržavati druge osobne podatke osim onih propisanih za europsku iskaznicu za osobe s invaliditetom u Prilogu II.</w:t>
      </w:r>
    </w:p>
    <w:p w14:paraId="3ECE9747" w14:textId="4317618E" w:rsidR="007532ED" w:rsidRPr="00C16A84" w:rsidRDefault="00F341B8" w:rsidP="00F341B8">
      <w:pPr>
        <w:pStyle w:val="ManualNumPar1"/>
        <w:rPr>
          <w:noProof/>
        </w:rPr>
      </w:pPr>
      <w:r w:rsidRPr="00F341B8">
        <w:t>2.</w:t>
      </w:r>
      <w:r w:rsidRPr="00F341B8">
        <w:tab/>
      </w:r>
      <w:r w:rsidR="007532ED" w:rsidRPr="00C16A84">
        <w:rPr>
          <w:noProof/>
        </w:rPr>
        <w:t>Europske parkirne karte za osobe s invaliditetom koje izdaju države članice uzajamno se priznaju u svim državama članicama.</w:t>
      </w:r>
    </w:p>
    <w:p w14:paraId="168E50FE" w14:textId="42BC0BA4" w:rsidR="00FE4D43" w:rsidRPr="00C16A84" w:rsidRDefault="00F341B8" w:rsidP="00F341B8">
      <w:pPr>
        <w:pStyle w:val="ManualNumPar1"/>
        <w:rPr>
          <w:noProof/>
        </w:rPr>
      </w:pPr>
      <w:r w:rsidRPr="00F341B8">
        <w:t>3.</w:t>
      </w:r>
      <w:r w:rsidRPr="00F341B8">
        <w:tab/>
      </w:r>
      <w:r w:rsidR="007532ED" w:rsidRPr="00C16A84">
        <w:rPr>
          <w:noProof/>
        </w:rPr>
        <w:t>Nadležna tijela u državama članicama izdaju, produljuju ili oduzimaju europsku parkirnu kartu za osobe s invaliditetom u skladu sa svojim nacionalnim pravilima, postupcima i praksom. Ne dovodeći u pitanje Uredbu (EU) 2016/679, države članice brinu se za sigurnost, autentičnost i povjerljivost osobnih podataka koji se prikupljaju i pohranjuju za potrebe ove Direktive. Nadležno tijelo odgovorno za izdavanje europske parkirne karte za osobe s invaliditetom smatra se voditeljem obrade iz članka 4. točke 7. Uredbe (EU) 2016/679 i snosi odgovornost za obradu osobnih podataka. Suradnja s vanjskim pružateljima usluga ne isključuje odgovornost države članice koja proizlazi iz prava Unije ili nacionalnog prava za kršenje obveza u pogledu osobnih podataka.</w:t>
      </w:r>
    </w:p>
    <w:p w14:paraId="6CC5DDB6" w14:textId="02EFC097" w:rsidR="007532ED" w:rsidRPr="00C16A84" w:rsidRDefault="00F341B8" w:rsidP="00F341B8">
      <w:pPr>
        <w:pStyle w:val="ManualNumPar1"/>
        <w:rPr>
          <w:noProof/>
        </w:rPr>
      </w:pPr>
      <w:r w:rsidRPr="00F341B8">
        <w:t>4.</w:t>
      </w:r>
      <w:r w:rsidRPr="00F341B8">
        <w:tab/>
      </w:r>
      <w:r w:rsidR="007532ED" w:rsidRPr="00C16A84">
        <w:rPr>
          <w:noProof/>
        </w:rPr>
        <w:t>Europsku parkirnu kartu za osobe s invaliditetom izdaje ili produljuje država članica boravišta na zahtjev osobe s invaliditetom. Izdaje se ili obnavlja u razumnom roku od najviše 60 dana od datuma podnošenja zahtjeva.</w:t>
      </w:r>
    </w:p>
    <w:p w14:paraId="7DD78D38" w14:textId="12132143" w:rsidR="007532ED" w:rsidRPr="00C16A84" w:rsidRDefault="00F341B8" w:rsidP="00F341B8">
      <w:pPr>
        <w:pStyle w:val="ManualNumPar1"/>
        <w:rPr>
          <w:noProof/>
        </w:rPr>
      </w:pPr>
      <w:r w:rsidRPr="00F341B8">
        <w:t>5.</w:t>
      </w:r>
      <w:r w:rsidRPr="00F341B8">
        <w:tab/>
      </w:r>
      <w:r w:rsidR="007532ED" w:rsidRPr="00C16A84">
        <w:rPr>
          <w:noProof/>
        </w:rPr>
        <w:t xml:space="preserve">Države članice poduzimaju potrebne mjere kako bi najkasnije do </w:t>
      </w:r>
      <w:r w:rsidR="007532ED" w:rsidRPr="00C16A84">
        <w:rPr>
          <w:i/>
          <w:noProof/>
        </w:rPr>
        <w:t>dd/mm/gg</w:t>
      </w:r>
      <w:r w:rsidR="007532ED" w:rsidRPr="00C16A84">
        <w:rPr>
          <w:noProof/>
        </w:rPr>
        <w:t xml:space="preserve"> [</w:t>
      </w:r>
      <w:r w:rsidR="007532ED" w:rsidRPr="00C16A84">
        <w:rPr>
          <w:i/>
          <w:noProof/>
        </w:rPr>
        <w:t>datum početka primjene ove Direktive</w:t>
      </w:r>
      <w:r w:rsidR="007532ED" w:rsidRPr="00C16A84">
        <w:rPr>
          <w:noProof/>
        </w:rPr>
        <w:t>] europska parkirna karta za osobe s invaliditetom zamijenila sve postojeće valjane parkirne karte izdane u skladu s Preporukom Vijeća o parkirnim kartama za osobe s invaliditetom</w:t>
      </w:r>
      <w:r w:rsidR="007532ED" w:rsidRPr="00C16A84">
        <w:rPr>
          <w:rStyle w:val="FootnoteReference"/>
          <w:noProof/>
        </w:rPr>
        <w:footnoteReference w:id="58"/>
      </w:r>
      <w:r w:rsidR="007532ED" w:rsidRPr="00C16A84">
        <w:rPr>
          <w:noProof/>
        </w:rPr>
        <w:t xml:space="preserve"> na nacionalnoj, regionalnoj ili lokalnoj razini.</w:t>
      </w:r>
    </w:p>
    <w:p w14:paraId="51519228" w14:textId="572DC609" w:rsidR="007532ED" w:rsidRPr="00C16A84" w:rsidRDefault="00F341B8" w:rsidP="00F341B8">
      <w:pPr>
        <w:pStyle w:val="ManualNumPar1"/>
        <w:rPr>
          <w:noProof/>
        </w:rPr>
      </w:pPr>
      <w:r w:rsidRPr="00F341B8">
        <w:t>6.</w:t>
      </w:r>
      <w:r w:rsidRPr="00F341B8">
        <w:tab/>
      </w:r>
      <w:r w:rsidR="007532ED" w:rsidRPr="00C16A84">
        <w:rPr>
          <w:noProof/>
        </w:rPr>
        <w:t>Europska parkirna karta za osobe s invaliditetom izdaje se ili produljuje u fizičkom obliku i dopunjuje digitalnim oblikom nakon donošenja delegiranih akata iz stavka 7. Osobe s invaliditetom mogu upotrebljavati digitalnu ili fizičku kartu ili obje.</w:t>
      </w:r>
    </w:p>
    <w:p w14:paraId="4160E944" w14:textId="048AAD7A" w:rsidR="0094120E" w:rsidRPr="00C16A84" w:rsidRDefault="00F341B8" w:rsidP="00F341B8">
      <w:pPr>
        <w:pStyle w:val="ManualNumPar1"/>
        <w:rPr>
          <w:noProof/>
        </w:rPr>
      </w:pPr>
      <w:r w:rsidRPr="00F341B8">
        <w:t>7.</w:t>
      </w:r>
      <w:r w:rsidRPr="00F341B8">
        <w:tab/>
      </w:r>
      <w:r w:rsidR="0094120E" w:rsidRPr="00C16A84">
        <w:rPr>
          <w:noProof/>
        </w:rPr>
        <w:t xml:space="preserve">Komisija je ovlaštena za donošenje delegiranih akata u skladu s člankom 11. o dopuni ove Direktive utvrđivanjem obrasca digitalne europske parkirne karte za </w:t>
      </w:r>
      <w:r w:rsidR="0094120E" w:rsidRPr="00C16A84">
        <w:rPr>
          <w:noProof/>
        </w:rPr>
        <w:lastRenderedPageBreak/>
        <w:t>osobe s invaliditetom i osiguravanjem interoperabilnosti, među ostalim razvojem i uvođenjem digitalnih alata, te o izmjeni Priloga II. radi izmjene zajedničkih značajki standardiziranog obrasca, prilagodbe obrasca razvoju tehnologije, sprečavanja krivotvorenja i prijevare, suzbijanja zloupotrebe ili nepravilne upotrebe i osiguranja interoperabilnosti, među ostalim razvojem i uvođenjem digitalnih alata.</w:t>
      </w:r>
    </w:p>
    <w:p w14:paraId="3DE19C49" w14:textId="77777777" w:rsidR="00F948CA" w:rsidRPr="00C16A84" w:rsidRDefault="00F948CA" w:rsidP="00F948CA">
      <w:pPr>
        <w:rPr>
          <w:noProof/>
        </w:rPr>
      </w:pPr>
    </w:p>
    <w:p w14:paraId="13357A68" w14:textId="77777777" w:rsidR="00F948CA" w:rsidRPr="00C16A84" w:rsidRDefault="00F948CA" w:rsidP="00F948CA">
      <w:pPr>
        <w:jc w:val="center"/>
        <w:rPr>
          <w:b/>
          <w:bCs/>
          <w:noProof/>
        </w:rPr>
      </w:pPr>
      <w:r w:rsidRPr="00C16A84">
        <w:rPr>
          <w:b/>
          <w:noProof/>
        </w:rPr>
        <w:t>POGLAVLJE III.</w:t>
      </w:r>
    </w:p>
    <w:p w14:paraId="05A5B21D" w14:textId="77777777" w:rsidR="00F948CA" w:rsidRPr="00C16A84" w:rsidRDefault="00F948CA" w:rsidP="00F948CA">
      <w:pPr>
        <w:jc w:val="center"/>
        <w:rPr>
          <w:b/>
          <w:noProof/>
        </w:rPr>
      </w:pPr>
      <w:r w:rsidRPr="00C16A84">
        <w:rPr>
          <w:b/>
          <w:noProof/>
        </w:rPr>
        <w:t>ZAJEDNIČKE ODREDBE</w:t>
      </w:r>
    </w:p>
    <w:p w14:paraId="40AEBD34" w14:textId="77777777" w:rsidR="00F948CA" w:rsidRPr="00C16A84" w:rsidRDefault="00F948CA" w:rsidP="00F948CA">
      <w:pPr>
        <w:pStyle w:val="Titrearticle"/>
        <w:rPr>
          <w:noProof/>
        </w:rPr>
      </w:pPr>
      <w:r w:rsidRPr="00C16A84">
        <w:rPr>
          <w:noProof/>
        </w:rPr>
        <w:t>Članak 8.</w:t>
      </w:r>
    </w:p>
    <w:p w14:paraId="0A9D565A" w14:textId="77777777" w:rsidR="00F948CA" w:rsidRPr="00C16A84" w:rsidRDefault="00F948CA" w:rsidP="00F948CA">
      <w:pPr>
        <w:jc w:val="center"/>
        <w:rPr>
          <w:b/>
          <w:i/>
          <w:noProof/>
        </w:rPr>
      </w:pPr>
      <w:r w:rsidRPr="00C16A84">
        <w:rPr>
          <w:b/>
          <w:i/>
          <w:noProof/>
        </w:rPr>
        <w:t xml:space="preserve">Zajedničke tehničke specifikacije </w:t>
      </w:r>
    </w:p>
    <w:p w14:paraId="510661BB" w14:textId="061591E5" w:rsidR="00F948CA" w:rsidRPr="00C16A84" w:rsidRDefault="00F341B8" w:rsidP="00F341B8">
      <w:pPr>
        <w:pStyle w:val="ManualNumPar1"/>
        <w:rPr>
          <w:noProof/>
        </w:rPr>
      </w:pPr>
      <w:r w:rsidRPr="00F341B8">
        <w:t>1.</w:t>
      </w:r>
      <w:r w:rsidRPr="00F341B8">
        <w:tab/>
      </w:r>
      <w:r w:rsidR="00217A9A" w:rsidRPr="00C16A84">
        <w:rPr>
          <w:noProof/>
        </w:rPr>
        <w:t>Komisija donosi provedbene akte o zajedničkim tehničkim specifikacijama u kojima se pobliže određuju obrazac europske iskaznice za osobe s invaliditetom i obrazac europske parkirne karte za osobe s invaliditetom, njihove sigurnosne i najsuvremenije digitalne značajke, uključujući njihov specifični format i podatke koje sadržavaju te odgovarajuće sigurnosne mjere za osobne podatke, ali i pitanja interoperabilnosti, kao što su zajedničke aplikacije EU-a za čitanje podataka sadržanih u digitalnim značajkama fizičke iskaznice/karte koje elektroničkim sredstvima sprečavaju prijevare, te u kojima se pobliže određuju tehničke specifikacije medija za pohranu digitalnih podataka na iskaznici/karti u pogledu pitanja kao što su provjera valjanosti i broja iskaznice/karte, kontrola njihove autentičnosti, sprečavanje krivotvorenja i prijevare, mogućnost čitanja iskaznice/karte u svim državama članicama, upotreba u europskoj lisnici za digitalni identitet te pristupačnost svih podataka na iskaznici/karti za osobe s invaliditetom.</w:t>
      </w:r>
    </w:p>
    <w:p w14:paraId="7CE0351F" w14:textId="72035D0C" w:rsidR="00352EB2" w:rsidRPr="00C16A84" w:rsidRDefault="00F341B8" w:rsidP="00F341B8">
      <w:pPr>
        <w:pStyle w:val="ManualNumPar1"/>
        <w:rPr>
          <w:noProof/>
        </w:rPr>
      </w:pPr>
      <w:r w:rsidRPr="00F341B8">
        <w:t>2.</w:t>
      </w:r>
      <w:r w:rsidRPr="00F341B8">
        <w:tab/>
      </w:r>
      <w:r w:rsidR="00217A9A" w:rsidRPr="00C16A84">
        <w:rPr>
          <w:noProof/>
        </w:rPr>
        <w:t>Ti se provedbeni akti donose u skladu s postupkom ispitivanja iz članka 12. stavka 2.</w:t>
      </w:r>
    </w:p>
    <w:p w14:paraId="4062DF92" w14:textId="77777777" w:rsidR="00604AFD" w:rsidRPr="00C16A84" w:rsidRDefault="00604AFD" w:rsidP="00604AFD">
      <w:pPr>
        <w:pStyle w:val="Titrearticle"/>
        <w:rPr>
          <w:noProof/>
        </w:rPr>
      </w:pPr>
      <w:r w:rsidRPr="00C16A84">
        <w:rPr>
          <w:noProof/>
        </w:rPr>
        <w:t>Članak 9.</w:t>
      </w:r>
    </w:p>
    <w:p w14:paraId="2C27C0E0" w14:textId="77777777" w:rsidR="00604AFD" w:rsidRPr="00C16A84" w:rsidRDefault="00604AFD" w:rsidP="00604AFD">
      <w:pPr>
        <w:jc w:val="center"/>
        <w:rPr>
          <w:b/>
          <w:i/>
          <w:noProof/>
        </w:rPr>
      </w:pPr>
      <w:r w:rsidRPr="00C16A84">
        <w:rPr>
          <w:b/>
          <w:i/>
          <w:noProof/>
        </w:rPr>
        <w:t>Nadzor, usklađenost, pristupačnost informacija i informiranje</w:t>
      </w:r>
    </w:p>
    <w:p w14:paraId="0C1F2D3E" w14:textId="1B7BA8B1" w:rsidR="00604AFD" w:rsidRPr="00C16A84" w:rsidRDefault="00F341B8" w:rsidP="00F341B8">
      <w:pPr>
        <w:pStyle w:val="ManualNumPar1"/>
        <w:rPr>
          <w:noProof/>
        </w:rPr>
      </w:pPr>
      <w:r w:rsidRPr="00F341B8">
        <w:t>1.</w:t>
      </w:r>
      <w:r w:rsidRPr="00F341B8">
        <w:tab/>
      </w:r>
      <w:r w:rsidR="00604AFD" w:rsidRPr="00C16A84">
        <w:rPr>
          <w:noProof/>
        </w:rPr>
        <w:t xml:space="preserve">Države članice objavljuju uvjete i </w:t>
      </w:r>
      <w:bookmarkStart w:id="29" w:name="_Hlk135209048"/>
      <w:r w:rsidR="00604AFD" w:rsidRPr="00C16A84">
        <w:rPr>
          <w:noProof/>
        </w:rPr>
        <w:t>pravila, praksu i postupke za izdavanje, produljenje i oduzimanje</w:t>
      </w:r>
      <w:bookmarkEnd w:id="29"/>
      <w:r w:rsidR="00604AFD" w:rsidRPr="00C16A84">
        <w:rPr>
          <w:noProof/>
        </w:rPr>
        <w:t xml:space="preserve"> europske iskaznice za osobe s invaliditetom i europske parkirne karte za osobe s invaliditetom u pristupačnim oblicima, među ostalim u digitalnim oblicima, te na zahtjev u pomoćnim oblicima koje zatraže osobe s invaliditetom.</w:t>
      </w:r>
    </w:p>
    <w:p w14:paraId="23174B2A" w14:textId="6C80925B" w:rsidR="0066497A" w:rsidRPr="00C16A84" w:rsidRDefault="00F341B8" w:rsidP="00F341B8">
      <w:pPr>
        <w:pStyle w:val="ManualNumPar1"/>
        <w:rPr>
          <w:noProof/>
        </w:rPr>
      </w:pPr>
      <w:r w:rsidRPr="00F341B8">
        <w:t>2.</w:t>
      </w:r>
      <w:r w:rsidRPr="00F341B8">
        <w:tab/>
      </w:r>
      <w:r w:rsidR="0066497A" w:rsidRPr="00C16A84">
        <w:rPr>
          <w:noProof/>
        </w:rPr>
        <w:t>Države članice poduzimaju odgovarajuće mjere za informiranje javnosti i osoba s invaliditetom, među ostalim na pristupačan način, o postojanju europske iskaznice za osobe s invaliditetom i europske parkirne karte za osobe s invaliditetom te o uvjetima za njihovo ishođenje, upotrebu i produljenje.</w:t>
      </w:r>
    </w:p>
    <w:p w14:paraId="4FAB411B" w14:textId="3DCC9518" w:rsidR="0066497A" w:rsidRPr="00C16A84" w:rsidRDefault="00F341B8" w:rsidP="00F341B8">
      <w:pPr>
        <w:pStyle w:val="ManualNumPar1"/>
        <w:rPr>
          <w:noProof/>
        </w:rPr>
      </w:pPr>
      <w:r w:rsidRPr="00F341B8">
        <w:t>3.</w:t>
      </w:r>
      <w:r w:rsidRPr="00F341B8">
        <w:tab/>
      </w:r>
      <w:r w:rsidR="0066497A" w:rsidRPr="00C16A84">
        <w:rPr>
          <w:noProof/>
        </w:rPr>
        <w:t>Države članice poduzimaju sve potrebne korake kako bi izbjegle rizik od krivotvorenja ili prijevare i aktivno se bore protiv prijevarne upotrebe i krivotvorenja europske iskaznice za osobe s invaliditetom i europske parkirne karte za osobe s invaliditetom.</w:t>
      </w:r>
    </w:p>
    <w:p w14:paraId="77ED8125" w14:textId="6D2EF727" w:rsidR="0066497A" w:rsidRPr="00C16A84" w:rsidRDefault="00F341B8" w:rsidP="00F341B8">
      <w:pPr>
        <w:pStyle w:val="ManualNumPar1"/>
        <w:rPr>
          <w:noProof/>
        </w:rPr>
      </w:pPr>
      <w:r w:rsidRPr="00F341B8">
        <w:t>4.</w:t>
      </w:r>
      <w:r w:rsidRPr="00F341B8">
        <w:tab/>
      </w:r>
      <w:r w:rsidR="0066497A" w:rsidRPr="00C16A84">
        <w:rPr>
          <w:noProof/>
        </w:rPr>
        <w:t>Države članice poduzimaju potrebne mjere kako bi osigurale da nositelji europske iskaznice za osobe s invaliditetom ili europske parkirne karte za osobe s invaliditetom vrate svoje iskaznice/karte nadležnom tijelu kad uvjeti na temelju kojih su izdane više ne budu ispunjeni.</w:t>
      </w:r>
    </w:p>
    <w:p w14:paraId="6D806E90" w14:textId="36C636BE" w:rsidR="004462CB" w:rsidRPr="00C16A84" w:rsidRDefault="00F341B8" w:rsidP="00F341B8">
      <w:pPr>
        <w:pStyle w:val="ManualNumPar1"/>
        <w:rPr>
          <w:noProof/>
        </w:rPr>
      </w:pPr>
      <w:r w:rsidRPr="00F341B8">
        <w:lastRenderedPageBreak/>
        <w:t>5.</w:t>
      </w:r>
      <w:r w:rsidRPr="00F341B8">
        <w:tab/>
      </w:r>
      <w:r w:rsidR="004462CB" w:rsidRPr="00C16A84">
        <w:rPr>
          <w:noProof/>
        </w:rPr>
        <w:t>Države članice poduzimaju potrebne mjere za obavještavanje nadležnih tijela u državi članici koja je izdala europsku iskaznicu za osobe s invaliditetom ili europsku parkirnu kartu za osobe s invaliditetom o zloupotrebi ili nepravilnoj upotrebi te iskaznice/karte na njihovu državnom području. Država članica izdavanja poduzima odgovarajuće daljnje korake u skladu s nacionalnim pravom ili praksom.</w:t>
      </w:r>
    </w:p>
    <w:p w14:paraId="731E698B" w14:textId="7915074E" w:rsidR="00EA34D1" w:rsidRPr="00C16A84" w:rsidRDefault="00F341B8" w:rsidP="00F341B8">
      <w:pPr>
        <w:pStyle w:val="ManualNumPar1"/>
        <w:rPr>
          <w:noProof/>
        </w:rPr>
      </w:pPr>
      <w:r w:rsidRPr="00F341B8">
        <w:t>6.</w:t>
      </w:r>
      <w:r w:rsidRPr="00F341B8">
        <w:tab/>
      </w:r>
      <w:r w:rsidR="004462CB" w:rsidRPr="00C16A84">
        <w:rPr>
          <w:noProof/>
        </w:rPr>
        <w:t>Države članice provjeravaju ispunjavaju li se obveze koje proizlaze iz europske iskaznice za osobe s invaliditetom ili europske parkirne karte za osobe s invaliditetom te mogu li osobe s invaliditetom koje imaju tu iskaznicu/kartu i osobe koje su njihova pratnja ili im pružaju pomoć, uključujući njihove osobne asistente, ostvariti s njima povezana prava.</w:t>
      </w:r>
    </w:p>
    <w:p w14:paraId="70C3F49A" w14:textId="76C184EA" w:rsidR="00EA34D1" w:rsidRPr="00C16A84" w:rsidRDefault="00F341B8" w:rsidP="00F341B8">
      <w:pPr>
        <w:pStyle w:val="ManualNumPar1"/>
        <w:rPr>
          <w:noProof/>
        </w:rPr>
      </w:pPr>
      <w:r w:rsidRPr="00F341B8">
        <w:t>7.</w:t>
      </w:r>
      <w:r w:rsidRPr="00F341B8">
        <w:tab/>
      </w:r>
      <w:r w:rsidR="00EA34D1" w:rsidRPr="00C16A84">
        <w:rPr>
          <w:noProof/>
        </w:rPr>
        <w:t>Informacije iz stavaka 1. i 2. ovog članka stavljaju se na raspolaganje besplatno na jasan, cjelovit, korisnicima prilagođen i lako pristupačan način, među ostalim na službenim internetskim stranicama privatnih subjekata ili javnih tijela, ako postoje, ili drugim prikladnim sredstvima u skladu s relevantnim zahtjevima za pristupačnost usluga iz Priloga I. Direktivi (EU) 2019/882.</w:t>
      </w:r>
    </w:p>
    <w:p w14:paraId="288BA292" w14:textId="77777777" w:rsidR="00C64A39" w:rsidRPr="00C16A84" w:rsidRDefault="00C64A39" w:rsidP="00C64A39">
      <w:pPr>
        <w:pStyle w:val="Titrearticle"/>
        <w:rPr>
          <w:noProof/>
        </w:rPr>
      </w:pPr>
      <w:r w:rsidRPr="00C16A84">
        <w:rPr>
          <w:noProof/>
        </w:rPr>
        <w:t>Članak 10.</w:t>
      </w:r>
    </w:p>
    <w:p w14:paraId="0FE880CD" w14:textId="77777777" w:rsidR="00C64A39" w:rsidRPr="00C16A84" w:rsidRDefault="00C64A39" w:rsidP="00C64A39">
      <w:pPr>
        <w:jc w:val="center"/>
        <w:rPr>
          <w:b/>
          <w:i/>
          <w:noProof/>
        </w:rPr>
      </w:pPr>
      <w:r w:rsidRPr="00C16A84">
        <w:rPr>
          <w:b/>
          <w:i/>
          <w:noProof/>
        </w:rPr>
        <w:t>Nadležna tijela</w:t>
      </w:r>
    </w:p>
    <w:p w14:paraId="65A1F011" w14:textId="77777777" w:rsidR="0036701F" w:rsidRPr="00C16A84" w:rsidRDefault="00C64A39" w:rsidP="00FE4D43">
      <w:pPr>
        <w:rPr>
          <w:noProof/>
        </w:rPr>
      </w:pPr>
      <w:r w:rsidRPr="00C16A84">
        <w:rPr>
          <w:noProof/>
        </w:rPr>
        <w:t>Do dd/mm/gg [</w:t>
      </w:r>
      <w:r w:rsidRPr="00C16A84">
        <w:rPr>
          <w:i/>
          <w:noProof/>
        </w:rPr>
        <w:t>u roku od šest mjeseci od stupanja na snagu ove Direktive</w:t>
      </w:r>
      <w:r w:rsidRPr="00C16A84">
        <w:rPr>
          <w:noProof/>
        </w:rPr>
        <w:t xml:space="preserve">] države članice obavješćuju Komisiju o nadležnim tijelima koja su imenovale za izdavanje, produljenje i oduzimanje </w:t>
      </w:r>
      <w:bookmarkStart w:id="30" w:name="_Hlk141360431"/>
      <w:r w:rsidRPr="00C16A84">
        <w:rPr>
          <w:noProof/>
        </w:rPr>
        <w:t>europske iskaznice za osobe s invaliditetom i europske parkirne karte</w:t>
      </w:r>
      <w:bookmarkEnd w:id="30"/>
      <w:r w:rsidRPr="00C16A84">
        <w:rPr>
          <w:noProof/>
        </w:rPr>
        <w:t xml:space="preserve"> za osobe s invaliditetom.</w:t>
      </w:r>
    </w:p>
    <w:p w14:paraId="1083B3D7" w14:textId="77777777" w:rsidR="0036701F" w:rsidRPr="00C16A84" w:rsidRDefault="0036701F" w:rsidP="00334112">
      <w:pPr>
        <w:jc w:val="center"/>
        <w:rPr>
          <w:noProof/>
        </w:rPr>
      </w:pPr>
    </w:p>
    <w:p w14:paraId="2796F5A8" w14:textId="77777777" w:rsidR="00334112" w:rsidRPr="00C16A84" w:rsidRDefault="00334112" w:rsidP="00334112">
      <w:pPr>
        <w:jc w:val="center"/>
        <w:rPr>
          <w:b/>
          <w:noProof/>
        </w:rPr>
      </w:pPr>
      <w:r w:rsidRPr="00C16A84">
        <w:rPr>
          <w:b/>
          <w:noProof/>
        </w:rPr>
        <w:t>POGLAVLJE IV.</w:t>
      </w:r>
    </w:p>
    <w:p w14:paraId="655AEA7F" w14:textId="77777777" w:rsidR="00334112" w:rsidRPr="00C16A84" w:rsidRDefault="00334112" w:rsidP="00334112">
      <w:pPr>
        <w:jc w:val="center"/>
        <w:rPr>
          <w:b/>
          <w:noProof/>
        </w:rPr>
      </w:pPr>
      <w:r w:rsidRPr="00C16A84">
        <w:rPr>
          <w:b/>
          <w:noProof/>
        </w:rPr>
        <w:t>DELEGIRANE I PROVEDBENE OVLASTI</w:t>
      </w:r>
    </w:p>
    <w:p w14:paraId="6BE2FA60" w14:textId="77777777" w:rsidR="00334112" w:rsidRPr="00C16A84" w:rsidRDefault="00655111" w:rsidP="00655111">
      <w:pPr>
        <w:pStyle w:val="Titrearticle"/>
        <w:rPr>
          <w:noProof/>
        </w:rPr>
      </w:pPr>
      <w:r w:rsidRPr="00C16A84">
        <w:rPr>
          <w:noProof/>
        </w:rPr>
        <w:t>Članak 11.</w:t>
      </w:r>
    </w:p>
    <w:p w14:paraId="7DAC38D2" w14:textId="77777777" w:rsidR="00655111" w:rsidRPr="00C16A84" w:rsidRDefault="00655111" w:rsidP="00655111">
      <w:pPr>
        <w:jc w:val="center"/>
        <w:rPr>
          <w:b/>
          <w:i/>
          <w:noProof/>
        </w:rPr>
      </w:pPr>
      <w:r w:rsidRPr="00C16A84">
        <w:rPr>
          <w:b/>
          <w:i/>
          <w:noProof/>
        </w:rPr>
        <w:t>Izvršavanje delegiranja ovlasti</w:t>
      </w:r>
    </w:p>
    <w:p w14:paraId="530CCB8C" w14:textId="659DEE08" w:rsidR="005041E4" w:rsidRPr="00C16A84" w:rsidRDefault="00F341B8" w:rsidP="00F341B8">
      <w:pPr>
        <w:pStyle w:val="ManualNumPar1"/>
        <w:rPr>
          <w:noProof/>
        </w:rPr>
      </w:pPr>
      <w:r w:rsidRPr="00F341B8">
        <w:t>1.</w:t>
      </w:r>
      <w:r w:rsidRPr="00F341B8">
        <w:tab/>
      </w:r>
      <w:r w:rsidR="005041E4" w:rsidRPr="00C16A84">
        <w:rPr>
          <w:noProof/>
        </w:rPr>
        <w:t>Ovlast za donošenje delegiranih akata dodjeljuje se Komisiji u skladu s uvjetima utvrđenima u ovom članku.</w:t>
      </w:r>
    </w:p>
    <w:p w14:paraId="2CE98C0F" w14:textId="31F380B8" w:rsidR="005041E4" w:rsidRPr="00C16A84" w:rsidRDefault="00F341B8" w:rsidP="00F341B8">
      <w:pPr>
        <w:pStyle w:val="ManualNumPar1"/>
        <w:rPr>
          <w:noProof/>
        </w:rPr>
      </w:pPr>
      <w:r w:rsidRPr="00F341B8">
        <w:t>2.</w:t>
      </w:r>
      <w:r w:rsidRPr="00F341B8">
        <w:tab/>
      </w:r>
      <w:r w:rsidR="005041E4" w:rsidRPr="00C16A84">
        <w:rPr>
          <w:noProof/>
        </w:rPr>
        <w:t>Ovlast za donošenje delegiranih akata iz članka 6. stavka 7. i članka 7. stavka 7. dodjeljuje se Komisiji na neodređeno vrijeme počevši od [</w:t>
      </w:r>
      <w:r w:rsidR="005041E4" w:rsidRPr="00C16A84">
        <w:rPr>
          <w:i/>
          <w:noProof/>
        </w:rPr>
        <w:t>datum stupanja na snagu ove Direktive</w:t>
      </w:r>
      <w:r w:rsidR="005041E4" w:rsidRPr="00C16A84">
        <w:rPr>
          <w:noProof/>
        </w:rPr>
        <w:t>].</w:t>
      </w:r>
    </w:p>
    <w:p w14:paraId="16AED8E5" w14:textId="195D78E4" w:rsidR="005041E4" w:rsidRPr="00C16A84" w:rsidRDefault="00F341B8" w:rsidP="00F341B8">
      <w:pPr>
        <w:pStyle w:val="ManualNumPar1"/>
        <w:rPr>
          <w:noProof/>
        </w:rPr>
      </w:pPr>
      <w:r w:rsidRPr="00F341B8">
        <w:t>3.</w:t>
      </w:r>
      <w:r w:rsidRPr="00F341B8">
        <w:tab/>
      </w:r>
      <w:r w:rsidR="005041E4" w:rsidRPr="00C16A84">
        <w:rPr>
          <w:noProof/>
        </w:rPr>
        <w:t xml:space="preserve">Europski parlament ili Vijeće u svakom trenutku mogu opozvati delegiranje ovlasti iz članka 6. stavka 7. i članka 7. stavka 7. Odlukom o opozivu prekida se delegiranje ovlasti koje je u njoj navedeno. Opoziv počinje proizvoditi učinke sljedećeg dana od dana objave spomenute odluke u </w:t>
      </w:r>
      <w:r w:rsidR="005041E4" w:rsidRPr="00C16A84">
        <w:rPr>
          <w:i/>
          <w:noProof/>
        </w:rPr>
        <w:t>Službenom listu Europske unije</w:t>
      </w:r>
      <w:r w:rsidR="005041E4" w:rsidRPr="00C16A84">
        <w:rPr>
          <w:noProof/>
        </w:rPr>
        <w:t xml:space="preserve"> ili na kasniji dan naveden u spomenutoj odluci. On ne utječe na valjanost delegiranih akata koji su već na snazi.</w:t>
      </w:r>
    </w:p>
    <w:p w14:paraId="4CC37A92" w14:textId="3AA2F9FF" w:rsidR="00634218" w:rsidRPr="00C16A84" w:rsidRDefault="00F341B8" w:rsidP="00F341B8">
      <w:pPr>
        <w:pStyle w:val="ManualNumPar1"/>
        <w:rPr>
          <w:noProof/>
        </w:rPr>
      </w:pPr>
      <w:r w:rsidRPr="00F341B8">
        <w:t>4.</w:t>
      </w:r>
      <w:r w:rsidRPr="00F341B8">
        <w:tab/>
      </w:r>
      <w:r w:rsidR="00634218" w:rsidRPr="00C16A84">
        <w:rPr>
          <w:noProof/>
        </w:rPr>
        <w:t>Prije donošenja delegiranog akta Komisija se savjetuje sa stručnjacima koje je imenovala svaka država članica u skladu s načelima utvrđenima u Međuinstitucijskom sporazumu o boljoj izradi zakonodavstva od 13. travnja 2016.</w:t>
      </w:r>
    </w:p>
    <w:p w14:paraId="0242016B" w14:textId="74ECC734" w:rsidR="00634218" w:rsidRPr="00C16A84" w:rsidRDefault="00F341B8" w:rsidP="00F341B8">
      <w:pPr>
        <w:pStyle w:val="ManualNumPar1"/>
        <w:rPr>
          <w:noProof/>
        </w:rPr>
      </w:pPr>
      <w:r w:rsidRPr="00F341B8">
        <w:t>5.</w:t>
      </w:r>
      <w:r w:rsidRPr="00F341B8">
        <w:tab/>
      </w:r>
      <w:r w:rsidR="00634218" w:rsidRPr="00C16A84">
        <w:rPr>
          <w:noProof/>
        </w:rPr>
        <w:t>Čim donese delegirani akt, Komisija ga istodobno priopćuje Europskom parlamentu i Vijeću.</w:t>
      </w:r>
    </w:p>
    <w:p w14:paraId="393D1933" w14:textId="6341F8A5" w:rsidR="00634218" w:rsidRPr="00C16A84" w:rsidRDefault="00F341B8" w:rsidP="00F341B8">
      <w:pPr>
        <w:pStyle w:val="ManualNumPar1"/>
        <w:rPr>
          <w:noProof/>
        </w:rPr>
      </w:pPr>
      <w:r w:rsidRPr="00F341B8">
        <w:lastRenderedPageBreak/>
        <w:t>6.</w:t>
      </w:r>
      <w:r w:rsidRPr="00F341B8">
        <w:tab/>
      </w:r>
      <w:r w:rsidR="00634218" w:rsidRPr="00C16A84">
        <w:rPr>
          <w:noProof/>
        </w:rPr>
        <w:t>Delegirani akt donesen na temelju članka 6. stavka 7. i članka 7. stavka 7. stupa na snagu samo ako ni Europski parlament ni Vijeće u roku od dva mjeseca od priopćenja tog akta Europskom parlamentu i Vijeću na njega ne podnesu nikakav prigovor ili ako su prije isteka tog roka i Europski parlament i Vijeće obavijestili Komisiju da neće podnijeti prigovore. Taj se rok produljuje za dva mjeseca na inicijativu Europskog parlamenta ili Vijeća.</w:t>
      </w:r>
    </w:p>
    <w:p w14:paraId="77FC7D43" w14:textId="77777777" w:rsidR="004D790A" w:rsidRPr="00C16A84" w:rsidRDefault="004D790A" w:rsidP="004D790A">
      <w:pPr>
        <w:pStyle w:val="Titrearticle"/>
        <w:rPr>
          <w:noProof/>
        </w:rPr>
      </w:pPr>
      <w:r w:rsidRPr="00C16A84">
        <w:rPr>
          <w:noProof/>
        </w:rPr>
        <w:t>Članak 12.</w:t>
      </w:r>
    </w:p>
    <w:p w14:paraId="2C5E6BFA" w14:textId="77777777" w:rsidR="004D790A" w:rsidRPr="00C16A84" w:rsidRDefault="004D790A" w:rsidP="004D790A">
      <w:pPr>
        <w:jc w:val="center"/>
        <w:rPr>
          <w:b/>
          <w:i/>
          <w:noProof/>
        </w:rPr>
      </w:pPr>
      <w:r w:rsidRPr="00C16A84">
        <w:rPr>
          <w:b/>
          <w:i/>
          <w:noProof/>
        </w:rPr>
        <w:t>Postupak odbora</w:t>
      </w:r>
    </w:p>
    <w:p w14:paraId="3D611A61" w14:textId="6F246BA1" w:rsidR="004D790A" w:rsidRPr="00C16A84" w:rsidRDefault="00F341B8" w:rsidP="00F341B8">
      <w:pPr>
        <w:pStyle w:val="ManualNumPar1"/>
        <w:rPr>
          <w:noProof/>
        </w:rPr>
      </w:pPr>
      <w:r w:rsidRPr="00F341B8">
        <w:t>1.</w:t>
      </w:r>
      <w:r w:rsidRPr="00F341B8">
        <w:tab/>
      </w:r>
      <w:r w:rsidR="004D790A" w:rsidRPr="00C16A84">
        <w:rPr>
          <w:noProof/>
        </w:rPr>
        <w:t>Komisiji pomaže odbor. Navedeni odbor je odbor u smislu Uredbe (EU) br. 182/2011.</w:t>
      </w:r>
    </w:p>
    <w:p w14:paraId="513DDCCB" w14:textId="574AE447" w:rsidR="004D790A" w:rsidRPr="00C16A84" w:rsidRDefault="00F341B8" w:rsidP="00F341B8">
      <w:pPr>
        <w:pStyle w:val="ManualNumPar1"/>
        <w:rPr>
          <w:noProof/>
        </w:rPr>
      </w:pPr>
      <w:r w:rsidRPr="00F341B8">
        <w:t>2.</w:t>
      </w:r>
      <w:r w:rsidRPr="00F341B8">
        <w:tab/>
      </w:r>
      <w:r w:rsidR="004D790A" w:rsidRPr="00C16A84">
        <w:rPr>
          <w:noProof/>
        </w:rPr>
        <w:t>Pri upućivanju na ovaj stavak primjenjuje se članak 5. Uredbe (EU) br. 182/2011.</w:t>
      </w:r>
    </w:p>
    <w:p w14:paraId="4D4C449E" w14:textId="77777777" w:rsidR="004D790A" w:rsidRPr="00C16A84" w:rsidRDefault="004D790A" w:rsidP="004D790A">
      <w:pPr>
        <w:rPr>
          <w:noProof/>
        </w:rPr>
      </w:pPr>
    </w:p>
    <w:p w14:paraId="01F13852" w14:textId="77777777" w:rsidR="004D790A" w:rsidRPr="00C16A84" w:rsidRDefault="004D790A" w:rsidP="004D790A">
      <w:pPr>
        <w:jc w:val="center"/>
        <w:rPr>
          <w:b/>
          <w:noProof/>
        </w:rPr>
      </w:pPr>
      <w:r w:rsidRPr="00C16A84">
        <w:rPr>
          <w:b/>
          <w:noProof/>
        </w:rPr>
        <w:t>POGLAVLJE V.</w:t>
      </w:r>
    </w:p>
    <w:p w14:paraId="1E0A49E1" w14:textId="77777777" w:rsidR="004D790A" w:rsidRPr="00C16A84" w:rsidRDefault="004D790A" w:rsidP="004D790A">
      <w:pPr>
        <w:jc w:val="center"/>
        <w:rPr>
          <w:b/>
          <w:noProof/>
        </w:rPr>
      </w:pPr>
      <w:r w:rsidRPr="00C16A84">
        <w:rPr>
          <w:b/>
          <w:noProof/>
        </w:rPr>
        <w:t>ZAVRŠNE ODREDBE</w:t>
      </w:r>
    </w:p>
    <w:p w14:paraId="0BC0F70A" w14:textId="77777777" w:rsidR="004D790A" w:rsidRPr="00C16A84" w:rsidRDefault="004D790A" w:rsidP="004D790A">
      <w:pPr>
        <w:pStyle w:val="Titrearticle"/>
        <w:rPr>
          <w:noProof/>
        </w:rPr>
      </w:pPr>
      <w:r w:rsidRPr="00C16A84">
        <w:rPr>
          <w:noProof/>
        </w:rPr>
        <w:t>Članak 13.</w:t>
      </w:r>
    </w:p>
    <w:p w14:paraId="04D1EAE4" w14:textId="77777777" w:rsidR="004D790A" w:rsidRPr="00C16A84" w:rsidRDefault="004D790A" w:rsidP="004D790A">
      <w:pPr>
        <w:jc w:val="center"/>
        <w:rPr>
          <w:b/>
          <w:bCs/>
          <w:i/>
          <w:iCs/>
          <w:noProof/>
        </w:rPr>
      </w:pPr>
      <w:r w:rsidRPr="00C16A84">
        <w:rPr>
          <w:b/>
          <w:i/>
          <w:noProof/>
        </w:rPr>
        <w:t>Izvršenje</w:t>
      </w:r>
    </w:p>
    <w:p w14:paraId="042CDF69" w14:textId="5587D6DE" w:rsidR="004D790A" w:rsidRPr="00C16A84" w:rsidRDefault="00F341B8" w:rsidP="00F341B8">
      <w:pPr>
        <w:pStyle w:val="ManualNumPar1"/>
        <w:rPr>
          <w:noProof/>
        </w:rPr>
      </w:pPr>
      <w:r w:rsidRPr="00F341B8">
        <w:t>1.</w:t>
      </w:r>
      <w:r w:rsidRPr="00F341B8">
        <w:tab/>
      </w:r>
      <w:r w:rsidR="004D790A" w:rsidRPr="00C16A84">
        <w:rPr>
          <w:noProof/>
        </w:rPr>
        <w:t>Države članice osiguravaju dostupnost odgovarajućih i učinkovitih sredstava za osiguravanje usklađenosti s ovom Direktivom.</w:t>
      </w:r>
    </w:p>
    <w:p w14:paraId="4883638F" w14:textId="0E2FA98A" w:rsidR="004D790A" w:rsidRPr="00C16A84" w:rsidRDefault="00F341B8" w:rsidP="00F341B8">
      <w:pPr>
        <w:pStyle w:val="ManualNumPar1"/>
        <w:rPr>
          <w:noProof/>
        </w:rPr>
      </w:pPr>
      <w:r w:rsidRPr="00F341B8">
        <w:t>2.</w:t>
      </w:r>
      <w:r w:rsidRPr="00F341B8">
        <w:tab/>
      </w:r>
      <w:r w:rsidR="00324CE2" w:rsidRPr="00C16A84">
        <w:rPr>
          <w:noProof/>
        </w:rPr>
        <w:t>Sredstva iz stavka 1. uključuju:</w:t>
      </w:r>
    </w:p>
    <w:p w14:paraId="738F496D" w14:textId="46783FAD" w:rsidR="00D64D0F" w:rsidRPr="00C16A84" w:rsidRDefault="00F341B8" w:rsidP="00F341B8">
      <w:pPr>
        <w:pStyle w:val="Point1"/>
        <w:rPr>
          <w:noProof/>
        </w:rPr>
      </w:pPr>
      <w:r w:rsidRPr="00F341B8">
        <w:t>(a)</w:t>
      </w:r>
      <w:r w:rsidRPr="00F341B8">
        <w:tab/>
      </w:r>
      <w:r w:rsidR="00D64D0F" w:rsidRPr="00C16A84">
        <w:rPr>
          <w:noProof/>
        </w:rPr>
        <w:t>odredbe kojima se osobama s invaliditetom omogućuje da se u skladu s nacionalnim pravom obrate sudovima ili nadležnim upravnim tijelima u slučaju povreda njihovih prava iz ove Direktive i nacionalnih odredaba kojima se provodi ova Direktiva;</w:t>
      </w:r>
    </w:p>
    <w:p w14:paraId="5B00CAB0" w14:textId="5A4FE7B0" w:rsidR="00D64D0F" w:rsidRPr="00C16A84" w:rsidRDefault="00F341B8" w:rsidP="00F341B8">
      <w:pPr>
        <w:pStyle w:val="Point1"/>
        <w:rPr>
          <w:noProof/>
        </w:rPr>
      </w:pPr>
      <w:r w:rsidRPr="00F341B8">
        <w:t>(b)</w:t>
      </w:r>
      <w:r w:rsidRPr="00F341B8">
        <w:tab/>
      </w:r>
      <w:r w:rsidR="00D64D0F" w:rsidRPr="00C16A84">
        <w:rPr>
          <w:noProof/>
        </w:rPr>
        <w:t>odredbe kojima se javnim tijelima ili privatnim udruženjima, organizacijama ili drugim pravnim subjektima koji imaju legitiman interes za osiguravanje poštovanja odredaba ove Direktive omogućuje da u skladu s nacionalnim pravom i postupcima pred sudovima ili nadležnim upravnim tijelima u ime osobe s invaliditetom ili kao potpora osobi s invaliditetom, uz njezino odobrenje, sudjeluju u bilo kojem sudskom ili upravnom postupku predviđenom za izvršenje obveza iz ove Direktive.</w:t>
      </w:r>
    </w:p>
    <w:p w14:paraId="486CB7F3" w14:textId="77777777" w:rsidR="00974B9F" w:rsidRPr="00C16A84" w:rsidRDefault="00974B9F" w:rsidP="00974B9F">
      <w:pPr>
        <w:pStyle w:val="Titrearticle"/>
        <w:rPr>
          <w:noProof/>
        </w:rPr>
      </w:pPr>
      <w:r w:rsidRPr="00C16A84">
        <w:rPr>
          <w:noProof/>
        </w:rPr>
        <w:t>Članak 14.</w:t>
      </w:r>
    </w:p>
    <w:p w14:paraId="0DD9C257" w14:textId="77777777" w:rsidR="00974B9F" w:rsidRPr="00C16A84" w:rsidRDefault="00974B9F" w:rsidP="00974B9F">
      <w:pPr>
        <w:jc w:val="center"/>
        <w:rPr>
          <w:b/>
          <w:i/>
          <w:noProof/>
        </w:rPr>
      </w:pPr>
      <w:r w:rsidRPr="00C16A84">
        <w:rPr>
          <w:b/>
          <w:i/>
          <w:noProof/>
        </w:rPr>
        <w:t>Sankcije</w:t>
      </w:r>
    </w:p>
    <w:p w14:paraId="76014E02" w14:textId="3D860A8F" w:rsidR="00974B9F" w:rsidRPr="00C16A84" w:rsidRDefault="00F341B8" w:rsidP="00F341B8">
      <w:pPr>
        <w:pStyle w:val="ManualNumPar1"/>
        <w:rPr>
          <w:noProof/>
        </w:rPr>
      </w:pPr>
      <w:r w:rsidRPr="00F341B8">
        <w:t>1.</w:t>
      </w:r>
      <w:r w:rsidRPr="00F341B8">
        <w:tab/>
      </w:r>
      <w:r w:rsidR="00974B9F" w:rsidRPr="00C16A84">
        <w:rPr>
          <w:noProof/>
        </w:rPr>
        <w:t>Države članice utvrđuju pravila o sankcijama koje se primjenjuju na povrede nacionalnih odredaba donesenih na temelju ove Direktive i poduzimaju sve potrebne mjere radi osiguranja njihove provedbe.</w:t>
      </w:r>
    </w:p>
    <w:p w14:paraId="2B1A8ABB" w14:textId="70B3D1D7" w:rsidR="00974B9F" w:rsidRPr="00C16A84" w:rsidRDefault="00F341B8" w:rsidP="00F341B8">
      <w:pPr>
        <w:pStyle w:val="ManualNumPar1"/>
        <w:rPr>
          <w:noProof/>
        </w:rPr>
      </w:pPr>
      <w:r w:rsidRPr="00F341B8">
        <w:t>2.</w:t>
      </w:r>
      <w:r w:rsidRPr="00F341B8">
        <w:tab/>
      </w:r>
      <w:r w:rsidR="00974B9F" w:rsidRPr="00C16A84">
        <w:rPr>
          <w:noProof/>
        </w:rPr>
        <w:t>Predviđene sankcije moraju biti učinkovite, proporcionalne i odvraćajuće te popraćene djelotvornim korektivnim mjerama.</w:t>
      </w:r>
    </w:p>
    <w:p w14:paraId="3448DFE8" w14:textId="5823CE72" w:rsidR="00974B9F" w:rsidRPr="00C16A84" w:rsidRDefault="00F341B8" w:rsidP="00F341B8">
      <w:pPr>
        <w:pStyle w:val="ManualNumPar1"/>
        <w:rPr>
          <w:noProof/>
        </w:rPr>
      </w:pPr>
      <w:r w:rsidRPr="00F341B8">
        <w:t>3.</w:t>
      </w:r>
      <w:r w:rsidRPr="00F341B8">
        <w:tab/>
      </w:r>
      <w:r w:rsidR="00974B9F" w:rsidRPr="00C16A84">
        <w:rPr>
          <w:noProof/>
        </w:rPr>
        <w:t xml:space="preserve">Države članice obavješćuju Komisiju o tim odredbama najkasnije do dd/mm/gg </w:t>
      </w:r>
      <w:r w:rsidR="00974B9F" w:rsidRPr="00C16A84">
        <w:rPr>
          <w:i/>
          <w:noProof/>
        </w:rPr>
        <w:t>[datum prenošenja]</w:t>
      </w:r>
      <w:r w:rsidR="00974B9F" w:rsidRPr="00C16A84">
        <w:rPr>
          <w:noProof/>
        </w:rPr>
        <w:t xml:space="preserve"> i bez odgode je obavješćuju o svim njihovim naknadnim izmjenama.</w:t>
      </w:r>
    </w:p>
    <w:p w14:paraId="6AC2950E" w14:textId="77777777" w:rsidR="00D34A9A" w:rsidRPr="00C16A84" w:rsidRDefault="00D34A9A" w:rsidP="00D34A9A">
      <w:pPr>
        <w:pStyle w:val="Titrearticle"/>
        <w:rPr>
          <w:noProof/>
        </w:rPr>
      </w:pPr>
      <w:r w:rsidRPr="00C16A84">
        <w:rPr>
          <w:noProof/>
        </w:rPr>
        <w:lastRenderedPageBreak/>
        <w:t>Članak 15.</w:t>
      </w:r>
    </w:p>
    <w:p w14:paraId="45DD28C1" w14:textId="77777777" w:rsidR="00D34A9A" w:rsidRPr="00C16A84" w:rsidRDefault="00D34A9A" w:rsidP="00D34A9A">
      <w:pPr>
        <w:jc w:val="center"/>
        <w:rPr>
          <w:b/>
          <w:bCs/>
          <w:i/>
          <w:iCs/>
          <w:noProof/>
        </w:rPr>
      </w:pPr>
      <w:r w:rsidRPr="00C16A84">
        <w:rPr>
          <w:b/>
          <w:i/>
          <w:noProof/>
        </w:rPr>
        <w:t>Pristup informacijama</w:t>
      </w:r>
    </w:p>
    <w:p w14:paraId="507158D1" w14:textId="6E94A8FC" w:rsidR="004650DE" w:rsidRPr="00C16A84" w:rsidRDefault="00F341B8" w:rsidP="00F341B8">
      <w:pPr>
        <w:pStyle w:val="ManualNumPar1"/>
        <w:rPr>
          <w:noProof/>
        </w:rPr>
      </w:pPr>
      <w:r w:rsidRPr="00F341B8">
        <w:t>1.</w:t>
      </w:r>
      <w:r w:rsidRPr="00F341B8">
        <w:tab/>
      </w:r>
      <w:r w:rsidR="004650DE" w:rsidRPr="00C16A84">
        <w:rPr>
          <w:noProof/>
        </w:rPr>
        <w:t>Države članice osiguravaju da privatni subjekti ili javna tijela stavljaju na raspolaganje informacije o svim posebnim uvjetima ili povlaštenom postupanju na temelju članka 5. u pristupačnim oblicima.</w:t>
      </w:r>
    </w:p>
    <w:p w14:paraId="27692890" w14:textId="7BF484B9" w:rsidR="00D34A9A" w:rsidRPr="00C16A84" w:rsidRDefault="00F341B8" w:rsidP="00F341B8">
      <w:pPr>
        <w:pStyle w:val="ManualNumPar1"/>
        <w:rPr>
          <w:noProof/>
        </w:rPr>
      </w:pPr>
      <w:r w:rsidRPr="00F341B8">
        <w:t>2.</w:t>
      </w:r>
      <w:r w:rsidRPr="00F341B8">
        <w:tab/>
      </w:r>
      <w:r w:rsidR="004650DE" w:rsidRPr="00C16A84">
        <w:rPr>
          <w:noProof/>
        </w:rPr>
        <w:t>Države članice potiču privatne subjekte ili javna tijela da osobama s invaliditetom dobrovoljno osiguraju posebne uvjete ili povlašteno postupanje.</w:t>
      </w:r>
    </w:p>
    <w:p w14:paraId="0845DF9A" w14:textId="64F090EB" w:rsidR="00242049" w:rsidRPr="00C16A84" w:rsidRDefault="00F341B8" w:rsidP="00F341B8">
      <w:pPr>
        <w:pStyle w:val="ManualNumPar1"/>
        <w:rPr>
          <w:noProof/>
        </w:rPr>
      </w:pPr>
      <w:r w:rsidRPr="00F341B8">
        <w:t>3.</w:t>
      </w:r>
      <w:r w:rsidRPr="00F341B8">
        <w:tab/>
      </w:r>
      <w:r w:rsidR="00242049" w:rsidRPr="00C16A84">
        <w:rPr>
          <w:noProof/>
        </w:rPr>
        <w:t xml:space="preserve">Informacije iz stavka 1. ovog članka stavljaju se na raspolaganje besplatno na jasan, cjelovit, korisnicima prilagođen i lako pristupačan način, među ostalim na službenim internetskim stranicama privatnih subjekata ili javnih tijela, ako postoje, ili drugim prikladnim sredstvima u skladu s relevantnim zahtjevima za pristupačnost usluga </w:t>
      </w:r>
      <w:bookmarkStart w:id="31" w:name="_Hlk143536076"/>
      <w:r w:rsidR="00242049" w:rsidRPr="00C16A84">
        <w:rPr>
          <w:noProof/>
        </w:rPr>
        <w:t>iz Priloga I.</w:t>
      </w:r>
      <w:bookmarkEnd w:id="31"/>
      <w:r w:rsidR="00242049" w:rsidRPr="00C16A84">
        <w:rPr>
          <w:noProof/>
        </w:rPr>
        <w:t xml:space="preserve"> Direktivi (EU) 2019/882.</w:t>
      </w:r>
    </w:p>
    <w:p w14:paraId="7B9FCEC3" w14:textId="77777777" w:rsidR="00C17575" w:rsidRPr="00C16A84" w:rsidRDefault="00C17575" w:rsidP="00C17575">
      <w:pPr>
        <w:pStyle w:val="Titrearticle"/>
        <w:rPr>
          <w:noProof/>
        </w:rPr>
      </w:pPr>
      <w:r w:rsidRPr="00C16A84">
        <w:rPr>
          <w:noProof/>
        </w:rPr>
        <w:t>Članak 16.</w:t>
      </w:r>
    </w:p>
    <w:p w14:paraId="3CCC1B68" w14:textId="77777777" w:rsidR="00C17575" w:rsidRPr="00C16A84" w:rsidRDefault="00C17575" w:rsidP="00C17575">
      <w:pPr>
        <w:jc w:val="center"/>
        <w:rPr>
          <w:b/>
          <w:i/>
          <w:noProof/>
        </w:rPr>
      </w:pPr>
      <w:r w:rsidRPr="00C16A84">
        <w:rPr>
          <w:b/>
          <w:i/>
          <w:noProof/>
        </w:rPr>
        <w:t>Izvješćivanje i preispitivanje</w:t>
      </w:r>
    </w:p>
    <w:p w14:paraId="7D443553" w14:textId="45122A60" w:rsidR="00C17575" w:rsidRPr="00C16A84" w:rsidRDefault="00F341B8" w:rsidP="00F341B8">
      <w:pPr>
        <w:pStyle w:val="ManualNumPar1"/>
        <w:rPr>
          <w:noProof/>
        </w:rPr>
      </w:pPr>
      <w:r w:rsidRPr="00F341B8">
        <w:t>1.</w:t>
      </w:r>
      <w:r w:rsidRPr="00F341B8">
        <w:tab/>
      </w:r>
      <w:r w:rsidR="00C62F85" w:rsidRPr="00C16A84">
        <w:rPr>
          <w:noProof/>
        </w:rPr>
        <w:t>Do dd/mm/gg [</w:t>
      </w:r>
      <w:r w:rsidR="00C62F85" w:rsidRPr="00C16A84">
        <w:rPr>
          <w:i/>
          <w:noProof/>
        </w:rPr>
        <w:t>tri godine nakon datuma početka primjene ove Direktive</w:t>
      </w:r>
      <w:r w:rsidR="00C62F85" w:rsidRPr="00C16A84">
        <w:rPr>
          <w:noProof/>
        </w:rPr>
        <w:t>], a nakon toga svakih pet godina, Komisija Europskom parlamentu, Vijeću, Gospodarskom i socijalnom odboru i Odboru regija podnosi izvješće o primjeni ove Direktive.</w:t>
      </w:r>
    </w:p>
    <w:p w14:paraId="3CBEBB78" w14:textId="5AB0A0B5" w:rsidR="000079FB" w:rsidRPr="00C16A84" w:rsidRDefault="00F341B8" w:rsidP="00F341B8">
      <w:pPr>
        <w:pStyle w:val="ManualNumPar1"/>
        <w:rPr>
          <w:noProof/>
        </w:rPr>
      </w:pPr>
      <w:r w:rsidRPr="00F341B8">
        <w:t>2.</w:t>
      </w:r>
      <w:r w:rsidRPr="00F341B8">
        <w:tab/>
      </w:r>
      <w:r w:rsidR="00C62F85" w:rsidRPr="00C16A84">
        <w:rPr>
          <w:noProof/>
        </w:rPr>
        <w:t>U izvješću se, među ostalim, s obzirom na društveni i gospodarski razvoj razmatra upotreba europske iskaznice za osobe s invaliditetom i europske parkirne karte za osobe s invaliditetom kako bi se procijenilo treba li preispitati ovu Direktivu.</w:t>
      </w:r>
    </w:p>
    <w:p w14:paraId="7C2AD06B" w14:textId="4B175F52" w:rsidR="00C62F85" w:rsidRPr="00C16A84" w:rsidRDefault="00F341B8" w:rsidP="00F341B8">
      <w:pPr>
        <w:pStyle w:val="ManualNumPar1"/>
        <w:rPr>
          <w:noProof/>
        </w:rPr>
      </w:pPr>
      <w:r w:rsidRPr="00F341B8">
        <w:t>3.</w:t>
      </w:r>
      <w:r w:rsidRPr="00F341B8">
        <w:tab/>
      </w:r>
      <w:r w:rsidR="00C62F85" w:rsidRPr="00C16A84">
        <w:rPr>
          <w:noProof/>
        </w:rPr>
        <w:t>Države članice pravodobno i na njezin zahtjev dostavljaju Komisiji sve informacije koje su joj potrebne za sastavljanje tog izvješća.</w:t>
      </w:r>
    </w:p>
    <w:p w14:paraId="118A934F" w14:textId="605229B8" w:rsidR="00C62F85" w:rsidRPr="00C16A84" w:rsidRDefault="00F341B8" w:rsidP="00F341B8">
      <w:pPr>
        <w:pStyle w:val="ManualNumPar1"/>
        <w:rPr>
          <w:noProof/>
        </w:rPr>
      </w:pPr>
      <w:r w:rsidRPr="00F341B8">
        <w:t>4.</w:t>
      </w:r>
      <w:r w:rsidRPr="00F341B8">
        <w:tab/>
      </w:r>
      <w:r w:rsidR="00C62F85" w:rsidRPr="00C16A84">
        <w:rPr>
          <w:noProof/>
        </w:rPr>
        <w:t>U izvješću Komisije uzimaju se u obzir stajališta osoba s invaliditetom, gospodarskih dionika i relevantnih nevladinih organizacija, uključujući organizacije koje zastupaju osobe s invaliditetom.</w:t>
      </w:r>
    </w:p>
    <w:p w14:paraId="0C41E9B0" w14:textId="77777777" w:rsidR="00087722" w:rsidRPr="00C16A84" w:rsidRDefault="00087722" w:rsidP="00087722">
      <w:pPr>
        <w:pStyle w:val="Titrearticle"/>
        <w:rPr>
          <w:noProof/>
        </w:rPr>
      </w:pPr>
      <w:r w:rsidRPr="00C16A84">
        <w:rPr>
          <w:noProof/>
        </w:rPr>
        <w:t>Članak 17.</w:t>
      </w:r>
    </w:p>
    <w:p w14:paraId="57AEA9F3" w14:textId="77777777" w:rsidR="00087722" w:rsidRPr="00C16A84" w:rsidRDefault="00AA0842" w:rsidP="00087722">
      <w:pPr>
        <w:jc w:val="center"/>
        <w:rPr>
          <w:b/>
          <w:i/>
          <w:noProof/>
        </w:rPr>
      </w:pPr>
      <w:r w:rsidRPr="00C16A84">
        <w:rPr>
          <w:b/>
          <w:i/>
          <w:noProof/>
        </w:rPr>
        <w:t>Zastarjelost Preporuke Vijeća 98/376/EZ</w:t>
      </w:r>
    </w:p>
    <w:p w14:paraId="62BAC523" w14:textId="77777777" w:rsidR="00087722" w:rsidRPr="00C16A84" w:rsidRDefault="00087722" w:rsidP="00087722">
      <w:pPr>
        <w:rPr>
          <w:noProof/>
        </w:rPr>
      </w:pPr>
      <w:r w:rsidRPr="00C16A84">
        <w:rPr>
          <w:noProof/>
        </w:rPr>
        <w:t xml:space="preserve">Preporuka Vijeća 98/376/EZ zastarijeva s učinkom od dd/mm/gg </w:t>
      </w:r>
      <w:r w:rsidRPr="00C16A84">
        <w:rPr>
          <w:i/>
          <w:noProof/>
        </w:rPr>
        <w:t>[datum početka primjene ove Direktive]</w:t>
      </w:r>
      <w:r w:rsidRPr="00C16A84">
        <w:rPr>
          <w:noProof/>
        </w:rPr>
        <w:t xml:space="preserve"> i prestaje se primjenjivati od tog datuma.</w:t>
      </w:r>
    </w:p>
    <w:p w14:paraId="3229C534" w14:textId="77777777" w:rsidR="00087722" w:rsidRPr="00C16A84" w:rsidRDefault="00E0739A" w:rsidP="00E0739A">
      <w:pPr>
        <w:pStyle w:val="Titrearticle"/>
        <w:rPr>
          <w:noProof/>
        </w:rPr>
      </w:pPr>
      <w:r w:rsidRPr="00C16A84">
        <w:rPr>
          <w:noProof/>
        </w:rPr>
        <w:t>Članak 18.</w:t>
      </w:r>
    </w:p>
    <w:p w14:paraId="077F2E8A" w14:textId="77777777" w:rsidR="00E0739A" w:rsidRPr="00C16A84" w:rsidRDefault="00E0739A" w:rsidP="00E0739A">
      <w:pPr>
        <w:jc w:val="center"/>
        <w:rPr>
          <w:b/>
          <w:bCs/>
          <w:i/>
          <w:iCs/>
          <w:noProof/>
        </w:rPr>
      </w:pPr>
      <w:r w:rsidRPr="00C16A84">
        <w:rPr>
          <w:b/>
          <w:i/>
          <w:noProof/>
        </w:rPr>
        <w:t>Prenošenje</w:t>
      </w:r>
    </w:p>
    <w:p w14:paraId="35292506" w14:textId="77777777" w:rsidR="000079FB" w:rsidRPr="00C16A84" w:rsidRDefault="00E859DB" w:rsidP="000079FB">
      <w:pPr>
        <w:pStyle w:val="ManualNumPar1"/>
        <w:rPr>
          <w:noProof/>
        </w:rPr>
      </w:pPr>
      <w:r w:rsidRPr="00C16A84">
        <w:rPr>
          <w:noProof/>
        </w:rPr>
        <w:t>1.</w:t>
      </w:r>
      <w:r w:rsidRPr="00C16A84">
        <w:rPr>
          <w:noProof/>
        </w:rPr>
        <w:tab/>
        <w:t>Države članice najkasnije do dd/mm/gg [</w:t>
      </w:r>
      <w:r w:rsidRPr="00C16A84">
        <w:rPr>
          <w:i/>
          <w:noProof/>
        </w:rPr>
        <w:t>u roku od 18 mjeseci od stupanja na snagu ove Direktive</w:t>
      </w:r>
      <w:r w:rsidRPr="00C16A84">
        <w:rPr>
          <w:noProof/>
        </w:rPr>
        <w:t>] donose i objavljuju zakone i druge propise koji su potrebni radi usklađivanja s ovom Direktivom. One Komisiji odmah dostavljaju tekst tih odredaba.</w:t>
      </w:r>
    </w:p>
    <w:p w14:paraId="067E1633" w14:textId="77777777" w:rsidR="00E859DB" w:rsidRPr="00C16A84" w:rsidRDefault="000079FB" w:rsidP="000079FB">
      <w:pPr>
        <w:pStyle w:val="ManualNumPar1"/>
        <w:rPr>
          <w:noProof/>
        </w:rPr>
      </w:pPr>
      <w:r w:rsidRPr="00C16A84">
        <w:rPr>
          <w:noProof/>
        </w:rPr>
        <w:t>2.</w:t>
      </w:r>
      <w:r w:rsidRPr="00C16A84">
        <w:rPr>
          <w:noProof/>
        </w:rPr>
        <w:tab/>
        <w:t>One primjenjuju te odredbe od dd/mm/gg [</w:t>
      </w:r>
      <w:r w:rsidRPr="00C16A84">
        <w:rPr>
          <w:i/>
          <w:noProof/>
        </w:rPr>
        <w:t>30 mjeseci od datuma stupanja na snagu ove Direktive</w:t>
      </w:r>
      <w:r w:rsidRPr="00C16A84">
        <w:rPr>
          <w:noProof/>
        </w:rPr>
        <w:t>].</w:t>
      </w:r>
    </w:p>
    <w:p w14:paraId="2E264CCA" w14:textId="77777777" w:rsidR="000079FB" w:rsidRPr="00C16A84" w:rsidRDefault="000079FB" w:rsidP="00CA5179">
      <w:pPr>
        <w:pStyle w:val="ManualNumPar1"/>
        <w:rPr>
          <w:noProof/>
        </w:rPr>
      </w:pPr>
      <w:r w:rsidRPr="00C16A84">
        <w:rPr>
          <w:noProof/>
        </w:rPr>
        <w:t>3.</w:t>
      </w:r>
      <w:r w:rsidRPr="00C16A84">
        <w:rPr>
          <w:noProof/>
        </w:rPr>
        <w:tab/>
        <w:t>Kada države članice donose te odredbe, one sadržavaju upućivanje na ovu Direktivu ili se na nju upućuje prilikom njihove službene objave. Države članice određuju načine tog upućivanja.</w:t>
      </w:r>
    </w:p>
    <w:p w14:paraId="0E5CA5F2" w14:textId="77777777" w:rsidR="00E859DB" w:rsidRPr="00C16A84" w:rsidRDefault="00E859DB" w:rsidP="00CA5179">
      <w:pPr>
        <w:pStyle w:val="Titrearticle"/>
        <w:rPr>
          <w:noProof/>
        </w:rPr>
      </w:pPr>
      <w:r w:rsidRPr="00C16A84">
        <w:rPr>
          <w:noProof/>
        </w:rPr>
        <w:lastRenderedPageBreak/>
        <w:t>Članak 19.</w:t>
      </w:r>
    </w:p>
    <w:p w14:paraId="1356F01C" w14:textId="77777777" w:rsidR="00E859DB" w:rsidRPr="00C16A84" w:rsidRDefault="00E859DB" w:rsidP="00CA5179">
      <w:pPr>
        <w:rPr>
          <w:noProof/>
        </w:rPr>
      </w:pPr>
      <w:r w:rsidRPr="00C16A84">
        <w:rPr>
          <w:noProof/>
        </w:rPr>
        <w:t xml:space="preserve">Ova Direktiva stupa na snagu dvadesetog dana od dana objave u </w:t>
      </w:r>
      <w:r w:rsidRPr="00C16A84">
        <w:rPr>
          <w:i/>
          <w:noProof/>
        </w:rPr>
        <w:t>Službenom listu Europske unije</w:t>
      </w:r>
      <w:r w:rsidRPr="00C16A84">
        <w:rPr>
          <w:noProof/>
        </w:rPr>
        <w:t>.</w:t>
      </w:r>
    </w:p>
    <w:p w14:paraId="094628AF" w14:textId="77777777" w:rsidR="00E859DB" w:rsidRPr="00C16A84" w:rsidRDefault="00E859DB" w:rsidP="00C35110">
      <w:pPr>
        <w:pStyle w:val="Titrearticle"/>
        <w:rPr>
          <w:noProof/>
        </w:rPr>
      </w:pPr>
      <w:r w:rsidRPr="00C16A84">
        <w:rPr>
          <w:noProof/>
        </w:rPr>
        <w:t>Članak 20.</w:t>
      </w:r>
    </w:p>
    <w:p w14:paraId="63937220" w14:textId="77777777" w:rsidR="00E859DB" w:rsidRPr="00C16A84" w:rsidRDefault="00E859DB" w:rsidP="00CA5179">
      <w:pPr>
        <w:keepNext/>
        <w:keepLines/>
        <w:rPr>
          <w:noProof/>
        </w:rPr>
      </w:pPr>
      <w:r w:rsidRPr="00C16A84">
        <w:rPr>
          <w:noProof/>
        </w:rPr>
        <w:t>Ova je Direktiva upućena državama članicama.</w:t>
      </w:r>
    </w:p>
    <w:p w14:paraId="2A8E2A71" w14:textId="64AC1895" w:rsidR="003F3C34" w:rsidRPr="00C16A84" w:rsidRDefault="00BC32E3" w:rsidP="00C35110">
      <w:pPr>
        <w:pStyle w:val="Fait"/>
        <w:rPr>
          <w:noProof/>
        </w:rPr>
      </w:pPr>
      <w:r w:rsidRPr="00BC32E3">
        <w:t>Sastavljeno u Bruxellesu,</w:t>
      </w:r>
    </w:p>
    <w:p w14:paraId="2AFEEB59" w14:textId="77777777" w:rsidR="00E859DB" w:rsidRPr="00C16A84" w:rsidRDefault="00E859DB" w:rsidP="00C35110">
      <w:pPr>
        <w:pStyle w:val="Institutionquisigne"/>
        <w:rPr>
          <w:noProof/>
        </w:rPr>
      </w:pPr>
      <w:r w:rsidRPr="00C16A84">
        <w:rPr>
          <w:noProof/>
        </w:rPr>
        <w:t>Za Europski parlament</w:t>
      </w:r>
      <w:r w:rsidRPr="00C16A84">
        <w:rPr>
          <w:noProof/>
        </w:rPr>
        <w:tab/>
        <w:t>Za Vijeće</w:t>
      </w:r>
    </w:p>
    <w:p w14:paraId="109774F3" w14:textId="77777777" w:rsidR="005B14F3" w:rsidRPr="00C16A84" w:rsidRDefault="00E859DB" w:rsidP="006F7664">
      <w:pPr>
        <w:pStyle w:val="Personnequisigne"/>
        <w:rPr>
          <w:noProof/>
        </w:rPr>
      </w:pPr>
      <w:r w:rsidRPr="00C16A84">
        <w:rPr>
          <w:noProof/>
        </w:rPr>
        <w:t>Predsjednica</w:t>
      </w:r>
      <w:r w:rsidRPr="00C16A84">
        <w:rPr>
          <w:noProof/>
        </w:rPr>
        <w:tab/>
        <w:t>Predsjednik</w:t>
      </w:r>
    </w:p>
    <w:p w14:paraId="1D6E49EC" w14:textId="77777777" w:rsidR="003F3C34" w:rsidRPr="00C16A84" w:rsidRDefault="003F3C34" w:rsidP="003F3C34">
      <w:pPr>
        <w:jc w:val="center"/>
        <w:rPr>
          <w:b/>
          <w:noProof/>
        </w:rPr>
        <w:sectPr w:rsidR="003F3C34" w:rsidRPr="00C16A84" w:rsidSect="00396AE5">
          <w:footnotePr>
            <w:numRestart w:val="eachSect"/>
          </w:footnotePr>
          <w:pgSz w:w="11907" w:h="16840" w:code="9"/>
          <w:pgMar w:top="1134" w:right="1418" w:bottom="1134" w:left="1418" w:header="709" w:footer="709" w:gutter="0"/>
          <w:pgNumType w:start="1"/>
          <w:cols w:space="720"/>
          <w:docGrid w:linePitch="360"/>
        </w:sectPr>
      </w:pPr>
    </w:p>
    <w:p w14:paraId="2B16ACB1" w14:textId="77777777" w:rsidR="003F3C34" w:rsidRPr="00C16A84" w:rsidRDefault="003F3C34" w:rsidP="003F3C34">
      <w:pPr>
        <w:pStyle w:val="Fichefinanciretitre"/>
        <w:rPr>
          <w:noProof/>
        </w:rPr>
      </w:pPr>
      <w:r w:rsidRPr="00C16A84">
        <w:rPr>
          <w:noProof/>
        </w:rPr>
        <w:lastRenderedPageBreak/>
        <w:t>ZAKONODAVNI FINANCIJSKI IZVJEŠTAJ</w:t>
      </w:r>
    </w:p>
    <w:sdt>
      <w:sdtPr>
        <w:rPr>
          <w:b w:val="0"/>
          <w:noProof/>
          <w:sz w:val="24"/>
        </w:rPr>
        <w:id w:val="601696785"/>
        <w:docPartObj>
          <w:docPartGallery w:val="Table of Contents"/>
          <w:docPartUnique/>
        </w:docPartObj>
      </w:sdtPr>
      <w:sdtEndPr>
        <w:rPr>
          <w:bCs/>
        </w:rPr>
      </w:sdtEndPr>
      <w:sdtContent>
        <w:p w14:paraId="1FEBC07E" w14:textId="77777777" w:rsidR="003F3C34" w:rsidRPr="00C16A84" w:rsidRDefault="003F3C34" w:rsidP="003F3C34">
          <w:pPr>
            <w:pStyle w:val="TOCHeading"/>
            <w:rPr>
              <w:noProof/>
            </w:rPr>
          </w:pPr>
          <w:r w:rsidRPr="00C16A84">
            <w:rPr>
              <w:noProof/>
            </w:rPr>
            <w:t>Sadržaj</w:t>
          </w:r>
        </w:p>
        <w:p w14:paraId="6302963F" w14:textId="3FDE78AD" w:rsidR="00C16A84" w:rsidRDefault="003F3C34">
          <w:pPr>
            <w:pStyle w:val="TOC1"/>
            <w:rPr>
              <w:rFonts w:asciiTheme="minorHAnsi" w:eastAsiaTheme="minorEastAsia" w:hAnsiTheme="minorHAnsi" w:cstheme="minorBidi"/>
              <w:noProof/>
              <w:sz w:val="22"/>
              <w:lang w:val="en-IE" w:eastAsia="en-IE"/>
            </w:rPr>
          </w:pPr>
          <w:r w:rsidRPr="00C16A84">
            <w:rPr>
              <w:b/>
              <w:noProof/>
            </w:rPr>
            <w:fldChar w:fldCharType="begin"/>
          </w:r>
          <w:r w:rsidRPr="00C16A84">
            <w:rPr>
              <w:b/>
              <w:noProof/>
            </w:rPr>
            <w:instrText xml:space="preserve"> TOC \o "1-3" \h \z \u </w:instrText>
          </w:r>
          <w:r w:rsidRPr="00C16A84">
            <w:rPr>
              <w:b/>
              <w:noProof/>
            </w:rPr>
            <w:fldChar w:fldCharType="separate"/>
          </w:r>
          <w:hyperlink w:anchor="_Toc145493401" w:history="1">
            <w:r w:rsidR="00C16A84" w:rsidRPr="002745BD">
              <w:rPr>
                <w:rStyle w:val="Hyperlink"/>
                <w:noProof/>
              </w:rPr>
              <w:t>1.</w:t>
            </w:r>
            <w:r w:rsidR="00C16A84">
              <w:rPr>
                <w:rFonts w:asciiTheme="minorHAnsi" w:eastAsiaTheme="minorEastAsia" w:hAnsiTheme="minorHAnsi" w:cstheme="minorBidi"/>
                <w:noProof/>
                <w:sz w:val="22"/>
                <w:lang w:val="en-IE" w:eastAsia="en-IE"/>
              </w:rPr>
              <w:tab/>
            </w:r>
            <w:r w:rsidR="00C16A84" w:rsidRPr="002745BD">
              <w:rPr>
                <w:rStyle w:val="Hyperlink"/>
                <w:noProof/>
              </w:rPr>
              <w:t>OKVIR PRIJEDLOGA/INICIJATIVE</w:t>
            </w:r>
            <w:r w:rsidR="00C16A84">
              <w:rPr>
                <w:noProof/>
                <w:webHidden/>
              </w:rPr>
              <w:tab/>
            </w:r>
            <w:r w:rsidR="00C16A84">
              <w:rPr>
                <w:noProof/>
                <w:webHidden/>
              </w:rPr>
              <w:fldChar w:fldCharType="begin"/>
            </w:r>
            <w:r w:rsidR="00C16A84">
              <w:rPr>
                <w:noProof/>
                <w:webHidden/>
              </w:rPr>
              <w:instrText xml:space="preserve"> PAGEREF _Toc145493401 \h </w:instrText>
            </w:r>
            <w:r w:rsidR="00C16A84">
              <w:rPr>
                <w:noProof/>
                <w:webHidden/>
              </w:rPr>
            </w:r>
            <w:r w:rsidR="00C16A84">
              <w:rPr>
                <w:noProof/>
                <w:webHidden/>
              </w:rPr>
              <w:fldChar w:fldCharType="separate"/>
            </w:r>
            <w:r w:rsidR="00C16A84">
              <w:rPr>
                <w:noProof/>
                <w:webHidden/>
              </w:rPr>
              <w:t>3</w:t>
            </w:r>
            <w:r w:rsidR="00C16A84">
              <w:rPr>
                <w:noProof/>
                <w:webHidden/>
              </w:rPr>
              <w:fldChar w:fldCharType="end"/>
            </w:r>
          </w:hyperlink>
        </w:p>
        <w:p w14:paraId="754AEC17" w14:textId="3BA16D91" w:rsidR="00C16A84" w:rsidRDefault="00F47199">
          <w:pPr>
            <w:pStyle w:val="TOC2"/>
            <w:rPr>
              <w:rFonts w:asciiTheme="minorHAnsi" w:eastAsiaTheme="minorEastAsia" w:hAnsiTheme="minorHAnsi" w:cstheme="minorBidi"/>
              <w:noProof/>
              <w:sz w:val="22"/>
              <w:lang w:val="en-IE" w:eastAsia="en-IE"/>
            </w:rPr>
          </w:pPr>
          <w:hyperlink w:anchor="_Toc145493402" w:history="1">
            <w:r w:rsidR="00C16A84" w:rsidRPr="002745BD">
              <w:rPr>
                <w:rStyle w:val="Hyperlink"/>
                <w:noProof/>
              </w:rPr>
              <w:t>1.1.</w:t>
            </w:r>
            <w:r w:rsidR="00C16A84">
              <w:rPr>
                <w:rFonts w:asciiTheme="minorHAnsi" w:eastAsiaTheme="minorEastAsia" w:hAnsiTheme="minorHAnsi" w:cstheme="minorBidi"/>
                <w:noProof/>
                <w:sz w:val="22"/>
                <w:lang w:val="en-IE" w:eastAsia="en-IE"/>
              </w:rPr>
              <w:tab/>
            </w:r>
            <w:r w:rsidR="00C16A84" w:rsidRPr="002745BD">
              <w:rPr>
                <w:rStyle w:val="Hyperlink"/>
                <w:noProof/>
              </w:rPr>
              <w:t>Naslov prijedloga/inicijative</w:t>
            </w:r>
            <w:r w:rsidR="00C16A84">
              <w:rPr>
                <w:noProof/>
                <w:webHidden/>
              </w:rPr>
              <w:tab/>
            </w:r>
            <w:r w:rsidR="00C16A84">
              <w:rPr>
                <w:noProof/>
                <w:webHidden/>
              </w:rPr>
              <w:fldChar w:fldCharType="begin"/>
            </w:r>
            <w:r w:rsidR="00C16A84">
              <w:rPr>
                <w:noProof/>
                <w:webHidden/>
              </w:rPr>
              <w:instrText xml:space="preserve"> PAGEREF _Toc145493402 \h </w:instrText>
            </w:r>
            <w:r w:rsidR="00C16A84">
              <w:rPr>
                <w:noProof/>
                <w:webHidden/>
              </w:rPr>
            </w:r>
            <w:r w:rsidR="00C16A84">
              <w:rPr>
                <w:noProof/>
                <w:webHidden/>
              </w:rPr>
              <w:fldChar w:fldCharType="separate"/>
            </w:r>
            <w:r w:rsidR="00C16A84">
              <w:rPr>
                <w:noProof/>
                <w:webHidden/>
              </w:rPr>
              <w:t>3</w:t>
            </w:r>
            <w:r w:rsidR="00C16A84">
              <w:rPr>
                <w:noProof/>
                <w:webHidden/>
              </w:rPr>
              <w:fldChar w:fldCharType="end"/>
            </w:r>
          </w:hyperlink>
        </w:p>
        <w:p w14:paraId="56501C33" w14:textId="2491F30C" w:rsidR="00C16A84" w:rsidRDefault="00F47199">
          <w:pPr>
            <w:pStyle w:val="TOC2"/>
            <w:rPr>
              <w:rFonts w:asciiTheme="minorHAnsi" w:eastAsiaTheme="minorEastAsia" w:hAnsiTheme="minorHAnsi" w:cstheme="minorBidi"/>
              <w:noProof/>
              <w:sz w:val="22"/>
              <w:lang w:val="en-IE" w:eastAsia="en-IE"/>
            </w:rPr>
          </w:pPr>
          <w:hyperlink w:anchor="_Toc145493403" w:history="1">
            <w:r w:rsidR="00C16A84" w:rsidRPr="002745BD">
              <w:rPr>
                <w:rStyle w:val="Hyperlink"/>
                <w:noProof/>
              </w:rPr>
              <w:t>1.2.</w:t>
            </w:r>
            <w:r w:rsidR="00C16A84">
              <w:rPr>
                <w:rFonts w:asciiTheme="minorHAnsi" w:eastAsiaTheme="minorEastAsia" w:hAnsiTheme="minorHAnsi" w:cstheme="minorBidi"/>
                <w:noProof/>
                <w:sz w:val="22"/>
                <w:lang w:val="en-IE" w:eastAsia="en-IE"/>
              </w:rPr>
              <w:tab/>
            </w:r>
            <w:r w:rsidR="00C16A84" w:rsidRPr="002745BD">
              <w:rPr>
                <w:rStyle w:val="Hyperlink"/>
                <w:noProof/>
              </w:rPr>
              <w:t>Predmetna područja politike</w:t>
            </w:r>
            <w:r w:rsidR="00C16A84">
              <w:rPr>
                <w:noProof/>
                <w:webHidden/>
              </w:rPr>
              <w:tab/>
            </w:r>
            <w:r w:rsidR="00C16A84">
              <w:rPr>
                <w:noProof/>
                <w:webHidden/>
              </w:rPr>
              <w:fldChar w:fldCharType="begin"/>
            </w:r>
            <w:r w:rsidR="00C16A84">
              <w:rPr>
                <w:noProof/>
                <w:webHidden/>
              </w:rPr>
              <w:instrText xml:space="preserve"> PAGEREF _Toc145493403 \h </w:instrText>
            </w:r>
            <w:r w:rsidR="00C16A84">
              <w:rPr>
                <w:noProof/>
                <w:webHidden/>
              </w:rPr>
            </w:r>
            <w:r w:rsidR="00C16A84">
              <w:rPr>
                <w:noProof/>
                <w:webHidden/>
              </w:rPr>
              <w:fldChar w:fldCharType="separate"/>
            </w:r>
            <w:r w:rsidR="00C16A84">
              <w:rPr>
                <w:noProof/>
                <w:webHidden/>
              </w:rPr>
              <w:t>3</w:t>
            </w:r>
            <w:r w:rsidR="00C16A84">
              <w:rPr>
                <w:noProof/>
                <w:webHidden/>
              </w:rPr>
              <w:fldChar w:fldCharType="end"/>
            </w:r>
          </w:hyperlink>
        </w:p>
        <w:p w14:paraId="5A56B574" w14:textId="7DE45F84" w:rsidR="00C16A84" w:rsidRDefault="00F47199">
          <w:pPr>
            <w:pStyle w:val="TOC2"/>
            <w:rPr>
              <w:rFonts w:asciiTheme="minorHAnsi" w:eastAsiaTheme="minorEastAsia" w:hAnsiTheme="minorHAnsi" w:cstheme="minorBidi"/>
              <w:noProof/>
              <w:sz w:val="22"/>
              <w:lang w:val="en-IE" w:eastAsia="en-IE"/>
            </w:rPr>
          </w:pPr>
          <w:hyperlink w:anchor="_Toc145493404" w:history="1">
            <w:r w:rsidR="00C16A84" w:rsidRPr="002745BD">
              <w:rPr>
                <w:rStyle w:val="Hyperlink"/>
                <w:noProof/>
              </w:rPr>
              <w:t>1.3.</w:t>
            </w:r>
            <w:r w:rsidR="00C16A84">
              <w:rPr>
                <w:rFonts w:asciiTheme="minorHAnsi" w:eastAsiaTheme="minorEastAsia" w:hAnsiTheme="minorHAnsi" w:cstheme="minorBidi"/>
                <w:noProof/>
                <w:sz w:val="22"/>
                <w:lang w:val="en-IE" w:eastAsia="en-IE"/>
              </w:rPr>
              <w:tab/>
            </w:r>
            <w:r w:rsidR="00C16A84" w:rsidRPr="002745BD">
              <w:rPr>
                <w:rStyle w:val="Hyperlink"/>
                <w:noProof/>
              </w:rPr>
              <w:t>Prijedlog/inicijativa odnosi se na:</w:t>
            </w:r>
            <w:r w:rsidR="00C16A84">
              <w:rPr>
                <w:noProof/>
                <w:webHidden/>
              </w:rPr>
              <w:tab/>
            </w:r>
            <w:r w:rsidR="00C16A84">
              <w:rPr>
                <w:noProof/>
                <w:webHidden/>
              </w:rPr>
              <w:fldChar w:fldCharType="begin"/>
            </w:r>
            <w:r w:rsidR="00C16A84">
              <w:rPr>
                <w:noProof/>
                <w:webHidden/>
              </w:rPr>
              <w:instrText xml:space="preserve"> PAGEREF _Toc145493404 \h </w:instrText>
            </w:r>
            <w:r w:rsidR="00C16A84">
              <w:rPr>
                <w:noProof/>
                <w:webHidden/>
              </w:rPr>
            </w:r>
            <w:r w:rsidR="00C16A84">
              <w:rPr>
                <w:noProof/>
                <w:webHidden/>
              </w:rPr>
              <w:fldChar w:fldCharType="separate"/>
            </w:r>
            <w:r w:rsidR="00C16A84">
              <w:rPr>
                <w:noProof/>
                <w:webHidden/>
              </w:rPr>
              <w:t>3</w:t>
            </w:r>
            <w:r w:rsidR="00C16A84">
              <w:rPr>
                <w:noProof/>
                <w:webHidden/>
              </w:rPr>
              <w:fldChar w:fldCharType="end"/>
            </w:r>
          </w:hyperlink>
        </w:p>
        <w:p w14:paraId="4B7C16AE" w14:textId="5A761324" w:rsidR="00C16A84" w:rsidRDefault="00F47199">
          <w:pPr>
            <w:pStyle w:val="TOC2"/>
            <w:rPr>
              <w:rFonts w:asciiTheme="minorHAnsi" w:eastAsiaTheme="minorEastAsia" w:hAnsiTheme="minorHAnsi" w:cstheme="minorBidi"/>
              <w:noProof/>
              <w:sz w:val="22"/>
              <w:lang w:val="en-IE" w:eastAsia="en-IE"/>
            </w:rPr>
          </w:pPr>
          <w:hyperlink w:anchor="_Toc145493405" w:history="1">
            <w:r w:rsidR="00C16A84" w:rsidRPr="002745BD">
              <w:rPr>
                <w:rStyle w:val="Hyperlink"/>
                <w:noProof/>
              </w:rPr>
              <w:t>1.4.</w:t>
            </w:r>
            <w:r w:rsidR="00C16A84">
              <w:rPr>
                <w:rFonts w:asciiTheme="minorHAnsi" w:eastAsiaTheme="minorEastAsia" w:hAnsiTheme="minorHAnsi" w:cstheme="minorBidi"/>
                <w:noProof/>
                <w:sz w:val="22"/>
                <w:lang w:val="en-IE" w:eastAsia="en-IE"/>
              </w:rPr>
              <w:tab/>
            </w:r>
            <w:r w:rsidR="00C16A84" w:rsidRPr="002745BD">
              <w:rPr>
                <w:rStyle w:val="Hyperlink"/>
                <w:noProof/>
              </w:rPr>
              <w:t>Ciljevi</w:t>
            </w:r>
            <w:r w:rsidR="00C16A84">
              <w:rPr>
                <w:noProof/>
                <w:webHidden/>
              </w:rPr>
              <w:tab/>
            </w:r>
            <w:r w:rsidR="00C16A84">
              <w:rPr>
                <w:noProof/>
                <w:webHidden/>
              </w:rPr>
              <w:fldChar w:fldCharType="begin"/>
            </w:r>
            <w:r w:rsidR="00C16A84">
              <w:rPr>
                <w:noProof/>
                <w:webHidden/>
              </w:rPr>
              <w:instrText xml:space="preserve"> PAGEREF _Toc145493405 \h </w:instrText>
            </w:r>
            <w:r w:rsidR="00C16A84">
              <w:rPr>
                <w:noProof/>
                <w:webHidden/>
              </w:rPr>
            </w:r>
            <w:r w:rsidR="00C16A84">
              <w:rPr>
                <w:noProof/>
                <w:webHidden/>
              </w:rPr>
              <w:fldChar w:fldCharType="separate"/>
            </w:r>
            <w:r w:rsidR="00C16A84">
              <w:rPr>
                <w:noProof/>
                <w:webHidden/>
              </w:rPr>
              <w:t>3</w:t>
            </w:r>
            <w:r w:rsidR="00C16A84">
              <w:rPr>
                <w:noProof/>
                <w:webHidden/>
              </w:rPr>
              <w:fldChar w:fldCharType="end"/>
            </w:r>
          </w:hyperlink>
        </w:p>
        <w:p w14:paraId="727EEE7E" w14:textId="14BDD85C" w:rsidR="00C16A84" w:rsidRDefault="00F47199">
          <w:pPr>
            <w:pStyle w:val="TOC3"/>
            <w:rPr>
              <w:rFonts w:asciiTheme="minorHAnsi" w:eastAsiaTheme="minorEastAsia" w:hAnsiTheme="minorHAnsi" w:cstheme="minorBidi"/>
              <w:noProof/>
              <w:sz w:val="22"/>
              <w:lang w:val="en-IE" w:eastAsia="en-IE"/>
            </w:rPr>
          </w:pPr>
          <w:hyperlink w:anchor="_Toc145493406" w:history="1">
            <w:r w:rsidR="00C16A84" w:rsidRPr="002745BD">
              <w:rPr>
                <w:rStyle w:val="Hyperlink"/>
                <w:noProof/>
              </w:rPr>
              <w:t>1.4.1.</w:t>
            </w:r>
            <w:r w:rsidR="00C16A84">
              <w:rPr>
                <w:rFonts w:asciiTheme="minorHAnsi" w:eastAsiaTheme="minorEastAsia" w:hAnsiTheme="minorHAnsi" w:cstheme="minorBidi"/>
                <w:noProof/>
                <w:sz w:val="22"/>
                <w:lang w:val="en-IE" w:eastAsia="en-IE"/>
              </w:rPr>
              <w:tab/>
            </w:r>
            <w:r w:rsidR="00C16A84" w:rsidRPr="002745BD">
              <w:rPr>
                <w:rStyle w:val="Hyperlink"/>
                <w:noProof/>
              </w:rPr>
              <w:t>Opći ciljevi</w:t>
            </w:r>
            <w:r w:rsidR="00C16A84">
              <w:rPr>
                <w:noProof/>
                <w:webHidden/>
              </w:rPr>
              <w:tab/>
            </w:r>
            <w:r w:rsidR="00C16A84">
              <w:rPr>
                <w:noProof/>
                <w:webHidden/>
              </w:rPr>
              <w:fldChar w:fldCharType="begin"/>
            </w:r>
            <w:r w:rsidR="00C16A84">
              <w:rPr>
                <w:noProof/>
                <w:webHidden/>
              </w:rPr>
              <w:instrText xml:space="preserve"> PAGEREF _Toc145493406 \h </w:instrText>
            </w:r>
            <w:r w:rsidR="00C16A84">
              <w:rPr>
                <w:noProof/>
                <w:webHidden/>
              </w:rPr>
            </w:r>
            <w:r w:rsidR="00C16A84">
              <w:rPr>
                <w:noProof/>
                <w:webHidden/>
              </w:rPr>
              <w:fldChar w:fldCharType="separate"/>
            </w:r>
            <w:r w:rsidR="00C16A84">
              <w:rPr>
                <w:noProof/>
                <w:webHidden/>
              </w:rPr>
              <w:t>3</w:t>
            </w:r>
            <w:r w:rsidR="00C16A84">
              <w:rPr>
                <w:noProof/>
                <w:webHidden/>
              </w:rPr>
              <w:fldChar w:fldCharType="end"/>
            </w:r>
          </w:hyperlink>
        </w:p>
        <w:p w14:paraId="0A905D73" w14:textId="6886A942" w:rsidR="00C16A84" w:rsidRDefault="00F47199">
          <w:pPr>
            <w:pStyle w:val="TOC3"/>
            <w:rPr>
              <w:rFonts w:asciiTheme="minorHAnsi" w:eastAsiaTheme="minorEastAsia" w:hAnsiTheme="minorHAnsi" w:cstheme="minorBidi"/>
              <w:noProof/>
              <w:sz w:val="22"/>
              <w:lang w:val="en-IE" w:eastAsia="en-IE"/>
            </w:rPr>
          </w:pPr>
          <w:hyperlink w:anchor="_Toc145493407" w:history="1">
            <w:r w:rsidR="00C16A84" w:rsidRPr="002745BD">
              <w:rPr>
                <w:rStyle w:val="Hyperlink"/>
                <w:noProof/>
              </w:rPr>
              <w:t>1.4.2.</w:t>
            </w:r>
            <w:r w:rsidR="00C16A84">
              <w:rPr>
                <w:rFonts w:asciiTheme="minorHAnsi" w:eastAsiaTheme="minorEastAsia" w:hAnsiTheme="minorHAnsi" w:cstheme="minorBidi"/>
                <w:noProof/>
                <w:sz w:val="22"/>
                <w:lang w:val="en-IE" w:eastAsia="en-IE"/>
              </w:rPr>
              <w:tab/>
            </w:r>
            <w:r w:rsidR="00C16A84" w:rsidRPr="002745BD">
              <w:rPr>
                <w:rStyle w:val="Hyperlink"/>
                <w:noProof/>
              </w:rPr>
              <w:t>Specifični ciljevi</w:t>
            </w:r>
            <w:r w:rsidR="00C16A84">
              <w:rPr>
                <w:noProof/>
                <w:webHidden/>
              </w:rPr>
              <w:tab/>
            </w:r>
            <w:r w:rsidR="00C16A84">
              <w:rPr>
                <w:noProof/>
                <w:webHidden/>
              </w:rPr>
              <w:fldChar w:fldCharType="begin"/>
            </w:r>
            <w:r w:rsidR="00C16A84">
              <w:rPr>
                <w:noProof/>
                <w:webHidden/>
              </w:rPr>
              <w:instrText xml:space="preserve"> PAGEREF _Toc145493407 \h </w:instrText>
            </w:r>
            <w:r w:rsidR="00C16A84">
              <w:rPr>
                <w:noProof/>
                <w:webHidden/>
              </w:rPr>
            </w:r>
            <w:r w:rsidR="00C16A84">
              <w:rPr>
                <w:noProof/>
                <w:webHidden/>
              </w:rPr>
              <w:fldChar w:fldCharType="separate"/>
            </w:r>
            <w:r w:rsidR="00C16A84">
              <w:rPr>
                <w:noProof/>
                <w:webHidden/>
              </w:rPr>
              <w:t>3</w:t>
            </w:r>
            <w:r w:rsidR="00C16A84">
              <w:rPr>
                <w:noProof/>
                <w:webHidden/>
              </w:rPr>
              <w:fldChar w:fldCharType="end"/>
            </w:r>
          </w:hyperlink>
        </w:p>
        <w:p w14:paraId="5F5DBA0D" w14:textId="66EE2FEA" w:rsidR="00C16A84" w:rsidRDefault="00F47199">
          <w:pPr>
            <w:pStyle w:val="TOC3"/>
            <w:rPr>
              <w:rFonts w:asciiTheme="minorHAnsi" w:eastAsiaTheme="minorEastAsia" w:hAnsiTheme="minorHAnsi" w:cstheme="minorBidi"/>
              <w:noProof/>
              <w:sz w:val="22"/>
              <w:lang w:val="en-IE" w:eastAsia="en-IE"/>
            </w:rPr>
          </w:pPr>
          <w:hyperlink w:anchor="_Toc145493408" w:history="1">
            <w:r w:rsidR="00C16A84" w:rsidRPr="002745BD">
              <w:rPr>
                <w:rStyle w:val="Hyperlink"/>
                <w:noProof/>
              </w:rPr>
              <w:t>1.4.3.</w:t>
            </w:r>
            <w:r w:rsidR="00C16A84">
              <w:rPr>
                <w:rFonts w:asciiTheme="minorHAnsi" w:eastAsiaTheme="minorEastAsia" w:hAnsiTheme="minorHAnsi" w:cstheme="minorBidi"/>
                <w:noProof/>
                <w:sz w:val="22"/>
                <w:lang w:val="en-IE" w:eastAsia="en-IE"/>
              </w:rPr>
              <w:tab/>
            </w:r>
            <w:r w:rsidR="00C16A84" w:rsidRPr="002745BD">
              <w:rPr>
                <w:rStyle w:val="Hyperlink"/>
                <w:noProof/>
              </w:rPr>
              <w:t>Očekivani rezultati i učinak</w:t>
            </w:r>
            <w:r w:rsidR="00C16A84">
              <w:rPr>
                <w:noProof/>
                <w:webHidden/>
              </w:rPr>
              <w:tab/>
            </w:r>
            <w:r w:rsidR="00C16A84">
              <w:rPr>
                <w:noProof/>
                <w:webHidden/>
              </w:rPr>
              <w:fldChar w:fldCharType="begin"/>
            </w:r>
            <w:r w:rsidR="00C16A84">
              <w:rPr>
                <w:noProof/>
                <w:webHidden/>
              </w:rPr>
              <w:instrText xml:space="preserve"> PAGEREF _Toc145493408 \h </w:instrText>
            </w:r>
            <w:r w:rsidR="00C16A84">
              <w:rPr>
                <w:noProof/>
                <w:webHidden/>
              </w:rPr>
            </w:r>
            <w:r w:rsidR="00C16A84">
              <w:rPr>
                <w:noProof/>
                <w:webHidden/>
              </w:rPr>
              <w:fldChar w:fldCharType="separate"/>
            </w:r>
            <w:r w:rsidR="00C16A84">
              <w:rPr>
                <w:noProof/>
                <w:webHidden/>
              </w:rPr>
              <w:t>4</w:t>
            </w:r>
            <w:r w:rsidR="00C16A84">
              <w:rPr>
                <w:noProof/>
                <w:webHidden/>
              </w:rPr>
              <w:fldChar w:fldCharType="end"/>
            </w:r>
          </w:hyperlink>
        </w:p>
        <w:p w14:paraId="29B7642F" w14:textId="5D352BE9" w:rsidR="00C16A84" w:rsidRDefault="00F47199">
          <w:pPr>
            <w:pStyle w:val="TOC3"/>
            <w:rPr>
              <w:rFonts w:asciiTheme="minorHAnsi" w:eastAsiaTheme="minorEastAsia" w:hAnsiTheme="minorHAnsi" w:cstheme="minorBidi"/>
              <w:noProof/>
              <w:sz w:val="22"/>
              <w:lang w:val="en-IE" w:eastAsia="en-IE"/>
            </w:rPr>
          </w:pPr>
          <w:hyperlink w:anchor="_Toc145493409" w:history="1">
            <w:r w:rsidR="00C16A84" w:rsidRPr="002745BD">
              <w:rPr>
                <w:rStyle w:val="Hyperlink"/>
                <w:noProof/>
              </w:rPr>
              <w:t>1.4.4.</w:t>
            </w:r>
            <w:r w:rsidR="00C16A84">
              <w:rPr>
                <w:rFonts w:asciiTheme="minorHAnsi" w:eastAsiaTheme="minorEastAsia" w:hAnsiTheme="minorHAnsi" w:cstheme="minorBidi"/>
                <w:noProof/>
                <w:sz w:val="22"/>
                <w:lang w:val="en-IE" w:eastAsia="en-IE"/>
              </w:rPr>
              <w:tab/>
            </w:r>
            <w:r w:rsidR="00C16A84" w:rsidRPr="002745BD">
              <w:rPr>
                <w:rStyle w:val="Hyperlink"/>
                <w:noProof/>
              </w:rPr>
              <w:t>Pokazatelji uspješnosti</w:t>
            </w:r>
            <w:r w:rsidR="00C16A84">
              <w:rPr>
                <w:noProof/>
                <w:webHidden/>
              </w:rPr>
              <w:tab/>
            </w:r>
            <w:r w:rsidR="00C16A84">
              <w:rPr>
                <w:noProof/>
                <w:webHidden/>
              </w:rPr>
              <w:fldChar w:fldCharType="begin"/>
            </w:r>
            <w:r w:rsidR="00C16A84">
              <w:rPr>
                <w:noProof/>
                <w:webHidden/>
              </w:rPr>
              <w:instrText xml:space="preserve"> PAGEREF _Toc145493409 \h </w:instrText>
            </w:r>
            <w:r w:rsidR="00C16A84">
              <w:rPr>
                <w:noProof/>
                <w:webHidden/>
              </w:rPr>
            </w:r>
            <w:r w:rsidR="00C16A84">
              <w:rPr>
                <w:noProof/>
                <w:webHidden/>
              </w:rPr>
              <w:fldChar w:fldCharType="separate"/>
            </w:r>
            <w:r w:rsidR="00C16A84">
              <w:rPr>
                <w:noProof/>
                <w:webHidden/>
              </w:rPr>
              <w:t>4</w:t>
            </w:r>
            <w:r w:rsidR="00C16A84">
              <w:rPr>
                <w:noProof/>
                <w:webHidden/>
              </w:rPr>
              <w:fldChar w:fldCharType="end"/>
            </w:r>
          </w:hyperlink>
        </w:p>
        <w:p w14:paraId="7B8B2248" w14:textId="65177D63" w:rsidR="00C16A84" w:rsidRDefault="00F47199">
          <w:pPr>
            <w:pStyle w:val="TOC2"/>
            <w:rPr>
              <w:rFonts w:asciiTheme="minorHAnsi" w:eastAsiaTheme="minorEastAsia" w:hAnsiTheme="minorHAnsi" w:cstheme="minorBidi"/>
              <w:noProof/>
              <w:sz w:val="22"/>
              <w:lang w:val="en-IE" w:eastAsia="en-IE"/>
            </w:rPr>
          </w:pPr>
          <w:hyperlink w:anchor="_Toc145493410" w:history="1">
            <w:r w:rsidR="00C16A84" w:rsidRPr="002745BD">
              <w:rPr>
                <w:rStyle w:val="Hyperlink"/>
                <w:noProof/>
              </w:rPr>
              <w:t>1.5.</w:t>
            </w:r>
            <w:r w:rsidR="00C16A84">
              <w:rPr>
                <w:rFonts w:asciiTheme="minorHAnsi" w:eastAsiaTheme="minorEastAsia" w:hAnsiTheme="minorHAnsi" w:cstheme="minorBidi"/>
                <w:noProof/>
                <w:sz w:val="22"/>
                <w:lang w:val="en-IE" w:eastAsia="en-IE"/>
              </w:rPr>
              <w:tab/>
            </w:r>
            <w:r w:rsidR="00C16A84" w:rsidRPr="002745BD">
              <w:rPr>
                <w:rStyle w:val="Hyperlink"/>
                <w:noProof/>
              </w:rPr>
              <w:t>Osnova prijedloga/inicijative</w:t>
            </w:r>
            <w:r w:rsidR="00C16A84">
              <w:rPr>
                <w:noProof/>
                <w:webHidden/>
              </w:rPr>
              <w:tab/>
            </w:r>
            <w:r w:rsidR="00C16A84">
              <w:rPr>
                <w:noProof/>
                <w:webHidden/>
              </w:rPr>
              <w:fldChar w:fldCharType="begin"/>
            </w:r>
            <w:r w:rsidR="00C16A84">
              <w:rPr>
                <w:noProof/>
                <w:webHidden/>
              </w:rPr>
              <w:instrText xml:space="preserve"> PAGEREF _Toc145493410 \h </w:instrText>
            </w:r>
            <w:r w:rsidR="00C16A84">
              <w:rPr>
                <w:noProof/>
                <w:webHidden/>
              </w:rPr>
            </w:r>
            <w:r w:rsidR="00C16A84">
              <w:rPr>
                <w:noProof/>
                <w:webHidden/>
              </w:rPr>
              <w:fldChar w:fldCharType="separate"/>
            </w:r>
            <w:r w:rsidR="00C16A84">
              <w:rPr>
                <w:noProof/>
                <w:webHidden/>
              </w:rPr>
              <w:t>4</w:t>
            </w:r>
            <w:r w:rsidR="00C16A84">
              <w:rPr>
                <w:noProof/>
                <w:webHidden/>
              </w:rPr>
              <w:fldChar w:fldCharType="end"/>
            </w:r>
          </w:hyperlink>
        </w:p>
        <w:p w14:paraId="23AF21BD" w14:textId="0A1B305C" w:rsidR="00C16A84" w:rsidRDefault="00F47199">
          <w:pPr>
            <w:pStyle w:val="TOC3"/>
            <w:rPr>
              <w:rFonts w:asciiTheme="minorHAnsi" w:eastAsiaTheme="minorEastAsia" w:hAnsiTheme="minorHAnsi" w:cstheme="minorBidi"/>
              <w:noProof/>
              <w:sz w:val="22"/>
              <w:lang w:val="en-IE" w:eastAsia="en-IE"/>
            </w:rPr>
          </w:pPr>
          <w:hyperlink w:anchor="_Toc145493411" w:history="1">
            <w:r w:rsidR="00C16A84" w:rsidRPr="002745BD">
              <w:rPr>
                <w:rStyle w:val="Hyperlink"/>
                <w:noProof/>
              </w:rPr>
              <w:t>1.5.1.</w:t>
            </w:r>
            <w:r w:rsidR="00C16A84">
              <w:rPr>
                <w:rFonts w:asciiTheme="minorHAnsi" w:eastAsiaTheme="minorEastAsia" w:hAnsiTheme="minorHAnsi" w:cstheme="minorBidi"/>
                <w:noProof/>
                <w:sz w:val="22"/>
                <w:lang w:val="en-IE" w:eastAsia="en-IE"/>
              </w:rPr>
              <w:tab/>
            </w:r>
            <w:r w:rsidR="00C16A84" w:rsidRPr="002745BD">
              <w:rPr>
                <w:rStyle w:val="Hyperlink"/>
                <w:noProof/>
              </w:rPr>
              <w:t>Zahtjevi koje treba ispuniti u kratkoročnom ili dugoročnom razdoblju, uključujući detaljan vremenski plan provedbe inicijative</w:t>
            </w:r>
            <w:r w:rsidR="00C16A84">
              <w:rPr>
                <w:noProof/>
                <w:webHidden/>
              </w:rPr>
              <w:tab/>
            </w:r>
            <w:r w:rsidR="00C16A84">
              <w:rPr>
                <w:noProof/>
                <w:webHidden/>
              </w:rPr>
              <w:fldChar w:fldCharType="begin"/>
            </w:r>
            <w:r w:rsidR="00C16A84">
              <w:rPr>
                <w:noProof/>
                <w:webHidden/>
              </w:rPr>
              <w:instrText xml:space="preserve"> PAGEREF _Toc145493411 \h </w:instrText>
            </w:r>
            <w:r w:rsidR="00C16A84">
              <w:rPr>
                <w:noProof/>
                <w:webHidden/>
              </w:rPr>
            </w:r>
            <w:r w:rsidR="00C16A84">
              <w:rPr>
                <w:noProof/>
                <w:webHidden/>
              </w:rPr>
              <w:fldChar w:fldCharType="separate"/>
            </w:r>
            <w:r w:rsidR="00C16A84">
              <w:rPr>
                <w:noProof/>
                <w:webHidden/>
              </w:rPr>
              <w:t>4</w:t>
            </w:r>
            <w:r w:rsidR="00C16A84">
              <w:rPr>
                <w:noProof/>
                <w:webHidden/>
              </w:rPr>
              <w:fldChar w:fldCharType="end"/>
            </w:r>
          </w:hyperlink>
        </w:p>
        <w:p w14:paraId="10AE13A0" w14:textId="37ADD918" w:rsidR="00C16A84" w:rsidRDefault="00F47199">
          <w:pPr>
            <w:pStyle w:val="TOC3"/>
            <w:rPr>
              <w:rFonts w:asciiTheme="minorHAnsi" w:eastAsiaTheme="minorEastAsia" w:hAnsiTheme="minorHAnsi" w:cstheme="minorBidi"/>
              <w:noProof/>
              <w:sz w:val="22"/>
              <w:lang w:val="en-IE" w:eastAsia="en-IE"/>
            </w:rPr>
          </w:pPr>
          <w:hyperlink w:anchor="_Toc145493412" w:history="1">
            <w:r w:rsidR="00C16A84" w:rsidRPr="002745BD">
              <w:rPr>
                <w:rStyle w:val="Hyperlink"/>
                <w:noProof/>
              </w:rPr>
              <w:t>1.5.2.</w:t>
            </w:r>
            <w:r w:rsidR="00C16A84">
              <w:rPr>
                <w:rFonts w:asciiTheme="minorHAnsi" w:eastAsiaTheme="minorEastAsia" w:hAnsiTheme="minorHAnsi" w:cstheme="minorBidi"/>
                <w:noProof/>
                <w:sz w:val="22"/>
                <w:lang w:val="en-IE" w:eastAsia="en-IE"/>
              </w:rPr>
              <w:tab/>
            </w:r>
            <w:r w:rsidR="00C16A84" w:rsidRPr="002745BD">
              <w:rPr>
                <w:rStyle w:val="Hyperlink"/>
                <w:noProof/>
              </w:rPr>
              <w:t>Dodana vrijednost sudjelovanja Unije (može proizlaziti iz različitih čimbenika, npr. prednosti koordinacije, pravne sigurnosti, veće djelotvornosti ili komplementarnosti). Za potrebe ove točke „dodana vrijednost sudjelovanja Unije” je vrijednost koja proizlazi iz intervencije Unije i koja predstavlja dodatnu vrijednost u odnosu na vrijednost koju bi države članice inače ostvarile same.</w:t>
            </w:r>
            <w:r w:rsidR="00C16A84">
              <w:rPr>
                <w:noProof/>
                <w:webHidden/>
              </w:rPr>
              <w:tab/>
            </w:r>
            <w:r w:rsidR="00C16A84">
              <w:rPr>
                <w:noProof/>
                <w:webHidden/>
              </w:rPr>
              <w:fldChar w:fldCharType="begin"/>
            </w:r>
            <w:r w:rsidR="00C16A84">
              <w:rPr>
                <w:noProof/>
                <w:webHidden/>
              </w:rPr>
              <w:instrText xml:space="preserve"> PAGEREF _Toc145493412 \h </w:instrText>
            </w:r>
            <w:r w:rsidR="00C16A84">
              <w:rPr>
                <w:noProof/>
                <w:webHidden/>
              </w:rPr>
            </w:r>
            <w:r w:rsidR="00C16A84">
              <w:rPr>
                <w:noProof/>
                <w:webHidden/>
              </w:rPr>
              <w:fldChar w:fldCharType="separate"/>
            </w:r>
            <w:r w:rsidR="00C16A84">
              <w:rPr>
                <w:noProof/>
                <w:webHidden/>
              </w:rPr>
              <w:t>4</w:t>
            </w:r>
            <w:r w:rsidR="00C16A84">
              <w:rPr>
                <w:noProof/>
                <w:webHidden/>
              </w:rPr>
              <w:fldChar w:fldCharType="end"/>
            </w:r>
          </w:hyperlink>
        </w:p>
        <w:p w14:paraId="01338AF0" w14:textId="39B21638" w:rsidR="00C16A84" w:rsidRDefault="00F47199">
          <w:pPr>
            <w:pStyle w:val="TOC3"/>
            <w:rPr>
              <w:rFonts w:asciiTheme="minorHAnsi" w:eastAsiaTheme="minorEastAsia" w:hAnsiTheme="minorHAnsi" w:cstheme="minorBidi"/>
              <w:noProof/>
              <w:sz w:val="22"/>
              <w:lang w:val="en-IE" w:eastAsia="en-IE"/>
            </w:rPr>
          </w:pPr>
          <w:hyperlink w:anchor="_Toc145493413" w:history="1">
            <w:r w:rsidR="00C16A84" w:rsidRPr="002745BD">
              <w:rPr>
                <w:rStyle w:val="Hyperlink"/>
                <w:noProof/>
              </w:rPr>
              <w:t>1.5.3.</w:t>
            </w:r>
            <w:r w:rsidR="00C16A84">
              <w:rPr>
                <w:rFonts w:asciiTheme="minorHAnsi" w:eastAsiaTheme="minorEastAsia" w:hAnsiTheme="minorHAnsi" w:cstheme="minorBidi"/>
                <w:noProof/>
                <w:sz w:val="22"/>
                <w:lang w:val="en-IE" w:eastAsia="en-IE"/>
              </w:rPr>
              <w:tab/>
            </w:r>
            <w:r w:rsidR="00C16A84" w:rsidRPr="002745BD">
              <w:rPr>
                <w:rStyle w:val="Hyperlink"/>
                <w:noProof/>
              </w:rPr>
              <w:t>Pouke iz prijašnjih sličnih iskustava</w:t>
            </w:r>
            <w:r w:rsidR="00C16A84">
              <w:rPr>
                <w:noProof/>
                <w:webHidden/>
              </w:rPr>
              <w:tab/>
            </w:r>
            <w:r w:rsidR="00C16A84">
              <w:rPr>
                <w:noProof/>
                <w:webHidden/>
              </w:rPr>
              <w:fldChar w:fldCharType="begin"/>
            </w:r>
            <w:r w:rsidR="00C16A84">
              <w:rPr>
                <w:noProof/>
                <w:webHidden/>
              </w:rPr>
              <w:instrText xml:space="preserve"> PAGEREF _Toc145493413 \h </w:instrText>
            </w:r>
            <w:r w:rsidR="00C16A84">
              <w:rPr>
                <w:noProof/>
                <w:webHidden/>
              </w:rPr>
            </w:r>
            <w:r w:rsidR="00C16A84">
              <w:rPr>
                <w:noProof/>
                <w:webHidden/>
              </w:rPr>
              <w:fldChar w:fldCharType="separate"/>
            </w:r>
            <w:r w:rsidR="00C16A84">
              <w:rPr>
                <w:noProof/>
                <w:webHidden/>
              </w:rPr>
              <w:t>5</w:t>
            </w:r>
            <w:r w:rsidR="00C16A84">
              <w:rPr>
                <w:noProof/>
                <w:webHidden/>
              </w:rPr>
              <w:fldChar w:fldCharType="end"/>
            </w:r>
          </w:hyperlink>
        </w:p>
        <w:p w14:paraId="3165DA4D" w14:textId="39C89F1C" w:rsidR="00C16A84" w:rsidRDefault="00F47199">
          <w:pPr>
            <w:pStyle w:val="TOC3"/>
            <w:rPr>
              <w:rFonts w:asciiTheme="minorHAnsi" w:eastAsiaTheme="minorEastAsia" w:hAnsiTheme="minorHAnsi" w:cstheme="minorBidi"/>
              <w:noProof/>
              <w:sz w:val="22"/>
              <w:lang w:val="en-IE" w:eastAsia="en-IE"/>
            </w:rPr>
          </w:pPr>
          <w:hyperlink w:anchor="_Toc145493414" w:history="1">
            <w:r w:rsidR="00C16A84" w:rsidRPr="002745BD">
              <w:rPr>
                <w:rStyle w:val="Hyperlink"/>
                <w:noProof/>
              </w:rPr>
              <w:t>1.5.4.</w:t>
            </w:r>
            <w:r w:rsidR="00C16A84">
              <w:rPr>
                <w:rFonts w:asciiTheme="minorHAnsi" w:eastAsiaTheme="minorEastAsia" w:hAnsiTheme="minorHAnsi" w:cstheme="minorBidi"/>
                <w:noProof/>
                <w:sz w:val="22"/>
                <w:lang w:val="en-IE" w:eastAsia="en-IE"/>
              </w:rPr>
              <w:tab/>
            </w:r>
            <w:r w:rsidR="00C16A84" w:rsidRPr="002745BD">
              <w:rPr>
                <w:rStyle w:val="Hyperlink"/>
                <w:noProof/>
              </w:rPr>
              <w:t>Usklađenost s višegodišnjim financijskim okvirom i moguće sinergije s drugim prikladnim instrumentima</w:t>
            </w:r>
            <w:r w:rsidR="00C16A84">
              <w:rPr>
                <w:noProof/>
                <w:webHidden/>
              </w:rPr>
              <w:tab/>
            </w:r>
            <w:r w:rsidR="00C16A84">
              <w:rPr>
                <w:noProof/>
                <w:webHidden/>
              </w:rPr>
              <w:fldChar w:fldCharType="begin"/>
            </w:r>
            <w:r w:rsidR="00C16A84">
              <w:rPr>
                <w:noProof/>
                <w:webHidden/>
              </w:rPr>
              <w:instrText xml:space="preserve"> PAGEREF _Toc145493414 \h </w:instrText>
            </w:r>
            <w:r w:rsidR="00C16A84">
              <w:rPr>
                <w:noProof/>
                <w:webHidden/>
              </w:rPr>
            </w:r>
            <w:r w:rsidR="00C16A84">
              <w:rPr>
                <w:noProof/>
                <w:webHidden/>
              </w:rPr>
              <w:fldChar w:fldCharType="separate"/>
            </w:r>
            <w:r w:rsidR="00C16A84">
              <w:rPr>
                <w:noProof/>
                <w:webHidden/>
              </w:rPr>
              <w:t>6</w:t>
            </w:r>
            <w:r w:rsidR="00C16A84">
              <w:rPr>
                <w:noProof/>
                <w:webHidden/>
              </w:rPr>
              <w:fldChar w:fldCharType="end"/>
            </w:r>
          </w:hyperlink>
        </w:p>
        <w:p w14:paraId="2B748FE5" w14:textId="178867FF" w:rsidR="00C16A84" w:rsidRDefault="00F47199">
          <w:pPr>
            <w:pStyle w:val="TOC3"/>
            <w:rPr>
              <w:rFonts w:asciiTheme="minorHAnsi" w:eastAsiaTheme="minorEastAsia" w:hAnsiTheme="minorHAnsi" w:cstheme="minorBidi"/>
              <w:noProof/>
              <w:sz w:val="22"/>
              <w:lang w:val="en-IE" w:eastAsia="en-IE"/>
            </w:rPr>
          </w:pPr>
          <w:hyperlink w:anchor="_Toc145493415" w:history="1">
            <w:r w:rsidR="00C16A84" w:rsidRPr="002745BD">
              <w:rPr>
                <w:rStyle w:val="Hyperlink"/>
                <w:noProof/>
              </w:rPr>
              <w:t>1.5.5.</w:t>
            </w:r>
            <w:r w:rsidR="00C16A84">
              <w:rPr>
                <w:rFonts w:asciiTheme="minorHAnsi" w:eastAsiaTheme="minorEastAsia" w:hAnsiTheme="minorHAnsi" w:cstheme="minorBidi"/>
                <w:noProof/>
                <w:sz w:val="22"/>
                <w:lang w:val="en-IE" w:eastAsia="en-IE"/>
              </w:rPr>
              <w:tab/>
            </w:r>
            <w:r w:rsidR="00C16A84" w:rsidRPr="002745BD">
              <w:rPr>
                <w:rStyle w:val="Hyperlink"/>
                <w:noProof/>
              </w:rPr>
              <w:t>Ocjena različitih dostupnih mogućnosti financiranja, uključujući mogućnost preraspodjele</w:t>
            </w:r>
            <w:r w:rsidR="00C16A84">
              <w:rPr>
                <w:noProof/>
                <w:webHidden/>
              </w:rPr>
              <w:tab/>
            </w:r>
            <w:r w:rsidR="00C16A84">
              <w:rPr>
                <w:noProof/>
                <w:webHidden/>
              </w:rPr>
              <w:fldChar w:fldCharType="begin"/>
            </w:r>
            <w:r w:rsidR="00C16A84">
              <w:rPr>
                <w:noProof/>
                <w:webHidden/>
              </w:rPr>
              <w:instrText xml:space="preserve"> PAGEREF _Toc145493415 \h </w:instrText>
            </w:r>
            <w:r w:rsidR="00C16A84">
              <w:rPr>
                <w:noProof/>
                <w:webHidden/>
              </w:rPr>
            </w:r>
            <w:r w:rsidR="00C16A84">
              <w:rPr>
                <w:noProof/>
                <w:webHidden/>
              </w:rPr>
              <w:fldChar w:fldCharType="separate"/>
            </w:r>
            <w:r w:rsidR="00C16A84">
              <w:rPr>
                <w:noProof/>
                <w:webHidden/>
              </w:rPr>
              <w:t>6</w:t>
            </w:r>
            <w:r w:rsidR="00C16A84">
              <w:rPr>
                <w:noProof/>
                <w:webHidden/>
              </w:rPr>
              <w:fldChar w:fldCharType="end"/>
            </w:r>
          </w:hyperlink>
        </w:p>
        <w:p w14:paraId="31C113F4" w14:textId="23FBFA70" w:rsidR="00C16A84" w:rsidRDefault="00F47199">
          <w:pPr>
            <w:pStyle w:val="TOC2"/>
            <w:rPr>
              <w:rFonts w:asciiTheme="minorHAnsi" w:eastAsiaTheme="minorEastAsia" w:hAnsiTheme="minorHAnsi" w:cstheme="minorBidi"/>
              <w:noProof/>
              <w:sz w:val="22"/>
              <w:lang w:val="en-IE" w:eastAsia="en-IE"/>
            </w:rPr>
          </w:pPr>
          <w:hyperlink w:anchor="_Toc145493416" w:history="1">
            <w:r w:rsidR="00C16A84" w:rsidRPr="002745BD">
              <w:rPr>
                <w:rStyle w:val="Hyperlink"/>
                <w:noProof/>
              </w:rPr>
              <w:t>1.6.</w:t>
            </w:r>
            <w:r w:rsidR="00C16A84">
              <w:rPr>
                <w:rFonts w:asciiTheme="minorHAnsi" w:eastAsiaTheme="minorEastAsia" w:hAnsiTheme="minorHAnsi" w:cstheme="minorBidi"/>
                <w:noProof/>
                <w:sz w:val="22"/>
                <w:lang w:val="en-IE" w:eastAsia="en-IE"/>
              </w:rPr>
              <w:tab/>
            </w:r>
            <w:r w:rsidR="00C16A84" w:rsidRPr="002745BD">
              <w:rPr>
                <w:rStyle w:val="Hyperlink"/>
                <w:noProof/>
              </w:rPr>
              <w:t>Trajanje i financijski učinak prijedloga/inicijative</w:t>
            </w:r>
            <w:r w:rsidR="00C16A84">
              <w:rPr>
                <w:noProof/>
                <w:webHidden/>
              </w:rPr>
              <w:tab/>
            </w:r>
            <w:r w:rsidR="00C16A84">
              <w:rPr>
                <w:noProof/>
                <w:webHidden/>
              </w:rPr>
              <w:fldChar w:fldCharType="begin"/>
            </w:r>
            <w:r w:rsidR="00C16A84">
              <w:rPr>
                <w:noProof/>
                <w:webHidden/>
              </w:rPr>
              <w:instrText xml:space="preserve"> PAGEREF _Toc145493416 \h </w:instrText>
            </w:r>
            <w:r w:rsidR="00C16A84">
              <w:rPr>
                <w:noProof/>
                <w:webHidden/>
              </w:rPr>
            </w:r>
            <w:r w:rsidR="00C16A84">
              <w:rPr>
                <w:noProof/>
                <w:webHidden/>
              </w:rPr>
              <w:fldChar w:fldCharType="separate"/>
            </w:r>
            <w:r w:rsidR="00C16A84">
              <w:rPr>
                <w:noProof/>
                <w:webHidden/>
              </w:rPr>
              <w:t>7</w:t>
            </w:r>
            <w:r w:rsidR="00C16A84">
              <w:rPr>
                <w:noProof/>
                <w:webHidden/>
              </w:rPr>
              <w:fldChar w:fldCharType="end"/>
            </w:r>
          </w:hyperlink>
        </w:p>
        <w:p w14:paraId="57274BF9" w14:textId="1FC434BA" w:rsidR="00C16A84" w:rsidRDefault="00F47199">
          <w:pPr>
            <w:pStyle w:val="TOC2"/>
            <w:rPr>
              <w:rFonts w:asciiTheme="minorHAnsi" w:eastAsiaTheme="minorEastAsia" w:hAnsiTheme="minorHAnsi" w:cstheme="minorBidi"/>
              <w:noProof/>
              <w:sz w:val="22"/>
              <w:lang w:val="en-IE" w:eastAsia="en-IE"/>
            </w:rPr>
          </w:pPr>
          <w:hyperlink w:anchor="_Toc145493417" w:history="1">
            <w:r w:rsidR="00C16A84" w:rsidRPr="002745BD">
              <w:rPr>
                <w:rStyle w:val="Hyperlink"/>
                <w:noProof/>
              </w:rPr>
              <w:t>1.7.</w:t>
            </w:r>
            <w:r w:rsidR="00C16A84">
              <w:rPr>
                <w:rFonts w:asciiTheme="minorHAnsi" w:eastAsiaTheme="minorEastAsia" w:hAnsiTheme="minorHAnsi" w:cstheme="minorBidi"/>
                <w:noProof/>
                <w:sz w:val="22"/>
                <w:lang w:val="en-IE" w:eastAsia="en-IE"/>
              </w:rPr>
              <w:tab/>
            </w:r>
            <w:r w:rsidR="00C16A84" w:rsidRPr="002745BD">
              <w:rPr>
                <w:rStyle w:val="Hyperlink"/>
                <w:noProof/>
              </w:rPr>
              <w:t>Planirani načini izvršenja proračuna</w:t>
            </w:r>
            <w:r w:rsidR="00C16A84">
              <w:rPr>
                <w:noProof/>
                <w:webHidden/>
              </w:rPr>
              <w:tab/>
            </w:r>
            <w:r w:rsidR="00C16A84">
              <w:rPr>
                <w:noProof/>
                <w:webHidden/>
              </w:rPr>
              <w:fldChar w:fldCharType="begin"/>
            </w:r>
            <w:r w:rsidR="00C16A84">
              <w:rPr>
                <w:noProof/>
                <w:webHidden/>
              </w:rPr>
              <w:instrText xml:space="preserve"> PAGEREF _Toc145493417 \h </w:instrText>
            </w:r>
            <w:r w:rsidR="00C16A84">
              <w:rPr>
                <w:noProof/>
                <w:webHidden/>
              </w:rPr>
            </w:r>
            <w:r w:rsidR="00C16A84">
              <w:rPr>
                <w:noProof/>
                <w:webHidden/>
              </w:rPr>
              <w:fldChar w:fldCharType="separate"/>
            </w:r>
            <w:r w:rsidR="00C16A84">
              <w:rPr>
                <w:noProof/>
                <w:webHidden/>
              </w:rPr>
              <w:t>7</w:t>
            </w:r>
            <w:r w:rsidR="00C16A84">
              <w:rPr>
                <w:noProof/>
                <w:webHidden/>
              </w:rPr>
              <w:fldChar w:fldCharType="end"/>
            </w:r>
          </w:hyperlink>
        </w:p>
        <w:p w14:paraId="199A66DD" w14:textId="3248CE91" w:rsidR="00C16A84" w:rsidRDefault="00F47199">
          <w:pPr>
            <w:pStyle w:val="TOC1"/>
            <w:rPr>
              <w:rFonts w:asciiTheme="minorHAnsi" w:eastAsiaTheme="minorEastAsia" w:hAnsiTheme="minorHAnsi" w:cstheme="minorBidi"/>
              <w:noProof/>
              <w:sz w:val="22"/>
              <w:lang w:val="en-IE" w:eastAsia="en-IE"/>
            </w:rPr>
          </w:pPr>
          <w:hyperlink w:anchor="_Toc145493418" w:history="1">
            <w:r w:rsidR="00C16A84" w:rsidRPr="002745BD">
              <w:rPr>
                <w:rStyle w:val="Hyperlink"/>
                <w:noProof/>
              </w:rPr>
              <w:t>2.</w:t>
            </w:r>
            <w:r w:rsidR="00C16A84">
              <w:rPr>
                <w:rFonts w:asciiTheme="minorHAnsi" w:eastAsiaTheme="minorEastAsia" w:hAnsiTheme="minorHAnsi" w:cstheme="minorBidi"/>
                <w:noProof/>
                <w:sz w:val="22"/>
                <w:lang w:val="en-IE" w:eastAsia="en-IE"/>
              </w:rPr>
              <w:tab/>
            </w:r>
            <w:r w:rsidR="00C16A84" w:rsidRPr="002745BD">
              <w:rPr>
                <w:rStyle w:val="Hyperlink"/>
                <w:noProof/>
              </w:rPr>
              <w:t>MJERE UPRAVLJANJA</w:t>
            </w:r>
            <w:r w:rsidR="00C16A84">
              <w:rPr>
                <w:noProof/>
                <w:webHidden/>
              </w:rPr>
              <w:tab/>
            </w:r>
            <w:r w:rsidR="00C16A84">
              <w:rPr>
                <w:noProof/>
                <w:webHidden/>
              </w:rPr>
              <w:fldChar w:fldCharType="begin"/>
            </w:r>
            <w:r w:rsidR="00C16A84">
              <w:rPr>
                <w:noProof/>
                <w:webHidden/>
              </w:rPr>
              <w:instrText xml:space="preserve"> PAGEREF _Toc145493418 \h </w:instrText>
            </w:r>
            <w:r w:rsidR="00C16A84">
              <w:rPr>
                <w:noProof/>
                <w:webHidden/>
              </w:rPr>
            </w:r>
            <w:r w:rsidR="00C16A84">
              <w:rPr>
                <w:noProof/>
                <w:webHidden/>
              </w:rPr>
              <w:fldChar w:fldCharType="separate"/>
            </w:r>
            <w:r w:rsidR="00C16A84">
              <w:rPr>
                <w:noProof/>
                <w:webHidden/>
              </w:rPr>
              <w:t>8</w:t>
            </w:r>
            <w:r w:rsidR="00C16A84">
              <w:rPr>
                <w:noProof/>
                <w:webHidden/>
              </w:rPr>
              <w:fldChar w:fldCharType="end"/>
            </w:r>
          </w:hyperlink>
        </w:p>
        <w:p w14:paraId="5368EE85" w14:textId="0DD33FB5" w:rsidR="00C16A84" w:rsidRDefault="00F47199">
          <w:pPr>
            <w:pStyle w:val="TOC2"/>
            <w:rPr>
              <w:rFonts w:asciiTheme="minorHAnsi" w:eastAsiaTheme="minorEastAsia" w:hAnsiTheme="minorHAnsi" w:cstheme="minorBidi"/>
              <w:noProof/>
              <w:sz w:val="22"/>
              <w:lang w:val="en-IE" w:eastAsia="en-IE"/>
            </w:rPr>
          </w:pPr>
          <w:hyperlink w:anchor="_Toc145493419" w:history="1">
            <w:r w:rsidR="00C16A84" w:rsidRPr="002745BD">
              <w:rPr>
                <w:rStyle w:val="Hyperlink"/>
                <w:noProof/>
              </w:rPr>
              <w:t>2.1.</w:t>
            </w:r>
            <w:r w:rsidR="00C16A84">
              <w:rPr>
                <w:rFonts w:asciiTheme="minorHAnsi" w:eastAsiaTheme="minorEastAsia" w:hAnsiTheme="minorHAnsi" w:cstheme="minorBidi"/>
                <w:noProof/>
                <w:sz w:val="22"/>
                <w:lang w:val="en-IE" w:eastAsia="en-IE"/>
              </w:rPr>
              <w:tab/>
            </w:r>
            <w:r w:rsidR="00C16A84" w:rsidRPr="002745BD">
              <w:rPr>
                <w:rStyle w:val="Hyperlink"/>
                <w:noProof/>
              </w:rPr>
              <w:t>Pravila praćenja i izvješćivanja</w:t>
            </w:r>
            <w:r w:rsidR="00C16A84">
              <w:rPr>
                <w:noProof/>
                <w:webHidden/>
              </w:rPr>
              <w:tab/>
            </w:r>
            <w:r w:rsidR="00C16A84">
              <w:rPr>
                <w:noProof/>
                <w:webHidden/>
              </w:rPr>
              <w:fldChar w:fldCharType="begin"/>
            </w:r>
            <w:r w:rsidR="00C16A84">
              <w:rPr>
                <w:noProof/>
                <w:webHidden/>
              </w:rPr>
              <w:instrText xml:space="preserve"> PAGEREF _Toc145493419 \h </w:instrText>
            </w:r>
            <w:r w:rsidR="00C16A84">
              <w:rPr>
                <w:noProof/>
                <w:webHidden/>
              </w:rPr>
            </w:r>
            <w:r w:rsidR="00C16A84">
              <w:rPr>
                <w:noProof/>
                <w:webHidden/>
              </w:rPr>
              <w:fldChar w:fldCharType="separate"/>
            </w:r>
            <w:r w:rsidR="00C16A84">
              <w:rPr>
                <w:noProof/>
                <w:webHidden/>
              </w:rPr>
              <w:t>8</w:t>
            </w:r>
            <w:r w:rsidR="00C16A84">
              <w:rPr>
                <w:noProof/>
                <w:webHidden/>
              </w:rPr>
              <w:fldChar w:fldCharType="end"/>
            </w:r>
          </w:hyperlink>
        </w:p>
        <w:p w14:paraId="7B935408" w14:textId="3994815A" w:rsidR="00C16A84" w:rsidRDefault="00F47199">
          <w:pPr>
            <w:pStyle w:val="TOC2"/>
            <w:rPr>
              <w:rFonts w:asciiTheme="minorHAnsi" w:eastAsiaTheme="minorEastAsia" w:hAnsiTheme="minorHAnsi" w:cstheme="minorBidi"/>
              <w:noProof/>
              <w:sz w:val="22"/>
              <w:lang w:val="en-IE" w:eastAsia="en-IE"/>
            </w:rPr>
          </w:pPr>
          <w:hyperlink w:anchor="_Toc145493420" w:history="1">
            <w:r w:rsidR="00C16A84" w:rsidRPr="002745BD">
              <w:rPr>
                <w:rStyle w:val="Hyperlink"/>
                <w:noProof/>
              </w:rPr>
              <w:t>2.2.</w:t>
            </w:r>
            <w:r w:rsidR="00C16A84">
              <w:rPr>
                <w:rFonts w:asciiTheme="minorHAnsi" w:eastAsiaTheme="minorEastAsia" w:hAnsiTheme="minorHAnsi" w:cstheme="minorBidi"/>
                <w:noProof/>
                <w:sz w:val="22"/>
                <w:lang w:val="en-IE" w:eastAsia="en-IE"/>
              </w:rPr>
              <w:tab/>
            </w:r>
            <w:r w:rsidR="00C16A84" w:rsidRPr="002745BD">
              <w:rPr>
                <w:rStyle w:val="Hyperlink"/>
                <w:noProof/>
              </w:rPr>
              <w:t>Sustavi upravljanja i kontrole</w:t>
            </w:r>
            <w:r w:rsidR="00C16A84">
              <w:rPr>
                <w:noProof/>
                <w:webHidden/>
              </w:rPr>
              <w:tab/>
            </w:r>
            <w:r w:rsidR="00C16A84">
              <w:rPr>
                <w:noProof/>
                <w:webHidden/>
              </w:rPr>
              <w:fldChar w:fldCharType="begin"/>
            </w:r>
            <w:r w:rsidR="00C16A84">
              <w:rPr>
                <w:noProof/>
                <w:webHidden/>
              </w:rPr>
              <w:instrText xml:space="preserve"> PAGEREF _Toc145493420 \h </w:instrText>
            </w:r>
            <w:r w:rsidR="00C16A84">
              <w:rPr>
                <w:noProof/>
                <w:webHidden/>
              </w:rPr>
            </w:r>
            <w:r w:rsidR="00C16A84">
              <w:rPr>
                <w:noProof/>
                <w:webHidden/>
              </w:rPr>
              <w:fldChar w:fldCharType="separate"/>
            </w:r>
            <w:r w:rsidR="00C16A84">
              <w:rPr>
                <w:noProof/>
                <w:webHidden/>
              </w:rPr>
              <w:t>8</w:t>
            </w:r>
            <w:r w:rsidR="00C16A84">
              <w:rPr>
                <w:noProof/>
                <w:webHidden/>
              </w:rPr>
              <w:fldChar w:fldCharType="end"/>
            </w:r>
          </w:hyperlink>
        </w:p>
        <w:p w14:paraId="5E0BB070" w14:textId="0F9ADA8B" w:rsidR="00C16A84" w:rsidRDefault="00F47199">
          <w:pPr>
            <w:pStyle w:val="TOC3"/>
            <w:rPr>
              <w:rFonts w:asciiTheme="minorHAnsi" w:eastAsiaTheme="minorEastAsia" w:hAnsiTheme="minorHAnsi" w:cstheme="minorBidi"/>
              <w:noProof/>
              <w:sz w:val="22"/>
              <w:lang w:val="en-IE" w:eastAsia="en-IE"/>
            </w:rPr>
          </w:pPr>
          <w:hyperlink w:anchor="_Toc145493421" w:history="1">
            <w:r w:rsidR="00C16A84" w:rsidRPr="002745BD">
              <w:rPr>
                <w:rStyle w:val="Hyperlink"/>
                <w:noProof/>
              </w:rPr>
              <w:t>2.2.1.</w:t>
            </w:r>
            <w:r w:rsidR="00C16A84">
              <w:rPr>
                <w:rFonts w:asciiTheme="minorHAnsi" w:eastAsiaTheme="minorEastAsia" w:hAnsiTheme="minorHAnsi" w:cstheme="minorBidi"/>
                <w:noProof/>
                <w:sz w:val="22"/>
                <w:lang w:val="en-IE" w:eastAsia="en-IE"/>
              </w:rPr>
              <w:tab/>
            </w:r>
            <w:r w:rsidR="00C16A84" w:rsidRPr="002745BD">
              <w:rPr>
                <w:rStyle w:val="Hyperlink"/>
                <w:noProof/>
              </w:rPr>
              <w:t>Obrazloženje načina upravljanja, mehanizama provedbe financiranja, načina plaćanja i predložene strategije kontrole</w:t>
            </w:r>
            <w:r w:rsidR="00C16A84">
              <w:rPr>
                <w:noProof/>
                <w:webHidden/>
              </w:rPr>
              <w:tab/>
            </w:r>
            <w:r w:rsidR="00C16A84">
              <w:rPr>
                <w:noProof/>
                <w:webHidden/>
              </w:rPr>
              <w:fldChar w:fldCharType="begin"/>
            </w:r>
            <w:r w:rsidR="00C16A84">
              <w:rPr>
                <w:noProof/>
                <w:webHidden/>
              </w:rPr>
              <w:instrText xml:space="preserve"> PAGEREF _Toc145493421 \h </w:instrText>
            </w:r>
            <w:r w:rsidR="00C16A84">
              <w:rPr>
                <w:noProof/>
                <w:webHidden/>
              </w:rPr>
            </w:r>
            <w:r w:rsidR="00C16A84">
              <w:rPr>
                <w:noProof/>
                <w:webHidden/>
              </w:rPr>
              <w:fldChar w:fldCharType="separate"/>
            </w:r>
            <w:r w:rsidR="00C16A84">
              <w:rPr>
                <w:noProof/>
                <w:webHidden/>
              </w:rPr>
              <w:t>8</w:t>
            </w:r>
            <w:r w:rsidR="00C16A84">
              <w:rPr>
                <w:noProof/>
                <w:webHidden/>
              </w:rPr>
              <w:fldChar w:fldCharType="end"/>
            </w:r>
          </w:hyperlink>
        </w:p>
        <w:p w14:paraId="017CAA82" w14:textId="05101BE3" w:rsidR="00C16A84" w:rsidRDefault="00F47199">
          <w:pPr>
            <w:pStyle w:val="TOC3"/>
            <w:rPr>
              <w:rFonts w:asciiTheme="minorHAnsi" w:eastAsiaTheme="minorEastAsia" w:hAnsiTheme="minorHAnsi" w:cstheme="minorBidi"/>
              <w:noProof/>
              <w:sz w:val="22"/>
              <w:lang w:val="en-IE" w:eastAsia="en-IE"/>
            </w:rPr>
          </w:pPr>
          <w:hyperlink w:anchor="_Toc145493422" w:history="1">
            <w:r w:rsidR="00C16A84" w:rsidRPr="002745BD">
              <w:rPr>
                <w:rStyle w:val="Hyperlink"/>
                <w:noProof/>
              </w:rPr>
              <w:t>2.2.2.</w:t>
            </w:r>
            <w:r w:rsidR="00C16A84">
              <w:rPr>
                <w:rFonts w:asciiTheme="minorHAnsi" w:eastAsiaTheme="minorEastAsia" w:hAnsiTheme="minorHAnsi" w:cstheme="minorBidi"/>
                <w:noProof/>
                <w:sz w:val="22"/>
                <w:lang w:val="en-IE" w:eastAsia="en-IE"/>
              </w:rPr>
              <w:tab/>
            </w:r>
            <w:r w:rsidR="00C16A84" w:rsidRPr="002745BD">
              <w:rPr>
                <w:rStyle w:val="Hyperlink"/>
                <w:noProof/>
              </w:rPr>
              <w:t>Informacije o utvrđenim rizicima i uspostavljenim sustavima unutarnje kontrole za ublažavanje rizika</w:t>
            </w:r>
            <w:r w:rsidR="00C16A84">
              <w:rPr>
                <w:noProof/>
                <w:webHidden/>
              </w:rPr>
              <w:tab/>
            </w:r>
            <w:r w:rsidR="00C16A84">
              <w:rPr>
                <w:noProof/>
                <w:webHidden/>
              </w:rPr>
              <w:fldChar w:fldCharType="begin"/>
            </w:r>
            <w:r w:rsidR="00C16A84">
              <w:rPr>
                <w:noProof/>
                <w:webHidden/>
              </w:rPr>
              <w:instrText xml:space="preserve"> PAGEREF _Toc145493422 \h </w:instrText>
            </w:r>
            <w:r w:rsidR="00C16A84">
              <w:rPr>
                <w:noProof/>
                <w:webHidden/>
              </w:rPr>
            </w:r>
            <w:r w:rsidR="00C16A84">
              <w:rPr>
                <w:noProof/>
                <w:webHidden/>
              </w:rPr>
              <w:fldChar w:fldCharType="separate"/>
            </w:r>
            <w:r w:rsidR="00C16A84">
              <w:rPr>
                <w:noProof/>
                <w:webHidden/>
              </w:rPr>
              <w:t>8</w:t>
            </w:r>
            <w:r w:rsidR="00C16A84">
              <w:rPr>
                <w:noProof/>
                <w:webHidden/>
              </w:rPr>
              <w:fldChar w:fldCharType="end"/>
            </w:r>
          </w:hyperlink>
        </w:p>
        <w:p w14:paraId="26A5ED55" w14:textId="7F18138A" w:rsidR="00C16A84" w:rsidRDefault="00F47199">
          <w:pPr>
            <w:pStyle w:val="TOC3"/>
            <w:rPr>
              <w:rFonts w:asciiTheme="minorHAnsi" w:eastAsiaTheme="minorEastAsia" w:hAnsiTheme="minorHAnsi" w:cstheme="minorBidi"/>
              <w:noProof/>
              <w:sz w:val="22"/>
              <w:lang w:val="en-IE" w:eastAsia="en-IE"/>
            </w:rPr>
          </w:pPr>
          <w:hyperlink w:anchor="_Toc145493423" w:history="1">
            <w:r w:rsidR="00C16A84" w:rsidRPr="002745BD">
              <w:rPr>
                <w:rStyle w:val="Hyperlink"/>
                <w:noProof/>
              </w:rPr>
              <w:t>2.2.3.</w:t>
            </w:r>
            <w:r w:rsidR="00C16A84">
              <w:rPr>
                <w:rFonts w:asciiTheme="minorHAnsi" w:eastAsiaTheme="minorEastAsia" w:hAnsiTheme="minorHAnsi" w:cstheme="minorBidi"/>
                <w:noProof/>
                <w:sz w:val="22"/>
                <w:lang w:val="en-IE" w:eastAsia="en-IE"/>
              </w:rPr>
              <w:tab/>
            </w:r>
            <w:r w:rsidR="00C16A84" w:rsidRPr="002745BD">
              <w:rPr>
                <w:rStyle w:val="Hyperlink"/>
                <w:noProof/>
              </w:rPr>
              <w:t>Procjena i obrazloženje troškovne učinkovitosti kontrola (omjer troškova kontrole i vrijednosti sredstava kojima se upravlja) i procjena očekivane razine rizika od pogreške (pri plaćanju i pri zaključenju)</w:t>
            </w:r>
            <w:r w:rsidR="00C16A84">
              <w:rPr>
                <w:noProof/>
                <w:webHidden/>
              </w:rPr>
              <w:tab/>
            </w:r>
            <w:r w:rsidR="00C16A84">
              <w:rPr>
                <w:noProof/>
                <w:webHidden/>
              </w:rPr>
              <w:fldChar w:fldCharType="begin"/>
            </w:r>
            <w:r w:rsidR="00C16A84">
              <w:rPr>
                <w:noProof/>
                <w:webHidden/>
              </w:rPr>
              <w:instrText xml:space="preserve"> PAGEREF _Toc145493423 \h </w:instrText>
            </w:r>
            <w:r w:rsidR="00C16A84">
              <w:rPr>
                <w:noProof/>
                <w:webHidden/>
              </w:rPr>
            </w:r>
            <w:r w:rsidR="00C16A84">
              <w:rPr>
                <w:noProof/>
                <w:webHidden/>
              </w:rPr>
              <w:fldChar w:fldCharType="separate"/>
            </w:r>
            <w:r w:rsidR="00C16A84">
              <w:rPr>
                <w:noProof/>
                <w:webHidden/>
              </w:rPr>
              <w:t>8</w:t>
            </w:r>
            <w:r w:rsidR="00C16A84">
              <w:rPr>
                <w:noProof/>
                <w:webHidden/>
              </w:rPr>
              <w:fldChar w:fldCharType="end"/>
            </w:r>
          </w:hyperlink>
        </w:p>
        <w:p w14:paraId="468EA0E2" w14:textId="22DEB245" w:rsidR="00C16A84" w:rsidRDefault="00F47199">
          <w:pPr>
            <w:pStyle w:val="TOC2"/>
            <w:rPr>
              <w:rFonts w:asciiTheme="minorHAnsi" w:eastAsiaTheme="minorEastAsia" w:hAnsiTheme="minorHAnsi" w:cstheme="minorBidi"/>
              <w:noProof/>
              <w:sz w:val="22"/>
              <w:lang w:val="en-IE" w:eastAsia="en-IE"/>
            </w:rPr>
          </w:pPr>
          <w:hyperlink w:anchor="_Toc145493424" w:history="1">
            <w:r w:rsidR="00C16A84" w:rsidRPr="002745BD">
              <w:rPr>
                <w:rStyle w:val="Hyperlink"/>
                <w:noProof/>
              </w:rPr>
              <w:t>2.3.</w:t>
            </w:r>
            <w:r w:rsidR="00C16A84">
              <w:rPr>
                <w:rFonts w:asciiTheme="minorHAnsi" w:eastAsiaTheme="minorEastAsia" w:hAnsiTheme="minorHAnsi" w:cstheme="minorBidi"/>
                <w:noProof/>
                <w:sz w:val="22"/>
                <w:lang w:val="en-IE" w:eastAsia="en-IE"/>
              </w:rPr>
              <w:tab/>
            </w:r>
            <w:r w:rsidR="00C16A84" w:rsidRPr="002745BD">
              <w:rPr>
                <w:rStyle w:val="Hyperlink"/>
                <w:noProof/>
              </w:rPr>
              <w:t>Mjere za sprečavanje prijevara i nepravilnosti</w:t>
            </w:r>
            <w:r w:rsidR="00C16A84">
              <w:rPr>
                <w:noProof/>
                <w:webHidden/>
              </w:rPr>
              <w:tab/>
            </w:r>
            <w:r w:rsidR="00C16A84">
              <w:rPr>
                <w:noProof/>
                <w:webHidden/>
              </w:rPr>
              <w:fldChar w:fldCharType="begin"/>
            </w:r>
            <w:r w:rsidR="00C16A84">
              <w:rPr>
                <w:noProof/>
                <w:webHidden/>
              </w:rPr>
              <w:instrText xml:space="preserve"> PAGEREF _Toc145493424 \h </w:instrText>
            </w:r>
            <w:r w:rsidR="00C16A84">
              <w:rPr>
                <w:noProof/>
                <w:webHidden/>
              </w:rPr>
            </w:r>
            <w:r w:rsidR="00C16A84">
              <w:rPr>
                <w:noProof/>
                <w:webHidden/>
              </w:rPr>
              <w:fldChar w:fldCharType="separate"/>
            </w:r>
            <w:r w:rsidR="00C16A84">
              <w:rPr>
                <w:noProof/>
                <w:webHidden/>
              </w:rPr>
              <w:t>8</w:t>
            </w:r>
            <w:r w:rsidR="00C16A84">
              <w:rPr>
                <w:noProof/>
                <w:webHidden/>
              </w:rPr>
              <w:fldChar w:fldCharType="end"/>
            </w:r>
          </w:hyperlink>
        </w:p>
        <w:p w14:paraId="68BEDC9F" w14:textId="50DF7AFA" w:rsidR="00C16A84" w:rsidRDefault="00F47199">
          <w:pPr>
            <w:pStyle w:val="TOC1"/>
            <w:rPr>
              <w:rFonts w:asciiTheme="minorHAnsi" w:eastAsiaTheme="minorEastAsia" w:hAnsiTheme="minorHAnsi" w:cstheme="minorBidi"/>
              <w:noProof/>
              <w:sz w:val="22"/>
              <w:lang w:val="en-IE" w:eastAsia="en-IE"/>
            </w:rPr>
          </w:pPr>
          <w:hyperlink w:anchor="_Toc145493425" w:history="1">
            <w:r w:rsidR="00C16A84" w:rsidRPr="002745BD">
              <w:rPr>
                <w:rStyle w:val="Hyperlink"/>
                <w:noProof/>
              </w:rPr>
              <w:t>3.</w:t>
            </w:r>
            <w:r w:rsidR="00C16A84">
              <w:rPr>
                <w:rFonts w:asciiTheme="minorHAnsi" w:eastAsiaTheme="minorEastAsia" w:hAnsiTheme="minorHAnsi" w:cstheme="minorBidi"/>
                <w:noProof/>
                <w:sz w:val="22"/>
                <w:lang w:val="en-IE" w:eastAsia="en-IE"/>
              </w:rPr>
              <w:tab/>
            </w:r>
            <w:r w:rsidR="00C16A84" w:rsidRPr="002745BD">
              <w:rPr>
                <w:rStyle w:val="Hyperlink"/>
                <w:noProof/>
              </w:rPr>
              <w:t>PROCIJENJENI FINANCIJSKI UČINAK PRIJEDLOGA/INICIJATIVE</w:t>
            </w:r>
            <w:r w:rsidR="00C16A84">
              <w:rPr>
                <w:noProof/>
                <w:webHidden/>
              </w:rPr>
              <w:tab/>
            </w:r>
            <w:r w:rsidR="00C16A84">
              <w:rPr>
                <w:noProof/>
                <w:webHidden/>
              </w:rPr>
              <w:fldChar w:fldCharType="begin"/>
            </w:r>
            <w:r w:rsidR="00C16A84">
              <w:rPr>
                <w:noProof/>
                <w:webHidden/>
              </w:rPr>
              <w:instrText xml:space="preserve"> PAGEREF _Toc145493425 \h </w:instrText>
            </w:r>
            <w:r w:rsidR="00C16A84">
              <w:rPr>
                <w:noProof/>
                <w:webHidden/>
              </w:rPr>
            </w:r>
            <w:r w:rsidR="00C16A84">
              <w:rPr>
                <w:noProof/>
                <w:webHidden/>
              </w:rPr>
              <w:fldChar w:fldCharType="separate"/>
            </w:r>
            <w:r w:rsidR="00C16A84">
              <w:rPr>
                <w:noProof/>
                <w:webHidden/>
              </w:rPr>
              <w:t>9</w:t>
            </w:r>
            <w:r w:rsidR="00C16A84">
              <w:rPr>
                <w:noProof/>
                <w:webHidden/>
              </w:rPr>
              <w:fldChar w:fldCharType="end"/>
            </w:r>
          </w:hyperlink>
        </w:p>
        <w:p w14:paraId="7D22B219" w14:textId="7C5DE342" w:rsidR="00C16A84" w:rsidRDefault="00F47199">
          <w:pPr>
            <w:pStyle w:val="TOC2"/>
            <w:rPr>
              <w:rFonts w:asciiTheme="minorHAnsi" w:eastAsiaTheme="minorEastAsia" w:hAnsiTheme="minorHAnsi" w:cstheme="minorBidi"/>
              <w:noProof/>
              <w:sz w:val="22"/>
              <w:lang w:val="en-IE" w:eastAsia="en-IE"/>
            </w:rPr>
          </w:pPr>
          <w:hyperlink w:anchor="_Toc145493426" w:history="1">
            <w:r w:rsidR="00C16A84" w:rsidRPr="002745BD">
              <w:rPr>
                <w:rStyle w:val="Hyperlink"/>
                <w:noProof/>
              </w:rPr>
              <w:t>3.1.</w:t>
            </w:r>
            <w:r w:rsidR="00C16A84">
              <w:rPr>
                <w:rFonts w:asciiTheme="minorHAnsi" w:eastAsiaTheme="minorEastAsia" w:hAnsiTheme="minorHAnsi" w:cstheme="minorBidi"/>
                <w:noProof/>
                <w:sz w:val="22"/>
                <w:lang w:val="en-IE" w:eastAsia="en-IE"/>
              </w:rPr>
              <w:tab/>
            </w:r>
            <w:r w:rsidR="00C16A84" w:rsidRPr="002745BD">
              <w:rPr>
                <w:rStyle w:val="Hyperlink"/>
                <w:noProof/>
              </w:rPr>
              <w:t>Naslovi višegodišnjeg financijskog okvira i proračunske linije rashoda na koje prijedlog/inicijativa ima učinak</w:t>
            </w:r>
            <w:r w:rsidR="00C16A84">
              <w:rPr>
                <w:noProof/>
                <w:webHidden/>
              </w:rPr>
              <w:tab/>
            </w:r>
            <w:r w:rsidR="00C16A84">
              <w:rPr>
                <w:noProof/>
                <w:webHidden/>
              </w:rPr>
              <w:fldChar w:fldCharType="begin"/>
            </w:r>
            <w:r w:rsidR="00C16A84">
              <w:rPr>
                <w:noProof/>
                <w:webHidden/>
              </w:rPr>
              <w:instrText xml:space="preserve"> PAGEREF _Toc145493426 \h </w:instrText>
            </w:r>
            <w:r w:rsidR="00C16A84">
              <w:rPr>
                <w:noProof/>
                <w:webHidden/>
              </w:rPr>
            </w:r>
            <w:r w:rsidR="00C16A84">
              <w:rPr>
                <w:noProof/>
                <w:webHidden/>
              </w:rPr>
              <w:fldChar w:fldCharType="separate"/>
            </w:r>
            <w:r w:rsidR="00C16A84">
              <w:rPr>
                <w:noProof/>
                <w:webHidden/>
              </w:rPr>
              <w:t>9</w:t>
            </w:r>
            <w:r w:rsidR="00C16A84">
              <w:rPr>
                <w:noProof/>
                <w:webHidden/>
              </w:rPr>
              <w:fldChar w:fldCharType="end"/>
            </w:r>
          </w:hyperlink>
        </w:p>
        <w:p w14:paraId="37177054" w14:textId="4E54FC26" w:rsidR="00C16A84" w:rsidRDefault="00F47199">
          <w:pPr>
            <w:pStyle w:val="TOC2"/>
            <w:rPr>
              <w:rFonts w:asciiTheme="minorHAnsi" w:eastAsiaTheme="minorEastAsia" w:hAnsiTheme="minorHAnsi" w:cstheme="minorBidi"/>
              <w:noProof/>
              <w:sz w:val="22"/>
              <w:lang w:val="en-IE" w:eastAsia="en-IE"/>
            </w:rPr>
          </w:pPr>
          <w:hyperlink w:anchor="_Toc145493427" w:history="1">
            <w:r w:rsidR="00C16A84" w:rsidRPr="002745BD">
              <w:rPr>
                <w:rStyle w:val="Hyperlink"/>
                <w:noProof/>
              </w:rPr>
              <w:t>3.2.</w:t>
            </w:r>
            <w:r w:rsidR="00C16A84">
              <w:rPr>
                <w:rFonts w:asciiTheme="minorHAnsi" w:eastAsiaTheme="minorEastAsia" w:hAnsiTheme="minorHAnsi" w:cstheme="minorBidi"/>
                <w:noProof/>
                <w:sz w:val="22"/>
                <w:lang w:val="en-IE" w:eastAsia="en-IE"/>
              </w:rPr>
              <w:tab/>
            </w:r>
            <w:r w:rsidR="00C16A84" w:rsidRPr="002745BD">
              <w:rPr>
                <w:rStyle w:val="Hyperlink"/>
                <w:noProof/>
              </w:rPr>
              <w:t>Procijenjeni financijski učinak prijedloga na odobrena sredstva</w:t>
            </w:r>
            <w:r w:rsidR="00C16A84">
              <w:rPr>
                <w:noProof/>
                <w:webHidden/>
              </w:rPr>
              <w:tab/>
            </w:r>
            <w:r w:rsidR="00C16A84">
              <w:rPr>
                <w:noProof/>
                <w:webHidden/>
              </w:rPr>
              <w:fldChar w:fldCharType="begin"/>
            </w:r>
            <w:r w:rsidR="00C16A84">
              <w:rPr>
                <w:noProof/>
                <w:webHidden/>
              </w:rPr>
              <w:instrText xml:space="preserve"> PAGEREF _Toc145493427 \h </w:instrText>
            </w:r>
            <w:r w:rsidR="00C16A84">
              <w:rPr>
                <w:noProof/>
                <w:webHidden/>
              </w:rPr>
            </w:r>
            <w:r w:rsidR="00C16A84">
              <w:rPr>
                <w:noProof/>
                <w:webHidden/>
              </w:rPr>
              <w:fldChar w:fldCharType="separate"/>
            </w:r>
            <w:r w:rsidR="00C16A84">
              <w:rPr>
                <w:noProof/>
                <w:webHidden/>
              </w:rPr>
              <w:t>10</w:t>
            </w:r>
            <w:r w:rsidR="00C16A84">
              <w:rPr>
                <w:noProof/>
                <w:webHidden/>
              </w:rPr>
              <w:fldChar w:fldCharType="end"/>
            </w:r>
          </w:hyperlink>
        </w:p>
        <w:p w14:paraId="193D1B1D" w14:textId="3A5554CE" w:rsidR="00C16A84" w:rsidRDefault="00F47199">
          <w:pPr>
            <w:pStyle w:val="TOC3"/>
            <w:rPr>
              <w:rFonts w:asciiTheme="minorHAnsi" w:eastAsiaTheme="minorEastAsia" w:hAnsiTheme="minorHAnsi" w:cstheme="minorBidi"/>
              <w:noProof/>
              <w:sz w:val="22"/>
              <w:lang w:val="en-IE" w:eastAsia="en-IE"/>
            </w:rPr>
          </w:pPr>
          <w:hyperlink w:anchor="_Toc145493428" w:history="1">
            <w:r w:rsidR="00C16A84" w:rsidRPr="002745BD">
              <w:rPr>
                <w:rStyle w:val="Hyperlink"/>
                <w:noProof/>
              </w:rPr>
              <w:t>3.2.1.</w:t>
            </w:r>
            <w:r w:rsidR="00C16A84">
              <w:rPr>
                <w:rFonts w:asciiTheme="minorHAnsi" w:eastAsiaTheme="minorEastAsia" w:hAnsiTheme="minorHAnsi" w:cstheme="minorBidi"/>
                <w:noProof/>
                <w:sz w:val="22"/>
                <w:lang w:val="en-IE" w:eastAsia="en-IE"/>
              </w:rPr>
              <w:tab/>
            </w:r>
            <w:r w:rsidR="00C16A84" w:rsidRPr="002745BD">
              <w:rPr>
                <w:rStyle w:val="Hyperlink"/>
                <w:noProof/>
              </w:rPr>
              <w:t>Sažetak procijenjenog učinka na odobrena sredstva za poslovanje</w:t>
            </w:r>
            <w:r w:rsidR="00C16A84">
              <w:rPr>
                <w:noProof/>
                <w:webHidden/>
              </w:rPr>
              <w:tab/>
            </w:r>
            <w:r w:rsidR="00C16A84">
              <w:rPr>
                <w:noProof/>
                <w:webHidden/>
              </w:rPr>
              <w:fldChar w:fldCharType="begin"/>
            </w:r>
            <w:r w:rsidR="00C16A84">
              <w:rPr>
                <w:noProof/>
                <w:webHidden/>
              </w:rPr>
              <w:instrText xml:space="preserve"> PAGEREF _Toc145493428 \h </w:instrText>
            </w:r>
            <w:r w:rsidR="00C16A84">
              <w:rPr>
                <w:noProof/>
                <w:webHidden/>
              </w:rPr>
            </w:r>
            <w:r w:rsidR="00C16A84">
              <w:rPr>
                <w:noProof/>
                <w:webHidden/>
              </w:rPr>
              <w:fldChar w:fldCharType="separate"/>
            </w:r>
            <w:r w:rsidR="00C16A84">
              <w:rPr>
                <w:noProof/>
                <w:webHidden/>
              </w:rPr>
              <w:t>10</w:t>
            </w:r>
            <w:r w:rsidR="00C16A84">
              <w:rPr>
                <w:noProof/>
                <w:webHidden/>
              </w:rPr>
              <w:fldChar w:fldCharType="end"/>
            </w:r>
          </w:hyperlink>
        </w:p>
        <w:p w14:paraId="5845DDC8" w14:textId="4BB46E6A" w:rsidR="00C16A84" w:rsidRDefault="00F47199">
          <w:pPr>
            <w:pStyle w:val="TOC3"/>
            <w:rPr>
              <w:rFonts w:asciiTheme="minorHAnsi" w:eastAsiaTheme="minorEastAsia" w:hAnsiTheme="minorHAnsi" w:cstheme="minorBidi"/>
              <w:noProof/>
              <w:sz w:val="22"/>
              <w:lang w:val="en-IE" w:eastAsia="en-IE"/>
            </w:rPr>
          </w:pPr>
          <w:hyperlink w:anchor="_Toc145493429" w:history="1">
            <w:r w:rsidR="00C16A84" w:rsidRPr="002745BD">
              <w:rPr>
                <w:rStyle w:val="Hyperlink"/>
                <w:noProof/>
              </w:rPr>
              <w:t>3.2.2.</w:t>
            </w:r>
            <w:r w:rsidR="00C16A84">
              <w:rPr>
                <w:rFonts w:asciiTheme="minorHAnsi" w:eastAsiaTheme="minorEastAsia" w:hAnsiTheme="minorHAnsi" w:cstheme="minorBidi"/>
                <w:noProof/>
                <w:sz w:val="22"/>
                <w:lang w:val="en-IE" w:eastAsia="en-IE"/>
              </w:rPr>
              <w:tab/>
            </w:r>
            <w:r w:rsidR="00C16A84" w:rsidRPr="002745BD">
              <w:rPr>
                <w:rStyle w:val="Hyperlink"/>
                <w:noProof/>
              </w:rPr>
              <w:t>Procijenjeni rezultati financirani odobrenim sredstvima za poslovanje</w:t>
            </w:r>
            <w:r w:rsidR="00C16A84">
              <w:rPr>
                <w:noProof/>
                <w:webHidden/>
              </w:rPr>
              <w:tab/>
            </w:r>
            <w:r w:rsidR="00C16A84">
              <w:rPr>
                <w:noProof/>
                <w:webHidden/>
              </w:rPr>
              <w:fldChar w:fldCharType="begin"/>
            </w:r>
            <w:r w:rsidR="00C16A84">
              <w:rPr>
                <w:noProof/>
                <w:webHidden/>
              </w:rPr>
              <w:instrText xml:space="preserve"> PAGEREF _Toc145493429 \h </w:instrText>
            </w:r>
            <w:r w:rsidR="00C16A84">
              <w:rPr>
                <w:noProof/>
                <w:webHidden/>
              </w:rPr>
            </w:r>
            <w:r w:rsidR="00C16A84">
              <w:rPr>
                <w:noProof/>
                <w:webHidden/>
              </w:rPr>
              <w:fldChar w:fldCharType="separate"/>
            </w:r>
            <w:r w:rsidR="00C16A84">
              <w:rPr>
                <w:noProof/>
                <w:webHidden/>
              </w:rPr>
              <w:t>13</w:t>
            </w:r>
            <w:r w:rsidR="00C16A84">
              <w:rPr>
                <w:noProof/>
                <w:webHidden/>
              </w:rPr>
              <w:fldChar w:fldCharType="end"/>
            </w:r>
          </w:hyperlink>
        </w:p>
        <w:p w14:paraId="0B5A2EFB" w14:textId="419F8633" w:rsidR="00C16A84" w:rsidRDefault="00F47199">
          <w:pPr>
            <w:pStyle w:val="TOC3"/>
            <w:rPr>
              <w:rFonts w:asciiTheme="minorHAnsi" w:eastAsiaTheme="minorEastAsia" w:hAnsiTheme="minorHAnsi" w:cstheme="minorBidi"/>
              <w:noProof/>
              <w:sz w:val="22"/>
              <w:lang w:val="en-IE" w:eastAsia="en-IE"/>
            </w:rPr>
          </w:pPr>
          <w:hyperlink w:anchor="_Toc145493430" w:history="1">
            <w:r w:rsidR="00C16A84" w:rsidRPr="002745BD">
              <w:rPr>
                <w:rStyle w:val="Hyperlink"/>
                <w:noProof/>
              </w:rPr>
              <w:t>3.2.3.</w:t>
            </w:r>
            <w:r w:rsidR="00C16A84">
              <w:rPr>
                <w:rFonts w:asciiTheme="minorHAnsi" w:eastAsiaTheme="minorEastAsia" w:hAnsiTheme="minorHAnsi" w:cstheme="minorBidi"/>
                <w:noProof/>
                <w:sz w:val="22"/>
                <w:lang w:val="en-IE" w:eastAsia="en-IE"/>
              </w:rPr>
              <w:tab/>
            </w:r>
            <w:r w:rsidR="00C16A84" w:rsidRPr="002745BD">
              <w:rPr>
                <w:rStyle w:val="Hyperlink"/>
                <w:noProof/>
              </w:rPr>
              <w:t>Sažetak procijenjenog učinka na administrativna odobrena sredstva</w:t>
            </w:r>
            <w:r w:rsidR="00C16A84">
              <w:rPr>
                <w:noProof/>
                <w:webHidden/>
              </w:rPr>
              <w:tab/>
            </w:r>
            <w:r w:rsidR="00C16A84">
              <w:rPr>
                <w:noProof/>
                <w:webHidden/>
              </w:rPr>
              <w:fldChar w:fldCharType="begin"/>
            </w:r>
            <w:r w:rsidR="00C16A84">
              <w:rPr>
                <w:noProof/>
                <w:webHidden/>
              </w:rPr>
              <w:instrText xml:space="preserve"> PAGEREF _Toc145493430 \h </w:instrText>
            </w:r>
            <w:r w:rsidR="00C16A84">
              <w:rPr>
                <w:noProof/>
                <w:webHidden/>
              </w:rPr>
            </w:r>
            <w:r w:rsidR="00C16A84">
              <w:rPr>
                <w:noProof/>
                <w:webHidden/>
              </w:rPr>
              <w:fldChar w:fldCharType="separate"/>
            </w:r>
            <w:r w:rsidR="00C16A84">
              <w:rPr>
                <w:noProof/>
                <w:webHidden/>
              </w:rPr>
              <w:t>14</w:t>
            </w:r>
            <w:r w:rsidR="00C16A84">
              <w:rPr>
                <w:noProof/>
                <w:webHidden/>
              </w:rPr>
              <w:fldChar w:fldCharType="end"/>
            </w:r>
          </w:hyperlink>
        </w:p>
        <w:p w14:paraId="1DC90730" w14:textId="05B4B3B7" w:rsidR="00C16A84" w:rsidRDefault="00F47199">
          <w:pPr>
            <w:pStyle w:val="TOC3"/>
            <w:rPr>
              <w:rFonts w:asciiTheme="minorHAnsi" w:eastAsiaTheme="minorEastAsia" w:hAnsiTheme="minorHAnsi" w:cstheme="minorBidi"/>
              <w:noProof/>
              <w:sz w:val="22"/>
              <w:lang w:val="en-IE" w:eastAsia="en-IE"/>
            </w:rPr>
          </w:pPr>
          <w:hyperlink w:anchor="_Toc145493431" w:history="1">
            <w:r w:rsidR="00C16A84" w:rsidRPr="002745BD">
              <w:rPr>
                <w:rStyle w:val="Hyperlink"/>
                <w:noProof/>
              </w:rPr>
              <w:t>3.2.4.</w:t>
            </w:r>
            <w:r w:rsidR="00C16A84">
              <w:rPr>
                <w:rFonts w:asciiTheme="minorHAnsi" w:eastAsiaTheme="minorEastAsia" w:hAnsiTheme="minorHAnsi" w:cstheme="minorBidi"/>
                <w:noProof/>
                <w:sz w:val="22"/>
                <w:lang w:val="en-IE" w:eastAsia="en-IE"/>
              </w:rPr>
              <w:tab/>
            </w:r>
            <w:r w:rsidR="00C16A84" w:rsidRPr="002745BD">
              <w:rPr>
                <w:rStyle w:val="Hyperlink"/>
                <w:noProof/>
              </w:rPr>
              <w:t>Usklađenost s aktualnim višegodišnjim financijskim okvirom</w:t>
            </w:r>
            <w:r w:rsidR="00C16A84">
              <w:rPr>
                <w:noProof/>
                <w:webHidden/>
              </w:rPr>
              <w:tab/>
            </w:r>
            <w:r w:rsidR="00C16A84">
              <w:rPr>
                <w:noProof/>
                <w:webHidden/>
              </w:rPr>
              <w:fldChar w:fldCharType="begin"/>
            </w:r>
            <w:r w:rsidR="00C16A84">
              <w:rPr>
                <w:noProof/>
                <w:webHidden/>
              </w:rPr>
              <w:instrText xml:space="preserve"> PAGEREF _Toc145493431 \h </w:instrText>
            </w:r>
            <w:r w:rsidR="00C16A84">
              <w:rPr>
                <w:noProof/>
                <w:webHidden/>
              </w:rPr>
            </w:r>
            <w:r w:rsidR="00C16A84">
              <w:rPr>
                <w:noProof/>
                <w:webHidden/>
              </w:rPr>
              <w:fldChar w:fldCharType="separate"/>
            </w:r>
            <w:r w:rsidR="00C16A84">
              <w:rPr>
                <w:noProof/>
                <w:webHidden/>
              </w:rPr>
              <w:t>1</w:t>
            </w:r>
            <w:r w:rsidR="00C16A84">
              <w:rPr>
                <w:noProof/>
                <w:webHidden/>
              </w:rPr>
              <w:fldChar w:fldCharType="end"/>
            </w:r>
          </w:hyperlink>
        </w:p>
        <w:p w14:paraId="44257229" w14:textId="123B7E5C" w:rsidR="00C16A84" w:rsidRDefault="00F47199">
          <w:pPr>
            <w:pStyle w:val="TOC3"/>
            <w:rPr>
              <w:rFonts w:asciiTheme="minorHAnsi" w:eastAsiaTheme="minorEastAsia" w:hAnsiTheme="minorHAnsi" w:cstheme="minorBidi"/>
              <w:noProof/>
              <w:sz w:val="22"/>
              <w:lang w:val="en-IE" w:eastAsia="en-IE"/>
            </w:rPr>
          </w:pPr>
          <w:hyperlink w:anchor="_Toc145493432" w:history="1">
            <w:r w:rsidR="00C16A84" w:rsidRPr="002745BD">
              <w:rPr>
                <w:rStyle w:val="Hyperlink"/>
                <w:noProof/>
              </w:rPr>
              <w:t>3.2.5.</w:t>
            </w:r>
            <w:r w:rsidR="00C16A84">
              <w:rPr>
                <w:rFonts w:asciiTheme="minorHAnsi" w:eastAsiaTheme="minorEastAsia" w:hAnsiTheme="minorHAnsi" w:cstheme="minorBidi"/>
                <w:noProof/>
                <w:sz w:val="22"/>
                <w:lang w:val="en-IE" w:eastAsia="en-IE"/>
              </w:rPr>
              <w:tab/>
            </w:r>
            <w:r w:rsidR="00C16A84" w:rsidRPr="002745BD">
              <w:rPr>
                <w:rStyle w:val="Hyperlink"/>
                <w:noProof/>
              </w:rPr>
              <w:t>Doprinos trećih strana</w:t>
            </w:r>
            <w:r w:rsidR="00C16A84">
              <w:rPr>
                <w:noProof/>
                <w:webHidden/>
              </w:rPr>
              <w:tab/>
            </w:r>
            <w:r w:rsidR="00C16A84">
              <w:rPr>
                <w:noProof/>
                <w:webHidden/>
              </w:rPr>
              <w:fldChar w:fldCharType="begin"/>
            </w:r>
            <w:r w:rsidR="00C16A84">
              <w:rPr>
                <w:noProof/>
                <w:webHidden/>
              </w:rPr>
              <w:instrText xml:space="preserve"> PAGEREF _Toc145493432 \h </w:instrText>
            </w:r>
            <w:r w:rsidR="00C16A84">
              <w:rPr>
                <w:noProof/>
                <w:webHidden/>
              </w:rPr>
            </w:r>
            <w:r w:rsidR="00C16A84">
              <w:rPr>
                <w:noProof/>
                <w:webHidden/>
              </w:rPr>
              <w:fldChar w:fldCharType="separate"/>
            </w:r>
            <w:r w:rsidR="00C16A84">
              <w:rPr>
                <w:noProof/>
                <w:webHidden/>
              </w:rPr>
              <w:t>1</w:t>
            </w:r>
            <w:r w:rsidR="00C16A84">
              <w:rPr>
                <w:noProof/>
                <w:webHidden/>
              </w:rPr>
              <w:fldChar w:fldCharType="end"/>
            </w:r>
          </w:hyperlink>
        </w:p>
        <w:p w14:paraId="6B9971CC" w14:textId="184101F9" w:rsidR="00C16A84" w:rsidRDefault="00F47199">
          <w:pPr>
            <w:pStyle w:val="TOC2"/>
            <w:rPr>
              <w:rFonts w:asciiTheme="minorHAnsi" w:eastAsiaTheme="minorEastAsia" w:hAnsiTheme="minorHAnsi" w:cstheme="minorBidi"/>
              <w:noProof/>
              <w:sz w:val="22"/>
              <w:lang w:val="en-IE" w:eastAsia="en-IE"/>
            </w:rPr>
          </w:pPr>
          <w:hyperlink w:anchor="_Toc145493433" w:history="1">
            <w:r w:rsidR="00C16A84" w:rsidRPr="002745BD">
              <w:rPr>
                <w:rStyle w:val="Hyperlink"/>
                <w:noProof/>
              </w:rPr>
              <w:t>3.3.</w:t>
            </w:r>
            <w:r w:rsidR="00C16A84">
              <w:rPr>
                <w:rFonts w:asciiTheme="minorHAnsi" w:eastAsiaTheme="minorEastAsia" w:hAnsiTheme="minorHAnsi" w:cstheme="minorBidi"/>
                <w:noProof/>
                <w:sz w:val="22"/>
                <w:lang w:val="en-IE" w:eastAsia="en-IE"/>
              </w:rPr>
              <w:tab/>
            </w:r>
            <w:r w:rsidR="00C16A84" w:rsidRPr="002745BD">
              <w:rPr>
                <w:rStyle w:val="Hyperlink"/>
                <w:noProof/>
              </w:rPr>
              <w:t>Procijenjeni učinak na prihode</w:t>
            </w:r>
            <w:r w:rsidR="00C16A84">
              <w:rPr>
                <w:noProof/>
                <w:webHidden/>
              </w:rPr>
              <w:tab/>
            </w:r>
            <w:r w:rsidR="00C16A84">
              <w:rPr>
                <w:noProof/>
                <w:webHidden/>
              </w:rPr>
              <w:fldChar w:fldCharType="begin"/>
            </w:r>
            <w:r w:rsidR="00C16A84">
              <w:rPr>
                <w:noProof/>
                <w:webHidden/>
              </w:rPr>
              <w:instrText xml:space="preserve"> PAGEREF _Toc145493433 \h </w:instrText>
            </w:r>
            <w:r w:rsidR="00C16A84">
              <w:rPr>
                <w:noProof/>
                <w:webHidden/>
              </w:rPr>
            </w:r>
            <w:r w:rsidR="00C16A84">
              <w:rPr>
                <w:noProof/>
                <w:webHidden/>
              </w:rPr>
              <w:fldChar w:fldCharType="separate"/>
            </w:r>
            <w:r w:rsidR="00C16A84">
              <w:rPr>
                <w:noProof/>
                <w:webHidden/>
              </w:rPr>
              <w:t>2</w:t>
            </w:r>
            <w:r w:rsidR="00C16A84">
              <w:rPr>
                <w:noProof/>
                <w:webHidden/>
              </w:rPr>
              <w:fldChar w:fldCharType="end"/>
            </w:r>
          </w:hyperlink>
        </w:p>
        <w:p w14:paraId="5A1590DC" w14:textId="78AF9651" w:rsidR="003F3C34" w:rsidRPr="00C16A84" w:rsidRDefault="003F3C34" w:rsidP="003F3C34">
          <w:pPr>
            <w:rPr>
              <w:noProof/>
            </w:rPr>
          </w:pPr>
          <w:r w:rsidRPr="00C16A84">
            <w:rPr>
              <w:b/>
              <w:noProof/>
            </w:rPr>
            <w:fldChar w:fldCharType="end"/>
          </w:r>
        </w:p>
      </w:sdtContent>
    </w:sdt>
    <w:p w14:paraId="08632DD4" w14:textId="77777777" w:rsidR="003F3C34" w:rsidRPr="00C16A84" w:rsidRDefault="003F3C34" w:rsidP="003F3C34">
      <w:pPr>
        <w:rPr>
          <w:noProof/>
        </w:rPr>
        <w:sectPr w:rsidR="003F3C34" w:rsidRPr="00C16A84" w:rsidSect="00396AE5">
          <w:footnotePr>
            <w:numRestart w:val="eachSect"/>
          </w:footnotePr>
          <w:pgSz w:w="11907" w:h="16840" w:code="9"/>
          <w:pgMar w:top="1134" w:right="1418" w:bottom="1134" w:left="1418" w:header="709" w:footer="709" w:gutter="0"/>
          <w:pgNumType w:start="1"/>
          <w:cols w:space="720"/>
          <w:docGrid w:linePitch="360"/>
        </w:sectPr>
      </w:pPr>
    </w:p>
    <w:p w14:paraId="5FE1D2B0" w14:textId="77777777" w:rsidR="003F3C34" w:rsidRPr="00C16A84" w:rsidRDefault="003F3C34" w:rsidP="003F3C34">
      <w:pPr>
        <w:pStyle w:val="ManualHeading1"/>
        <w:rPr>
          <w:noProof/>
        </w:rPr>
      </w:pPr>
      <w:bookmarkStart w:id="32" w:name="_Toc514938007"/>
      <w:bookmarkStart w:id="33" w:name="_Toc145493401"/>
      <w:r w:rsidRPr="00C16A84">
        <w:rPr>
          <w:noProof/>
        </w:rPr>
        <w:t>1.</w:t>
      </w:r>
      <w:r w:rsidRPr="00C16A84">
        <w:rPr>
          <w:noProof/>
        </w:rPr>
        <w:tab/>
        <w:t>OKVIR PRIJEDLOGA/INICIJATIVE</w:t>
      </w:r>
      <w:bookmarkEnd w:id="32"/>
      <w:bookmarkEnd w:id="33"/>
      <w:r w:rsidRPr="00C16A84">
        <w:rPr>
          <w:noProof/>
        </w:rPr>
        <w:t xml:space="preserve"> </w:t>
      </w:r>
    </w:p>
    <w:p w14:paraId="755C9E60" w14:textId="77777777" w:rsidR="003F3C34" w:rsidRPr="00C16A84" w:rsidRDefault="003F3C34" w:rsidP="003F3C34">
      <w:pPr>
        <w:pStyle w:val="ManualHeading2"/>
        <w:rPr>
          <w:noProof/>
        </w:rPr>
      </w:pPr>
      <w:bookmarkStart w:id="34" w:name="_Toc514938008"/>
      <w:bookmarkStart w:id="35" w:name="_Toc145493402"/>
      <w:r w:rsidRPr="00C16A84">
        <w:rPr>
          <w:noProof/>
        </w:rPr>
        <w:t>1.1.</w:t>
      </w:r>
      <w:r w:rsidRPr="00C16A84">
        <w:rPr>
          <w:noProof/>
        </w:rPr>
        <w:tab/>
        <w:t>Naslov prijedloga/inicijative</w:t>
      </w:r>
      <w:bookmarkEnd w:id="34"/>
      <w:bookmarkEnd w:id="35"/>
    </w:p>
    <w:p w14:paraId="7D34AD0D"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b/>
          <w:noProof/>
        </w:rPr>
      </w:pPr>
      <w:bookmarkStart w:id="36" w:name="_Hlk140653871"/>
      <w:r w:rsidRPr="00C16A84">
        <w:rPr>
          <w:noProof/>
        </w:rPr>
        <w:t>Prijedlog direktive Europskog parlamenta i Vijeća o uvođenju europske iskaznice za osobe s invaliditetom i europske parkirne karte za osobe s invaliditetom</w:t>
      </w:r>
      <w:r w:rsidRPr="00C16A84">
        <w:rPr>
          <w:b/>
          <w:noProof/>
        </w:rPr>
        <w:t xml:space="preserve"> </w:t>
      </w:r>
    </w:p>
    <w:p w14:paraId="68DFC661" w14:textId="77777777" w:rsidR="003F3C34" w:rsidRPr="00C16A84" w:rsidRDefault="003F3C34" w:rsidP="003F3C34">
      <w:pPr>
        <w:pStyle w:val="ManualHeading2"/>
        <w:rPr>
          <w:i/>
          <w:noProof/>
        </w:rPr>
      </w:pPr>
      <w:bookmarkStart w:id="37" w:name="_Toc514938011"/>
      <w:bookmarkStart w:id="38" w:name="_Toc145493403"/>
      <w:bookmarkEnd w:id="36"/>
      <w:r w:rsidRPr="00C16A84">
        <w:rPr>
          <w:noProof/>
        </w:rPr>
        <w:t>1.2.</w:t>
      </w:r>
      <w:r w:rsidRPr="00C16A84">
        <w:rPr>
          <w:noProof/>
        </w:rPr>
        <w:tab/>
        <w:t>Predmetna područja politike</w:t>
      </w:r>
      <w:bookmarkEnd w:id="37"/>
      <w:bookmarkEnd w:id="38"/>
      <w:r w:rsidRPr="00C16A84">
        <w:rPr>
          <w:i/>
          <w:noProof/>
        </w:rPr>
        <w:t xml:space="preserve"> </w:t>
      </w:r>
    </w:p>
    <w:p w14:paraId="6BCA5E6A"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r w:rsidRPr="00C16A84">
        <w:rPr>
          <w:noProof/>
        </w:rPr>
        <w:t>Prava osoba s invaliditetom</w:t>
      </w:r>
    </w:p>
    <w:p w14:paraId="4D94E6EB"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r w:rsidRPr="00C16A84">
        <w:rPr>
          <w:noProof/>
        </w:rPr>
        <w:t>Pristup osoba s invaliditetom uslugama, uslugama putničkog prijevoza, aktivnostima i sadržajima</w:t>
      </w:r>
    </w:p>
    <w:p w14:paraId="646B9A1D"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r w:rsidRPr="00C16A84">
        <w:rPr>
          <w:noProof/>
        </w:rPr>
        <w:t>Slobodno kretanje osoba s invaliditetom</w:t>
      </w:r>
    </w:p>
    <w:p w14:paraId="0F043516"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p>
    <w:p w14:paraId="2F754BB5" w14:textId="77777777" w:rsidR="003F3C34" w:rsidRPr="00C16A84" w:rsidRDefault="003F3C34" w:rsidP="003F3C34">
      <w:pPr>
        <w:pStyle w:val="ManualHeading2"/>
        <w:rPr>
          <w:bCs/>
          <w:noProof/>
          <w:szCs w:val="24"/>
        </w:rPr>
      </w:pPr>
      <w:bookmarkStart w:id="39" w:name="_Toc514938014"/>
      <w:bookmarkStart w:id="40" w:name="_Toc145493404"/>
      <w:r w:rsidRPr="00C16A84">
        <w:rPr>
          <w:noProof/>
        </w:rPr>
        <w:t>1.3.</w:t>
      </w:r>
      <w:r w:rsidRPr="00C16A84">
        <w:rPr>
          <w:noProof/>
        </w:rPr>
        <w:tab/>
        <w:t>Prijedlog/inicijativa odnosi se na:</w:t>
      </w:r>
      <w:bookmarkEnd w:id="39"/>
      <w:bookmarkEnd w:id="40"/>
      <w:r w:rsidRPr="00C16A84">
        <w:rPr>
          <w:noProof/>
        </w:rPr>
        <w:t xml:space="preserve"> </w:t>
      </w:r>
    </w:p>
    <w:p w14:paraId="41E639DE" w14:textId="77777777" w:rsidR="003F3C34" w:rsidRPr="00C16A84" w:rsidRDefault="003F3C34" w:rsidP="003F3C34">
      <w:pPr>
        <w:pStyle w:val="Text1"/>
        <w:rPr>
          <w:b/>
          <w:noProof/>
          <w:sz w:val="22"/>
        </w:rPr>
      </w:pPr>
      <w:r w:rsidRPr="00C16A84">
        <w:rPr>
          <w:noProof/>
          <w:sz w:val="22"/>
        </w:rPr>
        <w:sym w:font="Wingdings" w:char="F0A8"/>
      </w:r>
      <w:r w:rsidRPr="00C16A84">
        <w:rPr>
          <w:b/>
          <w:i/>
          <w:noProof/>
          <w:sz w:val="22"/>
        </w:rPr>
        <w:t xml:space="preserve"> </w:t>
      </w:r>
      <w:r w:rsidRPr="00C16A84">
        <w:rPr>
          <w:b/>
          <w:noProof/>
        </w:rPr>
        <w:t>novo djelovanje</w:t>
      </w:r>
      <w:r w:rsidRPr="00C16A84">
        <w:rPr>
          <w:b/>
          <w:noProof/>
          <w:sz w:val="22"/>
        </w:rPr>
        <w:t xml:space="preserve"> </w:t>
      </w:r>
    </w:p>
    <w:p w14:paraId="3846CEB1" w14:textId="77777777" w:rsidR="003F3C34" w:rsidRPr="00C16A84" w:rsidRDefault="003F3C34" w:rsidP="003F3C34">
      <w:pPr>
        <w:pStyle w:val="Text1"/>
        <w:rPr>
          <w:noProof/>
          <w:sz w:val="22"/>
        </w:rPr>
      </w:pPr>
      <w:r w:rsidRPr="00C16A84">
        <w:rPr>
          <w:noProof/>
          <w:sz w:val="22"/>
        </w:rPr>
        <w:sym w:font="Wingdings" w:char="F0A8"/>
      </w:r>
      <w:r w:rsidRPr="00C16A84">
        <w:rPr>
          <w:i/>
          <w:noProof/>
          <w:sz w:val="22"/>
        </w:rPr>
        <w:t xml:space="preserve"> </w:t>
      </w:r>
      <w:r w:rsidRPr="00C16A84">
        <w:rPr>
          <w:b/>
          <w:noProof/>
        </w:rPr>
        <w:t>novo djelovanje nakon pilot-projekta/pripremnog djelovanja</w:t>
      </w:r>
      <w:r w:rsidRPr="00C16A84">
        <w:rPr>
          <w:rStyle w:val="FootnoteReference"/>
          <w:b/>
          <w:noProof/>
        </w:rPr>
        <w:footnoteReference w:id="59"/>
      </w:r>
      <w:r w:rsidRPr="00C16A84">
        <w:rPr>
          <w:noProof/>
          <w:sz w:val="22"/>
        </w:rPr>
        <w:t xml:space="preserve"> </w:t>
      </w:r>
    </w:p>
    <w:p w14:paraId="0F743C5D" w14:textId="77777777" w:rsidR="003F3C34" w:rsidRPr="00C16A84" w:rsidRDefault="003F3C34" w:rsidP="003F3C34">
      <w:pPr>
        <w:pStyle w:val="Text1"/>
        <w:rPr>
          <w:noProof/>
          <w:sz w:val="22"/>
        </w:rPr>
      </w:pPr>
      <w:r w:rsidRPr="00C16A84">
        <w:rPr>
          <w:noProof/>
          <w:sz w:val="22"/>
        </w:rPr>
        <w:sym w:font="Wingdings" w:char="F0A8"/>
      </w:r>
      <w:r w:rsidRPr="00C16A84">
        <w:rPr>
          <w:i/>
          <w:noProof/>
          <w:sz w:val="22"/>
        </w:rPr>
        <w:t xml:space="preserve"> </w:t>
      </w:r>
      <w:r w:rsidRPr="00C16A84">
        <w:rPr>
          <w:b/>
          <w:noProof/>
        </w:rPr>
        <w:t>produženje postojećeg djelovanja</w:t>
      </w:r>
      <w:r w:rsidRPr="00C16A84">
        <w:rPr>
          <w:noProof/>
          <w:sz w:val="22"/>
        </w:rPr>
        <w:t xml:space="preserve"> </w:t>
      </w:r>
    </w:p>
    <w:p w14:paraId="793C6A03" w14:textId="77777777" w:rsidR="003F3C34" w:rsidRPr="00C16A84" w:rsidRDefault="003F3C34" w:rsidP="003F3C34">
      <w:pPr>
        <w:pStyle w:val="Text1"/>
        <w:rPr>
          <w:noProof/>
        </w:rPr>
      </w:pPr>
      <w:r w:rsidRPr="00C16A84">
        <w:rPr>
          <w:noProof/>
          <w:sz w:val="22"/>
        </w:rPr>
        <w:sym w:font="Wingdings" w:char="F078"/>
      </w:r>
      <w:r w:rsidRPr="00C16A84">
        <w:rPr>
          <w:i/>
          <w:noProof/>
          <w:sz w:val="22"/>
        </w:rPr>
        <w:t xml:space="preserve"> </w:t>
      </w:r>
      <w:r w:rsidRPr="00C16A84">
        <w:rPr>
          <w:b/>
          <w:noProof/>
        </w:rPr>
        <w:t>spajanje ili preusmjeravanje jednog ili više djelovanja u drugo/novo djelovanje</w:t>
      </w:r>
      <w:r w:rsidRPr="00C16A84">
        <w:rPr>
          <w:noProof/>
        </w:rPr>
        <w:t xml:space="preserve"> </w:t>
      </w:r>
    </w:p>
    <w:p w14:paraId="1DBBF811" w14:textId="77777777" w:rsidR="003F3C34" w:rsidRPr="00C16A84" w:rsidRDefault="003F3C34" w:rsidP="003F3C34">
      <w:pPr>
        <w:pStyle w:val="ManualHeading2"/>
        <w:rPr>
          <w:bCs/>
          <w:noProof/>
          <w:szCs w:val="24"/>
        </w:rPr>
      </w:pPr>
      <w:bookmarkStart w:id="41" w:name="_Toc514938015"/>
      <w:bookmarkStart w:id="42" w:name="_Toc145493405"/>
      <w:r w:rsidRPr="00C16A84">
        <w:rPr>
          <w:noProof/>
        </w:rPr>
        <w:t>1.4.</w:t>
      </w:r>
      <w:r w:rsidRPr="00C16A84">
        <w:rPr>
          <w:noProof/>
        </w:rPr>
        <w:tab/>
        <w:t>Ciljevi</w:t>
      </w:r>
      <w:bookmarkEnd w:id="41"/>
      <w:bookmarkEnd w:id="42"/>
    </w:p>
    <w:p w14:paraId="4F286B22" w14:textId="77777777" w:rsidR="003F3C34" w:rsidRPr="00C16A84" w:rsidRDefault="003F3C34" w:rsidP="003F3C34">
      <w:pPr>
        <w:pStyle w:val="ManualHeading3"/>
        <w:rPr>
          <w:noProof/>
        </w:rPr>
      </w:pPr>
      <w:bookmarkStart w:id="43" w:name="_Toc514938016"/>
      <w:bookmarkStart w:id="44" w:name="_Toc145493406"/>
      <w:r w:rsidRPr="00C16A84">
        <w:rPr>
          <w:noProof/>
        </w:rPr>
        <w:t>1.4.1.</w:t>
      </w:r>
      <w:r w:rsidRPr="00C16A84">
        <w:rPr>
          <w:noProof/>
        </w:rPr>
        <w:tab/>
        <w:t>Opći ciljevi</w:t>
      </w:r>
      <w:bookmarkEnd w:id="43"/>
      <w:bookmarkEnd w:id="44"/>
    </w:p>
    <w:p w14:paraId="5CA2D1B7"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p>
    <w:p w14:paraId="6D543591"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r w:rsidRPr="00C16A84">
        <w:rPr>
          <w:noProof/>
          <w:sz w:val="23"/>
        </w:rPr>
        <w:t>Opći je cilj Prijedloga olakšati slobodno kretanje nositelja europske iskaznice za osobe s invaliditetom i/ili parkirne karte koji posjećuju ili putuju u drugu državu članicu tako da se osigura uzajamno priznavanje njihova statusa osobe s invaliditetom te im se omogući pristup uslugama, aktivnostima i sadržajima odnosno uvjetima i prostorima za parkiranje za osobe s invaliditetom u EU-u koji je ravnopravan pristupu osoba s invaliditetom u toj državi članici.</w:t>
      </w:r>
    </w:p>
    <w:p w14:paraId="5297DE95"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p>
    <w:p w14:paraId="2742CAFA" w14:textId="77777777" w:rsidR="003F3C34" w:rsidRPr="00C16A84" w:rsidRDefault="003F3C34" w:rsidP="003F3C34">
      <w:pPr>
        <w:pStyle w:val="ManualHeading3"/>
        <w:rPr>
          <w:bCs/>
          <w:noProof/>
          <w:szCs w:val="24"/>
        </w:rPr>
      </w:pPr>
      <w:bookmarkStart w:id="45" w:name="_Toc514938018"/>
      <w:bookmarkStart w:id="46" w:name="_Toc145493407"/>
      <w:r w:rsidRPr="00C16A84">
        <w:rPr>
          <w:noProof/>
        </w:rPr>
        <w:t>1.4.2.</w:t>
      </w:r>
      <w:r w:rsidRPr="00C16A84">
        <w:rPr>
          <w:noProof/>
        </w:rPr>
        <w:tab/>
        <w:t>Specifični ciljevi</w:t>
      </w:r>
      <w:bookmarkEnd w:id="45"/>
      <w:bookmarkEnd w:id="46"/>
    </w:p>
    <w:p w14:paraId="4871B249"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r w:rsidRPr="00C16A84">
        <w:rPr>
          <w:noProof/>
        </w:rPr>
        <w:t>Specifični cilj br. 1: cilj je Prijedloga osigurati da nositelji europske iskaznice za osobe s invaliditetom u državi članici koju posjećuju ili u koju putuju imaju ravnopravan pristup svim posebnim povlaštenim uvjetima ili povlaštenom postupanju u pogledu usluga, aktivnosti i sadržaja koji se nude osobama s invaliditetom.</w:t>
      </w:r>
    </w:p>
    <w:p w14:paraId="4CD16FB6"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p>
    <w:p w14:paraId="19B7871D"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r w:rsidRPr="00C16A84">
        <w:rPr>
          <w:noProof/>
        </w:rPr>
        <w:t>Specifični cilj br. 2: cilj je Prijedloga osigurati da nositelji europske parkirne karte za osobe s invaliditetom u državi članici koju posjećuju ili u koju putuju imaju ravnopravan pristup svim uvjetima i prostorima za parkiranje koji se nude osobama s invaliditetom ili su rezervirani za njih.</w:t>
      </w:r>
    </w:p>
    <w:p w14:paraId="30C72FE3"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p>
    <w:p w14:paraId="6484F4D3" w14:textId="77777777" w:rsidR="003F3C34" w:rsidRPr="00C16A84" w:rsidRDefault="003F3C34" w:rsidP="003F3C34">
      <w:pPr>
        <w:pStyle w:val="ManualHeading3"/>
        <w:rPr>
          <w:noProof/>
        </w:rPr>
      </w:pPr>
      <w:bookmarkStart w:id="47" w:name="_Toc514938019"/>
      <w:bookmarkStart w:id="48" w:name="_Toc145493408"/>
      <w:r w:rsidRPr="00C16A84">
        <w:rPr>
          <w:noProof/>
        </w:rPr>
        <w:t>1.4.3.</w:t>
      </w:r>
      <w:r w:rsidRPr="00C16A84">
        <w:rPr>
          <w:noProof/>
        </w:rPr>
        <w:tab/>
        <w:t>Očekivani rezultati i učinak</w:t>
      </w:r>
      <w:bookmarkEnd w:id="47"/>
      <w:bookmarkEnd w:id="48"/>
    </w:p>
    <w:p w14:paraId="5BB128EE" w14:textId="77777777" w:rsidR="003F3C34" w:rsidRPr="00C16A84" w:rsidRDefault="003F3C34" w:rsidP="003F3C34">
      <w:pPr>
        <w:pStyle w:val="Text1"/>
        <w:rPr>
          <w:i/>
          <w:noProof/>
          <w:sz w:val="20"/>
        </w:rPr>
      </w:pPr>
      <w:r w:rsidRPr="00C16A84">
        <w:rPr>
          <w:i/>
          <w:noProof/>
          <w:sz w:val="20"/>
        </w:rPr>
        <w:t>Navesti očekivane učinke prijedloga/inicijative na ciljane korisnike/skupine.</w:t>
      </w:r>
    </w:p>
    <w:p w14:paraId="367C09FA" w14:textId="77777777" w:rsidR="003F3C34" w:rsidRPr="00C16A84" w:rsidRDefault="003F3C34" w:rsidP="00361198">
      <w:pPr>
        <w:pStyle w:val="Text1"/>
        <w:pBdr>
          <w:top w:val="single" w:sz="4" w:space="1" w:color="auto"/>
          <w:left w:val="single" w:sz="4" w:space="4" w:color="auto"/>
          <w:bottom w:val="single" w:sz="4" w:space="1" w:color="auto"/>
          <w:right w:val="single" w:sz="4" w:space="4" w:color="auto"/>
        </w:pBdr>
        <w:rPr>
          <w:noProof/>
        </w:rPr>
      </w:pPr>
      <w:r w:rsidRPr="00C16A84">
        <w:rPr>
          <w:noProof/>
        </w:rPr>
        <w:t>Povećanje broja osoba s invaliditetom koje, kad posjećuju ili putuju u druge države članice, ostvaruju svoje pravo na posebne uvjete i/ili povlašteno postupanje koji se osobama s invaliditetom nude u pogledu usluga, aktivnosti i sadržaja</w:t>
      </w:r>
    </w:p>
    <w:p w14:paraId="4F979BA7" w14:textId="77777777" w:rsidR="003F3C34" w:rsidRPr="00C16A84" w:rsidRDefault="003F3C34" w:rsidP="00361198">
      <w:pPr>
        <w:pStyle w:val="Text1"/>
        <w:pBdr>
          <w:top w:val="single" w:sz="4" w:space="1" w:color="auto"/>
          <w:left w:val="single" w:sz="4" w:space="4" w:color="auto"/>
          <w:bottom w:val="single" w:sz="4" w:space="1" w:color="auto"/>
          <w:right w:val="single" w:sz="4" w:space="4" w:color="auto"/>
        </w:pBdr>
        <w:rPr>
          <w:noProof/>
        </w:rPr>
      </w:pPr>
      <w:r w:rsidRPr="00C16A84">
        <w:rPr>
          <w:noProof/>
        </w:rPr>
        <w:t>Povećanje broja osoba s invaliditetom koje, kad posjećuju ili putuju u druge države članice, ostvaruju svoje pravo na uvjete i prostore za parkiranje koji se nude osobama s invaliditetom ili su rezervirani za njih</w:t>
      </w:r>
    </w:p>
    <w:p w14:paraId="063B3BB9" w14:textId="77777777" w:rsidR="003F3C34" w:rsidRPr="00C16A84" w:rsidRDefault="003F3C34" w:rsidP="00361198">
      <w:pPr>
        <w:pStyle w:val="Text1"/>
        <w:pBdr>
          <w:top w:val="single" w:sz="4" w:space="1" w:color="auto"/>
          <w:left w:val="single" w:sz="4" w:space="4" w:color="auto"/>
          <w:bottom w:val="single" w:sz="4" w:space="1" w:color="auto"/>
          <w:right w:val="single" w:sz="4" w:space="4" w:color="auto"/>
        </w:pBdr>
        <w:rPr>
          <w:noProof/>
        </w:rPr>
      </w:pPr>
      <w:r w:rsidRPr="00C16A84">
        <w:rPr>
          <w:noProof/>
        </w:rPr>
        <w:t>Povećanje broja osoba s invaliditetom koje putuju u druge države članice ili ih posjećuju</w:t>
      </w:r>
    </w:p>
    <w:p w14:paraId="296EEAD2" w14:textId="77777777" w:rsidR="003F3C34" w:rsidRPr="00C16A84" w:rsidRDefault="003F3C34" w:rsidP="003F3C34">
      <w:pPr>
        <w:pStyle w:val="ManualHeading3"/>
        <w:rPr>
          <w:noProof/>
          <w:szCs w:val="24"/>
        </w:rPr>
      </w:pPr>
      <w:bookmarkStart w:id="49" w:name="_Toc514938023"/>
      <w:bookmarkStart w:id="50" w:name="_Toc145493409"/>
      <w:r w:rsidRPr="00C16A84">
        <w:rPr>
          <w:noProof/>
        </w:rPr>
        <w:t>1.4.4.</w:t>
      </w:r>
      <w:r w:rsidRPr="00C16A84">
        <w:rPr>
          <w:noProof/>
        </w:rPr>
        <w:tab/>
        <w:t>Pokazatelji uspješnosti</w:t>
      </w:r>
      <w:bookmarkEnd w:id="49"/>
      <w:bookmarkEnd w:id="50"/>
    </w:p>
    <w:p w14:paraId="1F334020" w14:textId="77777777" w:rsidR="003F3C34" w:rsidRPr="00C16A84" w:rsidRDefault="003F3C34" w:rsidP="003F3C34">
      <w:pPr>
        <w:pStyle w:val="Text1"/>
        <w:rPr>
          <w:i/>
          <w:noProof/>
          <w:sz w:val="20"/>
        </w:rPr>
      </w:pPr>
      <w:r w:rsidRPr="00C16A84">
        <w:rPr>
          <w:i/>
          <w:noProof/>
          <w:sz w:val="20"/>
        </w:rPr>
        <w:t>Navesti pokazatelje za praćenje napretka i postignuća</w:t>
      </w:r>
    </w:p>
    <w:p w14:paraId="0C2FCA32"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p>
    <w:p w14:paraId="206C86FB"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r w:rsidRPr="00C16A84">
        <w:rPr>
          <w:noProof/>
        </w:rPr>
        <w:t>Broj država članica koje su prenijele Direktivu</w:t>
      </w:r>
    </w:p>
    <w:p w14:paraId="7E83021A"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p>
    <w:p w14:paraId="02F4A51F"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r w:rsidRPr="00C16A84">
        <w:rPr>
          <w:noProof/>
        </w:rPr>
        <w:t>Broj europskih iskaznica za osobe s invaliditetom koje su izdale države članice</w:t>
      </w:r>
    </w:p>
    <w:p w14:paraId="7E6F4B88"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p>
    <w:p w14:paraId="0EB1A63C"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r w:rsidRPr="00C16A84">
        <w:rPr>
          <w:noProof/>
        </w:rPr>
        <w:t>Broj europskih parkirnih karata za osobe s invaliditetom koje su izdale države članice</w:t>
      </w:r>
    </w:p>
    <w:p w14:paraId="5042FFB9"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color w:val="0000FF"/>
        </w:rPr>
      </w:pPr>
    </w:p>
    <w:p w14:paraId="35593154" w14:textId="77777777" w:rsidR="003F3C34" w:rsidRPr="00C16A84" w:rsidRDefault="003F3C34" w:rsidP="003F3C34">
      <w:pPr>
        <w:pStyle w:val="ManualHeading2"/>
        <w:rPr>
          <w:bCs/>
          <w:noProof/>
          <w:szCs w:val="24"/>
        </w:rPr>
      </w:pPr>
      <w:bookmarkStart w:id="51" w:name="_Toc514938025"/>
      <w:bookmarkStart w:id="52" w:name="_Toc145493410"/>
      <w:r w:rsidRPr="00C16A84">
        <w:rPr>
          <w:noProof/>
        </w:rPr>
        <w:t>1.5.</w:t>
      </w:r>
      <w:r w:rsidRPr="00C16A84">
        <w:rPr>
          <w:noProof/>
        </w:rPr>
        <w:tab/>
        <w:t>Osnova prijedloga/inicijative</w:t>
      </w:r>
      <w:bookmarkEnd w:id="51"/>
      <w:bookmarkEnd w:id="52"/>
      <w:r w:rsidRPr="00C16A84">
        <w:rPr>
          <w:noProof/>
        </w:rPr>
        <w:t xml:space="preserve"> </w:t>
      </w:r>
    </w:p>
    <w:p w14:paraId="39C6242E" w14:textId="77777777" w:rsidR="003F3C34" w:rsidRPr="00C16A84" w:rsidRDefault="003F3C34" w:rsidP="003F3C34">
      <w:pPr>
        <w:pStyle w:val="ManualHeading3"/>
        <w:rPr>
          <w:noProof/>
        </w:rPr>
      </w:pPr>
      <w:bookmarkStart w:id="53" w:name="_Toc514938026"/>
      <w:bookmarkStart w:id="54" w:name="_Toc145493411"/>
      <w:r w:rsidRPr="00C16A84">
        <w:rPr>
          <w:noProof/>
        </w:rPr>
        <w:t>1.5.1.</w:t>
      </w:r>
      <w:r w:rsidRPr="00C16A84">
        <w:rPr>
          <w:noProof/>
        </w:rPr>
        <w:tab/>
        <w:t>Zahtjevi koje treba ispuniti u kratkoročnom ili dugoročnom razdoblju, uključujući detaljan vremenski plan provedbe inicijative</w:t>
      </w:r>
      <w:bookmarkEnd w:id="53"/>
      <w:bookmarkEnd w:id="54"/>
    </w:p>
    <w:p w14:paraId="0166C930"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r w:rsidRPr="00C16A84">
        <w:rPr>
          <w:noProof/>
        </w:rPr>
        <w:t xml:space="preserve">Glavni zahtjev koji treba ispuniti u kratkoročnom razdoblju odnosi se na postizanje dogovora suzakonodavaca o zakonodavnom prijedlogu tijekom 2024. U Prijedlogu je državama članicama propisan [rok od 18 mjeseci] za prenošenje donesenog pravnog akta. </w:t>
      </w:r>
    </w:p>
    <w:p w14:paraId="5F40ED0F"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r w:rsidRPr="00C16A84">
        <w:rPr>
          <w:noProof/>
        </w:rPr>
        <w:t>U Prijedlogu se predviđa i donošenje delegiranih i provedbenih akata.</w:t>
      </w:r>
    </w:p>
    <w:p w14:paraId="58D3423F" w14:textId="77777777" w:rsidR="003F3C34" w:rsidRPr="00C16A84" w:rsidRDefault="003F3C34" w:rsidP="003F3C34">
      <w:pPr>
        <w:pStyle w:val="ManualHeading3"/>
        <w:rPr>
          <w:bCs/>
          <w:noProof/>
          <w:szCs w:val="24"/>
        </w:rPr>
      </w:pPr>
      <w:bookmarkStart w:id="55" w:name="_Toc514938029"/>
      <w:bookmarkStart w:id="56" w:name="_Toc145493412"/>
      <w:r w:rsidRPr="00C16A84">
        <w:rPr>
          <w:noProof/>
        </w:rPr>
        <w:t>1.5.2.</w:t>
      </w:r>
      <w:r w:rsidRPr="00C16A84">
        <w:rPr>
          <w:noProof/>
        </w:rPr>
        <w:tab/>
        <w:t>Dodana vrijednost sudjelovanja Unije (može proizlaziti iz različitih čimbenika, npr. prednosti koordinacije, pravne sigurnosti, veće djelotvornosti ili komplementarnosti). Za potrebe ove točke „dodana vrijednost sudjelovanja Unije” je vrijednost koja proizlazi iz intervencije Unije i koja predstavlja dodatnu vrijednost u odnosu na vrijednost koju bi države članice inače ostvarile same.</w:t>
      </w:r>
      <w:bookmarkEnd w:id="55"/>
      <w:bookmarkEnd w:id="56"/>
    </w:p>
    <w:p w14:paraId="3BA16279"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r w:rsidRPr="00C16A84">
        <w:rPr>
          <w:noProof/>
        </w:rPr>
        <w:t xml:space="preserve">Djelovanje EU-a potrebno je i opravdano kako bi se olakšalo slobodno kretanje osoba s invaliditetom radi pristupa posebnim uvjetima i/ili povlaštenom postupanju za usluge, aktivnosti i sadržaje, kao uvjetima i prostorima za parkiranje, u svim državama članicama na ravnopravnoj osnovi s osobama koje imaju boravište u zemlji koju posjećuju te kako bi se na taj način poboljšalo funkcioniranje jedinstvenog tržišta usluga, aktivnosti i sadržaja na razini EU-a. </w:t>
      </w:r>
    </w:p>
    <w:p w14:paraId="394B91E7"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r w:rsidRPr="00C16A84">
        <w:rPr>
          <w:noProof/>
        </w:rPr>
        <w:t xml:space="preserve">Utvrđeni problem ima prekograničnu dimenziju zbog koje ga države članice ne mogu same riješiti. Od uvođenja parkirne karte EU-a 1998. države članice dodale su elemente ili odstupile od modela parkirne karte EU-a na nacionalnoj razini, zbog čega se te karte razlikuju u državama članicama. Osim toga, države članice suočile su se s prijevarama i krivotvorenjem karata. Nadalje, Preporuka Vijeća nije ažurirana kako bi se uzeo u obzir aktualni razvoj tehnologije i digitalizacije. </w:t>
      </w:r>
    </w:p>
    <w:p w14:paraId="23290B82"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r w:rsidRPr="00C16A84">
        <w:rPr>
          <w:noProof/>
        </w:rPr>
        <w:t xml:space="preserve">Iako je pilot-projekt iskaznice EU-a za osobe s invaliditetom dobro funkcionirao među osam država članica sudionica, nedostajala mu je šira dimenzija na razini EU-a, što je dovelo do znatne nesigurnosti i nejednakog postupanja prema osobama s invaliditetom koje putuju u različite države članice ili ih posjećuju. Budući da se iskaznica iz pilot-projekta i njezin model upotrebljavaju na dobrovoljnoj osnovi, s vremenom bi se vjerojatno pojavio isti problem različitosti kao s parkirnom kartom. </w:t>
      </w:r>
    </w:p>
    <w:p w14:paraId="78AB43BA"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r w:rsidRPr="00C16A84">
        <w:rPr>
          <w:noProof/>
        </w:rPr>
        <w:t xml:space="preserve">Potreba za djelovanjem EU-a izravno proizlazi iz problema na koje nailaze osobe s invaliditetom u EU-u tijekom prekograničnih putovanja i koji se mogu riješiti koordiniranim pristupom država članica koji će tim osobama olakšati pristup povlaštenim uvjetima ponuđenima u okviru usluga na ravnopravnoj osnovi s osobama koje imaju boravište u toj državi članici. Stoga bi se bez intervencije EU-a povećale postojeće razlike među nacionalnim iskaznicama za osobe s invaliditetom, pa bi razlike u postupanju prema osobama s invaliditetom u državama članicama i tomu svojstvena nesigurnost (uključujući pravnu nesigurnost) i dalje postojale, što bi negativno utjecalo na ostvarivanje njihovih prava na slobodno kretanje. </w:t>
      </w:r>
    </w:p>
    <w:p w14:paraId="5D523E0A"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r w:rsidRPr="00C16A84">
        <w:rPr>
          <w:noProof/>
        </w:rPr>
        <w:t>Djelovanjem EU-a ostvaruje se dodana vrijednost tako što se uvodi uzajamno priznati instrument (europska iskaznica za osobe s invaliditetom), čime se olakšavaju slobodno kretanje osoba s invaliditetom u EU-u i jednako postupanje prema njima u pristupu uslugama, aktivnostima i sadržajima u usporedbi s osobama s invaliditetom u državama članicama. Studija za evaluaciju pilot-projekta iskaznice EU-a za osobe s invaliditetom pokazala je da je u osam država članica sudionica djelovanje EU-a omogućilo uzajamno priznavanje statusa osobe s invaliditetom koje države članice ne bi ostvarile same. U tom je kontekstu intervencija Europske komisije doprinijela provedbi Europske strategije za osobe s invaliditetom 2010.–2020.</w:t>
      </w:r>
    </w:p>
    <w:p w14:paraId="3722EF0F" w14:textId="77777777" w:rsidR="003F3C34" w:rsidRPr="00C16A84" w:rsidRDefault="003F3C34" w:rsidP="003F3C34">
      <w:pPr>
        <w:pStyle w:val="ManualHeading3"/>
        <w:rPr>
          <w:noProof/>
        </w:rPr>
      </w:pPr>
      <w:bookmarkStart w:id="57" w:name="_Toc514938030"/>
      <w:bookmarkStart w:id="58" w:name="_Toc145493413"/>
      <w:r w:rsidRPr="00C16A84">
        <w:rPr>
          <w:noProof/>
        </w:rPr>
        <w:t>1.5.3.</w:t>
      </w:r>
      <w:r w:rsidRPr="00C16A84">
        <w:rPr>
          <w:noProof/>
        </w:rPr>
        <w:tab/>
        <w:t>Pouke iz prijašnjih sličnih iskustava</w:t>
      </w:r>
      <w:bookmarkEnd w:id="57"/>
      <w:bookmarkEnd w:id="58"/>
    </w:p>
    <w:p w14:paraId="5239DBBA"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r w:rsidRPr="00C16A84">
        <w:rPr>
          <w:noProof/>
        </w:rPr>
        <w:t xml:space="preserve">Europska iskaznica za osobe s invaliditetom temelji se na dvama već postojećim instrumentima: parkirnoj karti EU-a i pilot-projektu iskaznice EU-a za osobe s invaliditetom. </w:t>
      </w:r>
      <w:r w:rsidRPr="00C16A84">
        <w:rPr>
          <w:b/>
          <w:noProof/>
        </w:rPr>
        <w:t>Parkirna karta EU-a za osobe s invaliditetom</w:t>
      </w:r>
      <w:r w:rsidRPr="00C16A84">
        <w:rPr>
          <w:noProof/>
        </w:rPr>
        <w:t xml:space="preserve"> uvedena je Preporukom Vijeća 98/376/EZ i izmijenjena 2008. Riječ je o standardiziranom modelu parkirne karte EU-a kojim se osigurava njezino uzajamno priznavanje u svim državama članicama i osobama s invaliditetom olakšava slobodno kretanje automobilom. Unatoč njezinoj pozitivnoj ulozi korisnici nailaze na poteškoće u upotrebi parkirne karte EU-a. Od 2018. do 2022. na platformi SOLVIT podneseno je oko 260 upita o parkirnoj karti EU-a. Pritužbe su se uglavnom odnosile na nesigurnost u pogledu prava koja se karticom dodjeljuju osobama s invaliditetom kad putuju u druge države članice (oko 30 % slučajeva), uzajamno priznavanje nacionalnih parkirnih karata izdanih na temelju modela EU-a (oko 25 % slučajeva), kao i opravdanost novčanih kazni izrečenih čak i nakon predočenja parkirne karte EU-a (oko 12 % slučajeva).</w:t>
      </w:r>
    </w:p>
    <w:p w14:paraId="10AF6124"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r w:rsidRPr="00C16A84">
        <w:rPr>
          <w:noProof/>
        </w:rPr>
        <w:t xml:space="preserve">Pilot-projekt </w:t>
      </w:r>
      <w:r w:rsidRPr="00C16A84">
        <w:rPr>
          <w:b/>
          <w:noProof/>
        </w:rPr>
        <w:t>iskaznice EU-a za osobe s invaliditetom</w:t>
      </w:r>
      <w:r w:rsidRPr="00C16A84">
        <w:rPr>
          <w:noProof/>
        </w:rPr>
        <w:t xml:space="preserve">, koji je pokrenut u skladu s najavom u Izvješću o građanstvu EU-a za 2013., od 2016. do 2018. provodilo je osam država članica (Belgija, Cipar, Estonija, Finska, Italija, Malta, Rumunjska i Slovenija), koje su ga nastavile provoditi i nakon njegova završetka. Pilot-projektom je uveden zajednički obrazac iskaznice na temelju koje su države članice sudionice dobrovoljno uzajamno priznavale status osobe s invaliditetom, utvrđen u skladu s njihovim nacionalnim kriterijima prihvatljivosti ili pravilima, kako bi se omogućio pristup pogodnostima i uslugama u području kulture, slobodnih aktivnosti, sporta, a u nekim zemljama i prijevoza. Ako se ne poduzmu nikakve mjere, priznavanje njihovih nacionalnih iskaznica i potvrda za osobe s invaliditetom i dalje će biti dobrovoljno i ograničeno kad je riječ o povlaštenim uvjetima u pristupu uslugama, aktivnostima i sadržajima. </w:t>
      </w:r>
    </w:p>
    <w:p w14:paraId="332E4B24" w14:textId="77777777" w:rsidR="003F3C34" w:rsidRPr="00C16A84" w:rsidRDefault="003F3C34" w:rsidP="003F3C34">
      <w:pPr>
        <w:pStyle w:val="ManualHeading3"/>
        <w:rPr>
          <w:noProof/>
        </w:rPr>
      </w:pPr>
      <w:bookmarkStart w:id="59" w:name="_Toc514938033"/>
      <w:bookmarkStart w:id="60" w:name="_Toc145493414"/>
      <w:r w:rsidRPr="00C16A84">
        <w:rPr>
          <w:noProof/>
        </w:rPr>
        <w:t>1.5.4.</w:t>
      </w:r>
      <w:r w:rsidRPr="00C16A84">
        <w:rPr>
          <w:noProof/>
        </w:rPr>
        <w:tab/>
        <w:t>Usklađenost s višegodišnjim financijskim okvirom i moguće sinergije s drugim prikladnim instrumentima</w:t>
      </w:r>
      <w:bookmarkEnd w:id="59"/>
      <w:bookmarkEnd w:id="60"/>
    </w:p>
    <w:p w14:paraId="12056C3D"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r w:rsidRPr="00C16A84">
        <w:rPr>
          <w:noProof/>
        </w:rPr>
        <w:t>Prijedlog je u skladu s europskim stupom socijalnih prava, Strategijom o pravima osoba s invaliditetom i Konvencijom UN-a o pravima osoba s invaliditetom. U skladu je s višegodišnjim financijskim okvirom za razdoblje 2021.–2027.</w:t>
      </w:r>
    </w:p>
    <w:p w14:paraId="75161090" w14:textId="77777777" w:rsidR="003F3C34" w:rsidRPr="00C16A84" w:rsidRDefault="003F3C34" w:rsidP="003F3C34">
      <w:pPr>
        <w:pStyle w:val="ManualHeading3"/>
        <w:rPr>
          <w:noProof/>
        </w:rPr>
      </w:pPr>
      <w:bookmarkStart w:id="61" w:name="_Toc514938036"/>
      <w:bookmarkStart w:id="62" w:name="_Toc145493415"/>
      <w:r w:rsidRPr="00C16A84">
        <w:rPr>
          <w:noProof/>
        </w:rPr>
        <w:t>1.5.5.</w:t>
      </w:r>
      <w:r w:rsidRPr="00C16A84">
        <w:rPr>
          <w:noProof/>
        </w:rPr>
        <w:tab/>
        <w:t>Ocjena različitih dostupnih mogućnosti financiranja, uključujući mogućnost preraspodjele</w:t>
      </w:r>
      <w:bookmarkEnd w:id="61"/>
      <w:bookmarkEnd w:id="62"/>
    </w:p>
    <w:p w14:paraId="6A864B30"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r w:rsidRPr="00C16A84">
        <w:rPr>
          <w:noProof/>
        </w:rPr>
        <w:t>Za provedbu ovog zakonodavnog prijedloga potrebno je organizirati sastanke s državama članicama o njegovu prenošenju, kao i sastanke s državama članicama o donošenju delegiranih i provedbenih akata. Rashodi potrebni za organizaciju sastanaka, tj. putni troškovi delegata, pokrivaju se iz tematskog područja EaSI Europskog socijalnog fonda plus (izravno upravljanje).</w:t>
      </w:r>
    </w:p>
    <w:p w14:paraId="3CFF596A" w14:textId="77777777" w:rsidR="003F3C34" w:rsidRPr="00C16A84" w:rsidRDefault="003F3C34" w:rsidP="003F3C34">
      <w:pPr>
        <w:pStyle w:val="Text1"/>
        <w:rPr>
          <w:noProof/>
        </w:rPr>
      </w:pPr>
    </w:p>
    <w:p w14:paraId="2B15FD58" w14:textId="77777777" w:rsidR="003F3C34" w:rsidRPr="00C16A84" w:rsidRDefault="003F3C34" w:rsidP="003F3C34">
      <w:pPr>
        <w:pStyle w:val="ManualHeading2"/>
        <w:rPr>
          <w:bCs/>
          <w:noProof/>
          <w:szCs w:val="24"/>
        </w:rPr>
      </w:pPr>
      <w:r w:rsidRPr="00C16A84">
        <w:rPr>
          <w:noProof/>
        </w:rPr>
        <w:br w:type="page"/>
      </w:r>
      <w:bookmarkStart w:id="63" w:name="_Toc514938039"/>
      <w:bookmarkStart w:id="64" w:name="_Toc145493416"/>
      <w:r w:rsidRPr="00C16A84">
        <w:rPr>
          <w:noProof/>
        </w:rPr>
        <w:t>1.6.</w:t>
      </w:r>
      <w:r w:rsidRPr="00C16A84">
        <w:rPr>
          <w:noProof/>
        </w:rPr>
        <w:tab/>
        <w:t>Trajanje i financijski učinak prijedloga/inicijative</w:t>
      </w:r>
      <w:bookmarkEnd w:id="63"/>
      <w:bookmarkEnd w:id="64"/>
    </w:p>
    <w:p w14:paraId="05A4D78A" w14:textId="77777777" w:rsidR="003F3C34" w:rsidRPr="00C16A84" w:rsidRDefault="003F3C34" w:rsidP="003F3C34">
      <w:pPr>
        <w:pStyle w:val="Text1"/>
        <w:rPr>
          <w:noProof/>
        </w:rPr>
      </w:pPr>
      <w:r w:rsidRPr="00C16A84">
        <w:rPr>
          <w:noProof/>
        </w:rPr>
        <w:sym w:font="Wingdings" w:char="F0A8"/>
      </w:r>
      <w:r w:rsidRPr="00C16A84">
        <w:rPr>
          <w:b/>
          <w:i/>
          <w:noProof/>
        </w:rPr>
        <w:t xml:space="preserve"> </w:t>
      </w:r>
      <w:r w:rsidRPr="00C16A84">
        <w:rPr>
          <w:b/>
          <w:noProof/>
        </w:rPr>
        <w:t xml:space="preserve">Ograničeno trajanje </w:t>
      </w:r>
    </w:p>
    <w:p w14:paraId="1FED6FF3" w14:textId="77777777" w:rsidR="003F3C34" w:rsidRPr="00C16A84" w:rsidRDefault="003F3C34" w:rsidP="00E47EEA">
      <w:pPr>
        <w:pStyle w:val="ListDash2"/>
        <w:rPr>
          <w:noProof/>
        </w:rPr>
      </w:pPr>
      <w:r w:rsidRPr="00C16A84">
        <w:rPr>
          <w:noProof/>
        </w:rPr>
        <w:sym w:font="Wingdings" w:char="F0A8"/>
      </w:r>
      <w:r w:rsidRPr="00C16A84">
        <w:rPr>
          <w:noProof/>
        </w:rPr>
        <w:tab/>
        <w:t xml:space="preserve">na snazi od [DD/MM]GGGG do [DD/MM]GGGG </w:t>
      </w:r>
    </w:p>
    <w:p w14:paraId="72EC7432" w14:textId="77777777" w:rsidR="003F3C34" w:rsidRPr="00C16A84" w:rsidRDefault="003F3C34" w:rsidP="00E47EEA">
      <w:pPr>
        <w:pStyle w:val="ListDash2"/>
        <w:rPr>
          <w:noProof/>
        </w:rPr>
      </w:pPr>
      <w:r w:rsidRPr="00C16A84">
        <w:rPr>
          <w:noProof/>
        </w:rPr>
        <w:sym w:font="Wingdings" w:char="F0A8"/>
      </w:r>
      <w:r w:rsidRPr="00C16A84">
        <w:rPr>
          <w:noProof/>
        </w:rPr>
        <w:tab/>
        <w:t xml:space="preserve">financijski učinak od GGGG do GGGG za odobrena sredstva za preuzimanje obveza i od GGGG do GGGG za odobrena sredstva za plaćanje </w:t>
      </w:r>
    </w:p>
    <w:p w14:paraId="7432A7D5" w14:textId="77777777" w:rsidR="003F3C34" w:rsidRPr="00C16A84" w:rsidRDefault="003F3C34" w:rsidP="003F3C34">
      <w:pPr>
        <w:pStyle w:val="Text1"/>
        <w:rPr>
          <w:noProof/>
        </w:rPr>
      </w:pPr>
      <w:r w:rsidRPr="00C16A84">
        <w:rPr>
          <w:noProof/>
        </w:rPr>
        <w:t>X</w:t>
      </w:r>
      <w:r w:rsidRPr="00C16A84">
        <w:rPr>
          <w:b/>
          <w:i/>
          <w:noProof/>
        </w:rPr>
        <w:t xml:space="preserve"> </w:t>
      </w:r>
      <w:r w:rsidRPr="00C16A84">
        <w:rPr>
          <w:b/>
          <w:noProof/>
        </w:rPr>
        <w:t>Neograničeno trajanje</w:t>
      </w:r>
    </w:p>
    <w:p w14:paraId="565D9861" w14:textId="77777777" w:rsidR="003F3C34" w:rsidRPr="00C16A84" w:rsidRDefault="003F3C34" w:rsidP="00E47EEA">
      <w:pPr>
        <w:pStyle w:val="ListDash1"/>
        <w:rPr>
          <w:noProof/>
        </w:rPr>
      </w:pPr>
      <w:r w:rsidRPr="00C16A84">
        <w:rPr>
          <w:noProof/>
        </w:rPr>
        <w:t>provedba s početnim razdobljem od 2023. do 2027.</w:t>
      </w:r>
    </w:p>
    <w:p w14:paraId="5FABA0C5" w14:textId="77777777" w:rsidR="003F3C34" w:rsidRPr="00C16A84" w:rsidRDefault="003F3C34" w:rsidP="00E47EEA">
      <w:pPr>
        <w:pStyle w:val="ListDash1"/>
        <w:rPr>
          <w:noProof/>
        </w:rPr>
      </w:pPr>
      <w:r w:rsidRPr="00C16A84">
        <w:rPr>
          <w:noProof/>
        </w:rPr>
        <w:t>nakon čega slijedi redovna provedba.</w:t>
      </w:r>
    </w:p>
    <w:p w14:paraId="5643961C" w14:textId="77777777" w:rsidR="003F3C34" w:rsidRPr="00C16A84" w:rsidRDefault="003F3C34" w:rsidP="003F3C34">
      <w:pPr>
        <w:pStyle w:val="ManualHeading2"/>
        <w:rPr>
          <w:bCs/>
          <w:noProof/>
          <w:szCs w:val="24"/>
        </w:rPr>
      </w:pPr>
      <w:bookmarkStart w:id="65" w:name="_Toc145493417"/>
      <w:bookmarkStart w:id="66" w:name="_Toc514938040"/>
      <w:r w:rsidRPr="00C16A84">
        <w:rPr>
          <w:noProof/>
        </w:rPr>
        <w:t>1.7.</w:t>
      </w:r>
      <w:r w:rsidRPr="00C16A84">
        <w:rPr>
          <w:noProof/>
        </w:rPr>
        <w:tab/>
        <w:t>Planirani načini izvršenja proračuna</w:t>
      </w:r>
      <w:r w:rsidRPr="00C16A84">
        <w:rPr>
          <w:rStyle w:val="FootnoteReference"/>
          <w:noProof/>
        </w:rPr>
        <w:footnoteReference w:id="60"/>
      </w:r>
      <w:bookmarkEnd w:id="65"/>
      <w:r w:rsidRPr="00C16A84">
        <w:rPr>
          <w:rStyle w:val="FootnoteReference"/>
          <w:noProof/>
        </w:rPr>
        <w:t xml:space="preserve"> </w:t>
      </w:r>
      <w:bookmarkEnd w:id="66"/>
      <w:r w:rsidRPr="00C16A84">
        <w:rPr>
          <w:rStyle w:val="FootnoteReference"/>
          <w:noProof/>
        </w:rPr>
        <w:t xml:space="preserve"> </w:t>
      </w:r>
    </w:p>
    <w:p w14:paraId="79E28344" w14:textId="77777777" w:rsidR="003F3C34" w:rsidRPr="00C16A84" w:rsidRDefault="003F3C34" w:rsidP="003F3C34">
      <w:pPr>
        <w:pStyle w:val="Text1"/>
        <w:rPr>
          <w:noProof/>
        </w:rPr>
      </w:pPr>
      <w:r w:rsidRPr="00C16A84">
        <w:rPr>
          <w:noProof/>
        </w:rPr>
        <w:t xml:space="preserve">X </w:t>
      </w:r>
      <w:r w:rsidRPr="00C16A84">
        <w:rPr>
          <w:b/>
          <w:noProof/>
        </w:rPr>
        <w:t>Izravno upravljanje</w:t>
      </w:r>
      <w:r w:rsidRPr="00C16A84">
        <w:rPr>
          <w:noProof/>
        </w:rPr>
        <w:t xml:space="preserve"> koje provodi Komisija</w:t>
      </w:r>
    </w:p>
    <w:p w14:paraId="01D2B268" w14:textId="77777777" w:rsidR="003F3C34" w:rsidRPr="00C16A84" w:rsidRDefault="003F3C34" w:rsidP="00E47EEA">
      <w:pPr>
        <w:pStyle w:val="ListDash2"/>
        <w:rPr>
          <w:rFonts w:cs="EUAlbertina"/>
          <w:noProof/>
        </w:rPr>
      </w:pPr>
      <w:r w:rsidRPr="00C16A84">
        <w:rPr>
          <w:noProof/>
        </w:rPr>
        <w:t xml:space="preserve">X putem svojih službi, uključujući osoblje u delegacijama Unije </w:t>
      </w:r>
    </w:p>
    <w:p w14:paraId="0B12E613" w14:textId="77777777" w:rsidR="003F3C34" w:rsidRPr="00C16A84" w:rsidRDefault="003F3C34" w:rsidP="00E47EEA">
      <w:pPr>
        <w:pStyle w:val="ListDash2"/>
        <w:rPr>
          <w:noProof/>
        </w:rPr>
      </w:pPr>
      <w:r w:rsidRPr="00C16A84">
        <w:rPr>
          <w:noProof/>
        </w:rPr>
        <w:sym w:font="Wingdings" w:char="F0A8"/>
      </w:r>
      <w:r w:rsidRPr="00C16A84">
        <w:rPr>
          <w:noProof/>
        </w:rPr>
        <w:tab/>
        <w:t xml:space="preserve">putem izvršnih agencija </w:t>
      </w:r>
    </w:p>
    <w:p w14:paraId="6F111369" w14:textId="77777777" w:rsidR="003F3C34" w:rsidRPr="00C16A84" w:rsidRDefault="003F3C34" w:rsidP="003F3C34">
      <w:pPr>
        <w:pStyle w:val="Text1"/>
        <w:rPr>
          <w:noProof/>
        </w:rPr>
      </w:pPr>
      <w:r w:rsidRPr="00C16A84">
        <w:rPr>
          <w:noProof/>
        </w:rPr>
        <w:sym w:font="Wingdings" w:char="F0A8"/>
      </w:r>
      <w:r w:rsidRPr="00C16A84">
        <w:rPr>
          <w:b/>
          <w:i/>
          <w:noProof/>
        </w:rPr>
        <w:t xml:space="preserve"> </w:t>
      </w:r>
      <w:r w:rsidRPr="00C16A84">
        <w:rPr>
          <w:b/>
          <w:noProof/>
        </w:rPr>
        <w:t>Podijeljeno upravljanje</w:t>
      </w:r>
      <w:r w:rsidRPr="00C16A84">
        <w:rPr>
          <w:noProof/>
        </w:rPr>
        <w:t xml:space="preserve"> s državama članicama </w:t>
      </w:r>
    </w:p>
    <w:p w14:paraId="7D228FED" w14:textId="77777777" w:rsidR="003F3C34" w:rsidRPr="00C16A84" w:rsidRDefault="003F3C34" w:rsidP="003F3C34">
      <w:pPr>
        <w:pStyle w:val="Text1"/>
        <w:rPr>
          <w:noProof/>
        </w:rPr>
      </w:pPr>
      <w:r w:rsidRPr="00C16A84">
        <w:rPr>
          <w:noProof/>
        </w:rPr>
        <w:sym w:font="Wingdings" w:char="F0A8"/>
      </w:r>
      <w:r w:rsidRPr="00C16A84">
        <w:rPr>
          <w:i/>
          <w:noProof/>
        </w:rPr>
        <w:t xml:space="preserve"> </w:t>
      </w:r>
      <w:r w:rsidRPr="00C16A84">
        <w:rPr>
          <w:b/>
          <w:noProof/>
        </w:rPr>
        <w:t>Neizravno upravljanje</w:t>
      </w:r>
      <w:r w:rsidRPr="00C16A84">
        <w:rPr>
          <w:noProof/>
        </w:rPr>
        <w:t xml:space="preserve"> povjeravanjem zadaća izvršenja proračuna:</w:t>
      </w:r>
    </w:p>
    <w:p w14:paraId="31F884A3" w14:textId="77777777" w:rsidR="003F3C34" w:rsidRPr="00C16A84" w:rsidRDefault="003F3C34" w:rsidP="00E47EEA">
      <w:pPr>
        <w:pStyle w:val="ListDash2"/>
        <w:rPr>
          <w:noProof/>
        </w:rPr>
      </w:pPr>
      <w:r w:rsidRPr="00C16A84">
        <w:rPr>
          <w:noProof/>
        </w:rPr>
        <w:sym w:font="Wingdings" w:char="F0A8"/>
      </w:r>
      <w:r w:rsidRPr="00C16A84">
        <w:rPr>
          <w:noProof/>
        </w:rPr>
        <w:t xml:space="preserve"> trećim zemljama ili tijelima koja su one odredile</w:t>
      </w:r>
    </w:p>
    <w:p w14:paraId="26053FB4" w14:textId="77777777" w:rsidR="003F3C34" w:rsidRPr="00C16A84" w:rsidRDefault="003F3C34" w:rsidP="00E47EEA">
      <w:pPr>
        <w:pStyle w:val="ListDash2"/>
        <w:rPr>
          <w:noProof/>
        </w:rPr>
      </w:pPr>
      <w:r w:rsidRPr="00C16A84">
        <w:rPr>
          <w:noProof/>
        </w:rPr>
        <w:sym w:font="Wingdings" w:char="F0A8"/>
      </w:r>
      <w:r w:rsidRPr="00C16A84">
        <w:rPr>
          <w:noProof/>
        </w:rPr>
        <w:t xml:space="preserve"> međunarodnim organizacijama i njihovim agencijama (navesti)</w:t>
      </w:r>
    </w:p>
    <w:p w14:paraId="326991BE" w14:textId="77777777" w:rsidR="003F3C34" w:rsidRPr="00C16A84" w:rsidRDefault="003F3C34" w:rsidP="00E47EEA">
      <w:pPr>
        <w:pStyle w:val="ListDash2"/>
        <w:rPr>
          <w:noProof/>
        </w:rPr>
      </w:pPr>
      <w:r w:rsidRPr="00C16A84">
        <w:rPr>
          <w:noProof/>
        </w:rPr>
        <w:sym w:font="Wingdings" w:char="F0A8"/>
      </w:r>
      <w:r w:rsidRPr="00C16A84">
        <w:rPr>
          <w:noProof/>
        </w:rPr>
        <w:t xml:space="preserve"> EIB-u i Europskom investicijskom fondu</w:t>
      </w:r>
    </w:p>
    <w:p w14:paraId="1708E617" w14:textId="77777777" w:rsidR="003F3C34" w:rsidRPr="00C16A84" w:rsidRDefault="003F3C34" w:rsidP="00E47EEA">
      <w:pPr>
        <w:pStyle w:val="ListDash2"/>
        <w:rPr>
          <w:noProof/>
        </w:rPr>
      </w:pPr>
      <w:r w:rsidRPr="00C16A84">
        <w:rPr>
          <w:noProof/>
        </w:rPr>
        <w:sym w:font="Wingdings" w:char="F0A8"/>
      </w:r>
      <w:r w:rsidRPr="00C16A84">
        <w:rPr>
          <w:noProof/>
        </w:rPr>
        <w:t xml:space="preserve"> tijelima iz članaka 70. i 71. Financijske uredbe</w:t>
      </w:r>
    </w:p>
    <w:p w14:paraId="4B6FBF72" w14:textId="77777777" w:rsidR="003F3C34" w:rsidRPr="00C16A84" w:rsidRDefault="003F3C34" w:rsidP="00E47EEA">
      <w:pPr>
        <w:pStyle w:val="ListDash2"/>
        <w:rPr>
          <w:noProof/>
        </w:rPr>
      </w:pPr>
      <w:r w:rsidRPr="00C16A84">
        <w:rPr>
          <w:noProof/>
        </w:rPr>
        <w:sym w:font="Wingdings" w:char="F0A8"/>
      </w:r>
      <w:r w:rsidRPr="00C16A84">
        <w:rPr>
          <w:noProof/>
        </w:rPr>
        <w:t xml:space="preserve"> tijelima javnog prava</w:t>
      </w:r>
    </w:p>
    <w:p w14:paraId="19105002" w14:textId="77777777" w:rsidR="003F3C34" w:rsidRPr="00C16A84" w:rsidRDefault="003F3C34" w:rsidP="00E47EEA">
      <w:pPr>
        <w:pStyle w:val="ListDash2"/>
        <w:rPr>
          <w:noProof/>
        </w:rPr>
      </w:pPr>
      <w:r w:rsidRPr="00C16A84">
        <w:rPr>
          <w:noProof/>
        </w:rPr>
        <w:sym w:font="Wingdings" w:char="F0A8"/>
      </w:r>
      <w:r w:rsidRPr="00C16A84">
        <w:rPr>
          <w:noProof/>
        </w:rPr>
        <w:t xml:space="preserve"> tijelima uređenima privatnim pravom koja pružaju javne usluge, u mjeri u kojoj su im dana odgovarajuća financijska jamstva</w:t>
      </w:r>
    </w:p>
    <w:p w14:paraId="21DA1D2B" w14:textId="77777777" w:rsidR="003F3C34" w:rsidRPr="00C16A84" w:rsidRDefault="003F3C34" w:rsidP="00E47EEA">
      <w:pPr>
        <w:pStyle w:val="ListDash2"/>
        <w:rPr>
          <w:noProof/>
        </w:rPr>
      </w:pPr>
      <w:r w:rsidRPr="00C16A84">
        <w:rPr>
          <w:noProof/>
        </w:rPr>
        <w:sym w:font="Wingdings" w:char="F0A8"/>
      </w:r>
      <w:r w:rsidRPr="00C16A84">
        <w:rPr>
          <w:noProof/>
        </w:rPr>
        <w:t xml:space="preserve"> tijelima uređenima privatnim pravom države članice kojima je povjerena provedba javno-privatnog partnerstva i kojima su dana odgovarajuća financijska jamstva</w:t>
      </w:r>
    </w:p>
    <w:p w14:paraId="479DB630" w14:textId="77777777" w:rsidR="003F3C34" w:rsidRPr="00C16A84" w:rsidRDefault="003F3C34" w:rsidP="00E47EEA">
      <w:pPr>
        <w:pStyle w:val="ListDash2"/>
        <w:rPr>
          <w:noProof/>
        </w:rPr>
      </w:pPr>
      <w:r w:rsidRPr="00C16A84">
        <w:rPr>
          <w:noProof/>
        </w:rPr>
        <w:sym w:font="Wingdings" w:char="F0A8"/>
      </w:r>
      <w:r w:rsidRPr="00C16A84">
        <w:rPr>
          <w:noProof/>
        </w:rPr>
        <w:tab/>
        <w:t>tijelima ili osobama kojima je povjerena provedba određenih djelovanja u području ZVSP-a u skladu s glavom V. UEU-a i koje su navedene u odgovarajućem temeljnom aktu.</w:t>
      </w:r>
    </w:p>
    <w:p w14:paraId="086338CA" w14:textId="77777777" w:rsidR="003F3C34" w:rsidRPr="00C16A84" w:rsidRDefault="003F3C34" w:rsidP="00E47EEA">
      <w:pPr>
        <w:pStyle w:val="ListDash2"/>
        <w:rPr>
          <w:i/>
          <w:noProof/>
          <w:sz w:val="18"/>
          <w:u w:val="single"/>
        </w:rPr>
      </w:pPr>
      <w:r w:rsidRPr="00C16A84">
        <w:rPr>
          <w:i/>
          <w:noProof/>
          <w:sz w:val="18"/>
        </w:rPr>
        <w:t>Ako je navedeno više načina upravljanja, potrebno je pojasniti u odjeljku „Napomene”.</w:t>
      </w:r>
    </w:p>
    <w:p w14:paraId="61865FB1" w14:textId="77777777" w:rsidR="003F3C34" w:rsidRPr="00C16A84" w:rsidRDefault="003F3C34" w:rsidP="003F3C34">
      <w:pPr>
        <w:rPr>
          <w:noProof/>
        </w:rPr>
      </w:pPr>
      <w:r w:rsidRPr="00C16A84">
        <w:rPr>
          <w:noProof/>
        </w:rPr>
        <w:t xml:space="preserve">Napomene </w:t>
      </w:r>
    </w:p>
    <w:p w14:paraId="7B11FFFC" w14:textId="77777777" w:rsidR="003F3C34" w:rsidRPr="00C16A84" w:rsidRDefault="003F3C34" w:rsidP="003F3C34">
      <w:pPr>
        <w:pBdr>
          <w:top w:val="single" w:sz="4" w:space="1" w:color="auto"/>
          <w:left w:val="single" w:sz="4" w:space="4" w:color="auto"/>
          <w:bottom w:val="single" w:sz="4" w:space="1" w:color="auto"/>
          <w:right w:val="single" w:sz="4" w:space="4" w:color="auto"/>
        </w:pBdr>
        <w:rPr>
          <w:noProof/>
        </w:rPr>
      </w:pPr>
      <w:r w:rsidRPr="00C16A84">
        <w:rPr>
          <w:noProof/>
        </w:rPr>
        <w:t>Učinak prijedloga na proračun ograničen je i može se u potpunosti pokriti sredstvima koja su već dostupna u višegodišnjem financijskom okviru za razdoblje 2021.–2027., i za osoblje i za odobrena sredstva, jer su utvrđene mogućnosti preraspodjele.</w:t>
      </w:r>
    </w:p>
    <w:p w14:paraId="7C965BF5" w14:textId="77777777" w:rsidR="003F3C34" w:rsidRPr="00C16A84" w:rsidRDefault="003F3C34" w:rsidP="003F3C34">
      <w:pPr>
        <w:pBdr>
          <w:top w:val="single" w:sz="4" w:space="1" w:color="auto"/>
          <w:left w:val="single" w:sz="4" w:space="4" w:color="auto"/>
          <w:bottom w:val="single" w:sz="4" w:space="1" w:color="auto"/>
          <w:right w:val="single" w:sz="4" w:space="4" w:color="auto"/>
        </w:pBdr>
        <w:rPr>
          <w:noProof/>
        </w:rPr>
      </w:pPr>
      <w:r w:rsidRPr="00C16A84">
        <w:rPr>
          <w:noProof/>
        </w:rPr>
        <w:t xml:space="preserve">I nakon 2027. očekuje se vrlo ograničen učinak, koji bi se uzeo u obzir pri izradi višegodišnjeg financijskog okvira za razdoblje nakon 2027. </w:t>
      </w:r>
    </w:p>
    <w:p w14:paraId="2F52B81F" w14:textId="77777777" w:rsidR="003F3C34" w:rsidRPr="00C16A84" w:rsidRDefault="003F3C34" w:rsidP="003F3C34">
      <w:pPr>
        <w:pBdr>
          <w:top w:val="single" w:sz="4" w:space="1" w:color="auto"/>
          <w:left w:val="single" w:sz="4" w:space="4" w:color="auto"/>
          <w:bottom w:val="single" w:sz="4" w:space="1" w:color="auto"/>
          <w:right w:val="single" w:sz="4" w:space="4" w:color="auto"/>
        </w:pBdr>
        <w:rPr>
          <w:noProof/>
        </w:rPr>
      </w:pPr>
    </w:p>
    <w:p w14:paraId="136E4951" w14:textId="77777777" w:rsidR="003F3C34" w:rsidRPr="00C16A84" w:rsidRDefault="003F3C34" w:rsidP="003F3C34">
      <w:pPr>
        <w:rPr>
          <w:noProof/>
        </w:rPr>
        <w:sectPr w:rsidR="003F3C34" w:rsidRPr="00C16A84" w:rsidSect="00396AE5">
          <w:pgSz w:w="11907" w:h="16840" w:code="9"/>
          <w:pgMar w:top="1134" w:right="1418" w:bottom="1134" w:left="1418" w:header="709" w:footer="709" w:gutter="0"/>
          <w:cols w:space="708"/>
          <w:docGrid w:linePitch="360"/>
        </w:sectPr>
      </w:pPr>
    </w:p>
    <w:p w14:paraId="08FF69EB" w14:textId="77777777" w:rsidR="003F3C34" w:rsidRPr="00C16A84" w:rsidRDefault="003F3C34" w:rsidP="003F3C34">
      <w:pPr>
        <w:pStyle w:val="ManualHeading1"/>
        <w:rPr>
          <w:bCs/>
          <w:noProof/>
          <w:szCs w:val="24"/>
        </w:rPr>
      </w:pPr>
      <w:bookmarkStart w:id="67" w:name="_Toc514938041"/>
      <w:bookmarkStart w:id="68" w:name="_Toc145493418"/>
      <w:r w:rsidRPr="00C16A84">
        <w:rPr>
          <w:noProof/>
        </w:rPr>
        <w:t>2.</w:t>
      </w:r>
      <w:r w:rsidRPr="00C16A84">
        <w:rPr>
          <w:noProof/>
        </w:rPr>
        <w:tab/>
        <w:t>MJERE UPRAVLJANJA</w:t>
      </w:r>
      <w:bookmarkEnd w:id="67"/>
      <w:bookmarkEnd w:id="68"/>
      <w:r w:rsidRPr="00C16A84">
        <w:rPr>
          <w:noProof/>
        </w:rPr>
        <w:t xml:space="preserve"> </w:t>
      </w:r>
    </w:p>
    <w:p w14:paraId="498F0668" w14:textId="77777777" w:rsidR="003F3C34" w:rsidRPr="00C16A84" w:rsidRDefault="003F3C34" w:rsidP="003F3C34">
      <w:pPr>
        <w:pStyle w:val="ManualHeading2"/>
        <w:rPr>
          <w:noProof/>
        </w:rPr>
      </w:pPr>
      <w:bookmarkStart w:id="69" w:name="_Toc514938042"/>
      <w:bookmarkStart w:id="70" w:name="_Toc145493419"/>
      <w:r w:rsidRPr="00C16A84">
        <w:rPr>
          <w:noProof/>
        </w:rPr>
        <w:t>2.1.</w:t>
      </w:r>
      <w:r w:rsidRPr="00C16A84">
        <w:rPr>
          <w:noProof/>
        </w:rPr>
        <w:tab/>
        <w:t>Pravila praćenja i izvješćivanja</w:t>
      </w:r>
      <w:bookmarkEnd w:id="69"/>
      <w:bookmarkEnd w:id="70"/>
      <w:r w:rsidRPr="00C16A84">
        <w:rPr>
          <w:noProof/>
        </w:rPr>
        <w:t xml:space="preserve"> </w:t>
      </w:r>
    </w:p>
    <w:p w14:paraId="0EF599CD" w14:textId="77777777" w:rsidR="003F3C34" w:rsidRPr="00C16A84" w:rsidRDefault="003F3C34" w:rsidP="003F3C34">
      <w:pPr>
        <w:pStyle w:val="Text1"/>
        <w:rPr>
          <w:i/>
          <w:noProof/>
          <w:sz w:val="20"/>
        </w:rPr>
      </w:pPr>
      <w:r w:rsidRPr="00C16A84">
        <w:rPr>
          <w:i/>
          <w:noProof/>
          <w:sz w:val="20"/>
        </w:rPr>
        <w:t>Navesti učestalost i uvjete.</w:t>
      </w:r>
    </w:p>
    <w:p w14:paraId="7F1A1507"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r w:rsidRPr="00C16A84">
        <w:rPr>
          <w:noProof/>
        </w:rPr>
        <w:t>Do [</w:t>
      </w:r>
      <w:r w:rsidRPr="00C16A84">
        <w:rPr>
          <w:i/>
          <w:noProof/>
        </w:rPr>
        <w:t>tri godine nakon datuma početka primjene ove Direktive</w:t>
      </w:r>
      <w:r w:rsidRPr="00C16A84">
        <w:rPr>
          <w:noProof/>
        </w:rPr>
        <w:t>], a nakon toga svakih pet godina, Komisija Europskom parlamentu, Vijeću, Gospodarskom i socijalnom odboru i Odboru regija podnosi izvješće o njezinoj primjeni.</w:t>
      </w:r>
    </w:p>
    <w:p w14:paraId="26A5994B" w14:textId="77777777" w:rsidR="003F3C34" w:rsidRPr="00C16A84" w:rsidRDefault="003F3C34" w:rsidP="003F3C34">
      <w:pPr>
        <w:pStyle w:val="ManualHeading2"/>
        <w:rPr>
          <w:bCs/>
          <w:noProof/>
          <w:szCs w:val="24"/>
        </w:rPr>
      </w:pPr>
      <w:bookmarkStart w:id="71" w:name="_Toc514938045"/>
      <w:bookmarkStart w:id="72" w:name="_Toc145493420"/>
      <w:r w:rsidRPr="00C16A84">
        <w:rPr>
          <w:noProof/>
        </w:rPr>
        <w:t>2.2.</w:t>
      </w:r>
      <w:r w:rsidRPr="00C16A84">
        <w:rPr>
          <w:noProof/>
        </w:rPr>
        <w:tab/>
        <w:t>Sustavi upravljanja i kontrole</w:t>
      </w:r>
      <w:bookmarkEnd w:id="71"/>
      <w:bookmarkEnd w:id="72"/>
      <w:r w:rsidRPr="00C16A84">
        <w:rPr>
          <w:noProof/>
        </w:rPr>
        <w:t xml:space="preserve"> </w:t>
      </w:r>
    </w:p>
    <w:p w14:paraId="39F68D84" w14:textId="77777777" w:rsidR="003F3C34" w:rsidRPr="00C16A84" w:rsidRDefault="003F3C34" w:rsidP="003F3C34">
      <w:pPr>
        <w:pStyle w:val="ManualHeading3"/>
        <w:rPr>
          <w:noProof/>
        </w:rPr>
      </w:pPr>
      <w:bookmarkStart w:id="73" w:name="_Toc514938046"/>
      <w:bookmarkStart w:id="74" w:name="_Toc145493421"/>
      <w:r w:rsidRPr="00C16A84">
        <w:rPr>
          <w:noProof/>
        </w:rPr>
        <w:t>2.2.1.</w:t>
      </w:r>
      <w:r w:rsidRPr="00C16A84">
        <w:rPr>
          <w:noProof/>
        </w:rPr>
        <w:tab/>
        <w:t>Obrazloženje načina upravljanja, mehanizama provedbe financiranja, načina plaćanja i predložene strategije kontrole</w:t>
      </w:r>
      <w:bookmarkEnd w:id="73"/>
      <w:bookmarkEnd w:id="74"/>
    </w:p>
    <w:p w14:paraId="429FCE6E"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r w:rsidRPr="00C16A84">
        <w:rPr>
          <w:noProof/>
        </w:rPr>
        <w:t>Izravno upravljanje, u skladu s člankom 62. stavkom 1. točkom (a) Financijske uredbe, poželjan je način jer će mjere provesti Europska komisija, konkretno Glavna uprava za zapošljavanje, socijalna pitanja i uključivanje (GU EMPL), koja će osigurati koordinaciju s državama članicama i različitim dionicima.</w:t>
      </w:r>
    </w:p>
    <w:p w14:paraId="07BF24C3" w14:textId="77777777" w:rsidR="003F3C34" w:rsidRPr="00C16A84" w:rsidRDefault="003F3C34" w:rsidP="003F3C34">
      <w:pPr>
        <w:pStyle w:val="ManualHeading3"/>
        <w:rPr>
          <w:bCs/>
          <w:noProof/>
          <w:szCs w:val="24"/>
        </w:rPr>
      </w:pPr>
      <w:bookmarkStart w:id="75" w:name="_Toc514938047"/>
      <w:bookmarkStart w:id="76" w:name="_Toc145493422"/>
      <w:r w:rsidRPr="00C16A84">
        <w:rPr>
          <w:noProof/>
        </w:rPr>
        <w:t>2.2.2.</w:t>
      </w:r>
      <w:r w:rsidRPr="00C16A84">
        <w:rPr>
          <w:noProof/>
        </w:rPr>
        <w:tab/>
        <w:t>Informacije o utvrđenim rizicima i uspostavljenim sustavima unutarnje kontrole za ublažavanje rizika</w:t>
      </w:r>
      <w:bookmarkEnd w:id="75"/>
      <w:bookmarkEnd w:id="76"/>
    </w:p>
    <w:p w14:paraId="4AF1F54D"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r w:rsidRPr="00C16A84">
        <w:rPr>
          <w:noProof/>
        </w:rPr>
        <w:t>Kontrole su dio sustava unutarnje kontrole u GU-u EMPL. Isti će se pristup primijeniti za utvrđivanje i ublažavanje rizika tih novih aktivnosti.</w:t>
      </w:r>
    </w:p>
    <w:p w14:paraId="3F5C681C" w14:textId="77777777" w:rsidR="003F3C34" w:rsidRPr="00C16A84" w:rsidRDefault="003F3C34" w:rsidP="003F3C34">
      <w:pPr>
        <w:pStyle w:val="ManualHeading3"/>
        <w:rPr>
          <w:noProof/>
        </w:rPr>
      </w:pPr>
      <w:bookmarkStart w:id="77" w:name="_Toc514938048"/>
      <w:bookmarkStart w:id="78" w:name="_Toc145493423"/>
      <w:r w:rsidRPr="00C16A84">
        <w:rPr>
          <w:noProof/>
        </w:rPr>
        <w:t>2.2.3.</w:t>
      </w:r>
      <w:r w:rsidRPr="00C16A84">
        <w:rPr>
          <w:noProof/>
        </w:rPr>
        <w:tab/>
        <w:t>Procjena i obrazloženje troškovne učinkovitosti kontrola (omjer troškova kontrole i vrijednosti sredstava kojima se upravlja) i procjena očekivane razine rizika od pogreške (pri plaćanju i pri zaključenju)</w:t>
      </w:r>
      <w:bookmarkEnd w:id="77"/>
      <w:bookmarkEnd w:id="78"/>
      <w:r w:rsidRPr="00C16A84">
        <w:rPr>
          <w:noProof/>
        </w:rPr>
        <w:t xml:space="preserve"> </w:t>
      </w:r>
    </w:p>
    <w:p w14:paraId="5712CB8B"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color w:val="0000FF"/>
        </w:rPr>
      </w:pPr>
      <w:r w:rsidRPr="00C16A84">
        <w:rPr>
          <w:noProof/>
        </w:rPr>
        <w:t>Kontrole su dio sustava unutarnje kontrole u GU-u EMPL. Te nove aktivnosti dovest će do neznatnih dodatnih troškova kontrole na razini glavne uprave.</w:t>
      </w:r>
    </w:p>
    <w:p w14:paraId="07177761" w14:textId="77777777" w:rsidR="003F3C34" w:rsidRPr="00C16A84" w:rsidRDefault="003F3C34" w:rsidP="003F3C34">
      <w:pPr>
        <w:pStyle w:val="ManualHeading2"/>
        <w:rPr>
          <w:bCs/>
          <w:noProof/>
          <w:szCs w:val="24"/>
        </w:rPr>
      </w:pPr>
      <w:bookmarkStart w:id="79" w:name="_Toc514938049"/>
      <w:bookmarkStart w:id="80" w:name="_Toc145493424"/>
      <w:r w:rsidRPr="00C16A84">
        <w:rPr>
          <w:noProof/>
        </w:rPr>
        <w:t>2.3.</w:t>
      </w:r>
      <w:r w:rsidRPr="00C16A84">
        <w:rPr>
          <w:noProof/>
        </w:rPr>
        <w:tab/>
        <w:t>Mjere za sprečavanje prijevara i nepravilnosti</w:t>
      </w:r>
      <w:bookmarkEnd w:id="79"/>
      <w:bookmarkEnd w:id="80"/>
      <w:r w:rsidRPr="00C16A84">
        <w:rPr>
          <w:noProof/>
        </w:rPr>
        <w:t xml:space="preserve"> </w:t>
      </w:r>
    </w:p>
    <w:p w14:paraId="2A4B7C96" w14:textId="77777777" w:rsidR="003F3C34" w:rsidRPr="00C16A84" w:rsidRDefault="003F3C34" w:rsidP="003F3C34">
      <w:pPr>
        <w:pStyle w:val="Text1"/>
        <w:rPr>
          <w:i/>
          <w:noProof/>
          <w:sz w:val="20"/>
        </w:rPr>
      </w:pPr>
      <w:r w:rsidRPr="00C16A84">
        <w:rPr>
          <w:i/>
          <w:noProof/>
          <w:sz w:val="20"/>
        </w:rPr>
        <w:t>Navesti postojeće ili predviđene mjere za sprečavanje i zaštitu, npr. iz strategije za borbu protiv prijevara.</w:t>
      </w:r>
    </w:p>
    <w:p w14:paraId="2CF750BF"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r w:rsidRPr="00C16A84">
        <w:rPr>
          <w:noProof/>
        </w:rPr>
        <w:t>Komisija osigurava da su, dok se provode financirana djelovanja, financijski interesi Unije zaštićeni primjenom preventivnih mjera protiv prijevare, korupcije i svih drugih nezakonitih aktivnosti, učinkovitim provjerama i osiguravanjem povrata neopravdano plaćenih iznosa te, ako se utvrde nepravilnosti, učinkovitim, proporcionalnim i odvraćajućim sankcijama. Komisija može provoditi kontrole i provjere na licu mjesta prema ovoj Odluci u skladu s Uredbom Vijeća (Euratom, EZ) br. 2185/96 od 11. studenoga 1996. o provjerama i inspekcijama na terenu koje provodi Komisija s ciljem zaštite financijskih interesa Europskih zajednica od prijevara i ostalih nepravilnosti. Prema potrebi istrage provodi Europski ured za borbu protiv prijevara u skladu s Uredbom (EZ) br. 1073/1999 Europskog parlamenta i Vijeća od 25. svibnja 1999. o istragama koje provodi Europski ured za borbu protiv prijevara (OLAF).</w:t>
      </w:r>
    </w:p>
    <w:p w14:paraId="26E18974"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p>
    <w:p w14:paraId="3562E75B" w14:textId="77777777" w:rsidR="003F3C34" w:rsidRPr="00C16A84" w:rsidRDefault="003F3C34" w:rsidP="003F3C34">
      <w:pPr>
        <w:pStyle w:val="ManualHeading1"/>
        <w:rPr>
          <w:bCs/>
          <w:noProof/>
          <w:szCs w:val="24"/>
        </w:rPr>
      </w:pPr>
      <w:bookmarkStart w:id="81" w:name="_Toc514938050"/>
      <w:bookmarkStart w:id="82" w:name="_Toc145493425"/>
      <w:r w:rsidRPr="00C16A84">
        <w:rPr>
          <w:noProof/>
        </w:rPr>
        <w:t>3.</w:t>
      </w:r>
      <w:r w:rsidRPr="00C16A84">
        <w:rPr>
          <w:noProof/>
        </w:rPr>
        <w:tab/>
        <w:t>PROCIJENJENI FINANCIJSKI UČINAK PRIJEDLOGA/INICIJATIVE</w:t>
      </w:r>
      <w:bookmarkEnd w:id="81"/>
      <w:bookmarkEnd w:id="82"/>
      <w:r w:rsidRPr="00C16A84">
        <w:rPr>
          <w:noProof/>
        </w:rPr>
        <w:t xml:space="preserve"> </w:t>
      </w:r>
    </w:p>
    <w:p w14:paraId="2E525B16" w14:textId="77777777" w:rsidR="003F3C34" w:rsidRPr="00C16A84" w:rsidRDefault="003F3C34" w:rsidP="003F3C34">
      <w:pPr>
        <w:pStyle w:val="ManualHeading2"/>
        <w:rPr>
          <w:noProof/>
        </w:rPr>
      </w:pPr>
      <w:bookmarkStart w:id="83" w:name="_Toc514938051"/>
      <w:bookmarkStart w:id="84" w:name="_Toc145493426"/>
      <w:r w:rsidRPr="00C16A84">
        <w:rPr>
          <w:noProof/>
        </w:rPr>
        <w:t>3.1.</w:t>
      </w:r>
      <w:r w:rsidRPr="00C16A84">
        <w:rPr>
          <w:noProof/>
        </w:rPr>
        <w:tab/>
        <w:t>Naslovi višegodišnjeg financijskog okvira i proračunske linije rashoda na koje prijedlog/inicijativa ima učinak</w:t>
      </w:r>
      <w:bookmarkEnd w:id="83"/>
      <w:bookmarkEnd w:id="84"/>
      <w:r w:rsidRPr="00C16A84">
        <w:rPr>
          <w:noProof/>
        </w:rPr>
        <w:t xml:space="preserve"> </w:t>
      </w:r>
    </w:p>
    <w:p w14:paraId="287D2A58" w14:textId="77777777" w:rsidR="003F3C34" w:rsidRPr="00C16A84" w:rsidRDefault="003F3C34" w:rsidP="00E47EEA">
      <w:pPr>
        <w:pStyle w:val="ListBullet1"/>
        <w:rPr>
          <w:noProof/>
        </w:rPr>
      </w:pPr>
      <w:r w:rsidRPr="00C16A84">
        <w:rPr>
          <w:noProof/>
        </w:rPr>
        <w:t xml:space="preserve">Postojeće proračunske linije </w:t>
      </w:r>
    </w:p>
    <w:p w14:paraId="64CE3328" w14:textId="77777777" w:rsidR="003F3C34" w:rsidRPr="00C16A84" w:rsidRDefault="003F3C34" w:rsidP="003F3C34">
      <w:pPr>
        <w:pStyle w:val="Text1"/>
        <w:rPr>
          <w:i/>
          <w:noProof/>
        </w:rPr>
      </w:pPr>
      <w:r w:rsidRPr="00C16A84">
        <w:rPr>
          <w:i/>
          <w:noProof/>
          <w:u w:val="single"/>
        </w:rPr>
        <w:t>Prema redoslijedu</w:t>
      </w:r>
      <w:r w:rsidRPr="00C16A84">
        <w:rPr>
          <w:i/>
          <w:noProof/>
        </w:rPr>
        <w:t xml:space="preserve"> naslova višegodišnjeg financijskog okvira i proračunskih linija.</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3F3C34" w:rsidRPr="00C16A84" w14:paraId="3A4A2B93" w14:textId="77777777" w:rsidTr="008204DA">
        <w:tc>
          <w:tcPr>
            <w:tcW w:w="1080" w:type="dxa"/>
            <w:vMerge w:val="restart"/>
            <w:vAlign w:val="center"/>
          </w:tcPr>
          <w:p w14:paraId="558D606B" w14:textId="77777777" w:rsidR="003F3C34" w:rsidRPr="00C16A84" w:rsidRDefault="003F3C34" w:rsidP="008204DA">
            <w:pPr>
              <w:spacing w:before="60" w:after="60"/>
              <w:jc w:val="center"/>
              <w:rPr>
                <w:noProof/>
              </w:rPr>
            </w:pPr>
            <w:r w:rsidRPr="00C16A84">
              <w:rPr>
                <w:noProof/>
                <w:sz w:val="18"/>
              </w:rPr>
              <w:t>Naslov višegodišnjeg financijskog okvira</w:t>
            </w:r>
          </w:p>
        </w:tc>
        <w:tc>
          <w:tcPr>
            <w:tcW w:w="3960" w:type="dxa"/>
            <w:vAlign w:val="center"/>
          </w:tcPr>
          <w:p w14:paraId="2BB8CF60" w14:textId="77777777" w:rsidR="003F3C34" w:rsidRPr="00C16A84" w:rsidRDefault="003F3C34" w:rsidP="008204DA">
            <w:pPr>
              <w:spacing w:before="60" w:after="60"/>
              <w:jc w:val="center"/>
              <w:rPr>
                <w:noProof/>
              </w:rPr>
            </w:pPr>
            <w:r w:rsidRPr="00C16A84">
              <w:rPr>
                <w:noProof/>
                <w:sz w:val="20"/>
              </w:rPr>
              <w:t>Proračunska linija</w:t>
            </w:r>
          </w:p>
        </w:tc>
        <w:tc>
          <w:tcPr>
            <w:tcW w:w="1080" w:type="dxa"/>
            <w:vAlign w:val="center"/>
          </w:tcPr>
          <w:p w14:paraId="6BF85BEE" w14:textId="77777777" w:rsidR="003F3C34" w:rsidRPr="00C16A84" w:rsidRDefault="003F3C34" w:rsidP="008204DA">
            <w:pPr>
              <w:spacing w:before="60" w:after="60"/>
              <w:jc w:val="center"/>
              <w:rPr>
                <w:noProof/>
              </w:rPr>
            </w:pPr>
            <w:r w:rsidRPr="00C16A84">
              <w:rPr>
                <w:noProof/>
                <w:sz w:val="18"/>
              </w:rPr>
              <w:t>Vrsta</w:t>
            </w:r>
            <w:r w:rsidRPr="00C16A84">
              <w:rPr>
                <w:noProof/>
              </w:rPr>
              <w:t xml:space="preserve"> </w:t>
            </w:r>
            <w:r w:rsidRPr="00C16A84">
              <w:rPr>
                <w:noProof/>
              </w:rPr>
              <w:br/>
            </w:r>
            <w:r w:rsidRPr="00C16A84">
              <w:rPr>
                <w:noProof/>
                <w:sz w:val="18"/>
              </w:rPr>
              <w:t>rashoda</w:t>
            </w:r>
          </w:p>
        </w:tc>
        <w:tc>
          <w:tcPr>
            <w:tcW w:w="4440" w:type="dxa"/>
            <w:gridSpan w:val="4"/>
            <w:vAlign w:val="center"/>
          </w:tcPr>
          <w:p w14:paraId="31EBB34C" w14:textId="77777777" w:rsidR="003F3C34" w:rsidRPr="00C16A84" w:rsidRDefault="003F3C34" w:rsidP="008204DA">
            <w:pPr>
              <w:spacing w:before="60" w:after="60"/>
              <w:jc w:val="center"/>
              <w:rPr>
                <w:noProof/>
              </w:rPr>
            </w:pPr>
            <w:r w:rsidRPr="00C16A84">
              <w:rPr>
                <w:noProof/>
                <w:sz w:val="20"/>
              </w:rPr>
              <w:t xml:space="preserve">Doprinos </w:t>
            </w:r>
          </w:p>
        </w:tc>
      </w:tr>
      <w:tr w:rsidR="003F3C34" w:rsidRPr="00C16A84" w14:paraId="1E29DAFF" w14:textId="77777777" w:rsidTr="008204DA">
        <w:tc>
          <w:tcPr>
            <w:tcW w:w="1080" w:type="dxa"/>
            <w:vMerge/>
            <w:vAlign w:val="center"/>
          </w:tcPr>
          <w:p w14:paraId="4A766C63" w14:textId="77777777" w:rsidR="003F3C34" w:rsidRPr="00C16A84" w:rsidRDefault="003F3C34" w:rsidP="008204DA">
            <w:pPr>
              <w:jc w:val="center"/>
              <w:rPr>
                <w:noProof/>
              </w:rPr>
            </w:pPr>
          </w:p>
        </w:tc>
        <w:tc>
          <w:tcPr>
            <w:tcW w:w="3960" w:type="dxa"/>
            <w:vAlign w:val="center"/>
          </w:tcPr>
          <w:p w14:paraId="3C28DE78" w14:textId="77777777" w:rsidR="00CE64C2" w:rsidRPr="00C16A84" w:rsidRDefault="003F3C34" w:rsidP="008204DA">
            <w:pPr>
              <w:rPr>
                <w:noProof/>
                <w:sz w:val="20"/>
              </w:rPr>
            </w:pPr>
            <w:r w:rsidRPr="00C16A84">
              <w:rPr>
                <w:noProof/>
                <w:sz w:val="20"/>
              </w:rPr>
              <w:t>Broj 2.b</w:t>
            </w:r>
          </w:p>
          <w:p w14:paraId="06EB6688" w14:textId="77777777" w:rsidR="003F3C34" w:rsidRPr="00C16A84" w:rsidRDefault="003F3C34" w:rsidP="008204DA">
            <w:pPr>
              <w:rPr>
                <w:noProof/>
              </w:rPr>
            </w:pPr>
            <w:r w:rsidRPr="00C16A84">
              <w:rPr>
                <w:noProof/>
                <w:sz w:val="20"/>
              </w:rPr>
              <w:t xml:space="preserve"> </w:t>
            </w:r>
            <w:r w:rsidRPr="00C16A84">
              <w:rPr>
                <w:noProof/>
              </w:rPr>
              <w:t xml:space="preserve"> </w:t>
            </w:r>
            <w:r w:rsidRPr="00C16A84">
              <w:rPr>
                <w:noProof/>
              </w:rPr>
              <w:br/>
            </w:r>
          </w:p>
        </w:tc>
        <w:tc>
          <w:tcPr>
            <w:tcW w:w="1080" w:type="dxa"/>
            <w:vAlign w:val="center"/>
          </w:tcPr>
          <w:p w14:paraId="0FC92715" w14:textId="77777777" w:rsidR="003F3C34" w:rsidRPr="00C16A84" w:rsidRDefault="003F3C34" w:rsidP="008204DA">
            <w:pPr>
              <w:jc w:val="center"/>
              <w:rPr>
                <w:noProof/>
              </w:rPr>
            </w:pPr>
            <w:r w:rsidRPr="00C16A84">
              <w:rPr>
                <w:noProof/>
                <w:sz w:val="18"/>
              </w:rPr>
              <w:t>dif./nedif.</w:t>
            </w:r>
            <w:r w:rsidRPr="00C16A84">
              <w:rPr>
                <w:rStyle w:val="FootnoteReference"/>
                <w:noProof/>
                <w:sz w:val="18"/>
              </w:rPr>
              <w:footnoteReference w:id="61"/>
            </w:r>
          </w:p>
        </w:tc>
        <w:tc>
          <w:tcPr>
            <w:tcW w:w="956" w:type="dxa"/>
            <w:vAlign w:val="center"/>
          </w:tcPr>
          <w:p w14:paraId="32ED0288" w14:textId="77777777" w:rsidR="003F3C34" w:rsidRPr="00C16A84" w:rsidRDefault="003F3C34" w:rsidP="008204DA">
            <w:pPr>
              <w:jc w:val="center"/>
              <w:rPr>
                <w:b/>
                <w:noProof/>
                <w:sz w:val="18"/>
              </w:rPr>
            </w:pPr>
            <w:r w:rsidRPr="00C16A84">
              <w:rPr>
                <w:noProof/>
                <w:sz w:val="18"/>
              </w:rPr>
              <w:t>zemalja EFTA-e</w:t>
            </w:r>
            <w:r w:rsidRPr="00C16A84">
              <w:rPr>
                <w:rStyle w:val="FootnoteReference"/>
                <w:noProof/>
                <w:sz w:val="18"/>
              </w:rPr>
              <w:footnoteReference w:id="62"/>
            </w:r>
          </w:p>
        </w:tc>
        <w:tc>
          <w:tcPr>
            <w:tcW w:w="1080" w:type="dxa"/>
            <w:vAlign w:val="center"/>
          </w:tcPr>
          <w:p w14:paraId="4986F432" w14:textId="77777777" w:rsidR="003F3C34" w:rsidRPr="00C16A84" w:rsidRDefault="003F3C34" w:rsidP="008204DA">
            <w:pPr>
              <w:jc w:val="center"/>
              <w:rPr>
                <w:noProof/>
                <w:sz w:val="18"/>
              </w:rPr>
            </w:pPr>
            <w:r w:rsidRPr="00C16A84">
              <w:rPr>
                <w:noProof/>
                <w:sz w:val="18"/>
              </w:rPr>
              <w:t>zemalja kandidatkinja i potencijalnih kandidata</w:t>
            </w:r>
            <w:r w:rsidRPr="00C16A84">
              <w:rPr>
                <w:rStyle w:val="FootnoteReference"/>
                <w:noProof/>
                <w:sz w:val="18"/>
              </w:rPr>
              <w:footnoteReference w:id="63"/>
            </w:r>
          </w:p>
        </w:tc>
        <w:tc>
          <w:tcPr>
            <w:tcW w:w="956" w:type="dxa"/>
            <w:vAlign w:val="center"/>
          </w:tcPr>
          <w:p w14:paraId="5953055E" w14:textId="77777777" w:rsidR="003F3C34" w:rsidRPr="00C16A84" w:rsidRDefault="003F3C34" w:rsidP="008204DA">
            <w:pPr>
              <w:jc w:val="center"/>
              <w:rPr>
                <w:noProof/>
                <w:sz w:val="18"/>
              </w:rPr>
            </w:pPr>
            <w:r w:rsidRPr="00C16A84">
              <w:rPr>
                <w:noProof/>
                <w:sz w:val="18"/>
              </w:rPr>
              <w:t>ostalih trećih zemalja</w:t>
            </w:r>
          </w:p>
        </w:tc>
        <w:tc>
          <w:tcPr>
            <w:tcW w:w="1448" w:type="dxa"/>
            <w:vAlign w:val="center"/>
          </w:tcPr>
          <w:p w14:paraId="6101D3DE" w14:textId="77777777" w:rsidR="003F3C34" w:rsidRPr="00C16A84" w:rsidRDefault="003F3C34" w:rsidP="008204DA">
            <w:pPr>
              <w:jc w:val="center"/>
              <w:rPr>
                <w:noProof/>
              </w:rPr>
            </w:pPr>
            <w:r w:rsidRPr="00C16A84">
              <w:rPr>
                <w:noProof/>
                <w:sz w:val="18"/>
              </w:rPr>
              <w:t>drugi namjenski prihodi</w:t>
            </w:r>
          </w:p>
        </w:tc>
      </w:tr>
      <w:tr w:rsidR="003F3C34" w:rsidRPr="00C16A84" w14:paraId="584F3727" w14:textId="77777777" w:rsidTr="008204DA">
        <w:tc>
          <w:tcPr>
            <w:tcW w:w="1080" w:type="dxa"/>
            <w:vAlign w:val="center"/>
          </w:tcPr>
          <w:p w14:paraId="46C318F7" w14:textId="77777777" w:rsidR="003F3C34" w:rsidRPr="00C16A84" w:rsidRDefault="003F3C34" w:rsidP="008204DA">
            <w:pPr>
              <w:jc w:val="center"/>
              <w:rPr>
                <w:noProof/>
                <w:color w:val="0000FF"/>
              </w:rPr>
            </w:pPr>
          </w:p>
        </w:tc>
        <w:tc>
          <w:tcPr>
            <w:tcW w:w="3960" w:type="dxa"/>
            <w:vAlign w:val="center"/>
          </w:tcPr>
          <w:p w14:paraId="45A19BA3" w14:textId="77777777" w:rsidR="003F3C34" w:rsidRPr="00C16A84" w:rsidRDefault="003F3C34" w:rsidP="008204DA">
            <w:pPr>
              <w:spacing w:before="60"/>
              <w:rPr>
                <w:noProof/>
              </w:rPr>
            </w:pPr>
            <w:r w:rsidRPr="00C16A84">
              <w:rPr>
                <w:noProof/>
                <w:sz w:val="22"/>
              </w:rPr>
              <w:t>07 02 04 00 – tematsko područje EaSI fonda ESF+</w:t>
            </w:r>
          </w:p>
          <w:p w14:paraId="63DCA93C" w14:textId="77777777" w:rsidR="003F3C34" w:rsidRPr="00C16A84" w:rsidRDefault="003F3C34" w:rsidP="008204DA">
            <w:pPr>
              <w:spacing w:after="60"/>
              <w:rPr>
                <w:noProof/>
              </w:rPr>
            </w:pPr>
          </w:p>
        </w:tc>
        <w:tc>
          <w:tcPr>
            <w:tcW w:w="1080" w:type="dxa"/>
            <w:vAlign w:val="center"/>
          </w:tcPr>
          <w:p w14:paraId="235547A7" w14:textId="77777777" w:rsidR="003F3C34" w:rsidRPr="00C16A84" w:rsidRDefault="003F3C34" w:rsidP="008204DA">
            <w:pPr>
              <w:jc w:val="center"/>
              <w:rPr>
                <w:noProof/>
                <w:color w:val="0000FF"/>
              </w:rPr>
            </w:pPr>
            <w:r w:rsidRPr="00C16A84">
              <w:rPr>
                <w:noProof/>
                <w:sz w:val="22"/>
              </w:rPr>
              <w:t>Dif.</w:t>
            </w:r>
          </w:p>
        </w:tc>
        <w:tc>
          <w:tcPr>
            <w:tcW w:w="956" w:type="dxa"/>
            <w:vAlign w:val="center"/>
          </w:tcPr>
          <w:p w14:paraId="19AA97E1" w14:textId="77777777" w:rsidR="003F3C34" w:rsidRPr="00C16A84" w:rsidRDefault="003F3C34" w:rsidP="008204DA">
            <w:pPr>
              <w:jc w:val="center"/>
              <w:rPr>
                <w:noProof/>
                <w:sz w:val="20"/>
                <w:szCs w:val="20"/>
              </w:rPr>
            </w:pPr>
            <w:r w:rsidRPr="00C16A84">
              <w:rPr>
                <w:noProof/>
                <w:sz w:val="20"/>
              </w:rPr>
              <w:t>DA/</w:t>
            </w:r>
          </w:p>
        </w:tc>
        <w:tc>
          <w:tcPr>
            <w:tcW w:w="1080" w:type="dxa"/>
            <w:vAlign w:val="center"/>
          </w:tcPr>
          <w:p w14:paraId="40914DC8" w14:textId="77777777" w:rsidR="003F3C34" w:rsidRPr="00C16A84" w:rsidRDefault="003F3C34" w:rsidP="008204DA">
            <w:pPr>
              <w:jc w:val="center"/>
              <w:rPr>
                <w:noProof/>
                <w:sz w:val="20"/>
                <w:szCs w:val="20"/>
              </w:rPr>
            </w:pPr>
            <w:r w:rsidRPr="00C16A84">
              <w:rPr>
                <w:noProof/>
                <w:sz w:val="20"/>
              </w:rPr>
              <w:t>DA</w:t>
            </w:r>
          </w:p>
        </w:tc>
        <w:tc>
          <w:tcPr>
            <w:tcW w:w="956" w:type="dxa"/>
            <w:vAlign w:val="center"/>
          </w:tcPr>
          <w:p w14:paraId="2161D098" w14:textId="77777777" w:rsidR="003F3C34" w:rsidRPr="00C16A84" w:rsidRDefault="003F3C34" w:rsidP="008204DA">
            <w:pPr>
              <w:jc w:val="center"/>
              <w:rPr>
                <w:noProof/>
                <w:sz w:val="20"/>
                <w:szCs w:val="20"/>
              </w:rPr>
            </w:pPr>
            <w:r w:rsidRPr="00C16A84">
              <w:rPr>
                <w:noProof/>
                <w:sz w:val="20"/>
              </w:rPr>
              <w:t>DA</w:t>
            </w:r>
          </w:p>
        </w:tc>
        <w:tc>
          <w:tcPr>
            <w:tcW w:w="1448" w:type="dxa"/>
            <w:vAlign w:val="center"/>
          </w:tcPr>
          <w:p w14:paraId="408C1004" w14:textId="77777777" w:rsidR="003F3C34" w:rsidRPr="00C16A84" w:rsidRDefault="003F3C34" w:rsidP="008204DA">
            <w:pPr>
              <w:jc w:val="center"/>
              <w:rPr>
                <w:noProof/>
                <w:sz w:val="20"/>
                <w:szCs w:val="20"/>
              </w:rPr>
            </w:pPr>
            <w:r w:rsidRPr="00C16A84">
              <w:rPr>
                <w:noProof/>
                <w:sz w:val="20"/>
              </w:rPr>
              <w:t>NE</w:t>
            </w:r>
          </w:p>
        </w:tc>
      </w:tr>
    </w:tbl>
    <w:p w14:paraId="7203BADE" w14:textId="77777777" w:rsidR="003F3C34" w:rsidRPr="00C16A84" w:rsidRDefault="003F3C34" w:rsidP="003F3C34">
      <w:pPr>
        <w:rPr>
          <w:noProof/>
        </w:rPr>
        <w:sectPr w:rsidR="003F3C34" w:rsidRPr="00C16A84" w:rsidSect="00396AE5">
          <w:pgSz w:w="11907" w:h="16840" w:code="1"/>
          <w:pgMar w:top="1134" w:right="1418" w:bottom="1134" w:left="1418" w:header="709" w:footer="709" w:gutter="0"/>
          <w:cols w:space="708"/>
          <w:docGrid w:linePitch="360"/>
        </w:sectPr>
      </w:pPr>
    </w:p>
    <w:p w14:paraId="1424BF7A" w14:textId="77777777" w:rsidR="003F3C34" w:rsidRPr="00C16A84" w:rsidRDefault="003F3C34" w:rsidP="003F3C34">
      <w:pPr>
        <w:pStyle w:val="ManualHeading2"/>
        <w:rPr>
          <w:bCs/>
          <w:noProof/>
          <w:szCs w:val="24"/>
        </w:rPr>
      </w:pPr>
      <w:bookmarkStart w:id="85" w:name="_Toc514938052"/>
      <w:bookmarkStart w:id="86" w:name="_Toc145493427"/>
      <w:r w:rsidRPr="00C16A84">
        <w:rPr>
          <w:noProof/>
        </w:rPr>
        <w:t>3.2.</w:t>
      </w:r>
      <w:r w:rsidRPr="00C16A84">
        <w:rPr>
          <w:noProof/>
        </w:rPr>
        <w:tab/>
        <w:t>Procijenjeni financijski učinak prijedloga na odobrena sredstva</w:t>
      </w:r>
      <w:bookmarkEnd w:id="85"/>
      <w:bookmarkEnd w:id="86"/>
      <w:r w:rsidRPr="00C16A84">
        <w:rPr>
          <w:noProof/>
        </w:rPr>
        <w:t xml:space="preserve"> </w:t>
      </w:r>
    </w:p>
    <w:p w14:paraId="60D2634A" w14:textId="77777777" w:rsidR="003F3C34" w:rsidRPr="00C16A84" w:rsidRDefault="003F3C34" w:rsidP="003F3C34">
      <w:pPr>
        <w:pStyle w:val="ManualHeading3"/>
        <w:rPr>
          <w:noProof/>
        </w:rPr>
      </w:pPr>
      <w:bookmarkStart w:id="87" w:name="_Toc514938053"/>
      <w:bookmarkStart w:id="88" w:name="_Toc145493428"/>
      <w:r w:rsidRPr="00C16A84">
        <w:rPr>
          <w:noProof/>
        </w:rPr>
        <w:t>3.2.1.</w:t>
      </w:r>
      <w:r w:rsidRPr="00C16A84">
        <w:rPr>
          <w:noProof/>
        </w:rPr>
        <w:tab/>
        <w:t>Sažetak procijenjenog učinka na odobrena sredstva za poslovanje</w:t>
      </w:r>
      <w:bookmarkEnd w:id="87"/>
      <w:bookmarkEnd w:id="88"/>
      <w:r w:rsidRPr="00C16A84">
        <w:rPr>
          <w:noProof/>
        </w:rPr>
        <w:t xml:space="preserve"> </w:t>
      </w:r>
    </w:p>
    <w:p w14:paraId="02380207" w14:textId="77777777" w:rsidR="003F3C34" w:rsidRPr="00C16A84" w:rsidRDefault="003F3C34" w:rsidP="00E47EEA">
      <w:pPr>
        <w:pStyle w:val="ListDash1"/>
        <w:rPr>
          <w:noProof/>
        </w:rPr>
      </w:pPr>
      <w:r w:rsidRPr="00C16A84">
        <w:rPr>
          <w:noProof/>
        </w:rPr>
        <w:sym w:font="Wingdings" w:char="F0A8"/>
      </w:r>
      <w:r w:rsidRPr="00C16A84">
        <w:rPr>
          <w:noProof/>
        </w:rPr>
        <w:tab/>
        <w:t xml:space="preserve">Za prijedlog/inicijativu nisu potrebna odobrena sredstva za poslovanje. </w:t>
      </w:r>
    </w:p>
    <w:p w14:paraId="39B2687C" w14:textId="77777777" w:rsidR="003F3C34" w:rsidRPr="00C16A84" w:rsidRDefault="003F3C34" w:rsidP="00E47EEA">
      <w:pPr>
        <w:pStyle w:val="ListDash1"/>
        <w:rPr>
          <w:noProof/>
        </w:rPr>
      </w:pPr>
      <w:r w:rsidRPr="00C16A84">
        <w:rPr>
          <w:noProof/>
        </w:rPr>
        <w:t>X</w:t>
      </w:r>
      <w:r w:rsidRPr="00C16A84">
        <w:rPr>
          <w:noProof/>
        </w:rPr>
        <w:tab/>
        <w:t>Za prijedlog/inicijativu potrebna su sljedeća odobrena sredstva za poslovanje:</w:t>
      </w:r>
    </w:p>
    <w:p w14:paraId="0C5F41C2" w14:textId="77777777" w:rsidR="003F3C34" w:rsidRPr="00C16A84" w:rsidRDefault="003F3C34" w:rsidP="003F3C34">
      <w:pPr>
        <w:jc w:val="right"/>
        <w:rPr>
          <w:noProof/>
          <w:sz w:val="18"/>
          <w:szCs w:val="18"/>
        </w:rPr>
      </w:pPr>
      <w:r w:rsidRPr="00C16A84">
        <w:rPr>
          <w:noProof/>
          <w:sz w:val="18"/>
        </w:rPr>
        <w:t>U milijunima EUR (do 3 decimalna mjesta)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3F3C34" w:rsidRPr="00C16A84" w14:paraId="54A39DC6" w14:textId="77777777" w:rsidTr="008204DA">
        <w:trPr>
          <w:jc w:val="center"/>
        </w:trPr>
        <w:tc>
          <w:tcPr>
            <w:tcW w:w="4744" w:type="dxa"/>
            <w:shd w:val="thinDiagStripe" w:color="C0C0C0" w:fill="auto"/>
            <w:vAlign w:val="center"/>
          </w:tcPr>
          <w:p w14:paraId="3D6A5863" w14:textId="77777777" w:rsidR="003F3C34" w:rsidRPr="00C16A84" w:rsidRDefault="003F3C34" w:rsidP="008204DA">
            <w:pPr>
              <w:spacing w:before="60" w:after="60"/>
              <w:jc w:val="center"/>
              <w:rPr>
                <w:b/>
                <w:noProof/>
              </w:rPr>
            </w:pPr>
            <w:r w:rsidRPr="00C16A84">
              <w:rPr>
                <w:b/>
                <w:noProof/>
                <w:sz w:val="22"/>
              </w:rPr>
              <w:t>Naslov višegodišnjeg financijskog</w:t>
            </w:r>
            <w:r w:rsidRPr="00C16A84">
              <w:rPr>
                <w:noProof/>
              </w:rPr>
              <w:t xml:space="preserve"> </w:t>
            </w:r>
            <w:r w:rsidRPr="00C16A84">
              <w:rPr>
                <w:noProof/>
              </w:rPr>
              <w:br/>
            </w:r>
            <w:r w:rsidRPr="00C16A84">
              <w:rPr>
                <w:b/>
                <w:noProof/>
                <w:sz w:val="22"/>
              </w:rPr>
              <w:t xml:space="preserve">okvira </w:t>
            </w:r>
          </w:p>
        </w:tc>
        <w:tc>
          <w:tcPr>
            <w:tcW w:w="1080" w:type="dxa"/>
            <w:vAlign w:val="center"/>
          </w:tcPr>
          <w:p w14:paraId="33CDAE8C" w14:textId="77777777" w:rsidR="003F3C34" w:rsidRPr="00C16A84" w:rsidRDefault="003F3C34" w:rsidP="008204DA">
            <w:pPr>
              <w:spacing w:before="60" w:after="60"/>
              <w:jc w:val="center"/>
              <w:rPr>
                <w:noProof/>
              </w:rPr>
            </w:pPr>
            <w:r w:rsidRPr="00C16A84">
              <w:rPr>
                <w:noProof/>
                <w:sz w:val="22"/>
              </w:rPr>
              <w:t>Broj</w:t>
            </w:r>
          </w:p>
        </w:tc>
        <w:tc>
          <w:tcPr>
            <w:tcW w:w="7817" w:type="dxa"/>
            <w:vAlign w:val="center"/>
          </w:tcPr>
          <w:p w14:paraId="74AE0FDE" w14:textId="77777777" w:rsidR="003F3C34" w:rsidRPr="00C16A84" w:rsidRDefault="003F3C34" w:rsidP="008204DA">
            <w:pPr>
              <w:spacing w:before="60" w:after="60"/>
              <w:rPr>
                <w:noProof/>
              </w:rPr>
            </w:pPr>
            <w:r w:rsidRPr="00C16A84">
              <w:rPr>
                <w:noProof/>
              </w:rPr>
              <w:t>2.b</w:t>
            </w:r>
          </w:p>
        </w:tc>
      </w:tr>
    </w:tbl>
    <w:p w14:paraId="23E8A4F3" w14:textId="77777777" w:rsidR="003F3C34" w:rsidRPr="00C16A84" w:rsidRDefault="003F3C34" w:rsidP="003F3C34">
      <w:pPr>
        <w:rPr>
          <w:noProof/>
          <w:sz w:val="16"/>
        </w:rPr>
      </w:pPr>
    </w:p>
    <w:tbl>
      <w:tblPr>
        <w:tblpPr w:leftFromText="180" w:rightFromText="180" w:vertAnchor="text" w:tblpXSpec="center" w:tblpY="1"/>
        <w:tblOverlap w:val="never"/>
        <w:tblW w:w="1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99"/>
        <w:gridCol w:w="992"/>
        <w:gridCol w:w="992"/>
        <w:gridCol w:w="992"/>
        <w:gridCol w:w="1701"/>
      </w:tblGrid>
      <w:tr w:rsidR="003F3C34" w:rsidRPr="00C16A84" w14:paraId="13A53776" w14:textId="77777777" w:rsidTr="008204DA">
        <w:trPr>
          <w:jc w:val="center"/>
        </w:trPr>
        <w:tc>
          <w:tcPr>
            <w:tcW w:w="3960" w:type="dxa"/>
            <w:vAlign w:val="center"/>
          </w:tcPr>
          <w:p w14:paraId="2F0CC6F6" w14:textId="77777777" w:rsidR="003F3C34" w:rsidRPr="00C16A84" w:rsidRDefault="003F3C34" w:rsidP="008204DA">
            <w:pPr>
              <w:jc w:val="center"/>
              <w:rPr>
                <w:noProof/>
              </w:rPr>
            </w:pPr>
            <w:r w:rsidRPr="00C16A84">
              <w:rPr>
                <w:noProof/>
                <w:sz w:val="22"/>
              </w:rPr>
              <w:t>GU: EMPL</w:t>
            </w:r>
          </w:p>
        </w:tc>
        <w:tc>
          <w:tcPr>
            <w:tcW w:w="1440" w:type="dxa"/>
          </w:tcPr>
          <w:p w14:paraId="18398630" w14:textId="77777777" w:rsidR="003F3C34" w:rsidRPr="00C16A84" w:rsidRDefault="003F3C34" w:rsidP="008204DA">
            <w:pPr>
              <w:rPr>
                <w:noProof/>
                <w:sz w:val="20"/>
              </w:rPr>
            </w:pPr>
          </w:p>
        </w:tc>
        <w:tc>
          <w:tcPr>
            <w:tcW w:w="654" w:type="dxa"/>
          </w:tcPr>
          <w:p w14:paraId="71DDA977" w14:textId="77777777" w:rsidR="003F3C34" w:rsidRPr="00C16A84" w:rsidRDefault="003F3C34" w:rsidP="008204DA">
            <w:pPr>
              <w:jc w:val="center"/>
              <w:rPr>
                <w:noProof/>
                <w:sz w:val="20"/>
              </w:rPr>
            </w:pPr>
          </w:p>
        </w:tc>
        <w:tc>
          <w:tcPr>
            <w:tcW w:w="868" w:type="dxa"/>
            <w:vAlign w:val="center"/>
          </w:tcPr>
          <w:p w14:paraId="5FBB25C0" w14:textId="77777777" w:rsidR="003F3C34" w:rsidRPr="00C16A84" w:rsidRDefault="003F3C34" w:rsidP="008204DA">
            <w:pPr>
              <w:jc w:val="center"/>
              <w:rPr>
                <w:noProof/>
                <w:sz w:val="20"/>
              </w:rPr>
            </w:pPr>
            <w:r w:rsidRPr="00C16A84">
              <w:rPr>
                <w:noProof/>
                <w:sz w:val="20"/>
              </w:rPr>
              <w:t>Godina</w:t>
            </w:r>
            <w:r w:rsidRPr="00C16A84">
              <w:rPr>
                <w:noProof/>
              </w:rPr>
              <w:t xml:space="preserve"> </w:t>
            </w:r>
            <w:r w:rsidRPr="00C16A84">
              <w:rPr>
                <w:noProof/>
              </w:rPr>
              <w:br/>
            </w:r>
            <w:r w:rsidRPr="00C16A84">
              <w:rPr>
                <w:b/>
                <w:noProof/>
                <w:sz w:val="20"/>
              </w:rPr>
              <w:t>2023.</w:t>
            </w:r>
          </w:p>
        </w:tc>
        <w:tc>
          <w:tcPr>
            <w:tcW w:w="868" w:type="dxa"/>
            <w:vAlign w:val="center"/>
          </w:tcPr>
          <w:p w14:paraId="29A429C4" w14:textId="77777777" w:rsidR="003F3C34" w:rsidRPr="00C16A84" w:rsidRDefault="003F3C34" w:rsidP="008204DA">
            <w:pPr>
              <w:jc w:val="center"/>
              <w:rPr>
                <w:noProof/>
                <w:sz w:val="20"/>
              </w:rPr>
            </w:pPr>
            <w:r w:rsidRPr="00C16A84">
              <w:rPr>
                <w:noProof/>
                <w:sz w:val="20"/>
              </w:rPr>
              <w:t>Godina</w:t>
            </w:r>
            <w:r w:rsidRPr="00C16A84">
              <w:rPr>
                <w:noProof/>
              </w:rPr>
              <w:t xml:space="preserve"> </w:t>
            </w:r>
            <w:r w:rsidRPr="00C16A84">
              <w:rPr>
                <w:noProof/>
              </w:rPr>
              <w:br/>
            </w:r>
            <w:r w:rsidRPr="00C16A84">
              <w:rPr>
                <w:b/>
                <w:noProof/>
                <w:sz w:val="20"/>
              </w:rPr>
              <w:t>2024.</w:t>
            </w:r>
          </w:p>
        </w:tc>
        <w:tc>
          <w:tcPr>
            <w:tcW w:w="868" w:type="dxa"/>
            <w:vAlign w:val="center"/>
          </w:tcPr>
          <w:p w14:paraId="19E31714" w14:textId="77777777" w:rsidR="003F3C34" w:rsidRPr="00C16A84" w:rsidRDefault="003F3C34" w:rsidP="008204DA">
            <w:pPr>
              <w:jc w:val="center"/>
              <w:rPr>
                <w:noProof/>
                <w:sz w:val="20"/>
              </w:rPr>
            </w:pPr>
            <w:r w:rsidRPr="00C16A84">
              <w:rPr>
                <w:noProof/>
                <w:sz w:val="20"/>
              </w:rPr>
              <w:t>Godina</w:t>
            </w:r>
            <w:r w:rsidRPr="00C16A84">
              <w:rPr>
                <w:noProof/>
              </w:rPr>
              <w:t xml:space="preserve"> </w:t>
            </w:r>
            <w:r w:rsidRPr="00C16A84">
              <w:rPr>
                <w:noProof/>
              </w:rPr>
              <w:br/>
            </w:r>
            <w:r w:rsidRPr="00C16A84">
              <w:rPr>
                <w:b/>
                <w:noProof/>
                <w:sz w:val="20"/>
              </w:rPr>
              <w:t>2025.</w:t>
            </w:r>
          </w:p>
        </w:tc>
        <w:tc>
          <w:tcPr>
            <w:tcW w:w="868" w:type="dxa"/>
            <w:vAlign w:val="center"/>
          </w:tcPr>
          <w:p w14:paraId="37F909B2" w14:textId="77777777" w:rsidR="003F3C34" w:rsidRPr="00C16A84" w:rsidRDefault="003F3C34" w:rsidP="008204DA">
            <w:pPr>
              <w:jc w:val="center"/>
              <w:rPr>
                <w:noProof/>
                <w:sz w:val="20"/>
              </w:rPr>
            </w:pPr>
            <w:r w:rsidRPr="00C16A84">
              <w:rPr>
                <w:noProof/>
                <w:sz w:val="20"/>
              </w:rPr>
              <w:t>Godina</w:t>
            </w:r>
            <w:r w:rsidRPr="00C16A84">
              <w:rPr>
                <w:noProof/>
              </w:rPr>
              <w:t xml:space="preserve"> </w:t>
            </w:r>
            <w:r w:rsidRPr="00C16A84">
              <w:rPr>
                <w:noProof/>
              </w:rPr>
              <w:br/>
            </w:r>
            <w:r w:rsidRPr="00C16A84">
              <w:rPr>
                <w:b/>
                <w:noProof/>
                <w:sz w:val="20"/>
              </w:rPr>
              <w:t>2026.</w:t>
            </w:r>
          </w:p>
        </w:tc>
        <w:tc>
          <w:tcPr>
            <w:tcW w:w="899" w:type="dxa"/>
          </w:tcPr>
          <w:p w14:paraId="67F5CAAD" w14:textId="77777777" w:rsidR="003F3C34" w:rsidRPr="00C16A84" w:rsidRDefault="003F3C34" w:rsidP="008204DA">
            <w:pPr>
              <w:jc w:val="center"/>
              <w:rPr>
                <w:noProof/>
                <w:sz w:val="18"/>
              </w:rPr>
            </w:pPr>
            <w:r w:rsidRPr="00C16A84">
              <w:rPr>
                <w:noProof/>
                <w:sz w:val="20"/>
              </w:rPr>
              <w:t>Godina</w:t>
            </w:r>
            <w:r w:rsidRPr="00C16A84">
              <w:rPr>
                <w:noProof/>
              </w:rPr>
              <w:t xml:space="preserve"> </w:t>
            </w:r>
            <w:r w:rsidRPr="00C16A84">
              <w:rPr>
                <w:noProof/>
              </w:rPr>
              <w:br/>
            </w:r>
            <w:r w:rsidRPr="00C16A84">
              <w:rPr>
                <w:b/>
                <w:noProof/>
                <w:sz w:val="20"/>
              </w:rPr>
              <w:t>2027.</w:t>
            </w:r>
          </w:p>
        </w:tc>
        <w:tc>
          <w:tcPr>
            <w:tcW w:w="992" w:type="dxa"/>
          </w:tcPr>
          <w:p w14:paraId="5B6D46F5" w14:textId="77777777" w:rsidR="003F3C34" w:rsidRPr="00C16A84" w:rsidRDefault="003F3C34" w:rsidP="008204DA">
            <w:pPr>
              <w:jc w:val="center"/>
              <w:rPr>
                <w:noProof/>
                <w:sz w:val="18"/>
              </w:rPr>
            </w:pPr>
          </w:p>
        </w:tc>
        <w:tc>
          <w:tcPr>
            <w:tcW w:w="992" w:type="dxa"/>
          </w:tcPr>
          <w:p w14:paraId="0A48055E" w14:textId="77777777" w:rsidR="003F3C34" w:rsidRPr="00C16A84" w:rsidRDefault="003F3C34" w:rsidP="008204DA">
            <w:pPr>
              <w:jc w:val="center"/>
              <w:rPr>
                <w:noProof/>
                <w:sz w:val="18"/>
              </w:rPr>
            </w:pPr>
          </w:p>
        </w:tc>
        <w:tc>
          <w:tcPr>
            <w:tcW w:w="992" w:type="dxa"/>
          </w:tcPr>
          <w:p w14:paraId="08028AE5" w14:textId="77777777" w:rsidR="003F3C34" w:rsidRPr="00C16A84" w:rsidRDefault="003F3C34" w:rsidP="008204DA">
            <w:pPr>
              <w:jc w:val="center"/>
              <w:rPr>
                <w:b/>
                <w:noProof/>
                <w:sz w:val="20"/>
              </w:rPr>
            </w:pPr>
          </w:p>
        </w:tc>
        <w:tc>
          <w:tcPr>
            <w:tcW w:w="1701" w:type="dxa"/>
            <w:vAlign w:val="center"/>
          </w:tcPr>
          <w:p w14:paraId="649718F4" w14:textId="77777777" w:rsidR="003F3C34" w:rsidRPr="00C16A84" w:rsidRDefault="003F3C34" w:rsidP="008204DA">
            <w:pPr>
              <w:jc w:val="center"/>
              <w:rPr>
                <w:b/>
                <w:noProof/>
                <w:sz w:val="20"/>
              </w:rPr>
            </w:pPr>
            <w:r w:rsidRPr="00C16A84">
              <w:rPr>
                <w:b/>
                <w:noProof/>
                <w:sz w:val="20"/>
              </w:rPr>
              <w:t>UKUPNO</w:t>
            </w:r>
          </w:p>
        </w:tc>
      </w:tr>
      <w:tr w:rsidR="003F3C34" w:rsidRPr="00C16A84" w14:paraId="52B037AB" w14:textId="77777777" w:rsidTr="008204DA">
        <w:trPr>
          <w:trHeight w:val="213"/>
          <w:jc w:val="center"/>
        </w:trPr>
        <w:tc>
          <w:tcPr>
            <w:tcW w:w="6054" w:type="dxa"/>
            <w:gridSpan w:val="3"/>
            <w:vAlign w:val="center"/>
          </w:tcPr>
          <w:p w14:paraId="444D7625" w14:textId="77777777" w:rsidR="003F3C34" w:rsidRPr="00C16A84" w:rsidRDefault="003F3C34" w:rsidP="008204DA">
            <w:pPr>
              <w:spacing w:before="20" w:after="20"/>
              <w:rPr>
                <w:noProof/>
                <w:sz w:val="21"/>
              </w:rPr>
            </w:pPr>
            <w:r w:rsidRPr="00C16A84">
              <w:rPr>
                <w:noProof/>
                <w:sz w:val="21"/>
              </w:rPr>
              <w:sym w:font="Wingdings" w:char="F09F"/>
            </w:r>
            <w:r w:rsidRPr="00C16A84">
              <w:rPr>
                <w:noProof/>
                <w:sz w:val="21"/>
              </w:rPr>
              <w:t xml:space="preserve"> Odobrena sredstva za poslovanje </w:t>
            </w:r>
          </w:p>
        </w:tc>
        <w:tc>
          <w:tcPr>
            <w:tcW w:w="868" w:type="dxa"/>
            <w:vAlign w:val="center"/>
          </w:tcPr>
          <w:p w14:paraId="6ABA3FD5" w14:textId="77777777" w:rsidR="003F3C34" w:rsidRPr="00C16A84" w:rsidRDefault="003F3C34" w:rsidP="008204DA">
            <w:pPr>
              <w:rPr>
                <w:noProof/>
                <w:sz w:val="20"/>
              </w:rPr>
            </w:pPr>
          </w:p>
        </w:tc>
        <w:tc>
          <w:tcPr>
            <w:tcW w:w="868" w:type="dxa"/>
            <w:vAlign w:val="center"/>
          </w:tcPr>
          <w:p w14:paraId="062FB8C8" w14:textId="77777777" w:rsidR="003F3C34" w:rsidRPr="00C16A84" w:rsidRDefault="003F3C34" w:rsidP="008204DA">
            <w:pPr>
              <w:rPr>
                <w:noProof/>
                <w:sz w:val="20"/>
              </w:rPr>
            </w:pPr>
          </w:p>
        </w:tc>
        <w:tc>
          <w:tcPr>
            <w:tcW w:w="868" w:type="dxa"/>
            <w:vAlign w:val="center"/>
          </w:tcPr>
          <w:p w14:paraId="6FD0816F" w14:textId="77777777" w:rsidR="003F3C34" w:rsidRPr="00C16A84" w:rsidRDefault="003F3C34" w:rsidP="008204DA">
            <w:pPr>
              <w:rPr>
                <w:noProof/>
                <w:sz w:val="20"/>
              </w:rPr>
            </w:pPr>
          </w:p>
        </w:tc>
        <w:tc>
          <w:tcPr>
            <w:tcW w:w="868" w:type="dxa"/>
            <w:vAlign w:val="center"/>
          </w:tcPr>
          <w:p w14:paraId="2D0262AE" w14:textId="77777777" w:rsidR="003F3C34" w:rsidRPr="00C16A84" w:rsidRDefault="003F3C34" w:rsidP="008204DA">
            <w:pPr>
              <w:rPr>
                <w:noProof/>
                <w:sz w:val="20"/>
              </w:rPr>
            </w:pPr>
          </w:p>
        </w:tc>
        <w:tc>
          <w:tcPr>
            <w:tcW w:w="899" w:type="dxa"/>
          </w:tcPr>
          <w:p w14:paraId="4F9081A8" w14:textId="77777777" w:rsidR="003F3C34" w:rsidRPr="00C16A84" w:rsidRDefault="003F3C34" w:rsidP="008204DA">
            <w:pPr>
              <w:rPr>
                <w:noProof/>
                <w:sz w:val="20"/>
              </w:rPr>
            </w:pPr>
          </w:p>
        </w:tc>
        <w:tc>
          <w:tcPr>
            <w:tcW w:w="992" w:type="dxa"/>
          </w:tcPr>
          <w:p w14:paraId="75CAD8B4" w14:textId="77777777" w:rsidR="003F3C34" w:rsidRPr="00C16A84" w:rsidRDefault="003F3C34" w:rsidP="008204DA">
            <w:pPr>
              <w:rPr>
                <w:noProof/>
                <w:sz w:val="20"/>
              </w:rPr>
            </w:pPr>
          </w:p>
        </w:tc>
        <w:tc>
          <w:tcPr>
            <w:tcW w:w="992" w:type="dxa"/>
          </w:tcPr>
          <w:p w14:paraId="01E866F5" w14:textId="77777777" w:rsidR="003F3C34" w:rsidRPr="00C16A84" w:rsidRDefault="003F3C34" w:rsidP="008204DA">
            <w:pPr>
              <w:rPr>
                <w:noProof/>
                <w:sz w:val="20"/>
              </w:rPr>
            </w:pPr>
          </w:p>
        </w:tc>
        <w:tc>
          <w:tcPr>
            <w:tcW w:w="992" w:type="dxa"/>
          </w:tcPr>
          <w:p w14:paraId="4BC27854" w14:textId="77777777" w:rsidR="003F3C34" w:rsidRPr="00C16A84" w:rsidRDefault="003F3C34" w:rsidP="008204DA">
            <w:pPr>
              <w:rPr>
                <w:b/>
                <w:noProof/>
                <w:sz w:val="20"/>
              </w:rPr>
            </w:pPr>
          </w:p>
        </w:tc>
        <w:tc>
          <w:tcPr>
            <w:tcW w:w="1701" w:type="dxa"/>
            <w:vAlign w:val="center"/>
          </w:tcPr>
          <w:p w14:paraId="7E8F189D" w14:textId="77777777" w:rsidR="003F3C34" w:rsidRPr="00C16A84" w:rsidRDefault="003F3C34" w:rsidP="008204DA">
            <w:pPr>
              <w:rPr>
                <w:b/>
                <w:noProof/>
                <w:sz w:val="20"/>
              </w:rPr>
            </w:pPr>
          </w:p>
        </w:tc>
      </w:tr>
      <w:tr w:rsidR="003F3C34" w:rsidRPr="00C16A84" w14:paraId="74B22733" w14:textId="77777777" w:rsidTr="008204DA">
        <w:trPr>
          <w:trHeight w:val="277"/>
          <w:jc w:val="center"/>
        </w:trPr>
        <w:tc>
          <w:tcPr>
            <w:tcW w:w="3960" w:type="dxa"/>
            <w:vMerge w:val="restart"/>
            <w:vAlign w:val="center"/>
          </w:tcPr>
          <w:p w14:paraId="4D54860B" w14:textId="77777777" w:rsidR="003F3C34" w:rsidRPr="00C16A84" w:rsidRDefault="003F3C34" w:rsidP="008204DA">
            <w:pPr>
              <w:rPr>
                <w:noProof/>
              </w:rPr>
            </w:pPr>
            <w:r w:rsidRPr="00C16A84">
              <w:rPr>
                <w:noProof/>
                <w:sz w:val="20"/>
              </w:rPr>
              <w:t>Proračunska linija</w:t>
            </w:r>
            <w:r w:rsidRPr="00C16A84">
              <w:rPr>
                <w:rStyle w:val="FootnoteReference"/>
                <w:noProof/>
                <w:sz w:val="20"/>
              </w:rPr>
              <w:footnoteReference w:id="64"/>
            </w:r>
            <w:r w:rsidRPr="00C16A84">
              <w:rPr>
                <w:noProof/>
                <w:sz w:val="20"/>
              </w:rPr>
              <w:t xml:space="preserve"> 07 02 04 00</w:t>
            </w:r>
          </w:p>
        </w:tc>
        <w:tc>
          <w:tcPr>
            <w:tcW w:w="1440" w:type="dxa"/>
            <w:vAlign w:val="center"/>
          </w:tcPr>
          <w:p w14:paraId="3EA7358E" w14:textId="77777777" w:rsidR="003F3C34" w:rsidRPr="00C16A84" w:rsidRDefault="003F3C34" w:rsidP="008204DA">
            <w:pPr>
              <w:spacing w:before="20" w:after="20"/>
              <w:rPr>
                <w:noProof/>
                <w:sz w:val="18"/>
              </w:rPr>
            </w:pPr>
            <w:r w:rsidRPr="00C16A84">
              <w:rPr>
                <w:noProof/>
                <w:sz w:val="18"/>
              </w:rPr>
              <w:t>Obveze</w:t>
            </w:r>
          </w:p>
        </w:tc>
        <w:tc>
          <w:tcPr>
            <w:tcW w:w="654" w:type="dxa"/>
            <w:vAlign w:val="center"/>
          </w:tcPr>
          <w:p w14:paraId="2FBE4F18" w14:textId="77777777" w:rsidR="003F3C34" w:rsidRPr="00C16A84" w:rsidRDefault="003F3C34" w:rsidP="008204DA">
            <w:pPr>
              <w:spacing w:before="20" w:after="20"/>
              <w:jc w:val="center"/>
              <w:rPr>
                <w:noProof/>
                <w:sz w:val="14"/>
              </w:rPr>
            </w:pPr>
            <w:r w:rsidRPr="00C16A84">
              <w:rPr>
                <w:noProof/>
                <w:sz w:val="14"/>
              </w:rPr>
              <w:t>(1a)</w:t>
            </w:r>
          </w:p>
        </w:tc>
        <w:tc>
          <w:tcPr>
            <w:tcW w:w="868" w:type="dxa"/>
            <w:vAlign w:val="center"/>
          </w:tcPr>
          <w:p w14:paraId="32ED22A3" w14:textId="77777777" w:rsidR="003F3C34" w:rsidRPr="00C16A84" w:rsidRDefault="003F3C34" w:rsidP="008204DA">
            <w:pPr>
              <w:spacing w:before="20" w:after="20"/>
              <w:jc w:val="right"/>
              <w:rPr>
                <w:noProof/>
                <w:sz w:val="20"/>
              </w:rPr>
            </w:pPr>
          </w:p>
        </w:tc>
        <w:tc>
          <w:tcPr>
            <w:tcW w:w="868" w:type="dxa"/>
            <w:vAlign w:val="center"/>
          </w:tcPr>
          <w:p w14:paraId="4E5695AA" w14:textId="77777777" w:rsidR="003F3C34" w:rsidRPr="00C16A84" w:rsidRDefault="003F3C34" w:rsidP="008204DA">
            <w:pPr>
              <w:spacing w:before="20" w:after="20"/>
              <w:jc w:val="right"/>
              <w:rPr>
                <w:noProof/>
                <w:sz w:val="20"/>
              </w:rPr>
            </w:pPr>
          </w:p>
        </w:tc>
        <w:tc>
          <w:tcPr>
            <w:tcW w:w="868" w:type="dxa"/>
            <w:vAlign w:val="center"/>
          </w:tcPr>
          <w:p w14:paraId="6AB87B6A" w14:textId="77777777" w:rsidR="003F3C34" w:rsidRPr="00C16A84" w:rsidRDefault="003F3C34" w:rsidP="008204DA">
            <w:pPr>
              <w:spacing w:before="20" w:after="20"/>
              <w:jc w:val="right"/>
              <w:rPr>
                <w:noProof/>
                <w:sz w:val="20"/>
              </w:rPr>
            </w:pPr>
            <w:r w:rsidRPr="00C16A84">
              <w:rPr>
                <w:noProof/>
                <w:sz w:val="20"/>
              </w:rPr>
              <w:t>0,560</w:t>
            </w:r>
          </w:p>
        </w:tc>
        <w:tc>
          <w:tcPr>
            <w:tcW w:w="868" w:type="dxa"/>
            <w:vAlign w:val="center"/>
          </w:tcPr>
          <w:p w14:paraId="4263777C" w14:textId="77777777" w:rsidR="003F3C34" w:rsidRPr="00C16A84" w:rsidRDefault="003F3C34" w:rsidP="008204DA">
            <w:pPr>
              <w:spacing w:before="20" w:after="20"/>
              <w:jc w:val="right"/>
              <w:rPr>
                <w:noProof/>
                <w:sz w:val="20"/>
              </w:rPr>
            </w:pPr>
            <w:r w:rsidRPr="00C16A84">
              <w:rPr>
                <w:noProof/>
                <w:sz w:val="20"/>
              </w:rPr>
              <w:t>0,060</w:t>
            </w:r>
          </w:p>
        </w:tc>
        <w:tc>
          <w:tcPr>
            <w:tcW w:w="899" w:type="dxa"/>
          </w:tcPr>
          <w:p w14:paraId="7CEBB20D" w14:textId="77777777" w:rsidR="003F3C34" w:rsidRPr="00C16A84" w:rsidRDefault="003F3C34" w:rsidP="008204DA">
            <w:pPr>
              <w:spacing w:before="20" w:after="20"/>
              <w:jc w:val="right"/>
              <w:rPr>
                <w:noProof/>
                <w:sz w:val="20"/>
              </w:rPr>
            </w:pPr>
          </w:p>
        </w:tc>
        <w:tc>
          <w:tcPr>
            <w:tcW w:w="992" w:type="dxa"/>
          </w:tcPr>
          <w:p w14:paraId="791A8D09" w14:textId="77777777" w:rsidR="003F3C34" w:rsidRPr="00C16A84" w:rsidRDefault="003F3C34" w:rsidP="008204DA">
            <w:pPr>
              <w:spacing w:before="20" w:after="20"/>
              <w:jc w:val="right"/>
              <w:rPr>
                <w:noProof/>
                <w:sz w:val="20"/>
              </w:rPr>
            </w:pPr>
          </w:p>
        </w:tc>
        <w:tc>
          <w:tcPr>
            <w:tcW w:w="992" w:type="dxa"/>
          </w:tcPr>
          <w:p w14:paraId="0AA19D44" w14:textId="77777777" w:rsidR="003F3C34" w:rsidRPr="00C16A84" w:rsidRDefault="003F3C34" w:rsidP="008204DA">
            <w:pPr>
              <w:spacing w:before="20" w:after="20"/>
              <w:jc w:val="right"/>
              <w:rPr>
                <w:noProof/>
                <w:sz w:val="20"/>
              </w:rPr>
            </w:pPr>
          </w:p>
        </w:tc>
        <w:tc>
          <w:tcPr>
            <w:tcW w:w="992" w:type="dxa"/>
          </w:tcPr>
          <w:p w14:paraId="751AEB14" w14:textId="77777777" w:rsidR="003F3C34" w:rsidRPr="00C16A84" w:rsidRDefault="003F3C34" w:rsidP="008204DA">
            <w:pPr>
              <w:spacing w:before="20" w:after="20"/>
              <w:jc w:val="right"/>
              <w:rPr>
                <w:b/>
                <w:noProof/>
                <w:sz w:val="20"/>
              </w:rPr>
            </w:pPr>
          </w:p>
        </w:tc>
        <w:tc>
          <w:tcPr>
            <w:tcW w:w="1701" w:type="dxa"/>
            <w:vAlign w:val="center"/>
          </w:tcPr>
          <w:p w14:paraId="24B95302" w14:textId="77777777" w:rsidR="003F3C34" w:rsidRPr="00C16A84" w:rsidRDefault="003F3C34" w:rsidP="008204DA">
            <w:pPr>
              <w:spacing w:before="20" w:after="20"/>
              <w:jc w:val="right"/>
              <w:rPr>
                <w:b/>
                <w:noProof/>
                <w:sz w:val="20"/>
              </w:rPr>
            </w:pPr>
            <w:r w:rsidRPr="00C16A84">
              <w:rPr>
                <w:b/>
                <w:noProof/>
                <w:sz w:val="20"/>
              </w:rPr>
              <w:t>0,620</w:t>
            </w:r>
          </w:p>
        </w:tc>
      </w:tr>
      <w:tr w:rsidR="003F3C34" w:rsidRPr="00C16A84" w14:paraId="3057CD77" w14:textId="77777777" w:rsidTr="008204DA">
        <w:trPr>
          <w:jc w:val="center"/>
        </w:trPr>
        <w:tc>
          <w:tcPr>
            <w:tcW w:w="3960" w:type="dxa"/>
            <w:vMerge/>
          </w:tcPr>
          <w:p w14:paraId="7196C78F" w14:textId="77777777" w:rsidR="003F3C34" w:rsidRPr="00C16A84" w:rsidRDefault="003F3C34" w:rsidP="008204DA">
            <w:pPr>
              <w:jc w:val="center"/>
              <w:rPr>
                <w:noProof/>
                <w:sz w:val="20"/>
              </w:rPr>
            </w:pPr>
          </w:p>
        </w:tc>
        <w:tc>
          <w:tcPr>
            <w:tcW w:w="1440" w:type="dxa"/>
            <w:vAlign w:val="center"/>
          </w:tcPr>
          <w:p w14:paraId="4072B8DA" w14:textId="77777777" w:rsidR="003F3C34" w:rsidRPr="00C16A84" w:rsidRDefault="003F3C34" w:rsidP="008204DA">
            <w:pPr>
              <w:spacing w:before="20" w:after="20"/>
              <w:rPr>
                <w:noProof/>
                <w:sz w:val="18"/>
              </w:rPr>
            </w:pPr>
            <w:r w:rsidRPr="00C16A84">
              <w:rPr>
                <w:noProof/>
                <w:sz w:val="18"/>
              </w:rPr>
              <w:t>Plaćanja</w:t>
            </w:r>
          </w:p>
        </w:tc>
        <w:tc>
          <w:tcPr>
            <w:tcW w:w="654" w:type="dxa"/>
            <w:vAlign w:val="center"/>
          </w:tcPr>
          <w:p w14:paraId="0C2A5F6F" w14:textId="77777777" w:rsidR="003F3C34" w:rsidRPr="00C16A84" w:rsidRDefault="003F3C34" w:rsidP="008204DA">
            <w:pPr>
              <w:spacing w:before="20" w:after="20"/>
              <w:jc w:val="center"/>
              <w:rPr>
                <w:noProof/>
                <w:sz w:val="14"/>
              </w:rPr>
            </w:pPr>
            <w:r w:rsidRPr="00C16A84">
              <w:rPr>
                <w:noProof/>
                <w:sz w:val="14"/>
              </w:rPr>
              <w:t>(2a)</w:t>
            </w:r>
          </w:p>
        </w:tc>
        <w:tc>
          <w:tcPr>
            <w:tcW w:w="868" w:type="dxa"/>
            <w:vAlign w:val="center"/>
          </w:tcPr>
          <w:p w14:paraId="509BEFCD" w14:textId="77777777" w:rsidR="003F3C34" w:rsidRPr="00C16A84" w:rsidRDefault="003F3C34" w:rsidP="008204DA">
            <w:pPr>
              <w:spacing w:before="20" w:after="20"/>
              <w:jc w:val="right"/>
              <w:rPr>
                <w:noProof/>
                <w:sz w:val="20"/>
              </w:rPr>
            </w:pPr>
          </w:p>
        </w:tc>
        <w:tc>
          <w:tcPr>
            <w:tcW w:w="868" w:type="dxa"/>
            <w:vAlign w:val="center"/>
          </w:tcPr>
          <w:p w14:paraId="094B7A72" w14:textId="77777777" w:rsidR="003F3C34" w:rsidRPr="00C16A84" w:rsidRDefault="003F3C34" w:rsidP="008204DA">
            <w:pPr>
              <w:spacing w:before="20" w:after="20"/>
              <w:jc w:val="right"/>
              <w:rPr>
                <w:noProof/>
                <w:sz w:val="20"/>
              </w:rPr>
            </w:pPr>
          </w:p>
        </w:tc>
        <w:tc>
          <w:tcPr>
            <w:tcW w:w="868" w:type="dxa"/>
            <w:vAlign w:val="center"/>
          </w:tcPr>
          <w:p w14:paraId="2FA51B44" w14:textId="77777777" w:rsidR="003F3C34" w:rsidRPr="00C16A84" w:rsidRDefault="003F3C34" w:rsidP="008204DA">
            <w:pPr>
              <w:spacing w:before="20" w:after="20"/>
              <w:jc w:val="right"/>
              <w:rPr>
                <w:noProof/>
                <w:sz w:val="20"/>
              </w:rPr>
            </w:pPr>
            <w:r w:rsidRPr="00C16A84">
              <w:rPr>
                <w:noProof/>
                <w:sz w:val="20"/>
              </w:rPr>
              <w:t>0,060</w:t>
            </w:r>
          </w:p>
        </w:tc>
        <w:tc>
          <w:tcPr>
            <w:tcW w:w="868" w:type="dxa"/>
            <w:vAlign w:val="center"/>
          </w:tcPr>
          <w:p w14:paraId="6C13CDDA" w14:textId="77777777" w:rsidR="003F3C34" w:rsidRPr="00C16A84" w:rsidRDefault="003F3C34" w:rsidP="008204DA">
            <w:pPr>
              <w:spacing w:before="20" w:after="20"/>
              <w:jc w:val="right"/>
              <w:rPr>
                <w:noProof/>
                <w:sz w:val="20"/>
              </w:rPr>
            </w:pPr>
            <w:r w:rsidRPr="00C16A84">
              <w:rPr>
                <w:noProof/>
                <w:sz w:val="20"/>
              </w:rPr>
              <w:t>0,310</w:t>
            </w:r>
          </w:p>
        </w:tc>
        <w:tc>
          <w:tcPr>
            <w:tcW w:w="899" w:type="dxa"/>
          </w:tcPr>
          <w:p w14:paraId="4ECD0F58" w14:textId="77777777" w:rsidR="003F3C34" w:rsidRPr="00C16A84" w:rsidRDefault="003F3C34" w:rsidP="008204DA">
            <w:pPr>
              <w:spacing w:before="20" w:after="20"/>
              <w:jc w:val="right"/>
              <w:rPr>
                <w:noProof/>
                <w:sz w:val="20"/>
              </w:rPr>
            </w:pPr>
            <w:r w:rsidRPr="00C16A84">
              <w:rPr>
                <w:noProof/>
                <w:sz w:val="20"/>
              </w:rPr>
              <w:t>0,250</w:t>
            </w:r>
          </w:p>
        </w:tc>
        <w:tc>
          <w:tcPr>
            <w:tcW w:w="992" w:type="dxa"/>
          </w:tcPr>
          <w:p w14:paraId="2BD27338" w14:textId="77777777" w:rsidR="003F3C34" w:rsidRPr="00C16A84" w:rsidRDefault="003F3C34" w:rsidP="008204DA">
            <w:pPr>
              <w:spacing w:before="20" w:after="20"/>
              <w:jc w:val="right"/>
              <w:rPr>
                <w:noProof/>
                <w:sz w:val="20"/>
              </w:rPr>
            </w:pPr>
          </w:p>
        </w:tc>
        <w:tc>
          <w:tcPr>
            <w:tcW w:w="992" w:type="dxa"/>
          </w:tcPr>
          <w:p w14:paraId="439AF36D" w14:textId="77777777" w:rsidR="003F3C34" w:rsidRPr="00C16A84" w:rsidRDefault="003F3C34" w:rsidP="008204DA">
            <w:pPr>
              <w:spacing w:before="20" w:after="20"/>
              <w:jc w:val="right"/>
              <w:rPr>
                <w:noProof/>
                <w:sz w:val="20"/>
              </w:rPr>
            </w:pPr>
          </w:p>
        </w:tc>
        <w:tc>
          <w:tcPr>
            <w:tcW w:w="992" w:type="dxa"/>
          </w:tcPr>
          <w:p w14:paraId="2A796C66" w14:textId="77777777" w:rsidR="003F3C34" w:rsidRPr="00C16A84" w:rsidRDefault="003F3C34" w:rsidP="008204DA">
            <w:pPr>
              <w:spacing w:before="20" w:after="20"/>
              <w:jc w:val="right"/>
              <w:rPr>
                <w:bCs/>
                <w:noProof/>
                <w:sz w:val="20"/>
              </w:rPr>
            </w:pPr>
          </w:p>
        </w:tc>
        <w:tc>
          <w:tcPr>
            <w:tcW w:w="1701" w:type="dxa"/>
            <w:vAlign w:val="center"/>
          </w:tcPr>
          <w:p w14:paraId="0F4049B1" w14:textId="77777777" w:rsidR="003F3C34" w:rsidRPr="00C16A84" w:rsidRDefault="003F3C34" w:rsidP="008204DA">
            <w:pPr>
              <w:spacing w:before="20" w:after="20"/>
              <w:jc w:val="right"/>
              <w:rPr>
                <w:b/>
                <w:noProof/>
                <w:sz w:val="20"/>
              </w:rPr>
            </w:pPr>
            <w:r w:rsidRPr="00C16A84">
              <w:rPr>
                <w:b/>
                <w:noProof/>
                <w:sz w:val="20"/>
              </w:rPr>
              <w:t>0,620</w:t>
            </w:r>
          </w:p>
        </w:tc>
      </w:tr>
      <w:tr w:rsidR="003F3C34" w:rsidRPr="00C16A84" w14:paraId="67BD7945" w14:textId="77777777" w:rsidTr="008204DA">
        <w:trPr>
          <w:jc w:val="center"/>
        </w:trPr>
        <w:tc>
          <w:tcPr>
            <w:tcW w:w="3960" w:type="dxa"/>
            <w:vMerge w:val="restart"/>
            <w:vAlign w:val="center"/>
          </w:tcPr>
          <w:p w14:paraId="3372109E" w14:textId="77777777" w:rsidR="003F3C34" w:rsidRPr="00C16A84" w:rsidRDefault="003F3C34" w:rsidP="008204DA">
            <w:pPr>
              <w:rPr>
                <w:noProof/>
              </w:rPr>
            </w:pPr>
            <w:r w:rsidRPr="00C16A84">
              <w:rPr>
                <w:noProof/>
                <w:sz w:val="20"/>
              </w:rPr>
              <w:t>Proračunska linija</w:t>
            </w:r>
          </w:p>
        </w:tc>
        <w:tc>
          <w:tcPr>
            <w:tcW w:w="1440" w:type="dxa"/>
            <w:vAlign w:val="center"/>
          </w:tcPr>
          <w:p w14:paraId="39F454B1" w14:textId="77777777" w:rsidR="003F3C34" w:rsidRPr="00C16A84" w:rsidRDefault="003F3C34" w:rsidP="008204DA">
            <w:pPr>
              <w:spacing w:before="20" w:after="20"/>
              <w:rPr>
                <w:noProof/>
                <w:sz w:val="18"/>
              </w:rPr>
            </w:pPr>
            <w:r w:rsidRPr="00C16A84">
              <w:rPr>
                <w:noProof/>
                <w:sz w:val="18"/>
              </w:rPr>
              <w:t>Obveze</w:t>
            </w:r>
          </w:p>
        </w:tc>
        <w:tc>
          <w:tcPr>
            <w:tcW w:w="654" w:type="dxa"/>
            <w:vAlign w:val="center"/>
          </w:tcPr>
          <w:p w14:paraId="6D61D53A" w14:textId="77777777" w:rsidR="003F3C34" w:rsidRPr="00C16A84" w:rsidRDefault="003F3C34" w:rsidP="008204DA">
            <w:pPr>
              <w:spacing w:before="20" w:after="20"/>
              <w:jc w:val="center"/>
              <w:rPr>
                <w:noProof/>
                <w:sz w:val="14"/>
              </w:rPr>
            </w:pPr>
            <w:r w:rsidRPr="00C16A84">
              <w:rPr>
                <w:noProof/>
                <w:sz w:val="14"/>
              </w:rPr>
              <w:t>(1b)</w:t>
            </w:r>
          </w:p>
        </w:tc>
        <w:tc>
          <w:tcPr>
            <w:tcW w:w="868" w:type="dxa"/>
            <w:vAlign w:val="center"/>
          </w:tcPr>
          <w:p w14:paraId="5D3E047C" w14:textId="77777777" w:rsidR="003F3C34" w:rsidRPr="00C16A84" w:rsidRDefault="003F3C34" w:rsidP="008204DA">
            <w:pPr>
              <w:spacing w:before="20" w:after="20"/>
              <w:jc w:val="right"/>
              <w:rPr>
                <w:noProof/>
                <w:sz w:val="20"/>
              </w:rPr>
            </w:pPr>
          </w:p>
        </w:tc>
        <w:tc>
          <w:tcPr>
            <w:tcW w:w="868" w:type="dxa"/>
            <w:vAlign w:val="center"/>
          </w:tcPr>
          <w:p w14:paraId="2F3EF0F9" w14:textId="77777777" w:rsidR="003F3C34" w:rsidRPr="00C16A84" w:rsidRDefault="003F3C34" w:rsidP="008204DA">
            <w:pPr>
              <w:spacing w:before="20" w:after="20"/>
              <w:jc w:val="right"/>
              <w:rPr>
                <w:noProof/>
                <w:sz w:val="20"/>
              </w:rPr>
            </w:pPr>
          </w:p>
        </w:tc>
        <w:tc>
          <w:tcPr>
            <w:tcW w:w="868" w:type="dxa"/>
            <w:vAlign w:val="center"/>
          </w:tcPr>
          <w:p w14:paraId="1CAF57D3" w14:textId="77777777" w:rsidR="003F3C34" w:rsidRPr="00C16A84" w:rsidRDefault="003F3C34" w:rsidP="008204DA">
            <w:pPr>
              <w:spacing w:before="20" w:after="20"/>
              <w:jc w:val="right"/>
              <w:rPr>
                <w:noProof/>
                <w:sz w:val="20"/>
              </w:rPr>
            </w:pPr>
          </w:p>
        </w:tc>
        <w:tc>
          <w:tcPr>
            <w:tcW w:w="868" w:type="dxa"/>
            <w:vAlign w:val="center"/>
          </w:tcPr>
          <w:p w14:paraId="0DC90B8D" w14:textId="77777777" w:rsidR="003F3C34" w:rsidRPr="00C16A84" w:rsidRDefault="003F3C34" w:rsidP="008204DA">
            <w:pPr>
              <w:spacing w:before="20" w:after="20"/>
              <w:jc w:val="right"/>
              <w:rPr>
                <w:noProof/>
                <w:sz w:val="20"/>
              </w:rPr>
            </w:pPr>
          </w:p>
        </w:tc>
        <w:tc>
          <w:tcPr>
            <w:tcW w:w="899" w:type="dxa"/>
          </w:tcPr>
          <w:p w14:paraId="74CCE827" w14:textId="77777777" w:rsidR="003F3C34" w:rsidRPr="00C16A84" w:rsidRDefault="003F3C34" w:rsidP="008204DA">
            <w:pPr>
              <w:spacing w:before="20" w:after="20"/>
              <w:jc w:val="right"/>
              <w:rPr>
                <w:noProof/>
                <w:sz w:val="20"/>
              </w:rPr>
            </w:pPr>
          </w:p>
        </w:tc>
        <w:tc>
          <w:tcPr>
            <w:tcW w:w="992" w:type="dxa"/>
          </w:tcPr>
          <w:p w14:paraId="73F30864" w14:textId="77777777" w:rsidR="003F3C34" w:rsidRPr="00C16A84" w:rsidRDefault="003F3C34" w:rsidP="008204DA">
            <w:pPr>
              <w:spacing w:before="20" w:after="20"/>
              <w:jc w:val="right"/>
              <w:rPr>
                <w:noProof/>
                <w:sz w:val="20"/>
              </w:rPr>
            </w:pPr>
          </w:p>
        </w:tc>
        <w:tc>
          <w:tcPr>
            <w:tcW w:w="992" w:type="dxa"/>
          </w:tcPr>
          <w:p w14:paraId="4D95D7A4" w14:textId="77777777" w:rsidR="003F3C34" w:rsidRPr="00C16A84" w:rsidRDefault="003F3C34" w:rsidP="008204DA">
            <w:pPr>
              <w:spacing w:before="20" w:after="20"/>
              <w:jc w:val="right"/>
              <w:rPr>
                <w:noProof/>
                <w:sz w:val="20"/>
              </w:rPr>
            </w:pPr>
          </w:p>
        </w:tc>
        <w:tc>
          <w:tcPr>
            <w:tcW w:w="992" w:type="dxa"/>
          </w:tcPr>
          <w:p w14:paraId="087E9D67" w14:textId="77777777" w:rsidR="003F3C34" w:rsidRPr="00C16A84" w:rsidRDefault="003F3C34" w:rsidP="008204DA">
            <w:pPr>
              <w:spacing w:before="20" w:after="20"/>
              <w:jc w:val="right"/>
              <w:rPr>
                <w:b/>
                <w:noProof/>
                <w:sz w:val="20"/>
              </w:rPr>
            </w:pPr>
          </w:p>
        </w:tc>
        <w:tc>
          <w:tcPr>
            <w:tcW w:w="1701" w:type="dxa"/>
            <w:vAlign w:val="center"/>
          </w:tcPr>
          <w:p w14:paraId="7C691E54" w14:textId="77777777" w:rsidR="003F3C34" w:rsidRPr="00C16A84" w:rsidRDefault="003F3C34" w:rsidP="008204DA">
            <w:pPr>
              <w:spacing w:before="20" w:after="20"/>
              <w:jc w:val="right"/>
              <w:rPr>
                <w:b/>
                <w:noProof/>
                <w:sz w:val="20"/>
              </w:rPr>
            </w:pPr>
          </w:p>
        </w:tc>
      </w:tr>
      <w:tr w:rsidR="003F3C34" w:rsidRPr="00C16A84" w14:paraId="75D02A5B" w14:textId="77777777" w:rsidTr="008204DA">
        <w:trPr>
          <w:jc w:val="center"/>
        </w:trPr>
        <w:tc>
          <w:tcPr>
            <w:tcW w:w="3960" w:type="dxa"/>
            <w:vMerge/>
          </w:tcPr>
          <w:p w14:paraId="6AE2368A" w14:textId="77777777" w:rsidR="003F3C34" w:rsidRPr="00C16A84" w:rsidRDefault="003F3C34" w:rsidP="008204DA">
            <w:pPr>
              <w:jc w:val="center"/>
              <w:rPr>
                <w:noProof/>
                <w:sz w:val="20"/>
              </w:rPr>
            </w:pPr>
          </w:p>
        </w:tc>
        <w:tc>
          <w:tcPr>
            <w:tcW w:w="1440" w:type="dxa"/>
            <w:vAlign w:val="center"/>
          </w:tcPr>
          <w:p w14:paraId="03532A3F" w14:textId="77777777" w:rsidR="003F3C34" w:rsidRPr="00C16A84" w:rsidRDefault="003F3C34" w:rsidP="008204DA">
            <w:pPr>
              <w:spacing w:before="20" w:after="20"/>
              <w:rPr>
                <w:noProof/>
                <w:sz w:val="18"/>
              </w:rPr>
            </w:pPr>
            <w:r w:rsidRPr="00C16A84">
              <w:rPr>
                <w:noProof/>
                <w:sz w:val="18"/>
              </w:rPr>
              <w:t>Plaćanja</w:t>
            </w:r>
          </w:p>
        </w:tc>
        <w:tc>
          <w:tcPr>
            <w:tcW w:w="654" w:type="dxa"/>
            <w:vAlign w:val="center"/>
          </w:tcPr>
          <w:p w14:paraId="28886BC2" w14:textId="77777777" w:rsidR="003F3C34" w:rsidRPr="00C16A84" w:rsidRDefault="003F3C34" w:rsidP="008204DA">
            <w:pPr>
              <w:spacing w:before="20" w:after="20"/>
              <w:jc w:val="center"/>
              <w:rPr>
                <w:noProof/>
                <w:sz w:val="14"/>
              </w:rPr>
            </w:pPr>
            <w:r w:rsidRPr="00C16A84">
              <w:rPr>
                <w:noProof/>
                <w:sz w:val="14"/>
              </w:rPr>
              <w:t>(2b)</w:t>
            </w:r>
          </w:p>
        </w:tc>
        <w:tc>
          <w:tcPr>
            <w:tcW w:w="868" w:type="dxa"/>
            <w:vAlign w:val="center"/>
          </w:tcPr>
          <w:p w14:paraId="149AC627" w14:textId="77777777" w:rsidR="003F3C34" w:rsidRPr="00C16A84" w:rsidRDefault="003F3C34" w:rsidP="008204DA">
            <w:pPr>
              <w:spacing w:before="20" w:after="20"/>
              <w:jc w:val="right"/>
              <w:rPr>
                <w:noProof/>
                <w:sz w:val="20"/>
              </w:rPr>
            </w:pPr>
          </w:p>
        </w:tc>
        <w:tc>
          <w:tcPr>
            <w:tcW w:w="868" w:type="dxa"/>
            <w:vAlign w:val="center"/>
          </w:tcPr>
          <w:p w14:paraId="10B07407" w14:textId="77777777" w:rsidR="003F3C34" w:rsidRPr="00C16A84" w:rsidRDefault="003F3C34" w:rsidP="008204DA">
            <w:pPr>
              <w:spacing w:before="20" w:after="20"/>
              <w:jc w:val="right"/>
              <w:rPr>
                <w:noProof/>
                <w:sz w:val="20"/>
              </w:rPr>
            </w:pPr>
          </w:p>
        </w:tc>
        <w:tc>
          <w:tcPr>
            <w:tcW w:w="868" w:type="dxa"/>
            <w:vAlign w:val="center"/>
          </w:tcPr>
          <w:p w14:paraId="5C5FEA50" w14:textId="77777777" w:rsidR="003F3C34" w:rsidRPr="00C16A84" w:rsidRDefault="003F3C34" w:rsidP="008204DA">
            <w:pPr>
              <w:spacing w:before="20" w:after="20"/>
              <w:jc w:val="right"/>
              <w:rPr>
                <w:noProof/>
                <w:sz w:val="20"/>
              </w:rPr>
            </w:pPr>
          </w:p>
        </w:tc>
        <w:tc>
          <w:tcPr>
            <w:tcW w:w="868" w:type="dxa"/>
            <w:vAlign w:val="center"/>
          </w:tcPr>
          <w:p w14:paraId="66ACDA9F" w14:textId="77777777" w:rsidR="003F3C34" w:rsidRPr="00C16A84" w:rsidRDefault="003F3C34" w:rsidP="008204DA">
            <w:pPr>
              <w:spacing w:before="20" w:after="20"/>
              <w:jc w:val="right"/>
              <w:rPr>
                <w:noProof/>
                <w:sz w:val="20"/>
              </w:rPr>
            </w:pPr>
          </w:p>
        </w:tc>
        <w:tc>
          <w:tcPr>
            <w:tcW w:w="899" w:type="dxa"/>
          </w:tcPr>
          <w:p w14:paraId="104C049E" w14:textId="77777777" w:rsidR="003F3C34" w:rsidRPr="00C16A84" w:rsidRDefault="003F3C34" w:rsidP="008204DA">
            <w:pPr>
              <w:spacing w:before="20" w:after="20"/>
              <w:jc w:val="right"/>
              <w:rPr>
                <w:noProof/>
                <w:sz w:val="20"/>
              </w:rPr>
            </w:pPr>
          </w:p>
        </w:tc>
        <w:tc>
          <w:tcPr>
            <w:tcW w:w="992" w:type="dxa"/>
          </w:tcPr>
          <w:p w14:paraId="4F59E8BB" w14:textId="77777777" w:rsidR="003F3C34" w:rsidRPr="00C16A84" w:rsidRDefault="003F3C34" w:rsidP="008204DA">
            <w:pPr>
              <w:spacing w:before="20" w:after="20"/>
              <w:jc w:val="right"/>
              <w:rPr>
                <w:noProof/>
                <w:sz w:val="20"/>
              </w:rPr>
            </w:pPr>
          </w:p>
        </w:tc>
        <w:tc>
          <w:tcPr>
            <w:tcW w:w="992" w:type="dxa"/>
          </w:tcPr>
          <w:p w14:paraId="474224C6" w14:textId="77777777" w:rsidR="003F3C34" w:rsidRPr="00C16A84" w:rsidRDefault="003F3C34" w:rsidP="008204DA">
            <w:pPr>
              <w:spacing w:before="20" w:after="20"/>
              <w:jc w:val="right"/>
              <w:rPr>
                <w:noProof/>
                <w:sz w:val="20"/>
              </w:rPr>
            </w:pPr>
          </w:p>
        </w:tc>
        <w:tc>
          <w:tcPr>
            <w:tcW w:w="992" w:type="dxa"/>
          </w:tcPr>
          <w:p w14:paraId="4F89ADC6" w14:textId="77777777" w:rsidR="003F3C34" w:rsidRPr="00C16A84" w:rsidRDefault="003F3C34" w:rsidP="008204DA">
            <w:pPr>
              <w:spacing w:before="20" w:after="20"/>
              <w:jc w:val="right"/>
              <w:rPr>
                <w:b/>
                <w:noProof/>
                <w:sz w:val="20"/>
              </w:rPr>
            </w:pPr>
          </w:p>
        </w:tc>
        <w:tc>
          <w:tcPr>
            <w:tcW w:w="1701" w:type="dxa"/>
            <w:vAlign w:val="center"/>
          </w:tcPr>
          <w:p w14:paraId="6FDC69B5" w14:textId="77777777" w:rsidR="003F3C34" w:rsidRPr="00C16A84" w:rsidRDefault="003F3C34" w:rsidP="008204DA">
            <w:pPr>
              <w:spacing w:before="20" w:after="20"/>
              <w:jc w:val="right"/>
              <w:rPr>
                <w:b/>
                <w:noProof/>
                <w:sz w:val="20"/>
              </w:rPr>
            </w:pPr>
          </w:p>
        </w:tc>
      </w:tr>
      <w:tr w:rsidR="003F3C34" w:rsidRPr="00C16A84" w14:paraId="43600318" w14:textId="77777777" w:rsidTr="008204DA">
        <w:trPr>
          <w:trHeight w:val="231"/>
          <w:jc w:val="center"/>
        </w:trPr>
        <w:tc>
          <w:tcPr>
            <w:tcW w:w="6054" w:type="dxa"/>
            <w:gridSpan w:val="3"/>
            <w:vAlign w:val="center"/>
          </w:tcPr>
          <w:p w14:paraId="4DF5CA96" w14:textId="77777777" w:rsidR="003F3C34" w:rsidRPr="00C16A84" w:rsidRDefault="003F3C34" w:rsidP="008204DA">
            <w:pPr>
              <w:spacing w:before="20" w:after="20"/>
              <w:rPr>
                <w:noProof/>
              </w:rPr>
            </w:pPr>
            <w:r w:rsidRPr="00C16A84">
              <w:rPr>
                <w:noProof/>
                <w:sz w:val="21"/>
              </w:rPr>
              <w:t>Administrativna odobrena sredstva koja se financiraju iz omotnice za posebne programe</w:t>
            </w:r>
            <w:r w:rsidRPr="00C16A84">
              <w:rPr>
                <w:rStyle w:val="FootnoteReference"/>
                <w:noProof/>
                <w:sz w:val="21"/>
              </w:rPr>
              <w:footnoteReference w:id="65"/>
            </w:r>
            <w:r w:rsidRPr="00C16A84">
              <w:rPr>
                <w:noProof/>
                <w:sz w:val="21"/>
              </w:rPr>
              <w:t xml:space="preserve"> </w:t>
            </w:r>
          </w:p>
          <w:p w14:paraId="6969BB20" w14:textId="77777777" w:rsidR="003F3C34" w:rsidRPr="00C16A84" w:rsidRDefault="003F3C34" w:rsidP="008204DA">
            <w:pPr>
              <w:spacing w:before="0" w:after="0"/>
              <w:rPr>
                <w:noProof/>
              </w:rPr>
            </w:pPr>
          </w:p>
        </w:tc>
        <w:tc>
          <w:tcPr>
            <w:tcW w:w="868" w:type="dxa"/>
            <w:vAlign w:val="center"/>
          </w:tcPr>
          <w:p w14:paraId="183CA447" w14:textId="77777777" w:rsidR="003F3C34" w:rsidRPr="00C16A84" w:rsidRDefault="003F3C34" w:rsidP="008204DA">
            <w:pPr>
              <w:rPr>
                <w:b/>
                <w:noProof/>
                <w:sz w:val="20"/>
              </w:rPr>
            </w:pPr>
          </w:p>
        </w:tc>
        <w:tc>
          <w:tcPr>
            <w:tcW w:w="868" w:type="dxa"/>
            <w:vAlign w:val="center"/>
          </w:tcPr>
          <w:p w14:paraId="6976EF9D" w14:textId="77777777" w:rsidR="003F3C34" w:rsidRPr="00C16A84" w:rsidRDefault="003F3C34" w:rsidP="008204DA">
            <w:pPr>
              <w:rPr>
                <w:b/>
                <w:noProof/>
                <w:sz w:val="20"/>
              </w:rPr>
            </w:pPr>
          </w:p>
        </w:tc>
        <w:tc>
          <w:tcPr>
            <w:tcW w:w="868" w:type="dxa"/>
            <w:vAlign w:val="center"/>
          </w:tcPr>
          <w:p w14:paraId="12D3403E" w14:textId="77777777" w:rsidR="003F3C34" w:rsidRPr="00C16A84" w:rsidRDefault="003F3C34" w:rsidP="008204DA">
            <w:pPr>
              <w:rPr>
                <w:b/>
                <w:noProof/>
                <w:sz w:val="20"/>
              </w:rPr>
            </w:pPr>
          </w:p>
        </w:tc>
        <w:tc>
          <w:tcPr>
            <w:tcW w:w="868" w:type="dxa"/>
            <w:vAlign w:val="center"/>
          </w:tcPr>
          <w:p w14:paraId="4D5434B5" w14:textId="77777777" w:rsidR="003F3C34" w:rsidRPr="00C16A84" w:rsidRDefault="003F3C34" w:rsidP="008204DA">
            <w:pPr>
              <w:rPr>
                <w:b/>
                <w:noProof/>
                <w:sz w:val="20"/>
              </w:rPr>
            </w:pPr>
          </w:p>
        </w:tc>
        <w:tc>
          <w:tcPr>
            <w:tcW w:w="899" w:type="dxa"/>
          </w:tcPr>
          <w:p w14:paraId="3276E7B6" w14:textId="77777777" w:rsidR="003F3C34" w:rsidRPr="00C16A84" w:rsidRDefault="003F3C34" w:rsidP="008204DA">
            <w:pPr>
              <w:rPr>
                <w:b/>
                <w:noProof/>
                <w:sz w:val="20"/>
              </w:rPr>
            </w:pPr>
          </w:p>
        </w:tc>
        <w:tc>
          <w:tcPr>
            <w:tcW w:w="992" w:type="dxa"/>
          </w:tcPr>
          <w:p w14:paraId="16A3F06F" w14:textId="77777777" w:rsidR="003F3C34" w:rsidRPr="00C16A84" w:rsidRDefault="003F3C34" w:rsidP="008204DA">
            <w:pPr>
              <w:rPr>
                <w:b/>
                <w:noProof/>
                <w:sz w:val="20"/>
              </w:rPr>
            </w:pPr>
          </w:p>
        </w:tc>
        <w:tc>
          <w:tcPr>
            <w:tcW w:w="992" w:type="dxa"/>
          </w:tcPr>
          <w:p w14:paraId="2A4B9875" w14:textId="77777777" w:rsidR="003F3C34" w:rsidRPr="00C16A84" w:rsidRDefault="003F3C34" w:rsidP="008204DA">
            <w:pPr>
              <w:rPr>
                <w:b/>
                <w:noProof/>
                <w:sz w:val="20"/>
              </w:rPr>
            </w:pPr>
          </w:p>
        </w:tc>
        <w:tc>
          <w:tcPr>
            <w:tcW w:w="992" w:type="dxa"/>
          </w:tcPr>
          <w:p w14:paraId="31249AF2" w14:textId="77777777" w:rsidR="003F3C34" w:rsidRPr="00C16A84" w:rsidRDefault="003F3C34" w:rsidP="008204DA">
            <w:pPr>
              <w:rPr>
                <w:b/>
                <w:noProof/>
                <w:sz w:val="20"/>
              </w:rPr>
            </w:pPr>
          </w:p>
        </w:tc>
        <w:tc>
          <w:tcPr>
            <w:tcW w:w="1701" w:type="dxa"/>
            <w:vAlign w:val="center"/>
          </w:tcPr>
          <w:p w14:paraId="6458F29B" w14:textId="77777777" w:rsidR="003F3C34" w:rsidRPr="00C16A84" w:rsidRDefault="003F3C34" w:rsidP="008204DA">
            <w:pPr>
              <w:rPr>
                <w:b/>
                <w:noProof/>
                <w:sz w:val="20"/>
              </w:rPr>
            </w:pPr>
          </w:p>
        </w:tc>
      </w:tr>
      <w:tr w:rsidR="003F3C34" w:rsidRPr="00C16A84" w14:paraId="21A6F8D3" w14:textId="77777777" w:rsidTr="008204DA">
        <w:trPr>
          <w:jc w:val="center"/>
        </w:trPr>
        <w:tc>
          <w:tcPr>
            <w:tcW w:w="3960" w:type="dxa"/>
            <w:vMerge w:val="restart"/>
            <w:vAlign w:val="center"/>
          </w:tcPr>
          <w:p w14:paraId="556380F1" w14:textId="77777777" w:rsidR="003F3C34" w:rsidRPr="00C16A84" w:rsidRDefault="003F3C34" w:rsidP="008204DA">
            <w:pPr>
              <w:jc w:val="center"/>
              <w:rPr>
                <w:b/>
                <w:noProof/>
              </w:rPr>
            </w:pPr>
            <w:r w:rsidRPr="00C16A84">
              <w:rPr>
                <w:b/>
                <w:noProof/>
                <w:sz w:val="22"/>
              </w:rPr>
              <w:t>UKUPNA odobrena sredstva</w:t>
            </w:r>
            <w:r w:rsidRPr="00C16A84">
              <w:rPr>
                <w:noProof/>
              </w:rPr>
              <w:t xml:space="preserve"> </w:t>
            </w:r>
            <w:r w:rsidRPr="00C16A84">
              <w:rPr>
                <w:noProof/>
              </w:rPr>
              <w:br/>
            </w:r>
            <w:r w:rsidRPr="00C16A84">
              <w:rPr>
                <w:b/>
                <w:noProof/>
                <w:sz w:val="22"/>
              </w:rPr>
              <w:t>za GU EMPL</w:t>
            </w:r>
          </w:p>
        </w:tc>
        <w:tc>
          <w:tcPr>
            <w:tcW w:w="1440" w:type="dxa"/>
            <w:vAlign w:val="center"/>
          </w:tcPr>
          <w:p w14:paraId="6556737E" w14:textId="77777777" w:rsidR="003F3C34" w:rsidRPr="00C16A84" w:rsidRDefault="003F3C34" w:rsidP="008204DA">
            <w:pPr>
              <w:rPr>
                <w:noProof/>
                <w:sz w:val="18"/>
              </w:rPr>
            </w:pPr>
            <w:r w:rsidRPr="00C16A84">
              <w:rPr>
                <w:noProof/>
                <w:sz w:val="18"/>
              </w:rPr>
              <w:t>Obveze</w:t>
            </w:r>
          </w:p>
        </w:tc>
        <w:tc>
          <w:tcPr>
            <w:tcW w:w="654" w:type="dxa"/>
            <w:vAlign w:val="center"/>
          </w:tcPr>
          <w:p w14:paraId="40998FBA" w14:textId="77777777" w:rsidR="003F3C34" w:rsidRPr="00C16A84" w:rsidRDefault="003F3C34" w:rsidP="008204DA">
            <w:pPr>
              <w:jc w:val="center"/>
              <w:rPr>
                <w:noProof/>
                <w:sz w:val="14"/>
              </w:rPr>
            </w:pPr>
            <w:r w:rsidRPr="00C16A84">
              <w:rPr>
                <w:noProof/>
                <w:sz w:val="14"/>
              </w:rPr>
              <w:t>=1a+1b+3</w:t>
            </w:r>
          </w:p>
        </w:tc>
        <w:tc>
          <w:tcPr>
            <w:tcW w:w="868" w:type="dxa"/>
            <w:vAlign w:val="center"/>
          </w:tcPr>
          <w:p w14:paraId="5E2B9C13" w14:textId="77777777" w:rsidR="003F3C34" w:rsidRPr="00C16A84" w:rsidRDefault="003F3C34" w:rsidP="008204DA">
            <w:pPr>
              <w:spacing w:before="20" w:after="20"/>
              <w:jc w:val="right"/>
              <w:rPr>
                <w:noProof/>
                <w:sz w:val="20"/>
              </w:rPr>
            </w:pPr>
          </w:p>
        </w:tc>
        <w:tc>
          <w:tcPr>
            <w:tcW w:w="868" w:type="dxa"/>
            <w:vAlign w:val="center"/>
          </w:tcPr>
          <w:p w14:paraId="4A0F6602" w14:textId="77777777" w:rsidR="003F3C34" w:rsidRPr="00C16A84" w:rsidRDefault="003F3C34" w:rsidP="008204DA">
            <w:pPr>
              <w:spacing w:before="20" w:after="20"/>
              <w:jc w:val="right"/>
              <w:rPr>
                <w:noProof/>
                <w:sz w:val="20"/>
              </w:rPr>
            </w:pPr>
          </w:p>
        </w:tc>
        <w:tc>
          <w:tcPr>
            <w:tcW w:w="868" w:type="dxa"/>
            <w:vAlign w:val="center"/>
          </w:tcPr>
          <w:p w14:paraId="4BC94426" w14:textId="77777777" w:rsidR="003F3C34" w:rsidRPr="00C16A84" w:rsidRDefault="003F3C34" w:rsidP="008204DA">
            <w:pPr>
              <w:spacing w:before="20" w:after="20"/>
              <w:jc w:val="right"/>
              <w:rPr>
                <w:noProof/>
                <w:sz w:val="20"/>
              </w:rPr>
            </w:pPr>
            <w:r w:rsidRPr="00C16A84">
              <w:rPr>
                <w:noProof/>
                <w:sz w:val="20"/>
              </w:rPr>
              <w:t>0,560</w:t>
            </w:r>
          </w:p>
        </w:tc>
        <w:tc>
          <w:tcPr>
            <w:tcW w:w="868" w:type="dxa"/>
            <w:vAlign w:val="center"/>
          </w:tcPr>
          <w:p w14:paraId="03485574" w14:textId="77777777" w:rsidR="003F3C34" w:rsidRPr="00C16A84" w:rsidRDefault="003F3C34" w:rsidP="008204DA">
            <w:pPr>
              <w:spacing w:before="20" w:after="20"/>
              <w:jc w:val="right"/>
              <w:rPr>
                <w:noProof/>
                <w:sz w:val="20"/>
              </w:rPr>
            </w:pPr>
            <w:r w:rsidRPr="00C16A84">
              <w:rPr>
                <w:noProof/>
                <w:sz w:val="20"/>
              </w:rPr>
              <w:t>0,060</w:t>
            </w:r>
          </w:p>
        </w:tc>
        <w:tc>
          <w:tcPr>
            <w:tcW w:w="899" w:type="dxa"/>
          </w:tcPr>
          <w:p w14:paraId="0902E8FC" w14:textId="77777777" w:rsidR="003F3C34" w:rsidRPr="00C16A84" w:rsidRDefault="003F3C34" w:rsidP="008204DA">
            <w:pPr>
              <w:spacing w:before="20" w:after="20"/>
              <w:jc w:val="right"/>
              <w:rPr>
                <w:noProof/>
                <w:sz w:val="20"/>
              </w:rPr>
            </w:pPr>
          </w:p>
        </w:tc>
        <w:tc>
          <w:tcPr>
            <w:tcW w:w="992" w:type="dxa"/>
          </w:tcPr>
          <w:p w14:paraId="4FB0B49C" w14:textId="77777777" w:rsidR="003F3C34" w:rsidRPr="00C16A84" w:rsidRDefault="003F3C34" w:rsidP="008204DA">
            <w:pPr>
              <w:spacing w:before="20" w:after="20"/>
              <w:jc w:val="right"/>
              <w:rPr>
                <w:noProof/>
                <w:sz w:val="20"/>
              </w:rPr>
            </w:pPr>
          </w:p>
        </w:tc>
        <w:tc>
          <w:tcPr>
            <w:tcW w:w="992" w:type="dxa"/>
          </w:tcPr>
          <w:p w14:paraId="490DA3D2" w14:textId="77777777" w:rsidR="003F3C34" w:rsidRPr="00C16A84" w:rsidRDefault="003F3C34" w:rsidP="008204DA">
            <w:pPr>
              <w:spacing w:before="20" w:after="20"/>
              <w:rPr>
                <w:noProof/>
                <w:sz w:val="20"/>
              </w:rPr>
            </w:pPr>
          </w:p>
        </w:tc>
        <w:tc>
          <w:tcPr>
            <w:tcW w:w="992" w:type="dxa"/>
          </w:tcPr>
          <w:p w14:paraId="2B529412" w14:textId="77777777" w:rsidR="003F3C34" w:rsidRPr="00C16A84" w:rsidRDefault="003F3C34" w:rsidP="008204DA">
            <w:pPr>
              <w:spacing w:before="20" w:after="20"/>
              <w:jc w:val="right"/>
              <w:rPr>
                <w:noProof/>
                <w:sz w:val="20"/>
              </w:rPr>
            </w:pPr>
          </w:p>
        </w:tc>
        <w:tc>
          <w:tcPr>
            <w:tcW w:w="1701" w:type="dxa"/>
            <w:vAlign w:val="center"/>
          </w:tcPr>
          <w:p w14:paraId="1A0735C8" w14:textId="77777777" w:rsidR="003F3C34" w:rsidRPr="00C16A84" w:rsidRDefault="003F3C34" w:rsidP="008204DA">
            <w:pPr>
              <w:spacing w:before="20" w:after="20"/>
              <w:jc w:val="right"/>
              <w:rPr>
                <w:b/>
                <w:noProof/>
                <w:sz w:val="20"/>
              </w:rPr>
            </w:pPr>
            <w:r w:rsidRPr="00C16A84">
              <w:rPr>
                <w:b/>
                <w:noProof/>
                <w:sz w:val="20"/>
              </w:rPr>
              <w:t>0,620</w:t>
            </w:r>
          </w:p>
        </w:tc>
      </w:tr>
      <w:tr w:rsidR="003F3C34" w:rsidRPr="00C16A84" w14:paraId="26B3F294" w14:textId="77777777" w:rsidTr="008204DA">
        <w:trPr>
          <w:jc w:val="center"/>
        </w:trPr>
        <w:tc>
          <w:tcPr>
            <w:tcW w:w="3960" w:type="dxa"/>
            <w:vMerge/>
          </w:tcPr>
          <w:p w14:paraId="1DA46EDA" w14:textId="77777777" w:rsidR="003F3C34" w:rsidRPr="00C16A84" w:rsidRDefault="003F3C34" w:rsidP="008204DA">
            <w:pPr>
              <w:rPr>
                <w:noProof/>
                <w:sz w:val="20"/>
              </w:rPr>
            </w:pPr>
          </w:p>
        </w:tc>
        <w:tc>
          <w:tcPr>
            <w:tcW w:w="1440" w:type="dxa"/>
            <w:vAlign w:val="center"/>
          </w:tcPr>
          <w:p w14:paraId="483D5D83" w14:textId="77777777" w:rsidR="003F3C34" w:rsidRPr="00C16A84" w:rsidRDefault="003F3C34" w:rsidP="008204DA">
            <w:pPr>
              <w:rPr>
                <w:noProof/>
                <w:sz w:val="18"/>
              </w:rPr>
            </w:pPr>
            <w:r w:rsidRPr="00C16A84">
              <w:rPr>
                <w:noProof/>
                <w:sz w:val="18"/>
              </w:rPr>
              <w:t>Plaćanja</w:t>
            </w:r>
          </w:p>
        </w:tc>
        <w:tc>
          <w:tcPr>
            <w:tcW w:w="654" w:type="dxa"/>
            <w:vAlign w:val="center"/>
          </w:tcPr>
          <w:p w14:paraId="75394CE5" w14:textId="77777777" w:rsidR="003F3C34" w:rsidRPr="00C16A84" w:rsidRDefault="003F3C34" w:rsidP="008204DA">
            <w:pPr>
              <w:jc w:val="center"/>
              <w:rPr>
                <w:noProof/>
                <w:sz w:val="14"/>
              </w:rPr>
            </w:pPr>
            <w:r w:rsidRPr="00C16A84">
              <w:rPr>
                <w:noProof/>
                <w:sz w:val="14"/>
              </w:rPr>
              <w:t>=2a+2b</w:t>
            </w:r>
          </w:p>
          <w:p w14:paraId="3247D305" w14:textId="77777777" w:rsidR="003F3C34" w:rsidRPr="00C16A84" w:rsidRDefault="003F3C34" w:rsidP="008204DA">
            <w:pPr>
              <w:jc w:val="center"/>
              <w:rPr>
                <w:noProof/>
                <w:sz w:val="14"/>
              </w:rPr>
            </w:pPr>
            <w:r w:rsidRPr="00C16A84">
              <w:rPr>
                <w:noProof/>
                <w:sz w:val="14"/>
              </w:rPr>
              <w:t>+3</w:t>
            </w:r>
          </w:p>
        </w:tc>
        <w:tc>
          <w:tcPr>
            <w:tcW w:w="868" w:type="dxa"/>
            <w:vAlign w:val="center"/>
          </w:tcPr>
          <w:p w14:paraId="08773AF7" w14:textId="77777777" w:rsidR="003F3C34" w:rsidRPr="00C16A84" w:rsidRDefault="003F3C34" w:rsidP="008204DA">
            <w:pPr>
              <w:spacing w:before="20" w:after="20"/>
              <w:jc w:val="right"/>
              <w:rPr>
                <w:noProof/>
                <w:sz w:val="20"/>
              </w:rPr>
            </w:pPr>
          </w:p>
        </w:tc>
        <w:tc>
          <w:tcPr>
            <w:tcW w:w="868" w:type="dxa"/>
            <w:vAlign w:val="center"/>
          </w:tcPr>
          <w:p w14:paraId="611DC888" w14:textId="77777777" w:rsidR="003F3C34" w:rsidRPr="00C16A84" w:rsidRDefault="003F3C34" w:rsidP="008204DA">
            <w:pPr>
              <w:spacing w:before="20" w:after="20"/>
              <w:jc w:val="right"/>
              <w:rPr>
                <w:noProof/>
                <w:sz w:val="20"/>
              </w:rPr>
            </w:pPr>
          </w:p>
        </w:tc>
        <w:tc>
          <w:tcPr>
            <w:tcW w:w="868" w:type="dxa"/>
            <w:vAlign w:val="center"/>
          </w:tcPr>
          <w:p w14:paraId="4EA2E917" w14:textId="77777777" w:rsidR="003F3C34" w:rsidRPr="00C16A84" w:rsidRDefault="003F3C34" w:rsidP="008204DA">
            <w:pPr>
              <w:spacing w:before="20" w:after="20"/>
              <w:jc w:val="right"/>
              <w:rPr>
                <w:noProof/>
                <w:sz w:val="20"/>
              </w:rPr>
            </w:pPr>
            <w:r w:rsidRPr="00C16A84">
              <w:rPr>
                <w:noProof/>
                <w:sz w:val="20"/>
              </w:rPr>
              <w:t>0,060</w:t>
            </w:r>
          </w:p>
        </w:tc>
        <w:tc>
          <w:tcPr>
            <w:tcW w:w="868" w:type="dxa"/>
            <w:vAlign w:val="center"/>
          </w:tcPr>
          <w:p w14:paraId="5AD4EF78" w14:textId="77777777" w:rsidR="003F3C34" w:rsidRPr="00C16A84" w:rsidRDefault="003F3C34" w:rsidP="008204DA">
            <w:pPr>
              <w:spacing w:before="20" w:after="20"/>
              <w:jc w:val="right"/>
              <w:rPr>
                <w:noProof/>
                <w:sz w:val="20"/>
              </w:rPr>
            </w:pPr>
            <w:r w:rsidRPr="00C16A84">
              <w:rPr>
                <w:noProof/>
                <w:sz w:val="20"/>
              </w:rPr>
              <w:t>0,310</w:t>
            </w:r>
          </w:p>
        </w:tc>
        <w:tc>
          <w:tcPr>
            <w:tcW w:w="899" w:type="dxa"/>
          </w:tcPr>
          <w:p w14:paraId="35F3BFD0" w14:textId="77777777" w:rsidR="003F3C34" w:rsidRPr="00C16A84" w:rsidRDefault="003F3C34" w:rsidP="008204DA">
            <w:pPr>
              <w:spacing w:before="20" w:after="20"/>
              <w:jc w:val="right"/>
              <w:rPr>
                <w:noProof/>
                <w:sz w:val="20"/>
              </w:rPr>
            </w:pPr>
            <w:r w:rsidRPr="00C16A84">
              <w:rPr>
                <w:noProof/>
                <w:sz w:val="20"/>
              </w:rPr>
              <w:t>0,250</w:t>
            </w:r>
          </w:p>
        </w:tc>
        <w:tc>
          <w:tcPr>
            <w:tcW w:w="992" w:type="dxa"/>
          </w:tcPr>
          <w:p w14:paraId="631253A5" w14:textId="77777777" w:rsidR="003F3C34" w:rsidRPr="00C16A84" w:rsidRDefault="003F3C34" w:rsidP="008204DA">
            <w:pPr>
              <w:spacing w:before="20" w:after="20"/>
              <w:jc w:val="right"/>
              <w:rPr>
                <w:noProof/>
                <w:sz w:val="20"/>
              </w:rPr>
            </w:pPr>
          </w:p>
        </w:tc>
        <w:tc>
          <w:tcPr>
            <w:tcW w:w="992" w:type="dxa"/>
          </w:tcPr>
          <w:p w14:paraId="511FCCEA" w14:textId="77777777" w:rsidR="003F3C34" w:rsidRPr="00C16A84" w:rsidRDefault="003F3C34" w:rsidP="008204DA">
            <w:pPr>
              <w:spacing w:before="20" w:after="20"/>
              <w:jc w:val="right"/>
              <w:rPr>
                <w:noProof/>
                <w:sz w:val="20"/>
              </w:rPr>
            </w:pPr>
          </w:p>
        </w:tc>
        <w:tc>
          <w:tcPr>
            <w:tcW w:w="992" w:type="dxa"/>
          </w:tcPr>
          <w:p w14:paraId="4C04FD08" w14:textId="77777777" w:rsidR="003F3C34" w:rsidRPr="00C16A84" w:rsidRDefault="003F3C34" w:rsidP="008204DA">
            <w:pPr>
              <w:spacing w:before="20" w:after="20"/>
              <w:jc w:val="right"/>
              <w:rPr>
                <w:noProof/>
                <w:sz w:val="20"/>
              </w:rPr>
            </w:pPr>
          </w:p>
        </w:tc>
        <w:tc>
          <w:tcPr>
            <w:tcW w:w="1701" w:type="dxa"/>
            <w:vAlign w:val="center"/>
          </w:tcPr>
          <w:p w14:paraId="766BF571" w14:textId="77777777" w:rsidR="003F3C34" w:rsidRPr="00C16A84" w:rsidRDefault="003F3C34" w:rsidP="008204DA">
            <w:pPr>
              <w:spacing w:before="20" w:after="20"/>
              <w:jc w:val="right"/>
              <w:rPr>
                <w:b/>
                <w:noProof/>
                <w:sz w:val="20"/>
              </w:rPr>
            </w:pPr>
            <w:r w:rsidRPr="00C16A84">
              <w:rPr>
                <w:b/>
                <w:noProof/>
                <w:sz w:val="20"/>
              </w:rPr>
              <w:t>0,620</w:t>
            </w:r>
          </w:p>
        </w:tc>
      </w:tr>
    </w:tbl>
    <w:p w14:paraId="606DDB6D" w14:textId="77777777" w:rsidR="003F3C34" w:rsidRPr="00C16A84" w:rsidRDefault="003F3C34" w:rsidP="003F3C34">
      <w:pPr>
        <w:rPr>
          <w:noProof/>
        </w:rPr>
      </w:pPr>
      <w:r w:rsidRPr="00C16A84">
        <w:rPr>
          <w:noProof/>
        </w:rPr>
        <w:t xml:space="preserve"> </w:t>
      </w:r>
      <w:r w:rsidRPr="00C16A84">
        <w:rPr>
          <w:noProof/>
        </w:rPr>
        <w:br/>
      </w:r>
    </w:p>
    <w:tbl>
      <w:tblPr>
        <w:tblW w:w="1510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1023"/>
        <w:gridCol w:w="992"/>
        <w:gridCol w:w="992"/>
        <w:gridCol w:w="1701"/>
      </w:tblGrid>
      <w:tr w:rsidR="003F3C34" w:rsidRPr="00C16A84" w14:paraId="5E5FA56A" w14:textId="77777777" w:rsidTr="008204DA">
        <w:trPr>
          <w:trHeight w:val="277"/>
        </w:trPr>
        <w:tc>
          <w:tcPr>
            <w:tcW w:w="3960" w:type="dxa"/>
            <w:vMerge w:val="restart"/>
            <w:vAlign w:val="center"/>
          </w:tcPr>
          <w:p w14:paraId="7187BF42" w14:textId="77777777" w:rsidR="003F3C34" w:rsidRPr="00C16A84" w:rsidRDefault="003F3C34" w:rsidP="008204DA">
            <w:pPr>
              <w:spacing w:before="20" w:after="20"/>
              <w:rPr>
                <w:noProof/>
              </w:rPr>
            </w:pPr>
            <w:r w:rsidRPr="00C16A84">
              <w:rPr>
                <w:noProof/>
              </w:rPr>
              <w:br w:type="page"/>
            </w:r>
            <w:r w:rsidRPr="00C16A84">
              <w:rPr>
                <w:noProof/>
                <w:sz w:val="21"/>
              </w:rPr>
              <w:sym w:font="Wingdings" w:char="F09F"/>
            </w:r>
            <w:r w:rsidRPr="00C16A84">
              <w:rPr>
                <w:noProof/>
              </w:rPr>
              <w:t xml:space="preserve"> </w:t>
            </w:r>
            <w:r w:rsidRPr="00C16A84">
              <w:rPr>
                <w:noProof/>
                <w:sz w:val="21"/>
              </w:rPr>
              <w:t xml:space="preserve">UKUPNA odobrena sredstva za poslovanje </w:t>
            </w:r>
          </w:p>
        </w:tc>
        <w:tc>
          <w:tcPr>
            <w:tcW w:w="1440" w:type="dxa"/>
            <w:vAlign w:val="center"/>
          </w:tcPr>
          <w:p w14:paraId="7FC13EEF" w14:textId="77777777" w:rsidR="003F3C34" w:rsidRPr="00C16A84" w:rsidRDefault="003F3C34" w:rsidP="008204DA">
            <w:pPr>
              <w:spacing w:beforeLines="20" w:before="48" w:afterLines="20" w:after="48"/>
              <w:rPr>
                <w:noProof/>
                <w:sz w:val="18"/>
              </w:rPr>
            </w:pPr>
            <w:r w:rsidRPr="00C16A84">
              <w:rPr>
                <w:noProof/>
                <w:sz w:val="18"/>
              </w:rPr>
              <w:t>Obveze</w:t>
            </w:r>
          </w:p>
        </w:tc>
        <w:tc>
          <w:tcPr>
            <w:tcW w:w="654" w:type="dxa"/>
            <w:vAlign w:val="center"/>
          </w:tcPr>
          <w:p w14:paraId="33984FAF" w14:textId="77777777" w:rsidR="003F3C34" w:rsidRPr="00C16A84" w:rsidRDefault="003F3C34" w:rsidP="008204DA">
            <w:pPr>
              <w:spacing w:beforeLines="20" w:before="48" w:afterLines="20" w:after="48"/>
              <w:jc w:val="center"/>
              <w:rPr>
                <w:noProof/>
                <w:sz w:val="14"/>
              </w:rPr>
            </w:pPr>
            <w:r w:rsidRPr="00C16A84">
              <w:rPr>
                <w:noProof/>
                <w:sz w:val="14"/>
              </w:rPr>
              <w:t>(4)</w:t>
            </w:r>
          </w:p>
        </w:tc>
        <w:tc>
          <w:tcPr>
            <w:tcW w:w="868" w:type="dxa"/>
            <w:vAlign w:val="center"/>
          </w:tcPr>
          <w:p w14:paraId="7535C5F6" w14:textId="77777777" w:rsidR="003F3C34" w:rsidRPr="00C16A84" w:rsidRDefault="003F3C34" w:rsidP="008204DA">
            <w:pPr>
              <w:spacing w:before="20" w:after="20"/>
              <w:jc w:val="right"/>
              <w:rPr>
                <w:noProof/>
                <w:sz w:val="20"/>
              </w:rPr>
            </w:pPr>
          </w:p>
        </w:tc>
        <w:tc>
          <w:tcPr>
            <w:tcW w:w="868" w:type="dxa"/>
            <w:vAlign w:val="center"/>
          </w:tcPr>
          <w:p w14:paraId="2AF862F5" w14:textId="77777777" w:rsidR="003F3C34" w:rsidRPr="00C16A84" w:rsidRDefault="003F3C34" w:rsidP="008204DA">
            <w:pPr>
              <w:spacing w:before="20" w:after="20"/>
              <w:jc w:val="right"/>
              <w:rPr>
                <w:noProof/>
                <w:sz w:val="20"/>
              </w:rPr>
            </w:pPr>
          </w:p>
        </w:tc>
        <w:tc>
          <w:tcPr>
            <w:tcW w:w="868" w:type="dxa"/>
            <w:vAlign w:val="center"/>
          </w:tcPr>
          <w:p w14:paraId="15F91CC2" w14:textId="77777777" w:rsidR="003F3C34" w:rsidRPr="00C16A84" w:rsidRDefault="003F3C34" w:rsidP="008204DA">
            <w:pPr>
              <w:spacing w:before="20" w:after="20"/>
              <w:jc w:val="right"/>
              <w:rPr>
                <w:noProof/>
                <w:sz w:val="20"/>
              </w:rPr>
            </w:pPr>
          </w:p>
        </w:tc>
        <w:tc>
          <w:tcPr>
            <w:tcW w:w="868" w:type="dxa"/>
            <w:vAlign w:val="center"/>
          </w:tcPr>
          <w:p w14:paraId="10D10A75" w14:textId="77777777" w:rsidR="003F3C34" w:rsidRPr="00C16A84" w:rsidRDefault="003F3C34" w:rsidP="008204DA">
            <w:pPr>
              <w:spacing w:before="20" w:after="20"/>
              <w:jc w:val="right"/>
              <w:rPr>
                <w:noProof/>
                <w:sz w:val="20"/>
              </w:rPr>
            </w:pPr>
          </w:p>
        </w:tc>
        <w:tc>
          <w:tcPr>
            <w:tcW w:w="868" w:type="dxa"/>
            <w:vAlign w:val="center"/>
          </w:tcPr>
          <w:p w14:paraId="3E8AE506" w14:textId="77777777" w:rsidR="003F3C34" w:rsidRPr="00C16A84" w:rsidRDefault="003F3C34" w:rsidP="008204DA">
            <w:pPr>
              <w:spacing w:before="20" w:after="20"/>
              <w:jc w:val="right"/>
              <w:rPr>
                <w:noProof/>
                <w:sz w:val="20"/>
              </w:rPr>
            </w:pPr>
          </w:p>
        </w:tc>
        <w:tc>
          <w:tcPr>
            <w:tcW w:w="1023" w:type="dxa"/>
            <w:vAlign w:val="center"/>
          </w:tcPr>
          <w:p w14:paraId="7180EBB2" w14:textId="77777777" w:rsidR="003F3C34" w:rsidRPr="00C16A84" w:rsidRDefault="003F3C34" w:rsidP="008204DA">
            <w:pPr>
              <w:spacing w:before="20" w:after="20"/>
              <w:jc w:val="right"/>
              <w:rPr>
                <w:noProof/>
                <w:sz w:val="20"/>
              </w:rPr>
            </w:pPr>
          </w:p>
        </w:tc>
        <w:tc>
          <w:tcPr>
            <w:tcW w:w="992" w:type="dxa"/>
            <w:vAlign w:val="center"/>
          </w:tcPr>
          <w:p w14:paraId="79DF07AB" w14:textId="77777777" w:rsidR="003F3C34" w:rsidRPr="00C16A84" w:rsidRDefault="003F3C34" w:rsidP="008204DA">
            <w:pPr>
              <w:spacing w:before="20" w:after="20"/>
              <w:jc w:val="right"/>
              <w:rPr>
                <w:b/>
                <w:noProof/>
                <w:sz w:val="20"/>
              </w:rPr>
            </w:pPr>
          </w:p>
        </w:tc>
        <w:tc>
          <w:tcPr>
            <w:tcW w:w="992" w:type="dxa"/>
          </w:tcPr>
          <w:p w14:paraId="7C361CA2" w14:textId="77777777" w:rsidR="003F3C34" w:rsidRPr="00C16A84" w:rsidRDefault="003F3C34" w:rsidP="008204DA">
            <w:pPr>
              <w:spacing w:before="20" w:after="20"/>
              <w:jc w:val="right"/>
              <w:rPr>
                <w:b/>
                <w:noProof/>
                <w:sz w:val="20"/>
              </w:rPr>
            </w:pPr>
          </w:p>
        </w:tc>
        <w:tc>
          <w:tcPr>
            <w:tcW w:w="1701" w:type="dxa"/>
            <w:vAlign w:val="center"/>
          </w:tcPr>
          <w:p w14:paraId="42F57A3F" w14:textId="77777777" w:rsidR="003F3C34" w:rsidRPr="00C16A84" w:rsidRDefault="003F3C34" w:rsidP="008204DA">
            <w:pPr>
              <w:spacing w:before="20" w:after="20"/>
              <w:jc w:val="right"/>
              <w:rPr>
                <w:b/>
                <w:noProof/>
                <w:sz w:val="20"/>
              </w:rPr>
            </w:pPr>
          </w:p>
        </w:tc>
      </w:tr>
      <w:tr w:rsidR="003F3C34" w:rsidRPr="00C16A84" w14:paraId="26FC5740" w14:textId="77777777" w:rsidTr="008204DA">
        <w:tc>
          <w:tcPr>
            <w:tcW w:w="3960" w:type="dxa"/>
            <w:vMerge/>
          </w:tcPr>
          <w:p w14:paraId="1659CE3E" w14:textId="77777777" w:rsidR="003F3C34" w:rsidRPr="00C16A84" w:rsidRDefault="003F3C34" w:rsidP="008204DA">
            <w:pPr>
              <w:jc w:val="center"/>
              <w:rPr>
                <w:noProof/>
                <w:sz w:val="20"/>
              </w:rPr>
            </w:pPr>
          </w:p>
        </w:tc>
        <w:tc>
          <w:tcPr>
            <w:tcW w:w="1440" w:type="dxa"/>
            <w:vAlign w:val="center"/>
          </w:tcPr>
          <w:p w14:paraId="0E49E83C" w14:textId="77777777" w:rsidR="003F3C34" w:rsidRPr="00C16A84" w:rsidRDefault="003F3C34" w:rsidP="008204DA">
            <w:pPr>
              <w:spacing w:beforeLines="20" w:before="48" w:afterLines="20" w:after="48"/>
              <w:rPr>
                <w:noProof/>
                <w:sz w:val="18"/>
              </w:rPr>
            </w:pPr>
            <w:r w:rsidRPr="00C16A84">
              <w:rPr>
                <w:noProof/>
                <w:sz w:val="18"/>
              </w:rPr>
              <w:t>Plaćanja</w:t>
            </w:r>
          </w:p>
        </w:tc>
        <w:tc>
          <w:tcPr>
            <w:tcW w:w="654" w:type="dxa"/>
            <w:vAlign w:val="center"/>
          </w:tcPr>
          <w:p w14:paraId="445EF2C1" w14:textId="77777777" w:rsidR="003F3C34" w:rsidRPr="00C16A84" w:rsidRDefault="003F3C34" w:rsidP="008204DA">
            <w:pPr>
              <w:spacing w:beforeLines="20" w:before="48" w:afterLines="20" w:after="48"/>
              <w:jc w:val="center"/>
              <w:rPr>
                <w:noProof/>
                <w:sz w:val="14"/>
              </w:rPr>
            </w:pPr>
            <w:r w:rsidRPr="00C16A84">
              <w:rPr>
                <w:noProof/>
                <w:sz w:val="14"/>
              </w:rPr>
              <w:t>(5)</w:t>
            </w:r>
          </w:p>
        </w:tc>
        <w:tc>
          <w:tcPr>
            <w:tcW w:w="868" w:type="dxa"/>
            <w:vAlign w:val="center"/>
          </w:tcPr>
          <w:p w14:paraId="0993AF5B" w14:textId="77777777" w:rsidR="003F3C34" w:rsidRPr="00C16A84" w:rsidRDefault="003F3C34" w:rsidP="008204DA">
            <w:pPr>
              <w:spacing w:before="20" w:after="20"/>
              <w:jc w:val="right"/>
              <w:rPr>
                <w:noProof/>
                <w:sz w:val="20"/>
              </w:rPr>
            </w:pPr>
          </w:p>
        </w:tc>
        <w:tc>
          <w:tcPr>
            <w:tcW w:w="868" w:type="dxa"/>
            <w:vAlign w:val="center"/>
          </w:tcPr>
          <w:p w14:paraId="01BAF65A" w14:textId="77777777" w:rsidR="003F3C34" w:rsidRPr="00C16A84" w:rsidRDefault="003F3C34" w:rsidP="008204DA">
            <w:pPr>
              <w:spacing w:before="20" w:after="20"/>
              <w:jc w:val="right"/>
              <w:rPr>
                <w:noProof/>
                <w:sz w:val="20"/>
              </w:rPr>
            </w:pPr>
          </w:p>
        </w:tc>
        <w:tc>
          <w:tcPr>
            <w:tcW w:w="868" w:type="dxa"/>
            <w:vAlign w:val="center"/>
          </w:tcPr>
          <w:p w14:paraId="7C898853" w14:textId="77777777" w:rsidR="003F3C34" w:rsidRPr="00C16A84" w:rsidRDefault="003F3C34" w:rsidP="008204DA">
            <w:pPr>
              <w:spacing w:before="20" w:after="20"/>
              <w:jc w:val="right"/>
              <w:rPr>
                <w:noProof/>
                <w:sz w:val="20"/>
              </w:rPr>
            </w:pPr>
          </w:p>
        </w:tc>
        <w:tc>
          <w:tcPr>
            <w:tcW w:w="868" w:type="dxa"/>
            <w:vAlign w:val="center"/>
          </w:tcPr>
          <w:p w14:paraId="433FC9BF" w14:textId="77777777" w:rsidR="003F3C34" w:rsidRPr="00C16A84" w:rsidRDefault="003F3C34" w:rsidP="008204DA">
            <w:pPr>
              <w:spacing w:before="20" w:after="20"/>
              <w:jc w:val="right"/>
              <w:rPr>
                <w:noProof/>
                <w:sz w:val="20"/>
              </w:rPr>
            </w:pPr>
          </w:p>
        </w:tc>
        <w:tc>
          <w:tcPr>
            <w:tcW w:w="868" w:type="dxa"/>
            <w:vAlign w:val="center"/>
          </w:tcPr>
          <w:p w14:paraId="012B7D08" w14:textId="77777777" w:rsidR="003F3C34" w:rsidRPr="00C16A84" w:rsidRDefault="003F3C34" w:rsidP="008204DA">
            <w:pPr>
              <w:spacing w:before="20" w:after="20"/>
              <w:jc w:val="right"/>
              <w:rPr>
                <w:noProof/>
                <w:sz w:val="20"/>
              </w:rPr>
            </w:pPr>
          </w:p>
        </w:tc>
        <w:tc>
          <w:tcPr>
            <w:tcW w:w="1023" w:type="dxa"/>
            <w:vAlign w:val="center"/>
          </w:tcPr>
          <w:p w14:paraId="7C684ACF" w14:textId="77777777" w:rsidR="003F3C34" w:rsidRPr="00C16A84" w:rsidRDefault="003F3C34" w:rsidP="008204DA">
            <w:pPr>
              <w:spacing w:before="20" w:after="20"/>
              <w:jc w:val="right"/>
              <w:rPr>
                <w:noProof/>
                <w:sz w:val="20"/>
              </w:rPr>
            </w:pPr>
          </w:p>
        </w:tc>
        <w:tc>
          <w:tcPr>
            <w:tcW w:w="992" w:type="dxa"/>
            <w:vAlign w:val="center"/>
          </w:tcPr>
          <w:p w14:paraId="480ADC2A" w14:textId="77777777" w:rsidR="003F3C34" w:rsidRPr="00C16A84" w:rsidRDefault="003F3C34" w:rsidP="008204DA">
            <w:pPr>
              <w:spacing w:before="20" w:after="20"/>
              <w:jc w:val="right"/>
              <w:rPr>
                <w:b/>
                <w:noProof/>
                <w:sz w:val="20"/>
              </w:rPr>
            </w:pPr>
          </w:p>
        </w:tc>
        <w:tc>
          <w:tcPr>
            <w:tcW w:w="992" w:type="dxa"/>
          </w:tcPr>
          <w:p w14:paraId="63AD0B1A" w14:textId="77777777" w:rsidR="003F3C34" w:rsidRPr="00C16A84" w:rsidRDefault="003F3C34" w:rsidP="008204DA">
            <w:pPr>
              <w:spacing w:before="20" w:after="20"/>
              <w:jc w:val="right"/>
              <w:rPr>
                <w:b/>
                <w:noProof/>
                <w:sz w:val="20"/>
              </w:rPr>
            </w:pPr>
          </w:p>
        </w:tc>
        <w:tc>
          <w:tcPr>
            <w:tcW w:w="1701" w:type="dxa"/>
            <w:vAlign w:val="center"/>
          </w:tcPr>
          <w:p w14:paraId="008FC81B" w14:textId="77777777" w:rsidR="003F3C34" w:rsidRPr="00C16A84" w:rsidRDefault="003F3C34" w:rsidP="008204DA">
            <w:pPr>
              <w:spacing w:before="20" w:after="20"/>
              <w:jc w:val="right"/>
              <w:rPr>
                <w:b/>
                <w:noProof/>
                <w:sz w:val="20"/>
              </w:rPr>
            </w:pPr>
          </w:p>
        </w:tc>
      </w:tr>
      <w:tr w:rsidR="003F3C34" w:rsidRPr="00C16A84" w14:paraId="747A1706" w14:textId="77777777" w:rsidTr="008204DA">
        <w:trPr>
          <w:trHeight w:val="533"/>
        </w:trPr>
        <w:tc>
          <w:tcPr>
            <w:tcW w:w="5400" w:type="dxa"/>
            <w:gridSpan w:val="2"/>
            <w:vAlign w:val="center"/>
          </w:tcPr>
          <w:p w14:paraId="39AC08DE" w14:textId="77777777" w:rsidR="003F3C34" w:rsidRPr="00C16A84" w:rsidRDefault="003F3C34" w:rsidP="008204DA">
            <w:pPr>
              <w:spacing w:beforeLines="20" w:before="48" w:afterLines="20" w:after="48"/>
              <w:rPr>
                <w:noProof/>
              </w:rPr>
            </w:pPr>
            <w:r w:rsidRPr="00C16A84">
              <w:rPr>
                <w:noProof/>
                <w:sz w:val="21"/>
              </w:rPr>
              <w:sym w:font="Wingdings" w:char="F09F"/>
            </w:r>
            <w:r w:rsidRPr="00C16A84">
              <w:rPr>
                <w:noProof/>
              </w:rPr>
              <w:t xml:space="preserve"> </w:t>
            </w:r>
            <w:r w:rsidRPr="00C16A84">
              <w:rPr>
                <w:noProof/>
                <w:sz w:val="21"/>
              </w:rPr>
              <w:t xml:space="preserve">UKUPNA administrativna odobrena sredstva koja se financiraju iz omotnice za posebne programe </w:t>
            </w:r>
          </w:p>
        </w:tc>
        <w:tc>
          <w:tcPr>
            <w:tcW w:w="654" w:type="dxa"/>
            <w:vAlign w:val="center"/>
          </w:tcPr>
          <w:p w14:paraId="17DD1118" w14:textId="77777777" w:rsidR="003F3C34" w:rsidRPr="00C16A84" w:rsidRDefault="003F3C34" w:rsidP="008204DA">
            <w:pPr>
              <w:spacing w:beforeLines="20" w:before="48" w:afterLines="20" w:after="48"/>
              <w:jc w:val="center"/>
              <w:rPr>
                <w:noProof/>
                <w:sz w:val="14"/>
              </w:rPr>
            </w:pPr>
            <w:r w:rsidRPr="00C16A84">
              <w:rPr>
                <w:noProof/>
                <w:sz w:val="14"/>
              </w:rPr>
              <w:t>(6)</w:t>
            </w:r>
          </w:p>
        </w:tc>
        <w:tc>
          <w:tcPr>
            <w:tcW w:w="868" w:type="dxa"/>
            <w:vAlign w:val="center"/>
          </w:tcPr>
          <w:p w14:paraId="16E578D3" w14:textId="77777777" w:rsidR="003F3C34" w:rsidRPr="00C16A84" w:rsidRDefault="003F3C34" w:rsidP="008204DA">
            <w:pPr>
              <w:spacing w:before="20" w:after="20"/>
              <w:jc w:val="right"/>
              <w:rPr>
                <w:b/>
                <w:noProof/>
                <w:sz w:val="20"/>
              </w:rPr>
            </w:pPr>
          </w:p>
        </w:tc>
        <w:tc>
          <w:tcPr>
            <w:tcW w:w="868" w:type="dxa"/>
            <w:vAlign w:val="center"/>
          </w:tcPr>
          <w:p w14:paraId="7C58E57B" w14:textId="77777777" w:rsidR="003F3C34" w:rsidRPr="00C16A84" w:rsidRDefault="003F3C34" w:rsidP="008204DA">
            <w:pPr>
              <w:spacing w:before="20" w:after="20"/>
              <w:jc w:val="right"/>
              <w:rPr>
                <w:b/>
                <w:noProof/>
                <w:sz w:val="20"/>
              </w:rPr>
            </w:pPr>
          </w:p>
        </w:tc>
        <w:tc>
          <w:tcPr>
            <w:tcW w:w="868" w:type="dxa"/>
            <w:vAlign w:val="center"/>
          </w:tcPr>
          <w:p w14:paraId="79688DAD" w14:textId="77777777" w:rsidR="003F3C34" w:rsidRPr="00C16A84" w:rsidRDefault="003F3C34" w:rsidP="008204DA">
            <w:pPr>
              <w:spacing w:before="20" w:after="20"/>
              <w:jc w:val="right"/>
              <w:rPr>
                <w:b/>
                <w:noProof/>
                <w:sz w:val="20"/>
              </w:rPr>
            </w:pPr>
          </w:p>
        </w:tc>
        <w:tc>
          <w:tcPr>
            <w:tcW w:w="868" w:type="dxa"/>
            <w:vAlign w:val="center"/>
          </w:tcPr>
          <w:p w14:paraId="3B101890" w14:textId="77777777" w:rsidR="003F3C34" w:rsidRPr="00C16A84" w:rsidRDefault="003F3C34" w:rsidP="008204DA">
            <w:pPr>
              <w:spacing w:before="20" w:after="20"/>
              <w:jc w:val="right"/>
              <w:rPr>
                <w:b/>
                <w:noProof/>
                <w:sz w:val="20"/>
              </w:rPr>
            </w:pPr>
          </w:p>
        </w:tc>
        <w:tc>
          <w:tcPr>
            <w:tcW w:w="868" w:type="dxa"/>
            <w:vAlign w:val="center"/>
          </w:tcPr>
          <w:p w14:paraId="738B29BF" w14:textId="77777777" w:rsidR="003F3C34" w:rsidRPr="00C16A84" w:rsidRDefault="003F3C34" w:rsidP="008204DA">
            <w:pPr>
              <w:spacing w:before="20" w:after="20"/>
              <w:jc w:val="right"/>
              <w:rPr>
                <w:b/>
                <w:noProof/>
                <w:sz w:val="20"/>
              </w:rPr>
            </w:pPr>
          </w:p>
        </w:tc>
        <w:tc>
          <w:tcPr>
            <w:tcW w:w="1023" w:type="dxa"/>
            <w:vAlign w:val="center"/>
          </w:tcPr>
          <w:p w14:paraId="3CCD71A2" w14:textId="77777777" w:rsidR="003F3C34" w:rsidRPr="00C16A84" w:rsidRDefault="003F3C34" w:rsidP="008204DA">
            <w:pPr>
              <w:spacing w:before="20" w:after="20"/>
              <w:jc w:val="right"/>
              <w:rPr>
                <w:b/>
                <w:noProof/>
                <w:sz w:val="20"/>
              </w:rPr>
            </w:pPr>
          </w:p>
        </w:tc>
        <w:tc>
          <w:tcPr>
            <w:tcW w:w="992" w:type="dxa"/>
            <w:vAlign w:val="center"/>
          </w:tcPr>
          <w:p w14:paraId="308D2766" w14:textId="77777777" w:rsidR="003F3C34" w:rsidRPr="00C16A84" w:rsidRDefault="003F3C34" w:rsidP="008204DA">
            <w:pPr>
              <w:spacing w:before="20" w:after="20"/>
              <w:jc w:val="right"/>
              <w:rPr>
                <w:b/>
                <w:noProof/>
                <w:sz w:val="20"/>
              </w:rPr>
            </w:pPr>
          </w:p>
        </w:tc>
        <w:tc>
          <w:tcPr>
            <w:tcW w:w="992" w:type="dxa"/>
          </w:tcPr>
          <w:p w14:paraId="322D3BD6" w14:textId="77777777" w:rsidR="003F3C34" w:rsidRPr="00C16A84" w:rsidRDefault="003F3C34" w:rsidP="008204DA">
            <w:pPr>
              <w:spacing w:before="20" w:after="20"/>
              <w:jc w:val="right"/>
              <w:rPr>
                <w:b/>
                <w:noProof/>
                <w:sz w:val="20"/>
              </w:rPr>
            </w:pPr>
          </w:p>
        </w:tc>
        <w:tc>
          <w:tcPr>
            <w:tcW w:w="1701" w:type="dxa"/>
            <w:vAlign w:val="center"/>
          </w:tcPr>
          <w:p w14:paraId="0C5D5B09" w14:textId="77777777" w:rsidR="003F3C34" w:rsidRPr="00C16A84" w:rsidRDefault="003F3C34" w:rsidP="008204DA">
            <w:pPr>
              <w:spacing w:before="20" w:after="20"/>
              <w:jc w:val="right"/>
              <w:rPr>
                <w:b/>
                <w:noProof/>
                <w:sz w:val="20"/>
              </w:rPr>
            </w:pPr>
          </w:p>
        </w:tc>
      </w:tr>
      <w:tr w:rsidR="003F3C34" w:rsidRPr="00C16A84" w14:paraId="73F634B9" w14:textId="77777777" w:rsidTr="008204DA">
        <w:tc>
          <w:tcPr>
            <w:tcW w:w="3960" w:type="dxa"/>
            <w:vMerge w:val="restart"/>
            <w:shd w:val="thinDiagStripe" w:color="C0C0C0" w:fill="auto"/>
            <w:vAlign w:val="center"/>
          </w:tcPr>
          <w:p w14:paraId="0AD22836" w14:textId="77777777" w:rsidR="003F3C34" w:rsidRPr="00C16A84" w:rsidRDefault="003F3C34" w:rsidP="008204DA">
            <w:pPr>
              <w:jc w:val="center"/>
              <w:rPr>
                <w:b/>
                <w:noProof/>
              </w:rPr>
            </w:pPr>
            <w:r w:rsidRPr="00C16A84">
              <w:rPr>
                <w:b/>
                <w:noProof/>
                <w:sz w:val="22"/>
              </w:rPr>
              <w:t xml:space="preserve">UKUPNA odobrena sredstva </w:t>
            </w:r>
            <w:r w:rsidRPr="00C16A84">
              <w:rPr>
                <w:noProof/>
              </w:rPr>
              <w:t xml:space="preserve"> </w:t>
            </w:r>
            <w:r w:rsidRPr="00C16A84">
              <w:rPr>
                <w:noProof/>
              </w:rPr>
              <w:br/>
            </w:r>
            <w:r w:rsidRPr="00C16A84">
              <w:rPr>
                <w:b/>
                <w:noProof/>
                <w:sz w:val="22"/>
              </w:rPr>
              <w:t>iz NASLOVA 2.b</w:t>
            </w:r>
            <w:r w:rsidRPr="00C16A84">
              <w:rPr>
                <w:noProof/>
              </w:rPr>
              <w:t xml:space="preserve"> </w:t>
            </w:r>
            <w:r w:rsidRPr="00C16A84">
              <w:rPr>
                <w:noProof/>
              </w:rPr>
              <w:br/>
            </w:r>
            <w:r w:rsidRPr="00C16A84">
              <w:rPr>
                <w:noProof/>
                <w:sz w:val="22"/>
              </w:rPr>
              <w:t>višegodišnjeg financijskog okvira</w:t>
            </w:r>
          </w:p>
        </w:tc>
        <w:tc>
          <w:tcPr>
            <w:tcW w:w="1440" w:type="dxa"/>
            <w:vAlign w:val="center"/>
          </w:tcPr>
          <w:p w14:paraId="3B5D49CD" w14:textId="77777777" w:rsidR="003F3C34" w:rsidRPr="00C16A84" w:rsidRDefault="003F3C34" w:rsidP="008204DA">
            <w:pPr>
              <w:rPr>
                <w:noProof/>
                <w:sz w:val="18"/>
              </w:rPr>
            </w:pPr>
            <w:r w:rsidRPr="00C16A84">
              <w:rPr>
                <w:noProof/>
                <w:sz w:val="18"/>
              </w:rPr>
              <w:t>Obveze</w:t>
            </w:r>
          </w:p>
        </w:tc>
        <w:tc>
          <w:tcPr>
            <w:tcW w:w="654" w:type="dxa"/>
            <w:vAlign w:val="center"/>
          </w:tcPr>
          <w:p w14:paraId="04E5216E" w14:textId="77777777" w:rsidR="003F3C34" w:rsidRPr="00C16A84" w:rsidRDefault="003F3C34" w:rsidP="008204DA">
            <w:pPr>
              <w:jc w:val="center"/>
              <w:rPr>
                <w:noProof/>
                <w:sz w:val="14"/>
              </w:rPr>
            </w:pPr>
            <w:r w:rsidRPr="00C16A84">
              <w:rPr>
                <w:noProof/>
                <w:sz w:val="14"/>
              </w:rPr>
              <w:t>=4+6</w:t>
            </w:r>
          </w:p>
        </w:tc>
        <w:tc>
          <w:tcPr>
            <w:tcW w:w="868" w:type="dxa"/>
            <w:vAlign w:val="center"/>
          </w:tcPr>
          <w:p w14:paraId="65403846" w14:textId="77777777" w:rsidR="003F3C34" w:rsidRPr="00C16A84" w:rsidRDefault="003F3C34" w:rsidP="008204DA">
            <w:pPr>
              <w:spacing w:before="20" w:after="20"/>
              <w:jc w:val="right"/>
              <w:rPr>
                <w:noProof/>
                <w:sz w:val="20"/>
              </w:rPr>
            </w:pPr>
          </w:p>
        </w:tc>
        <w:tc>
          <w:tcPr>
            <w:tcW w:w="868" w:type="dxa"/>
            <w:vAlign w:val="center"/>
          </w:tcPr>
          <w:p w14:paraId="6BBBC1EC" w14:textId="77777777" w:rsidR="003F3C34" w:rsidRPr="00C16A84" w:rsidRDefault="003F3C34" w:rsidP="008204DA">
            <w:pPr>
              <w:spacing w:before="20" w:after="20"/>
              <w:jc w:val="right"/>
              <w:rPr>
                <w:noProof/>
                <w:sz w:val="20"/>
              </w:rPr>
            </w:pPr>
          </w:p>
        </w:tc>
        <w:tc>
          <w:tcPr>
            <w:tcW w:w="868" w:type="dxa"/>
            <w:vAlign w:val="center"/>
          </w:tcPr>
          <w:p w14:paraId="1D0B7B8A" w14:textId="77777777" w:rsidR="003F3C34" w:rsidRPr="00C16A84" w:rsidRDefault="003F3C34" w:rsidP="008204DA">
            <w:pPr>
              <w:spacing w:before="20" w:after="20"/>
              <w:jc w:val="right"/>
              <w:rPr>
                <w:noProof/>
                <w:sz w:val="20"/>
              </w:rPr>
            </w:pPr>
            <w:r w:rsidRPr="00C16A84">
              <w:rPr>
                <w:noProof/>
                <w:sz w:val="20"/>
              </w:rPr>
              <w:t>0,560</w:t>
            </w:r>
          </w:p>
        </w:tc>
        <w:tc>
          <w:tcPr>
            <w:tcW w:w="868" w:type="dxa"/>
            <w:vAlign w:val="center"/>
          </w:tcPr>
          <w:p w14:paraId="5C8F19E6" w14:textId="77777777" w:rsidR="003F3C34" w:rsidRPr="00C16A84" w:rsidRDefault="003F3C34" w:rsidP="008204DA">
            <w:pPr>
              <w:spacing w:before="20" w:after="20"/>
              <w:jc w:val="right"/>
              <w:rPr>
                <w:noProof/>
                <w:sz w:val="20"/>
              </w:rPr>
            </w:pPr>
            <w:r w:rsidRPr="00C16A84">
              <w:rPr>
                <w:noProof/>
                <w:sz w:val="20"/>
              </w:rPr>
              <w:t>0,060</w:t>
            </w:r>
          </w:p>
        </w:tc>
        <w:tc>
          <w:tcPr>
            <w:tcW w:w="868" w:type="dxa"/>
          </w:tcPr>
          <w:p w14:paraId="78E1724E" w14:textId="77777777" w:rsidR="003F3C34" w:rsidRPr="00C16A84" w:rsidRDefault="003F3C34" w:rsidP="008204DA">
            <w:pPr>
              <w:spacing w:before="20" w:after="20"/>
              <w:jc w:val="right"/>
              <w:rPr>
                <w:noProof/>
                <w:sz w:val="20"/>
              </w:rPr>
            </w:pPr>
          </w:p>
        </w:tc>
        <w:tc>
          <w:tcPr>
            <w:tcW w:w="1023" w:type="dxa"/>
          </w:tcPr>
          <w:p w14:paraId="7BEB0DCC" w14:textId="77777777" w:rsidR="003F3C34" w:rsidRPr="00C16A84" w:rsidRDefault="003F3C34" w:rsidP="008204DA">
            <w:pPr>
              <w:spacing w:before="20" w:after="20"/>
              <w:jc w:val="right"/>
              <w:rPr>
                <w:noProof/>
                <w:sz w:val="20"/>
              </w:rPr>
            </w:pPr>
          </w:p>
        </w:tc>
        <w:tc>
          <w:tcPr>
            <w:tcW w:w="992" w:type="dxa"/>
          </w:tcPr>
          <w:p w14:paraId="037D47DE" w14:textId="77777777" w:rsidR="003F3C34" w:rsidRPr="00C16A84" w:rsidRDefault="003F3C34" w:rsidP="008204DA">
            <w:pPr>
              <w:spacing w:before="20" w:after="20"/>
              <w:jc w:val="right"/>
              <w:rPr>
                <w:b/>
                <w:noProof/>
                <w:sz w:val="20"/>
              </w:rPr>
            </w:pPr>
          </w:p>
        </w:tc>
        <w:tc>
          <w:tcPr>
            <w:tcW w:w="992" w:type="dxa"/>
          </w:tcPr>
          <w:p w14:paraId="783AD3C1" w14:textId="77777777" w:rsidR="003F3C34" w:rsidRPr="00C16A84" w:rsidRDefault="003F3C34" w:rsidP="008204DA">
            <w:pPr>
              <w:spacing w:before="20" w:after="20"/>
              <w:jc w:val="right"/>
              <w:rPr>
                <w:b/>
                <w:noProof/>
                <w:sz w:val="20"/>
              </w:rPr>
            </w:pPr>
          </w:p>
        </w:tc>
        <w:tc>
          <w:tcPr>
            <w:tcW w:w="1701" w:type="dxa"/>
            <w:vAlign w:val="center"/>
          </w:tcPr>
          <w:p w14:paraId="03DA9797" w14:textId="77777777" w:rsidR="003F3C34" w:rsidRPr="00C16A84" w:rsidRDefault="003F3C34" w:rsidP="008204DA">
            <w:pPr>
              <w:spacing w:before="20" w:after="20"/>
              <w:jc w:val="right"/>
              <w:rPr>
                <w:b/>
                <w:noProof/>
                <w:sz w:val="20"/>
              </w:rPr>
            </w:pPr>
            <w:r w:rsidRPr="00C16A84">
              <w:rPr>
                <w:b/>
                <w:noProof/>
                <w:sz w:val="20"/>
              </w:rPr>
              <w:t>0,620</w:t>
            </w:r>
          </w:p>
        </w:tc>
      </w:tr>
      <w:tr w:rsidR="003F3C34" w:rsidRPr="00C16A84" w14:paraId="77158F3A" w14:textId="77777777" w:rsidTr="008204DA">
        <w:tc>
          <w:tcPr>
            <w:tcW w:w="3960" w:type="dxa"/>
            <w:vMerge/>
            <w:shd w:val="thinDiagStripe" w:color="C0C0C0" w:fill="auto"/>
          </w:tcPr>
          <w:p w14:paraId="4751983D" w14:textId="77777777" w:rsidR="003F3C34" w:rsidRPr="00C16A84" w:rsidRDefault="003F3C34" w:rsidP="008204DA">
            <w:pPr>
              <w:rPr>
                <w:noProof/>
                <w:sz w:val="20"/>
              </w:rPr>
            </w:pPr>
          </w:p>
        </w:tc>
        <w:tc>
          <w:tcPr>
            <w:tcW w:w="1440" w:type="dxa"/>
            <w:vAlign w:val="center"/>
          </w:tcPr>
          <w:p w14:paraId="204A3FE4" w14:textId="77777777" w:rsidR="003F3C34" w:rsidRPr="00C16A84" w:rsidRDefault="003F3C34" w:rsidP="008204DA">
            <w:pPr>
              <w:rPr>
                <w:noProof/>
                <w:sz w:val="18"/>
              </w:rPr>
            </w:pPr>
            <w:r w:rsidRPr="00C16A84">
              <w:rPr>
                <w:noProof/>
                <w:sz w:val="18"/>
              </w:rPr>
              <w:t>Plaćanja</w:t>
            </w:r>
          </w:p>
        </w:tc>
        <w:tc>
          <w:tcPr>
            <w:tcW w:w="654" w:type="dxa"/>
            <w:vAlign w:val="center"/>
          </w:tcPr>
          <w:p w14:paraId="5B81DE99" w14:textId="77777777" w:rsidR="003F3C34" w:rsidRPr="00C16A84" w:rsidRDefault="003F3C34" w:rsidP="008204DA">
            <w:pPr>
              <w:jc w:val="center"/>
              <w:rPr>
                <w:noProof/>
                <w:sz w:val="14"/>
              </w:rPr>
            </w:pPr>
            <w:r w:rsidRPr="00C16A84">
              <w:rPr>
                <w:noProof/>
                <w:sz w:val="14"/>
              </w:rPr>
              <w:t>=5+6</w:t>
            </w:r>
          </w:p>
        </w:tc>
        <w:tc>
          <w:tcPr>
            <w:tcW w:w="868" w:type="dxa"/>
            <w:vAlign w:val="center"/>
          </w:tcPr>
          <w:p w14:paraId="20458C72" w14:textId="77777777" w:rsidR="003F3C34" w:rsidRPr="00C16A84" w:rsidRDefault="003F3C34" w:rsidP="008204DA">
            <w:pPr>
              <w:spacing w:before="20" w:after="20"/>
              <w:jc w:val="right"/>
              <w:rPr>
                <w:noProof/>
                <w:sz w:val="20"/>
              </w:rPr>
            </w:pPr>
          </w:p>
        </w:tc>
        <w:tc>
          <w:tcPr>
            <w:tcW w:w="868" w:type="dxa"/>
            <w:vAlign w:val="center"/>
          </w:tcPr>
          <w:p w14:paraId="2729A45E" w14:textId="77777777" w:rsidR="003F3C34" w:rsidRPr="00C16A84" w:rsidRDefault="003F3C34" w:rsidP="008204DA">
            <w:pPr>
              <w:spacing w:before="20" w:after="20"/>
              <w:jc w:val="right"/>
              <w:rPr>
                <w:noProof/>
                <w:sz w:val="20"/>
              </w:rPr>
            </w:pPr>
          </w:p>
        </w:tc>
        <w:tc>
          <w:tcPr>
            <w:tcW w:w="868" w:type="dxa"/>
            <w:vAlign w:val="center"/>
          </w:tcPr>
          <w:p w14:paraId="03937169" w14:textId="77777777" w:rsidR="003F3C34" w:rsidRPr="00C16A84" w:rsidRDefault="003F3C34" w:rsidP="008204DA">
            <w:pPr>
              <w:spacing w:before="20" w:after="20"/>
              <w:jc w:val="right"/>
              <w:rPr>
                <w:noProof/>
                <w:sz w:val="20"/>
              </w:rPr>
            </w:pPr>
            <w:r w:rsidRPr="00C16A84">
              <w:rPr>
                <w:noProof/>
                <w:sz w:val="20"/>
              </w:rPr>
              <w:t>0,060</w:t>
            </w:r>
          </w:p>
        </w:tc>
        <w:tc>
          <w:tcPr>
            <w:tcW w:w="868" w:type="dxa"/>
            <w:vAlign w:val="center"/>
          </w:tcPr>
          <w:p w14:paraId="4A7272A8" w14:textId="77777777" w:rsidR="003F3C34" w:rsidRPr="00C16A84" w:rsidRDefault="003F3C34" w:rsidP="008204DA">
            <w:pPr>
              <w:spacing w:before="20" w:after="20"/>
              <w:jc w:val="right"/>
              <w:rPr>
                <w:noProof/>
                <w:sz w:val="20"/>
              </w:rPr>
            </w:pPr>
            <w:r w:rsidRPr="00C16A84">
              <w:rPr>
                <w:noProof/>
                <w:sz w:val="20"/>
              </w:rPr>
              <w:t>0,310</w:t>
            </w:r>
          </w:p>
        </w:tc>
        <w:tc>
          <w:tcPr>
            <w:tcW w:w="868" w:type="dxa"/>
          </w:tcPr>
          <w:p w14:paraId="23A562A3" w14:textId="77777777" w:rsidR="003F3C34" w:rsidRPr="00C16A84" w:rsidRDefault="003F3C34" w:rsidP="008204DA">
            <w:pPr>
              <w:spacing w:before="20" w:after="20"/>
              <w:jc w:val="right"/>
              <w:rPr>
                <w:noProof/>
                <w:sz w:val="20"/>
              </w:rPr>
            </w:pPr>
            <w:r w:rsidRPr="00C16A84">
              <w:rPr>
                <w:noProof/>
                <w:sz w:val="20"/>
              </w:rPr>
              <w:t>0,250</w:t>
            </w:r>
          </w:p>
        </w:tc>
        <w:tc>
          <w:tcPr>
            <w:tcW w:w="1023" w:type="dxa"/>
          </w:tcPr>
          <w:p w14:paraId="1AC5C542" w14:textId="77777777" w:rsidR="003F3C34" w:rsidRPr="00C16A84" w:rsidRDefault="003F3C34" w:rsidP="008204DA">
            <w:pPr>
              <w:spacing w:before="20" w:after="20"/>
              <w:jc w:val="right"/>
              <w:rPr>
                <w:noProof/>
                <w:sz w:val="20"/>
              </w:rPr>
            </w:pPr>
          </w:p>
        </w:tc>
        <w:tc>
          <w:tcPr>
            <w:tcW w:w="992" w:type="dxa"/>
          </w:tcPr>
          <w:p w14:paraId="302D37BD" w14:textId="77777777" w:rsidR="003F3C34" w:rsidRPr="00C16A84" w:rsidRDefault="003F3C34" w:rsidP="008204DA">
            <w:pPr>
              <w:spacing w:before="20" w:after="20"/>
              <w:jc w:val="right"/>
              <w:rPr>
                <w:b/>
                <w:noProof/>
                <w:sz w:val="20"/>
              </w:rPr>
            </w:pPr>
          </w:p>
        </w:tc>
        <w:tc>
          <w:tcPr>
            <w:tcW w:w="992" w:type="dxa"/>
          </w:tcPr>
          <w:p w14:paraId="51C0216E" w14:textId="77777777" w:rsidR="003F3C34" w:rsidRPr="00C16A84" w:rsidRDefault="003F3C34" w:rsidP="008204DA">
            <w:pPr>
              <w:spacing w:before="20" w:after="20"/>
              <w:jc w:val="right"/>
              <w:rPr>
                <w:b/>
                <w:noProof/>
                <w:sz w:val="20"/>
              </w:rPr>
            </w:pPr>
          </w:p>
        </w:tc>
        <w:tc>
          <w:tcPr>
            <w:tcW w:w="1701" w:type="dxa"/>
            <w:vAlign w:val="center"/>
          </w:tcPr>
          <w:p w14:paraId="52CF55A5" w14:textId="77777777" w:rsidR="003F3C34" w:rsidRPr="00C16A84" w:rsidRDefault="003F3C34" w:rsidP="008204DA">
            <w:pPr>
              <w:spacing w:before="20" w:after="20"/>
              <w:jc w:val="right"/>
              <w:rPr>
                <w:b/>
                <w:noProof/>
                <w:sz w:val="20"/>
              </w:rPr>
            </w:pPr>
            <w:r w:rsidRPr="00C16A84">
              <w:rPr>
                <w:b/>
                <w:noProof/>
                <w:sz w:val="20"/>
              </w:rPr>
              <w:t>0,620</w:t>
            </w:r>
          </w:p>
        </w:tc>
      </w:tr>
    </w:tbl>
    <w:p w14:paraId="1124A0AE" w14:textId="77777777" w:rsidR="003F3C34" w:rsidRPr="00C16A84" w:rsidRDefault="003F3C34" w:rsidP="003F3C34">
      <w:pPr>
        <w:spacing w:after="40"/>
        <w:rPr>
          <w:b/>
          <w:noProof/>
          <w:sz w:val="22"/>
          <w:u w:val="single"/>
        </w:rPr>
      </w:pPr>
      <w:r w:rsidRPr="00C16A84">
        <w:rPr>
          <w:b/>
          <w:noProof/>
          <w:sz w:val="22"/>
          <w:u w:val="single"/>
        </w:rPr>
        <w:t>Ako prijedlog/inicijativa utječe na više od jednog naslova za poslovanje, ponovite prethodni odjeljak:</w:t>
      </w:r>
    </w:p>
    <w:tbl>
      <w:tblPr>
        <w:tblW w:w="15102" w:type="dxa"/>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1023"/>
        <w:gridCol w:w="992"/>
        <w:gridCol w:w="992"/>
        <w:gridCol w:w="1701"/>
      </w:tblGrid>
      <w:tr w:rsidR="003F3C34" w:rsidRPr="00C16A84" w14:paraId="2A66AB51" w14:textId="77777777" w:rsidTr="008204DA">
        <w:trPr>
          <w:trHeight w:val="277"/>
        </w:trPr>
        <w:tc>
          <w:tcPr>
            <w:tcW w:w="3960" w:type="dxa"/>
            <w:vMerge w:val="restart"/>
            <w:tcBorders>
              <w:top w:val="single" w:sz="4" w:space="0" w:color="auto"/>
              <w:left w:val="single" w:sz="4" w:space="0" w:color="auto"/>
              <w:bottom w:val="single" w:sz="4" w:space="0" w:color="FF0000"/>
            </w:tcBorders>
            <w:vAlign w:val="center"/>
          </w:tcPr>
          <w:p w14:paraId="4534E962" w14:textId="77777777" w:rsidR="003F3C34" w:rsidRPr="00C16A84" w:rsidRDefault="003F3C34" w:rsidP="008204DA">
            <w:pPr>
              <w:spacing w:before="20" w:after="20"/>
              <w:rPr>
                <w:noProof/>
              </w:rPr>
            </w:pPr>
            <w:r w:rsidRPr="00C16A84">
              <w:rPr>
                <w:noProof/>
                <w:sz w:val="21"/>
              </w:rPr>
              <w:sym w:font="Wingdings" w:char="F09F"/>
            </w:r>
            <w:r w:rsidRPr="00C16A84">
              <w:rPr>
                <w:noProof/>
              </w:rPr>
              <w:t xml:space="preserve"> </w:t>
            </w:r>
            <w:r w:rsidRPr="00C16A84">
              <w:rPr>
                <w:noProof/>
                <w:sz w:val="21"/>
              </w:rPr>
              <w:t>UKUPNA odobrena sredstva za poslovanje (svi naslovi za poslovanje)</w:t>
            </w:r>
          </w:p>
        </w:tc>
        <w:tc>
          <w:tcPr>
            <w:tcW w:w="1440" w:type="dxa"/>
            <w:tcBorders>
              <w:top w:val="single" w:sz="4" w:space="0" w:color="auto"/>
            </w:tcBorders>
            <w:vAlign w:val="center"/>
          </w:tcPr>
          <w:p w14:paraId="19EA3AF5" w14:textId="77777777" w:rsidR="003F3C34" w:rsidRPr="00C16A84" w:rsidRDefault="003F3C34" w:rsidP="008204DA">
            <w:pPr>
              <w:spacing w:beforeLines="20" w:before="48" w:afterLines="20" w:after="48"/>
              <w:rPr>
                <w:noProof/>
                <w:sz w:val="18"/>
              </w:rPr>
            </w:pPr>
            <w:r w:rsidRPr="00C16A84">
              <w:rPr>
                <w:noProof/>
                <w:sz w:val="18"/>
              </w:rPr>
              <w:t>Obveze</w:t>
            </w:r>
          </w:p>
        </w:tc>
        <w:tc>
          <w:tcPr>
            <w:tcW w:w="654" w:type="dxa"/>
            <w:tcBorders>
              <w:top w:val="single" w:sz="4" w:space="0" w:color="auto"/>
            </w:tcBorders>
            <w:vAlign w:val="center"/>
          </w:tcPr>
          <w:p w14:paraId="49E48120" w14:textId="77777777" w:rsidR="003F3C34" w:rsidRPr="00C16A84" w:rsidRDefault="003F3C34" w:rsidP="008204DA">
            <w:pPr>
              <w:spacing w:beforeLines="20" w:before="48" w:afterLines="20" w:after="48"/>
              <w:jc w:val="center"/>
              <w:rPr>
                <w:noProof/>
                <w:sz w:val="14"/>
              </w:rPr>
            </w:pPr>
            <w:r w:rsidRPr="00C16A84">
              <w:rPr>
                <w:noProof/>
                <w:sz w:val="14"/>
              </w:rPr>
              <w:t>(4)</w:t>
            </w:r>
          </w:p>
        </w:tc>
        <w:tc>
          <w:tcPr>
            <w:tcW w:w="868" w:type="dxa"/>
            <w:tcBorders>
              <w:top w:val="single" w:sz="4" w:space="0" w:color="auto"/>
            </w:tcBorders>
            <w:vAlign w:val="center"/>
          </w:tcPr>
          <w:p w14:paraId="5E3A8456" w14:textId="77777777" w:rsidR="003F3C34" w:rsidRPr="00C16A84" w:rsidRDefault="003F3C34" w:rsidP="008204DA">
            <w:pPr>
              <w:spacing w:before="20" w:after="20"/>
              <w:jc w:val="right"/>
              <w:rPr>
                <w:noProof/>
                <w:sz w:val="20"/>
              </w:rPr>
            </w:pPr>
          </w:p>
        </w:tc>
        <w:tc>
          <w:tcPr>
            <w:tcW w:w="868" w:type="dxa"/>
            <w:tcBorders>
              <w:top w:val="single" w:sz="4" w:space="0" w:color="auto"/>
            </w:tcBorders>
            <w:vAlign w:val="center"/>
          </w:tcPr>
          <w:p w14:paraId="05F3BDAC" w14:textId="77777777" w:rsidR="003F3C34" w:rsidRPr="00C16A84" w:rsidRDefault="003F3C34" w:rsidP="008204DA">
            <w:pPr>
              <w:spacing w:before="20" w:after="20"/>
              <w:jc w:val="right"/>
              <w:rPr>
                <w:noProof/>
                <w:sz w:val="20"/>
              </w:rPr>
            </w:pPr>
          </w:p>
        </w:tc>
        <w:tc>
          <w:tcPr>
            <w:tcW w:w="868" w:type="dxa"/>
            <w:tcBorders>
              <w:top w:val="single" w:sz="4" w:space="0" w:color="auto"/>
            </w:tcBorders>
            <w:vAlign w:val="center"/>
          </w:tcPr>
          <w:p w14:paraId="72C02E92" w14:textId="77777777" w:rsidR="003F3C34" w:rsidRPr="00C16A84" w:rsidRDefault="003F3C34" w:rsidP="008204DA">
            <w:pPr>
              <w:spacing w:before="20" w:after="20"/>
              <w:jc w:val="right"/>
              <w:rPr>
                <w:noProof/>
                <w:sz w:val="20"/>
              </w:rPr>
            </w:pPr>
          </w:p>
        </w:tc>
        <w:tc>
          <w:tcPr>
            <w:tcW w:w="868" w:type="dxa"/>
            <w:tcBorders>
              <w:top w:val="single" w:sz="4" w:space="0" w:color="auto"/>
            </w:tcBorders>
            <w:vAlign w:val="center"/>
          </w:tcPr>
          <w:p w14:paraId="51C794FE" w14:textId="77777777" w:rsidR="003F3C34" w:rsidRPr="00C16A84" w:rsidRDefault="003F3C34" w:rsidP="008204DA">
            <w:pPr>
              <w:spacing w:before="20" w:after="20"/>
              <w:jc w:val="right"/>
              <w:rPr>
                <w:noProof/>
                <w:sz w:val="20"/>
              </w:rPr>
            </w:pPr>
          </w:p>
        </w:tc>
        <w:tc>
          <w:tcPr>
            <w:tcW w:w="868" w:type="dxa"/>
            <w:tcBorders>
              <w:top w:val="single" w:sz="4" w:space="0" w:color="auto"/>
            </w:tcBorders>
            <w:vAlign w:val="center"/>
          </w:tcPr>
          <w:p w14:paraId="70ABBB26" w14:textId="77777777" w:rsidR="003F3C34" w:rsidRPr="00C16A84" w:rsidRDefault="003F3C34" w:rsidP="008204DA">
            <w:pPr>
              <w:spacing w:before="20" w:after="20"/>
              <w:jc w:val="right"/>
              <w:rPr>
                <w:noProof/>
                <w:sz w:val="20"/>
              </w:rPr>
            </w:pPr>
          </w:p>
        </w:tc>
        <w:tc>
          <w:tcPr>
            <w:tcW w:w="1023" w:type="dxa"/>
            <w:tcBorders>
              <w:top w:val="single" w:sz="4" w:space="0" w:color="auto"/>
            </w:tcBorders>
            <w:vAlign w:val="center"/>
          </w:tcPr>
          <w:p w14:paraId="073789B5" w14:textId="77777777" w:rsidR="003F3C34" w:rsidRPr="00C16A84" w:rsidRDefault="003F3C34" w:rsidP="008204DA">
            <w:pPr>
              <w:spacing w:before="20" w:after="20"/>
              <w:jc w:val="right"/>
              <w:rPr>
                <w:noProof/>
                <w:sz w:val="20"/>
              </w:rPr>
            </w:pPr>
          </w:p>
        </w:tc>
        <w:tc>
          <w:tcPr>
            <w:tcW w:w="992" w:type="dxa"/>
            <w:tcBorders>
              <w:top w:val="single" w:sz="4" w:space="0" w:color="auto"/>
            </w:tcBorders>
            <w:vAlign w:val="center"/>
          </w:tcPr>
          <w:p w14:paraId="78AAA39E" w14:textId="77777777" w:rsidR="003F3C34" w:rsidRPr="00C16A84" w:rsidRDefault="003F3C34" w:rsidP="008204DA">
            <w:pPr>
              <w:spacing w:before="20" w:after="20"/>
              <w:jc w:val="right"/>
              <w:rPr>
                <w:b/>
                <w:noProof/>
                <w:sz w:val="20"/>
              </w:rPr>
            </w:pPr>
          </w:p>
        </w:tc>
        <w:tc>
          <w:tcPr>
            <w:tcW w:w="992" w:type="dxa"/>
            <w:tcBorders>
              <w:top w:val="single" w:sz="4" w:space="0" w:color="auto"/>
            </w:tcBorders>
          </w:tcPr>
          <w:p w14:paraId="4553CD73" w14:textId="77777777" w:rsidR="003F3C34" w:rsidRPr="00C16A84" w:rsidRDefault="003F3C34" w:rsidP="008204DA">
            <w:pPr>
              <w:spacing w:before="20" w:after="20"/>
              <w:jc w:val="right"/>
              <w:rPr>
                <w:b/>
                <w:noProof/>
                <w:sz w:val="20"/>
              </w:rPr>
            </w:pPr>
          </w:p>
        </w:tc>
        <w:tc>
          <w:tcPr>
            <w:tcW w:w="1701" w:type="dxa"/>
            <w:tcBorders>
              <w:top w:val="single" w:sz="4" w:space="0" w:color="auto"/>
              <w:right w:val="single" w:sz="4" w:space="0" w:color="auto"/>
            </w:tcBorders>
            <w:vAlign w:val="center"/>
          </w:tcPr>
          <w:p w14:paraId="3AFD81BB" w14:textId="77777777" w:rsidR="003F3C34" w:rsidRPr="00C16A84" w:rsidRDefault="003F3C34" w:rsidP="008204DA">
            <w:pPr>
              <w:spacing w:before="20" w:after="20"/>
              <w:jc w:val="right"/>
              <w:rPr>
                <w:b/>
                <w:noProof/>
                <w:sz w:val="20"/>
              </w:rPr>
            </w:pPr>
          </w:p>
        </w:tc>
      </w:tr>
      <w:tr w:rsidR="003F3C34" w:rsidRPr="00C16A84" w14:paraId="68E3526A" w14:textId="77777777" w:rsidTr="008204DA">
        <w:tc>
          <w:tcPr>
            <w:tcW w:w="3960" w:type="dxa"/>
            <w:vMerge/>
            <w:tcBorders>
              <w:top w:val="single" w:sz="4" w:space="0" w:color="FF0000"/>
              <w:left w:val="single" w:sz="4" w:space="0" w:color="auto"/>
              <w:bottom w:val="single" w:sz="4" w:space="0" w:color="FF0000"/>
            </w:tcBorders>
          </w:tcPr>
          <w:p w14:paraId="3FC707BC" w14:textId="77777777" w:rsidR="003F3C34" w:rsidRPr="00C16A84" w:rsidRDefault="003F3C34" w:rsidP="008204DA">
            <w:pPr>
              <w:jc w:val="center"/>
              <w:rPr>
                <w:noProof/>
                <w:sz w:val="20"/>
              </w:rPr>
            </w:pPr>
          </w:p>
        </w:tc>
        <w:tc>
          <w:tcPr>
            <w:tcW w:w="1440" w:type="dxa"/>
            <w:vAlign w:val="center"/>
          </w:tcPr>
          <w:p w14:paraId="518091CF" w14:textId="77777777" w:rsidR="003F3C34" w:rsidRPr="00C16A84" w:rsidRDefault="003F3C34" w:rsidP="008204DA">
            <w:pPr>
              <w:spacing w:beforeLines="20" w:before="48" w:afterLines="20" w:after="48"/>
              <w:rPr>
                <w:noProof/>
                <w:sz w:val="18"/>
              </w:rPr>
            </w:pPr>
            <w:r w:rsidRPr="00C16A84">
              <w:rPr>
                <w:noProof/>
                <w:sz w:val="18"/>
              </w:rPr>
              <w:t>Plaćanja</w:t>
            </w:r>
          </w:p>
        </w:tc>
        <w:tc>
          <w:tcPr>
            <w:tcW w:w="654" w:type="dxa"/>
            <w:vAlign w:val="center"/>
          </w:tcPr>
          <w:p w14:paraId="4C669C39" w14:textId="77777777" w:rsidR="003F3C34" w:rsidRPr="00C16A84" w:rsidRDefault="003F3C34" w:rsidP="008204DA">
            <w:pPr>
              <w:spacing w:beforeLines="20" w:before="48" w:afterLines="20" w:after="48"/>
              <w:jc w:val="center"/>
              <w:rPr>
                <w:noProof/>
                <w:sz w:val="14"/>
              </w:rPr>
            </w:pPr>
            <w:r w:rsidRPr="00C16A84">
              <w:rPr>
                <w:noProof/>
                <w:sz w:val="14"/>
              </w:rPr>
              <w:t>(5)</w:t>
            </w:r>
          </w:p>
        </w:tc>
        <w:tc>
          <w:tcPr>
            <w:tcW w:w="868" w:type="dxa"/>
            <w:vAlign w:val="center"/>
          </w:tcPr>
          <w:p w14:paraId="17841160" w14:textId="77777777" w:rsidR="003F3C34" w:rsidRPr="00C16A84" w:rsidRDefault="003F3C34" w:rsidP="008204DA">
            <w:pPr>
              <w:spacing w:before="20" w:after="20"/>
              <w:jc w:val="right"/>
              <w:rPr>
                <w:noProof/>
                <w:sz w:val="20"/>
              </w:rPr>
            </w:pPr>
          </w:p>
        </w:tc>
        <w:tc>
          <w:tcPr>
            <w:tcW w:w="868" w:type="dxa"/>
            <w:vAlign w:val="center"/>
          </w:tcPr>
          <w:p w14:paraId="409B3B1C" w14:textId="77777777" w:rsidR="003F3C34" w:rsidRPr="00C16A84" w:rsidRDefault="003F3C34" w:rsidP="008204DA">
            <w:pPr>
              <w:spacing w:before="20" w:after="20"/>
              <w:jc w:val="right"/>
              <w:rPr>
                <w:noProof/>
                <w:sz w:val="20"/>
              </w:rPr>
            </w:pPr>
          </w:p>
        </w:tc>
        <w:tc>
          <w:tcPr>
            <w:tcW w:w="868" w:type="dxa"/>
            <w:vAlign w:val="center"/>
          </w:tcPr>
          <w:p w14:paraId="1E377398" w14:textId="77777777" w:rsidR="003F3C34" w:rsidRPr="00C16A84" w:rsidRDefault="003F3C34" w:rsidP="008204DA">
            <w:pPr>
              <w:spacing w:before="20" w:after="20"/>
              <w:jc w:val="right"/>
              <w:rPr>
                <w:noProof/>
                <w:sz w:val="20"/>
              </w:rPr>
            </w:pPr>
          </w:p>
        </w:tc>
        <w:tc>
          <w:tcPr>
            <w:tcW w:w="868" w:type="dxa"/>
            <w:vAlign w:val="center"/>
          </w:tcPr>
          <w:p w14:paraId="505A6090" w14:textId="77777777" w:rsidR="003F3C34" w:rsidRPr="00C16A84" w:rsidRDefault="003F3C34" w:rsidP="008204DA">
            <w:pPr>
              <w:spacing w:before="20" w:after="20"/>
              <w:jc w:val="right"/>
              <w:rPr>
                <w:noProof/>
                <w:sz w:val="20"/>
              </w:rPr>
            </w:pPr>
          </w:p>
        </w:tc>
        <w:tc>
          <w:tcPr>
            <w:tcW w:w="868" w:type="dxa"/>
            <w:vAlign w:val="center"/>
          </w:tcPr>
          <w:p w14:paraId="3637660E" w14:textId="77777777" w:rsidR="003F3C34" w:rsidRPr="00C16A84" w:rsidRDefault="003F3C34" w:rsidP="008204DA">
            <w:pPr>
              <w:spacing w:before="20" w:after="20"/>
              <w:jc w:val="right"/>
              <w:rPr>
                <w:noProof/>
                <w:sz w:val="20"/>
              </w:rPr>
            </w:pPr>
          </w:p>
        </w:tc>
        <w:tc>
          <w:tcPr>
            <w:tcW w:w="1023" w:type="dxa"/>
            <w:vAlign w:val="center"/>
          </w:tcPr>
          <w:p w14:paraId="0652F697" w14:textId="77777777" w:rsidR="003F3C34" w:rsidRPr="00C16A84" w:rsidRDefault="003F3C34" w:rsidP="008204DA">
            <w:pPr>
              <w:spacing w:before="20" w:after="20"/>
              <w:jc w:val="right"/>
              <w:rPr>
                <w:noProof/>
                <w:sz w:val="20"/>
              </w:rPr>
            </w:pPr>
          </w:p>
        </w:tc>
        <w:tc>
          <w:tcPr>
            <w:tcW w:w="992" w:type="dxa"/>
            <w:vAlign w:val="center"/>
          </w:tcPr>
          <w:p w14:paraId="37CAA79E" w14:textId="77777777" w:rsidR="003F3C34" w:rsidRPr="00C16A84" w:rsidRDefault="003F3C34" w:rsidP="008204DA">
            <w:pPr>
              <w:spacing w:before="20" w:after="20"/>
              <w:jc w:val="right"/>
              <w:rPr>
                <w:b/>
                <w:noProof/>
                <w:sz w:val="20"/>
              </w:rPr>
            </w:pPr>
          </w:p>
        </w:tc>
        <w:tc>
          <w:tcPr>
            <w:tcW w:w="992" w:type="dxa"/>
          </w:tcPr>
          <w:p w14:paraId="748D2B0B" w14:textId="77777777" w:rsidR="003F3C34" w:rsidRPr="00C16A84" w:rsidRDefault="003F3C34" w:rsidP="008204DA">
            <w:pPr>
              <w:spacing w:before="20" w:after="20"/>
              <w:jc w:val="right"/>
              <w:rPr>
                <w:b/>
                <w:noProof/>
                <w:sz w:val="20"/>
              </w:rPr>
            </w:pPr>
          </w:p>
        </w:tc>
        <w:tc>
          <w:tcPr>
            <w:tcW w:w="1701" w:type="dxa"/>
            <w:tcBorders>
              <w:right w:val="single" w:sz="4" w:space="0" w:color="auto"/>
            </w:tcBorders>
            <w:vAlign w:val="center"/>
          </w:tcPr>
          <w:p w14:paraId="66B92C3F" w14:textId="77777777" w:rsidR="003F3C34" w:rsidRPr="00C16A84" w:rsidRDefault="003F3C34" w:rsidP="008204DA">
            <w:pPr>
              <w:spacing w:before="20" w:after="20"/>
              <w:jc w:val="right"/>
              <w:rPr>
                <w:b/>
                <w:noProof/>
                <w:sz w:val="20"/>
              </w:rPr>
            </w:pPr>
          </w:p>
        </w:tc>
      </w:tr>
      <w:tr w:rsidR="003F3C34" w:rsidRPr="00C16A84" w14:paraId="54477B9F" w14:textId="77777777" w:rsidTr="008204DA">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14:paraId="73DD8B11" w14:textId="77777777" w:rsidR="003F3C34" w:rsidRPr="00C16A84" w:rsidRDefault="003F3C34" w:rsidP="008204DA">
            <w:pPr>
              <w:spacing w:beforeLines="20" w:before="48" w:afterLines="20" w:after="48"/>
              <w:rPr>
                <w:noProof/>
              </w:rPr>
            </w:pPr>
            <w:r w:rsidRPr="00C16A84">
              <w:rPr>
                <w:noProof/>
                <w:sz w:val="21"/>
              </w:rPr>
              <w:t xml:space="preserve"> UKUPNA administrativna odobrena sredstva koja se financiraju iz omotnice za posebne programe (svi naslovi za poslovanje)</w:t>
            </w:r>
          </w:p>
        </w:tc>
        <w:tc>
          <w:tcPr>
            <w:tcW w:w="654" w:type="dxa"/>
            <w:vAlign w:val="center"/>
          </w:tcPr>
          <w:p w14:paraId="152CEDDC" w14:textId="77777777" w:rsidR="003F3C34" w:rsidRPr="00C16A84" w:rsidRDefault="003F3C34" w:rsidP="008204DA">
            <w:pPr>
              <w:rPr>
                <w:noProof/>
              </w:rPr>
            </w:pPr>
          </w:p>
          <w:p w14:paraId="77ADCCF0" w14:textId="77777777" w:rsidR="003F3C34" w:rsidRPr="00C16A84" w:rsidRDefault="003F3C34" w:rsidP="008204DA">
            <w:pPr>
              <w:spacing w:beforeLines="20" w:before="48" w:afterLines="20" w:after="48"/>
              <w:jc w:val="center"/>
              <w:rPr>
                <w:noProof/>
                <w:sz w:val="14"/>
              </w:rPr>
            </w:pPr>
            <w:r w:rsidRPr="00C16A84">
              <w:rPr>
                <w:noProof/>
                <w:sz w:val="14"/>
              </w:rPr>
              <w:t>(6)</w:t>
            </w:r>
          </w:p>
        </w:tc>
        <w:tc>
          <w:tcPr>
            <w:tcW w:w="868" w:type="dxa"/>
            <w:vAlign w:val="center"/>
          </w:tcPr>
          <w:p w14:paraId="619BFFFB" w14:textId="77777777" w:rsidR="003F3C34" w:rsidRPr="00C16A84" w:rsidRDefault="003F3C34" w:rsidP="008204DA">
            <w:pPr>
              <w:spacing w:before="20" w:after="20"/>
              <w:jc w:val="right"/>
              <w:rPr>
                <w:b/>
                <w:noProof/>
                <w:sz w:val="20"/>
              </w:rPr>
            </w:pPr>
          </w:p>
        </w:tc>
        <w:tc>
          <w:tcPr>
            <w:tcW w:w="868" w:type="dxa"/>
            <w:vAlign w:val="center"/>
          </w:tcPr>
          <w:p w14:paraId="38B8367F" w14:textId="77777777" w:rsidR="003F3C34" w:rsidRPr="00C16A84" w:rsidRDefault="003F3C34" w:rsidP="008204DA">
            <w:pPr>
              <w:spacing w:before="20" w:after="20"/>
              <w:jc w:val="right"/>
              <w:rPr>
                <w:b/>
                <w:noProof/>
                <w:sz w:val="20"/>
              </w:rPr>
            </w:pPr>
          </w:p>
        </w:tc>
        <w:tc>
          <w:tcPr>
            <w:tcW w:w="868" w:type="dxa"/>
            <w:vAlign w:val="center"/>
          </w:tcPr>
          <w:p w14:paraId="0E0F78B6" w14:textId="77777777" w:rsidR="003F3C34" w:rsidRPr="00C16A84" w:rsidRDefault="003F3C34" w:rsidP="008204DA">
            <w:pPr>
              <w:spacing w:before="20" w:after="20"/>
              <w:jc w:val="right"/>
              <w:rPr>
                <w:b/>
                <w:noProof/>
                <w:sz w:val="20"/>
              </w:rPr>
            </w:pPr>
          </w:p>
        </w:tc>
        <w:tc>
          <w:tcPr>
            <w:tcW w:w="868" w:type="dxa"/>
            <w:vAlign w:val="center"/>
          </w:tcPr>
          <w:p w14:paraId="0296980A" w14:textId="77777777" w:rsidR="003F3C34" w:rsidRPr="00C16A84" w:rsidRDefault="003F3C34" w:rsidP="008204DA">
            <w:pPr>
              <w:spacing w:before="20" w:after="20"/>
              <w:jc w:val="right"/>
              <w:rPr>
                <w:b/>
                <w:noProof/>
                <w:sz w:val="20"/>
              </w:rPr>
            </w:pPr>
          </w:p>
        </w:tc>
        <w:tc>
          <w:tcPr>
            <w:tcW w:w="868" w:type="dxa"/>
            <w:vAlign w:val="center"/>
          </w:tcPr>
          <w:p w14:paraId="66537AC4" w14:textId="77777777" w:rsidR="003F3C34" w:rsidRPr="00C16A84" w:rsidRDefault="003F3C34" w:rsidP="008204DA">
            <w:pPr>
              <w:spacing w:before="20" w:after="20"/>
              <w:jc w:val="right"/>
              <w:rPr>
                <w:b/>
                <w:noProof/>
                <w:sz w:val="20"/>
              </w:rPr>
            </w:pPr>
          </w:p>
        </w:tc>
        <w:tc>
          <w:tcPr>
            <w:tcW w:w="1023" w:type="dxa"/>
            <w:vAlign w:val="center"/>
          </w:tcPr>
          <w:p w14:paraId="2B99A7D2" w14:textId="77777777" w:rsidR="003F3C34" w:rsidRPr="00C16A84" w:rsidRDefault="003F3C34" w:rsidP="008204DA">
            <w:pPr>
              <w:spacing w:before="20" w:after="20"/>
              <w:jc w:val="right"/>
              <w:rPr>
                <w:b/>
                <w:noProof/>
                <w:sz w:val="20"/>
              </w:rPr>
            </w:pPr>
          </w:p>
        </w:tc>
        <w:tc>
          <w:tcPr>
            <w:tcW w:w="992" w:type="dxa"/>
            <w:vAlign w:val="center"/>
          </w:tcPr>
          <w:p w14:paraId="40C7DC03" w14:textId="77777777" w:rsidR="003F3C34" w:rsidRPr="00C16A84" w:rsidRDefault="003F3C34" w:rsidP="008204DA">
            <w:pPr>
              <w:spacing w:before="20" w:after="20"/>
              <w:jc w:val="right"/>
              <w:rPr>
                <w:b/>
                <w:noProof/>
                <w:sz w:val="20"/>
              </w:rPr>
            </w:pPr>
          </w:p>
        </w:tc>
        <w:tc>
          <w:tcPr>
            <w:tcW w:w="992" w:type="dxa"/>
          </w:tcPr>
          <w:p w14:paraId="4E5025D2" w14:textId="77777777" w:rsidR="003F3C34" w:rsidRPr="00C16A84" w:rsidRDefault="003F3C34" w:rsidP="008204DA">
            <w:pPr>
              <w:spacing w:before="20" w:after="20"/>
              <w:jc w:val="right"/>
              <w:rPr>
                <w:b/>
                <w:noProof/>
                <w:sz w:val="20"/>
              </w:rPr>
            </w:pPr>
          </w:p>
        </w:tc>
        <w:tc>
          <w:tcPr>
            <w:tcW w:w="1701" w:type="dxa"/>
            <w:vAlign w:val="center"/>
          </w:tcPr>
          <w:p w14:paraId="73C7D51C" w14:textId="77777777" w:rsidR="003F3C34" w:rsidRPr="00C16A84" w:rsidRDefault="003F3C34" w:rsidP="008204DA">
            <w:pPr>
              <w:spacing w:before="20" w:after="20"/>
              <w:jc w:val="right"/>
              <w:rPr>
                <w:b/>
                <w:noProof/>
                <w:sz w:val="20"/>
              </w:rPr>
            </w:pPr>
          </w:p>
        </w:tc>
      </w:tr>
      <w:tr w:rsidR="003F3C34" w:rsidRPr="00C16A84" w14:paraId="5C6EC93A" w14:textId="77777777" w:rsidTr="008204DA">
        <w:tc>
          <w:tcPr>
            <w:tcW w:w="3960" w:type="dxa"/>
            <w:vMerge w:val="restart"/>
            <w:tcBorders>
              <w:top w:val="single" w:sz="4" w:space="0" w:color="FF0000"/>
              <w:left w:val="single" w:sz="4" w:space="0" w:color="auto"/>
              <w:bottom w:val="single" w:sz="4" w:space="0" w:color="FF0000"/>
            </w:tcBorders>
            <w:shd w:val="thinDiagStripe" w:color="C0C0C0" w:fill="auto"/>
            <w:vAlign w:val="center"/>
          </w:tcPr>
          <w:p w14:paraId="555E64B1" w14:textId="77777777" w:rsidR="003F3C34" w:rsidRPr="00C16A84" w:rsidRDefault="003F3C34" w:rsidP="008204DA">
            <w:pPr>
              <w:jc w:val="center"/>
              <w:rPr>
                <w:b/>
                <w:noProof/>
              </w:rPr>
            </w:pPr>
            <w:r w:rsidRPr="00C16A84">
              <w:rPr>
                <w:b/>
                <w:noProof/>
                <w:sz w:val="22"/>
              </w:rPr>
              <w:t xml:space="preserve">UKUPNA odobrena sredstva </w:t>
            </w:r>
            <w:r w:rsidRPr="00C16A84">
              <w:rPr>
                <w:noProof/>
              </w:rPr>
              <w:t xml:space="preserve"> </w:t>
            </w:r>
            <w:r w:rsidRPr="00C16A84">
              <w:rPr>
                <w:noProof/>
              </w:rPr>
              <w:br/>
            </w:r>
            <w:r w:rsidRPr="00C16A84">
              <w:rPr>
                <w:b/>
                <w:noProof/>
                <w:sz w:val="22"/>
              </w:rPr>
              <w:t>iz NASLOVA 1.–6.</w:t>
            </w:r>
            <w:r w:rsidRPr="00C16A84">
              <w:rPr>
                <w:noProof/>
              </w:rPr>
              <w:t xml:space="preserve"> </w:t>
            </w:r>
            <w:r w:rsidRPr="00C16A84">
              <w:rPr>
                <w:noProof/>
              </w:rPr>
              <w:br/>
            </w:r>
            <w:r w:rsidRPr="00C16A84">
              <w:rPr>
                <w:noProof/>
                <w:sz w:val="22"/>
              </w:rPr>
              <w:t>višegodišnjeg financijskog okvira</w:t>
            </w:r>
            <w:r w:rsidRPr="00C16A84">
              <w:rPr>
                <w:noProof/>
              </w:rPr>
              <w:t xml:space="preserve"> </w:t>
            </w:r>
            <w:r w:rsidRPr="00C16A84">
              <w:rPr>
                <w:noProof/>
              </w:rPr>
              <w:br/>
            </w:r>
            <w:r w:rsidRPr="00C16A84">
              <w:rPr>
                <w:noProof/>
                <w:sz w:val="20"/>
              </w:rPr>
              <w:t>(referentni iznos)</w:t>
            </w:r>
          </w:p>
        </w:tc>
        <w:tc>
          <w:tcPr>
            <w:tcW w:w="1440" w:type="dxa"/>
            <w:vAlign w:val="center"/>
          </w:tcPr>
          <w:p w14:paraId="2149C3A7" w14:textId="77777777" w:rsidR="003F3C34" w:rsidRPr="00C16A84" w:rsidRDefault="003F3C34" w:rsidP="008204DA">
            <w:pPr>
              <w:rPr>
                <w:noProof/>
                <w:sz w:val="18"/>
              </w:rPr>
            </w:pPr>
            <w:r w:rsidRPr="00C16A84">
              <w:rPr>
                <w:noProof/>
                <w:sz w:val="18"/>
              </w:rPr>
              <w:t>Obveze</w:t>
            </w:r>
          </w:p>
        </w:tc>
        <w:tc>
          <w:tcPr>
            <w:tcW w:w="654" w:type="dxa"/>
            <w:vAlign w:val="center"/>
          </w:tcPr>
          <w:p w14:paraId="25E39FFB" w14:textId="77777777" w:rsidR="003F3C34" w:rsidRPr="00C16A84" w:rsidRDefault="003F3C34" w:rsidP="008204DA">
            <w:pPr>
              <w:jc w:val="center"/>
              <w:rPr>
                <w:noProof/>
                <w:sz w:val="14"/>
              </w:rPr>
            </w:pPr>
            <w:r w:rsidRPr="00C16A84">
              <w:rPr>
                <w:noProof/>
                <w:sz w:val="14"/>
              </w:rPr>
              <w:t>=4+6</w:t>
            </w:r>
          </w:p>
        </w:tc>
        <w:tc>
          <w:tcPr>
            <w:tcW w:w="868" w:type="dxa"/>
            <w:vAlign w:val="center"/>
          </w:tcPr>
          <w:p w14:paraId="287D3082" w14:textId="77777777" w:rsidR="003F3C34" w:rsidRPr="00C16A84" w:rsidRDefault="003F3C34" w:rsidP="008204DA">
            <w:pPr>
              <w:spacing w:before="20" w:after="20"/>
              <w:jc w:val="right"/>
              <w:rPr>
                <w:noProof/>
                <w:sz w:val="20"/>
              </w:rPr>
            </w:pPr>
          </w:p>
        </w:tc>
        <w:tc>
          <w:tcPr>
            <w:tcW w:w="868" w:type="dxa"/>
            <w:vAlign w:val="center"/>
          </w:tcPr>
          <w:p w14:paraId="65BABA46" w14:textId="77777777" w:rsidR="003F3C34" w:rsidRPr="00C16A84" w:rsidRDefault="003F3C34" w:rsidP="008204DA">
            <w:pPr>
              <w:spacing w:before="20" w:after="20"/>
              <w:jc w:val="right"/>
              <w:rPr>
                <w:noProof/>
                <w:sz w:val="20"/>
              </w:rPr>
            </w:pPr>
          </w:p>
        </w:tc>
        <w:tc>
          <w:tcPr>
            <w:tcW w:w="868" w:type="dxa"/>
            <w:vAlign w:val="center"/>
          </w:tcPr>
          <w:p w14:paraId="47890178" w14:textId="77777777" w:rsidR="003F3C34" w:rsidRPr="00C16A84" w:rsidRDefault="003F3C34" w:rsidP="008204DA">
            <w:pPr>
              <w:spacing w:before="20" w:after="20"/>
              <w:jc w:val="right"/>
              <w:rPr>
                <w:noProof/>
                <w:sz w:val="20"/>
              </w:rPr>
            </w:pPr>
            <w:r w:rsidRPr="00C16A84">
              <w:rPr>
                <w:noProof/>
                <w:sz w:val="20"/>
              </w:rPr>
              <w:t>0,560</w:t>
            </w:r>
          </w:p>
        </w:tc>
        <w:tc>
          <w:tcPr>
            <w:tcW w:w="868" w:type="dxa"/>
            <w:vAlign w:val="center"/>
          </w:tcPr>
          <w:p w14:paraId="6E0A43F7" w14:textId="77777777" w:rsidR="003F3C34" w:rsidRPr="00C16A84" w:rsidRDefault="003F3C34" w:rsidP="008204DA">
            <w:pPr>
              <w:spacing w:before="20" w:after="20"/>
              <w:jc w:val="right"/>
              <w:rPr>
                <w:noProof/>
                <w:sz w:val="20"/>
              </w:rPr>
            </w:pPr>
            <w:r w:rsidRPr="00C16A84">
              <w:rPr>
                <w:noProof/>
                <w:sz w:val="20"/>
              </w:rPr>
              <w:t>0,060</w:t>
            </w:r>
          </w:p>
        </w:tc>
        <w:tc>
          <w:tcPr>
            <w:tcW w:w="868" w:type="dxa"/>
          </w:tcPr>
          <w:p w14:paraId="1ADE3FBD" w14:textId="77777777" w:rsidR="003F3C34" w:rsidRPr="00C16A84" w:rsidRDefault="003F3C34" w:rsidP="008204DA">
            <w:pPr>
              <w:spacing w:before="20" w:after="20"/>
              <w:jc w:val="right"/>
              <w:rPr>
                <w:noProof/>
                <w:sz w:val="20"/>
              </w:rPr>
            </w:pPr>
          </w:p>
        </w:tc>
        <w:tc>
          <w:tcPr>
            <w:tcW w:w="1023" w:type="dxa"/>
          </w:tcPr>
          <w:p w14:paraId="5B3FE371" w14:textId="77777777" w:rsidR="003F3C34" w:rsidRPr="00C16A84" w:rsidRDefault="003F3C34" w:rsidP="008204DA">
            <w:pPr>
              <w:spacing w:before="20" w:after="20"/>
              <w:jc w:val="right"/>
              <w:rPr>
                <w:noProof/>
                <w:sz w:val="20"/>
              </w:rPr>
            </w:pPr>
          </w:p>
        </w:tc>
        <w:tc>
          <w:tcPr>
            <w:tcW w:w="992" w:type="dxa"/>
          </w:tcPr>
          <w:p w14:paraId="3D053F37" w14:textId="77777777" w:rsidR="003F3C34" w:rsidRPr="00C16A84" w:rsidRDefault="003F3C34" w:rsidP="008204DA">
            <w:pPr>
              <w:spacing w:before="20" w:after="20"/>
              <w:jc w:val="right"/>
              <w:rPr>
                <w:b/>
                <w:noProof/>
                <w:sz w:val="20"/>
              </w:rPr>
            </w:pPr>
          </w:p>
        </w:tc>
        <w:tc>
          <w:tcPr>
            <w:tcW w:w="992" w:type="dxa"/>
          </w:tcPr>
          <w:p w14:paraId="0D5700AB" w14:textId="77777777" w:rsidR="003F3C34" w:rsidRPr="00C16A84" w:rsidRDefault="003F3C34" w:rsidP="008204DA">
            <w:pPr>
              <w:spacing w:before="20" w:after="20"/>
              <w:jc w:val="right"/>
              <w:rPr>
                <w:b/>
                <w:noProof/>
                <w:sz w:val="20"/>
              </w:rPr>
            </w:pPr>
          </w:p>
        </w:tc>
        <w:tc>
          <w:tcPr>
            <w:tcW w:w="1701" w:type="dxa"/>
            <w:tcBorders>
              <w:right w:val="single" w:sz="4" w:space="0" w:color="auto"/>
            </w:tcBorders>
            <w:vAlign w:val="center"/>
          </w:tcPr>
          <w:p w14:paraId="5DC151DF" w14:textId="77777777" w:rsidR="003F3C34" w:rsidRPr="00C16A84" w:rsidRDefault="003F3C34" w:rsidP="008204DA">
            <w:pPr>
              <w:spacing w:before="20" w:after="20"/>
              <w:jc w:val="right"/>
              <w:rPr>
                <w:b/>
                <w:noProof/>
                <w:sz w:val="20"/>
              </w:rPr>
            </w:pPr>
            <w:r w:rsidRPr="00C16A84">
              <w:rPr>
                <w:b/>
                <w:noProof/>
                <w:sz w:val="20"/>
              </w:rPr>
              <w:t>0,620</w:t>
            </w:r>
          </w:p>
        </w:tc>
      </w:tr>
      <w:tr w:rsidR="003F3C34" w:rsidRPr="00C16A84" w14:paraId="7734D6F3" w14:textId="77777777" w:rsidTr="008204DA">
        <w:tc>
          <w:tcPr>
            <w:tcW w:w="3960" w:type="dxa"/>
            <w:vMerge/>
            <w:tcBorders>
              <w:top w:val="single" w:sz="4" w:space="0" w:color="FF0000"/>
              <w:left w:val="single" w:sz="4" w:space="0" w:color="auto"/>
              <w:bottom w:val="single" w:sz="4" w:space="0" w:color="auto"/>
            </w:tcBorders>
            <w:shd w:val="thinDiagStripe" w:color="C0C0C0" w:fill="auto"/>
          </w:tcPr>
          <w:p w14:paraId="212AA185" w14:textId="77777777" w:rsidR="003F3C34" w:rsidRPr="00C16A84" w:rsidRDefault="003F3C34" w:rsidP="008204DA">
            <w:pPr>
              <w:rPr>
                <w:noProof/>
                <w:sz w:val="20"/>
              </w:rPr>
            </w:pPr>
          </w:p>
        </w:tc>
        <w:tc>
          <w:tcPr>
            <w:tcW w:w="1440" w:type="dxa"/>
            <w:tcBorders>
              <w:bottom w:val="single" w:sz="4" w:space="0" w:color="auto"/>
            </w:tcBorders>
            <w:vAlign w:val="center"/>
          </w:tcPr>
          <w:p w14:paraId="7B8330EC" w14:textId="77777777" w:rsidR="003F3C34" w:rsidRPr="00C16A84" w:rsidRDefault="003F3C34" w:rsidP="008204DA">
            <w:pPr>
              <w:rPr>
                <w:noProof/>
                <w:sz w:val="18"/>
              </w:rPr>
            </w:pPr>
            <w:r w:rsidRPr="00C16A84">
              <w:rPr>
                <w:noProof/>
                <w:sz w:val="18"/>
              </w:rPr>
              <w:t>Plaćanja</w:t>
            </w:r>
          </w:p>
        </w:tc>
        <w:tc>
          <w:tcPr>
            <w:tcW w:w="654" w:type="dxa"/>
            <w:tcBorders>
              <w:bottom w:val="single" w:sz="4" w:space="0" w:color="auto"/>
            </w:tcBorders>
            <w:vAlign w:val="center"/>
          </w:tcPr>
          <w:p w14:paraId="72F8C41E" w14:textId="77777777" w:rsidR="003F3C34" w:rsidRPr="00C16A84" w:rsidRDefault="003F3C34" w:rsidP="008204DA">
            <w:pPr>
              <w:jc w:val="center"/>
              <w:rPr>
                <w:noProof/>
                <w:sz w:val="14"/>
              </w:rPr>
            </w:pPr>
            <w:r w:rsidRPr="00C16A84">
              <w:rPr>
                <w:noProof/>
                <w:sz w:val="14"/>
              </w:rPr>
              <w:t>=5+6</w:t>
            </w:r>
          </w:p>
        </w:tc>
        <w:tc>
          <w:tcPr>
            <w:tcW w:w="868" w:type="dxa"/>
            <w:tcBorders>
              <w:bottom w:val="single" w:sz="4" w:space="0" w:color="auto"/>
            </w:tcBorders>
            <w:vAlign w:val="center"/>
          </w:tcPr>
          <w:p w14:paraId="4C88B2CD" w14:textId="77777777" w:rsidR="003F3C34" w:rsidRPr="00C16A84" w:rsidRDefault="003F3C34" w:rsidP="008204DA">
            <w:pPr>
              <w:spacing w:before="20" w:after="20"/>
              <w:jc w:val="right"/>
              <w:rPr>
                <w:noProof/>
                <w:sz w:val="20"/>
              </w:rPr>
            </w:pPr>
          </w:p>
        </w:tc>
        <w:tc>
          <w:tcPr>
            <w:tcW w:w="868" w:type="dxa"/>
            <w:tcBorders>
              <w:bottom w:val="single" w:sz="4" w:space="0" w:color="auto"/>
            </w:tcBorders>
            <w:vAlign w:val="center"/>
          </w:tcPr>
          <w:p w14:paraId="33403EB6" w14:textId="77777777" w:rsidR="003F3C34" w:rsidRPr="00C16A84" w:rsidRDefault="003F3C34" w:rsidP="008204DA">
            <w:pPr>
              <w:spacing w:before="20" w:after="20"/>
              <w:jc w:val="right"/>
              <w:rPr>
                <w:noProof/>
                <w:sz w:val="20"/>
              </w:rPr>
            </w:pPr>
          </w:p>
        </w:tc>
        <w:tc>
          <w:tcPr>
            <w:tcW w:w="868" w:type="dxa"/>
            <w:tcBorders>
              <w:bottom w:val="single" w:sz="4" w:space="0" w:color="auto"/>
            </w:tcBorders>
            <w:vAlign w:val="center"/>
          </w:tcPr>
          <w:p w14:paraId="42B29699" w14:textId="77777777" w:rsidR="003F3C34" w:rsidRPr="00C16A84" w:rsidRDefault="003F3C34" w:rsidP="008204DA">
            <w:pPr>
              <w:spacing w:before="20" w:after="20"/>
              <w:jc w:val="right"/>
              <w:rPr>
                <w:noProof/>
                <w:sz w:val="20"/>
              </w:rPr>
            </w:pPr>
            <w:r w:rsidRPr="00C16A84">
              <w:rPr>
                <w:noProof/>
                <w:sz w:val="20"/>
              </w:rPr>
              <w:t>0,060</w:t>
            </w:r>
          </w:p>
        </w:tc>
        <w:tc>
          <w:tcPr>
            <w:tcW w:w="868" w:type="dxa"/>
            <w:tcBorders>
              <w:bottom w:val="single" w:sz="4" w:space="0" w:color="auto"/>
            </w:tcBorders>
            <w:vAlign w:val="center"/>
          </w:tcPr>
          <w:p w14:paraId="58483430" w14:textId="77777777" w:rsidR="003F3C34" w:rsidRPr="00C16A84" w:rsidRDefault="003F3C34" w:rsidP="008204DA">
            <w:pPr>
              <w:spacing w:before="20" w:after="20"/>
              <w:jc w:val="right"/>
              <w:rPr>
                <w:noProof/>
                <w:sz w:val="20"/>
              </w:rPr>
            </w:pPr>
            <w:r w:rsidRPr="00C16A84">
              <w:rPr>
                <w:noProof/>
                <w:sz w:val="20"/>
              </w:rPr>
              <w:t>0,310</w:t>
            </w:r>
          </w:p>
        </w:tc>
        <w:tc>
          <w:tcPr>
            <w:tcW w:w="868" w:type="dxa"/>
            <w:tcBorders>
              <w:bottom w:val="single" w:sz="4" w:space="0" w:color="auto"/>
            </w:tcBorders>
          </w:tcPr>
          <w:p w14:paraId="6506EFA6" w14:textId="77777777" w:rsidR="003F3C34" w:rsidRPr="00C16A84" w:rsidRDefault="003F3C34" w:rsidP="008204DA">
            <w:pPr>
              <w:spacing w:before="20" w:after="20"/>
              <w:jc w:val="right"/>
              <w:rPr>
                <w:noProof/>
                <w:sz w:val="20"/>
              </w:rPr>
            </w:pPr>
          </w:p>
          <w:p w14:paraId="5624A7D1" w14:textId="77777777" w:rsidR="003F3C34" w:rsidRPr="00C16A84" w:rsidRDefault="003F3C34" w:rsidP="008204DA">
            <w:pPr>
              <w:spacing w:before="20" w:after="20"/>
              <w:jc w:val="right"/>
              <w:rPr>
                <w:noProof/>
                <w:sz w:val="20"/>
              </w:rPr>
            </w:pPr>
            <w:r w:rsidRPr="00C16A84">
              <w:rPr>
                <w:noProof/>
                <w:sz w:val="20"/>
              </w:rPr>
              <w:t>0,250</w:t>
            </w:r>
          </w:p>
        </w:tc>
        <w:tc>
          <w:tcPr>
            <w:tcW w:w="1023" w:type="dxa"/>
            <w:tcBorders>
              <w:bottom w:val="single" w:sz="4" w:space="0" w:color="auto"/>
            </w:tcBorders>
          </w:tcPr>
          <w:p w14:paraId="5746E812" w14:textId="77777777" w:rsidR="003F3C34" w:rsidRPr="00C16A84" w:rsidRDefault="003F3C34" w:rsidP="008204DA">
            <w:pPr>
              <w:spacing w:before="20" w:after="20"/>
              <w:jc w:val="right"/>
              <w:rPr>
                <w:noProof/>
                <w:sz w:val="20"/>
              </w:rPr>
            </w:pPr>
          </w:p>
        </w:tc>
        <w:tc>
          <w:tcPr>
            <w:tcW w:w="992" w:type="dxa"/>
            <w:tcBorders>
              <w:bottom w:val="single" w:sz="4" w:space="0" w:color="auto"/>
            </w:tcBorders>
          </w:tcPr>
          <w:p w14:paraId="5641F100" w14:textId="77777777" w:rsidR="003F3C34" w:rsidRPr="00C16A84" w:rsidRDefault="003F3C34" w:rsidP="008204DA">
            <w:pPr>
              <w:spacing w:before="20" w:after="20"/>
              <w:jc w:val="right"/>
              <w:rPr>
                <w:b/>
                <w:noProof/>
                <w:sz w:val="20"/>
              </w:rPr>
            </w:pPr>
          </w:p>
        </w:tc>
        <w:tc>
          <w:tcPr>
            <w:tcW w:w="992" w:type="dxa"/>
            <w:tcBorders>
              <w:bottom w:val="single" w:sz="4" w:space="0" w:color="auto"/>
            </w:tcBorders>
          </w:tcPr>
          <w:p w14:paraId="3AC76D82" w14:textId="77777777" w:rsidR="003F3C34" w:rsidRPr="00C16A84" w:rsidRDefault="003F3C34" w:rsidP="008204DA">
            <w:pPr>
              <w:spacing w:before="20" w:after="20"/>
              <w:jc w:val="right"/>
              <w:rPr>
                <w:b/>
                <w:noProof/>
                <w:sz w:val="20"/>
              </w:rPr>
            </w:pPr>
          </w:p>
        </w:tc>
        <w:tc>
          <w:tcPr>
            <w:tcW w:w="1701" w:type="dxa"/>
            <w:tcBorders>
              <w:bottom w:val="single" w:sz="4" w:space="0" w:color="auto"/>
              <w:right w:val="single" w:sz="4" w:space="0" w:color="auto"/>
            </w:tcBorders>
            <w:vAlign w:val="center"/>
          </w:tcPr>
          <w:p w14:paraId="0FC0EC45" w14:textId="77777777" w:rsidR="003F3C34" w:rsidRPr="00C16A84" w:rsidRDefault="003F3C34" w:rsidP="008204DA">
            <w:pPr>
              <w:spacing w:before="20" w:after="20"/>
              <w:jc w:val="right"/>
              <w:rPr>
                <w:b/>
                <w:noProof/>
                <w:sz w:val="20"/>
              </w:rPr>
            </w:pPr>
            <w:r w:rsidRPr="00C16A84">
              <w:rPr>
                <w:b/>
                <w:noProof/>
                <w:sz w:val="20"/>
              </w:rPr>
              <w:t>0,620</w:t>
            </w:r>
          </w:p>
        </w:tc>
      </w:tr>
    </w:tbl>
    <w:p w14:paraId="412717D9" w14:textId="77777777" w:rsidR="003F3C34" w:rsidRPr="00C16A84" w:rsidRDefault="003F3C34" w:rsidP="003F3C34">
      <w:pPr>
        <w:rPr>
          <w:noProof/>
        </w:rPr>
      </w:pPr>
    </w:p>
    <w:p w14:paraId="13CAA525" w14:textId="77777777" w:rsidR="003F3C34" w:rsidRPr="00C16A84" w:rsidRDefault="003F3C34" w:rsidP="003F3C34">
      <w:pPr>
        <w:spacing w:before="0" w:after="0"/>
        <w:jc w:val="left"/>
        <w:rPr>
          <w:noProof/>
        </w:rPr>
      </w:pPr>
      <w:r w:rsidRPr="00C16A84">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3F3C34" w:rsidRPr="00C16A84" w14:paraId="6CE39503" w14:textId="77777777" w:rsidTr="008204DA">
        <w:trPr>
          <w:jc w:val="center"/>
        </w:trPr>
        <w:tc>
          <w:tcPr>
            <w:tcW w:w="4744" w:type="dxa"/>
            <w:shd w:val="thinDiagStripe" w:color="C0C0C0" w:fill="auto"/>
            <w:vAlign w:val="center"/>
          </w:tcPr>
          <w:p w14:paraId="602E3097" w14:textId="77777777" w:rsidR="003F3C34" w:rsidRPr="00C16A84" w:rsidRDefault="003F3C34" w:rsidP="008204DA">
            <w:pPr>
              <w:spacing w:before="60" w:after="60"/>
              <w:jc w:val="center"/>
              <w:rPr>
                <w:b/>
                <w:noProof/>
              </w:rPr>
            </w:pPr>
            <w:r w:rsidRPr="00C16A84">
              <w:rPr>
                <w:noProof/>
              </w:rPr>
              <w:br w:type="page"/>
            </w:r>
            <w:r w:rsidRPr="00C16A84">
              <w:rPr>
                <w:b/>
                <w:noProof/>
                <w:sz w:val="22"/>
              </w:rPr>
              <w:t>Naslov višegodišnjeg financijskog</w:t>
            </w:r>
            <w:r w:rsidRPr="00C16A84">
              <w:rPr>
                <w:noProof/>
              </w:rPr>
              <w:t xml:space="preserve"> </w:t>
            </w:r>
            <w:r w:rsidRPr="00C16A84">
              <w:rPr>
                <w:noProof/>
              </w:rPr>
              <w:br/>
            </w:r>
            <w:r w:rsidRPr="00C16A84">
              <w:rPr>
                <w:b/>
                <w:noProof/>
                <w:sz w:val="22"/>
              </w:rPr>
              <w:t xml:space="preserve">okvira </w:t>
            </w:r>
          </w:p>
        </w:tc>
        <w:tc>
          <w:tcPr>
            <w:tcW w:w="1080" w:type="dxa"/>
            <w:shd w:val="thinDiagStripe" w:color="C0C0C0" w:fill="auto"/>
            <w:vAlign w:val="center"/>
          </w:tcPr>
          <w:p w14:paraId="670AFAE0" w14:textId="77777777" w:rsidR="003F3C34" w:rsidRPr="00C16A84" w:rsidRDefault="003F3C34" w:rsidP="008204DA">
            <w:pPr>
              <w:spacing w:before="60" w:after="60"/>
              <w:jc w:val="center"/>
              <w:rPr>
                <w:noProof/>
              </w:rPr>
            </w:pPr>
            <w:r w:rsidRPr="00C16A84">
              <w:rPr>
                <w:b/>
                <w:noProof/>
                <w:sz w:val="22"/>
              </w:rPr>
              <w:t>7.</w:t>
            </w:r>
          </w:p>
        </w:tc>
        <w:tc>
          <w:tcPr>
            <w:tcW w:w="7817" w:type="dxa"/>
            <w:vAlign w:val="center"/>
          </w:tcPr>
          <w:p w14:paraId="2B476467" w14:textId="77777777" w:rsidR="003F3C34" w:rsidRPr="00C16A84" w:rsidRDefault="003F3C34" w:rsidP="008204DA">
            <w:pPr>
              <w:spacing w:before="60" w:after="60"/>
              <w:rPr>
                <w:noProof/>
              </w:rPr>
            </w:pPr>
            <w:r w:rsidRPr="00C16A84">
              <w:rPr>
                <w:noProof/>
                <w:sz w:val="22"/>
              </w:rPr>
              <w:t>„Administrativni rashodi”</w:t>
            </w:r>
          </w:p>
        </w:tc>
      </w:tr>
    </w:tbl>
    <w:p w14:paraId="71D88CDF" w14:textId="77777777" w:rsidR="003F3C34" w:rsidRPr="00C16A84" w:rsidRDefault="003F3C34" w:rsidP="003F3C34">
      <w:pPr>
        <w:jc w:val="left"/>
        <w:rPr>
          <w:noProof/>
          <w:sz w:val="20"/>
        </w:rPr>
      </w:pPr>
      <w:r w:rsidRPr="00C16A84">
        <w:rPr>
          <w:noProof/>
        </w:rPr>
        <w:t xml:space="preserve">U ovaj se odjeljak unose „administrativni proračunski podaci”, koji prethodno moraju biti uneseni u </w:t>
      </w:r>
      <w:hyperlink r:id="rId12" w:history="1">
        <w:r w:rsidRPr="00C16A84">
          <w:rPr>
            <w:rStyle w:val="Hyperlink"/>
            <w:noProof/>
          </w:rPr>
          <w:t>prilog zakonodavnom financijskom izvještaju</w:t>
        </w:r>
      </w:hyperlink>
      <w:r w:rsidRPr="00C16A84">
        <w:rPr>
          <w:noProof/>
        </w:rPr>
        <w:t xml:space="preserve"> (Prilog 5. Odluci Komisije o internim pravilima za izvršenje dijela „Komisija” općeg proračuna Europske unije), koji se unosi u DECIDE za potrebe savjetovanja među službama.</w:t>
      </w:r>
    </w:p>
    <w:p w14:paraId="1BA13FB9" w14:textId="77777777" w:rsidR="003F3C34" w:rsidRPr="00C16A84" w:rsidRDefault="003F3C34" w:rsidP="003F3C34">
      <w:pPr>
        <w:jc w:val="right"/>
        <w:rPr>
          <w:noProof/>
          <w:sz w:val="20"/>
        </w:rPr>
      </w:pPr>
      <w:r w:rsidRPr="00C16A84">
        <w:rPr>
          <w:noProof/>
          <w:sz w:val="20"/>
        </w:rPr>
        <w:t>U milijunima EUR (do 3 decimalna mjesta)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3F3C34" w:rsidRPr="00C16A84" w14:paraId="7B00B78D" w14:textId="77777777" w:rsidTr="008204DA">
        <w:tc>
          <w:tcPr>
            <w:tcW w:w="3960" w:type="dxa"/>
            <w:tcBorders>
              <w:top w:val="nil"/>
              <w:left w:val="nil"/>
              <w:right w:val="nil"/>
            </w:tcBorders>
            <w:vAlign w:val="center"/>
          </w:tcPr>
          <w:p w14:paraId="141667AA" w14:textId="77777777" w:rsidR="003F3C34" w:rsidRPr="00C16A84" w:rsidRDefault="003F3C34" w:rsidP="008204DA">
            <w:pPr>
              <w:jc w:val="center"/>
              <w:rPr>
                <w:noProof/>
              </w:rPr>
            </w:pPr>
          </w:p>
        </w:tc>
        <w:tc>
          <w:tcPr>
            <w:tcW w:w="1560" w:type="dxa"/>
            <w:tcBorders>
              <w:top w:val="nil"/>
              <w:left w:val="nil"/>
              <w:right w:val="nil"/>
            </w:tcBorders>
          </w:tcPr>
          <w:p w14:paraId="3A9394DD" w14:textId="77777777" w:rsidR="003F3C34" w:rsidRPr="00C16A84" w:rsidRDefault="003F3C34" w:rsidP="008204DA">
            <w:pPr>
              <w:rPr>
                <w:noProof/>
                <w:sz w:val="20"/>
              </w:rPr>
            </w:pPr>
          </w:p>
        </w:tc>
        <w:tc>
          <w:tcPr>
            <w:tcW w:w="534" w:type="dxa"/>
            <w:tcBorders>
              <w:top w:val="nil"/>
              <w:left w:val="nil"/>
            </w:tcBorders>
          </w:tcPr>
          <w:p w14:paraId="4AC2AD4A" w14:textId="77777777" w:rsidR="003F3C34" w:rsidRPr="00C16A84" w:rsidRDefault="003F3C34" w:rsidP="008204DA">
            <w:pPr>
              <w:jc w:val="center"/>
              <w:rPr>
                <w:noProof/>
                <w:sz w:val="20"/>
              </w:rPr>
            </w:pPr>
          </w:p>
        </w:tc>
        <w:tc>
          <w:tcPr>
            <w:tcW w:w="868" w:type="dxa"/>
            <w:vAlign w:val="center"/>
          </w:tcPr>
          <w:p w14:paraId="297EC2E8" w14:textId="77777777" w:rsidR="003F3C34" w:rsidRPr="00C16A84" w:rsidRDefault="003F3C34" w:rsidP="008204DA">
            <w:pPr>
              <w:jc w:val="center"/>
              <w:rPr>
                <w:noProof/>
                <w:sz w:val="20"/>
              </w:rPr>
            </w:pPr>
            <w:r w:rsidRPr="00C16A84">
              <w:rPr>
                <w:noProof/>
                <w:sz w:val="20"/>
              </w:rPr>
              <w:t>Godina</w:t>
            </w:r>
            <w:r w:rsidRPr="00C16A84">
              <w:rPr>
                <w:noProof/>
              </w:rPr>
              <w:t xml:space="preserve"> </w:t>
            </w:r>
            <w:r w:rsidRPr="00C16A84">
              <w:rPr>
                <w:noProof/>
              </w:rPr>
              <w:br/>
            </w:r>
            <w:r w:rsidRPr="00C16A84">
              <w:rPr>
                <w:b/>
                <w:noProof/>
                <w:sz w:val="20"/>
              </w:rPr>
              <w:t>2023.</w:t>
            </w:r>
          </w:p>
        </w:tc>
        <w:tc>
          <w:tcPr>
            <w:tcW w:w="868" w:type="dxa"/>
            <w:vAlign w:val="center"/>
          </w:tcPr>
          <w:p w14:paraId="7F07FBA5" w14:textId="77777777" w:rsidR="003F3C34" w:rsidRPr="00C16A84" w:rsidRDefault="003F3C34" w:rsidP="008204DA">
            <w:pPr>
              <w:jc w:val="center"/>
              <w:rPr>
                <w:noProof/>
                <w:sz w:val="20"/>
              </w:rPr>
            </w:pPr>
            <w:r w:rsidRPr="00C16A84">
              <w:rPr>
                <w:noProof/>
                <w:sz w:val="20"/>
              </w:rPr>
              <w:t>Godina</w:t>
            </w:r>
            <w:r w:rsidRPr="00C16A84">
              <w:rPr>
                <w:noProof/>
              </w:rPr>
              <w:t xml:space="preserve"> </w:t>
            </w:r>
            <w:r w:rsidRPr="00C16A84">
              <w:rPr>
                <w:noProof/>
              </w:rPr>
              <w:br/>
            </w:r>
            <w:r w:rsidRPr="00C16A84">
              <w:rPr>
                <w:b/>
                <w:noProof/>
                <w:sz w:val="20"/>
              </w:rPr>
              <w:t>2024.</w:t>
            </w:r>
          </w:p>
        </w:tc>
        <w:tc>
          <w:tcPr>
            <w:tcW w:w="868" w:type="dxa"/>
            <w:vAlign w:val="center"/>
          </w:tcPr>
          <w:p w14:paraId="704DE013" w14:textId="77777777" w:rsidR="003F3C34" w:rsidRPr="00C16A84" w:rsidRDefault="003F3C34" w:rsidP="008204DA">
            <w:pPr>
              <w:jc w:val="center"/>
              <w:rPr>
                <w:b/>
                <w:bCs/>
                <w:noProof/>
                <w:sz w:val="20"/>
              </w:rPr>
            </w:pPr>
            <w:r w:rsidRPr="00C16A84">
              <w:rPr>
                <w:b/>
                <w:noProof/>
                <w:sz w:val="20"/>
              </w:rPr>
              <w:t>2025.</w:t>
            </w:r>
          </w:p>
        </w:tc>
        <w:tc>
          <w:tcPr>
            <w:tcW w:w="868" w:type="dxa"/>
            <w:vAlign w:val="center"/>
          </w:tcPr>
          <w:p w14:paraId="769A31E9" w14:textId="77777777" w:rsidR="003F3C34" w:rsidRPr="00C16A84" w:rsidRDefault="003F3C34" w:rsidP="008204DA">
            <w:pPr>
              <w:jc w:val="center"/>
              <w:rPr>
                <w:b/>
                <w:bCs/>
                <w:noProof/>
                <w:sz w:val="20"/>
              </w:rPr>
            </w:pPr>
            <w:r w:rsidRPr="00C16A84">
              <w:rPr>
                <w:b/>
                <w:noProof/>
                <w:sz w:val="20"/>
              </w:rPr>
              <w:t>2026.</w:t>
            </w:r>
          </w:p>
        </w:tc>
        <w:tc>
          <w:tcPr>
            <w:tcW w:w="868" w:type="dxa"/>
            <w:vAlign w:val="center"/>
          </w:tcPr>
          <w:p w14:paraId="14799EF9" w14:textId="77777777" w:rsidR="003F3C34" w:rsidRPr="00C16A84" w:rsidRDefault="003F3C34" w:rsidP="008204DA">
            <w:pPr>
              <w:jc w:val="center"/>
              <w:rPr>
                <w:b/>
                <w:bCs/>
                <w:noProof/>
                <w:sz w:val="18"/>
              </w:rPr>
            </w:pPr>
            <w:r w:rsidRPr="00C16A84">
              <w:rPr>
                <w:b/>
                <w:noProof/>
                <w:sz w:val="18"/>
              </w:rPr>
              <w:t>2027.</w:t>
            </w:r>
          </w:p>
        </w:tc>
        <w:tc>
          <w:tcPr>
            <w:tcW w:w="868" w:type="dxa"/>
            <w:vAlign w:val="center"/>
          </w:tcPr>
          <w:p w14:paraId="18D47C85" w14:textId="77777777" w:rsidR="003F3C34" w:rsidRPr="00C16A84" w:rsidRDefault="003F3C34" w:rsidP="008204DA">
            <w:pPr>
              <w:jc w:val="center"/>
              <w:rPr>
                <w:b/>
                <w:noProof/>
                <w:sz w:val="18"/>
              </w:rPr>
            </w:pPr>
          </w:p>
        </w:tc>
        <w:tc>
          <w:tcPr>
            <w:tcW w:w="868" w:type="dxa"/>
            <w:vAlign w:val="center"/>
          </w:tcPr>
          <w:p w14:paraId="2AB9A76D" w14:textId="77777777" w:rsidR="003F3C34" w:rsidRPr="00C16A84" w:rsidRDefault="003F3C34" w:rsidP="008204DA">
            <w:pPr>
              <w:jc w:val="center"/>
              <w:rPr>
                <w:b/>
                <w:noProof/>
                <w:sz w:val="18"/>
              </w:rPr>
            </w:pPr>
          </w:p>
        </w:tc>
        <w:tc>
          <w:tcPr>
            <w:tcW w:w="1777" w:type="dxa"/>
            <w:vAlign w:val="center"/>
          </w:tcPr>
          <w:p w14:paraId="2F58C169" w14:textId="77777777" w:rsidR="003F3C34" w:rsidRPr="00C16A84" w:rsidRDefault="003F3C34" w:rsidP="008204DA">
            <w:pPr>
              <w:jc w:val="center"/>
              <w:rPr>
                <w:b/>
                <w:noProof/>
                <w:sz w:val="20"/>
              </w:rPr>
            </w:pPr>
            <w:r w:rsidRPr="00C16A84">
              <w:rPr>
                <w:b/>
                <w:noProof/>
                <w:sz w:val="20"/>
              </w:rPr>
              <w:t>UKUPNO</w:t>
            </w:r>
          </w:p>
        </w:tc>
      </w:tr>
      <w:tr w:rsidR="003F3C34" w:rsidRPr="00C16A84" w14:paraId="2A505C24" w14:textId="77777777" w:rsidTr="008204DA">
        <w:trPr>
          <w:gridAfter w:val="10"/>
          <w:wAfter w:w="9947" w:type="dxa"/>
        </w:trPr>
        <w:tc>
          <w:tcPr>
            <w:tcW w:w="3960" w:type="dxa"/>
            <w:vAlign w:val="center"/>
          </w:tcPr>
          <w:p w14:paraId="658E9754" w14:textId="77777777" w:rsidR="003F3C34" w:rsidRPr="00C16A84" w:rsidRDefault="003F3C34" w:rsidP="008204DA">
            <w:pPr>
              <w:spacing w:before="60" w:after="60"/>
              <w:jc w:val="center"/>
              <w:rPr>
                <w:noProof/>
              </w:rPr>
            </w:pPr>
            <w:r w:rsidRPr="00C16A84">
              <w:rPr>
                <w:noProof/>
                <w:sz w:val="22"/>
              </w:rPr>
              <w:t>GU: EMPL</w:t>
            </w:r>
          </w:p>
        </w:tc>
      </w:tr>
      <w:tr w:rsidR="003F3C34" w:rsidRPr="00C16A84" w14:paraId="070F758A" w14:textId="77777777" w:rsidTr="008204DA">
        <w:trPr>
          <w:trHeight w:val="313"/>
        </w:trPr>
        <w:tc>
          <w:tcPr>
            <w:tcW w:w="6054" w:type="dxa"/>
            <w:gridSpan w:val="3"/>
            <w:vAlign w:val="center"/>
          </w:tcPr>
          <w:p w14:paraId="67EB96C2" w14:textId="77777777" w:rsidR="003F3C34" w:rsidRPr="00C16A84" w:rsidRDefault="003F3C34" w:rsidP="008204DA">
            <w:pPr>
              <w:spacing w:before="20" w:after="20"/>
              <w:rPr>
                <w:noProof/>
              </w:rPr>
            </w:pPr>
            <w:r w:rsidRPr="00C16A84">
              <w:rPr>
                <w:noProof/>
                <w:sz w:val="22"/>
              </w:rPr>
              <w:sym w:font="Wingdings" w:char="F09F"/>
            </w:r>
            <w:r w:rsidRPr="00C16A84">
              <w:rPr>
                <w:noProof/>
                <w:sz w:val="22"/>
              </w:rPr>
              <w:t xml:space="preserve"> Ljudski resursi </w:t>
            </w:r>
          </w:p>
        </w:tc>
        <w:tc>
          <w:tcPr>
            <w:tcW w:w="868" w:type="dxa"/>
            <w:vAlign w:val="center"/>
          </w:tcPr>
          <w:p w14:paraId="54038DD5" w14:textId="77777777" w:rsidR="003F3C34" w:rsidRPr="00C16A84" w:rsidRDefault="003F3C34" w:rsidP="008204DA">
            <w:pPr>
              <w:spacing w:before="20" w:after="20"/>
              <w:jc w:val="right"/>
              <w:rPr>
                <w:noProof/>
                <w:sz w:val="20"/>
              </w:rPr>
            </w:pPr>
            <w:r w:rsidRPr="00C16A84">
              <w:rPr>
                <w:noProof/>
                <w:sz w:val="20"/>
              </w:rPr>
              <w:t>0,342</w:t>
            </w:r>
          </w:p>
        </w:tc>
        <w:tc>
          <w:tcPr>
            <w:tcW w:w="868" w:type="dxa"/>
            <w:vAlign w:val="center"/>
          </w:tcPr>
          <w:p w14:paraId="2764F9CD" w14:textId="77777777" w:rsidR="003F3C34" w:rsidRPr="00C16A84" w:rsidRDefault="003F3C34" w:rsidP="008204DA">
            <w:pPr>
              <w:spacing w:before="20" w:after="20"/>
              <w:jc w:val="right"/>
              <w:rPr>
                <w:noProof/>
                <w:sz w:val="20"/>
              </w:rPr>
            </w:pPr>
            <w:r w:rsidRPr="00C16A84">
              <w:rPr>
                <w:noProof/>
                <w:sz w:val="20"/>
              </w:rPr>
              <w:t>0,342</w:t>
            </w:r>
          </w:p>
        </w:tc>
        <w:tc>
          <w:tcPr>
            <w:tcW w:w="868" w:type="dxa"/>
            <w:vAlign w:val="center"/>
          </w:tcPr>
          <w:p w14:paraId="67CFE3A5" w14:textId="77777777" w:rsidR="003F3C34" w:rsidRPr="00C16A84" w:rsidRDefault="003F3C34" w:rsidP="008204DA">
            <w:pPr>
              <w:spacing w:before="20" w:after="20"/>
              <w:jc w:val="right"/>
              <w:rPr>
                <w:noProof/>
                <w:sz w:val="20"/>
              </w:rPr>
            </w:pPr>
            <w:r w:rsidRPr="00C16A84">
              <w:rPr>
                <w:noProof/>
                <w:sz w:val="20"/>
              </w:rPr>
              <w:t>0,342</w:t>
            </w:r>
          </w:p>
        </w:tc>
        <w:tc>
          <w:tcPr>
            <w:tcW w:w="868" w:type="dxa"/>
            <w:vAlign w:val="center"/>
          </w:tcPr>
          <w:p w14:paraId="2D5D174B" w14:textId="77777777" w:rsidR="003F3C34" w:rsidRPr="00C16A84" w:rsidRDefault="003F3C34" w:rsidP="008204DA">
            <w:pPr>
              <w:spacing w:before="20" w:after="20"/>
              <w:jc w:val="right"/>
              <w:rPr>
                <w:noProof/>
                <w:sz w:val="20"/>
              </w:rPr>
            </w:pPr>
            <w:r w:rsidRPr="00C16A84">
              <w:rPr>
                <w:noProof/>
                <w:sz w:val="20"/>
              </w:rPr>
              <w:t>0,342</w:t>
            </w:r>
          </w:p>
        </w:tc>
        <w:tc>
          <w:tcPr>
            <w:tcW w:w="868" w:type="dxa"/>
            <w:vAlign w:val="center"/>
          </w:tcPr>
          <w:p w14:paraId="675376BB" w14:textId="77777777" w:rsidR="003F3C34" w:rsidRPr="00C16A84" w:rsidRDefault="003F3C34" w:rsidP="008204DA">
            <w:pPr>
              <w:spacing w:before="20" w:after="20"/>
              <w:jc w:val="right"/>
              <w:rPr>
                <w:noProof/>
                <w:sz w:val="20"/>
              </w:rPr>
            </w:pPr>
            <w:r w:rsidRPr="00C16A84">
              <w:rPr>
                <w:noProof/>
                <w:sz w:val="20"/>
              </w:rPr>
              <w:t>0,342</w:t>
            </w:r>
          </w:p>
        </w:tc>
        <w:tc>
          <w:tcPr>
            <w:tcW w:w="868" w:type="dxa"/>
            <w:vAlign w:val="center"/>
          </w:tcPr>
          <w:p w14:paraId="07FEBFA6" w14:textId="77777777" w:rsidR="003F3C34" w:rsidRPr="00C16A84" w:rsidRDefault="003F3C34" w:rsidP="008204DA">
            <w:pPr>
              <w:spacing w:before="20" w:after="20"/>
              <w:jc w:val="right"/>
              <w:rPr>
                <w:noProof/>
                <w:sz w:val="20"/>
              </w:rPr>
            </w:pPr>
          </w:p>
        </w:tc>
        <w:tc>
          <w:tcPr>
            <w:tcW w:w="868" w:type="dxa"/>
            <w:vAlign w:val="center"/>
          </w:tcPr>
          <w:p w14:paraId="530B035E" w14:textId="77777777" w:rsidR="003F3C34" w:rsidRPr="00C16A84" w:rsidRDefault="003F3C34" w:rsidP="008204DA">
            <w:pPr>
              <w:spacing w:before="20" w:after="20"/>
              <w:jc w:val="right"/>
              <w:rPr>
                <w:b/>
                <w:noProof/>
                <w:sz w:val="20"/>
              </w:rPr>
            </w:pPr>
          </w:p>
        </w:tc>
        <w:tc>
          <w:tcPr>
            <w:tcW w:w="1777" w:type="dxa"/>
            <w:vAlign w:val="center"/>
          </w:tcPr>
          <w:p w14:paraId="688D1299" w14:textId="77777777" w:rsidR="003F3C34" w:rsidRPr="00C16A84" w:rsidRDefault="00D076C8" w:rsidP="008204DA">
            <w:pPr>
              <w:spacing w:before="20" w:after="20"/>
              <w:jc w:val="right"/>
              <w:rPr>
                <w:b/>
                <w:noProof/>
                <w:sz w:val="20"/>
              </w:rPr>
            </w:pPr>
            <w:r w:rsidRPr="00C16A84">
              <w:rPr>
                <w:b/>
                <w:noProof/>
                <w:sz w:val="20"/>
              </w:rPr>
              <w:t>1,710</w:t>
            </w:r>
          </w:p>
        </w:tc>
      </w:tr>
      <w:tr w:rsidR="003F3C34" w:rsidRPr="00C16A84" w14:paraId="6058DFE8" w14:textId="77777777" w:rsidTr="008204DA">
        <w:trPr>
          <w:trHeight w:val="351"/>
        </w:trPr>
        <w:tc>
          <w:tcPr>
            <w:tcW w:w="6054" w:type="dxa"/>
            <w:gridSpan w:val="3"/>
            <w:vAlign w:val="center"/>
          </w:tcPr>
          <w:p w14:paraId="771CEF91" w14:textId="77777777" w:rsidR="003F3C34" w:rsidRPr="00C16A84" w:rsidRDefault="003F3C34" w:rsidP="008204DA">
            <w:pPr>
              <w:spacing w:before="20" w:after="20"/>
              <w:rPr>
                <w:noProof/>
              </w:rPr>
            </w:pPr>
            <w:r w:rsidRPr="00C16A84">
              <w:rPr>
                <w:noProof/>
                <w:sz w:val="22"/>
              </w:rPr>
              <w:sym w:font="Wingdings" w:char="F09F"/>
            </w:r>
            <w:r w:rsidRPr="00C16A84">
              <w:rPr>
                <w:noProof/>
              </w:rPr>
              <w:t xml:space="preserve"> </w:t>
            </w:r>
            <w:r w:rsidRPr="00C16A84">
              <w:rPr>
                <w:noProof/>
                <w:sz w:val="22"/>
              </w:rPr>
              <w:t xml:space="preserve">Ostali administrativni rashodi </w:t>
            </w:r>
          </w:p>
        </w:tc>
        <w:tc>
          <w:tcPr>
            <w:tcW w:w="868" w:type="dxa"/>
            <w:vAlign w:val="center"/>
          </w:tcPr>
          <w:p w14:paraId="2C1F95F9" w14:textId="77777777" w:rsidR="003F3C34" w:rsidRPr="00C16A84" w:rsidRDefault="003F3C34" w:rsidP="008204DA">
            <w:pPr>
              <w:spacing w:before="20" w:after="20"/>
              <w:jc w:val="right"/>
              <w:rPr>
                <w:b/>
                <w:noProof/>
                <w:sz w:val="20"/>
              </w:rPr>
            </w:pPr>
          </w:p>
        </w:tc>
        <w:tc>
          <w:tcPr>
            <w:tcW w:w="868" w:type="dxa"/>
            <w:vAlign w:val="center"/>
          </w:tcPr>
          <w:p w14:paraId="52C93484" w14:textId="77777777" w:rsidR="003F3C34" w:rsidRPr="00C16A84" w:rsidRDefault="003F3C34" w:rsidP="008204DA">
            <w:pPr>
              <w:spacing w:before="20" w:after="20"/>
              <w:jc w:val="right"/>
              <w:rPr>
                <w:b/>
                <w:noProof/>
                <w:sz w:val="20"/>
              </w:rPr>
            </w:pPr>
          </w:p>
        </w:tc>
        <w:tc>
          <w:tcPr>
            <w:tcW w:w="868" w:type="dxa"/>
            <w:vAlign w:val="center"/>
          </w:tcPr>
          <w:p w14:paraId="0BF09B9A" w14:textId="77777777" w:rsidR="003F3C34" w:rsidRPr="00C16A84" w:rsidRDefault="003F3C34" w:rsidP="008204DA">
            <w:pPr>
              <w:spacing w:before="20" w:after="20"/>
              <w:jc w:val="right"/>
              <w:rPr>
                <w:b/>
                <w:noProof/>
                <w:sz w:val="20"/>
              </w:rPr>
            </w:pPr>
          </w:p>
        </w:tc>
        <w:tc>
          <w:tcPr>
            <w:tcW w:w="868" w:type="dxa"/>
            <w:vAlign w:val="center"/>
          </w:tcPr>
          <w:p w14:paraId="288E08C9" w14:textId="77777777" w:rsidR="003F3C34" w:rsidRPr="00C16A84" w:rsidRDefault="003F3C34" w:rsidP="008204DA">
            <w:pPr>
              <w:spacing w:before="20" w:after="20"/>
              <w:jc w:val="right"/>
              <w:rPr>
                <w:b/>
                <w:noProof/>
                <w:sz w:val="20"/>
              </w:rPr>
            </w:pPr>
          </w:p>
        </w:tc>
        <w:tc>
          <w:tcPr>
            <w:tcW w:w="868" w:type="dxa"/>
            <w:vAlign w:val="center"/>
          </w:tcPr>
          <w:p w14:paraId="6BF3D671" w14:textId="77777777" w:rsidR="003F3C34" w:rsidRPr="00C16A84" w:rsidRDefault="003F3C34" w:rsidP="008204DA">
            <w:pPr>
              <w:spacing w:before="20" w:after="20"/>
              <w:jc w:val="right"/>
              <w:rPr>
                <w:b/>
                <w:noProof/>
                <w:sz w:val="20"/>
              </w:rPr>
            </w:pPr>
          </w:p>
        </w:tc>
        <w:tc>
          <w:tcPr>
            <w:tcW w:w="868" w:type="dxa"/>
            <w:vAlign w:val="center"/>
          </w:tcPr>
          <w:p w14:paraId="04769B93" w14:textId="77777777" w:rsidR="003F3C34" w:rsidRPr="00C16A84" w:rsidRDefault="003F3C34" w:rsidP="008204DA">
            <w:pPr>
              <w:spacing w:before="20" w:after="20"/>
              <w:jc w:val="right"/>
              <w:rPr>
                <w:b/>
                <w:noProof/>
                <w:sz w:val="20"/>
              </w:rPr>
            </w:pPr>
          </w:p>
        </w:tc>
        <w:tc>
          <w:tcPr>
            <w:tcW w:w="868" w:type="dxa"/>
            <w:vAlign w:val="center"/>
          </w:tcPr>
          <w:p w14:paraId="553B06E1" w14:textId="77777777" w:rsidR="003F3C34" w:rsidRPr="00C16A84" w:rsidRDefault="003F3C34" w:rsidP="008204DA">
            <w:pPr>
              <w:spacing w:before="20" w:after="20"/>
              <w:jc w:val="right"/>
              <w:rPr>
                <w:b/>
                <w:noProof/>
                <w:sz w:val="20"/>
              </w:rPr>
            </w:pPr>
          </w:p>
        </w:tc>
        <w:tc>
          <w:tcPr>
            <w:tcW w:w="1777" w:type="dxa"/>
            <w:vAlign w:val="center"/>
          </w:tcPr>
          <w:p w14:paraId="5483D395" w14:textId="77777777" w:rsidR="003F3C34" w:rsidRPr="00C16A84" w:rsidRDefault="003F3C34" w:rsidP="008204DA">
            <w:pPr>
              <w:spacing w:before="20" w:after="20"/>
              <w:jc w:val="right"/>
              <w:rPr>
                <w:b/>
                <w:noProof/>
                <w:sz w:val="20"/>
              </w:rPr>
            </w:pPr>
          </w:p>
        </w:tc>
      </w:tr>
      <w:tr w:rsidR="003F3C34" w:rsidRPr="00C16A84" w14:paraId="519D6384" w14:textId="77777777" w:rsidTr="008204DA">
        <w:tc>
          <w:tcPr>
            <w:tcW w:w="3960" w:type="dxa"/>
            <w:vAlign w:val="center"/>
          </w:tcPr>
          <w:p w14:paraId="4C92ACE2" w14:textId="77777777" w:rsidR="003F3C34" w:rsidRPr="00C16A84" w:rsidRDefault="003F3C34" w:rsidP="008204DA">
            <w:pPr>
              <w:jc w:val="center"/>
              <w:rPr>
                <w:b/>
                <w:noProof/>
              </w:rPr>
            </w:pPr>
            <w:r w:rsidRPr="00C16A84">
              <w:rPr>
                <w:b/>
                <w:noProof/>
                <w:sz w:val="22"/>
              </w:rPr>
              <w:t>UKUPNO GU</w:t>
            </w:r>
            <w:r w:rsidRPr="00C16A84">
              <w:rPr>
                <w:noProof/>
                <w:sz w:val="22"/>
              </w:rPr>
              <w:t xml:space="preserve"> EMPL</w:t>
            </w:r>
          </w:p>
        </w:tc>
        <w:tc>
          <w:tcPr>
            <w:tcW w:w="2094" w:type="dxa"/>
            <w:gridSpan w:val="2"/>
            <w:vAlign w:val="center"/>
          </w:tcPr>
          <w:p w14:paraId="31FF3FA1" w14:textId="77777777" w:rsidR="003F3C34" w:rsidRPr="00C16A84" w:rsidRDefault="003F3C34" w:rsidP="008204DA">
            <w:pPr>
              <w:rPr>
                <w:noProof/>
                <w:sz w:val="14"/>
              </w:rPr>
            </w:pPr>
            <w:r w:rsidRPr="00C16A84">
              <w:rPr>
                <w:noProof/>
                <w:sz w:val="18"/>
              </w:rPr>
              <w:t xml:space="preserve">Odobrena sredstva </w:t>
            </w:r>
          </w:p>
        </w:tc>
        <w:tc>
          <w:tcPr>
            <w:tcW w:w="868" w:type="dxa"/>
            <w:vAlign w:val="center"/>
          </w:tcPr>
          <w:p w14:paraId="2838E20D" w14:textId="77777777" w:rsidR="003F3C34" w:rsidRPr="00C16A84" w:rsidRDefault="003F3C34" w:rsidP="008204DA">
            <w:pPr>
              <w:spacing w:before="60" w:after="60"/>
              <w:jc w:val="right"/>
              <w:rPr>
                <w:noProof/>
                <w:sz w:val="20"/>
              </w:rPr>
            </w:pPr>
            <w:r w:rsidRPr="00C16A84">
              <w:rPr>
                <w:noProof/>
                <w:sz w:val="20"/>
              </w:rPr>
              <w:t>0,342</w:t>
            </w:r>
          </w:p>
        </w:tc>
        <w:tc>
          <w:tcPr>
            <w:tcW w:w="868" w:type="dxa"/>
            <w:vAlign w:val="center"/>
          </w:tcPr>
          <w:p w14:paraId="2944C90B" w14:textId="77777777" w:rsidR="003F3C34" w:rsidRPr="00C16A84" w:rsidRDefault="003F3C34" w:rsidP="008204DA">
            <w:pPr>
              <w:spacing w:before="20" w:after="20"/>
              <w:jc w:val="right"/>
              <w:rPr>
                <w:noProof/>
                <w:sz w:val="20"/>
              </w:rPr>
            </w:pPr>
            <w:r w:rsidRPr="00C16A84">
              <w:rPr>
                <w:noProof/>
                <w:sz w:val="20"/>
              </w:rPr>
              <w:t>0,342</w:t>
            </w:r>
          </w:p>
        </w:tc>
        <w:tc>
          <w:tcPr>
            <w:tcW w:w="868" w:type="dxa"/>
            <w:vAlign w:val="center"/>
          </w:tcPr>
          <w:p w14:paraId="4EE166F0" w14:textId="77777777" w:rsidR="003F3C34" w:rsidRPr="00C16A84" w:rsidRDefault="003F3C34" w:rsidP="008204DA">
            <w:pPr>
              <w:spacing w:before="20" w:after="20"/>
              <w:jc w:val="right"/>
              <w:rPr>
                <w:noProof/>
                <w:sz w:val="20"/>
              </w:rPr>
            </w:pPr>
            <w:r w:rsidRPr="00C16A84">
              <w:rPr>
                <w:noProof/>
                <w:sz w:val="20"/>
              </w:rPr>
              <w:t>0,342</w:t>
            </w:r>
          </w:p>
        </w:tc>
        <w:tc>
          <w:tcPr>
            <w:tcW w:w="868" w:type="dxa"/>
            <w:vAlign w:val="center"/>
          </w:tcPr>
          <w:p w14:paraId="3836EB04" w14:textId="77777777" w:rsidR="003F3C34" w:rsidRPr="00C16A84" w:rsidRDefault="003F3C34" w:rsidP="008204DA">
            <w:pPr>
              <w:spacing w:before="20" w:after="20"/>
              <w:jc w:val="right"/>
              <w:rPr>
                <w:noProof/>
                <w:sz w:val="20"/>
              </w:rPr>
            </w:pPr>
            <w:r w:rsidRPr="00C16A84">
              <w:rPr>
                <w:noProof/>
                <w:sz w:val="20"/>
              </w:rPr>
              <w:t>0,342</w:t>
            </w:r>
          </w:p>
        </w:tc>
        <w:tc>
          <w:tcPr>
            <w:tcW w:w="868" w:type="dxa"/>
            <w:vAlign w:val="center"/>
          </w:tcPr>
          <w:p w14:paraId="2DE2CC86" w14:textId="77777777" w:rsidR="003F3C34" w:rsidRPr="00C16A84" w:rsidRDefault="003F3C34" w:rsidP="008204DA">
            <w:pPr>
              <w:spacing w:before="20" w:after="20"/>
              <w:jc w:val="right"/>
              <w:rPr>
                <w:noProof/>
                <w:sz w:val="20"/>
              </w:rPr>
            </w:pPr>
            <w:r w:rsidRPr="00C16A84">
              <w:rPr>
                <w:noProof/>
                <w:sz w:val="20"/>
              </w:rPr>
              <w:t>0,342</w:t>
            </w:r>
          </w:p>
        </w:tc>
        <w:tc>
          <w:tcPr>
            <w:tcW w:w="868" w:type="dxa"/>
            <w:vAlign w:val="center"/>
          </w:tcPr>
          <w:p w14:paraId="70CD02E0" w14:textId="77777777" w:rsidR="003F3C34" w:rsidRPr="00C16A84" w:rsidRDefault="003F3C34" w:rsidP="008204DA">
            <w:pPr>
              <w:spacing w:before="20" w:after="20"/>
              <w:jc w:val="right"/>
              <w:rPr>
                <w:noProof/>
                <w:sz w:val="20"/>
              </w:rPr>
            </w:pPr>
          </w:p>
        </w:tc>
        <w:tc>
          <w:tcPr>
            <w:tcW w:w="868" w:type="dxa"/>
            <w:vAlign w:val="center"/>
          </w:tcPr>
          <w:p w14:paraId="03F42F2F" w14:textId="77777777" w:rsidR="003F3C34" w:rsidRPr="00C16A84" w:rsidRDefault="003F3C34" w:rsidP="008204DA">
            <w:pPr>
              <w:spacing w:before="20" w:after="20"/>
              <w:jc w:val="right"/>
              <w:rPr>
                <w:b/>
                <w:noProof/>
                <w:sz w:val="20"/>
              </w:rPr>
            </w:pPr>
          </w:p>
        </w:tc>
        <w:tc>
          <w:tcPr>
            <w:tcW w:w="1777" w:type="dxa"/>
            <w:vAlign w:val="center"/>
          </w:tcPr>
          <w:p w14:paraId="49C2CF74" w14:textId="77777777" w:rsidR="003F3C34" w:rsidRPr="00C16A84" w:rsidRDefault="00D076C8" w:rsidP="008204DA">
            <w:pPr>
              <w:spacing w:before="20" w:after="20"/>
              <w:jc w:val="right"/>
              <w:rPr>
                <w:b/>
                <w:noProof/>
                <w:sz w:val="20"/>
              </w:rPr>
            </w:pPr>
            <w:r w:rsidRPr="00C16A84">
              <w:rPr>
                <w:b/>
                <w:noProof/>
                <w:sz w:val="20"/>
              </w:rPr>
              <w:t>1,710</w:t>
            </w:r>
          </w:p>
        </w:tc>
      </w:tr>
    </w:tbl>
    <w:p w14:paraId="1DFF98A5" w14:textId="77777777" w:rsidR="003F3C34" w:rsidRPr="00C16A84" w:rsidRDefault="003F3C34" w:rsidP="003F3C34">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3F3C34" w:rsidRPr="00C16A84" w14:paraId="1A644FC3" w14:textId="77777777" w:rsidTr="008204DA">
        <w:tc>
          <w:tcPr>
            <w:tcW w:w="3960" w:type="dxa"/>
            <w:shd w:val="thinDiagStripe" w:color="C0C0C0" w:fill="auto"/>
            <w:vAlign w:val="center"/>
          </w:tcPr>
          <w:p w14:paraId="718FB5AD" w14:textId="77777777" w:rsidR="003F3C34" w:rsidRPr="00C16A84" w:rsidRDefault="003F3C34" w:rsidP="008204DA">
            <w:pPr>
              <w:jc w:val="center"/>
              <w:rPr>
                <w:b/>
                <w:noProof/>
              </w:rPr>
            </w:pPr>
            <w:r w:rsidRPr="00C16A84">
              <w:rPr>
                <w:b/>
                <w:noProof/>
                <w:sz w:val="22"/>
              </w:rPr>
              <w:t>UKUPNA odobrena sredstva</w:t>
            </w:r>
            <w:r w:rsidRPr="00C16A84">
              <w:rPr>
                <w:noProof/>
              </w:rPr>
              <w:t xml:space="preserve"> </w:t>
            </w:r>
            <w:r w:rsidRPr="00C16A84">
              <w:rPr>
                <w:noProof/>
              </w:rPr>
              <w:br/>
            </w:r>
            <w:r w:rsidRPr="00C16A84">
              <w:rPr>
                <w:b/>
                <w:noProof/>
                <w:sz w:val="22"/>
              </w:rPr>
              <w:t>iz NASLOVA 7.</w:t>
            </w:r>
            <w:r w:rsidRPr="00C16A84">
              <w:rPr>
                <w:noProof/>
              </w:rPr>
              <w:t xml:space="preserve"> </w:t>
            </w:r>
            <w:r w:rsidRPr="00C16A84">
              <w:rPr>
                <w:noProof/>
              </w:rPr>
              <w:br/>
            </w:r>
            <w:r w:rsidRPr="00C16A84">
              <w:rPr>
                <w:noProof/>
                <w:sz w:val="22"/>
              </w:rPr>
              <w:t>višegodišnjeg financijskog okvira</w:t>
            </w:r>
            <w:r w:rsidRPr="00C16A84">
              <w:rPr>
                <w:b/>
                <w:noProof/>
                <w:sz w:val="22"/>
              </w:rPr>
              <w:t xml:space="preserve"> </w:t>
            </w:r>
          </w:p>
        </w:tc>
        <w:tc>
          <w:tcPr>
            <w:tcW w:w="2094" w:type="dxa"/>
            <w:vAlign w:val="center"/>
          </w:tcPr>
          <w:p w14:paraId="31398F7B" w14:textId="77777777" w:rsidR="003F3C34" w:rsidRPr="00C16A84" w:rsidRDefault="003F3C34" w:rsidP="008204DA">
            <w:pPr>
              <w:spacing w:before="40" w:after="40"/>
              <w:rPr>
                <w:noProof/>
              </w:rPr>
            </w:pPr>
            <w:r w:rsidRPr="00C16A84">
              <w:rPr>
                <w:noProof/>
                <w:sz w:val="18"/>
              </w:rPr>
              <w:t>(ukupne obveze = ukupna plaćanja)</w:t>
            </w:r>
          </w:p>
        </w:tc>
        <w:tc>
          <w:tcPr>
            <w:tcW w:w="868" w:type="dxa"/>
            <w:vAlign w:val="center"/>
          </w:tcPr>
          <w:p w14:paraId="08422F3D" w14:textId="77777777" w:rsidR="003F3C34" w:rsidRPr="00C16A84" w:rsidRDefault="00D076C8" w:rsidP="008204DA">
            <w:pPr>
              <w:spacing w:before="20" w:after="20"/>
              <w:jc w:val="right"/>
              <w:rPr>
                <w:noProof/>
                <w:sz w:val="20"/>
              </w:rPr>
            </w:pPr>
            <w:r w:rsidRPr="00C16A84">
              <w:rPr>
                <w:noProof/>
                <w:sz w:val="20"/>
              </w:rPr>
              <w:t>0,342</w:t>
            </w:r>
          </w:p>
        </w:tc>
        <w:tc>
          <w:tcPr>
            <w:tcW w:w="868" w:type="dxa"/>
            <w:vAlign w:val="center"/>
          </w:tcPr>
          <w:p w14:paraId="6E1AEA8F" w14:textId="77777777" w:rsidR="003F3C34" w:rsidRPr="00C16A84" w:rsidRDefault="00D076C8" w:rsidP="008204DA">
            <w:pPr>
              <w:spacing w:before="20" w:after="20"/>
              <w:jc w:val="right"/>
              <w:rPr>
                <w:noProof/>
                <w:sz w:val="20"/>
              </w:rPr>
            </w:pPr>
            <w:r w:rsidRPr="00C16A84">
              <w:rPr>
                <w:noProof/>
                <w:sz w:val="20"/>
              </w:rPr>
              <w:t>0,342</w:t>
            </w:r>
          </w:p>
        </w:tc>
        <w:tc>
          <w:tcPr>
            <w:tcW w:w="868" w:type="dxa"/>
            <w:vAlign w:val="center"/>
          </w:tcPr>
          <w:p w14:paraId="19A56105" w14:textId="77777777" w:rsidR="003F3C34" w:rsidRPr="00C16A84" w:rsidRDefault="00D076C8" w:rsidP="008204DA">
            <w:pPr>
              <w:spacing w:before="20" w:after="20"/>
              <w:jc w:val="right"/>
              <w:rPr>
                <w:noProof/>
                <w:sz w:val="20"/>
              </w:rPr>
            </w:pPr>
            <w:r w:rsidRPr="00C16A84">
              <w:rPr>
                <w:noProof/>
                <w:sz w:val="20"/>
              </w:rPr>
              <w:t>0,342</w:t>
            </w:r>
          </w:p>
        </w:tc>
        <w:tc>
          <w:tcPr>
            <w:tcW w:w="868" w:type="dxa"/>
            <w:vAlign w:val="center"/>
          </w:tcPr>
          <w:p w14:paraId="7887B409" w14:textId="77777777" w:rsidR="003F3C34" w:rsidRPr="00C16A84" w:rsidRDefault="00D076C8" w:rsidP="008204DA">
            <w:pPr>
              <w:spacing w:before="20" w:after="20"/>
              <w:jc w:val="right"/>
              <w:rPr>
                <w:noProof/>
                <w:sz w:val="20"/>
              </w:rPr>
            </w:pPr>
            <w:r w:rsidRPr="00C16A84">
              <w:rPr>
                <w:noProof/>
                <w:sz w:val="20"/>
              </w:rPr>
              <w:t>0,342</w:t>
            </w:r>
          </w:p>
        </w:tc>
        <w:tc>
          <w:tcPr>
            <w:tcW w:w="868" w:type="dxa"/>
            <w:vAlign w:val="center"/>
          </w:tcPr>
          <w:p w14:paraId="0912B875" w14:textId="77777777" w:rsidR="003F3C34" w:rsidRPr="00C16A84" w:rsidRDefault="00D076C8" w:rsidP="008204DA">
            <w:pPr>
              <w:spacing w:before="20" w:after="20"/>
              <w:jc w:val="right"/>
              <w:rPr>
                <w:noProof/>
                <w:sz w:val="20"/>
              </w:rPr>
            </w:pPr>
            <w:r w:rsidRPr="00C16A84">
              <w:rPr>
                <w:noProof/>
                <w:sz w:val="20"/>
              </w:rPr>
              <w:t>0,342</w:t>
            </w:r>
          </w:p>
        </w:tc>
        <w:tc>
          <w:tcPr>
            <w:tcW w:w="868" w:type="dxa"/>
            <w:vAlign w:val="center"/>
          </w:tcPr>
          <w:p w14:paraId="2E3B054C" w14:textId="77777777" w:rsidR="003F3C34" w:rsidRPr="00C16A84" w:rsidRDefault="003F3C34" w:rsidP="008204DA">
            <w:pPr>
              <w:spacing w:before="20" w:after="20"/>
              <w:jc w:val="right"/>
              <w:rPr>
                <w:noProof/>
                <w:sz w:val="20"/>
              </w:rPr>
            </w:pPr>
          </w:p>
        </w:tc>
        <w:tc>
          <w:tcPr>
            <w:tcW w:w="868" w:type="dxa"/>
            <w:vAlign w:val="center"/>
          </w:tcPr>
          <w:p w14:paraId="2946EF34" w14:textId="77777777" w:rsidR="003F3C34" w:rsidRPr="00C16A84" w:rsidRDefault="003F3C34" w:rsidP="008204DA">
            <w:pPr>
              <w:spacing w:before="20" w:after="20"/>
              <w:jc w:val="right"/>
              <w:rPr>
                <w:b/>
                <w:noProof/>
                <w:sz w:val="20"/>
              </w:rPr>
            </w:pPr>
          </w:p>
        </w:tc>
        <w:tc>
          <w:tcPr>
            <w:tcW w:w="1777" w:type="dxa"/>
            <w:vAlign w:val="center"/>
          </w:tcPr>
          <w:p w14:paraId="21537961" w14:textId="77777777" w:rsidR="003F3C34" w:rsidRPr="00C16A84" w:rsidRDefault="00D076C8" w:rsidP="008204DA">
            <w:pPr>
              <w:spacing w:before="20" w:after="20"/>
              <w:jc w:val="right"/>
              <w:rPr>
                <w:b/>
                <w:noProof/>
                <w:sz w:val="20"/>
              </w:rPr>
            </w:pPr>
            <w:r w:rsidRPr="00C16A84">
              <w:rPr>
                <w:b/>
                <w:noProof/>
                <w:sz w:val="20"/>
              </w:rPr>
              <w:t>1,710</w:t>
            </w:r>
          </w:p>
        </w:tc>
      </w:tr>
    </w:tbl>
    <w:p w14:paraId="1554B74C" w14:textId="77777777" w:rsidR="003F3C34" w:rsidRPr="00C16A84" w:rsidRDefault="003F3C34" w:rsidP="003F3C34">
      <w:pPr>
        <w:jc w:val="right"/>
        <w:rPr>
          <w:noProof/>
          <w:sz w:val="20"/>
        </w:rPr>
      </w:pPr>
      <w:r w:rsidRPr="00C16A84">
        <w:rPr>
          <w:noProof/>
          <w:sz w:val="20"/>
        </w:rPr>
        <w:t>U milijunima EUR (do 3 decimalna mjesta)</w:t>
      </w:r>
    </w:p>
    <w:tbl>
      <w:tblPr>
        <w:tblW w:w="148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99"/>
        <w:gridCol w:w="899"/>
        <w:gridCol w:w="899"/>
        <w:gridCol w:w="899"/>
        <w:gridCol w:w="1777"/>
      </w:tblGrid>
      <w:tr w:rsidR="003F3C34" w:rsidRPr="00C16A84" w14:paraId="250E0DB0" w14:textId="77777777" w:rsidTr="008204DA">
        <w:tc>
          <w:tcPr>
            <w:tcW w:w="3960" w:type="dxa"/>
            <w:tcBorders>
              <w:top w:val="nil"/>
              <w:left w:val="nil"/>
              <w:right w:val="nil"/>
            </w:tcBorders>
            <w:vAlign w:val="center"/>
          </w:tcPr>
          <w:p w14:paraId="6E088EB6" w14:textId="77777777" w:rsidR="003F3C34" w:rsidRPr="00C16A84" w:rsidRDefault="003F3C34" w:rsidP="008204DA">
            <w:pPr>
              <w:jc w:val="center"/>
              <w:rPr>
                <w:noProof/>
              </w:rPr>
            </w:pPr>
          </w:p>
        </w:tc>
        <w:tc>
          <w:tcPr>
            <w:tcW w:w="1560" w:type="dxa"/>
            <w:tcBorders>
              <w:top w:val="nil"/>
              <w:left w:val="nil"/>
              <w:right w:val="nil"/>
            </w:tcBorders>
          </w:tcPr>
          <w:p w14:paraId="5957CD7C" w14:textId="77777777" w:rsidR="003F3C34" w:rsidRPr="00C16A84" w:rsidRDefault="003F3C34" w:rsidP="008204DA">
            <w:pPr>
              <w:rPr>
                <w:noProof/>
                <w:sz w:val="20"/>
              </w:rPr>
            </w:pPr>
          </w:p>
        </w:tc>
        <w:tc>
          <w:tcPr>
            <w:tcW w:w="534" w:type="dxa"/>
            <w:tcBorders>
              <w:top w:val="nil"/>
              <w:left w:val="nil"/>
            </w:tcBorders>
          </w:tcPr>
          <w:p w14:paraId="1872E125" w14:textId="77777777" w:rsidR="003F3C34" w:rsidRPr="00C16A84" w:rsidRDefault="003F3C34" w:rsidP="008204DA">
            <w:pPr>
              <w:jc w:val="center"/>
              <w:rPr>
                <w:noProof/>
                <w:sz w:val="20"/>
              </w:rPr>
            </w:pPr>
          </w:p>
        </w:tc>
        <w:tc>
          <w:tcPr>
            <w:tcW w:w="868" w:type="dxa"/>
            <w:vAlign w:val="center"/>
          </w:tcPr>
          <w:p w14:paraId="0A340CC8" w14:textId="77777777" w:rsidR="003F3C34" w:rsidRPr="00C16A84" w:rsidRDefault="003F3C34" w:rsidP="008204DA">
            <w:pPr>
              <w:jc w:val="center"/>
              <w:rPr>
                <w:noProof/>
                <w:sz w:val="20"/>
              </w:rPr>
            </w:pPr>
            <w:r w:rsidRPr="00C16A84">
              <w:rPr>
                <w:noProof/>
                <w:sz w:val="20"/>
              </w:rPr>
              <w:t>Godina</w:t>
            </w:r>
            <w:r w:rsidRPr="00C16A84">
              <w:rPr>
                <w:noProof/>
              </w:rPr>
              <w:t xml:space="preserve"> </w:t>
            </w:r>
            <w:r w:rsidRPr="00C16A84">
              <w:rPr>
                <w:noProof/>
              </w:rPr>
              <w:br/>
            </w:r>
            <w:r w:rsidRPr="00C16A84">
              <w:rPr>
                <w:b/>
                <w:noProof/>
                <w:sz w:val="20"/>
              </w:rPr>
              <w:t>2023.</w:t>
            </w:r>
          </w:p>
        </w:tc>
        <w:tc>
          <w:tcPr>
            <w:tcW w:w="868" w:type="dxa"/>
            <w:vAlign w:val="center"/>
          </w:tcPr>
          <w:p w14:paraId="09DAFAF3" w14:textId="77777777" w:rsidR="003F3C34" w:rsidRPr="00C16A84" w:rsidRDefault="003F3C34" w:rsidP="008204DA">
            <w:pPr>
              <w:jc w:val="center"/>
              <w:rPr>
                <w:noProof/>
                <w:sz w:val="20"/>
              </w:rPr>
            </w:pPr>
            <w:r w:rsidRPr="00C16A84">
              <w:rPr>
                <w:noProof/>
                <w:sz w:val="20"/>
              </w:rPr>
              <w:t>Godina</w:t>
            </w:r>
            <w:r w:rsidRPr="00C16A84">
              <w:rPr>
                <w:noProof/>
              </w:rPr>
              <w:t xml:space="preserve"> </w:t>
            </w:r>
            <w:r w:rsidRPr="00C16A84">
              <w:rPr>
                <w:noProof/>
              </w:rPr>
              <w:br/>
            </w:r>
            <w:r w:rsidRPr="00C16A84">
              <w:rPr>
                <w:b/>
                <w:noProof/>
                <w:sz w:val="20"/>
              </w:rPr>
              <w:t>2024.</w:t>
            </w:r>
          </w:p>
        </w:tc>
        <w:tc>
          <w:tcPr>
            <w:tcW w:w="868" w:type="dxa"/>
            <w:vAlign w:val="center"/>
          </w:tcPr>
          <w:p w14:paraId="30D9E8C9" w14:textId="77777777" w:rsidR="003F3C34" w:rsidRPr="00C16A84" w:rsidRDefault="003F3C34" w:rsidP="008204DA">
            <w:pPr>
              <w:jc w:val="center"/>
              <w:rPr>
                <w:noProof/>
                <w:sz w:val="20"/>
              </w:rPr>
            </w:pPr>
            <w:r w:rsidRPr="00C16A84">
              <w:rPr>
                <w:noProof/>
                <w:sz w:val="20"/>
              </w:rPr>
              <w:t>Godina</w:t>
            </w:r>
            <w:r w:rsidRPr="00C16A84">
              <w:rPr>
                <w:noProof/>
              </w:rPr>
              <w:t xml:space="preserve"> </w:t>
            </w:r>
            <w:r w:rsidRPr="00C16A84">
              <w:rPr>
                <w:noProof/>
              </w:rPr>
              <w:br/>
            </w:r>
            <w:r w:rsidRPr="00C16A84">
              <w:rPr>
                <w:b/>
                <w:noProof/>
                <w:sz w:val="20"/>
              </w:rPr>
              <w:t>2025.</w:t>
            </w:r>
          </w:p>
        </w:tc>
        <w:tc>
          <w:tcPr>
            <w:tcW w:w="868" w:type="dxa"/>
            <w:vAlign w:val="center"/>
          </w:tcPr>
          <w:p w14:paraId="32C43CD0" w14:textId="77777777" w:rsidR="003F3C34" w:rsidRPr="00C16A84" w:rsidRDefault="003F3C34" w:rsidP="008204DA">
            <w:pPr>
              <w:jc w:val="center"/>
              <w:rPr>
                <w:noProof/>
                <w:sz w:val="20"/>
              </w:rPr>
            </w:pPr>
            <w:r w:rsidRPr="00C16A84">
              <w:rPr>
                <w:noProof/>
                <w:sz w:val="20"/>
              </w:rPr>
              <w:t>Godina</w:t>
            </w:r>
            <w:r w:rsidRPr="00C16A84">
              <w:rPr>
                <w:noProof/>
              </w:rPr>
              <w:t xml:space="preserve"> </w:t>
            </w:r>
            <w:r w:rsidRPr="00C16A84">
              <w:rPr>
                <w:noProof/>
              </w:rPr>
              <w:br/>
            </w:r>
            <w:r w:rsidRPr="00C16A84">
              <w:rPr>
                <w:b/>
                <w:noProof/>
                <w:sz w:val="20"/>
              </w:rPr>
              <w:t>2026.</w:t>
            </w:r>
          </w:p>
        </w:tc>
        <w:tc>
          <w:tcPr>
            <w:tcW w:w="899" w:type="dxa"/>
          </w:tcPr>
          <w:p w14:paraId="2D5DD094" w14:textId="77777777" w:rsidR="003F3C34" w:rsidRPr="00C16A84" w:rsidRDefault="003F3C34" w:rsidP="008204DA">
            <w:pPr>
              <w:jc w:val="center"/>
              <w:rPr>
                <w:b/>
                <w:noProof/>
                <w:sz w:val="18"/>
              </w:rPr>
            </w:pPr>
            <w:r w:rsidRPr="00C16A84">
              <w:rPr>
                <w:noProof/>
                <w:sz w:val="20"/>
              </w:rPr>
              <w:t>Godina</w:t>
            </w:r>
            <w:r w:rsidRPr="00C16A84">
              <w:rPr>
                <w:noProof/>
              </w:rPr>
              <w:t xml:space="preserve"> </w:t>
            </w:r>
            <w:r w:rsidRPr="00C16A84">
              <w:rPr>
                <w:noProof/>
              </w:rPr>
              <w:br/>
            </w:r>
            <w:r w:rsidRPr="00C16A84">
              <w:rPr>
                <w:b/>
                <w:noProof/>
                <w:sz w:val="20"/>
              </w:rPr>
              <w:t>2027.</w:t>
            </w:r>
          </w:p>
        </w:tc>
        <w:tc>
          <w:tcPr>
            <w:tcW w:w="899" w:type="dxa"/>
          </w:tcPr>
          <w:p w14:paraId="03178F84" w14:textId="77777777" w:rsidR="003F3C34" w:rsidRPr="00C16A84" w:rsidRDefault="003F3C34" w:rsidP="008204DA">
            <w:pPr>
              <w:jc w:val="center"/>
              <w:rPr>
                <w:b/>
                <w:noProof/>
                <w:sz w:val="18"/>
              </w:rPr>
            </w:pPr>
          </w:p>
        </w:tc>
        <w:tc>
          <w:tcPr>
            <w:tcW w:w="899" w:type="dxa"/>
          </w:tcPr>
          <w:p w14:paraId="39E974F3" w14:textId="77777777" w:rsidR="003F3C34" w:rsidRPr="00C16A84" w:rsidRDefault="003F3C34" w:rsidP="008204DA">
            <w:pPr>
              <w:jc w:val="center"/>
              <w:rPr>
                <w:b/>
                <w:noProof/>
                <w:sz w:val="18"/>
              </w:rPr>
            </w:pPr>
          </w:p>
        </w:tc>
        <w:tc>
          <w:tcPr>
            <w:tcW w:w="899" w:type="dxa"/>
          </w:tcPr>
          <w:p w14:paraId="4C385862" w14:textId="77777777" w:rsidR="003F3C34" w:rsidRPr="00C16A84" w:rsidRDefault="003F3C34" w:rsidP="008204DA">
            <w:pPr>
              <w:jc w:val="center"/>
              <w:rPr>
                <w:b/>
                <w:noProof/>
                <w:sz w:val="18"/>
              </w:rPr>
            </w:pPr>
          </w:p>
        </w:tc>
        <w:tc>
          <w:tcPr>
            <w:tcW w:w="1777" w:type="dxa"/>
            <w:vAlign w:val="center"/>
          </w:tcPr>
          <w:p w14:paraId="28A38ABC" w14:textId="77777777" w:rsidR="003F3C34" w:rsidRPr="00C16A84" w:rsidRDefault="003F3C34" w:rsidP="008204DA">
            <w:pPr>
              <w:jc w:val="center"/>
              <w:rPr>
                <w:b/>
                <w:noProof/>
                <w:sz w:val="20"/>
              </w:rPr>
            </w:pPr>
            <w:r w:rsidRPr="00C16A84">
              <w:rPr>
                <w:b/>
                <w:noProof/>
                <w:sz w:val="20"/>
              </w:rPr>
              <w:t>UKUPNO</w:t>
            </w:r>
          </w:p>
        </w:tc>
      </w:tr>
      <w:tr w:rsidR="003F3C34" w:rsidRPr="00C16A84" w14:paraId="4225F52D" w14:textId="77777777" w:rsidTr="008204DA">
        <w:tc>
          <w:tcPr>
            <w:tcW w:w="3960" w:type="dxa"/>
            <w:vMerge w:val="restart"/>
            <w:shd w:val="clear" w:color="auto" w:fill="C0C0C0"/>
            <w:vAlign w:val="center"/>
          </w:tcPr>
          <w:p w14:paraId="272FE60A" w14:textId="77777777" w:rsidR="003F3C34" w:rsidRPr="00C16A84" w:rsidRDefault="003F3C34" w:rsidP="008204DA">
            <w:pPr>
              <w:jc w:val="center"/>
              <w:rPr>
                <w:b/>
                <w:noProof/>
              </w:rPr>
            </w:pPr>
            <w:r w:rsidRPr="00C16A84">
              <w:rPr>
                <w:b/>
                <w:noProof/>
                <w:sz w:val="22"/>
              </w:rPr>
              <w:t xml:space="preserve">UKUPNA odobrena sredstva </w:t>
            </w:r>
            <w:r w:rsidRPr="00C16A84">
              <w:rPr>
                <w:noProof/>
              </w:rPr>
              <w:t xml:space="preserve"> </w:t>
            </w:r>
            <w:r w:rsidRPr="00C16A84">
              <w:rPr>
                <w:noProof/>
              </w:rPr>
              <w:br/>
            </w:r>
            <w:r w:rsidRPr="00C16A84">
              <w:rPr>
                <w:b/>
                <w:noProof/>
                <w:sz w:val="22"/>
              </w:rPr>
              <w:t>iz NASLOVA 1.–7.</w:t>
            </w:r>
            <w:r w:rsidRPr="00C16A84">
              <w:rPr>
                <w:noProof/>
              </w:rPr>
              <w:t xml:space="preserve"> </w:t>
            </w:r>
            <w:r w:rsidRPr="00C16A84">
              <w:rPr>
                <w:noProof/>
              </w:rPr>
              <w:br/>
            </w:r>
            <w:r w:rsidRPr="00C16A84">
              <w:rPr>
                <w:noProof/>
                <w:sz w:val="22"/>
              </w:rPr>
              <w:t>višegodišnjeg financijskog okvira</w:t>
            </w:r>
            <w:r w:rsidRPr="00C16A84">
              <w:rPr>
                <w:b/>
                <w:noProof/>
                <w:sz w:val="22"/>
              </w:rPr>
              <w:t xml:space="preserve"> </w:t>
            </w:r>
          </w:p>
        </w:tc>
        <w:tc>
          <w:tcPr>
            <w:tcW w:w="2094" w:type="dxa"/>
            <w:gridSpan w:val="2"/>
            <w:vAlign w:val="center"/>
          </w:tcPr>
          <w:p w14:paraId="7398E3F3" w14:textId="77777777" w:rsidR="003F3C34" w:rsidRPr="00C16A84" w:rsidRDefault="003F3C34" w:rsidP="008204DA">
            <w:pPr>
              <w:rPr>
                <w:noProof/>
                <w:sz w:val="14"/>
              </w:rPr>
            </w:pPr>
            <w:r w:rsidRPr="00C16A84">
              <w:rPr>
                <w:noProof/>
                <w:sz w:val="18"/>
              </w:rPr>
              <w:t>Obveze</w:t>
            </w:r>
          </w:p>
        </w:tc>
        <w:tc>
          <w:tcPr>
            <w:tcW w:w="868" w:type="dxa"/>
            <w:vAlign w:val="center"/>
          </w:tcPr>
          <w:p w14:paraId="4B6DC4B5" w14:textId="77777777" w:rsidR="003F3C34" w:rsidRPr="00C16A84" w:rsidRDefault="003F3C34" w:rsidP="008204DA">
            <w:pPr>
              <w:spacing w:before="60" w:after="60"/>
              <w:jc w:val="right"/>
              <w:rPr>
                <w:noProof/>
                <w:sz w:val="20"/>
              </w:rPr>
            </w:pPr>
            <w:r w:rsidRPr="00C16A84">
              <w:rPr>
                <w:noProof/>
                <w:sz w:val="20"/>
              </w:rPr>
              <w:t>0,342</w:t>
            </w:r>
          </w:p>
        </w:tc>
        <w:tc>
          <w:tcPr>
            <w:tcW w:w="868" w:type="dxa"/>
            <w:vAlign w:val="center"/>
          </w:tcPr>
          <w:p w14:paraId="4D202F17" w14:textId="77777777" w:rsidR="003F3C34" w:rsidRPr="00C16A84" w:rsidRDefault="003F3C34" w:rsidP="008204DA">
            <w:pPr>
              <w:spacing w:before="60" w:after="60"/>
              <w:jc w:val="right"/>
              <w:rPr>
                <w:noProof/>
                <w:sz w:val="20"/>
              </w:rPr>
            </w:pPr>
            <w:r w:rsidRPr="00C16A84">
              <w:rPr>
                <w:noProof/>
                <w:sz w:val="20"/>
              </w:rPr>
              <w:t>0,342</w:t>
            </w:r>
          </w:p>
        </w:tc>
        <w:tc>
          <w:tcPr>
            <w:tcW w:w="868" w:type="dxa"/>
            <w:vAlign w:val="center"/>
          </w:tcPr>
          <w:p w14:paraId="66BB6F4D" w14:textId="77777777" w:rsidR="003F3C34" w:rsidRPr="00C16A84" w:rsidRDefault="003F3C34" w:rsidP="008204DA">
            <w:pPr>
              <w:spacing w:before="60" w:after="60"/>
              <w:jc w:val="right"/>
              <w:rPr>
                <w:noProof/>
                <w:sz w:val="20"/>
              </w:rPr>
            </w:pPr>
            <w:r w:rsidRPr="00C16A84">
              <w:rPr>
                <w:noProof/>
                <w:sz w:val="20"/>
              </w:rPr>
              <w:t>0,902</w:t>
            </w:r>
          </w:p>
        </w:tc>
        <w:tc>
          <w:tcPr>
            <w:tcW w:w="868" w:type="dxa"/>
            <w:vAlign w:val="center"/>
          </w:tcPr>
          <w:p w14:paraId="3FA9D708" w14:textId="77777777" w:rsidR="003F3C34" w:rsidRPr="00C16A84" w:rsidRDefault="003F3C34" w:rsidP="008204DA">
            <w:pPr>
              <w:spacing w:before="60" w:after="60"/>
              <w:jc w:val="right"/>
              <w:rPr>
                <w:noProof/>
                <w:sz w:val="20"/>
              </w:rPr>
            </w:pPr>
            <w:r w:rsidRPr="00C16A84">
              <w:rPr>
                <w:noProof/>
                <w:sz w:val="20"/>
              </w:rPr>
              <w:t>0,402</w:t>
            </w:r>
          </w:p>
        </w:tc>
        <w:tc>
          <w:tcPr>
            <w:tcW w:w="899" w:type="dxa"/>
          </w:tcPr>
          <w:p w14:paraId="71AB239F" w14:textId="77777777" w:rsidR="003F3C34" w:rsidRPr="00C16A84" w:rsidRDefault="003F3C34" w:rsidP="008204DA">
            <w:pPr>
              <w:spacing w:before="60" w:after="60"/>
              <w:jc w:val="right"/>
              <w:rPr>
                <w:noProof/>
                <w:sz w:val="20"/>
              </w:rPr>
            </w:pPr>
            <w:r w:rsidRPr="00C16A84">
              <w:rPr>
                <w:noProof/>
                <w:sz w:val="20"/>
              </w:rPr>
              <w:t>0,342</w:t>
            </w:r>
          </w:p>
        </w:tc>
        <w:tc>
          <w:tcPr>
            <w:tcW w:w="899" w:type="dxa"/>
          </w:tcPr>
          <w:p w14:paraId="4D82832C" w14:textId="77777777" w:rsidR="003F3C34" w:rsidRPr="00C16A84" w:rsidRDefault="003F3C34" w:rsidP="008204DA">
            <w:pPr>
              <w:spacing w:before="60" w:after="60"/>
              <w:jc w:val="right"/>
              <w:rPr>
                <w:noProof/>
                <w:sz w:val="20"/>
              </w:rPr>
            </w:pPr>
          </w:p>
        </w:tc>
        <w:tc>
          <w:tcPr>
            <w:tcW w:w="899" w:type="dxa"/>
          </w:tcPr>
          <w:p w14:paraId="22EF04EE" w14:textId="77777777" w:rsidR="003F3C34" w:rsidRPr="00C16A84" w:rsidRDefault="003F3C34" w:rsidP="008204DA">
            <w:pPr>
              <w:spacing w:before="60" w:after="60"/>
              <w:jc w:val="right"/>
              <w:rPr>
                <w:noProof/>
                <w:sz w:val="20"/>
              </w:rPr>
            </w:pPr>
          </w:p>
        </w:tc>
        <w:tc>
          <w:tcPr>
            <w:tcW w:w="899" w:type="dxa"/>
          </w:tcPr>
          <w:p w14:paraId="469CDF0D" w14:textId="77777777" w:rsidR="003F3C34" w:rsidRPr="00C16A84" w:rsidRDefault="003F3C34" w:rsidP="008204DA">
            <w:pPr>
              <w:spacing w:before="60" w:after="60"/>
              <w:jc w:val="right"/>
              <w:rPr>
                <w:noProof/>
                <w:sz w:val="20"/>
              </w:rPr>
            </w:pPr>
          </w:p>
        </w:tc>
        <w:tc>
          <w:tcPr>
            <w:tcW w:w="1777" w:type="dxa"/>
            <w:vAlign w:val="center"/>
          </w:tcPr>
          <w:p w14:paraId="0B25BF3B" w14:textId="77777777" w:rsidR="003F3C34" w:rsidRPr="00C16A84" w:rsidRDefault="00D076C8" w:rsidP="008204DA">
            <w:pPr>
              <w:spacing w:before="60" w:after="60"/>
              <w:jc w:val="right"/>
              <w:rPr>
                <w:b/>
                <w:noProof/>
                <w:sz w:val="20"/>
              </w:rPr>
            </w:pPr>
            <w:r w:rsidRPr="00C16A84">
              <w:rPr>
                <w:b/>
                <w:noProof/>
                <w:sz w:val="20"/>
              </w:rPr>
              <w:t>2,330</w:t>
            </w:r>
          </w:p>
        </w:tc>
      </w:tr>
      <w:tr w:rsidR="003F3C34" w:rsidRPr="00C16A84" w14:paraId="465E596F" w14:textId="77777777" w:rsidTr="008204DA">
        <w:tc>
          <w:tcPr>
            <w:tcW w:w="3960" w:type="dxa"/>
            <w:vMerge/>
            <w:shd w:val="clear" w:color="auto" w:fill="C0C0C0"/>
          </w:tcPr>
          <w:p w14:paraId="453BA8C6" w14:textId="77777777" w:rsidR="003F3C34" w:rsidRPr="00C16A84" w:rsidRDefault="003F3C34" w:rsidP="008204DA">
            <w:pPr>
              <w:rPr>
                <w:noProof/>
                <w:sz w:val="20"/>
              </w:rPr>
            </w:pPr>
          </w:p>
        </w:tc>
        <w:tc>
          <w:tcPr>
            <w:tcW w:w="2094" w:type="dxa"/>
            <w:gridSpan w:val="2"/>
            <w:vAlign w:val="center"/>
          </w:tcPr>
          <w:p w14:paraId="1CC67D36" w14:textId="77777777" w:rsidR="003F3C34" w:rsidRPr="00C16A84" w:rsidRDefault="003F3C34" w:rsidP="008204DA">
            <w:pPr>
              <w:rPr>
                <w:noProof/>
                <w:sz w:val="14"/>
              </w:rPr>
            </w:pPr>
            <w:r w:rsidRPr="00C16A84">
              <w:rPr>
                <w:noProof/>
                <w:sz w:val="18"/>
              </w:rPr>
              <w:t>Plaćanja</w:t>
            </w:r>
          </w:p>
        </w:tc>
        <w:tc>
          <w:tcPr>
            <w:tcW w:w="868" w:type="dxa"/>
            <w:vAlign w:val="center"/>
          </w:tcPr>
          <w:p w14:paraId="05BE4CD3" w14:textId="77777777" w:rsidR="003F3C34" w:rsidRPr="00C16A84" w:rsidRDefault="003F3C34" w:rsidP="008204DA">
            <w:pPr>
              <w:spacing w:before="60" w:after="60"/>
              <w:jc w:val="right"/>
              <w:rPr>
                <w:noProof/>
                <w:sz w:val="20"/>
              </w:rPr>
            </w:pPr>
            <w:r w:rsidRPr="00C16A84">
              <w:rPr>
                <w:noProof/>
                <w:sz w:val="20"/>
              </w:rPr>
              <w:t>0,342</w:t>
            </w:r>
          </w:p>
        </w:tc>
        <w:tc>
          <w:tcPr>
            <w:tcW w:w="868" w:type="dxa"/>
            <w:vAlign w:val="center"/>
          </w:tcPr>
          <w:p w14:paraId="7095E3B6" w14:textId="77777777" w:rsidR="003F3C34" w:rsidRPr="00C16A84" w:rsidRDefault="003F3C34" w:rsidP="008204DA">
            <w:pPr>
              <w:spacing w:before="60" w:after="60"/>
              <w:jc w:val="right"/>
              <w:rPr>
                <w:noProof/>
                <w:sz w:val="20"/>
              </w:rPr>
            </w:pPr>
            <w:r w:rsidRPr="00C16A84">
              <w:rPr>
                <w:noProof/>
                <w:sz w:val="20"/>
              </w:rPr>
              <w:t>0,342</w:t>
            </w:r>
          </w:p>
        </w:tc>
        <w:tc>
          <w:tcPr>
            <w:tcW w:w="868" w:type="dxa"/>
            <w:vAlign w:val="center"/>
          </w:tcPr>
          <w:p w14:paraId="414DABA3" w14:textId="77777777" w:rsidR="003F3C34" w:rsidRPr="00C16A84" w:rsidRDefault="003F3C34" w:rsidP="008204DA">
            <w:pPr>
              <w:spacing w:before="60" w:after="60"/>
              <w:jc w:val="right"/>
              <w:rPr>
                <w:noProof/>
                <w:sz w:val="20"/>
              </w:rPr>
            </w:pPr>
            <w:r w:rsidRPr="00C16A84">
              <w:rPr>
                <w:noProof/>
                <w:sz w:val="20"/>
              </w:rPr>
              <w:t>0,402</w:t>
            </w:r>
          </w:p>
        </w:tc>
        <w:tc>
          <w:tcPr>
            <w:tcW w:w="868" w:type="dxa"/>
            <w:vAlign w:val="center"/>
          </w:tcPr>
          <w:p w14:paraId="5BBE630E" w14:textId="77777777" w:rsidR="003F3C34" w:rsidRPr="00C16A84" w:rsidRDefault="003F3C34" w:rsidP="008204DA">
            <w:pPr>
              <w:spacing w:before="60" w:after="60"/>
              <w:jc w:val="right"/>
              <w:rPr>
                <w:noProof/>
                <w:sz w:val="20"/>
              </w:rPr>
            </w:pPr>
            <w:r w:rsidRPr="00C16A84">
              <w:rPr>
                <w:noProof/>
                <w:sz w:val="20"/>
              </w:rPr>
              <w:t>0,652</w:t>
            </w:r>
          </w:p>
        </w:tc>
        <w:tc>
          <w:tcPr>
            <w:tcW w:w="899" w:type="dxa"/>
          </w:tcPr>
          <w:p w14:paraId="31EAFDEF" w14:textId="77777777" w:rsidR="003F3C34" w:rsidRPr="00C16A84" w:rsidRDefault="003F3C34" w:rsidP="00D076C8">
            <w:pPr>
              <w:spacing w:before="60" w:after="60"/>
              <w:jc w:val="center"/>
              <w:rPr>
                <w:noProof/>
                <w:sz w:val="20"/>
              </w:rPr>
            </w:pPr>
            <w:r w:rsidRPr="00C16A84">
              <w:rPr>
                <w:noProof/>
                <w:sz w:val="20"/>
              </w:rPr>
              <w:t>0,592</w:t>
            </w:r>
          </w:p>
        </w:tc>
        <w:tc>
          <w:tcPr>
            <w:tcW w:w="899" w:type="dxa"/>
          </w:tcPr>
          <w:p w14:paraId="1F1C783E" w14:textId="77777777" w:rsidR="003F3C34" w:rsidRPr="00C16A84" w:rsidRDefault="003F3C34" w:rsidP="008204DA">
            <w:pPr>
              <w:spacing w:before="60" w:after="60"/>
              <w:jc w:val="right"/>
              <w:rPr>
                <w:noProof/>
                <w:sz w:val="20"/>
              </w:rPr>
            </w:pPr>
          </w:p>
        </w:tc>
        <w:tc>
          <w:tcPr>
            <w:tcW w:w="899" w:type="dxa"/>
          </w:tcPr>
          <w:p w14:paraId="223DA1C4" w14:textId="77777777" w:rsidR="003F3C34" w:rsidRPr="00C16A84" w:rsidRDefault="003F3C34" w:rsidP="008204DA">
            <w:pPr>
              <w:spacing w:before="60" w:after="60"/>
              <w:jc w:val="right"/>
              <w:rPr>
                <w:noProof/>
                <w:sz w:val="20"/>
              </w:rPr>
            </w:pPr>
          </w:p>
        </w:tc>
        <w:tc>
          <w:tcPr>
            <w:tcW w:w="899" w:type="dxa"/>
          </w:tcPr>
          <w:p w14:paraId="31739B5E" w14:textId="77777777" w:rsidR="003F3C34" w:rsidRPr="00C16A84" w:rsidRDefault="003F3C34" w:rsidP="008204DA">
            <w:pPr>
              <w:spacing w:before="60" w:after="60"/>
              <w:jc w:val="right"/>
              <w:rPr>
                <w:noProof/>
                <w:sz w:val="20"/>
              </w:rPr>
            </w:pPr>
          </w:p>
        </w:tc>
        <w:tc>
          <w:tcPr>
            <w:tcW w:w="1777" w:type="dxa"/>
            <w:vAlign w:val="center"/>
          </w:tcPr>
          <w:p w14:paraId="3B1C43B5" w14:textId="77777777" w:rsidR="003F3C34" w:rsidRPr="00C16A84" w:rsidRDefault="00D076C8" w:rsidP="008204DA">
            <w:pPr>
              <w:spacing w:before="60" w:after="60"/>
              <w:jc w:val="right"/>
              <w:rPr>
                <w:b/>
                <w:noProof/>
                <w:sz w:val="20"/>
              </w:rPr>
            </w:pPr>
            <w:r w:rsidRPr="00C16A84">
              <w:rPr>
                <w:b/>
                <w:noProof/>
                <w:sz w:val="20"/>
              </w:rPr>
              <w:t>2,330</w:t>
            </w:r>
          </w:p>
        </w:tc>
      </w:tr>
    </w:tbl>
    <w:p w14:paraId="2C99D9A2" w14:textId="77777777" w:rsidR="003F3C34" w:rsidRPr="00C16A84" w:rsidRDefault="003F3C34" w:rsidP="003F3C34">
      <w:pPr>
        <w:rPr>
          <w:noProof/>
        </w:rPr>
      </w:pPr>
    </w:p>
    <w:p w14:paraId="253EDB51" w14:textId="77777777" w:rsidR="003F3C34" w:rsidRPr="00C16A84" w:rsidRDefault="003F3C34" w:rsidP="003F3C34">
      <w:pPr>
        <w:pStyle w:val="ManualHeading3"/>
        <w:rPr>
          <w:bCs/>
          <w:noProof/>
          <w:szCs w:val="24"/>
        </w:rPr>
      </w:pPr>
      <w:bookmarkStart w:id="89" w:name="_Toc514938054"/>
      <w:bookmarkStart w:id="90" w:name="_Toc145493429"/>
      <w:r w:rsidRPr="00C16A84">
        <w:rPr>
          <w:noProof/>
        </w:rPr>
        <w:t>3.2.2.</w:t>
      </w:r>
      <w:r w:rsidRPr="00C16A84">
        <w:rPr>
          <w:noProof/>
        </w:rPr>
        <w:tab/>
        <w:t>Procijenjeni rezultati financirani odobrenim sredstvima za poslovanje</w:t>
      </w:r>
      <w:bookmarkEnd w:id="89"/>
      <w:bookmarkEnd w:id="90"/>
      <w:r w:rsidRPr="00C16A84">
        <w:rPr>
          <w:noProof/>
        </w:rPr>
        <w:t xml:space="preserve"> </w:t>
      </w:r>
    </w:p>
    <w:p w14:paraId="7770867E" w14:textId="77777777" w:rsidR="003F3C34" w:rsidRPr="00C16A84" w:rsidRDefault="003F3C34" w:rsidP="003F3C34">
      <w:pPr>
        <w:jc w:val="right"/>
        <w:rPr>
          <w:noProof/>
          <w:sz w:val="20"/>
        </w:rPr>
      </w:pPr>
      <w:r w:rsidRPr="00C16A84">
        <w:rPr>
          <w:noProof/>
          <w:sz w:val="20"/>
        </w:rPr>
        <w:t>Odobrena sredstva za preuzimanje obveza u milijunima EUR (do 3 decimalna mjesta)</w:t>
      </w:r>
    </w:p>
    <w:tbl>
      <w:tblPr>
        <w:tblW w:w="16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36"/>
        <w:gridCol w:w="538"/>
        <w:gridCol w:w="2011"/>
        <w:gridCol w:w="685"/>
        <w:gridCol w:w="588"/>
        <w:gridCol w:w="651"/>
        <w:gridCol w:w="10"/>
        <w:gridCol w:w="543"/>
        <w:gridCol w:w="707"/>
        <w:gridCol w:w="10"/>
        <w:gridCol w:w="710"/>
        <w:gridCol w:w="720"/>
        <w:gridCol w:w="10"/>
        <w:gridCol w:w="960"/>
        <w:gridCol w:w="634"/>
        <w:gridCol w:w="642"/>
        <w:gridCol w:w="646"/>
        <w:gridCol w:w="431"/>
        <w:gridCol w:w="563"/>
        <w:gridCol w:w="462"/>
        <w:gridCol w:w="686"/>
        <w:gridCol w:w="560"/>
        <w:gridCol w:w="728"/>
        <w:gridCol w:w="616"/>
        <w:gridCol w:w="826"/>
        <w:gridCol w:w="12"/>
      </w:tblGrid>
      <w:tr w:rsidR="003F3C34" w:rsidRPr="00C16A84" w14:paraId="4287E66B" w14:textId="77777777" w:rsidTr="008204DA">
        <w:trPr>
          <w:jc w:val="center"/>
        </w:trPr>
        <w:tc>
          <w:tcPr>
            <w:tcW w:w="1418" w:type="dxa"/>
            <w:vMerge w:val="restart"/>
            <w:vAlign w:val="center"/>
          </w:tcPr>
          <w:p w14:paraId="32E48856" w14:textId="77777777" w:rsidR="003F3C34" w:rsidRPr="00C16A84" w:rsidRDefault="003F3C34" w:rsidP="008204DA">
            <w:pPr>
              <w:ind w:right="-29"/>
              <w:jc w:val="center"/>
              <w:rPr>
                <w:b/>
                <w:noProof/>
                <w:sz w:val="18"/>
                <w:szCs w:val="18"/>
              </w:rPr>
            </w:pPr>
            <w:r w:rsidRPr="00C16A84">
              <w:rPr>
                <w:b/>
                <w:noProof/>
                <w:sz w:val="18"/>
              </w:rPr>
              <w:t xml:space="preserve">Navesti ciljeve i rezultate </w:t>
            </w:r>
          </w:p>
          <w:p w14:paraId="044F08C3" w14:textId="77777777" w:rsidR="003F3C34" w:rsidRPr="00C16A84" w:rsidRDefault="003F3C34" w:rsidP="008204DA">
            <w:pPr>
              <w:ind w:right="-29"/>
              <w:jc w:val="center"/>
              <w:rPr>
                <w:b/>
                <w:noProof/>
                <w:sz w:val="18"/>
                <w:szCs w:val="18"/>
              </w:rPr>
            </w:pPr>
          </w:p>
          <w:p w14:paraId="670FD92F" w14:textId="77777777" w:rsidR="003F3C34" w:rsidRPr="00C16A84" w:rsidRDefault="003F3C34" w:rsidP="008204DA">
            <w:pPr>
              <w:ind w:right="-29"/>
              <w:jc w:val="center"/>
              <w:rPr>
                <w:noProof/>
                <w:sz w:val="18"/>
                <w:szCs w:val="18"/>
              </w:rPr>
            </w:pPr>
            <w:r w:rsidRPr="00C16A84">
              <w:rPr>
                <w:noProof/>
                <w:sz w:val="18"/>
              </w:rPr>
              <w:sym w:font="Wingdings" w:char="F0F2"/>
            </w:r>
          </w:p>
        </w:tc>
        <w:tc>
          <w:tcPr>
            <w:tcW w:w="3085" w:type="dxa"/>
            <w:gridSpan w:val="3"/>
            <w:vAlign w:val="center"/>
          </w:tcPr>
          <w:p w14:paraId="660BD0B0" w14:textId="77777777" w:rsidR="003F3C34" w:rsidRPr="00C16A84" w:rsidRDefault="003F3C34" w:rsidP="008204DA">
            <w:pPr>
              <w:ind w:right="-29"/>
              <w:jc w:val="center"/>
              <w:rPr>
                <w:noProof/>
                <w:sz w:val="18"/>
                <w:szCs w:val="18"/>
              </w:rPr>
            </w:pPr>
          </w:p>
        </w:tc>
        <w:tc>
          <w:tcPr>
            <w:tcW w:w="685" w:type="dxa"/>
            <w:vAlign w:val="center"/>
          </w:tcPr>
          <w:p w14:paraId="6E51F05D" w14:textId="77777777" w:rsidR="003F3C34" w:rsidRPr="00C16A84" w:rsidRDefault="003F3C34" w:rsidP="008204DA">
            <w:pPr>
              <w:ind w:right="-29"/>
              <w:jc w:val="center"/>
              <w:rPr>
                <w:noProof/>
                <w:sz w:val="18"/>
                <w:szCs w:val="18"/>
              </w:rPr>
            </w:pPr>
          </w:p>
        </w:tc>
        <w:tc>
          <w:tcPr>
            <w:tcW w:w="1239" w:type="dxa"/>
            <w:gridSpan w:val="2"/>
            <w:tcBorders>
              <w:left w:val="nil"/>
            </w:tcBorders>
            <w:vAlign w:val="center"/>
          </w:tcPr>
          <w:p w14:paraId="587F065C" w14:textId="77777777" w:rsidR="003F3C34" w:rsidRPr="00C16A84" w:rsidRDefault="003F3C34" w:rsidP="008204DA">
            <w:pPr>
              <w:ind w:right="-29"/>
              <w:jc w:val="center"/>
              <w:rPr>
                <w:noProof/>
                <w:sz w:val="18"/>
                <w:szCs w:val="18"/>
              </w:rPr>
            </w:pPr>
            <w:r w:rsidRPr="00C16A84">
              <w:rPr>
                <w:noProof/>
                <w:sz w:val="18"/>
              </w:rPr>
              <w:t>Godina</w:t>
            </w:r>
            <w:r w:rsidRPr="00C16A84">
              <w:rPr>
                <w:noProof/>
              </w:rPr>
              <w:t xml:space="preserve"> </w:t>
            </w:r>
            <w:r w:rsidRPr="00C16A84">
              <w:rPr>
                <w:noProof/>
              </w:rPr>
              <w:br/>
            </w:r>
            <w:r w:rsidRPr="00C16A84">
              <w:rPr>
                <w:b/>
                <w:noProof/>
                <w:sz w:val="18"/>
              </w:rPr>
              <w:t>2023.</w:t>
            </w:r>
          </w:p>
        </w:tc>
        <w:tc>
          <w:tcPr>
            <w:tcW w:w="1260" w:type="dxa"/>
            <w:gridSpan w:val="3"/>
            <w:vAlign w:val="center"/>
          </w:tcPr>
          <w:p w14:paraId="1C23EAE4" w14:textId="77777777" w:rsidR="003F3C34" w:rsidRPr="00C16A84" w:rsidRDefault="003F3C34" w:rsidP="008204DA">
            <w:pPr>
              <w:ind w:right="-29"/>
              <w:jc w:val="center"/>
              <w:rPr>
                <w:noProof/>
                <w:sz w:val="18"/>
                <w:szCs w:val="18"/>
              </w:rPr>
            </w:pPr>
            <w:r w:rsidRPr="00C16A84">
              <w:rPr>
                <w:noProof/>
                <w:sz w:val="18"/>
              </w:rPr>
              <w:t>Godina</w:t>
            </w:r>
            <w:r w:rsidRPr="00C16A84">
              <w:rPr>
                <w:noProof/>
              </w:rPr>
              <w:t xml:space="preserve"> </w:t>
            </w:r>
            <w:r w:rsidRPr="00C16A84">
              <w:rPr>
                <w:noProof/>
              </w:rPr>
              <w:br/>
            </w:r>
            <w:r w:rsidRPr="00C16A84">
              <w:rPr>
                <w:b/>
                <w:noProof/>
                <w:sz w:val="18"/>
              </w:rPr>
              <w:t>2024.</w:t>
            </w:r>
          </w:p>
        </w:tc>
        <w:tc>
          <w:tcPr>
            <w:tcW w:w="1440" w:type="dxa"/>
            <w:gridSpan w:val="3"/>
            <w:vAlign w:val="center"/>
          </w:tcPr>
          <w:p w14:paraId="28F6DCC9" w14:textId="77777777" w:rsidR="003F3C34" w:rsidRPr="00C16A84" w:rsidRDefault="003F3C34" w:rsidP="008204DA">
            <w:pPr>
              <w:ind w:right="-29"/>
              <w:jc w:val="center"/>
              <w:rPr>
                <w:noProof/>
                <w:sz w:val="18"/>
                <w:szCs w:val="18"/>
              </w:rPr>
            </w:pPr>
            <w:r w:rsidRPr="00C16A84">
              <w:rPr>
                <w:noProof/>
                <w:sz w:val="18"/>
              </w:rPr>
              <w:t>Godina</w:t>
            </w:r>
            <w:r w:rsidRPr="00C16A84">
              <w:rPr>
                <w:noProof/>
              </w:rPr>
              <w:t xml:space="preserve"> </w:t>
            </w:r>
            <w:r w:rsidRPr="00C16A84">
              <w:rPr>
                <w:noProof/>
              </w:rPr>
              <w:br/>
            </w:r>
            <w:r w:rsidRPr="00C16A84">
              <w:rPr>
                <w:b/>
                <w:noProof/>
                <w:sz w:val="18"/>
              </w:rPr>
              <w:t>2025.</w:t>
            </w:r>
          </w:p>
        </w:tc>
        <w:tc>
          <w:tcPr>
            <w:tcW w:w="1604" w:type="dxa"/>
            <w:gridSpan w:val="3"/>
            <w:vAlign w:val="center"/>
          </w:tcPr>
          <w:p w14:paraId="2180C817" w14:textId="77777777" w:rsidR="003F3C34" w:rsidRPr="00C16A84" w:rsidRDefault="003F3C34" w:rsidP="008204DA">
            <w:pPr>
              <w:ind w:right="-29"/>
              <w:jc w:val="center"/>
              <w:rPr>
                <w:noProof/>
                <w:sz w:val="18"/>
                <w:szCs w:val="18"/>
              </w:rPr>
            </w:pPr>
            <w:r w:rsidRPr="00C16A84">
              <w:rPr>
                <w:noProof/>
                <w:sz w:val="18"/>
              </w:rPr>
              <w:t>Godina</w:t>
            </w:r>
            <w:r w:rsidRPr="00C16A84">
              <w:rPr>
                <w:noProof/>
              </w:rPr>
              <w:t xml:space="preserve"> </w:t>
            </w:r>
            <w:r w:rsidRPr="00C16A84">
              <w:rPr>
                <w:noProof/>
              </w:rPr>
              <w:br/>
            </w:r>
            <w:r w:rsidRPr="00C16A84">
              <w:rPr>
                <w:b/>
                <w:noProof/>
                <w:sz w:val="18"/>
              </w:rPr>
              <w:t>2026.</w:t>
            </w:r>
          </w:p>
        </w:tc>
        <w:tc>
          <w:tcPr>
            <w:tcW w:w="1288" w:type="dxa"/>
            <w:gridSpan w:val="2"/>
            <w:vAlign w:val="center"/>
          </w:tcPr>
          <w:p w14:paraId="6488CF41" w14:textId="77777777" w:rsidR="003F3C34" w:rsidRPr="00C16A84" w:rsidRDefault="003F3C34" w:rsidP="008204DA">
            <w:pPr>
              <w:ind w:right="-29"/>
              <w:jc w:val="center"/>
              <w:rPr>
                <w:b/>
                <w:noProof/>
                <w:sz w:val="18"/>
              </w:rPr>
            </w:pPr>
            <w:r w:rsidRPr="00C16A84">
              <w:rPr>
                <w:noProof/>
                <w:sz w:val="18"/>
              </w:rPr>
              <w:t>Godina</w:t>
            </w:r>
            <w:r w:rsidRPr="00C16A84">
              <w:rPr>
                <w:noProof/>
              </w:rPr>
              <w:t xml:space="preserve"> </w:t>
            </w:r>
            <w:r w:rsidRPr="00C16A84">
              <w:rPr>
                <w:noProof/>
              </w:rPr>
              <w:br/>
            </w:r>
            <w:r w:rsidRPr="00C16A84">
              <w:rPr>
                <w:b/>
                <w:noProof/>
                <w:sz w:val="18"/>
              </w:rPr>
              <w:t>2027.</w:t>
            </w:r>
          </w:p>
        </w:tc>
        <w:tc>
          <w:tcPr>
            <w:tcW w:w="994" w:type="dxa"/>
            <w:gridSpan w:val="2"/>
            <w:tcBorders>
              <w:left w:val="nil"/>
              <w:bottom w:val="nil"/>
            </w:tcBorders>
            <w:vAlign w:val="center"/>
          </w:tcPr>
          <w:p w14:paraId="6F83D397" w14:textId="77777777" w:rsidR="003F3C34" w:rsidRPr="00C16A84" w:rsidRDefault="003F3C34" w:rsidP="008204DA">
            <w:pPr>
              <w:ind w:right="-29"/>
              <w:jc w:val="center"/>
              <w:rPr>
                <w:noProof/>
                <w:sz w:val="18"/>
                <w:szCs w:val="18"/>
              </w:rPr>
            </w:pPr>
          </w:p>
        </w:tc>
        <w:tc>
          <w:tcPr>
            <w:tcW w:w="1148" w:type="dxa"/>
            <w:gridSpan w:val="2"/>
            <w:tcBorders>
              <w:left w:val="nil"/>
              <w:bottom w:val="nil"/>
            </w:tcBorders>
            <w:vAlign w:val="center"/>
          </w:tcPr>
          <w:p w14:paraId="2F594609" w14:textId="77777777" w:rsidR="003F3C34" w:rsidRPr="00C16A84" w:rsidRDefault="003F3C34" w:rsidP="008204DA">
            <w:pPr>
              <w:ind w:right="-29"/>
              <w:jc w:val="center"/>
              <w:rPr>
                <w:noProof/>
                <w:sz w:val="18"/>
                <w:szCs w:val="18"/>
              </w:rPr>
            </w:pPr>
          </w:p>
        </w:tc>
        <w:tc>
          <w:tcPr>
            <w:tcW w:w="1288" w:type="dxa"/>
            <w:gridSpan w:val="2"/>
            <w:tcBorders>
              <w:left w:val="nil"/>
              <w:bottom w:val="nil"/>
            </w:tcBorders>
            <w:vAlign w:val="center"/>
          </w:tcPr>
          <w:p w14:paraId="0EE09C9E" w14:textId="77777777" w:rsidR="003F3C34" w:rsidRPr="00C16A84" w:rsidRDefault="003F3C34" w:rsidP="008204DA">
            <w:pPr>
              <w:ind w:right="-29"/>
              <w:jc w:val="center"/>
              <w:rPr>
                <w:noProof/>
                <w:sz w:val="18"/>
                <w:szCs w:val="18"/>
              </w:rPr>
            </w:pPr>
          </w:p>
        </w:tc>
        <w:tc>
          <w:tcPr>
            <w:tcW w:w="1454" w:type="dxa"/>
            <w:gridSpan w:val="3"/>
            <w:tcBorders>
              <w:left w:val="nil"/>
              <w:bottom w:val="nil"/>
            </w:tcBorders>
            <w:vAlign w:val="center"/>
          </w:tcPr>
          <w:p w14:paraId="59E5089A" w14:textId="77777777" w:rsidR="003F3C34" w:rsidRPr="00C16A84" w:rsidRDefault="003F3C34" w:rsidP="008204DA">
            <w:pPr>
              <w:ind w:right="-29"/>
              <w:jc w:val="center"/>
              <w:rPr>
                <w:noProof/>
                <w:sz w:val="18"/>
                <w:szCs w:val="18"/>
              </w:rPr>
            </w:pPr>
            <w:r w:rsidRPr="00C16A84">
              <w:rPr>
                <w:b/>
                <w:noProof/>
                <w:sz w:val="18"/>
              </w:rPr>
              <w:t>UKUPNO</w:t>
            </w:r>
          </w:p>
        </w:tc>
      </w:tr>
      <w:tr w:rsidR="003F3C34" w:rsidRPr="00C16A84" w14:paraId="44AEEB35" w14:textId="77777777" w:rsidTr="008204DA">
        <w:trPr>
          <w:gridAfter w:val="1"/>
          <w:wAfter w:w="12" w:type="dxa"/>
          <w:jc w:val="center"/>
        </w:trPr>
        <w:tc>
          <w:tcPr>
            <w:tcW w:w="1418" w:type="dxa"/>
            <w:vMerge/>
            <w:vAlign w:val="center"/>
          </w:tcPr>
          <w:p w14:paraId="729F74FA" w14:textId="77777777" w:rsidR="003F3C34" w:rsidRPr="00C16A84" w:rsidRDefault="003F3C34" w:rsidP="008204DA">
            <w:pPr>
              <w:ind w:right="-29"/>
              <w:jc w:val="center"/>
              <w:rPr>
                <w:noProof/>
                <w:sz w:val="18"/>
                <w:szCs w:val="18"/>
              </w:rPr>
            </w:pPr>
          </w:p>
        </w:tc>
        <w:tc>
          <w:tcPr>
            <w:tcW w:w="536" w:type="dxa"/>
          </w:tcPr>
          <w:p w14:paraId="6A57A06A" w14:textId="77777777" w:rsidR="003F3C34" w:rsidRPr="00C16A84" w:rsidRDefault="003F3C34" w:rsidP="008204DA">
            <w:pPr>
              <w:spacing w:before="60" w:after="60"/>
              <w:ind w:right="-29"/>
              <w:jc w:val="center"/>
              <w:rPr>
                <w:b/>
                <w:noProof/>
                <w:sz w:val="18"/>
              </w:rPr>
            </w:pPr>
          </w:p>
        </w:tc>
        <w:tc>
          <w:tcPr>
            <w:tcW w:w="538" w:type="dxa"/>
          </w:tcPr>
          <w:p w14:paraId="3EB1FD9E" w14:textId="77777777" w:rsidR="003F3C34" w:rsidRPr="00C16A84" w:rsidRDefault="003F3C34" w:rsidP="008204DA">
            <w:pPr>
              <w:spacing w:before="60" w:after="60"/>
              <w:ind w:right="-29"/>
              <w:jc w:val="center"/>
              <w:rPr>
                <w:b/>
                <w:noProof/>
                <w:sz w:val="18"/>
              </w:rPr>
            </w:pPr>
          </w:p>
        </w:tc>
        <w:tc>
          <w:tcPr>
            <w:tcW w:w="14399" w:type="dxa"/>
            <w:gridSpan w:val="23"/>
            <w:vAlign w:val="center"/>
          </w:tcPr>
          <w:p w14:paraId="4D5B5A95" w14:textId="77777777" w:rsidR="003F3C34" w:rsidRPr="00C16A84" w:rsidRDefault="003F3C34" w:rsidP="008204DA">
            <w:pPr>
              <w:spacing w:before="60" w:after="60"/>
              <w:ind w:right="-29"/>
              <w:jc w:val="center"/>
              <w:rPr>
                <w:noProof/>
                <w:sz w:val="18"/>
                <w:szCs w:val="18"/>
              </w:rPr>
            </w:pPr>
            <w:r w:rsidRPr="00C16A84">
              <w:rPr>
                <w:b/>
                <w:noProof/>
                <w:sz w:val="18"/>
              </w:rPr>
              <w:t>REZULTATI</w:t>
            </w:r>
          </w:p>
        </w:tc>
      </w:tr>
      <w:tr w:rsidR="003F3C34" w:rsidRPr="00C16A84" w14:paraId="28FF9816" w14:textId="77777777" w:rsidTr="008204DA">
        <w:trPr>
          <w:gridAfter w:val="1"/>
          <w:wAfter w:w="12" w:type="dxa"/>
          <w:cantSplit/>
          <w:trHeight w:val="1134"/>
          <w:jc w:val="center"/>
        </w:trPr>
        <w:tc>
          <w:tcPr>
            <w:tcW w:w="1418" w:type="dxa"/>
            <w:vMerge/>
            <w:vAlign w:val="center"/>
          </w:tcPr>
          <w:p w14:paraId="05822B5F" w14:textId="77777777" w:rsidR="003F3C34" w:rsidRPr="00C16A84" w:rsidRDefault="003F3C34" w:rsidP="008204DA">
            <w:pPr>
              <w:rPr>
                <w:noProof/>
                <w:sz w:val="18"/>
                <w:szCs w:val="18"/>
              </w:rPr>
            </w:pPr>
          </w:p>
        </w:tc>
        <w:tc>
          <w:tcPr>
            <w:tcW w:w="3085" w:type="dxa"/>
            <w:gridSpan w:val="3"/>
            <w:vAlign w:val="center"/>
          </w:tcPr>
          <w:p w14:paraId="6DC68A31" w14:textId="77777777" w:rsidR="003F3C34" w:rsidRPr="00C16A84" w:rsidRDefault="003F3C34" w:rsidP="008204DA">
            <w:pPr>
              <w:jc w:val="center"/>
              <w:rPr>
                <w:noProof/>
                <w:sz w:val="18"/>
                <w:szCs w:val="18"/>
              </w:rPr>
            </w:pPr>
            <w:r w:rsidRPr="00C16A84">
              <w:rPr>
                <w:noProof/>
                <w:sz w:val="18"/>
              </w:rPr>
              <w:t>Vrsta</w:t>
            </w:r>
            <w:r w:rsidRPr="00C16A84">
              <w:rPr>
                <w:rStyle w:val="FootnoteReference"/>
                <w:noProof/>
                <w:sz w:val="18"/>
              </w:rPr>
              <w:footnoteReference w:id="66"/>
            </w:r>
          </w:p>
          <w:p w14:paraId="74B059DB" w14:textId="77777777" w:rsidR="003F3C34" w:rsidRPr="00C16A84" w:rsidRDefault="003F3C34" w:rsidP="008204DA">
            <w:pPr>
              <w:spacing w:before="0" w:after="0"/>
              <w:jc w:val="center"/>
              <w:rPr>
                <w:noProof/>
                <w:sz w:val="18"/>
                <w:szCs w:val="18"/>
              </w:rPr>
            </w:pPr>
          </w:p>
        </w:tc>
        <w:tc>
          <w:tcPr>
            <w:tcW w:w="685" w:type="dxa"/>
            <w:vAlign w:val="center"/>
          </w:tcPr>
          <w:p w14:paraId="2C7421AB" w14:textId="77777777" w:rsidR="003F3C34" w:rsidRPr="00C16A84" w:rsidRDefault="003F3C34" w:rsidP="008204DA">
            <w:pPr>
              <w:jc w:val="center"/>
              <w:rPr>
                <w:noProof/>
                <w:sz w:val="18"/>
                <w:szCs w:val="18"/>
              </w:rPr>
            </w:pPr>
            <w:r w:rsidRPr="00C16A84">
              <w:rPr>
                <w:noProof/>
                <w:sz w:val="18"/>
              </w:rPr>
              <w:t>Prosječni trošak</w:t>
            </w:r>
          </w:p>
        </w:tc>
        <w:tc>
          <w:tcPr>
            <w:tcW w:w="588" w:type="dxa"/>
            <w:tcBorders>
              <w:left w:val="nil"/>
              <w:right w:val="dashSmallGap" w:sz="4" w:space="0" w:color="auto"/>
            </w:tcBorders>
            <w:shd w:val="pct10" w:color="auto" w:fill="auto"/>
            <w:textDirection w:val="btLr"/>
            <w:vAlign w:val="center"/>
          </w:tcPr>
          <w:p w14:paraId="7E3C6161" w14:textId="77777777" w:rsidR="003F3C34" w:rsidRPr="00C16A84" w:rsidRDefault="003F3C34" w:rsidP="008204DA">
            <w:pPr>
              <w:ind w:left="113" w:right="113"/>
              <w:jc w:val="center"/>
              <w:rPr>
                <w:noProof/>
                <w:sz w:val="18"/>
                <w:szCs w:val="18"/>
              </w:rPr>
            </w:pPr>
            <w:r w:rsidRPr="00C16A84">
              <w:rPr>
                <w:noProof/>
                <w:sz w:val="18"/>
              </w:rPr>
              <w:t>Br.</w:t>
            </w:r>
          </w:p>
        </w:tc>
        <w:tc>
          <w:tcPr>
            <w:tcW w:w="651" w:type="dxa"/>
            <w:tcBorders>
              <w:left w:val="dashSmallGap" w:sz="4" w:space="0" w:color="auto"/>
            </w:tcBorders>
            <w:shd w:val="pct10" w:color="auto" w:fill="auto"/>
            <w:vAlign w:val="center"/>
          </w:tcPr>
          <w:p w14:paraId="6D70B248" w14:textId="77777777" w:rsidR="003F3C34" w:rsidRPr="00C16A84" w:rsidRDefault="003F3C34" w:rsidP="008204DA">
            <w:pPr>
              <w:jc w:val="center"/>
              <w:rPr>
                <w:noProof/>
                <w:sz w:val="18"/>
                <w:szCs w:val="18"/>
              </w:rPr>
            </w:pPr>
            <w:r w:rsidRPr="00C16A84">
              <w:rPr>
                <w:noProof/>
                <w:sz w:val="18"/>
              </w:rPr>
              <w:t>Trošak</w:t>
            </w:r>
          </w:p>
        </w:tc>
        <w:tc>
          <w:tcPr>
            <w:tcW w:w="553" w:type="dxa"/>
            <w:gridSpan w:val="2"/>
            <w:tcBorders>
              <w:right w:val="dashSmallGap" w:sz="4" w:space="0" w:color="auto"/>
            </w:tcBorders>
            <w:shd w:val="pct10" w:color="auto" w:fill="auto"/>
            <w:textDirection w:val="btLr"/>
            <w:vAlign w:val="center"/>
          </w:tcPr>
          <w:p w14:paraId="177471AA" w14:textId="77777777" w:rsidR="003F3C34" w:rsidRPr="00C16A84" w:rsidRDefault="003F3C34" w:rsidP="008204DA">
            <w:pPr>
              <w:ind w:left="113" w:right="113"/>
              <w:jc w:val="center"/>
              <w:rPr>
                <w:noProof/>
                <w:sz w:val="18"/>
                <w:szCs w:val="18"/>
              </w:rPr>
            </w:pPr>
            <w:r w:rsidRPr="00C16A84">
              <w:rPr>
                <w:noProof/>
                <w:sz w:val="18"/>
              </w:rPr>
              <w:t>Br.</w:t>
            </w:r>
          </w:p>
        </w:tc>
        <w:tc>
          <w:tcPr>
            <w:tcW w:w="707" w:type="dxa"/>
            <w:tcBorders>
              <w:left w:val="dashSmallGap" w:sz="4" w:space="0" w:color="auto"/>
            </w:tcBorders>
            <w:shd w:val="pct10" w:color="auto" w:fill="auto"/>
            <w:vAlign w:val="center"/>
          </w:tcPr>
          <w:p w14:paraId="693943D2" w14:textId="77777777" w:rsidR="003F3C34" w:rsidRPr="00C16A84" w:rsidRDefault="003F3C34" w:rsidP="008204DA">
            <w:pPr>
              <w:jc w:val="center"/>
              <w:rPr>
                <w:noProof/>
                <w:sz w:val="18"/>
                <w:szCs w:val="18"/>
              </w:rPr>
            </w:pPr>
            <w:r w:rsidRPr="00C16A84">
              <w:rPr>
                <w:noProof/>
                <w:sz w:val="18"/>
              </w:rPr>
              <w:t>Trošak</w:t>
            </w:r>
          </w:p>
        </w:tc>
        <w:tc>
          <w:tcPr>
            <w:tcW w:w="720" w:type="dxa"/>
            <w:gridSpan w:val="2"/>
            <w:tcBorders>
              <w:right w:val="dashSmallGap" w:sz="4" w:space="0" w:color="auto"/>
            </w:tcBorders>
            <w:shd w:val="pct10" w:color="auto" w:fill="auto"/>
            <w:textDirection w:val="btLr"/>
            <w:vAlign w:val="center"/>
          </w:tcPr>
          <w:p w14:paraId="54EBD0EA" w14:textId="77777777" w:rsidR="003F3C34" w:rsidRPr="00C16A84" w:rsidRDefault="003F3C34" w:rsidP="008204DA">
            <w:pPr>
              <w:ind w:left="113" w:right="113"/>
              <w:jc w:val="center"/>
              <w:rPr>
                <w:noProof/>
                <w:sz w:val="18"/>
                <w:szCs w:val="18"/>
              </w:rPr>
            </w:pPr>
            <w:r w:rsidRPr="00C16A84">
              <w:rPr>
                <w:noProof/>
                <w:sz w:val="18"/>
              </w:rPr>
              <w:t>Br.</w:t>
            </w:r>
          </w:p>
        </w:tc>
        <w:tc>
          <w:tcPr>
            <w:tcW w:w="720" w:type="dxa"/>
            <w:tcBorders>
              <w:left w:val="dashSmallGap" w:sz="4" w:space="0" w:color="auto"/>
            </w:tcBorders>
            <w:shd w:val="pct10" w:color="auto" w:fill="auto"/>
            <w:vAlign w:val="center"/>
          </w:tcPr>
          <w:p w14:paraId="75BA83FC" w14:textId="77777777" w:rsidR="003F3C34" w:rsidRPr="00C16A84" w:rsidRDefault="003F3C34" w:rsidP="008204DA">
            <w:pPr>
              <w:jc w:val="center"/>
              <w:rPr>
                <w:noProof/>
                <w:sz w:val="18"/>
                <w:szCs w:val="18"/>
              </w:rPr>
            </w:pPr>
            <w:r w:rsidRPr="00C16A84">
              <w:rPr>
                <w:noProof/>
                <w:sz w:val="18"/>
              </w:rPr>
              <w:t>Trošak</w:t>
            </w:r>
          </w:p>
        </w:tc>
        <w:tc>
          <w:tcPr>
            <w:tcW w:w="970" w:type="dxa"/>
            <w:gridSpan w:val="2"/>
            <w:tcBorders>
              <w:right w:val="dashSmallGap" w:sz="4" w:space="0" w:color="auto"/>
            </w:tcBorders>
            <w:shd w:val="pct10" w:color="auto" w:fill="auto"/>
            <w:textDirection w:val="btLr"/>
            <w:vAlign w:val="center"/>
          </w:tcPr>
          <w:p w14:paraId="0F6658BB" w14:textId="77777777" w:rsidR="003F3C34" w:rsidRPr="00C16A84" w:rsidRDefault="003F3C34" w:rsidP="008204DA">
            <w:pPr>
              <w:ind w:left="113" w:right="113"/>
              <w:jc w:val="center"/>
              <w:rPr>
                <w:noProof/>
                <w:sz w:val="18"/>
                <w:szCs w:val="18"/>
              </w:rPr>
            </w:pPr>
            <w:r w:rsidRPr="00C16A84">
              <w:rPr>
                <w:noProof/>
                <w:sz w:val="18"/>
              </w:rPr>
              <w:t>Br.</w:t>
            </w:r>
          </w:p>
        </w:tc>
        <w:tc>
          <w:tcPr>
            <w:tcW w:w="634" w:type="dxa"/>
            <w:tcBorders>
              <w:left w:val="dashSmallGap" w:sz="4" w:space="0" w:color="auto"/>
            </w:tcBorders>
            <w:shd w:val="pct10" w:color="auto" w:fill="auto"/>
            <w:vAlign w:val="center"/>
          </w:tcPr>
          <w:p w14:paraId="6466ACE9" w14:textId="77777777" w:rsidR="003F3C34" w:rsidRPr="00C16A84" w:rsidRDefault="003F3C34" w:rsidP="008204DA">
            <w:pPr>
              <w:jc w:val="center"/>
              <w:rPr>
                <w:noProof/>
                <w:sz w:val="18"/>
                <w:szCs w:val="18"/>
              </w:rPr>
            </w:pPr>
            <w:r w:rsidRPr="00C16A84">
              <w:rPr>
                <w:noProof/>
                <w:sz w:val="18"/>
              </w:rPr>
              <w:t>Trošak</w:t>
            </w:r>
          </w:p>
        </w:tc>
        <w:tc>
          <w:tcPr>
            <w:tcW w:w="642" w:type="dxa"/>
            <w:shd w:val="pct10" w:color="auto" w:fill="auto"/>
            <w:textDirection w:val="btLr"/>
          </w:tcPr>
          <w:p w14:paraId="52046293" w14:textId="77777777" w:rsidR="003F3C34" w:rsidRPr="00C16A84" w:rsidRDefault="003F3C34" w:rsidP="008204DA">
            <w:pPr>
              <w:ind w:left="113" w:right="113"/>
              <w:jc w:val="center"/>
              <w:rPr>
                <w:noProof/>
                <w:sz w:val="18"/>
              </w:rPr>
            </w:pPr>
            <w:r w:rsidRPr="00C16A84">
              <w:rPr>
                <w:noProof/>
                <w:sz w:val="18"/>
              </w:rPr>
              <w:t>Br.</w:t>
            </w:r>
          </w:p>
        </w:tc>
        <w:tc>
          <w:tcPr>
            <w:tcW w:w="646" w:type="dxa"/>
            <w:shd w:val="pct10" w:color="auto" w:fill="auto"/>
          </w:tcPr>
          <w:p w14:paraId="0D468BE1" w14:textId="77777777" w:rsidR="003F3C34" w:rsidRPr="00C16A84" w:rsidRDefault="003F3C34" w:rsidP="008204DA">
            <w:pPr>
              <w:jc w:val="center"/>
              <w:rPr>
                <w:noProof/>
                <w:sz w:val="18"/>
              </w:rPr>
            </w:pPr>
          </w:p>
          <w:p w14:paraId="6670EE7C" w14:textId="77777777" w:rsidR="003F3C34" w:rsidRPr="00C16A84" w:rsidRDefault="003F3C34" w:rsidP="008204DA">
            <w:pPr>
              <w:jc w:val="center"/>
              <w:rPr>
                <w:noProof/>
                <w:sz w:val="18"/>
              </w:rPr>
            </w:pPr>
            <w:r w:rsidRPr="00C16A84">
              <w:rPr>
                <w:noProof/>
                <w:sz w:val="18"/>
              </w:rPr>
              <w:t>Trošak</w:t>
            </w:r>
          </w:p>
        </w:tc>
        <w:tc>
          <w:tcPr>
            <w:tcW w:w="431" w:type="dxa"/>
            <w:tcBorders>
              <w:right w:val="dashSmallGap" w:sz="4" w:space="0" w:color="auto"/>
            </w:tcBorders>
            <w:shd w:val="pct10" w:color="auto" w:fill="auto"/>
            <w:textDirection w:val="btLr"/>
            <w:vAlign w:val="center"/>
          </w:tcPr>
          <w:p w14:paraId="1579EA49" w14:textId="77777777" w:rsidR="003F3C34" w:rsidRPr="00C16A84" w:rsidRDefault="003F3C34" w:rsidP="008204DA">
            <w:pPr>
              <w:ind w:left="113" w:right="113"/>
              <w:jc w:val="center"/>
              <w:rPr>
                <w:noProof/>
                <w:sz w:val="18"/>
                <w:szCs w:val="18"/>
              </w:rPr>
            </w:pPr>
            <w:r w:rsidRPr="00C16A84">
              <w:rPr>
                <w:noProof/>
                <w:sz w:val="18"/>
              </w:rPr>
              <w:t>Br.</w:t>
            </w:r>
          </w:p>
        </w:tc>
        <w:tc>
          <w:tcPr>
            <w:tcW w:w="563" w:type="dxa"/>
            <w:tcBorders>
              <w:left w:val="dashSmallGap" w:sz="4" w:space="0" w:color="auto"/>
            </w:tcBorders>
            <w:shd w:val="pct10" w:color="auto" w:fill="auto"/>
            <w:vAlign w:val="center"/>
          </w:tcPr>
          <w:p w14:paraId="011DA0D4" w14:textId="77777777" w:rsidR="003F3C34" w:rsidRPr="00C16A84" w:rsidRDefault="003F3C34" w:rsidP="008204DA">
            <w:pPr>
              <w:jc w:val="center"/>
              <w:rPr>
                <w:noProof/>
                <w:sz w:val="18"/>
                <w:szCs w:val="18"/>
              </w:rPr>
            </w:pPr>
            <w:r w:rsidRPr="00C16A84">
              <w:rPr>
                <w:noProof/>
                <w:sz w:val="18"/>
              </w:rPr>
              <w:t>Trošak</w:t>
            </w:r>
          </w:p>
        </w:tc>
        <w:tc>
          <w:tcPr>
            <w:tcW w:w="462" w:type="dxa"/>
            <w:tcBorders>
              <w:right w:val="dashSmallGap" w:sz="4" w:space="0" w:color="auto"/>
            </w:tcBorders>
            <w:shd w:val="pct10" w:color="auto" w:fill="auto"/>
            <w:textDirection w:val="btLr"/>
            <w:vAlign w:val="center"/>
          </w:tcPr>
          <w:p w14:paraId="68AFA23B" w14:textId="77777777" w:rsidR="003F3C34" w:rsidRPr="00C16A84" w:rsidRDefault="003F3C34" w:rsidP="008204DA">
            <w:pPr>
              <w:ind w:left="113" w:right="113"/>
              <w:jc w:val="center"/>
              <w:rPr>
                <w:noProof/>
                <w:sz w:val="18"/>
                <w:szCs w:val="18"/>
              </w:rPr>
            </w:pPr>
            <w:r w:rsidRPr="00C16A84">
              <w:rPr>
                <w:noProof/>
                <w:sz w:val="18"/>
              </w:rPr>
              <w:t>Br.</w:t>
            </w:r>
          </w:p>
        </w:tc>
        <w:tc>
          <w:tcPr>
            <w:tcW w:w="686" w:type="dxa"/>
            <w:tcBorders>
              <w:left w:val="dashSmallGap" w:sz="4" w:space="0" w:color="auto"/>
            </w:tcBorders>
            <w:shd w:val="pct10" w:color="auto" w:fill="auto"/>
            <w:vAlign w:val="center"/>
          </w:tcPr>
          <w:p w14:paraId="34EF9AA3" w14:textId="77777777" w:rsidR="003F3C34" w:rsidRPr="00C16A84" w:rsidRDefault="003F3C34" w:rsidP="008204DA">
            <w:pPr>
              <w:jc w:val="center"/>
              <w:rPr>
                <w:noProof/>
                <w:sz w:val="18"/>
                <w:szCs w:val="18"/>
              </w:rPr>
            </w:pPr>
            <w:r w:rsidRPr="00C16A84">
              <w:rPr>
                <w:noProof/>
                <w:sz w:val="18"/>
              </w:rPr>
              <w:t>Trošak</w:t>
            </w:r>
          </w:p>
        </w:tc>
        <w:tc>
          <w:tcPr>
            <w:tcW w:w="560" w:type="dxa"/>
            <w:tcBorders>
              <w:right w:val="dashSmallGap" w:sz="4" w:space="0" w:color="auto"/>
            </w:tcBorders>
            <w:shd w:val="pct10" w:color="auto" w:fill="auto"/>
            <w:textDirection w:val="btLr"/>
            <w:vAlign w:val="center"/>
          </w:tcPr>
          <w:p w14:paraId="670C1F0D" w14:textId="77777777" w:rsidR="003F3C34" w:rsidRPr="00C16A84" w:rsidRDefault="003F3C34" w:rsidP="008204DA">
            <w:pPr>
              <w:ind w:left="113" w:right="113"/>
              <w:jc w:val="center"/>
              <w:rPr>
                <w:noProof/>
                <w:sz w:val="18"/>
                <w:szCs w:val="18"/>
              </w:rPr>
            </w:pPr>
            <w:r w:rsidRPr="00C16A84">
              <w:rPr>
                <w:noProof/>
                <w:sz w:val="18"/>
              </w:rPr>
              <w:t>Br.</w:t>
            </w:r>
          </w:p>
        </w:tc>
        <w:tc>
          <w:tcPr>
            <w:tcW w:w="728" w:type="dxa"/>
            <w:tcBorders>
              <w:left w:val="dashSmallGap" w:sz="4" w:space="0" w:color="auto"/>
            </w:tcBorders>
            <w:shd w:val="pct10" w:color="auto" w:fill="auto"/>
            <w:vAlign w:val="center"/>
          </w:tcPr>
          <w:p w14:paraId="57102CA2" w14:textId="77777777" w:rsidR="003F3C34" w:rsidRPr="00C16A84" w:rsidRDefault="003F3C34" w:rsidP="008204DA">
            <w:pPr>
              <w:jc w:val="center"/>
              <w:rPr>
                <w:noProof/>
                <w:sz w:val="18"/>
                <w:szCs w:val="18"/>
              </w:rPr>
            </w:pPr>
            <w:r w:rsidRPr="00C16A84">
              <w:rPr>
                <w:noProof/>
                <w:sz w:val="18"/>
              </w:rPr>
              <w:t>Trošak</w:t>
            </w:r>
          </w:p>
        </w:tc>
        <w:tc>
          <w:tcPr>
            <w:tcW w:w="616" w:type="dxa"/>
            <w:tcBorders>
              <w:right w:val="dashSmallGap" w:sz="4" w:space="0" w:color="auto"/>
            </w:tcBorders>
            <w:shd w:val="pct10" w:color="auto" w:fill="auto"/>
            <w:vAlign w:val="center"/>
          </w:tcPr>
          <w:p w14:paraId="228D26CF" w14:textId="77777777" w:rsidR="003F3C34" w:rsidRPr="00C16A84" w:rsidRDefault="003F3C34" w:rsidP="008204DA">
            <w:pPr>
              <w:jc w:val="center"/>
              <w:rPr>
                <w:noProof/>
                <w:sz w:val="18"/>
                <w:szCs w:val="18"/>
              </w:rPr>
            </w:pPr>
            <w:r w:rsidRPr="00C16A84">
              <w:rPr>
                <w:noProof/>
                <w:sz w:val="18"/>
              </w:rPr>
              <w:t>Ukupni broj</w:t>
            </w:r>
          </w:p>
        </w:tc>
        <w:tc>
          <w:tcPr>
            <w:tcW w:w="826" w:type="dxa"/>
            <w:tcBorders>
              <w:left w:val="dashSmallGap" w:sz="4" w:space="0" w:color="auto"/>
            </w:tcBorders>
            <w:shd w:val="pct10" w:color="auto" w:fill="auto"/>
            <w:vAlign w:val="center"/>
          </w:tcPr>
          <w:p w14:paraId="1C169284" w14:textId="77777777" w:rsidR="003F3C34" w:rsidRPr="00C16A84" w:rsidRDefault="003F3C34" w:rsidP="008204DA">
            <w:pPr>
              <w:jc w:val="center"/>
              <w:rPr>
                <w:noProof/>
                <w:sz w:val="18"/>
                <w:szCs w:val="18"/>
              </w:rPr>
            </w:pPr>
            <w:r w:rsidRPr="00C16A84">
              <w:rPr>
                <w:noProof/>
                <w:sz w:val="18"/>
              </w:rPr>
              <w:t>Ukupni trošak</w:t>
            </w:r>
          </w:p>
        </w:tc>
      </w:tr>
      <w:tr w:rsidR="003F3C34" w:rsidRPr="00C16A84" w14:paraId="0225698E" w14:textId="77777777" w:rsidTr="008204DA">
        <w:trPr>
          <w:gridAfter w:val="1"/>
          <w:wAfter w:w="12" w:type="dxa"/>
          <w:jc w:val="center"/>
        </w:trPr>
        <w:tc>
          <w:tcPr>
            <w:tcW w:w="5188" w:type="dxa"/>
            <w:gridSpan w:val="5"/>
            <w:vAlign w:val="center"/>
          </w:tcPr>
          <w:p w14:paraId="707A5E6E" w14:textId="77777777" w:rsidR="003F3C34" w:rsidRPr="00C16A84" w:rsidRDefault="003F3C34" w:rsidP="008204DA">
            <w:pPr>
              <w:spacing w:before="60" w:after="60"/>
              <w:ind w:right="-29"/>
              <w:jc w:val="center"/>
              <w:rPr>
                <w:noProof/>
                <w:sz w:val="18"/>
                <w:szCs w:val="18"/>
              </w:rPr>
            </w:pPr>
            <w:r w:rsidRPr="00C16A84">
              <w:rPr>
                <w:noProof/>
                <w:sz w:val="18"/>
              </w:rPr>
              <w:t>SPECIFIČNI CILJEVI br. 1 i 2</w:t>
            </w:r>
            <w:r w:rsidRPr="00C16A84">
              <w:rPr>
                <w:rStyle w:val="FootnoteReference"/>
                <w:noProof/>
                <w:sz w:val="18"/>
              </w:rPr>
              <w:footnoteReference w:id="67"/>
            </w:r>
          </w:p>
        </w:tc>
        <w:tc>
          <w:tcPr>
            <w:tcW w:w="588" w:type="dxa"/>
            <w:tcBorders>
              <w:top w:val="nil"/>
              <w:left w:val="nil"/>
              <w:bottom w:val="nil"/>
              <w:right w:val="nil"/>
            </w:tcBorders>
          </w:tcPr>
          <w:p w14:paraId="21858505" w14:textId="77777777" w:rsidR="003F3C34" w:rsidRPr="00C16A84" w:rsidRDefault="003F3C34" w:rsidP="008204DA">
            <w:pPr>
              <w:spacing w:before="60" w:after="60"/>
              <w:ind w:right="-29"/>
              <w:jc w:val="center"/>
              <w:rPr>
                <w:noProof/>
                <w:sz w:val="18"/>
                <w:szCs w:val="18"/>
              </w:rPr>
            </w:pPr>
          </w:p>
        </w:tc>
        <w:tc>
          <w:tcPr>
            <w:tcW w:w="661" w:type="dxa"/>
            <w:gridSpan w:val="2"/>
            <w:tcBorders>
              <w:top w:val="nil"/>
              <w:left w:val="nil"/>
              <w:bottom w:val="nil"/>
              <w:right w:val="nil"/>
            </w:tcBorders>
          </w:tcPr>
          <w:p w14:paraId="1A4CC964" w14:textId="77777777" w:rsidR="003F3C34" w:rsidRPr="00C16A84" w:rsidRDefault="003F3C34" w:rsidP="008204DA">
            <w:pPr>
              <w:spacing w:before="60" w:after="60"/>
              <w:ind w:right="-29"/>
              <w:jc w:val="center"/>
              <w:rPr>
                <w:noProof/>
                <w:sz w:val="18"/>
                <w:szCs w:val="18"/>
              </w:rPr>
            </w:pPr>
          </w:p>
        </w:tc>
        <w:tc>
          <w:tcPr>
            <w:tcW w:w="543" w:type="dxa"/>
            <w:tcBorders>
              <w:top w:val="nil"/>
              <w:left w:val="nil"/>
              <w:bottom w:val="nil"/>
              <w:right w:val="nil"/>
            </w:tcBorders>
          </w:tcPr>
          <w:p w14:paraId="0ED6BA21" w14:textId="77777777" w:rsidR="003F3C34" w:rsidRPr="00C16A84" w:rsidRDefault="003F3C34" w:rsidP="008204DA">
            <w:pPr>
              <w:spacing w:before="60" w:after="60"/>
              <w:ind w:right="-29"/>
              <w:jc w:val="center"/>
              <w:rPr>
                <w:noProof/>
                <w:sz w:val="18"/>
                <w:szCs w:val="18"/>
              </w:rPr>
            </w:pPr>
          </w:p>
        </w:tc>
        <w:tc>
          <w:tcPr>
            <w:tcW w:w="717" w:type="dxa"/>
            <w:gridSpan w:val="2"/>
            <w:tcBorders>
              <w:top w:val="nil"/>
              <w:left w:val="nil"/>
              <w:bottom w:val="nil"/>
              <w:right w:val="nil"/>
            </w:tcBorders>
          </w:tcPr>
          <w:p w14:paraId="5EAF2B53" w14:textId="77777777" w:rsidR="003F3C34" w:rsidRPr="00C16A84" w:rsidRDefault="003F3C34" w:rsidP="008204DA">
            <w:pPr>
              <w:spacing w:before="60" w:after="60"/>
              <w:ind w:right="-29"/>
              <w:jc w:val="center"/>
              <w:rPr>
                <w:noProof/>
                <w:sz w:val="18"/>
                <w:szCs w:val="18"/>
              </w:rPr>
            </w:pPr>
          </w:p>
        </w:tc>
        <w:tc>
          <w:tcPr>
            <w:tcW w:w="710" w:type="dxa"/>
            <w:tcBorders>
              <w:top w:val="nil"/>
              <w:left w:val="nil"/>
              <w:bottom w:val="nil"/>
              <w:right w:val="nil"/>
            </w:tcBorders>
          </w:tcPr>
          <w:p w14:paraId="011DF6DB" w14:textId="77777777" w:rsidR="003F3C34" w:rsidRPr="00C16A84" w:rsidRDefault="003F3C34" w:rsidP="008204DA">
            <w:pPr>
              <w:spacing w:before="60" w:after="60"/>
              <w:ind w:right="-29"/>
              <w:jc w:val="center"/>
              <w:rPr>
                <w:noProof/>
                <w:sz w:val="18"/>
                <w:szCs w:val="18"/>
              </w:rPr>
            </w:pPr>
          </w:p>
        </w:tc>
        <w:tc>
          <w:tcPr>
            <w:tcW w:w="730" w:type="dxa"/>
            <w:gridSpan w:val="2"/>
            <w:tcBorders>
              <w:top w:val="nil"/>
              <w:left w:val="nil"/>
              <w:bottom w:val="nil"/>
              <w:right w:val="nil"/>
            </w:tcBorders>
          </w:tcPr>
          <w:p w14:paraId="7593F204" w14:textId="77777777" w:rsidR="003F3C34" w:rsidRPr="00C16A84" w:rsidRDefault="003F3C34" w:rsidP="008204DA">
            <w:pPr>
              <w:spacing w:before="60" w:after="60"/>
              <w:ind w:right="-29"/>
              <w:jc w:val="center"/>
              <w:rPr>
                <w:noProof/>
                <w:sz w:val="18"/>
                <w:szCs w:val="18"/>
              </w:rPr>
            </w:pPr>
          </w:p>
        </w:tc>
        <w:tc>
          <w:tcPr>
            <w:tcW w:w="960" w:type="dxa"/>
            <w:tcBorders>
              <w:top w:val="nil"/>
              <w:left w:val="nil"/>
              <w:bottom w:val="nil"/>
              <w:right w:val="nil"/>
            </w:tcBorders>
          </w:tcPr>
          <w:p w14:paraId="47B88814" w14:textId="77777777" w:rsidR="003F3C34" w:rsidRPr="00C16A84" w:rsidRDefault="003F3C34" w:rsidP="008204DA">
            <w:pPr>
              <w:spacing w:before="60" w:after="60"/>
              <w:ind w:right="-29"/>
              <w:jc w:val="center"/>
              <w:rPr>
                <w:noProof/>
                <w:sz w:val="18"/>
                <w:szCs w:val="18"/>
              </w:rPr>
            </w:pPr>
          </w:p>
        </w:tc>
        <w:tc>
          <w:tcPr>
            <w:tcW w:w="634" w:type="dxa"/>
            <w:tcBorders>
              <w:top w:val="nil"/>
              <w:left w:val="nil"/>
              <w:bottom w:val="nil"/>
              <w:right w:val="nil"/>
            </w:tcBorders>
          </w:tcPr>
          <w:p w14:paraId="0D49399E" w14:textId="77777777" w:rsidR="003F3C34" w:rsidRPr="00C16A84" w:rsidRDefault="003F3C34" w:rsidP="008204DA">
            <w:pPr>
              <w:spacing w:before="60" w:after="60"/>
              <w:ind w:right="-29"/>
              <w:jc w:val="center"/>
              <w:rPr>
                <w:noProof/>
                <w:sz w:val="18"/>
                <w:szCs w:val="18"/>
              </w:rPr>
            </w:pPr>
          </w:p>
        </w:tc>
        <w:tc>
          <w:tcPr>
            <w:tcW w:w="642" w:type="dxa"/>
            <w:tcBorders>
              <w:top w:val="nil"/>
              <w:left w:val="nil"/>
              <w:bottom w:val="nil"/>
              <w:right w:val="nil"/>
            </w:tcBorders>
          </w:tcPr>
          <w:p w14:paraId="4D34076A" w14:textId="77777777" w:rsidR="003F3C34" w:rsidRPr="00C16A84" w:rsidRDefault="003F3C34" w:rsidP="008204DA">
            <w:pPr>
              <w:spacing w:before="60" w:after="60"/>
              <w:ind w:right="-29"/>
              <w:jc w:val="center"/>
              <w:rPr>
                <w:noProof/>
                <w:sz w:val="18"/>
                <w:szCs w:val="18"/>
              </w:rPr>
            </w:pPr>
          </w:p>
        </w:tc>
        <w:tc>
          <w:tcPr>
            <w:tcW w:w="646" w:type="dxa"/>
            <w:tcBorders>
              <w:top w:val="nil"/>
              <w:left w:val="nil"/>
              <w:bottom w:val="nil"/>
              <w:right w:val="nil"/>
            </w:tcBorders>
          </w:tcPr>
          <w:p w14:paraId="600D3D01" w14:textId="77777777" w:rsidR="003F3C34" w:rsidRPr="00C16A84" w:rsidRDefault="003F3C34" w:rsidP="008204DA">
            <w:pPr>
              <w:spacing w:before="60" w:after="60"/>
              <w:ind w:right="-29"/>
              <w:jc w:val="center"/>
              <w:rPr>
                <w:noProof/>
                <w:sz w:val="18"/>
                <w:szCs w:val="18"/>
              </w:rPr>
            </w:pPr>
          </w:p>
        </w:tc>
        <w:tc>
          <w:tcPr>
            <w:tcW w:w="431" w:type="dxa"/>
            <w:tcBorders>
              <w:top w:val="nil"/>
              <w:left w:val="nil"/>
              <w:bottom w:val="nil"/>
              <w:right w:val="nil"/>
            </w:tcBorders>
          </w:tcPr>
          <w:p w14:paraId="76EA44D9" w14:textId="77777777" w:rsidR="003F3C34" w:rsidRPr="00C16A84" w:rsidRDefault="003F3C34" w:rsidP="008204DA">
            <w:pPr>
              <w:spacing w:before="60" w:after="60"/>
              <w:ind w:right="-29"/>
              <w:jc w:val="center"/>
              <w:rPr>
                <w:noProof/>
                <w:sz w:val="18"/>
                <w:szCs w:val="18"/>
              </w:rPr>
            </w:pPr>
          </w:p>
        </w:tc>
        <w:tc>
          <w:tcPr>
            <w:tcW w:w="563" w:type="dxa"/>
            <w:tcBorders>
              <w:top w:val="nil"/>
              <w:left w:val="nil"/>
              <w:bottom w:val="nil"/>
              <w:right w:val="nil"/>
            </w:tcBorders>
          </w:tcPr>
          <w:p w14:paraId="146031D8" w14:textId="77777777" w:rsidR="003F3C34" w:rsidRPr="00C16A84" w:rsidRDefault="003F3C34" w:rsidP="008204DA">
            <w:pPr>
              <w:spacing w:before="60" w:after="60"/>
              <w:ind w:right="-29"/>
              <w:jc w:val="center"/>
              <w:rPr>
                <w:noProof/>
                <w:sz w:val="18"/>
                <w:szCs w:val="18"/>
              </w:rPr>
            </w:pPr>
          </w:p>
        </w:tc>
        <w:tc>
          <w:tcPr>
            <w:tcW w:w="462" w:type="dxa"/>
            <w:tcBorders>
              <w:top w:val="nil"/>
              <w:left w:val="nil"/>
              <w:bottom w:val="nil"/>
              <w:right w:val="nil"/>
            </w:tcBorders>
          </w:tcPr>
          <w:p w14:paraId="4964EC6E" w14:textId="77777777" w:rsidR="003F3C34" w:rsidRPr="00C16A84" w:rsidRDefault="003F3C34" w:rsidP="008204DA">
            <w:pPr>
              <w:spacing w:before="60" w:after="60"/>
              <w:ind w:right="-29"/>
              <w:jc w:val="center"/>
              <w:rPr>
                <w:noProof/>
                <w:sz w:val="18"/>
                <w:szCs w:val="18"/>
              </w:rPr>
            </w:pPr>
          </w:p>
        </w:tc>
        <w:tc>
          <w:tcPr>
            <w:tcW w:w="686" w:type="dxa"/>
            <w:tcBorders>
              <w:top w:val="nil"/>
              <w:left w:val="nil"/>
              <w:bottom w:val="nil"/>
              <w:right w:val="nil"/>
            </w:tcBorders>
          </w:tcPr>
          <w:p w14:paraId="3FCF244F" w14:textId="77777777" w:rsidR="003F3C34" w:rsidRPr="00C16A84" w:rsidRDefault="003F3C34" w:rsidP="008204DA">
            <w:pPr>
              <w:spacing w:before="60" w:after="60"/>
              <w:ind w:right="-29"/>
              <w:jc w:val="center"/>
              <w:rPr>
                <w:noProof/>
                <w:sz w:val="18"/>
                <w:szCs w:val="18"/>
              </w:rPr>
            </w:pPr>
          </w:p>
        </w:tc>
        <w:tc>
          <w:tcPr>
            <w:tcW w:w="560" w:type="dxa"/>
            <w:tcBorders>
              <w:top w:val="nil"/>
              <w:left w:val="nil"/>
              <w:bottom w:val="nil"/>
              <w:right w:val="nil"/>
            </w:tcBorders>
          </w:tcPr>
          <w:p w14:paraId="08B0B734" w14:textId="77777777" w:rsidR="003F3C34" w:rsidRPr="00C16A84" w:rsidRDefault="003F3C34" w:rsidP="008204DA">
            <w:pPr>
              <w:spacing w:before="60" w:after="60"/>
              <w:ind w:right="-29"/>
              <w:jc w:val="center"/>
              <w:rPr>
                <w:noProof/>
                <w:sz w:val="18"/>
                <w:szCs w:val="18"/>
              </w:rPr>
            </w:pPr>
          </w:p>
        </w:tc>
        <w:tc>
          <w:tcPr>
            <w:tcW w:w="728" w:type="dxa"/>
            <w:tcBorders>
              <w:top w:val="nil"/>
              <w:left w:val="nil"/>
              <w:bottom w:val="nil"/>
              <w:right w:val="nil"/>
            </w:tcBorders>
          </w:tcPr>
          <w:p w14:paraId="7E710AD2" w14:textId="77777777" w:rsidR="003F3C34" w:rsidRPr="00C16A84" w:rsidRDefault="003F3C34" w:rsidP="008204DA">
            <w:pPr>
              <w:spacing w:before="60" w:after="60"/>
              <w:ind w:right="-29"/>
              <w:jc w:val="center"/>
              <w:rPr>
                <w:noProof/>
                <w:sz w:val="18"/>
                <w:szCs w:val="18"/>
              </w:rPr>
            </w:pPr>
          </w:p>
        </w:tc>
        <w:tc>
          <w:tcPr>
            <w:tcW w:w="616" w:type="dxa"/>
            <w:tcBorders>
              <w:top w:val="nil"/>
              <w:left w:val="nil"/>
              <w:bottom w:val="nil"/>
              <w:right w:val="nil"/>
            </w:tcBorders>
          </w:tcPr>
          <w:p w14:paraId="51B91EB0" w14:textId="77777777" w:rsidR="003F3C34" w:rsidRPr="00C16A84" w:rsidRDefault="003F3C34" w:rsidP="008204DA">
            <w:pPr>
              <w:spacing w:before="60" w:after="60"/>
              <w:ind w:right="-29"/>
              <w:jc w:val="center"/>
              <w:rPr>
                <w:noProof/>
                <w:sz w:val="18"/>
                <w:szCs w:val="18"/>
              </w:rPr>
            </w:pPr>
          </w:p>
        </w:tc>
        <w:tc>
          <w:tcPr>
            <w:tcW w:w="826" w:type="dxa"/>
            <w:tcBorders>
              <w:top w:val="nil"/>
              <w:left w:val="nil"/>
              <w:bottom w:val="nil"/>
              <w:right w:val="nil"/>
            </w:tcBorders>
          </w:tcPr>
          <w:p w14:paraId="45DB1E47" w14:textId="77777777" w:rsidR="003F3C34" w:rsidRPr="00C16A84" w:rsidRDefault="003F3C34" w:rsidP="008204DA">
            <w:pPr>
              <w:spacing w:before="60" w:after="60"/>
              <w:ind w:right="-29"/>
              <w:jc w:val="center"/>
              <w:rPr>
                <w:noProof/>
                <w:sz w:val="18"/>
                <w:szCs w:val="18"/>
              </w:rPr>
            </w:pPr>
          </w:p>
        </w:tc>
      </w:tr>
      <w:tr w:rsidR="003F3C34" w:rsidRPr="00C16A84" w14:paraId="35B6575E" w14:textId="77777777" w:rsidTr="008204DA">
        <w:trPr>
          <w:gridAfter w:val="1"/>
          <w:wAfter w:w="12" w:type="dxa"/>
          <w:trHeight w:hRule="exact" w:val="397"/>
          <w:jc w:val="center"/>
        </w:trPr>
        <w:tc>
          <w:tcPr>
            <w:tcW w:w="1418" w:type="dxa"/>
          </w:tcPr>
          <w:p w14:paraId="704F254E" w14:textId="77777777" w:rsidR="003F3C34" w:rsidRPr="00C16A84" w:rsidRDefault="003F3C34" w:rsidP="008204DA">
            <w:pPr>
              <w:ind w:right="-29"/>
              <w:jc w:val="center"/>
              <w:rPr>
                <w:noProof/>
                <w:sz w:val="18"/>
                <w:szCs w:val="18"/>
              </w:rPr>
            </w:pPr>
            <w:r w:rsidRPr="00C16A84">
              <w:rPr>
                <w:noProof/>
                <w:sz w:val="18"/>
              </w:rPr>
              <w:t>– Rezultat</w:t>
            </w:r>
          </w:p>
        </w:tc>
        <w:tc>
          <w:tcPr>
            <w:tcW w:w="3085" w:type="dxa"/>
            <w:gridSpan w:val="3"/>
          </w:tcPr>
          <w:p w14:paraId="27570E70" w14:textId="77777777" w:rsidR="003F3C34" w:rsidRPr="00C16A84" w:rsidRDefault="003F3C34" w:rsidP="008204DA">
            <w:pPr>
              <w:ind w:right="-29"/>
              <w:jc w:val="center"/>
              <w:rPr>
                <w:noProof/>
                <w:sz w:val="18"/>
                <w:szCs w:val="18"/>
              </w:rPr>
            </w:pPr>
            <w:r w:rsidRPr="00C16A84">
              <w:rPr>
                <w:noProof/>
                <w:sz w:val="18"/>
              </w:rPr>
              <w:t>Sastanci s državama članicama</w:t>
            </w:r>
          </w:p>
        </w:tc>
        <w:tc>
          <w:tcPr>
            <w:tcW w:w="685" w:type="dxa"/>
          </w:tcPr>
          <w:p w14:paraId="51D194DC" w14:textId="77777777" w:rsidR="003F3C34" w:rsidRPr="00C16A84" w:rsidRDefault="003F3C34" w:rsidP="008204DA">
            <w:pPr>
              <w:ind w:right="-29"/>
              <w:jc w:val="center"/>
              <w:rPr>
                <w:noProof/>
                <w:sz w:val="18"/>
                <w:szCs w:val="18"/>
              </w:rPr>
            </w:pPr>
          </w:p>
        </w:tc>
        <w:tc>
          <w:tcPr>
            <w:tcW w:w="588" w:type="dxa"/>
            <w:tcBorders>
              <w:right w:val="dashSmallGap" w:sz="4" w:space="0" w:color="auto"/>
            </w:tcBorders>
          </w:tcPr>
          <w:p w14:paraId="7048A245" w14:textId="77777777" w:rsidR="003F3C34" w:rsidRPr="00C16A84" w:rsidRDefault="003F3C34" w:rsidP="008204DA">
            <w:pPr>
              <w:ind w:right="-29"/>
              <w:jc w:val="center"/>
              <w:rPr>
                <w:noProof/>
                <w:sz w:val="18"/>
                <w:szCs w:val="18"/>
              </w:rPr>
            </w:pPr>
          </w:p>
        </w:tc>
        <w:tc>
          <w:tcPr>
            <w:tcW w:w="651" w:type="dxa"/>
            <w:tcBorders>
              <w:left w:val="dashSmallGap" w:sz="4" w:space="0" w:color="auto"/>
            </w:tcBorders>
          </w:tcPr>
          <w:p w14:paraId="2D8635EA" w14:textId="77777777" w:rsidR="003F3C34" w:rsidRPr="00C16A84" w:rsidRDefault="003F3C34" w:rsidP="008204DA">
            <w:pPr>
              <w:ind w:right="-29"/>
              <w:jc w:val="center"/>
              <w:rPr>
                <w:noProof/>
                <w:sz w:val="18"/>
                <w:szCs w:val="18"/>
              </w:rPr>
            </w:pPr>
          </w:p>
        </w:tc>
        <w:tc>
          <w:tcPr>
            <w:tcW w:w="553" w:type="dxa"/>
            <w:gridSpan w:val="2"/>
            <w:tcBorders>
              <w:right w:val="dashSmallGap" w:sz="4" w:space="0" w:color="auto"/>
            </w:tcBorders>
          </w:tcPr>
          <w:p w14:paraId="10CF2DCC" w14:textId="77777777" w:rsidR="003F3C34" w:rsidRPr="00C16A84" w:rsidRDefault="003F3C34" w:rsidP="008204DA">
            <w:pPr>
              <w:ind w:right="-29"/>
              <w:jc w:val="center"/>
              <w:rPr>
                <w:noProof/>
                <w:sz w:val="18"/>
                <w:szCs w:val="18"/>
              </w:rPr>
            </w:pPr>
          </w:p>
        </w:tc>
        <w:tc>
          <w:tcPr>
            <w:tcW w:w="707" w:type="dxa"/>
            <w:tcBorders>
              <w:left w:val="dashSmallGap" w:sz="4" w:space="0" w:color="auto"/>
            </w:tcBorders>
          </w:tcPr>
          <w:p w14:paraId="771CB223" w14:textId="77777777" w:rsidR="003F3C34" w:rsidRPr="00C16A84" w:rsidRDefault="003F3C34" w:rsidP="008204DA">
            <w:pPr>
              <w:ind w:right="-29"/>
              <w:jc w:val="center"/>
              <w:rPr>
                <w:noProof/>
                <w:sz w:val="18"/>
                <w:szCs w:val="18"/>
              </w:rPr>
            </w:pPr>
          </w:p>
        </w:tc>
        <w:tc>
          <w:tcPr>
            <w:tcW w:w="720" w:type="dxa"/>
            <w:gridSpan w:val="2"/>
            <w:tcBorders>
              <w:right w:val="dashSmallGap" w:sz="4" w:space="0" w:color="auto"/>
            </w:tcBorders>
          </w:tcPr>
          <w:p w14:paraId="22EAF069" w14:textId="77777777" w:rsidR="003F3C34" w:rsidRPr="00C16A84" w:rsidRDefault="003F3C34" w:rsidP="008204DA">
            <w:pPr>
              <w:ind w:right="-29"/>
              <w:jc w:val="center"/>
              <w:rPr>
                <w:noProof/>
                <w:sz w:val="18"/>
                <w:szCs w:val="18"/>
              </w:rPr>
            </w:pPr>
            <w:r w:rsidRPr="00C16A84">
              <w:rPr>
                <w:noProof/>
                <w:sz w:val="18"/>
              </w:rPr>
              <w:t>4</w:t>
            </w:r>
          </w:p>
        </w:tc>
        <w:tc>
          <w:tcPr>
            <w:tcW w:w="720" w:type="dxa"/>
            <w:tcBorders>
              <w:left w:val="dashSmallGap" w:sz="4" w:space="0" w:color="auto"/>
            </w:tcBorders>
          </w:tcPr>
          <w:p w14:paraId="2A15C430" w14:textId="77777777" w:rsidR="003F3C34" w:rsidRPr="00C16A84" w:rsidRDefault="003F3C34" w:rsidP="008204DA">
            <w:pPr>
              <w:ind w:right="-29"/>
              <w:jc w:val="center"/>
              <w:rPr>
                <w:noProof/>
                <w:sz w:val="18"/>
                <w:szCs w:val="18"/>
              </w:rPr>
            </w:pPr>
            <w:r w:rsidRPr="00C16A84">
              <w:rPr>
                <w:noProof/>
                <w:sz w:val="18"/>
              </w:rPr>
              <w:t>0,060</w:t>
            </w:r>
          </w:p>
        </w:tc>
        <w:tc>
          <w:tcPr>
            <w:tcW w:w="970" w:type="dxa"/>
            <w:gridSpan w:val="2"/>
            <w:tcBorders>
              <w:right w:val="dashSmallGap" w:sz="4" w:space="0" w:color="auto"/>
            </w:tcBorders>
          </w:tcPr>
          <w:p w14:paraId="20142953" w14:textId="77777777" w:rsidR="003F3C34" w:rsidRPr="00C16A84" w:rsidRDefault="003F3C34" w:rsidP="008204DA">
            <w:pPr>
              <w:ind w:right="-29"/>
              <w:jc w:val="center"/>
              <w:rPr>
                <w:noProof/>
                <w:sz w:val="18"/>
                <w:szCs w:val="18"/>
              </w:rPr>
            </w:pPr>
            <w:r w:rsidRPr="00C16A84">
              <w:rPr>
                <w:noProof/>
                <w:sz w:val="18"/>
              </w:rPr>
              <w:t>4</w:t>
            </w:r>
          </w:p>
        </w:tc>
        <w:tc>
          <w:tcPr>
            <w:tcW w:w="634" w:type="dxa"/>
            <w:tcBorders>
              <w:left w:val="dashSmallGap" w:sz="4" w:space="0" w:color="auto"/>
            </w:tcBorders>
          </w:tcPr>
          <w:p w14:paraId="40821E5C" w14:textId="77777777" w:rsidR="003F3C34" w:rsidRPr="00C16A84" w:rsidRDefault="003F3C34" w:rsidP="008204DA">
            <w:pPr>
              <w:ind w:right="-29"/>
              <w:jc w:val="center"/>
              <w:rPr>
                <w:noProof/>
                <w:sz w:val="18"/>
                <w:szCs w:val="18"/>
              </w:rPr>
            </w:pPr>
            <w:r w:rsidRPr="00C16A84">
              <w:rPr>
                <w:noProof/>
                <w:sz w:val="18"/>
              </w:rPr>
              <w:t>0,060</w:t>
            </w:r>
          </w:p>
        </w:tc>
        <w:tc>
          <w:tcPr>
            <w:tcW w:w="642" w:type="dxa"/>
          </w:tcPr>
          <w:p w14:paraId="5AD374A8" w14:textId="77777777" w:rsidR="003F3C34" w:rsidRPr="00C16A84" w:rsidRDefault="003F3C34" w:rsidP="008204DA">
            <w:pPr>
              <w:ind w:right="-29"/>
              <w:jc w:val="center"/>
              <w:rPr>
                <w:noProof/>
                <w:sz w:val="18"/>
                <w:szCs w:val="18"/>
              </w:rPr>
            </w:pPr>
          </w:p>
        </w:tc>
        <w:tc>
          <w:tcPr>
            <w:tcW w:w="646" w:type="dxa"/>
          </w:tcPr>
          <w:p w14:paraId="7D2F2493" w14:textId="77777777" w:rsidR="003F3C34" w:rsidRPr="00C16A84" w:rsidRDefault="003F3C34" w:rsidP="008204DA">
            <w:pPr>
              <w:ind w:right="-29"/>
              <w:jc w:val="center"/>
              <w:rPr>
                <w:noProof/>
                <w:sz w:val="18"/>
                <w:szCs w:val="18"/>
              </w:rPr>
            </w:pPr>
          </w:p>
        </w:tc>
        <w:tc>
          <w:tcPr>
            <w:tcW w:w="431" w:type="dxa"/>
            <w:tcBorders>
              <w:right w:val="dashSmallGap" w:sz="4" w:space="0" w:color="auto"/>
            </w:tcBorders>
          </w:tcPr>
          <w:p w14:paraId="149B098D" w14:textId="77777777" w:rsidR="003F3C34" w:rsidRPr="00C16A84" w:rsidRDefault="003F3C34" w:rsidP="008204DA">
            <w:pPr>
              <w:ind w:right="-29"/>
              <w:jc w:val="center"/>
              <w:rPr>
                <w:noProof/>
                <w:sz w:val="18"/>
                <w:szCs w:val="18"/>
              </w:rPr>
            </w:pPr>
          </w:p>
        </w:tc>
        <w:tc>
          <w:tcPr>
            <w:tcW w:w="563" w:type="dxa"/>
            <w:tcBorders>
              <w:left w:val="dashSmallGap" w:sz="4" w:space="0" w:color="auto"/>
            </w:tcBorders>
          </w:tcPr>
          <w:p w14:paraId="1ACA1A4D" w14:textId="77777777" w:rsidR="003F3C34" w:rsidRPr="00C16A84" w:rsidRDefault="003F3C34" w:rsidP="008204DA">
            <w:pPr>
              <w:ind w:right="-29"/>
              <w:jc w:val="center"/>
              <w:rPr>
                <w:noProof/>
                <w:sz w:val="18"/>
                <w:szCs w:val="18"/>
              </w:rPr>
            </w:pPr>
          </w:p>
        </w:tc>
        <w:tc>
          <w:tcPr>
            <w:tcW w:w="462" w:type="dxa"/>
            <w:tcBorders>
              <w:right w:val="dashSmallGap" w:sz="4" w:space="0" w:color="auto"/>
            </w:tcBorders>
          </w:tcPr>
          <w:p w14:paraId="565FB8AA" w14:textId="77777777" w:rsidR="003F3C34" w:rsidRPr="00C16A84" w:rsidRDefault="003F3C34" w:rsidP="008204DA">
            <w:pPr>
              <w:ind w:right="-29"/>
              <w:jc w:val="center"/>
              <w:rPr>
                <w:noProof/>
                <w:sz w:val="18"/>
                <w:szCs w:val="18"/>
              </w:rPr>
            </w:pPr>
          </w:p>
        </w:tc>
        <w:tc>
          <w:tcPr>
            <w:tcW w:w="686" w:type="dxa"/>
            <w:tcBorders>
              <w:left w:val="dashSmallGap" w:sz="4" w:space="0" w:color="auto"/>
            </w:tcBorders>
          </w:tcPr>
          <w:p w14:paraId="313C308B" w14:textId="77777777" w:rsidR="003F3C34" w:rsidRPr="00C16A84" w:rsidRDefault="003F3C34" w:rsidP="008204DA">
            <w:pPr>
              <w:ind w:right="-29"/>
              <w:jc w:val="center"/>
              <w:rPr>
                <w:noProof/>
                <w:sz w:val="18"/>
                <w:szCs w:val="18"/>
              </w:rPr>
            </w:pPr>
          </w:p>
        </w:tc>
        <w:tc>
          <w:tcPr>
            <w:tcW w:w="560" w:type="dxa"/>
            <w:tcBorders>
              <w:right w:val="dashSmallGap" w:sz="4" w:space="0" w:color="auto"/>
            </w:tcBorders>
          </w:tcPr>
          <w:p w14:paraId="6D1F15B7" w14:textId="77777777" w:rsidR="003F3C34" w:rsidRPr="00C16A84" w:rsidRDefault="003F3C34" w:rsidP="008204DA">
            <w:pPr>
              <w:ind w:right="-29"/>
              <w:jc w:val="center"/>
              <w:rPr>
                <w:noProof/>
                <w:sz w:val="18"/>
                <w:szCs w:val="18"/>
              </w:rPr>
            </w:pPr>
          </w:p>
        </w:tc>
        <w:tc>
          <w:tcPr>
            <w:tcW w:w="728" w:type="dxa"/>
            <w:tcBorders>
              <w:left w:val="dashSmallGap" w:sz="4" w:space="0" w:color="auto"/>
            </w:tcBorders>
          </w:tcPr>
          <w:p w14:paraId="5C9109C9" w14:textId="77777777" w:rsidR="003F3C34" w:rsidRPr="00C16A84" w:rsidRDefault="003F3C34" w:rsidP="008204DA">
            <w:pPr>
              <w:ind w:right="-29"/>
              <w:jc w:val="center"/>
              <w:rPr>
                <w:noProof/>
                <w:sz w:val="18"/>
                <w:szCs w:val="18"/>
              </w:rPr>
            </w:pPr>
          </w:p>
        </w:tc>
        <w:tc>
          <w:tcPr>
            <w:tcW w:w="616" w:type="dxa"/>
          </w:tcPr>
          <w:p w14:paraId="43314B0C" w14:textId="77777777" w:rsidR="003F3C34" w:rsidRPr="00C16A84" w:rsidRDefault="003F3C34" w:rsidP="008204DA">
            <w:pPr>
              <w:ind w:right="-29"/>
              <w:jc w:val="center"/>
              <w:rPr>
                <w:noProof/>
                <w:sz w:val="18"/>
                <w:szCs w:val="18"/>
              </w:rPr>
            </w:pPr>
            <w:r w:rsidRPr="00C16A84">
              <w:rPr>
                <w:noProof/>
                <w:sz w:val="18"/>
              </w:rPr>
              <w:t>8</w:t>
            </w:r>
          </w:p>
        </w:tc>
        <w:tc>
          <w:tcPr>
            <w:tcW w:w="826" w:type="dxa"/>
          </w:tcPr>
          <w:p w14:paraId="5518DBD5" w14:textId="77777777" w:rsidR="003F3C34" w:rsidRPr="00C16A84" w:rsidRDefault="003F3C34" w:rsidP="008204DA">
            <w:pPr>
              <w:ind w:right="-29"/>
              <w:jc w:val="center"/>
              <w:rPr>
                <w:noProof/>
                <w:sz w:val="18"/>
                <w:szCs w:val="18"/>
              </w:rPr>
            </w:pPr>
            <w:r w:rsidRPr="00C16A84">
              <w:rPr>
                <w:noProof/>
                <w:sz w:val="18"/>
              </w:rPr>
              <w:t>0,120</w:t>
            </w:r>
          </w:p>
        </w:tc>
      </w:tr>
      <w:tr w:rsidR="003F3C34" w:rsidRPr="00C16A84" w14:paraId="3E11967A" w14:textId="77777777" w:rsidTr="008204DA">
        <w:trPr>
          <w:gridAfter w:val="1"/>
          <w:wAfter w:w="12" w:type="dxa"/>
          <w:trHeight w:hRule="exact" w:val="559"/>
          <w:jc w:val="center"/>
        </w:trPr>
        <w:tc>
          <w:tcPr>
            <w:tcW w:w="1418" w:type="dxa"/>
          </w:tcPr>
          <w:p w14:paraId="2F427496" w14:textId="77777777" w:rsidR="003F3C34" w:rsidRPr="00C16A84" w:rsidRDefault="003F3C34" w:rsidP="008204DA">
            <w:pPr>
              <w:ind w:right="-29"/>
              <w:jc w:val="center"/>
              <w:rPr>
                <w:noProof/>
                <w:sz w:val="18"/>
                <w:szCs w:val="18"/>
              </w:rPr>
            </w:pPr>
            <w:r w:rsidRPr="00C16A84">
              <w:rPr>
                <w:noProof/>
                <w:sz w:val="18"/>
              </w:rPr>
              <w:t>– Rezultat</w:t>
            </w:r>
          </w:p>
        </w:tc>
        <w:tc>
          <w:tcPr>
            <w:tcW w:w="3085" w:type="dxa"/>
            <w:gridSpan w:val="3"/>
          </w:tcPr>
          <w:p w14:paraId="237F6441" w14:textId="77777777" w:rsidR="003F3C34" w:rsidRPr="00C16A84" w:rsidRDefault="003F3C34" w:rsidP="008204DA">
            <w:pPr>
              <w:ind w:right="-29"/>
              <w:jc w:val="center"/>
              <w:rPr>
                <w:noProof/>
                <w:sz w:val="18"/>
                <w:szCs w:val="18"/>
              </w:rPr>
            </w:pPr>
            <w:r w:rsidRPr="00C16A84">
              <w:rPr>
                <w:noProof/>
                <w:sz w:val="18"/>
              </w:rPr>
              <w:t>Provjera nacionalnih mjera za prenošenje</w:t>
            </w:r>
          </w:p>
        </w:tc>
        <w:tc>
          <w:tcPr>
            <w:tcW w:w="685" w:type="dxa"/>
          </w:tcPr>
          <w:p w14:paraId="6935C935" w14:textId="77777777" w:rsidR="003F3C34" w:rsidRPr="00C16A84" w:rsidRDefault="003F3C34" w:rsidP="008204DA">
            <w:pPr>
              <w:ind w:right="-29"/>
              <w:jc w:val="center"/>
              <w:rPr>
                <w:noProof/>
                <w:sz w:val="18"/>
                <w:szCs w:val="18"/>
              </w:rPr>
            </w:pPr>
          </w:p>
        </w:tc>
        <w:tc>
          <w:tcPr>
            <w:tcW w:w="588" w:type="dxa"/>
            <w:tcBorders>
              <w:right w:val="dashSmallGap" w:sz="4" w:space="0" w:color="auto"/>
            </w:tcBorders>
          </w:tcPr>
          <w:p w14:paraId="4F74EDEA" w14:textId="77777777" w:rsidR="003F3C34" w:rsidRPr="00C16A84" w:rsidRDefault="003F3C34" w:rsidP="008204DA">
            <w:pPr>
              <w:ind w:right="-29"/>
              <w:jc w:val="center"/>
              <w:rPr>
                <w:noProof/>
                <w:sz w:val="18"/>
                <w:szCs w:val="18"/>
              </w:rPr>
            </w:pPr>
          </w:p>
        </w:tc>
        <w:tc>
          <w:tcPr>
            <w:tcW w:w="651" w:type="dxa"/>
            <w:tcBorders>
              <w:left w:val="dashSmallGap" w:sz="4" w:space="0" w:color="auto"/>
            </w:tcBorders>
          </w:tcPr>
          <w:p w14:paraId="53D806EB" w14:textId="77777777" w:rsidR="003F3C34" w:rsidRPr="00C16A84" w:rsidRDefault="003F3C34" w:rsidP="008204DA">
            <w:pPr>
              <w:ind w:right="-29"/>
              <w:jc w:val="center"/>
              <w:rPr>
                <w:noProof/>
                <w:sz w:val="18"/>
                <w:szCs w:val="18"/>
              </w:rPr>
            </w:pPr>
          </w:p>
        </w:tc>
        <w:tc>
          <w:tcPr>
            <w:tcW w:w="553" w:type="dxa"/>
            <w:gridSpan w:val="2"/>
            <w:tcBorders>
              <w:right w:val="dashSmallGap" w:sz="4" w:space="0" w:color="auto"/>
            </w:tcBorders>
          </w:tcPr>
          <w:p w14:paraId="218E4834" w14:textId="77777777" w:rsidR="003F3C34" w:rsidRPr="00C16A84" w:rsidRDefault="003F3C34" w:rsidP="008204DA">
            <w:pPr>
              <w:ind w:right="-29"/>
              <w:jc w:val="center"/>
              <w:rPr>
                <w:noProof/>
                <w:sz w:val="18"/>
                <w:szCs w:val="18"/>
              </w:rPr>
            </w:pPr>
          </w:p>
        </w:tc>
        <w:tc>
          <w:tcPr>
            <w:tcW w:w="707" w:type="dxa"/>
            <w:tcBorders>
              <w:left w:val="dashSmallGap" w:sz="4" w:space="0" w:color="auto"/>
            </w:tcBorders>
          </w:tcPr>
          <w:p w14:paraId="6A74BCC5" w14:textId="77777777" w:rsidR="003F3C34" w:rsidRPr="00C16A84" w:rsidRDefault="003F3C34" w:rsidP="008204DA">
            <w:pPr>
              <w:ind w:right="-29"/>
              <w:jc w:val="center"/>
              <w:rPr>
                <w:noProof/>
                <w:sz w:val="18"/>
                <w:szCs w:val="18"/>
              </w:rPr>
            </w:pPr>
          </w:p>
        </w:tc>
        <w:tc>
          <w:tcPr>
            <w:tcW w:w="720" w:type="dxa"/>
            <w:gridSpan w:val="2"/>
            <w:tcBorders>
              <w:right w:val="dashSmallGap" w:sz="4" w:space="0" w:color="auto"/>
            </w:tcBorders>
          </w:tcPr>
          <w:p w14:paraId="1B7AAF28" w14:textId="77777777" w:rsidR="003F3C34" w:rsidRPr="00C16A84" w:rsidRDefault="003F3C34" w:rsidP="008204DA">
            <w:pPr>
              <w:ind w:right="-29"/>
              <w:jc w:val="center"/>
              <w:rPr>
                <w:noProof/>
                <w:sz w:val="18"/>
                <w:szCs w:val="18"/>
              </w:rPr>
            </w:pPr>
          </w:p>
        </w:tc>
        <w:tc>
          <w:tcPr>
            <w:tcW w:w="720" w:type="dxa"/>
            <w:tcBorders>
              <w:left w:val="dashSmallGap" w:sz="4" w:space="0" w:color="auto"/>
            </w:tcBorders>
          </w:tcPr>
          <w:p w14:paraId="4C9E3FFD" w14:textId="77777777" w:rsidR="003F3C34" w:rsidRPr="00C16A84" w:rsidRDefault="003F3C34" w:rsidP="008204DA">
            <w:pPr>
              <w:ind w:right="-29"/>
              <w:jc w:val="center"/>
              <w:rPr>
                <w:noProof/>
                <w:sz w:val="18"/>
                <w:szCs w:val="18"/>
              </w:rPr>
            </w:pPr>
          </w:p>
        </w:tc>
        <w:tc>
          <w:tcPr>
            <w:tcW w:w="970" w:type="dxa"/>
            <w:gridSpan w:val="2"/>
            <w:tcBorders>
              <w:right w:val="dashSmallGap" w:sz="4" w:space="0" w:color="auto"/>
            </w:tcBorders>
          </w:tcPr>
          <w:p w14:paraId="6E099810" w14:textId="77777777" w:rsidR="003F3C34" w:rsidRPr="00C16A84" w:rsidRDefault="00527CEC" w:rsidP="008204DA">
            <w:pPr>
              <w:ind w:right="-29"/>
              <w:jc w:val="center"/>
              <w:rPr>
                <w:noProof/>
                <w:sz w:val="18"/>
                <w:szCs w:val="18"/>
              </w:rPr>
            </w:pPr>
            <w:r w:rsidRPr="00C16A84">
              <w:rPr>
                <w:noProof/>
                <w:sz w:val="18"/>
              </w:rPr>
              <w:t>1</w:t>
            </w:r>
          </w:p>
        </w:tc>
        <w:tc>
          <w:tcPr>
            <w:tcW w:w="634" w:type="dxa"/>
            <w:tcBorders>
              <w:left w:val="dashSmallGap" w:sz="4" w:space="0" w:color="auto"/>
            </w:tcBorders>
          </w:tcPr>
          <w:p w14:paraId="011B7EC6" w14:textId="77777777" w:rsidR="003F3C34" w:rsidRPr="00C16A84" w:rsidRDefault="003F3C34" w:rsidP="008204DA">
            <w:pPr>
              <w:ind w:right="-29"/>
              <w:jc w:val="center"/>
              <w:rPr>
                <w:noProof/>
                <w:sz w:val="18"/>
                <w:szCs w:val="18"/>
              </w:rPr>
            </w:pPr>
            <w:r w:rsidRPr="00C16A84">
              <w:rPr>
                <w:noProof/>
                <w:sz w:val="18"/>
              </w:rPr>
              <w:t>0,250</w:t>
            </w:r>
          </w:p>
        </w:tc>
        <w:tc>
          <w:tcPr>
            <w:tcW w:w="642" w:type="dxa"/>
          </w:tcPr>
          <w:p w14:paraId="16DB2735" w14:textId="77777777" w:rsidR="003F3C34" w:rsidRPr="00C16A84" w:rsidRDefault="003F3C34" w:rsidP="008204DA">
            <w:pPr>
              <w:ind w:right="-29"/>
              <w:jc w:val="center"/>
              <w:rPr>
                <w:noProof/>
                <w:sz w:val="18"/>
                <w:szCs w:val="18"/>
              </w:rPr>
            </w:pPr>
            <w:r w:rsidRPr="00C16A84">
              <w:rPr>
                <w:noProof/>
                <w:sz w:val="18"/>
              </w:rPr>
              <w:t>1</w:t>
            </w:r>
          </w:p>
        </w:tc>
        <w:tc>
          <w:tcPr>
            <w:tcW w:w="646" w:type="dxa"/>
          </w:tcPr>
          <w:p w14:paraId="707BD559" w14:textId="77777777" w:rsidR="003F3C34" w:rsidRPr="00C16A84" w:rsidRDefault="003F3C34" w:rsidP="008204DA">
            <w:pPr>
              <w:ind w:right="-29"/>
              <w:jc w:val="center"/>
              <w:rPr>
                <w:noProof/>
                <w:sz w:val="18"/>
                <w:szCs w:val="18"/>
              </w:rPr>
            </w:pPr>
            <w:r w:rsidRPr="00C16A84">
              <w:rPr>
                <w:noProof/>
                <w:sz w:val="18"/>
              </w:rPr>
              <w:t>0,250</w:t>
            </w:r>
          </w:p>
        </w:tc>
        <w:tc>
          <w:tcPr>
            <w:tcW w:w="431" w:type="dxa"/>
            <w:tcBorders>
              <w:right w:val="dashSmallGap" w:sz="4" w:space="0" w:color="auto"/>
            </w:tcBorders>
          </w:tcPr>
          <w:p w14:paraId="59B4AC68" w14:textId="77777777" w:rsidR="003F3C34" w:rsidRPr="00C16A84" w:rsidRDefault="003F3C34" w:rsidP="008204DA">
            <w:pPr>
              <w:ind w:right="-29"/>
              <w:jc w:val="center"/>
              <w:rPr>
                <w:noProof/>
                <w:sz w:val="18"/>
                <w:szCs w:val="18"/>
              </w:rPr>
            </w:pPr>
          </w:p>
        </w:tc>
        <w:tc>
          <w:tcPr>
            <w:tcW w:w="563" w:type="dxa"/>
            <w:tcBorders>
              <w:left w:val="dashSmallGap" w:sz="4" w:space="0" w:color="auto"/>
            </w:tcBorders>
          </w:tcPr>
          <w:p w14:paraId="0346F7C3" w14:textId="77777777" w:rsidR="003F3C34" w:rsidRPr="00C16A84" w:rsidRDefault="003F3C34" w:rsidP="008204DA">
            <w:pPr>
              <w:ind w:right="-29"/>
              <w:jc w:val="center"/>
              <w:rPr>
                <w:noProof/>
                <w:sz w:val="18"/>
                <w:szCs w:val="18"/>
              </w:rPr>
            </w:pPr>
          </w:p>
        </w:tc>
        <w:tc>
          <w:tcPr>
            <w:tcW w:w="462" w:type="dxa"/>
            <w:tcBorders>
              <w:right w:val="dashSmallGap" w:sz="4" w:space="0" w:color="auto"/>
            </w:tcBorders>
          </w:tcPr>
          <w:p w14:paraId="549BAF7B" w14:textId="77777777" w:rsidR="003F3C34" w:rsidRPr="00C16A84" w:rsidRDefault="003F3C34" w:rsidP="008204DA">
            <w:pPr>
              <w:ind w:right="-29"/>
              <w:jc w:val="center"/>
              <w:rPr>
                <w:noProof/>
                <w:sz w:val="18"/>
                <w:szCs w:val="18"/>
              </w:rPr>
            </w:pPr>
          </w:p>
        </w:tc>
        <w:tc>
          <w:tcPr>
            <w:tcW w:w="686" w:type="dxa"/>
            <w:tcBorders>
              <w:left w:val="dashSmallGap" w:sz="4" w:space="0" w:color="auto"/>
            </w:tcBorders>
          </w:tcPr>
          <w:p w14:paraId="73A7F200" w14:textId="77777777" w:rsidR="003F3C34" w:rsidRPr="00C16A84" w:rsidRDefault="003F3C34" w:rsidP="008204DA">
            <w:pPr>
              <w:ind w:right="-29"/>
              <w:jc w:val="center"/>
              <w:rPr>
                <w:noProof/>
                <w:sz w:val="18"/>
                <w:szCs w:val="18"/>
              </w:rPr>
            </w:pPr>
          </w:p>
        </w:tc>
        <w:tc>
          <w:tcPr>
            <w:tcW w:w="560" w:type="dxa"/>
            <w:tcBorders>
              <w:right w:val="dashSmallGap" w:sz="4" w:space="0" w:color="auto"/>
            </w:tcBorders>
          </w:tcPr>
          <w:p w14:paraId="0CFBE58F" w14:textId="77777777" w:rsidR="003F3C34" w:rsidRPr="00C16A84" w:rsidRDefault="003F3C34" w:rsidP="008204DA">
            <w:pPr>
              <w:ind w:right="-29"/>
              <w:jc w:val="center"/>
              <w:rPr>
                <w:noProof/>
                <w:sz w:val="18"/>
                <w:szCs w:val="18"/>
              </w:rPr>
            </w:pPr>
          </w:p>
        </w:tc>
        <w:tc>
          <w:tcPr>
            <w:tcW w:w="728" w:type="dxa"/>
            <w:tcBorders>
              <w:left w:val="dashSmallGap" w:sz="4" w:space="0" w:color="auto"/>
            </w:tcBorders>
          </w:tcPr>
          <w:p w14:paraId="36A266A8" w14:textId="77777777" w:rsidR="003F3C34" w:rsidRPr="00C16A84" w:rsidRDefault="003F3C34" w:rsidP="008204DA">
            <w:pPr>
              <w:ind w:right="-29"/>
              <w:jc w:val="center"/>
              <w:rPr>
                <w:noProof/>
                <w:sz w:val="18"/>
                <w:szCs w:val="18"/>
              </w:rPr>
            </w:pPr>
          </w:p>
        </w:tc>
        <w:tc>
          <w:tcPr>
            <w:tcW w:w="616" w:type="dxa"/>
          </w:tcPr>
          <w:p w14:paraId="0F490E5B" w14:textId="77777777" w:rsidR="003F3C34" w:rsidRPr="00C16A84" w:rsidRDefault="00527CEC" w:rsidP="008204DA">
            <w:pPr>
              <w:ind w:right="-29"/>
              <w:jc w:val="center"/>
              <w:rPr>
                <w:noProof/>
                <w:sz w:val="18"/>
                <w:szCs w:val="18"/>
              </w:rPr>
            </w:pPr>
            <w:r w:rsidRPr="00C16A84">
              <w:rPr>
                <w:noProof/>
                <w:sz w:val="18"/>
              </w:rPr>
              <w:t>2</w:t>
            </w:r>
          </w:p>
        </w:tc>
        <w:tc>
          <w:tcPr>
            <w:tcW w:w="826" w:type="dxa"/>
          </w:tcPr>
          <w:p w14:paraId="00B86BF0" w14:textId="77777777" w:rsidR="003F3C34" w:rsidRPr="00C16A84" w:rsidRDefault="003F3C34" w:rsidP="008204DA">
            <w:pPr>
              <w:ind w:right="-29"/>
              <w:jc w:val="center"/>
              <w:rPr>
                <w:noProof/>
                <w:sz w:val="18"/>
                <w:szCs w:val="18"/>
              </w:rPr>
            </w:pPr>
            <w:r w:rsidRPr="00C16A84">
              <w:rPr>
                <w:noProof/>
                <w:sz w:val="18"/>
              </w:rPr>
              <w:t>0,500</w:t>
            </w:r>
          </w:p>
        </w:tc>
      </w:tr>
      <w:tr w:rsidR="003F3C34" w:rsidRPr="00C16A84" w14:paraId="21616210" w14:textId="77777777" w:rsidTr="008204DA">
        <w:trPr>
          <w:gridAfter w:val="1"/>
          <w:wAfter w:w="12" w:type="dxa"/>
          <w:trHeight w:hRule="exact" w:val="369"/>
          <w:jc w:val="center"/>
        </w:trPr>
        <w:tc>
          <w:tcPr>
            <w:tcW w:w="1418" w:type="dxa"/>
          </w:tcPr>
          <w:p w14:paraId="43C69A51" w14:textId="77777777" w:rsidR="003F3C34" w:rsidRPr="00C16A84" w:rsidRDefault="003F3C34" w:rsidP="008204DA">
            <w:pPr>
              <w:ind w:right="-29"/>
              <w:jc w:val="center"/>
              <w:rPr>
                <w:noProof/>
                <w:sz w:val="18"/>
                <w:szCs w:val="18"/>
              </w:rPr>
            </w:pPr>
          </w:p>
        </w:tc>
        <w:tc>
          <w:tcPr>
            <w:tcW w:w="3085" w:type="dxa"/>
            <w:gridSpan w:val="3"/>
          </w:tcPr>
          <w:p w14:paraId="351AEC1E" w14:textId="77777777" w:rsidR="003F3C34" w:rsidRPr="00C16A84" w:rsidRDefault="003F3C34" w:rsidP="008204DA">
            <w:pPr>
              <w:ind w:right="-29"/>
              <w:jc w:val="center"/>
              <w:rPr>
                <w:noProof/>
                <w:sz w:val="18"/>
                <w:szCs w:val="18"/>
              </w:rPr>
            </w:pPr>
          </w:p>
        </w:tc>
        <w:tc>
          <w:tcPr>
            <w:tcW w:w="685" w:type="dxa"/>
          </w:tcPr>
          <w:p w14:paraId="64E11ACE" w14:textId="77777777" w:rsidR="003F3C34" w:rsidRPr="00C16A84" w:rsidRDefault="003F3C34" w:rsidP="008204DA">
            <w:pPr>
              <w:ind w:right="-29"/>
              <w:jc w:val="center"/>
              <w:rPr>
                <w:noProof/>
                <w:sz w:val="18"/>
                <w:szCs w:val="18"/>
              </w:rPr>
            </w:pPr>
          </w:p>
        </w:tc>
        <w:tc>
          <w:tcPr>
            <w:tcW w:w="588" w:type="dxa"/>
          </w:tcPr>
          <w:p w14:paraId="2ACE3DDC" w14:textId="77777777" w:rsidR="003F3C34" w:rsidRPr="00C16A84" w:rsidRDefault="003F3C34" w:rsidP="008204DA">
            <w:pPr>
              <w:ind w:right="-29"/>
              <w:jc w:val="center"/>
              <w:rPr>
                <w:noProof/>
                <w:sz w:val="18"/>
                <w:szCs w:val="18"/>
              </w:rPr>
            </w:pPr>
          </w:p>
        </w:tc>
        <w:tc>
          <w:tcPr>
            <w:tcW w:w="651" w:type="dxa"/>
          </w:tcPr>
          <w:p w14:paraId="4527DF69" w14:textId="77777777" w:rsidR="003F3C34" w:rsidRPr="00C16A84" w:rsidRDefault="003F3C34" w:rsidP="008204DA">
            <w:pPr>
              <w:ind w:right="-29"/>
              <w:jc w:val="center"/>
              <w:rPr>
                <w:noProof/>
                <w:sz w:val="18"/>
                <w:szCs w:val="18"/>
              </w:rPr>
            </w:pPr>
          </w:p>
        </w:tc>
        <w:tc>
          <w:tcPr>
            <w:tcW w:w="553" w:type="dxa"/>
            <w:gridSpan w:val="2"/>
          </w:tcPr>
          <w:p w14:paraId="25B2ABB8" w14:textId="77777777" w:rsidR="003F3C34" w:rsidRPr="00C16A84" w:rsidRDefault="003F3C34" w:rsidP="008204DA">
            <w:pPr>
              <w:ind w:right="-29"/>
              <w:jc w:val="center"/>
              <w:rPr>
                <w:noProof/>
                <w:sz w:val="18"/>
                <w:szCs w:val="18"/>
              </w:rPr>
            </w:pPr>
          </w:p>
        </w:tc>
        <w:tc>
          <w:tcPr>
            <w:tcW w:w="707" w:type="dxa"/>
          </w:tcPr>
          <w:p w14:paraId="52726CE3" w14:textId="77777777" w:rsidR="003F3C34" w:rsidRPr="00C16A84" w:rsidRDefault="003F3C34" w:rsidP="008204DA">
            <w:pPr>
              <w:ind w:right="-29"/>
              <w:jc w:val="center"/>
              <w:rPr>
                <w:noProof/>
                <w:sz w:val="18"/>
                <w:szCs w:val="18"/>
              </w:rPr>
            </w:pPr>
          </w:p>
        </w:tc>
        <w:tc>
          <w:tcPr>
            <w:tcW w:w="720" w:type="dxa"/>
            <w:gridSpan w:val="2"/>
          </w:tcPr>
          <w:p w14:paraId="0AC81F67" w14:textId="77777777" w:rsidR="003F3C34" w:rsidRPr="00C16A84" w:rsidRDefault="003F3C34" w:rsidP="008204DA">
            <w:pPr>
              <w:ind w:right="-29"/>
              <w:jc w:val="center"/>
              <w:rPr>
                <w:noProof/>
                <w:sz w:val="18"/>
                <w:szCs w:val="18"/>
              </w:rPr>
            </w:pPr>
          </w:p>
        </w:tc>
        <w:tc>
          <w:tcPr>
            <w:tcW w:w="720" w:type="dxa"/>
          </w:tcPr>
          <w:p w14:paraId="3A696B37" w14:textId="77777777" w:rsidR="003F3C34" w:rsidRPr="00C16A84" w:rsidRDefault="003F3C34" w:rsidP="008204DA">
            <w:pPr>
              <w:ind w:right="-29"/>
              <w:jc w:val="center"/>
              <w:rPr>
                <w:noProof/>
                <w:sz w:val="18"/>
                <w:szCs w:val="18"/>
              </w:rPr>
            </w:pPr>
          </w:p>
        </w:tc>
        <w:tc>
          <w:tcPr>
            <w:tcW w:w="970" w:type="dxa"/>
            <w:gridSpan w:val="2"/>
          </w:tcPr>
          <w:p w14:paraId="7942EAAE" w14:textId="77777777" w:rsidR="003F3C34" w:rsidRPr="00C16A84" w:rsidRDefault="003F3C34" w:rsidP="008204DA">
            <w:pPr>
              <w:ind w:right="-29"/>
              <w:jc w:val="center"/>
              <w:rPr>
                <w:noProof/>
                <w:sz w:val="18"/>
                <w:szCs w:val="18"/>
              </w:rPr>
            </w:pPr>
          </w:p>
        </w:tc>
        <w:tc>
          <w:tcPr>
            <w:tcW w:w="634" w:type="dxa"/>
          </w:tcPr>
          <w:p w14:paraId="1731FCEA" w14:textId="77777777" w:rsidR="003F3C34" w:rsidRPr="00C16A84" w:rsidRDefault="003F3C34" w:rsidP="008204DA">
            <w:pPr>
              <w:ind w:right="-29"/>
              <w:jc w:val="center"/>
              <w:rPr>
                <w:noProof/>
                <w:sz w:val="18"/>
                <w:szCs w:val="18"/>
              </w:rPr>
            </w:pPr>
          </w:p>
        </w:tc>
        <w:tc>
          <w:tcPr>
            <w:tcW w:w="642" w:type="dxa"/>
          </w:tcPr>
          <w:p w14:paraId="73C05F77" w14:textId="77777777" w:rsidR="003F3C34" w:rsidRPr="00C16A84" w:rsidRDefault="003F3C34" w:rsidP="008204DA">
            <w:pPr>
              <w:ind w:right="-29"/>
              <w:jc w:val="center"/>
              <w:rPr>
                <w:noProof/>
                <w:sz w:val="18"/>
                <w:szCs w:val="18"/>
              </w:rPr>
            </w:pPr>
          </w:p>
        </w:tc>
        <w:tc>
          <w:tcPr>
            <w:tcW w:w="646" w:type="dxa"/>
          </w:tcPr>
          <w:p w14:paraId="361B5CDB" w14:textId="77777777" w:rsidR="003F3C34" w:rsidRPr="00C16A84" w:rsidRDefault="003F3C34" w:rsidP="008204DA">
            <w:pPr>
              <w:ind w:right="-29"/>
              <w:jc w:val="center"/>
              <w:rPr>
                <w:noProof/>
                <w:sz w:val="18"/>
                <w:szCs w:val="18"/>
              </w:rPr>
            </w:pPr>
          </w:p>
        </w:tc>
        <w:tc>
          <w:tcPr>
            <w:tcW w:w="431" w:type="dxa"/>
          </w:tcPr>
          <w:p w14:paraId="52C60484" w14:textId="77777777" w:rsidR="003F3C34" w:rsidRPr="00C16A84" w:rsidRDefault="003F3C34" w:rsidP="008204DA">
            <w:pPr>
              <w:ind w:right="-29"/>
              <w:jc w:val="center"/>
              <w:rPr>
                <w:noProof/>
                <w:sz w:val="18"/>
                <w:szCs w:val="18"/>
              </w:rPr>
            </w:pPr>
          </w:p>
        </w:tc>
        <w:tc>
          <w:tcPr>
            <w:tcW w:w="563" w:type="dxa"/>
          </w:tcPr>
          <w:p w14:paraId="11A81652" w14:textId="77777777" w:rsidR="003F3C34" w:rsidRPr="00C16A84" w:rsidRDefault="003F3C34" w:rsidP="008204DA">
            <w:pPr>
              <w:ind w:right="-29"/>
              <w:jc w:val="center"/>
              <w:rPr>
                <w:noProof/>
                <w:sz w:val="18"/>
                <w:szCs w:val="18"/>
              </w:rPr>
            </w:pPr>
          </w:p>
        </w:tc>
        <w:tc>
          <w:tcPr>
            <w:tcW w:w="462" w:type="dxa"/>
          </w:tcPr>
          <w:p w14:paraId="786CFD82" w14:textId="77777777" w:rsidR="003F3C34" w:rsidRPr="00C16A84" w:rsidRDefault="003F3C34" w:rsidP="008204DA">
            <w:pPr>
              <w:ind w:right="-29"/>
              <w:jc w:val="center"/>
              <w:rPr>
                <w:noProof/>
                <w:sz w:val="18"/>
                <w:szCs w:val="18"/>
              </w:rPr>
            </w:pPr>
          </w:p>
        </w:tc>
        <w:tc>
          <w:tcPr>
            <w:tcW w:w="686" w:type="dxa"/>
          </w:tcPr>
          <w:p w14:paraId="08466D80" w14:textId="77777777" w:rsidR="003F3C34" w:rsidRPr="00C16A84" w:rsidRDefault="003F3C34" w:rsidP="008204DA">
            <w:pPr>
              <w:ind w:right="-29"/>
              <w:jc w:val="center"/>
              <w:rPr>
                <w:noProof/>
                <w:sz w:val="18"/>
                <w:szCs w:val="18"/>
              </w:rPr>
            </w:pPr>
          </w:p>
        </w:tc>
        <w:tc>
          <w:tcPr>
            <w:tcW w:w="560" w:type="dxa"/>
          </w:tcPr>
          <w:p w14:paraId="10E371FD" w14:textId="77777777" w:rsidR="003F3C34" w:rsidRPr="00C16A84" w:rsidRDefault="003F3C34" w:rsidP="008204DA">
            <w:pPr>
              <w:ind w:right="-29"/>
              <w:jc w:val="center"/>
              <w:rPr>
                <w:noProof/>
                <w:sz w:val="18"/>
                <w:szCs w:val="18"/>
              </w:rPr>
            </w:pPr>
          </w:p>
        </w:tc>
        <w:tc>
          <w:tcPr>
            <w:tcW w:w="728" w:type="dxa"/>
          </w:tcPr>
          <w:p w14:paraId="0098AA04" w14:textId="77777777" w:rsidR="003F3C34" w:rsidRPr="00C16A84" w:rsidRDefault="003F3C34" w:rsidP="008204DA">
            <w:pPr>
              <w:ind w:right="-29"/>
              <w:jc w:val="center"/>
              <w:rPr>
                <w:noProof/>
                <w:sz w:val="18"/>
                <w:szCs w:val="18"/>
              </w:rPr>
            </w:pPr>
          </w:p>
        </w:tc>
        <w:tc>
          <w:tcPr>
            <w:tcW w:w="616" w:type="dxa"/>
          </w:tcPr>
          <w:p w14:paraId="7BBF0A48" w14:textId="77777777" w:rsidR="003F3C34" w:rsidRPr="00C16A84" w:rsidRDefault="003F3C34" w:rsidP="008204DA">
            <w:pPr>
              <w:ind w:right="-29"/>
              <w:jc w:val="center"/>
              <w:rPr>
                <w:noProof/>
                <w:sz w:val="18"/>
                <w:szCs w:val="18"/>
              </w:rPr>
            </w:pPr>
          </w:p>
        </w:tc>
        <w:tc>
          <w:tcPr>
            <w:tcW w:w="826" w:type="dxa"/>
          </w:tcPr>
          <w:p w14:paraId="6AFA5A26" w14:textId="77777777" w:rsidR="003F3C34" w:rsidRPr="00C16A84" w:rsidRDefault="003F3C34" w:rsidP="008204DA">
            <w:pPr>
              <w:ind w:right="-29"/>
              <w:jc w:val="center"/>
              <w:rPr>
                <w:noProof/>
                <w:sz w:val="18"/>
                <w:szCs w:val="18"/>
              </w:rPr>
            </w:pPr>
          </w:p>
        </w:tc>
      </w:tr>
      <w:tr w:rsidR="003F3C34" w:rsidRPr="00C16A84" w14:paraId="09C461EA" w14:textId="77777777" w:rsidTr="008204DA">
        <w:trPr>
          <w:gridAfter w:val="1"/>
          <w:wAfter w:w="12" w:type="dxa"/>
          <w:trHeight w:val="77"/>
          <w:jc w:val="center"/>
        </w:trPr>
        <w:tc>
          <w:tcPr>
            <w:tcW w:w="5188" w:type="dxa"/>
            <w:gridSpan w:val="5"/>
            <w:tcBorders>
              <w:bottom w:val="single" w:sz="12" w:space="0" w:color="auto"/>
            </w:tcBorders>
            <w:vAlign w:val="center"/>
          </w:tcPr>
          <w:p w14:paraId="2FFBB5D6" w14:textId="77777777" w:rsidR="003F3C34" w:rsidRPr="00C16A84" w:rsidRDefault="003F3C34" w:rsidP="008204DA">
            <w:pPr>
              <w:ind w:right="-29"/>
              <w:jc w:val="center"/>
              <w:rPr>
                <w:noProof/>
                <w:sz w:val="18"/>
                <w:szCs w:val="18"/>
              </w:rPr>
            </w:pPr>
            <w:r w:rsidRPr="00C16A84">
              <w:rPr>
                <w:noProof/>
                <w:sz w:val="18"/>
              </w:rPr>
              <w:t>Međuzbroj za specifični cilj br. 1</w:t>
            </w:r>
          </w:p>
        </w:tc>
        <w:tc>
          <w:tcPr>
            <w:tcW w:w="588" w:type="dxa"/>
            <w:tcBorders>
              <w:bottom w:val="single" w:sz="12" w:space="0" w:color="auto"/>
            </w:tcBorders>
          </w:tcPr>
          <w:p w14:paraId="667BAB28" w14:textId="77777777" w:rsidR="003F3C34" w:rsidRPr="00C16A84" w:rsidRDefault="003F3C34" w:rsidP="008204DA">
            <w:pPr>
              <w:ind w:right="-29"/>
              <w:jc w:val="center"/>
              <w:rPr>
                <w:noProof/>
                <w:sz w:val="18"/>
                <w:szCs w:val="18"/>
              </w:rPr>
            </w:pPr>
          </w:p>
        </w:tc>
        <w:tc>
          <w:tcPr>
            <w:tcW w:w="661" w:type="dxa"/>
            <w:gridSpan w:val="2"/>
            <w:tcBorders>
              <w:bottom w:val="single" w:sz="12" w:space="0" w:color="auto"/>
            </w:tcBorders>
          </w:tcPr>
          <w:p w14:paraId="31620442" w14:textId="77777777" w:rsidR="003F3C34" w:rsidRPr="00C16A84" w:rsidRDefault="003F3C34" w:rsidP="008204DA">
            <w:pPr>
              <w:ind w:right="-29"/>
              <w:jc w:val="center"/>
              <w:rPr>
                <w:noProof/>
                <w:sz w:val="18"/>
                <w:szCs w:val="18"/>
              </w:rPr>
            </w:pPr>
          </w:p>
        </w:tc>
        <w:tc>
          <w:tcPr>
            <w:tcW w:w="543" w:type="dxa"/>
            <w:tcBorders>
              <w:bottom w:val="single" w:sz="12" w:space="0" w:color="auto"/>
            </w:tcBorders>
          </w:tcPr>
          <w:p w14:paraId="184A32F1" w14:textId="77777777" w:rsidR="003F3C34" w:rsidRPr="00C16A84" w:rsidRDefault="003F3C34" w:rsidP="008204DA">
            <w:pPr>
              <w:ind w:right="-29"/>
              <w:jc w:val="center"/>
              <w:rPr>
                <w:noProof/>
                <w:sz w:val="18"/>
                <w:szCs w:val="18"/>
              </w:rPr>
            </w:pPr>
          </w:p>
        </w:tc>
        <w:tc>
          <w:tcPr>
            <w:tcW w:w="717" w:type="dxa"/>
            <w:gridSpan w:val="2"/>
            <w:tcBorders>
              <w:bottom w:val="single" w:sz="12" w:space="0" w:color="auto"/>
            </w:tcBorders>
          </w:tcPr>
          <w:p w14:paraId="71910EA8" w14:textId="77777777" w:rsidR="003F3C34" w:rsidRPr="00C16A84" w:rsidRDefault="003F3C34" w:rsidP="008204DA">
            <w:pPr>
              <w:ind w:right="-29"/>
              <w:jc w:val="center"/>
              <w:rPr>
                <w:noProof/>
                <w:sz w:val="18"/>
                <w:szCs w:val="18"/>
              </w:rPr>
            </w:pPr>
          </w:p>
        </w:tc>
        <w:tc>
          <w:tcPr>
            <w:tcW w:w="710" w:type="dxa"/>
            <w:tcBorders>
              <w:bottom w:val="single" w:sz="12" w:space="0" w:color="auto"/>
            </w:tcBorders>
          </w:tcPr>
          <w:p w14:paraId="64EC2B54" w14:textId="77777777" w:rsidR="003F3C34" w:rsidRPr="00C16A84" w:rsidRDefault="003F3C34" w:rsidP="008204DA">
            <w:pPr>
              <w:ind w:right="-29"/>
              <w:jc w:val="center"/>
              <w:rPr>
                <w:noProof/>
                <w:sz w:val="18"/>
                <w:szCs w:val="18"/>
              </w:rPr>
            </w:pPr>
          </w:p>
        </w:tc>
        <w:tc>
          <w:tcPr>
            <w:tcW w:w="730" w:type="dxa"/>
            <w:gridSpan w:val="2"/>
            <w:tcBorders>
              <w:bottom w:val="single" w:sz="12" w:space="0" w:color="auto"/>
            </w:tcBorders>
          </w:tcPr>
          <w:p w14:paraId="53472FB9" w14:textId="77777777" w:rsidR="003F3C34" w:rsidRPr="00C16A84" w:rsidRDefault="003F3C34" w:rsidP="008204DA">
            <w:pPr>
              <w:ind w:right="-29"/>
              <w:jc w:val="center"/>
              <w:rPr>
                <w:noProof/>
                <w:sz w:val="18"/>
                <w:szCs w:val="18"/>
              </w:rPr>
            </w:pPr>
          </w:p>
        </w:tc>
        <w:tc>
          <w:tcPr>
            <w:tcW w:w="960" w:type="dxa"/>
            <w:tcBorders>
              <w:bottom w:val="single" w:sz="12" w:space="0" w:color="auto"/>
            </w:tcBorders>
          </w:tcPr>
          <w:p w14:paraId="6CFEAFDC" w14:textId="77777777" w:rsidR="003F3C34" w:rsidRPr="00C16A84" w:rsidRDefault="003F3C34" w:rsidP="008204DA">
            <w:pPr>
              <w:ind w:right="-29"/>
              <w:jc w:val="center"/>
              <w:rPr>
                <w:noProof/>
                <w:sz w:val="18"/>
                <w:szCs w:val="18"/>
              </w:rPr>
            </w:pPr>
          </w:p>
        </w:tc>
        <w:tc>
          <w:tcPr>
            <w:tcW w:w="634" w:type="dxa"/>
            <w:tcBorders>
              <w:bottom w:val="single" w:sz="12" w:space="0" w:color="auto"/>
            </w:tcBorders>
          </w:tcPr>
          <w:p w14:paraId="01AD7B18" w14:textId="77777777" w:rsidR="003F3C34" w:rsidRPr="00C16A84" w:rsidRDefault="003F3C34" w:rsidP="008204DA">
            <w:pPr>
              <w:ind w:right="-29"/>
              <w:jc w:val="center"/>
              <w:rPr>
                <w:noProof/>
                <w:sz w:val="18"/>
                <w:szCs w:val="18"/>
              </w:rPr>
            </w:pPr>
          </w:p>
        </w:tc>
        <w:tc>
          <w:tcPr>
            <w:tcW w:w="642" w:type="dxa"/>
            <w:tcBorders>
              <w:bottom w:val="single" w:sz="12" w:space="0" w:color="auto"/>
            </w:tcBorders>
          </w:tcPr>
          <w:p w14:paraId="7757F80B" w14:textId="77777777" w:rsidR="003F3C34" w:rsidRPr="00C16A84" w:rsidRDefault="003F3C34" w:rsidP="008204DA">
            <w:pPr>
              <w:ind w:right="-29"/>
              <w:jc w:val="center"/>
              <w:rPr>
                <w:noProof/>
                <w:sz w:val="18"/>
                <w:szCs w:val="18"/>
              </w:rPr>
            </w:pPr>
          </w:p>
        </w:tc>
        <w:tc>
          <w:tcPr>
            <w:tcW w:w="646" w:type="dxa"/>
            <w:tcBorders>
              <w:bottom w:val="single" w:sz="12" w:space="0" w:color="auto"/>
            </w:tcBorders>
          </w:tcPr>
          <w:p w14:paraId="04D3C446" w14:textId="77777777" w:rsidR="003F3C34" w:rsidRPr="00C16A84" w:rsidRDefault="003F3C34" w:rsidP="008204DA">
            <w:pPr>
              <w:ind w:right="-29"/>
              <w:jc w:val="center"/>
              <w:rPr>
                <w:noProof/>
                <w:sz w:val="18"/>
                <w:szCs w:val="18"/>
              </w:rPr>
            </w:pPr>
          </w:p>
        </w:tc>
        <w:tc>
          <w:tcPr>
            <w:tcW w:w="431" w:type="dxa"/>
            <w:tcBorders>
              <w:bottom w:val="single" w:sz="12" w:space="0" w:color="auto"/>
            </w:tcBorders>
          </w:tcPr>
          <w:p w14:paraId="4B1D68CD" w14:textId="77777777" w:rsidR="003F3C34" w:rsidRPr="00C16A84" w:rsidRDefault="003F3C34" w:rsidP="008204DA">
            <w:pPr>
              <w:ind w:right="-29"/>
              <w:jc w:val="center"/>
              <w:rPr>
                <w:noProof/>
                <w:sz w:val="18"/>
                <w:szCs w:val="18"/>
              </w:rPr>
            </w:pPr>
          </w:p>
        </w:tc>
        <w:tc>
          <w:tcPr>
            <w:tcW w:w="563" w:type="dxa"/>
            <w:tcBorders>
              <w:bottom w:val="single" w:sz="12" w:space="0" w:color="auto"/>
            </w:tcBorders>
          </w:tcPr>
          <w:p w14:paraId="424A633A" w14:textId="77777777" w:rsidR="003F3C34" w:rsidRPr="00C16A84" w:rsidRDefault="003F3C34" w:rsidP="008204DA">
            <w:pPr>
              <w:ind w:right="-29"/>
              <w:jc w:val="center"/>
              <w:rPr>
                <w:noProof/>
                <w:sz w:val="18"/>
                <w:szCs w:val="18"/>
              </w:rPr>
            </w:pPr>
          </w:p>
        </w:tc>
        <w:tc>
          <w:tcPr>
            <w:tcW w:w="462" w:type="dxa"/>
            <w:tcBorders>
              <w:bottom w:val="single" w:sz="12" w:space="0" w:color="auto"/>
            </w:tcBorders>
          </w:tcPr>
          <w:p w14:paraId="3ACD9158" w14:textId="77777777" w:rsidR="003F3C34" w:rsidRPr="00C16A84" w:rsidRDefault="003F3C34" w:rsidP="008204DA">
            <w:pPr>
              <w:ind w:right="-29"/>
              <w:jc w:val="center"/>
              <w:rPr>
                <w:noProof/>
                <w:sz w:val="18"/>
                <w:szCs w:val="18"/>
              </w:rPr>
            </w:pPr>
          </w:p>
        </w:tc>
        <w:tc>
          <w:tcPr>
            <w:tcW w:w="686" w:type="dxa"/>
            <w:tcBorders>
              <w:bottom w:val="single" w:sz="12" w:space="0" w:color="auto"/>
            </w:tcBorders>
          </w:tcPr>
          <w:p w14:paraId="7B4DBEAC" w14:textId="77777777" w:rsidR="003F3C34" w:rsidRPr="00C16A84" w:rsidRDefault="003F3C34" w:rsidP="008204DA">
            <w:pPr>
              <w:ind w:right="-29"/>
              <w:jc w:val="center"/>
              <w:rPr>
                <w:noProof/>
                <w:sz w:val="18"/>
                <w:szCs w:val="18"/>
              </w:rPr>
            </w:pPr>
          </w:p>
        </w:tc>
        <w:tc>
          <w:tcPr>
            <w:tcW w:w="560" w:type="dxa"/>
            <w:tcBorders>
              <w:bottom w:val="single" w:sz="12" w:space="0" w:color="auto"/>
            </w:tcBorders>
          </w:tcPr>
          <w:p w14:paraId="7098C74A" w14:textId="77777777" w:rsidR="003F3C34" w:rsidRPr="00C16A84" w:rsidRDefault="003F3C34" w:rsidP="008204DA">
            <w:pPr>
              <w:ind w:right="-29"/>
              <w:jc w:val="center"/>
              <w:rPr>
                <w:noProof/>
                <w:sz w:val="18"/>
                <w:szCs w:val="18"/>
              </w:rPr>
            </w:pPr>
          </w:p>
        </w:tc>
        <w:tc>
          <w:tcPr>
            <w:tcW w:w="728" w:type="dxa"/>
            <w:tcBorders>
              <w:bottom w:val="single" w:sz="12" w:space="0" w:color="auto"/>
            </w:tcBorders>
          </w:tcPr>
          <w:p w14:paraId="302256FF" w14:textId="77777777" w:rsidR="003F3C34" w:rsidRPr="00C16A84" w:rsidRDefault="003F3C34" w:rsidP="008204DA">
            <w:pPr>
              <w:ind w:right="-29"/>
              <w:jc w:val="center"/>
              <w:rPr>
                <w:noProof/>
                <w:sz w:val="18"/>
                <w:szCs w:val="18"/>
              </w:rPr>
            </w:pPr>
          </w:p>
        </w:tc>
        <w:tc>
          <w:tcPr>
            <w:tcW w:w="616" w:type="dxa"/>
            <w:tcBorders>
              <w:bottom w:val="single" w:sz="12" w:space="0" w:color="auto"/>
            </w:tcBorders>
          </w:tcPr>
          <w:p w14:paraId="30704AE1" w14:textId="77777777" w:rsidR="003F3C34" w:rsidRPr="00C16A84" w:rsidRDefault="003F3C34" w:rsidP="008204DA">
            <w:pPr>
              <w:ind w:right="-29"/>
              <w:jc w:val="center"/>
              <w:rPr>
                <w:noProof/>
                <w:sz w:val="18"/>
                <w:szCs w:val="18"/>
              </w:rPr>
            </w:pPr>
          </w:p>
        </w:tc>
        <w:tc>
          <w:tcPr>
            <w:tcW w:w="826" w:type="dxa"/>
            <w:tcBorders>
              <w:bottom w:val="single" w:sz="12" w:space="0" w:color="auto"/>
            </w:tcBorders>
          </w:tcPr>
          <w:p w14:paraId="5EF57633" w14:textId="77777777" w:rsidR="003F3C34" w:rsidRPr="00C16A84" w:rsidRDefault="003F3C34" w:rsidP="008204DA">
            <w:pPr>
              <w:ind w:right="-29"/>
              <w:jc w:val="center"/>
              <w:rPr>
                <w:noProof/>
                <w:sz w:val="18"/>
                <w:szCs w:val="18"/>
              </w:rPr>
            </w:pPr>
          </w:p>
        </w:tc>
      </w:tr>
      <w:tr w:rsidR="003F3C34" w:rsidRPr="00C16A84" w14:paraId="112D32EE" w14:textId="77777777" w:rsidTr="008204DA">
        <w:trPr>
          <w:gridAfter w:val="1"/>
          <w:wAfter w:w="12" w:type="dxa"/>
          <w:jc w:val="center"/>
        </w:trPr>
        <w:tc>
          <w:tcPr>
            <w:tcW w:w="5188" w:type="dxa"/>
            <w:gridSpan w:val="5"/>
            <w:tcBorders>
              <w:top w:val="single" w:sz="12" w:space="0" w:color="auto"/>
              <w:left w:val="single" w:sz="12" w:space="0" w:color="auto"/>
              <w:bottom w:val="single" w:sz="12" w:space="0" w:color="auto"/>
            </w:tcBorders>
            <w:vAlign w:val="center"/>
          </w:tcPr>
          <w:p w14:paraId="4DED0A40" w14:textId="77777777" w:rsidR="003F3C34" w:rsidRPr="00C16A84" w:rsidRDefault="003F3C34" w:rsidP="008204DA">
            <w:pPr>
              <w:ind w:right="-29"/>
              <w:jc w:val="center"/>
              <w:rPr>
                <w:noProof/>
                <w:sz w:val="18"/>
                <w:szCs w:val="18"/>
              </w:rPr>
            </w:pPr>
            <w:r w:rsidRPr="00C16A84">
              <w:rPr>
                <w:b/>
                <w:noProof/>
                <w:sz w:val="18"/>
              </w:rPr>
              <w:t>UKUPNO</w:t>
            </w:r>
          </w:p>
        </w:tc>
        <w:tc>
          <w:tcPr>
            <w:tcW w:w="588" w:type="dxa"/>
            <w:tcBorders>
              <w:top w:val="single" w:sz="12" w:space="0" w:color="auto"/>
              <w:bottom w:val="single" w:sz="12" w:space="0" w:color="auto"/>
            </w:tcBorders>
          </w:tcPr>
          <w:p w14:paraId="19AF1497" w14:textId="77777777" w:rsidR="003F3C34" w:rsidRPr="00C16A84" w:rsidRDefault="003F3C34" w:rsidP="008204DA">
            <w:pPr>
              <w:spacing w:before="180" w:after="180"/>
              <w:ind w:right="-29"/>
              <w:jc w:val="center"/>
              <w:rPr>
                <w:noProof/>
                <w:sz w:val="18"/>
                <w:szCs w:val="18"/>
              </w:rPr>
            </w:pPr>
          </w:p>
        </w:tc>
        <w:tc>
          <w:tcPr>
            <w:tcW w:w="661" w:type="dxa"/>
            <w:gridSpan w:val="2"/>
            <w:tcBorders>
              <w:top w:val="single" w:sz="12" w:space="0" w:color="auto"/>
              <w:bottom w:val="single" w:sz="12" w:space="0" w:color="auto"/>
            </w:tcBorders>
          </w:tcPr>
          <w:p w14:paraId="6CB5A870" w14:textId="77777777" w:rsidR="003F3C34" w:rsidRPr="00C16A84" w:rsidRDefault="003F3C34" w:rsidP="008204DA">
            <w:pPr>
              <w:spacing w:before="180" w:after="180"/>
              <w:ind w:right="-29"/>
              <w:jc w:val="center"/>
              <w:rPr>
                <w:noProof/>
                <w:sz w:val="18"/>
                <w:szCs w:val="18"/>
              </w:rPr>
            </w:pPr>
          </w:p>
        </w:tc>
        <w:tc>
          <w:tcPr>
            <w:tcW w:w="543" w:type="dxa"/>
            <w:tcBorders>
              <w:top w:val="single" w:sz="12" w:space="0" w:color="auto"/>
              <w:bottom w:val="single" w:sz="12" w:space="0" w:color="auto"/>
            </w:tcBorders>
          </w:tcPr>
          <w:p w14:paraId="100BCAC0" w14:textId="77777777" w:rsidR="003F3C34" w:rsidRPr="00C16A84" w:rsidRDefault="003F3C34" w:rsidP="008204DA">
            <w:pPr>
              <w:spacing w:before="180" w:after="180"/>
              <w:ind w:right="-29"/>
              <w:jc w:val="center"/>
              <w:rPr>
                <w:noProof/>
                <w:sz w:val="18"/>
                <w:szCs w:val="18"/>
              </w:rPr>
            </w:pPr>
          </w:p>
        </w:tc>
        <w:tc>
          <w:tcPr>
            <w:tcW w:w="717" w:type="dxa"/>
            <w:gridSpan w:val="2"/>
            <w:tcBorders>
              <w:top w:val="single" w:sz="12" w:space="0" w:color="auto"/>
              <w:bottom w:val="single" w:sz="12" w:space="0" w:color="auto"/>
            </w:tcBorders>
          </w:tcPr>
          <w:p w14:paraId="2F6DD72E" w14:textId="77777777" w:rsidR="003F3C34" w:rsidRPr="00C16A84" w:rsidRDefault="003F3C34" w:rsidP="008204DA">
            <w:pPr>
              <w:spacing w:before="180" w:after="180"/>
              <w:ind w:right="-29"/>
              <w:jc w:val="center"/>
              <w:rPr>
                <w:noProof/>
                <w:sz w:val="18"/>
                <w:szCs w:val="18"/>
              </w:rPr>
            </w:pPr>
          </w:p>
        </w:tc>
        <w:tc>
          <w:tcPr>
            <w:tcW w:w="710" w:type="dxa"/>
            <w:tcBorders>
              <w:top w:val="single" w:sz="12" w:space="0" w:color="auto"/>
              <w:bottom w:val="single" w:sz="12" w:space="0" w:color="auto"/>
            </w:tcBorders>
          </w:tcPr>
          <w:p w14:paraId="23E4D8BA" w14:textId="77777777" w:rsidR="003F3C34" w:rsidRPr="00C16A84" w:rsidRDefault="003F3C34" w:rsidP="008204DA">
            <w:pPr>
              <w:spacing w:before="180" w:after="180"/>
              <w:ind w:right="-29"/>
              <w:jc w:val="center"/>
              <w:rPr>
                <w:noProof/>
                <w:sz w:val="18"/>
                <w:szCs w:val="18"/>
              </w:rPr>
            </w:pPr>
            <w:r w:rsidRPr="00C16A84">
              <w:rPr>
                <w:noProof/>
                <w:sz w:val="18"/>
              </w:rPr>
              <w:t>4</w:t>
            </w:r>
          </w:p>
        </w:tc>
        <w:tc>
          <w:tcPr>
            <w:tcW w:w="730" w:type="dxa"/>
            <w:gridSpan w:val="2"/>
            <w:tcBorders>
              <w:top w:val="single" w:sz="12" w:space="0" w:color="auto"/>
              <w:bottom w:val="single" w:sz="12" w:space="0" w:color="auto"/>
            </w:tcBorders>
          </w:tcPr>
          <w:p w14:paraId="1D5B2952" w14:textId="77777777" w:rsidR="003F3C34" w:rsidRPr="00C16A84" w:rsidRDefault="003F3C34" w:rsidP="008204DA">
            <w:pPr>
              <w:spacing w:before="180" w:after="180"/>
              <w:ind w:right="-29"/>
              <w:jc w:val="center"/>
              <w:rPr>
                <w:noProof/>
                <w:sz w:val="18"/>
                <w:szCs w:val="18"/>
              </w:rPr>
            </w:pPr>
            <w:r w:rsidRPr="00C16A84">
              <w:rPr>
                <w:noProof/>
                <w:sz w:val="18"/>
              </w:rPr>
              <w:t>0,060</w:t>
            </w:r>
          </w:p>
        </w:tc>
        <w:tc>
          <w:tcPr>
            <w:tcW w:w="960" w:type="dxa"/>
            <w:tcBorders>
              <w:top w:val="single" w:sz="12" w:space="0" w:color="auto"/>
              <w:bottom w:val="single" w:sz="12" w:space="0" w:color="auto"/>
            </w:tcBorders>
          </w:tcPr>
          <w:p w14:paraId="4D4CE8C8" w14:textId="77777777" w:rsidR="003F3C34" w:rsidRPr="00C16A84" w:rsidRDefault="00527CEC" w:rsidP="008204DA">
            <w:pPr>
              <w:spacing w:before="180" w:after="180"/>
              <w:ind w:right="-29"/>
              <w:jc w:val="center"/>
              <w:rPr>
                <w:noProof/>
                <w:sz w:val="18"/>
                <w:szCs w:val="18"/>
              </w:rPr>
            </w:pPr>
            <w:r w:rsidRPr="00C16A84">
              <w:rPr>
                <w:noProof/>
                <w:sz w:val="18"/>
              </w:rPr>
              <w:t>5</w:t>
            </w:r>
          </w:p>
        </w:tc>
        <w:tc>
          <w:tcPr>
            <w:tcW w:w="634" w:type="dxa"/>
            <w:tcBorders>
              <w:top w:val="single" w:sz="12" w:space="0" w:color="auto"/>
              <w:bottom w:val="single" w:sz="12" w:space="0" w:color="auto"/>
            </w:tcBorders>
          </w:tcPr>
          <w:p w14:paraId="1A8B3120" w14:textId="77777777" w:rsidR="003F3C34" w:rsidRPr="00C16A84" w:rsidRDefault="003F3C34" w:rsidP="008204DA">
            <w:pPr>
              <w:spacing w:before="180" w:after="180"/>
              <w:ind w:right="-29"/>
              <w:jc w:val="center"/>
              <w:rPr>
                <w:noProof/>
                <w:sz w:val="18"/>
                <w:szCs w:val="18"/>
              </w:rPr>
            </w:pPr>
            <w:r w:rsidRPr="00C16A84">
              <w:rPr>
                <w:noProof/>
                <w:sz w:val="18"/>
              </w:rPr>
              <w:t>0,310</w:t>
            </w:r>
          </w:p>
        </w:tc>
        <w:tc>
          <w:tcPr>
            <w:tcW w:w="642" w:type="dxa"/>
            <w:tcBorders>
              <w:top w:val="single" w:sz="12" w:space="0" w:color="auto"/>
              <w:bottom w:val="single" w:sz="12" w:space="0" w:color="auto"/>
            </w:tcBorders>
          </w:tcPr>
          <w:p w14:paraId="68E864C0" w14:textId="77777777" w:rsidR="003F3C34" w:rsidRPr="00C16A84" w:rsidRDefault="003F3C34" w:rsidP="008204DA">
            <w:pPr>
              <w:spacing w:before="180" w:after="180"/>
              <w:ind w:right="-29"/>
              <w:jc w:val="center"/>
              <w:rPr>
                <w:noProof/>
                <w:sz w:val="18"/>
                <w:szCs w:val="18"/>
              </w:rPr>
            </w:pPr>
            <w:r w:rsidRPr="00C16A84">
              <w:rPr>
                <w:noProof/>
                <w:sz w:val="18"/>
              </w:rPr>
              <w:t>1</w:t>
            </w:r>
          </w:p>
        </w:tc>
        <w:tc>
          <w:tcPr>
            <w:tcW w:w="646" w:type="dxa"/>
            <w:tcBorders>
              <w:top w:val="single" w:sz="12" w:space="0" w:color="auto"/>
              <w:bottom w:val="single" w:sz="12" w:space="0" w:color="auto"/>
            </w:tcBorders>
          </w:tcPr>
          <w:p w14:paraId="366E0892" w14:textId="77777777" w:rsidR="003F3C34" w:rsidRPr="00C16A84" w:rsidRDefault="003F3C34" w:rsidP="008204DA">
            <w:pPr>
              <w:spacing w:before="180" w:after="180"/>
              <w:ind w:right="-29"/>
              <w:jc w:val="center"/>
              <w:rPr>
                <w:noProof/>
                <w:sz w:val="18"/>
                <w:szCs w:val="18"/>
              </w:rPr>
            </w:pPr>
            <w:r w:rsidRPr="00C16A84">
              <w:rPr>
                <w:noProof/>
                <w:sz w:val="18"/>
              </w:rPr>
              <w:t>0,250</w:t>
            </w:r>
          </w:p>
        </w:tc>
        <w:tc>
          <w:tcPr>
            <w:tcW w:w="431" w:type="dxa"/>
            <w:tcBorders>
              <w:top w:val="single" w:sz="12" w:space="0" w:color="auto"/>
              <w:bottom w:val="single" w:sz="12" w:space="0" w:color="auto"/>
            </w:tcBorders>
          </w:tcPr>
          <w:p w14:paraId="364B9551" w14:textId="77777777" w:rsidR="003F3C34" w:rsidRPr="00C16A84" w:rsidRDefault="003F3C34" w:rsidP="008204DA">
            <w:pPr>
              <w:spacing w:before="180" w:after="180"/>
              <w:ind w:right="-29"/>
              <w:jc w:val="center"/>
              <w:rPr>
                <w:noProof/>
                <w:sz w:val="18"/>
                <w:szCs w:val="18"/>
              </w:rPr>
            </w:pPr>
          </w:p>
        </w:tc>
        <w:tc>
          <w:tcPr>
            <w:tcW w:w="563" w:type="dxa"/>
            <w:tcBorders>
              <w:top w:val="single" w:sz="12" w:space="0" w:color="auto"/>
              <w:bottom w:val="single" w:sz="12" w:space="0" w:color="auto"/>
            </w:tcBorders>
          </w:tcPr>
          <w:p w14:paraId="0CAC1AD2" w14:textId="77777777" w:rsidR="003F3C34" w:rsidRPr="00C16A84" w:rsidRDefault="003F3C34" w:rsidP="008204DA">
            <w:pPr>
              <w:spacing w:before="180" w:after="180"/>
              <w:ind w:right="-29"/>
              <w:jc w:val="center"/>
              <w:rPr>
                <w:noProof/>
                <w:sz w:val="18"/>
                <w:szCs w:val="18"/>
              </w:rPr>
            </w:pPr>
          </w:p>
        </w:tc>
        <w:tc>
          <w:tcPr>
            <w:tcW w:w="462" w:type="dxa"/>
            <w:tcBorders>
              <w:top w:val="single" w:sz="12" w:space="0" w:color="auto"/>
              <w:bottom w:val="single" w:sz="12" w:space="0" w:color="auto"/>
            </w:tcBorders>
          </w:tcPr>
          <w:p w14:paraId="418DAE53" w14:textId="77777777" w:rsidR="003F3C34" w:rsidRPr="00C16A84" w:rsidRDefault="003F3C34" w:rsidP="008204DA">
            <w:pPr>
              <w:spacing w:before="180" w:after="180"/>
              <w:ind w:right="-29"/>
              <w:jc w:val="center"/>
              <w:rPr>
                <w:noProof/>
                <w:sz w:val="18"/>
                <w:szCs w:val="18"/>
              </w:rPr>
            </w:pPr>
          </w:p>
        </w:tc>
        <w:tc>
          <w:tcPr>
            <w:tcW w:w="686" w:type="dxa"/>
            <w:tcBorders>
              <w:top w:val="single" w:sz="12" w:space="0" w:color="auto"/>
              <w:bottom w:val="single" w:sz="12" w:space="0" w:color="auto"/>
            </w:tcBorders>
          </w:tcPr>
          <w:p w14:paraId="73657D4B" w14:textId="77777777" w:rsidR="003F3C34" w:rsidRPr="00C16A84" w:rsidRDefault="003F3C34" w:rsidP="008204DA">
            <w:pPr>
              <w:spacing w:before="180" w:after="180"/>
              <w:ind w:right="-29"/>
              <w:jc w:val="center"/>
              <w:rPr>
                <w:noProof/>
                <w:sz w:val="18"/>
                <w:szCs w:val="18"/>
              </w:rPr>
            </w:pPr>
          </w:p>
        </w:tc>
        <w:tc>
          <w:tcPr>
            <w:tcW w:w="560" w:type="dxa"/>
            <w:tcBorders>
              <w:top w:val="single" w:sz="12" w:space="0" w:color="auto"/>
              <w:bottom w:val="single" w:sz="12" w:space="0" w:color="auto"/>
            </w:tcBorders>
          </w:tcPr>
          <w:p w14:paraId="1784899B" w14:textId="77777777" w:rsidR="003F3C34" w:rsidRPr="00C16A84" w:rsidRDefault="003F3C34" w:rsidP="008204DA">
            <w:pPr>
              <w:spacing w:before="180" w:after="180"/>
              <w:ind w:right="-29"/>
              <w:jc w:val="center"/>
              <w:rPr>
                <w:noProof/>
                <w:sz w:val="18"/>
                <w:szCs w:val="18"/>
              </w:rPr>
            </w:pPr>
          </w:p>
        </w:tc>
        <w:tc>
          <w:tcPr>
            <w:tcW w:w="728" w:type="dxa"/>
            <w:tcBorders>
              <w:top w:val="single" w:sz="12" w:space="0" w:color="auto"/>
              <w:bottom w:val="single" w:sz="12" w:space="0" w:color="auto"/>
            </w:tcBorders>
          </w:tcPr>
          <w:p w14:paraId="529FAD64" w14:textId="77777777" w:rsidR="003F3C34" w:rsidRPr="00C16A84" w:rsidRDefault="003F3C34" w:rsidP="008204DA">
            <w:pPr>
              <w:spacing w:before="180" w:after="180"/>
              <w:ind w:right="-29"/>
              <w:jc w:val="center"/>
              <w:rPr>
                <w:noProof/>
                <w:sz w:val="18"/>
                <w:szCs w:val="18"/>
              </w:rPr>
            </w:pPr>
          </w:p>
        </w:tc>
        <w:tc>
          <w:tcPr>
            <w:tcW w:w="616" w:type="dxa"/>
            <w:tcBorders>
              <w:top w:val="single" w:sz="12" w:space="0" w:color="auto"/>
              <w:bottom w:val="single" w:sz="12" w:space="0" w:color="auto"/>
            </w:tcBorders>
          </w:tcPr>
          <w:p w14:paraId="52CBA401" w14:textId="77777777" w:rsidR="003F3C34" w:rsidRPr="00C16A84" w:rsidRDefault="00527CEC" w:rsidP="008204DA">
            <w:pPr>
              <w:spacing w:before="180" w:after="180"/>
              <w:ind w:right="-29"/>
              <w:jc w:val="center"/>
              <w:rPr>
                <w:noProof/>
                <w:sz w:val="18"/>
                <w:szCs w:val="18"/>
              </w:rPr>
            </w:pPr>
            <w:r w:rsidRPr="00C16A84">
              <w:rPr>
                <w:noProof/>
                <w:sz w:val="18"/>
              </w:rPr>
              <w:t>10</w:t>
            </w:r>
          </w:p>
        </w:tc>
        <w:tc>
          <w:tcPr>
            <w:tcW w:w="826" w:type="dxa"/>
            <w:tcBorders>
              <w:top w:val="single" w:sz="12" w:space="0" w:color="auto"/>
              <w:bottom w:val="single" w:sz="12" w:space="0" w:color="auto"/>
              <w:right w:val="single" w:sz="12" w:space="0" w:color="auto"/>
            </w:tcBorders>
          </w:tcPr>
          <w:p w14:paraId="695F898F" w14:textId="77777777" w:rsidR="003F3C34" w:rsidRPr="00C16A84" w:rsidRDefault="003F3C34" w:rsidP="008204DA">
            <w:pPr>
              <w:spacing w:before="180" w:after="180"/>
              <w:ind w:right="-29"/>
              <w:jc w:val="center"/>
              <w:rPr>
                <w:noProof/>
                <w:sz w:val="18"/>
                <w:szCs w:val="18"/>
              </w:rPr>
            </w:pPr>
            <w:r w:rsidRPr="00C16A84">
              <w:rPr>
                <w:noProof/>
                <w:sz w:val="18"/>
              </w:rPr>
              <w:t>0,620</w:t>
            </w:r>
          </w:p>
        </w:tc>
      </w:tr>
    </w:tbl>
    <w:p w14:paraId="0E07913B" w14:textId="77777777" w:rsidR="003F3C34" w:rsidRPr="00C16A84" w:rsidRDefault="003F3C34" w:rsidP="003F3C34">
      <w:pPr>
        <w:rPr>
          <w:noProof/>
        </w:rPr>
        <w:sectPr w:rsidR="003F3C34" w:rsidRPr="00C16A84" w:rsidSect="00396AE5">
          <w:headerReference w:type="default" r:id="rId13"/>
          <w:footerReference w:type="default" r:id="rId14"/>
          <w:headerReference w:type="first" r:id="rId15"/>
          <w:footerReference w:type="first" r:id="rId16"/>
          <w:pgSz w:w="16840" w:h="11907" w:orient="landscape" w:code="9"/>
          <w:pgMar w:top="1134" w:right="1418" w:bottom="567" w:left="1418" w:header="709" w:footer="709" w:gutter="0"/>
          <w:cols w:space="708"/>
          <w:docGrid w:linePitch="360"/>
        </w:sectPr>
      </w:pPr>
    </w:p>
    <w:p w14:paraId="535B43D2" w14:textId="77777777" w:rsidR="003F3C34" w:rsidRPr="00C16A84" w:rsidRDefault="003F3C34" w:rsidP="003F3C34">
      <w:pPr>
        <w:pStyle w:val="ManualHeading3"/>
        <w:rPr>
          <w:bCs/>
          <w:noProof/>
          <w:szCs w:val="24"/>
        </w:rPr>
      </w:pPr>
      <w:bookmarkStart w:id="91" w:name="_Toc514938055"/>
      <w:bookmarkStart w:id="92" w:name="_Toc145493430"/>
      <w:r w:rsidRPr="00C16A84">
        <w:rPr>
          <w:noProof/>
        </w:rPr>
        <w:t>3.2.3.</w:t>
      </w:r>
      <w:r w:rsidRPr="00C16A84">
        <w:rPr>
          <w:noProof/>
        </w:rPr>
        <w:tab/>
        <w:t>Sažetak procijenjenog učinka na administrativna odobrena sredstva</w:t>
      </w:r>
      <w:bookmarkEnd w:id="91"/>
      <w:bookmarkEnd w:id="92"/>
      <w:r w:rsidRPr="00C16A84">
        <w:rPr>
          <w:noProof/>
        </w:rPr>
        <w:t xml:space="preserve"> </w:t>
      </w:r>
    </w:p>
    <w:p w14:paraId="6F45C2C0" w14:textId="77777777" w:rsidR="003F3C34" w:rsidRPr="00C16A84" w:rsidRDefault="003F3C34" w:rsidP="00E47EEA">
      <w:pPr>
        <w:pStyle w:val="ListDash1"/>
        <w:rPr>
          <w:noProof/>
        </w:rPr>
      </w:pPr>
      <w:r w:rsidRPr="00C16A84">
        <w:rPr>
          <w:noProof/>
        </w:rPr>
        <w:sym w:font="Wingdings" w:char="F0A8"/>
      </w:r>
      <w:r w:rsidRPr="00C16A84">
        <w:rPr>
          <w:noProof/>
        </w:rPr>
        <w:tab/>
        <w:t xml:space="preserve">Za prijedlog/inicijativu nisu potrebna administrativna odobrena sredstva. </w:t>
      </w:r>
    </w:p>
    <w:p w14:paraId="624D3C6E" w14:textId="77777777" w:rsidR="003F3C34" w:rsidRPr="00C16A84" w:rsidRDefault="003F3C34" w:rsidP="00E47EEA">
      <w:pPr>
        <w:pStyle w:val="ListDash1"/>
        <w:rPr>
          <w:noProof/>
        </w:rPr>
      </w:pPr>
      <w:r w:rsidRPr="00C16A84">
        <w:rPr>
          <w:noProof/>
        </w:rPr>
        <w:t>X</w:t>
      </w:r>
      <w:r w:rsidRPr="00C16A84">
        <w:rPr>
          <w:noProof/>
        </w:rPr>
        <w:tab/>
        <w:t>Za prijedlog/inicijativu potrebna su sljedeća administrativna odobrena sredstva:</w:t>
      </w:r>
    </w:p>
    <w:p w14:paraId="48142B64" w14:textId="77777777" w:rsidR="003F3C34" w:rsidRPr="00C16A84" w:rsidRDefault="003F3C34" w:rsidP="003F3C34">
      <w:pPr>
        <w:jc w:val="right"/>
        <w:rPr>
          <w:noProof/>
          <w:sz w:val="20"/>
        </w:rPr>
      </w:pPr>
      <w:r w:rsidRPr="00C16A84">
        <w:rPr>
          <w:noProof/>
          <w:sz w:val="20"/>
        </w:rPr>
        <w:t>U milijunima EUR (do 3 decimalna mjesta)</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F3C34" w:rsidRPr="00C16A84" w14:paraId="3F5F3FB5" w14:textId="77777777" w:rsidTr="008204DA">
        <w:trPr>
          <w:trHeight w:val="585"/>
        </w:trPr>
        <w:tc>
          <w:tcPr>
            <w:tcW w:w="1980" w:type="dxa"/>
          </w:tcPr>
          <w:p w14:paraId="48D17697" w14:textId="77777777" w:rsidR="003F3C34" w:rsidRPr="00C16A84" w:rsidRDefault="003F3C34" w:rsidP="008204DA">
            <w:pPr>
              <w:spacing w:before="60" w:after="60" w:line="200" w:lineRule="exact"/>
              <w:rPr>
                <w:noProof/>
                <w:sz w:val="16"/>
                <w:szCs w:val="16"/>
              </w:rPr>
            </w:pPr>
          </w:p>
        </w:tc>
        <w:tc>
          <w:tcPr>
            <w:tcW w:w="1080" w:type="dxa"/>
            <w:vAlign w:val="center"/>
          </w:tcPr>
          <w:p w14:paraId="26BF61D6" w14:textId="77777777" w:rsidR="003F3C34" w:rsidRPr="00C16A84" w:rsidRDefault="003F3C34" w:rsidP="008204DA">
            <w:pPr>
              <w:spacing w:before="60" w:after="60" w:line="200" w:lineRule="exact"/>
              <w:jc w:val="center"/>
              <w:rPr>
                <w:noProof/>
                <w:sz w:val="16"/>
                <w:szCs w:val="16"/>
              </w:rPr>
            </w:pPr>
            <w:r w:rsidRPr="00C16A84">
              <w:rPr>
                <w:noProof/>
                <w:sz w:val="16"/>
              </w:rPr>
              <w:t>2023.</w:t>
            </w:r>
          </w:p>
        </w:tc>
        <w:tc>
          <w:tcPr>
            <w:tcW w:w="1080" w:type="dxa"/>
            <w:vAlign w:val="center"/>
          </w:tcPr>
          <w:p w14:paraId="17192690" w14:textId="77777777" w:rsidR="003F3C34" w:rsidRPr="00C16A84" w:rsidRDefault="003F3C34" w:rsidP="008204DA">
            <w:pPr>
              <w:spacing w:before="60" w:after="60" w:line="200" w:lineRule="exact"/>
              <w:jc w:val="center"/>
              <w:rPr>
                <w:noProof/>
                <w:sz w:val="16"/>
                <w:szCs w:val="16"/>
              </w:rPr>
            </w:pPr>
            <w:r w:rsidRPr="00C16A84">
              <w:rPr>
                <w:noProof/>
                <w:sz w:val="16"/>
              </w:rPr>
              <w:t>2024.</w:t>
            </w:r>
          </w:p>
        </w:tc>
        <w:tc>
          <w:tcPr>
            <w:tcW w:w="1080" w:type="dxa"/>
            <w:vAlign w:val="center"/>
          </w:tcPr>
          <w:p w14:paraId="3AE9114B" w14:textId="77777777" w:rsidR="003F3C34" w:rsidRPr="00C16A84" w:rsidRDefault="003F3C34" w:rsidP="008204DA">
            <w:pPr>
              <w:spacing w:before="60" w:after="60" w:line="200" w:lineRule="exact"/>
              <w:jc w:val="center"/>
              <w:rPr>
                <w:noProof/>
                <w:sz w:val="16"/>
                <w:szCs w:val="16"/>
              </w:rPr>
            </w:pPr>
            <w:r w:rsidRPr="00C16A84">
              <w:rPr>
                <w:noProof/>
                <w:sz w:val="16"/>
              </w:rPr>
              <w:t>2025.</w:t>
            </w:r>
          </w:p>
        </w:tc>
        <w:tc>
          <w:tcPr>
            <w:tcW w:w="1080" w:type="dxa"/>
            <w:vAlign w:val="center"/>
          </w:tcPr>
          <w:p w14:paraId="1A493FD1" w14:textId="77777777" w:rsidR="003F3C34" w:rsidRPr="00C16A84" w:rsidRDefault="003F3C34" w:rsidP="008204DA">
            <w:pPr>
              <w:spacing w:before="60" w:after="60" w:line="200" w:lineRule="exact"/>
              <w:jc w:val="center"/>
              <w:rPr>
                <w:noProof/>
                <w:sz w:val="16"/>
                <w:szCs w:val="16"/>
              </w:rPr>
            </w:pPr>
            <w:r w:rsidRPr="00C16A84">
              <w:rPr>
                <w:noProof/>
                <w:sz w:val="16"/>
              </w:rPr>
              <w:t>2026.</w:t>
            </w:r>
          </w:p>
        </w:tc>
        <w:tc>
          <w:tcPr>
            <w:tcW w:w="1080" w:type="dxa"/>
            <w:vAlign w:val="center"/>
          </w:tcPr>
          <w:p w14:paraId="0721F90A" w14:textId="77777777" w:rsidR="003F3C34" w:rsidRPr="00C16A84" w:rsidRDefault="003F3C34" w:rsidP="008204DA">
            <w:pPr>
              <w:spacing w:line="200" w:lineRule="exact"/>
              <w:jc w:val="center"/>
              <w:rPr>
                <w:b/>
                <w:noProof/>
                <w:sz w:val="16"/>
                <w:szCs w:val="16"/>
              </w:rPr>
            </w:pPr>
            <w:r w:rsidRPr="00C16A84">
              <w:rPr>
                <w:noProof/>
                <w:sz w:val="16"/>
              </w:rPr>
              <w:t>2027.</w:t>
            </w:r>
          </w:p>
        </w:tc>
        <w:tc>
          <w:tcPr>
            <w:tcW w:w="1080" w:type="dxa"/>
            <w:vAlign w:val="center"/>
          </w:tcPr>
          <w:p w14:paraId="3D5BAC61" w14:textId="77777777" w:rsidR="003F3C34" w:rsidRPr="00C16A84" w:rsidRDefault="003F3C34" w:rsidP="008204DA">
            <w:pPr>
              <w:spacing w:line="200" w:lineRule="exact"/>
              <w:jc w:val="center"/>
              <w:rPr>
                <w:b/>
                <w:noProof/>
                <w:sz w:val="16"/>
                <w:szCs w:val="16"/>
              </w:rPr>
            </w:pPr>
          </w:p>
        </w:tc>
        <w:tc>
          <w:tcPr>
            <w:tcW w:w="1080" w:type="dxa"/>
            <w:vAlign w:val="center"/>
          </w:tcPr>
          <w:p w14:paraId="00F0E47A" w14:textId="77777777" w:rsidR="003F3C34" w:rsidRPr="00C16A84" w:rsidRDefault="003F3C34" w:rsidP="008204DA">
            <w:pPr>
              <w:spacing w:line="200" w:lineRule="exact"/>
              <w:jc w:val="center"/>
              <w:rPr>
                <w:b/>
                <w:noProof/>
                <w:sz w:val="16"/>
                <w:szCs w:val="16"/>
              </w:rPr>
            </w:pPr>
          </w:p>
        </w:tc>
        <w:tc>
          <w:tcPr>
            <w:tcW w:w="1080" w:type="dxa"/>
            <w:vAlign w:val="center"/>
          </w:tcPr>
          <w:p w14:paraId="3479CAA1" w14:textId="77777777" w:rsidR="003F3C34" w:rsidRPr="00C16A84" w:rsidRDefault="003F3C34" w:rsidP="008204DA">
            <w:pPr>
              <w:spacing w:before="60" w:after="60" w:line="200" w:lineRule="exact"/>
              <w:jc w:val="center"/>
              <w:rPr>
                <w:b/>
                <w:noProof/>
                <w:sz w:val="16"/>
                <w:szCs w:val="16"/>
              </w:rPr>
            </w:pPr>
            <w:r w:rsidRPr="00C16A84">
              <w:rPr>
                <w:b/>
                <w:noProof/>
                <w:sz w:val="16"/>
              </w:rPr>
              <w:t>UKUPNO</w:t>
            </w:r>
          </w:p>
        </w:tc>
      </w:tr>
    </w:tbl>
    <w:p w14:paraId="441BD117" w14:textId="77777777" w:rsidR="003F3C34" w:rsidRPr="00C16A84" w:rsidRDefault="003F3C34" w:rsidP="003F3C34">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F3C34" w:rsidRPr="00C16A84" w14:paraId="588CF56C" w14:textId="77777777" w:rsidTr="008204DA">
        <w:trPr>
          <w:trHeight w:val="585"/>
        </w:trPr>
        <w:tc>
          <w:tcPr>
            <w:tcW w:w="1980" w:type="dxa"/>
            <w:shd w:val="clear" w:color="auto" w:fill="CCCCCC"/>
            <w:vAlign w:val="center"/>
          </w:tcPr>
          <w:p w14:paraId="7A3148B4" w14:textId="77777777" w:rsidR="003F3C34" w:rsidRPr="00C16A84" w:rsidRDefault="003F3C34" w:rsidP="008204DA">
            <w:pPr>
              <w:spacing w:before="60" w:after="60" w:line="200" w:lineRule="exact"/>
              <w:jc w:val="center"/>
              <w:rPr>
                <w:b/>
                <w:noProof/>
                <w:sz w:val="16"/>
                <w:szCs w:val="16"/>
              </w:rPr>
            </w:pPr>
            <w:r w:rsidRPr="00C16A84">
              <w:rPr>
                <w:b/>
                <w:noProof/>
                <w:sz w:val="16"/>
              </w:rPr>
              <w:t>NASLOV 7.</w:t>
            </w:r>
            <w:r w:rsidRPr="00C16A84">
              <w:rPr>
                <w:noProof/>
              </w:rPr>
              <w:t xml:space="preserve"> </w:t>
            </w:r>
            <w:r w:rsidRPr="00C16A84">
              <w:rPr>
                <w:noProof/>
              </w:rPr>
              <w:br/>
            </w:r>
            <w:r w:rsidRPr="00C16A84">
              <w:rPr>
                <w:b/>
                <w:noProof/>
                <w:sz w:val="16"/>
              </w:rPr>
              <w:t>višegodišnjeg financijskog okvira</w:t>
            </w:r>
          </w:p>
        </w:tc>
        <w:tc>
          <w:tcPr>
            <w:tcW w:w="1080" w:type="dxa"/>
            <w:vAlign w:val="center"/>
          </w:tcPr>
          <w:p w14:paraId="4FBF0A11" w14:textId="77777777" w:rsidR="003F3C34" w:rsidRPr="00C16A84" w:rsidRDefault="003F3C34" w:rsidP="008204DA">
            <w:pPr>
              <w:spacing w:before="60" w:after="60" w:line="200" w:lineRule="exact"/>
              <w:jc w:val="right"/>
              <w:rPr>
                <w:noProof/>
                <w:sz w:val="16"/>
                <w:szCs w:val="16"/>
              </w:rPr>
            </w:pPr>
          </w:p>
        </w:tc>
        <w:tc>
          <w:tcPr>
            <w:tcW w:w="1080" w:type="dxa"/>
            <w:vAlign w:val="center"/>
          </w:tcPr>
          <w:p w14:paraId="6EF1FE92" w14:textId="77777777" w:rsidR="003F3C34" w:rsidRPr="00C16A84" w:rsidRDefault="003F3C34" w:rsidP="008204DA">
            <w:pPr>
              <w:spacing w:before="60" w:after="60" w:line="200" w:lineRule="exact"/>
              <w:jc w:val="right"/>
              <w:rPr>
                <w:noProof/>
                <w:sz w:val="16"/>
                <w:szCs w:val="16"/>
              </w:rPr>
            </w:pPr>
          </w:p>
        </w:tc>
        <w:tc>
          <w:tcPr>
            <w:tcW w:w="1080" w:type="dxa"/>
            <w:vAlign w:val="center"/>
          </w:tcPr>
          <w:p w14:paraId="54C0236B" w14:textId="77777777" w:rsidR="003F3C34" w:rsidRPr="00C16A84" w:rsidRDefault="003F3C34" w:rsidP="008204DA">
            <w:pPr>
              <w:spacing w:before="60" w:after="60" w:line="200" w:lineRule="exact"/>
              <w:jc w:val="right"/>
              <w:rPr>
                <w:noProof/>
                <w:sz w:val="16"/>
                <w:szCs w:val="16"/>
              </w:rPr>
            </w:pPr>
          </w:p>
        </w:tc>
        <w:tc>
          <w:tcPr>
            <w:tcW w:w="1080" w:type="dxa"/>
            <w:vAlign w:val="center"/>
          </w:tcPr>
          <w:p w14:paraId="6A1BADCA" w14:textId="77777777" w:rsidR="003F3C34" w:rsidRPr="00C16A84" w:rsidRDefault="003F3C34" w:rsidP="008204DA">
            <w:pPr>
              <w:spacing w:before="60" w:after="60" w:line="200" w:lineRule="exact"/>
              <w:jc w:val="right"/>
              <w:rPr>
                <w:noProof/>
                <w:sz w:val="16"/>
                <w:szCs w:val="16"/>
              </w:rPr>
            </w:pPr>
          </w:p>
        </w:tc>
        <w:tc>
          <w:tcPr>
            <w:tcW w:w="1080" w:type="dxa"/>
            <w:vAlign w:val="center"/>
          </w:tcPr>
          <w:p w14:paraId="42E70A21" w14:textId="77777777" w:rsidR="003F3C34" w:rsidRPr="00C16A84" w:rsidRDefault="003F3C34" w:rsidP="008204DA">
            <w:pPr>
              <w:spacing w:before="60" w:after="60" w:line="200" w:lineRule="exact"/>
              <w:jc w:val="right"/>
              <w:rPr>
                <w:noProof/>
                <w:sz w:val="16"/>
                <w:szCs w:val="16"/>
              </w:rPr>
            </w:pPr>
          </w:p>
        </w:tc>
        <w:tc>
          <w:tcPr>
            <w:tcW w:w="1080" w:type="dxa"/>
            <w:vAlign w:val="center"/>
          </w:tcPr>
          <w:p w14:paraId="347C7579" w14:textId="77777777" w:rsidR="003F3C34" w:rsidRPr="00C16A84" w:rsidRDefault="003F3C34" w:rsidP="008204DA">
            <w:pPr>
              <w:spacing w:before="60" w:after="60" w:line="200" w:lineRule="exact"/>
              <w:jc w:val="right"/>
              <w:rPr>
                <w:noProof/>
                <w:sz w:val="16"/>
                <w:szCs w:val="16"/>
              </w:rPr>
            </w:pPr>
          </w:p>
        </w:tc>
        <w:tc>
          <w:tcPr>
            <w:tcW w:w="1080" w:type="dxa"/>
            <w:vAlign w:val="center"/>
          </w:tcPr>
          <w:p w14:paraId="25B36280" w14:textId="77777777" w:rsidR="003F3C34" w:rsidRPr="00C16A84" w:rsidRDefault="003F3C34" w:rsidP="008204DA">
            <w:pPr>
              <w:spacing w:before="60" w:after="60" w:line="200" w:lineRule="exact"/>
              <w:jc w:val="right"/>
              <w:rPr>
                <w:b/>
                <w:noProof/>
                <w:sz w:val="16"/>
                <w:szCs w:val="16"/>
              </w:rPr>
            </w:pPr>
          </w:p>
        </w:tc>
        <w:tc>
          <w:tcPr>
            <w:tcW w:w="1080" w:type="dxa"/>
            <w:vAlign w:val="center"/>
          </w:tcPr>
          <w:p w14:paraId="6DD67D2C" w14:textId="77777777" w:rsidR="003F3C34" w:rsidRPr="00C16A84" w:rsidRDefault="003F3C34" w:rsidP="008204DA">
            <w:pPr>
              <w:spacing w:before="60" w:after="60" w:line="200" w:lineRule="exact"/>
              <w:jc w:val="right"/>
              <w:rPr>
                <w:b/>
                <w:noProof/>
                <w:sz w:val="16"/>
                <w:szCs w:val="16"/>
              </w:rPr>
            </w:pPr>
          </w:p>
        </w:tc>
      </w:tr>
      <w:tr w:rsidR="003F3C34" w:rsidRPr="00C16A84" w14:paraId="48535A96" w14:textId="77777777" w:rsidTr="008204DA">
        <w:trPr>
          <w:trHeight w:val="585"/>
        </w:trPr>
        <w:tc>
          <w:tcPr>
            <w:tcW w:w="1980" w:type="dxa"/>
            <w:vAlign w:val="center"/>
          </w:tcPr>
          <w:p w14:paraId="32B01491" w14:textId="77777777" w:rsidR="003F3C34" w:rsidRPr="00C16A84" w:rsidRDefault="003F3C34" w:rsidP="008204DA">
            <w:pPr>
              <w:spacing w:before="60" w:after="60" w:line="200" w:lineRule="exact"/>
              <w:ind w:left="72"/>
              <w:jc w:val="left"/>
              <w:rPr>
                <w:noProof/>
                <w:sz w:val="16"/>
                <w:szCs w:val="16"/>
              </w:rPr>
            </w:pPr>
            <w:r w:rsidRPr="00C16A84">
              <w:rPr>
                <w:noProof/>
                <w:sz w:val="16"/>
              </w:rPr>
              <w:t xml:space="preserve">Ljudski resursi </w:t>
            </w:r>
          </w:p>
        </w:tc>
        <w:tc>
          <w:tcPr>
            <w:tcW w:w="1080" w:type="dxa"/>
            <w:vAlign w:val="center"/>
          </w:tcPr>
          <w:p w14:paraId="2811BA78" w14:textId="77777777" w:rsidR="003F3C34" w:rsidRPr="00C16A84" w:rsidRDefault="003F3C34" w:rsidP="008204DA">
            <w:pPr>
              <w:spacing w:before="60" w:after="60" w:line="200" w:lineRule="exact"/>
              <w:jc w:val="right"/>
              <w:rPr>
                <w:noProof/>
                <w:sz w:val="16"/>
                <w:szCs w:val="16"/>
              </w:rPr>
            </w:pPr>
            <w:r w:rsidRPr="00C16A84">
              <w:rPr>
                <w:noProof/>
                <w:sz w:val="16"/>
              </w:rPr>
              <w:t>0,342</w:t>
            </w:r>
          </w:p>
        </w:tc>
        <w:tc>
          <w:tcPr>
            <w:tcW w:w="1080" w:type="dxa"/>
            <w:vAlign w:val="center"/>
          </w:tcPr>
          <w:p w14:paraId="4B2B657C" w14:textId="77777777" w:rsidR="003F3C34" w:rsidRPr="00C16A84" w:rsidRDefault="00504A2C" w:rsidP="008204DA">
            <w:pPr>
              <w:spacing w:before="60" w:after="60" w:line="200" w:lineRule="exact"/>
              <w:jc w:val="right"/>
              <w:rPr>
                <w:noProof/>
                <w:sz w:val="16"/>
                <w:szCs w:val="16"/>
              </w:rPr>
            </w:pPr>
            <w:r w:rsidRPr="00C16A84">
              <w:rPr>
                <w:noProof/>
                <w:sz w:val="16"/>
              </w:rPr>
              <w:t>0,342</w:t>
            </w:r>
          </w:p>
        </w:tc>
        <w:tc>
          <w:tcPr>
            <w:tcW w:w="1080" w:type="dxa"/>
            <w:vAlign w:val="center"/>
          </w:tcPr>
          <w:p w14:paraId="5AE1225B" w14:textId="77777777" w:rsidR="003F3C34" w:rsidRPr="00C16A84" w:rsidRDefault="00504A2C" w:rsidP="008204DA">
            <w:pPr>
              <w:spacing w:before="60" w:after="60" w:line="200" w:lineRule="exact"/>
              <w:jc w:val="right"/>
              <w:rPr>
                <w:noProof/>
                <w:sz w:val="16"/>
                <w:szCs w:val="16"/>
              </w:rPr>
            </w:pPr>
            <w:r w:rsidRPr="00C16A84">
              <w:rPr>
                <w:noProof/>
                <w:sz w:val="16"/>
              </w:rPr>
              <w:t>0,342</w:t>
            </w:r>
          </w:p>
        </w:tc>
        <w:tc>
          <w:tcPr>
            <w:tcW w:w="1080" w:type="dxa"/>
            <w:vAlign w:val="center"/>
          </w:tcPr>
          <w:p w14:paraId="09EFF4DF" w14:textId="77777777" w:rsidR="003F3C34" w:rsidRPr="00C16A84" w:rsidRDefault="00504A2C" w:rsidP="008204DA">
            <w:pPr>
              <w:spacing w:before="60" w:after="60" w:line="200" w:lineRule="exact"/>
              <w:jc w:val="right"/>
              <w:rPr>
                <w:noProof/>
                <w:sz w:val="16"/>
                <w:szCs w:val="16"/>
              </w:rPr>
            </w:pPr>
            <w:r w:rsidRPr="00C16A84">
              <w:rPr>
                <w:noProof/>
                <w:sz w:val="16"/>
              </w:rPr>
              <w:t>0,342</w:t>
            </w:r>
          </w:p>
        </w:tc>
        <w:tc>
          <w:tcPr>
            <w:tcW w:w="1080" w:type="dxa"/>
            <w:vAlign w:val="center"/>
          </w:tcPr>
          <w:p w14:paraId="5591D37F" w14:textId="77777777" w:rsidR="003F3C34" w:rsidRPr="00C16A84" w:rsidRDefault="003F3C34" w:rsidP="008204DA">
            <w:pPr>
              <w:spacing w:before="60" w:after="60" w:line="200" w:lineRule="exact"/>
              <w:jc w:val="right"/>
              <w:rPr>
                <w:noProof/>
                <w:sz w:val="16"/>
                <w:szCs w:val="16"/>
              </w:rPr>
            </w:pPr>
            <w:r w:rsidRPr="00C16A84">
              <w:rPr>
                <w:noProof/>
                <w:sz w:val="16"/>
              </w:rPr>
              <w:t>0,342</w:t>
            </w:r>
          </w:p>
        </w:tc>
        <w:tc>
          <w:tcPr>
            <w:tcW w:w="1080" w:type="dxa"/>
            <w:vAlign w:val="center"/>
          </w:tcPr>
          <w:p w14:paraId="566B89B9" w14:textId="77777777" w:rsidR="003F3C34" w:rsidRPr="00C16A84" w:rsidRDefault="003F3C34" w:rsidP="008204DA">
            <w:pPr>
              <w:spacing w:before="60" w:after="60" w:line="200" w:lineRule="exact"/>
              <w:jc w:val="right"/>
              <w:rPr>
                <w:noProof/>
                <w:sz w:val="16"/>
                <w:szCs w:val="16"/>
              </w:rPr>
            </w:pPr>
          </w:p>
        </w:tc>
        <w:tc>
          <w:tcPr>
            <w:tcW w:w="1080" w:type="dxa"/>
            <w:vAlign w:val="center"/>
          </w:tcPr>
          <w:p w14:paraId="768F6F32" w14:textId="77777777" w:rsidR="003F3C34" w:rsidRPr="00C16A84" w:rsidRDefault="003F3C34" w:rsidP="008204DA">
            <w:pPr>
              <w:spacing w:before="60" w:after="60" w:line="200" w:lineRule="exact"/>
              <w:jc w:val="right"/>
              <w:rPr>
                <w:b/>
                <w:noProof/>
                <w:sz w:val="16"/>
                <w:szCs w:val="16"/>
              </w:rPr>
            </w:pPr>
          </w:p>
        </w:tc>
        <w:tc>
          <w:tcPr>
            <w:tcW w:w="1080" w:type="dxa"/>
            <w:vAlign w:val="center"/>
          </w:tcPr>
          <w:p w14:paraId="77A9CE11" w14:textId="77777777" w:rsidR="003F3C34" w:rsidRPr="00C16A84" w:rsidRDefault="00504A2C" w:rsidP="008204DA">
            <w:pPr>
              <w:spacing w:before="60" w:after="60" w:line="200" w:lineRule="exact"/>
              <w:jc w:val="right"/>
              <w:rPr>
                <w:b/>
                <w:noProof/>
                <w:sz w:val="16"/>
                <w:szCs w:val="16"/>
              </w:rPr>
            </w:pPr>
            <w:r w:rsidRPr="00C16A84">
              <w:rPr>
                <w:b/>
                <w:noProof/>
                <w:sz w:val="16"/>
              </w:rPr>
              <w:t>1,710</w:t>
            </w:r>
          </w:p>
        </w:tc>
      </w:tr>
      <w:tr w:rsidR="003F3C34" w:rsidRPr="00C16A84" w14:paraId="24D05B76" w14:textId="77777777" w:rsidTr="008204DA">
        <w:trPr>
          <w:trHeight w:val="585"/>
        </w:trPr>
        <w:tc>
          <w:tcPr>
            <w:tcW w:w="1980" w:type="dxa"/>
            <w:vAlign w:val="center"/>
          </w:tcPr>
          <w:p w14:paraId="40C7026F" w14:textId="77777777" w:rsidR="003F3C34" w:rsidRPr="00C16A84" w:rsidRDefault="003F3C34" w:rsidP="008204DA">
            <w:pPr>
              <w:spacing w:before="60" w:after="60" w:line="200" w:lineRule="exact"/>
              <w:ind w:left="72"/>
              <w:jc w:val="left"/>
              <w:rPr>
                <w:noProof/>
                <w:sz w:val="16"/>
                <w:szCs w:val="16"/>
              </w:rPr>
            </w:pPr>
            <w:r w:rsidRPr="00C16A84">
              <w:rPr>
                <w:noProof/>
                <w:sz w:val="16"/>
              </w:rPr>
              <w:t xml:space="preserve">Ostali administrativni rashodi </w:t>
            </w:r>
          </w:p>
        </w:tc>
        <w:tc>
          <w:tcPr>
            <w:tcW w:w="1080" w:type="dxa"/>
            <w:vAlign w:val="center"/>
          </w:tcPr>
          <w:p w14:paraId="2DB54347" w14:textId="77777777" w:rsidR="003F3C34" w:rsidRPr="00C16A84" w:rsidRDefault="003F3C34" w:rsidP="008204DA">
            <w:pPr>
              <w:spacing w:before="60" w:after="60" w:line="200" w:lineRule="exact"/>
              <w:jc w:val="right"/>
              <w:rPr>
                <w:noProof/>
                <w:sz w:val="16"/>
                <w:szCs w:val="16"/>
              </w:rPr>
            </w:pPr>
          </w:p>
        </w:tc>
        <w:tc>
          <w:tcPr>
            <w:tcW w:w="1080" w:type="dxa"/>
            <w:vAlign w:val="center"/>
          </w:tcPr>
          <w:p w14:paraId="1DE2C44D" w14:textId="77777777" w:rsidR="003F3C34" w:rsidRPr="00C16A84" w:rsidRDefault="003F3C34" w:rsidP="008204DA">
            <w:pPr>
              <w:spacing w:before="60" w:after="60" w:line="200" w:lineRule="exact"/>
              <w:jc w:val="right"/>
              <w:rPr>
                <w:noProof/>
                <w:sz w:val="16"/>
                <w:szCs w:val="16"/>
              </w:rPr>
            </w:pPr>
          </w:p>
        </w:tc>
        <w:tc>
          <w:tcPr>
            <w:tcW w:w="1080" w:type="dxa"/>
            <w:vAlign w:val="center"/>
          </w:tcPr>
          <w:p w14:paraId="1F9178B8" w14:textId="77777777" w:rsidR="003F3C34" w:rsidRPr="00C16A84" w:rsidRDefault="003F3C34" w:rsidP="008204DA">
            <w:pPr>
              <w:spacing w:before="60" w:after="60" w:line="200" w:lineRule="exact"/>
              <w:jc w:val="right"/>
              <w:rPr>
                <w:noProof/>
                <w:sz w:val="16"/>
                <w:szCs w:val="16"/>
              </w:rPr>
            </w:pPr>
          </w:p>
        </w:tc>
        <w:tc>
          <w:tcPr>
            <w:tcW w:w="1080" w:type="dxa"/>
            <w:vAlign w:val="center"/>
          </w:tcPr>
          <w:p w14:paraId="2AD0EDE8" w14:textId="77777777" w:rsidR="003F3C34" w:rsidRPr="00C16A84" w:rsidRDefault="003F3C34" w:rsidP="008204DA">
            <w:pPr>
              <w:spacing w:before="60" w:after="60" w:line="200" w:lineRule="exact"/>
              <w:jc w:val="right"/>
              <w:rPr>
                <w:noProof/>
                <w:sz w:val="16"/>
                <w:szCs w:val="16"/>
              </w:rPr>
            </w:pPr>
          </w:p>
        </w:tc>
        <w:tc>
          <w:tcPr>
            <w:tcW w:w="1080" w:type="dxa"/>
            <w:vAlign w:val="center"/>
          </w:tcPr>
          <w:p w14:paraId="2C43A690" w14:textId="77777777" w:rsidR="003F3C34" w:rsidRPr="00C16A84" w:rsidRDefault="003F3C34" w:rsidP="008204DA">
            <w:pPr>
              <w:spacing w:before="60" w:after="60" w:line="200" w:lineRule="exact"/>
              <w:jc w:val="right"/>
              <w:rPr>
                <w:noProof/>
                <w:sz w:val="16"/>
                <w:szCs w:val="16"/>
              </w:rPr>
            </w:pPr>
          </w:p>
        </w:tc>
        <w:tc>
          <w:tcPr>
            <w:tcW w:w="1080" w:type="dxa"/>
            <w:vAlign w:val="center"/>
          </w:tcPr>
          <w:p w14:paraId="3A59AE84" w14:textId="77777777" w:rsidR="003F3C34" w:rsidRPr="00C16A84" w:rsidRDefault="003F3C34" w:rsidP="008204DA">
            <w:pPr>
              <w:spacing w:before="60" w:after="60" w:line="200" w:lineRule="exact"/>
              <w:jc w:val="right"/>
              <w:rPr>
                <w:noProof/>
                <w:sz w:val="16"/>
                <w:szCs w:val="16"/>
              </w:rPr>
            </w:pPr>
          </w:p>
        </w:tc>
        <w:tc>
          <w:tcPr>
            <w:tcW w:w="1080" w:type="dxa"/>
            <w:vAlign w:val="center"/>
          </w:tcPr>
          <w:p w14:paraId="1D88CD61" w14:textId="77777777" w:rsidR="003F3C34" w:rsidRPr="00C16A84" w:rsidRDefault="003F3C34" w:rsidP="008204DA">
            <w:pPr>
              <w:spacing w:before="60" w:after="60" w:line="200" w:lineRule="exact"/>
              <w:jc w:val="right"/>
              <w:rPr>
                <w:b/>
                <w:noProof/>
                <w:sz w:val="16"/>
                <w:szCs w:val="16"/>
              </w:rPr>
            </w:pPr>
          </w:p>
        </w:tc>
        <w:tc>
          <w:tcPr>
            <w:tcW w:w="1080" w:type="dxa"/>
            <w:vAlign w:val="center"/>
          </w:tcPr>
          <w:p w14:paraId="243BCA65" w14:textId="77777777" w:rsidR="003F3C34" w:rsidRPr="00C16A84" w:rsidRDefault="003F3C34" w:rsidP="008204DA">
            <w:pPr>
              <w:spacing w:before="60" w:after="60" w:line="200" w:lineRule="exact"/>
              <w:jc w:val="right"/>
              <w:rPr>
                <w:b/>
                <w:noProof/>
                <w:sz w:val="16"/>
                <w:szCs w:val="16"/>
              </w:rPr>
            </w:pPr>
          </w:p>
        </w:tc>
      </w:tr>
      <w:tr w:rsidR="003F3C34" w:rsidRPr="00C16A84" w14:paraId="515BE75E" w14:textId="77777777" w:rsidTr="008204DA">
        <w:trPr>
          <w:trHeight w:val="585"/>
        </w:trPr>
        <w:tc>
          <w:tcPr>
            <w:tcW w:w="1980" w:type="dxa"/>
            <w:shd w:val="clear" w:color="auto" w:fill="CCCCCC"/>
            <w:vAlign w:val="center"/>
          </w:tcPr>
          <w:p w14:paraId="68517E61" w14:textId="77777777" w:rsidR="003F3C34" w:rsidRPr="00C16A84" w:rsidRDefault="003F3C34" w:rsidP="008204DA">
            <w:pPr>
              <w:spacing w:before="60" w:after="60" w:line="200" w:lineRule="exact"/>
              <w:jc w:val="center"/>
              <w:rPr>
                <w:b/>
                <w:noProof/>
                <w:sz w:val="16"/>
                <w:szCs w:val="16"/>
              </w:rPr>
            </w:pPr>
            <w:r w:rsidRPr="00C16A84">
              <w:rPr>
                <w:b/>
                <w:noProof/>
                <w:sz w:val="16"/>
              </w:rPr>
              <w:t>Međuzbroj za NASLOV 7.</w:t>
            </w:r>
            <w:r w:rsidRPr="00C16A84">
              <w:rPr>
                <w:noProof/>
              </w:rPr>
              <w:t xml:space="preserve"> </w:t>
            </w:r>
            <w:r w:rsidRPr="00C16A84">
              <w:rPr>
                <w:noProof/>
              </w:rPr>
              <w:br/>
            </w:r>
            <w:r w:rsidRPr="00C16A84">
              <w:rPr>
                <w:b/>
                <w:noProof/>
                <w:sz w:val="16"/>
              </w:rPr>
              <w:t xml:space="preserve">višegodišnjeg financijskog okvira </w:t>
            </w:r>
          </w:p>
        </w:tc>
        <w:tc>
          <w:tcPr>
            <w:tcW w:w="1080" w:type="dxa"/>
            <w:vAlign w:val="center"/>
          </w:tcPr>
          <w:p w14:paraId="196A3824" w14:textId="77777777" w:rsidR="003F3C34" w:rsidRPr="00C16A84" w:rsidRDefault="003F3C34" w:rsidP="008204DA">
            <w:pPr>
              <w:spacing w:before="60" w:after="60" w:line="200" w:lineRule="exact"/>
              <w:jc w:val="right"/>
              <w:rPr>
                <w:noProof/>
                <w:sz w:val="16"/>
                <w:szCs w:val="16"/>
              </w:rPr>
            </w:pPr>
            <w:r w:rsidRPr="00C16A84">
              <w:rPr>
                <w:noProof/>
                <w:sz w:val="16"/>
              </w:rPr>
              <w:t>0,342</w:t>
            </w:r>
          </w:p>
        </w:tc>
        <w:tc>
          <w:tcPr>
            <w:tcW w:w="1080" w:type="dxa"/>
            <w:vAlign w:val="center"/>
          </w:tcPr>
          <w:p w14:paraId="1AF87BF2" w14:textId="77777777" w:rsidR="003F3C34" w:rsidRPr="00C16A84" w:rsidRDefault="003F3C34" w:rsidP="008204DA">
            <w:pPr>
              <w:spacing w:before="60" w:after="60" w:line="200" w:lineRule="exact"/>
              <w:jc w:val="right"/>
              <w:rPr>
                <w:noProof/>
                <w:sz w:val="16"/>
                <w:szCs w:val="16"/>
              </w:rPr>
            </w:pPr>
            <w:r w:rsidRPr="00C16A84">
              <w:rPr>
                <w:noProof/>
                <w:sz w:val="16"/>
              </w:rPr>
              <w:t>0,342</w:t>
            </w:r>
          </w:p>
        </w:tc>
        <w:tc>
          <w:tcPr>
            <w:tcW w:w="1080" w:type="dxa"/>
            <w:vAlign w:val="center"/>
          </w:tcPr>
          <w:p w14:paraId="49B7B59A" w14:textId="77777777" w:rsidR="003F3C34" w:rsidRPr="00C16A84" w:rsidRDefault="003F3C34" w:rsidP="008204DA">
            <w:pPr>
              <w:spacing w:before="60" w:after="60" w:line="200" w:lineRule="exact"/>
              <w:jc w:val="right"/>
              <w:rPr>
                <w:noProof/>
                <w:sz w:val="16"/>
                <w:szCs w:val="16"/>
              </w:rPr>
            </w:pPr>
            <w:r w:rsidRPr="00C16A84">
              <w:rPr>
                <w:noProof/>
                <w:sz w:val="16"/>
              </w:rPr>
              <w:t>0,342</w:t>
            </w:r>
          </w:p>
        </w:tc>
        <w:tc>
          <w:tcPr>
            <w:tcW w:w="1080" w:type="dxa"/>
            <w:vAlign w:val="center"/>
          </w:tcPr>
          <w:p w14:paraId="27BEA1C0" w14:textId="77777777" w:rsidR="003F3C34" w:rsidRPr="00C16A84" w:rsidRDefault="003F3C34" w:rsidP="008204DA">
            <w:pPr>
              <w:spacing w:before="60" w:after="60" w:line="200" w:lineRule="exact"/>
              <w:jc w:val="right"/>
              <w:rPr>
                <w:noProof/>
                <w:sz w:val="16"/>
                <w:szCs w:val="16"/>
              </w:rPr>
            </w:pPr>
            <w:r w:rsidRPr="00C16A84">
              <w:rPr>
                <w:noProof/>
                <w:sz w:val="16"/>
              </w:rPr>
              <w:t>0,342</w:t>
            </w:r>
          </w:p>
        </w:tc>
        <w:tc>
          <w:tcPr>
            <w:tcW w:w="1080" w:type="dxa"/>
            <w:vAlign w:val="center"/>
          </w:tcPr>
          <w:p w14:paraId="574FFD31" w14:textId="77777777" w:rsidR="003F3C34" w:rsidRPr="00C16A84" w:rsidRDefault="003F3C34" w:rsidP="008204DA">
            <w:pPr>
              <w:spacing w:before="60" w:after="60" w:line="200" w:lineRule="exact"/>
              <w:jc w:val="right"/>
              <w:rPr>
                <w:noProof/>
                <w:sz w:val="16"/>
                <w:szCs w:val="16"/>
              </w:rPr>
            </w:pPr>
            <w:r w:rsidRPr="00C16A84">
              <w:rPr>
                <w:noProof/>
                <w:sz w:val="16"/>
              </w:rPr>
              <w:t>0,342</w:t>
            </w:r>
          </w:p>
        </w:tc>
        <w:tc>
          <w:tcPr>
            <w:tcW w:w="1080" w:type="dxa"/>
            <w:vAlign w:val="center"/>
          </w:tcPr>
          <w:p w14:paraId="32B134B7" w14:textId="77777777" w:rsidR="003F3C34" w:rsidRPr="00C16A84" w:rsidRDefault="003F3C34" w:rsidP="008204DA">
            <w:pPr>
              <w:spacing w:before="60" w:after="60" w:line="200" w:lineRule="exact"/>
              <w:jc w:val="right"/>
              <w:rPr>
                <w:noProof/>
                <w:sz w:val="16"/>
                <w:szCs w:val="16"/>
              </w:rPr>
            </w:pPr>
          </w:p>
        </w:tc>
        <w:tc>
          <w:tcPr>
            <w:tcW w:w="1080" w:type="dxa"/>
            <w:vAlign w:val="center"/>
          </w:tcPr>
          <w:p w14:paraId="53402A3E" w14:textId="77777777" w:rsidR="003F3C34" w:rsidRPr="00C16A84" w:rsidRDefault="003F3C34" w:rsidP="008204DA">
            <w:pPr>
              <w:spacing w:before="60" w:after="60" w:line="200" w:lineRule="exact"/>
              <w:jc w:val="right"/>
              <w:rPr>
                <w:b/>
                <w:noProof/>
                <w:sz w:val="16"/>
                <w:szCs w:val="16"/>
              </w:rPr>
            </w:pPr>
          </w:p>
        </w:tc>
        <w:tc>
          <w:tcPr>
            <w:tcW w:w="1080" w:type="dxa"/>
            <w:vAlign w:val="center"/>
          </w:tcPr>
          <w:p w14:paraId="5FA17D97" w14:textId="77777777" w:rsidR="003F3C34" w:rsidRPr="00C16A84" w:rsidRDefault="00504A2C" w:rsidP="008204DA">
            <w:pPr>
              <w:spacing w:before="60" w:after="60" w:line="200" w:lineRule="exact"/>
              <w:jc w:val="right"/>
              <w:rPr>
                <w:b/>
                <w:noProof/>
                <w:sz w:val="16"/>
                <w:szCs w:val="16"/>
              </w:rPr>
            </w:pPr>
            <w:r w:rsidRPr="00C16A84">
              <w:rPr>
                <w:b/>
                <w:noProof/>
                <w:sz w:val="16"/>
              </w:rPr>
              <w:t>1,710</w:t>
            </w:r>
          </w:p>
        </w:tc>
      </w:tr>
    </w:tbl>
    <w:p w14:paraId="4DC7CF00" w14:textId="77777777" w:rsidR="003F3C34" w:rsidRPr="00C16A84" w:rsidRDefault="003F3C34" w:rsidP="003F3C34">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F3C34" w:rsidRPr="00C16A84" w14:paraId="3582C78D" w14:textId="77777777" w:rsidTr="008204DA">
        <w:trPr>
          <w:trHeight w:val="585"/>
        </w:trPr>
        <w:tc>
          <w:tcPr>
            <w:tcW w:w="1980" w:type="dxa"/>
            <w:shd w:val="clear" w:color="auto" w:fill="CCCCCC"/>
            <w:vAlign w:val="center"/>
          </w:tcPr>
          <w:p w14:paraId="055D0247" w14:textId="77777777" w:rsidR="003F3C34" w:rsidRPr="00C16A84" w:rsidRDefault="003F3C34" w:rsidP="008204DA">
            <w:pPr>
              <w:spacing w:before="60" w:after="60" w:line="200" w:lineRule="exact"/>
              <w:jc w:val="center"/>
              <w:rPr>
                <w:noProof/>
                <w:sz w:val="16"/>
                <w:szCs w:val="16"/>
              </w:rPr>
            </w:pPr>
            <w:r w:rsidRPr="00C16A84">
              <w:rPr>
                <w:b/>
                <w:noProof/>
                <w:sz w:val="16"/>
              </w:rPr>
              <w:t>Izvan NASLOVA 7.</w:t>
            </w:r>
            <w:r w:rsidRPr="00C16A84">
              <w:rPr>
                <w:rStyle w:val="FootnoteReference"/>
                <w:b/>
                <w:noProof/>
                <w:sz w:val="16"/>
              </w:rPr>
              <w:footnoteReference w:id="68"/>
            </w:r>
            <w:r w:rsidRPr="00C16A84">
              <w:rPr>
                <w:noProof/>
              </w:rPr>
              <w:t xml:space="preserve"> </w:t>
            </w:r>
            <w:r w:rsidRPr="00C16A84">
              <w:rPr>
                <w:noProof/>
              </w:rPr>
              <w:br/>
            </w:r>
            <w:r w:rsidRPr="00C16A84">
              <w:rPr>
                <w:b/>
                <w:noProof/>
                <w:sz w:val="16"/>
              </w:rPr>
              <w:t xml:space="preserve">višegodišnjeg financijskog okvira </w:t>
            </w:r>
          </w:p>
          <w:p w14:paraId="5C2D1803" w14:textId="77777777" w:rsidR="003F3C34" w:rsidRPr="00C16A84" w:rsidRDefault="003F3C34" w:rsidP="008204DA">
            <w:pPr>
              <w:spacing w:before="0" w:after="0" w:line="200" w:lineRule="exact"/>
              <w:jc w:val="center"/>
              <w:rPr>
                <w:b/>
                <w:noProof/>
                <w:sz w:val="16"/>
                <w:szCs w:val="16"/>
              </w:rPr>
            </w:pPr>
          </w:p>
        </w:tc>
        <w:tc>
          <w:tcPr>
            <w:tcW w:w="1080" w:type="dxa"/>
            <w:vAlign w:val="center"/>
          </w:tcPr>
          <w:p w14:paraId="48FF0A19" w14:textId="77777777" w:rsidR="003F3C34" w:rsidRPr="00C16A84" w:rsidRDefault="003F3C34" w:rsidP="008204DA">
            <w:pPr>
              <w:spacing w:before="60" w:after="60" w:line="200" w:lineRule="exact"/>
              <w:jc w:val="right"/>
              <w:rPr>
                <w:noProof/>
                <w:sz w:val="16"/>
                <w:szCs w:val="16"/>
              </w:rPr>
            </w:pPr>
          </w:p>
        </w:tc>
        <w:tc>
          <w:tcPr>
            <w:tcW w:w="1080" w:type="dxa"/>
            <w:vAlign w:val="center"/>
          </w:tcPr>
          <w:p w14:paraId="7B334735" w14:textId="77777777" w:rsidR="003F3C34" w:rsidRPr="00C16A84" w:rsidRDefault="003F3C34" w:rsidP="008204DA">
            <w:pPr>
              <w:spacing w:before="60" w:after="60" w:line="200" w:lineRule="exact"/>
              <w:jc w:val="right"/>
              <w:rPr>
                <w:noProof/>
                <w:sz w:val="16"/>
                <w:szCs w:val="16"/>
              </w:rPr>
            </w:pPr>
          </w:p>
        </w:tc>
        <w:tc>
          <w:tcPr>
            <w:tcW w:w="1080" w:type="dxa"/>
            <w:vAlign w:val="center"/>
          </w:tcPr>
          <w:p w14:paraId="793FAC32" w14:textId="77777777" w:rsidR="003F3C34" w:rsidRPr="00C16A84" w:rsidRDefault="003F3C34" w:rsidP="008204DA">
            <w:pPr>
              <w:spacing w:before="60" w:after="60" w:line="200" w:lineRule="exact"/>
              <w:jc w:val="right"/>
              <w:rPr>
                <w:noProof/>
                <w:sz w:val="16"/>
                <w:szCs w:val="16"/>
              </w:rPr>
            </w:pPr>
          </w:p>
        </w:tc>
        <w:tc>
          <w:tcPr>
            <w:tcW w:w="1080" w:type="dxa"/>
            <w:vAlign w:val="center"/>
          </w:tcPr>
          <w:p w14:paraId="1ABDE264" w14:textId="77777777" w:rsidR="003F3C34" w:rsidRPr="00C16A84" w:rsidRDefault="003F3C34" w:rsidP="008204DA">
            <w:pPr>
              <w:spacing w:before="60" w:after="60" w:line="200" w:lineRule="exact"/>
              <w:jc w:val="right"/>
              <w:rPr>
                <w:noProof/>
                <w:sz w:val="16"/>
                <w:szCs w:val="16"/>
              </w:rPr>
            </w:pPr>
          </w:p>
        </w:tc>
        <w:tc>
          <w:tcPr>
            <w:tcW w:w="1080" w:type="dxa"/>
            <w:vAlign w:val="center"/>
          </w:tcPr>
          <w:p w14:paraId="01A2E349" w14:textId="77777777" w:rsidR="003F3C34" w:rsidRPr="00C16A84" w:rsidRDefault="003F3C34" w:rsidP="008204DA">
            <w:pPr>
              <w:spacing w:before="60" w:after="60" w:line="200" w:lineRule="exact"/>
              <w:jc w:val="right"/>
              <w:rPr>
                <w:noProof/>
                <w:sz w:val="16"/>
                <w:szCs w:val="16"/>
              </w:rPr>
            </w:pPr>
          </w:p>
        </w:tc>
        <w:tc>
          <w:tcPr>
            <w:tcW w:w="1080" w:type="dxa"/>
            <w:vAlign w:val="center"/>
          </w:tcPr>
          <w:p w14:paraId="60F60989" w14:textId="77777777" w:rsidR="003F3C34" w:rsidRPr="00C16A84" w:rsidRDefault="003F3C34" w:rsidP="008204DA">
            <w:pPr>
              <w:spacing w:before="60" w:after="60" w:line="200" w:lineRule="exact"/>
              <w:jc w:val="right"/>
              <w:rPr>
                <w:noProof/>
                <w:sz w:val="16"/>
                <w:szCs w:val="16"/>
              </w:rPr>
            </w:pPr>
          </w:p>
        </w:tc>
        <w:tc>
          <w:tcPr>
            <w:tcW w:w="1080" w:type="dxa"/>
            <w:vAlign w:val="center"/>
          </w:tcPr>
          <w:p w14:paraId="59D8B871" w14:textId="77777777" w:rsidR="003F3C34" w:rsidRPr="00C16A84" w:rsidRDefault="003F3C34" w:rsidP="008204DA">
            <w:pPr>
              <w:spacing w:before="60" w:after="60" w:line="200" w:lineRule="exact"/>
              <w:jc w:val="right"/>
              <w:rPr>
                <w:b/>
                <w:noProof/>
                <w:sz w:val="16"/>
                <w:szCs w:val="16"/>
              </w:rPr>
            </w:pPr>
          </w:p>
        </w:tc>
        <w:tc>
          <w:tcPr>
            <w:tcW w:w="1080" w:type="dxa"/>
            <w:vAlign w:val="center"/>
          </w:tcPr>
          <w:p w14:paraId="6A28AD07" w14:textId="77777777" w:rsidR="003F3C34" w:rsidRPr="00C16A84" w:rsidRDefault="003F3C34" w:rsidP="008204DA">
            <w:pPr>
              <w:spacing w:before="60" w:after="60" w:line="200" w:lineRule="exact"/>
              <w:jc w:val="right"/>
              <w:rPr>
                <w:b/>
                <w:noProof/>
                <w:sz w:val="16"/>
                <w:szCs w:val="16"/>
              </w:rPr>
            </w:pPr>
          </w:p>
        </w:tc>
      </w:tr>
      <w:tr w:rsidR="003F3C34" w:rsidRPr="00C16A84" w14:paraId="621FCF49" w14:textId="77777777" w:rsidTr="008204DA">
        <w:trPr>
          <w:trHeight w:val="585"/>
        </w:trPr>
        <w:tc>
          <w:tcPr>
            <w:tcW w:w="1980" w:type="dxa"/>
            <w:vAlign w:val="center"/>
          </w:tcPr>
          <w:p w14:paraId="752E362D" w14:textId="77777777" w:rsidR="003F3C34" w:rsidRPr="00C16A84" w:rsidRDefault="003F3C34" w:rsidP="008204DA">
            <w:pPr>
              <w:spacing w:before="60" w:after="60" w:line="200" w:lineRule="exact"/>
              <w:ind w:left="72"/>
              <w:jc w:val="left"/>
              <w:rPr>
                <w:noProof/>
                <w:sz w:val="16"/>
                <w:szCs w:val="16"/>
              </w:rPr>
            </w:pPr>
            <w:r w:rsidRPr="00C16A84">
              <w:rPr>
                <w:noProof/>
                <w:sz w:val="16"/>
              </w:rPr>
              <w:t xml:space="preserve">Ljudski resursi </w:t>
            </w:r>
          </w:p>
        </w:tc>
        <w:tc>
          <w:tcPr>
            <w:tcW w:w="1080" w:type="dxa"/>
            <w:vAlign w:val="center"/>
          </w:tcPr>
          <w:p w14:paraId="08E140E8" w14:textId="77777777" w:rsidR="003F3C34" w:rsidRPr="00C16A84" w:rsidRDefault="003F3C34" w:rsidP="008204DA">
            <w:pPr>
              <w:spacing w:before="60" w:after="60" w:line="200" w:lineRule="exact"/>
              <w:jc w:val="right"/>
              <w:rPr>
                <w:noProof/>
                <w:sz w:val="16"/>
                <w:szCs w:val="16"/>
              </w:rPr>
            </w:pPr>
          </w:p>
        </w:tc>
        <w:tc>
          <w:tcPr>
            <w:tcW w:w="1080" w:type="dxa"/>
            <w:vAlign w:val="center"/>
          </w:tcPr>
          <w:p w14:paraId="4483AEC4" w14:textId="77777777" w:rsidR="003F3C34" w:rsidRPr="00C16A84" w:rsidRDefault="003F3C34" w:rsidP="008204DA">
            <w:pPr>
              <w:spacing w:before="60" w:after="60" w:line="200" w:lineRule="exact"/>
              <w:jc w:val="right"/>
              <w:rPr>
                <w:noProof/>
                <w:sz w:val="16"/>
                <w:szCs w:val="16"/>
              </w:rPr>
            </w:pPr>
          </w:p>
        </w:tc>
        <w:tc>
          <w:tcPr>
            <w:tcW w:w="1080" w:type="dxa"/>
            <w:vAlign w:val="center"/>
          </w:tcPr>
          <w:p w14:paraId="0AD46EAC" w14:textId="77777777" w:rsidR="003F3C34" w:rsidRPr="00C16A84" w:rsidRDefault="003F3C34" w:rsidP="008204DA">
            <w:pPr>
              <w:spacing w:before="60" w:after="60" w:line="200" w:lineRule="exact"/>
              <w:jc w:val="right"/>
              <w:rPr>
                <w:noProof/>
                <w:sz w:val="16"/>
                <w:szCs w:val="16"/>
              </w:rPr>
            </w:pPr>
          </w:p>
        </w:tc>
        <w:tc>
          <w:tcPr>
            <w:tcW w:w="1080" w:type="dxa"/>
            <w:vAlign w:val="center"/>
          </w:tcPr>
          <w:p w14:paraId="12A66B51" w14:textId="77777777" w:rsidR="003F3C34" w:rsidRPr="00C16A84" w:rsidRDefault="003F3C34" w:rsidP="008204DA">
            <w:pPr>
              <w:spacing w:before="60" w:after="60" w:line="200" w:lineRule="exact"/>
              <w:jc w:val="right"/>
              <w:rPr>
                <w:noProof/>
                <w:sz w:val="16"/>
                <w:szCs w:val="16"/>
              </w:rPr>
            </w:pPr>
          </w:p>
        </w:tc>
        <w:tc>
          <w:tcPr>
            <w:tcW w:w="1080" w:type="dxa"/>
            <w:vAlign w:val="center"/>
          </w:tcPr>
          <w:p w14:paraId="156FCA0F" w14:textId="77777777" w:rsidR="003F3C34" w:rsidRPr="00C16A84" w:rsidRDefault="003F3C34" w:rsidP="008204DA">
            <w:pPr>
              <w:spacing w:before="60" w:after="60" w:line="200" w:lineRule="exact"/>
              <w:jc w:val="right"/>
              <w:rPr>
                <w:noProof/>
                <w:sz w:val="16"/>
                <w:szCs w:val="16"/>
              </w:rPr>
            </w:pPr>
          </w:p>
        </w:tc>
        <w:tc>
          <w:tcPr>
            <w:tcW w:w="1080" w:type="dxa"/>
            <w:vAlign w:val="center"/>
          </w:tcPr>
          <w:p w14:paraId="7CA76DCC" w14:textId="77777777" w:rsidR="003F3C34" w:rsidRPr="00C16A84" w:rsidRDefault="003F3C34" w:rsidP="008204DA">
            <w:pPr>
              <w:spacing w:before="60" w:after="60" w:line="200" w:lineRule="exact"/>
              <w:jc w:val="right"/>
              <w:rPr>
                <w:noProof/>
                <w:sz w:val="16"/>
                <w:szCs w:val="16"/>
              </w:rPr>
            </w:pPr>
          </w:p>
        </w:tc>
        <w:tc>
          <w:tcPr>
            <w:tcW w:w="1080" w:type="dxa"/>
            <w:vAlign w:val="center"/>
          </w:tcPr>
          <w:p w14:paraId="3E2C2ED5" w14:textId="77777777" w:rsidR="003F3C34" w:rsidRPr="00C16A84" w:rsidRDefault="003F3C34" w:rsidP="008204DA">
            <w:pPr>
              <w:spacing w:before="60" w:after="60" w:line="200" w:lineRule="exact"/>
              <w:jc w:val="right"/>
              <w:rPr>
                <w:b/>
                <w:noProof/>
                <w:sz w:val="16"/>
                <w:szCs w:val="16"/>
              </w:rPr>
            </w:pPr>
          </w:p>
        </w:tc>
        <w:tc>
          <w:tcPr>
            <w:tcW w:w="1080" w:type="dxa"/>
            <w:vAlign w:val="center"/>
          </w:tcPr>
          <w:p w14:paraId="400D87CE" w14:textId="77777777" w:rsidR="003F3C34" w:rsidRPr="00C16A84" w:rsidRDefault="003F3C34" w:rsidP="008204DA">
            <w:pPr>
              <w:spacing w:before="60" w:after="60" w:line="200" w:lineRule="exact"/>
              <w:jc w:val="right"/>
              <w:rPr>
                <w:b/>
                <w:noProof/>
                <w:sz w:val="16"/>
                <w:szCs w:val="16"/>
              </w:rPr>
            </w:pPr>
          </w:p>
        </w:tc>
      </w:tr>
      <w:tr w:rsidR="003F3C34" w:rsidRPr="00C16A84" w14:paraId="1BB1AACF" w14:textId="77777777" w:rsidTr="008204DA">
        <w:trPr>
          <w:trHeight w:val="585"/>
        </w:trPr>
        <w:tc>
          <w:tcPr>
            <w:tcW w:w="1980" w:type="dxa"/>
            <w:vAlign w:val="center"/>
          </w:tcPr>
          <w:p w14:paraId="79602179" w14:textId="77777777" w:rsidR="003F3C34" w:rsidRPr="00C16A84" w:rsidRDefault="003F3C34" w:rsidP="008204DA">
            <w:pPr>
              <w:spacing w:before="60" w:after="60" w:line="200" w:lineRule="exact"/>
              <w:ind w:left="72"/>
              <w:jc w:val="left"/>
              <w:rPr>
                <w:noProof/>
                <w:sz w:val="16"/>
                <w:szCs w:val="16"/>
              </w:rPr>
            </w:pPr>
            <w:r w:rsidRPr="00C16A84">
              <w:rPr>
                <w:noProof/>
                <w:sz w:val="16"/>
              </w:rPr>
              <w:t>Ostali administrativni</w:t>
            </w:r>
            <w:r w:rsidRPr="00C16A84">
              <w:rPr>
                <w:noProof/>
              </w:rPr>
              <w:t xml:space="preserve"> </w:t>
            </w:r>
            <w:r w:rsidRPr="00C16A84">
              <w:rPr>
                <w:noProof/>
              </w:rPr>
              <w:br/>
            </w:r>
            <w:r w:rsidRPr="00C16A84">
              <w:rPr>
                <w:noProof/>
                <w:sz w:val="16"/>
              </w:rPr>
              <w:t>rashodi</w:t>
            </w:r>
          </w:p>
        </w:tc>
        <w:tc>
          <w:tcPr>
            <w:tcW w:w="1080" w:type="dxa"/>
            <w:vAlign w:val="center"/>
          </w:tcPr>
          <w:p w14:paraId="77F105C1" w14:textId="77777777" w:rsidR="003F3C34" w:rsidRPr="00C16A84" w:rsidRDefault="003F3C34" w:rsidP="008204DA">
            <w:pPr>
              <w:spacing w:before="60" w:after="60" w:line="200" w:lineRule="exact"/>
              <w:jc w:val="right"/>
              <w:rPr>
                <w:noProof/>
                <w:sz w:val="16"/>
                <w:szCs w:val="16"/>
              </w:rPr>
            </w:pPr>
          </w:p>
        </w:tc>
        <w:tc>
          <w:tcPr>
            <w:tcW w:w="1080" w:type="dxa"/>
            <w:vAlign w:val="center"/>
          </w:tcPr>
          <w:p w14:paraId="7476C568" w14:textId="77777777" w:rsidR="003F3C34" w:rsidRPr="00C16A84" w:rsidRDefault="003F3C34" w:rsidP="008204DA">
            <w:pPr>
              <w:spacing w:before="60" w:after="60" w:line="200" w:lineRule="exact"/>
              <w:jc w:val="right"/>
              <w:rPr>
                <w:noProof/>
                <w:sz w:val="16"/>
                <w:szCs w:val="16"/>
              </w:rPr>
            </w:pPr>
          </w:p>
        </w:tc>
        <w:tc>
          <w:tcPr>
            <w:tcW w:w="1080" w:type="dxa"/>
            <w:vAlign w:val="center"/>
          </w:tcPr>
          <w:p w14:paraId="0B801035" w14:textId="77777777" w:rsidR="003F3C34" w:rsidRPr="00C16A84" w:rsidRDefault="003F3C34" w:rsidP="008204DA">
            <w:pPr>
              <w:spacing w:before="60" w:after="60" w:line="200" w:lineRule="exact"/>
              <w:jc w:val="right"/>
              <w:rPr>
                <w:noProof/>
                <w:sz w:val="16"/>
                <w:szCs w:val="16"/>
              </w:rPr>
            </w:pPr>
          </w:p>
        </w:tc>
        <w:tc>
          <w:tcPr>
            <w:tcW w:w="1080" w:type="dxa"/>
            <w:vAlign w:val="center"/>
          </w:tcPr>
          <w:p w14:paraId="4AFA8A9C" w14:textId="77777777" w:rsidR="003F3C34" w:rsidRPr="00C16A84" w:rsidRDefault="003F3C34" w:rsidP="008204DA">
            <w:pPr>
              <w:spacing w:before="60" w:after="60" w:line="200" w:lineRule="exact"/>
              <w:jc w:val="right"/>
              <w:rPr>
                <w:noProof/>
                <w:sz w:val="16"/>
                <w:szCs w:val="16"/>
              </w:rPr>
            </w:pPr>
          </w:p>
        </w:tc>
        <w:tc>
          <w:tcPr>
            <w:tcW w:w="1080" w:type="dxa"/>
            <w:vAlign w:val="center"/>
          </w:tcPr>
          <w:p w14:paraId="08A455D9" w14:textId="77777777" w:rsidR="003F3C34" w:rsidRPr="00C16A84" w:rsidRDefault="003F3C34" w:rsidP="008204DA">
            <w:pPr>
              <w:spacing w:before="60" w:after="60" w:line="200" w:lineRule="exact"/>
              <w:jc w:val="right"/>
              <w:rPr>
                <w:noProof/>
                <w:sz w:val="16"/>
                <w:szCs w:val="16"/>
              </w:rPr>
            </w:pPr>
          </w:p>
        </w:tc>
        <w:tc>
          <w:tcPr>
            <w:tcW w:w="1080" w:type="dxa"/>
            <w:vAlign w:val="center"/>
          </w:tcPr>
          <w:p w14:paraId="237E0AC6" w14:textId="77777777" w:rsidR="003F3C34" w:rsidRPr="00C16A84" w:rsidRDefault="003F3C34" w:rsidP="008204DA">
            <w:pPr>
              <w:spacing w:before="60" w:after="60" w:line="200" w:lineRule="exact"/>
              <w:jc w:val="right"/>
              <w:rPr>
                <w:noProof/>
                <w:sz w:val="16"/>
                <w:szCs w:val="16"/>
              </w:rPr>
            </w:pPr>
          </w:p>
        </w:tc>
        <w:tc>
          <w:tcPr>
            <w:tcW w:w="1080" w:type="dxa"/>
            <w:vAlign w:val="center"/>
          </w:tcPr>
          <w:p w14:paraId="35701676" w14:textId="77777777" w:rsidR="003F3C34" w:rsidRPr="00C16A84" w:rsidRDefault="003F3C34" w:rsidP="008204DA">
            <w:pPr>
              <w:spacing w:before="60" w:after="60" w:line="200" w:lineRule="exact"/>
              <w:jc w:val="right"/>
              <w:rPr>
                <w:b/>
                <w:noProof/>
                <w:sz w:val="16"/>
                <w:szCs w:val="16"/>
              </w:rPr>
            </w:pPr>
          </w:p>
        </w:tc>
        <w:tc>
          <w:tcPr>
            <w:tcW w:w="1080" w:type="dxa"/>
            <w:vAlign w:val="center"/>
          </w:tcPr>
          <w:p w14:paraId="281A801D" w14:textId="77777777" w:rsidR="003F3C34" w:rsidRPr="00C16A84" w:rsidRDefault="003F3C34" w:rsidP="008204DA">
            <w:pPr>
              <w:spacing w:before="60" w:after="60" w:line="200" w:lineRule="exact"/>
              <w:jc w:val="right"/>
              <w:rPr>
                <w:b/>
                <w:noProof/>
                <w:sz w:val="16"/>
                <w:szCs w:val="16"/>
              </w:rPr>
            </w:pPr>
          </w:p>
        </w:tc>
      </w:tr>
      <w:tr w:rsidR="003F3C34" w:rsidRPr="00C16A84" w14:paraId="0760FC68" w14:textId="77777777" w:rsidTr="008204DA">
        <w:trPr>
          <w:trHeight w:val="585"/>
        </w:trPr>
        <w:tc>
          <w:tcPr>
            <w:tcW w:w="1980" w:type="dxa"/>
            <w:shd w:val="clear" w:color="auto" w:fill="CCCCCC"/>
            <w:vAlign w:val="center"/>
          </w:tcPr>
          <w:p w14:paraId="09F28B9D" w14:textId="77777777" w:rsidR="003F3C34" w:rsidRPr="00C16A84" w:rsidRDefault="003F3C34" w:rsidP="008204DA">
            <w:pPr>
              <w:spacing w:before="60" w:after="60" w:line="200" w:lineRule="exact"/>
              <w:jc w:val="center"/>
              <w:rPr>
                <w:b/>
                <w:noProof/>
                <w:sz w:val="16"/>
                <w:szCs w:val="16"/>
              </w:rPr>
            </w:pPr>
            <w:r w:rsidRPr="00C16A84">
              <w:rPr>
                <w:b/>
                <w:noProof/>
                <w:sz w:val="16"/>
              </w:rPr>
              <w:t xml:space="preserve">Međuzbroj </w:t>
            </w:r>
            <w:r w:rsidRPr="00C16A84">
              <w:rPr>
                <w:noProof/>
              </w:rPr>
              <w:t xml:space="preserve"> </w:t>
            </w:r>
            <w:r w:rsidRPr="00C16A84">
              <w:rPr>
                <w:noProof/>
              </w:rPr>
              <w:br/>
            </w:r>
            <w:r w:rsidRPr="00C16A84">
              <w:rPr>
                <w:b/>
                <w:noProof/>
                <w:sz w:val="16"/>
              </w:rPr>
              <w:t>izvan NASLOVA 7.</w:t>
            </w:r>
            <w:r w:rsidRPr="00C16A84">
              <w:rPr>
                <w:noProof/>
              </w:rPr>
              <w:t xml:space="preserve"> </w:t>
            </w:r>
            <w:r w:rsidRPr="00C16A84">
              <w:rPr>
                <w:noProof/>
              </w:rPr>
              <w:br/>
            </w:r>
            <w:r w:rsidRPr="00C16A84">
              <w:rPr>
                <w:b/>
                <w:noProof/>
                <w:sz w:val="16"/>
              </w:rPr>
              <w:t xml:space="preserve">višegodišnjeg financijskog okvira </w:t>
            </w:r>
          </w:p>
        </w:tc>
        <w:tc>
          <w:tcPr>
            <w:tcW w:w="1080" w:type="dxa"/>
            <w:vAlign w:val="center"/>
          </w:tcPr>
          <w:p w14:paraId="38E2B34B" w14:textId="77777777" w:rsidR="003F3C34" w:rsidRPr="00C16A84" w:rsidRDefault="003F3C34" w:rsidP="008204DA">
            <w:pPr>
              <w:spacing w:before="60" w:after="60" w:line="200" w:lineRule="exact"/>
              <w:jc w:val="right"/>
              <w:rPr>
                <w:noProof/>
                <w:sz w:val="16"/>
                <w:szCs w:val="16"/>
              </w:rPr>
            </w:pPr>
            <w:r w:rsidRPr="00C16A84">
              <w:rPr>
                <w:noProof/>
                <w:sz w:val="16"/>
              </w:rPr>
              <w:t>nije primjenjivo</w:t>
            </w:r>
          </w:p>
        </w:tc>
        <w:tc>
          <w:tcPr>
            <w:tcW w:w="1080" w:type="dxa"/>
          </w:tcPr>
          <w:p w14:paraId="6C0512FE" w14:textId="77777777" w:rsidR="003F3C34" w:rsidRPr="00C16A84" w:rsidRDefault="003F3C34" w:rsidP="008204DA">
            <w:pPr>
              <w:spacing w:before="60" w:after="60" w:line="200" w:lineRule="exact"/>
              <w:jc w:val="right"/>
              <w:rPr>
                <w:noProof/>
                <w:sz w:val="16"/>
                <w:szCs w:val="16"/>
              </w:rPr>
            </w:pPr>
            <w:r w:rsidRPr="00C16A84">
              <w:rPr>
                <w:noProof/>
                <w:sz w:val="16"/>
              </w:rPr>
              <w:t>nije primjenjivo</w:t>
            </w:r>
          </w:p>
        </w:tc>
        <w:tc>
          <w:tcPr>
            <w:tcW w:w="1080" w:type="dxa"/>
          </w:tcPr>
          <w:p w14:paraId="19B696CF" w14:textId="77777777" w:rsidR="003F3C34" w:rsidRPr="00C16A84" w:rsidRDefault="003F3C34" w:rsidP="008204DA">
            <w:pPr>
              <w:spacing w:before="60" w:after="60" w:line="200" w:lineRule="exact"/>
              <w:jc w:val="right"/>
              <w:rPr>
                <w:noProof/>
                <w:sz w:val="16"/>
                <w:szCs w:val="16"/>
              </w:rPr>
            </w:pPr>
            <w:r w:rsidRPr="00C16A84">
              <w:rPr>
                <w:noProof/>
                <w:sz w:val="16"/>
              </w:rPr>
              <w:t>nije primjenjivo</w:t>
            </w:r>
          </w:p>
        </w:tc>
        <w:tc>
          <w:tcPr>
            <w:tcW w:w="1080" w:type="dxa"/>
          </w:tcPr>
          <w:p w14:paraId="0CC4327C" w14:textId="77777777" w:rsidR="003F3C34" w:rsidRPr="00C16A84" w:rsidRDefault="003F3C34" w:rsidP="008204DA">
            <w:pPr>
              <w:spacing w:before="60" w:after="60" w:line="200" w:lineRule="exact"/>
              <w:jc w:val="right"/>
              <w:rPr>
                <w:noProof/>
                <w:sz w:val="16"/>
                <w:szCs w:val="16"/>
              </w:rPr>
            </w:pPr>
            <w:r w:rsidRPr="00C16A84">
              <w:rPr>
                <w:noProof/>
                <w:sz w:val="16"/>
              </w:rPr>
              <w:t>nije primjenjivo</w:t>
            </w:r>
          </w:p>
        </w:tc>
        <w:tc>
          <w:tcPr>
            <w:tcW w:w="1080" w:type="dxa"/>
          </w:tcPr>
          <w:p w14:paraId="5DD163C3" w14:textId="77777777" w:rsidR="003F3C34" w:rsidRPr="00C16A84" w:rsidRDefault="003F3C34" w:rsidP="008204DA">
            <w:pPr>
              <w:spacing w:before="60" w:after="60" w:line="200" w:lineRule="exact"/>
              <w:jc w:val="right"/>
              <w:rPr>
                <w:noProof/>
                <w:sz w:val="16"/>
                <w:szCs w:val="16"/>
              </w:rPr>
            </w:pPr>
            <w:r w:rsidRPr="00C16A84">
              <w:rPr>
                <w:noProof/>
                <w:sz w:val="16"/>
              </w:rPr>
              <w:t>nije primjenjivo</w:t>
            </w:r>
          </w:p>
        </w:tc>
        <w:tc>
          <w:tcPr>
            <w:tcW w:w="1080" w:type="dxa"/>
          </w:tcPr>
          <w:p w14:paraId="44ED09D4" w14:textId="77777777" w:rsidR="003F3C34" w:rsidRPr="00C16A84" w:rsidRDefault="003F3C34" w:rsidP="008204DA">
            <w:pPr>
              <w:spacing w:before="60" w:after="60" w:line="200" w:lineRule="exact"/>
              <w:jc w:val="right"/>
              <w:rPr>
                <w:noProof/>
                <w:sz w:val="16"/>
                <w:szCs w:val="16"/>
              </w:rPr>
            </w:pPr>
          </w:p>
        </w:tc>
        <w:tc>
          <w:tcPr>
            <w:tcW w:w="1080" w:type="dxa"/>
          </w:tcPr>
          <w:p w14:paraId="549EE9A0" w14:textId="77777777" w:rsidR="003F3C34" w:rsidRPr="00C16A84" w:rsidRDefault="003F3C34" w:rsidP="008204DA">
            <w:pPr>
              <w:spacing w:before="60" w:after="60" w:line="200" w:lineRule="exact"/>
              <w:jc w:val="right"/>
              <w:rPr>
                <w:b/>
                <w:noProof/>
                <w:sz w:val="16"/>
                <w:szCs w:val="16"/>
              </w:rPr>
            </w:pPr>
          </w:p>
        </w:tc>
        <w:tc>
          <w:tcPr>
            <w:tcW w:w="1080" w:type="dxa"/>
          </w:tcPr>
          <w:p w14:paraId="6F757045" w14:textId="77777777" w:rsidR="003F3C34" w:rsidRPr="00C16A84" w:rsidRDefault="003F3C34" w:rsidP="008204DA">
            <w:pPr>
              <w:spacing w:before="60" w:after="60" w:line="200" w:lineRule="exact"/>
              <w:jc w:val="right"/>
              <w:rPr>
                <w:b/>
                <w:noProof/>
                <w:sz w:val="16"/>
                <w:szCs w:val="16"/>
              </w:rPr>
            </w:pPr>
            <w:r w:rsidRPr="00C16A84">
              <w:rPr>
                <w:noProof/>
                <w:sz w:val="16"/>
              </w:rPr>
              <w:t>nije primjenjivo</w:t>
            </w:r>
          </w:p>
        </w:tc>
      </w:tr>
    </w:tbl>
    <w:p w14:paraId="2EBFE6A4" w14:textId="77777777" w:rsidR="003F3C34" w:rsidRPr="00C16A84" w:rsidRDefault="003F3C34" w:rsidP="003F3C34">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F3C34" w:rsidRPr="00C16A84" w14:paraId="51036C33" w14:textId="77777777" w:rsidTr="008204DA">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12FFF8A6" w14:textId="77777777" w:rsidR="003F3C34" w:rsidRPr="00C16A84" w:rsidRDefault="003F3C34" w:rsidP="008204DA">
            <w:pPr>
              <w:spacing w:before="60" w:after="60" w:line="200" w:lineRule="exact"/>
              <w:jc w:val="center"/>
              <w:rPr>
                <w:noProof/>
                <w:sz w:val="16"/>
                <w:szCs w:val="16"/>
              </w:rPr>
            </w:pPr>
            <w:r w:rsidRPr="00C16A84">
              <w:rPr>
                <w:b/>
                <w:noProof/>
                <w:sz w:val="16"/>
              </w:rPr>
              <w:t>UKUPNO</w:t>
            </w:r>
          </w:p>
        </w:tc>
        <w:tc>
          <w:tcPr>
            <w:tcW w:w="1080" w:type="dxa"/>
            <w:tcBorders>
              <w:top w:val="single" w:sz="12" w:space="0" w:color="auto"/>
              <w:left w:val="single" w:sz="2" w:space="0" w:color="auto"/>
              <w:bottom w:val="single" w:sz="12" w:space="0" w:color="auto"/>
              <w:right w:val="single" w:sz="2" w:space="0" w:color="auto"/>
            </w:tcBorders>
            <w:vAlign w:val="center"/>
          </w:tcPr>
          <w:p w14:paraId="00F2AE55" w14:textId="77777777" w:rsidR="003F3C34" w:rsidRPr="00C16A84" w:rsidRDefault="003F3C34" w:rsidP="008204DA">
            <w:pPr>
              <w:spacing w:before="60" w:after="60" w:line="200" w:lineRule="exact"/>
              <w:jc w:val="right"/>
              <w:rPr>
                <w:b/>
                <w:noProof/>
                <w:sz w:val="16"/>
                <w:szCs w:val="16"/>
              </w:rPr>
            </w:pPr>
            <w:r w:rsidRPr="00C16A84">
              <w:rPr>
                <w:noProof/>
                <w:sz w:val="16"/>
              </w:rPr>
              <w:t>0,342</w:t>
            </w:r>
          </w:p>
        </w:tc>
        <w:tc>
          <w:tcPr>
            <w:tcW w:w="1080" w:type="dxa"/>
            <w:tcBorders>
              <w:top w:val="single" w:sz="12" w:space="0" w:color="auto"/>
              <w:left w:val="single" w:sz="2" w:space="0" w:color="auto"/>
              <w:bottom w:val="single" w:sz="12" w:space="0" w:color="auto"/>
              <w:right w:val="single" w:sz="2" w:space="0" w:color="auto"/>
            </w:tcBorders>
            <w:vAlign w:val="center"/>
          </w:tcPr>
          <w:p w14:paraId="7916A4EE" w14:textId="77777777" w:rsidR="003F3C34" w:rsidRPr="00C16A84" w:rsidRDefault="003F3C34" w:rsidP="008204DA">
            <w:pPr>
              <w:spacing w:before="60" w:after="60" w:line="200" w:lineRule="exact"/>
              <w:jc w:val="right"/>
              <w:rPr>
                <w:b/>
                <w:noProof/>
                <w:sz w:val="16"/>
                <w:szCs w:val="16"/>
              </w:rPr>
            </w:pPr>
            <w:r w:rsidRPr="00C16A84">
              <w:rPr>
                <w:noProof/>
                <w:sz w:val="16"/>
              </w:rPr>
              <w:t>0,342</w:t>
            </w:r>
          </w:p>
        </w:tc>
        <w:tc>
          <w:tcPr>
            <w:tcW w:w="1080" w:type="dxa"/>
            <w:tcBorders>
              <w:top w:val="single" w:sz="12" w:space="0" w:color="auto"/>
              <w:left w:val="single" w:sz="2" w:space="0" w:color="auto"/>
              <w:bottom w:val="single" w:sz="12" w:space="0" w:color="auto"/>
              <w:right w:val="single" w:sz="2" w:space="0" w:color="auto"/>
            </w:tcBorders>
            <w:vAlign w:val="center"/>
          </w:tcPr>
          <w:p w14:paraId="74C22530" w14:textId="77777777" w:rsidR="003F3C34" w:rsidRPr="00C16A84" w:rsidRDefault="003F3C34" w:rsidP="008204DA">
            <w:pPr>
              <w:spacing w:before="60" w:after="60" w:line="200" w:lineRule="exact"/>
              <w:jc w:val="right"/>
              <w:rPr>
                <w:b/>
                <w:noProof/>
                <w:sz w:val="16"/>
                <w:szCs w:val="16"/>
              </w:rPr>
            </w:pPr>
            <w:r w:rsidRPr="00C16A84">
              <w:rPr>
                <w:noProof/>
                <w:sz w:val="16"/>
              </w:rPr>
              <w:t>0,342</w:t>
            </w:r>
          </w:p>
        </w:tc>
        <w:tc>
          <w:tcPr>
            <w:tcW w:w="1080" w:type="dxa"/>
            <w:tcBorders>
              <w:top w:val="single" w:sz="12" w:space="0" w:color="auto"/>
              <w:left w:val="single" w:sz="2" w:space="0" w:color="auto"/>
              <w:bottom w:val="single" w:sz="12" w:space="0" w:color="auto"/>
              <w:right w:val="single" w:sz="2" w:space="0" w:color="auto"/>
            </w:tcBorders>
            <w:vAlign w:val="center"/>
          </w:tcPr>
          <w:p w14:paraId="57198903" w14:textId="77777777" w:rsidR="003F3C34" w:rsidRPr="00C16A84" w:rsidRDefault="003F3C34" w:rsidP="008204DA">
            <w:pPr>
              <w:spacing w:before="60" w:after="60" w:line="200" w:lineRule="exact"/>
              <w:jc w:val="right"/>
              <w:rPr>
                <w:b/>
                <w:noProof/>
                <w:sz w:val="16"/>
                <w:szCs w:val="16"/>
              </w:rPr>
            </w:pPr>
            <w:r w:rsidRPr="00C16A84">
              <w:rPr>
                <w:noProof/>
                <w:sz w:val="16"/>
              </w:rPr>
              <w:t>0,342</w:t>
            </w:r>
          </w:p>
        </w:tc>
        <w:tc>
          <w:tcPr>
            <w:tcW w:w="1080" w:type="dxa"/>
            <w:tcBorders>
              <w:top w:val="single" w:sz="12" w:space="0" w:color="auto"/>
              <w:left w:val="single" w:sz="2" w:space="0" w:color="auto"/>
              <w:bottom w:val="single" w:sz="12" w:space="0" w:color="auto"/>
              <w:right w:val="single" w:sz="2" w:space="0" w:color="auto"/>
            </w:tcBorders>
            <w:vAlign w:val="center"/>
          </w:tcPr>
          <w:p w14:paraId="09AA2B8F" w14:textId="77777777" w:rsidR="003F3C34" w:rsidRPr="00C16A84" w:rsidRDefault="003F3C34" w:rsidP="008204DA">
            <w:pPr>
              <w:spacing w:before="60" w:after="60" w:line="200" w:lineRule="exact"/>
              <w:jc w:val="right"/>
              <w:rPr>
                <w:b/>
                <w:noProof/>
                <w:sz w:val="16"/>
                <w:szCs w:val="16"/>
              </w:rPr>
            </w:pPr>
            <w:r w:rsidRPr="00C16A84">
              <w:rPr>
                <w:noProof/>
                <w:sz w:val="16"/>
              </w:rPr>
              <w:t>0,342</w:t>
            </w:r>
          </w:p>
        </w:tc>
        <w:tc>
          <w:tcPr>
            <w:tcW w:w="1080" w:type="dxa"/>
            <w:tcBorders>
              <w:top w:val="single" w:sz="12" w:space="0" w:color="auto"/>
              <w:left w:val="single" w:sz="2" w:space="0" w:color="auto"/>
              <w:bottom w:val="single" w:sz="12" w:space="0" w:color="auto"/>
              <w:right w:val="single" w:sz="2" w:space="0" w:color="auto"/>
            </w:tcBorders>
            <w:vAlign w:val="center"/>
          </w:tcPr>
          <w:p w14:paraId="6055BCE7" w14:textId="77777777" w:rsidR="003F3C34" w:rsidRPr="00C16A84" w:rsidRDefault="003F3C34" w:rsidP="008204D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543CCD59" w14:textId="77777777" w:rsidR="003F3C34" w:rsidRPr="00C16A84" w:rsidRDefault="003F3C34" w:rsidP="008204D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14:paraId="3B9EAA98" w14:textId="77777777" w:rsidR="003F3C34" w:rsidRPr="00C16A84" w:rsidRDefault="00504A2C" w:rsidP="008204DA">
            <w:pPr>
              <w:spacing w:before="60" w:after="60" w:line="200" w:lineRule="exact"/>
              <w:jc w:val="right"/>
              <w:rPr>
                <w:b/>
                <w:noProof/>
                <w:sz w:val="16"/>
                <w:szCs w:val="16"/>
              </w:rPr>
            </w:pPr>
            <w:r w:rsidRPr="00C16A84">
              <w:rPr>
                <w:b/>
                <w:noProof/>
                <w:sz w:val="16"/>
              </w:rPr>
              <w:t>1,710</w:t>
            </w:r>
          </w:p>
        </w:tc>
      </w:tr>
    </w:tbl>
    <w:p w14:paraId="0B5AB859" w14:textId="77777777" w:rsidR="003F3C34" w:rsidRPr="00C16A84" w:rsidRDefault="003F3C34" w:rsidP="003F3C34">
      <w:pPr>
        <w:rPr>
          <w:noProof/>
          <w:sz w:val="18"/>
        </w:rPr>
      </w:pPr>
      <w:r w:rsidRPr="00C16A84">
        <w:rPr>
          <w:noProof/>
          <w:sz w:val="18"/>
        </w:rPr>
        <w:t>Potrebna odobrena sredstva za ljudske resurse i ostale administrativne rashode pokrit će se odobrenim sredstvima glavne uprave koja su već dodijeljena za upravljanje djelovanjem i/ili su preraspodijeljena unutar glavne uprave te, prema potrebi, dodatnim sredstvima koja se mogu dodijeliti nadležnoj glavnoj upravi u okviru godišnjeg postupka dodjele sredstava uzimajući u obzir proračunska ograničenja.</w:t>
      </w:r>
    </w:p>
    <w:p w14:paraId="325EDD50" w14:textId="77777777" w:rsidR="003F3C34" w:rsidRPr="00C16A84" w:rsidRDefault="003F3C34" w:rsidP="003F3C34">
      <w:pPr>
        <w:rPr>
          <w:noProof/>
          <w:sz w:val="18"/>
        </w:rPr>
        <w:sectPr w:rsidR="003F3C34" w:rsidRPr="00C16A84" w:rsidSect="00396AE5">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14:paraId="7C5D1BA1" w14:textId="77777777" w:rsidR="003F3C34" w:rsidRPr="00C16A84" w:rsidRDefault="003F3C34" w:rsidP="003F3C34">
      <w:pPr>
        <w:pStyle w:val="ManualHeading4"/>
        <w:rPr>
          <w:bCs/>
          <w:noProof/>
          <w:szCs w:val="24"/>
        </w:rPr>
      </w:pPr>
      <w:r w:rsidRPr="00C16A84">
        <w:rPr>
          <w:noProof/>
        </w:rPr>
        <w:t>3.2.3.1.</w:t>
      </w:r>
      <w:r w:rsidRPr="00C16A84">
        <w:rPr>
          <w:noProof/>
        </w:rPr>
        <w:tab/>
        <w:t xml:space="preserve">Procijenjene potrebe u pogledu ljudskih resursa </w:t>
      </w:r>
    </w:p>
    <w:p w14:paraId="1AF9D9F7" w14:textId="77777777" w:rsidR="003F3C34" w:rsidRPr="00C16A84" w:rsidRDefault="003F3C34" w:rsidP="00E47EEA">
      <w:pPr>
        <w:pStyle w:val="ListDash1"/>
        <w:rPr>
          <w:noProof/>
        </w:rPr>
      </w:pPr>
      <w:r w:rsidRPr="00C16A84">
        <w:rPr>
          <w:noProof/>
        </w:rPr>
        <w:sym w:font="Wingdings" w:char="F0A8"/>
      </w:r>
      <w:r w:rsidRPr="00C16A84">
        <w:rPr>
          <w:noProof/>
        </w:rPr>
        <w:tab/>
        <w:t xml:space="preserve">Za prijedlog/inicijativu nisu potrebni ljudski resursi. </w:t>
      </w:r>
    </w:p>
    <w:p w14:paraId="7E2B908C" w14:textId="77777777" w:rsidR="003F3C34" w:rsidRPr="00C16A84" w:rsidRDefault="003F3C34" w:rsidP="00E47EEA">
      <w:pPr>
        <w:pStyle w:val="ListDash1"/>
        <w:rPr>
          <w:noProof/>
        </w:rPr>
      </w:pPr>
      <w:r w:rsidRPr="00C16A84">
        <w:rPr>
          <w:noProof/>
        </w:rPr>
        <w:t>X</w:t>
      </w:r>
      <w:r w:rsidRPr="00C16A84">
        <w:rPr>
          <w:noProof/>
        </w:rPr>
        <w:tab/>
        <w:t>Za prijedlog/inicijativu potrebni su sljedeći ljudski resursi:</w:t>
      </w:r>
    </w:p>
    <w:p w14:paraId="6855576C" w14:textId="77777777" w:rsidR="003F3C34" w:rsidRPr="00C16A84" w:rsidRDefault="003F3C34" w:rsidP="003F3C34">
      <w:pPr>
        <w:spacing w:after="60"/>
        <w:jc w:val="right"/>
        <w:rPr>
          <w:i/>
          <w:noProof/>
          <w:sz w:val="20"/>
        </w:rPr>
      </w:pPr>
      <w:r w:rsidRPr="00C16A84">
        <w:rPr>
          <w:i/>
          <w:noProof/>
          <w:sz w:val="20"/>
        </w:rPr>
        <w:t>Procjenu navesti u ekvivalentima punog radnog vremena</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3F3C34" w:rsidRPr="00C16A84" w14:paraId="76B045EE" w14:textId="77777777" w:rsidTr="008204DA">
        <w:trPr>
          <w:gridBefore w:val="1"/>
          <w:wBefore w:w="15" w:type="dxa"/>
          <w:trHeight w:val="289"/>
          <w:jc w:val="center"/>
        </w:trPr>
        <w:tc>
          <w:tcPr>
            <w:tcW w:w="4754" w:type="dxa"/>
            <w:gridSpan w:val="2"/>
            <w:shd w:val="clear" w:color="auto" w:fill="auto"/>
          </w:tcPr>
          <w:p w14:paraId="2D07C126" w14:textId="77777777" w:rsidR="003F3C34" w:rsidRPr="00C16A84" w:rsidRDefault="003F3C34" w:rsidP="008204DA">
            <w:pPr>
              <w:pStyle w:val="Text1"/>
              <w:spacing w:before="40" w:after="40"/>
              <w:ind w:left="0"/>
              <w:jc w:val="center"/>
              <w:rPr>
                <w:i/>
                <w:noProof/>
                <w:sz w:val="16"/>
                <w:szCs w:val="16"/>
              </w:rPr>
            </w:pPr>
          </w:p>
        </w:tc>
        <w:tc>
          <w:tcPr>
            <w:tcW w:w="731" w:type="dxa"/>
            <w:shd w:val="clear" w:color="auto" w:fill="auto"/>
            <w:vAlign w:val="center"/>
          </w:tcPr>
          <w:p w14:paraId="1D898C66" w14:textId="77777777" w:rsidR="003F3C34" w:rsidRPr="00C16A84" w:rsidRDefault="003F3C34" w:rsidP="008204DA">
            <w:pPr>
              <w:spacing w:before="20" w:after="20"/>
              <w:jc w:val="center"/>
              <w:rPr>
                <w:noProof/>
                <w:sz w:val="16"/>
                <w:szCs w:val="16"/>
              </w:rPr>
            </w:pPr>
            <w:r w:rsidRPr="00C16A84">
              <w:rPr>
                <w:noProof/>
                <w:sz w:val="16"/>
              </w:rPr>
              <w:t>2023.</w:t>
            </w:r>
          </w:p>
        </w:tc>
        <w:tc>
          <w:tcPr>
            <w:tcW w:w="731" w:type="dxa"/>
            <w:shd w:val="clear" w:color="auto" w:fill="auto"/>
            <w:vAlign w:val="center"/>
          </w:tcPr>
          <w:p w14:paraId="40DBE45F" w14:textId="77777777" w:rsidR="003F3C34" w:rsidRPr="00C16A84" w:rsidRDefault="003F3C34" w:rsidP="008204DA">
            <w:pPr>
              <w:spacing w:before="20" w:after="20"/>
              <w:jc w:val="center"/>
              <w:rPr>
                <w:noProof/>
                <w:sz w:val="16"/>
                <w:szCs w:val="16"/>
              </w:rPr>
            </w:pPr>
            <w:r w:rsidRPr="00C16A84">
              <w:rPr>
                <w:noProof/>
                <w:sz w:val="16"/>
              </w:rPr>
              <w:t>2024.</w:t>
            </w:r>
          </w:p>
        </w:tc>
        <w:tc>
          <w:tcPr>
            <w:tcW w:w="731" w:type="dxa"/>
            <w:shd w:val="clear" w:color="auto" w:fill="auto"/>
            <w:vAlign w:val="center"/>
          </w:tcPr>
          <w:p w14:paraId="4ED4D6A5" w14:textId="77777777" w:rsidR="003F3C34" w:rsidRPr="00C16A84" w:rsidRDefault="003F3C34" w:rsidP="008204DA">
            <w:pPr>
              <w:spacing w:before="20" w:after="20"/>
              <w:jc w:val="center"/>
              <w:rPr>
                <w:noProof/>
                <w:sz w:val="16"/>
                <w:szCs w:val="16"/>
              </w:rPr>
            </w:pPr>
            <w:r w:rsidRPr="00C16A84">
              <w:rPr>
                <w:noProof/>
                <w:sz w:val="16"/>
              </w:rPr>
              <w:t>2025.</w:t>
            </w:r>
          </w:p>
        </w:tc>
        <w:tc>
          <w:tcPr>
            <w:tcW w:w="731" w:type="dxa"/>
            <w:shd w:val="clear" w:color="auto" w:fill="auto"/>
            <w:vAlign w:val="center"/>
          </w:tcPr>
          <w:p w14:paraId="563B5261" w14:textId="77777777" w:rsidR="003F3C34" w:rsidRPr="00C16A84" w:rsidRDefault="003F3C34" w:rsidP="008204DA">
            <w:pPr>
              <w:spacing w:before="20" w:after="20"/>
              <w:jc w:val="center"/>
              <w:rPr>
                <w:noProof/>
                <w:sz w:val="16"/>
                <w:szCs w:val="16"/>
              </w:rPr>
            </w:pPr>
            <w:r w:rsidRPr="00C16A84">
              <w:rPr>
                <w:noProof/>
                <w:sz w:val="16"/>
              </w:rPr>
              <w:t>2026.</w:t>
            </w:r>
          </w:p>
        </w:tc>
        <w:tc>
          <w:tcPr>
            <w:tcW w:w="731" w:type="dxa"/>
            <w:shd w:val="clear" w:color="auto" w:fill="auto"/>
            <w:vAlign w:val="center"/>
          </w:tcPr>
          <w:p w14:paraId="3CD4364B" w14:textId="77777777" w:rsidR="003F3C34" w:rsidRPr="00C16A84" w:rsidRDefault="003F3C34" w:rsidP="008204DA">
            <w:pPr>
              <w:jc w:val="center"/>
              <w:rPr>
                <w:b/>
                <w:noProof/>
                <w:sz w:val="16"/>
                <w:szCs w:val="16"/>
              </w:rPr>
            </w:pPr>
            <w:r w:rsidRPr="00C16A84">
              <w:rPr>
                <w:noProof/>
                <w:sz w:val="16"/>
              </w:rPr>
              <w:t>2027.</w:t>
            </w:r>
          </w:p>
        </w:tc>
        <w:tc>
          <w:tcPr>
            <w:tcW w:w="731" w:type="dxa"/>
            <w:shd w:val="clear" w:color="auto" w:fill="auto"/>
            <w:vAlign w:val="center"/>
          </w:tcPr>
          <w:p w14:paraId="3433BA08" w14:textId="77777777" w:rsidR="003F3C34" w:rsidRPr="00C16A84" w:rsidRDefault="003F3C34" w:rsidP="008204DA">
            <w:pPr>
              <w:jc w:val="center"/>
              <w:rPr>
                <w:b/>
                <w:noProof/>
                <w:sz w:val="16"/>
                <w:szCs w:val="16"/>
              </w:rPr>
            </w:pPr>
          </w:p>
        </w:tc>
        <w:tc>
          <w:tcPr>
            <w:tcW w:w="731" w:type="dxa"/>
            <w:shd w:val="clear" w:color="auto" w:fill="auto"/>
            <w:vAlign w:val="center"/>
          </w:tcPr>
          <w:p w14:paraId="3F749621" w14:textId="77777777" w:rsidR="003F3C34" w:rsidRPr="00C16A84" w:rsidRDefault="003F3C34" w:rsidP="008204DA">
            <w:pPr>
              <w:jc w:val="center"/>
              <w:rPr>
                <w:b/>
                <w:noProof/>
                <w:sz w:val="16"/>
                <w:szCs w:val="16"/>
              </w:rPr>
            </w:pPr>
          </w:p>
        </w:tc>
      </w:tr>
      <w:tr w:rsidR="003F3C34" w:rsidRPr="00C16A84" w14:paraId="7F9E8629" w14:textId="77777777" w:rsidTr="008204DA">
        <w:trPr>
          <w:gridBefore w:val="1"/>
          <w:wBefore w:w="15" w:type="dxa"/>
          <w:trHeight w:val="289"/>
          <w:jc w:val="center"/>
        </w:trPr>
        <w:tc>
          <w:tcPr>
            <w:tcW w:w="9871" w:type="dxa"/>
            <w:gridSpan w:val="9"/>
            <w:shd w:val="clear" w:color="auto" w:fill="auto"/>
          </w:tcPr>
          <w:p w14:paraId="6377A269" w14:textId="77777777" w:rsidR="003F3C34" w:rsidRPr="00C16A84" w:rsidRDefault="003F3C34" w:rsidP="008204DA">
            <w:pPr>
              <w:jc w:val="left"/>
              <w:rPr>
                <w:noProof/>
                <w:sz w:val="16"/>
                <w:szCs w:val="16"/>
              </w:rPr>
            </w:pPr>
            <w:r w:rsidRPr="00C16A84">
              <w:rPr>
                <w:b/>
                <w:noProof/>
                <w:sz w:val="16"/>
              </w:rPr>
              <w:sym w:font="Wingdings" w:char="F09F"/>
            </w:r>
            <w:r w:rsidRPr="00C16A84">
              <w:rPr>
                <w:noProof/>
              </w:rPr>
              <w:t xml:space="preserve"> </w:t>
            </w:r>
            <w:r w:rsidRPr="00C16A84">
              <w:rPr>
                <w:b/>
                <w:noProof/>
                <w:sz w:val="16"/>
              </w:rPr>
              <w:t>Radna mjesta prema planu radnih mjesta (dužnosnici i privremeno osoblje)</w:t>
            </w:r>
          </w:p>
        </w:tc>
      </w:tr>
      <w:tr w:rsidR="003F3C34" w:rsidRPr="00C16A84" w14:paraId="498B6C6D" w14:textId="77777777" w:rsidTr="008204DA">
        <w:trPr>
          <w:gridBefore w:val="1"/>
          <w:wBefore w:w="15" w:type="dxa"/>
          <w:trHeight w:val="289"/>
          <w:jc w:val="center"/>
        </w:trPr>
        <w:tc>
          <w:tcPr>
            <w:tcW w:w="4754" w:type="dxa"/>
            <w:gridSpan w:val="2"/>
            <w:shd w:val="clear" w:color="auto" w:fill="auto"/>
            <w:vAlign w:val="center"/>
          </w:tcPr>
          <w:p w14:paraId="7F8DC1EF" w14:textId="77777777" w:rsidR="003F3C34" w:rsidRPr="00C16A84" w:rsidRDefault="003F3C34" w:rsidP="008204DA">
            <w:pPr>
              <w:pStyle w:val="Text1"/>
              <w:spacing w:beforeLines="20" w:before="48" w:afterLines="20" w:after="48"/>
              <w:ind w:left="134"/>
              <w:jc w:val="left"/>
              <w:rPr>
                <w:b/>
                <w:noProof/>
                <w:sz w:val="16"/>
                <w:szCs w:val="16"/>
              </w:rPr>
            </w:pPr>
            <w:r w:rsidRPr="00C16A84">
              <w:rPr>
                <w:noProof/>
                <w:sz w:val="16"/>
              </w:rPr>
              <w:t>20 01 02 01 (sjedište i predstavništva Komisije)</w:t>
            </w:r>
          </w:p>
        </w:tc>
        <w:tc>
          <w:tcPr>
            <w:tcW w:w="731" w:type="dxa"/>
            <w:shd w:val="clear" w:color="auto" w:fill="auto"/>
            <w:vAlign w:val="center"/>
          </w:tcPr>
          <w:p w14:paraId="7C55F584" w14:textId="77777777" w:rsidR="003F3C34" w:rsidRPr="00C16A84" w:rsidRDefault="003F3C34" w:rsidP="008204DA">
            <w:pPr>
              <w:spacing w:beforeLines="20" w:before="48" w:afterLines="20" w:after="48"/>
              <w:jc w:val="center"/>
              <w:rPr>
                <w:noProof/>
                <w:sz w:val="16"/>
                <w:szCs w:val="16"/>
              </w:rPr>
            </w:pPr>
            <w:r w:rsidRPr="00C16A84">
              <w:rPr>
                <w:noProof/>
                <w:sz w:val="16"/>
              </w:rPr>
              <w:t>2</w:t>
            </w:r>
          </w:p>
        </w:tc>
        <w:tc>
          <w:tcPr>
            <w:tcW w:w="731" w:type="dxa"/>
            <w:shd w:val="clear" w:color="auto" w:fill="auto"/>
            <w:vAlign w:val="center"/>
          </w:tcPr>
          <w:p w14:paraId="08B8C75C" w14:textId="77777777" w:rsidR="003F3C34" w:rsidRPr="00C16A84" w:rsidRDefault="003F3C34" w:rsidP="008204DA">
            <w:pPr>
              <w:spacing w:beforeLines="20" w:before="48" w:afterLines="20" w:after="48"/>
              <w:jc w:val="center"/>
              <w:rPr>
                <w:noProof/>
                <w:sz w:val="16"/>
                <w:szCs w:val="16"/>
              </w:rPr>
            </w:pPr>
            <w:r w:rsidRPr="00C16A84">
              <w:rPr>
                <w:noProof/>
                <w:sz w:val="16"/>
              </w:rPr>
              <w:t>2</w:t>
            </w:r>
          </w:p>
        </w:tc>
        <w:tc>
          <w:tcPr>
            <w:tcW w:w="731" w:type="dxa"/>
            <w:shd w:val="clear" w:color="auto" w:fill="auto"/>
            <w:vAlign w:val="center"/>
          </w:tcPr>
          <w:p w14:paraId="33C4D862" w14:textId="77777777" w:rsidR="003F3C34" w:rsidRPr="00C16A84" w:rsidRDefault="003F3C34" w:rsidP="008204DA">
            <w:pPr>
              <w:spacing w:beforeLines="20" w:before="48" w:afterLines="20" w:after="48"/>
              <w:jc w:val="center"/>
              <w:rPr>
                <w:noProof/>
                <w:sz w:val="16"/>
                <w:szCs w:val="16"/>
              </w:rPr>
            </w:pPr>
            <w:r w:rsidRPr="00C16A84">
              <w:rPr>
                <w:noProof/>
                <w:sz w:val="16"/>
              </w:rPr>
              <w:t>2</w:t>
            </w:r>
          </w:p>
        </w:tc>
        <w:tc>
          <w:tcPr>
            <w:tcW w:w="731" w:type="dxa"/>
            <w:shd w:val="clear" w:color="auto" w:fill="auto"/>
            <w:vAlign w:val="center"/>
          </w:tcPr>
          <w:p w14:paraId="21ADF7C7" w14:textId="77777777" w:rsidR="003F3C34" w:rsidRPr="00C16A84" w:rsidRDefault="003F3C34" w:rsidP="008204DA">
            <w:pPr>
              <w:spacing w:beforeLines="20" w:before="48" w:afterLines="20" w:after="48"/>
              <w:jc w:val="center"/>
              <w:rPr>
                <w:noProof/>
                <w:sz w:val="16"/>
                <w:szCs w:val="16"/>
              </w:rPr>
            </w:pPr>
            <w:r w:rsidRPr="00C16A84">
              <w:rPr>
                <w:noProof/>
                <w:sz w:val="16"/>
              </w:rPr>
              <w:t>2</w:t>
            </w:r>
          </w:p>
        </w:tc>
        <w:tc>
          <w:tcPr>
            <w:tcW w:w="731" w:type="dxa"/>
            <w:shd w:val="clear" w:color="auto" w:fill="auto"/>
            <w:vAlign w:val="center"/>
          </w:tcPr>
          <w:p w14:paraId="2A074E68" w14:textId="77777777" w:rsidR="003F3C34" w:rsidRPr="00C16A84" w:rsidRDefault="003F3C34" w:rsidP="008204DA">
            <w:pPr>
              <w:spacing w:beforeLines="20" w:before="48" w:afterLines="20" w:after="48"/>
              <w:jc w:val="center"/>
              <w:rPr>
                <w:noProof/>
                <w:sz w:val="16"/>
                <w:szCs w:val="16"/>
              </w:rPr>
            </w:pPr>
            <w:r w:rsidRPr="00C16A84">
              <w:rPr>
                <w:noProof/>
                <w:sz w:val="16"/>
              </w:rPr>
              <w:t>2</w:t>
            </w:r>
          </w:p>
        </w:tc>
        <w:tc>
          <w:tcPr>
            <w:tcW w:w="731" w:type="dxa"/>
            <w:shd w:val="clear" w:color="auto" w:fill="auto"/>
            <w:vAlign w:val="center"/>
          </w:tcPr>
          <w:p w14:paraId="7557BFB3"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426220A7" w14:textId="77777777" w:rsidR="003F3C34" w:rsidRPr="00C16A84" w:rsidRDefault="003F3C34" w:rsidP="008204DA">
            <w:pPr>
              <w:spacing w:beforeLines="20" w:before="48" w:afterLines="20" w:after="48"/>
              <w:jc w:val="center"/>
              <w:rPr>
                <w:noProof/>
                <w:sz w:val="16"/>
                <w:szCs w:val="16"/>
              </w:rPr>
            </w:pPr>
          </w:p>
        </w:tc>
      </w:tr>
      <w:tr w:rsidR="003F3C34" w:rsidRPr="00C16A84" w14:paraId="28CB9EA3" w14:textId="77777777" w:rsidTr="008204DA">
        <w:trPr>
          <w:gridBefore w:val="1"/>
          <w:wBefore w:w="15" w:type="dxa"/>
          <w:trHeight w:val="289"/>
          <w:jc w:val="center"/>
        </w:trPr>
        <w:tc>
          <w:tcPr>
            <w:tcW w:w="4754" w:type="dxa"/>
            <w:gridSpan w:val="2"/>
            <w:shd w:val="clear" w:color="auto" w:fill="auto"/>
            <w:vAlign w:val="center"/>
          </w:tcPr>
          <w:p w14:paraId="04CB6F90" w14:textId="77777777" w:rsidR="003F3C34" w:rsidRPr="00C16A84" w:rsidRDefault="003F3C34" w:rsidP="008204DA">
            <w:pPr>
              <w:pStyle w:val="Text1"/>
              <w:spacing w:beforeLines="20" w:before="48" w:afterLines="20" w:after="48"/>
              <w:ind w:left="134"/>
              <w:jc w:val="left"/>
              <w:rPr>
                <w:noProof/>
                <w:sz w:val="16"/>
              </w:rPr>
            </w:pPr>
            <w:r w:rsidRPr="00C16A84">
              <w:rPr>
                <w:noProof/>
                <w:sz w:val="16"/>
              </w:rPr>
              <w:t>20 01 02 03 (delegacije)</w:t>
            </w:r>
          </w:p>
        </w:tc>
        <w:tc>
          <w:tcPr>
            <w:tcW w:w="731" w:type="dxa"/>
            <w:shd w:val="clear" w:color="auto" w:fill="auto"/>
            <w:vAlign w:val="center"/>
          </w:tcPr>
          <w:p w14:paraId="0B839240"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518E57CC"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5CCB0FF0"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752F5A6D"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34AD0B8C"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6DA0CEC0"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4D28943C" w14:textId="77777777" w:rsidR="003F3C34" w:rsidRPr="00C16A84" w:rsidRDefault="003F3C34" w:rsidP="008204DA">
            <w:pPr>
              <w:spacing w:beforeLines="20" w:before="48" w:afterLines="20" w:after="48"/>
              <w:jc w:val="center"/>
              <w:rPr>
                <w:noProof/>
                <w:sz w:val="16"/>
                <w:szCs w:val="16"/>
              </w:rPr>
            </w:pPr>
          </w:p>
        </w:tc>
      </w:tr>
      <w:tr w:rsidR="003F3C34" w:rsidRPr="00C16A84" w14:paraId="5423AEB0" w14:textId="77777777" w:rsidTr="008204DA">
        <w:trPr>
          <w:gridBefore w:val="1"/>
          <w:wBefore w:w="15" w:type="dxa"/>
          <w:trHeight w:val="289"/>
          <w:jc w:val="center"/>
        </w:trPr>
        <w:tc>
          <w:tcPr>
            <w:tcW w:w="4754" w:type="dxa"/>
            <w:gridSpan w:val="2"/>
            <w:shd w:val="clear" w:color="auto" w:fill="auto"/>
            <w:vAlign w:val="center"/>
          </w:tcPr>
          <w:p w14:paraId="269188B7" w14:textId="77777777" w:rsidR="003F3C34" w:rsidRPr="00C16A84" w:rsidRDefault="003F3C34" w:rsidP="008204DA">
            <w:pPr>
              <w:pStyle w:val="Text1"/>
              <w:spacing w:beforeLines="20" w:before="48" w:afterLines="20" w:after="48"/>
              <w:ind w:left="134"/>
              <w:jc w:val="left"/>
              <w:rPr>
                <w:noProof/>
                <w:sz w:val="16"/>
                <w:szCs w:val="16"/>
              </w:rPr>
            </w:pPr>
            <w:r w:rsidRPr="00C16A84">
              <w:rPr>
                <w:noProof/>
                <w:sz w:val="16"/>
              </w:rPr>
              <w:t>01 01 01 01 (neizravno istraživanje)</w:t>
            </w:r>
          </w:p>
        </w:tc>
        <w:tc>
          <w:tcPr>
            <w:tcW w:w="731" w:type="dxa"/>
            <w:shd w:val="clear" w:color="auto" w:fill="auto"/>
            <w:vAlign w:val="center"/>
          </w:tcPr>
          <w:p w14:paraId="3836A27B"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230425E5"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712E9A87"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23EB332B"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1116B17F"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2EA40372"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6524E9A1" w14:textId="77777777" w:rsidR="003F3C34" w:rsidRPr="00C16A84" w:rsidRDefault="003F3C34" w:rsidP="008204DA">
            <w:pPr>
              <w:spacing w:beforeLines="20" w:before="48" w:afterLines="20" w:after="48"/>
              <w:jc w:val="center"/>
              <w:rPr>
                <w:noProof/>
                <w:sz w:val="16"/>
                <w:szCs w:val="16"/>
              </w:rPr>
            </w:pPr>
          </w:p>
        </w:tc>
      </w:tr>
      <w:tr w:rsidR="003F3C34" w:rsidRPr="00C16A84" w14:paraId="22E53E76" w14:textId="77777777" w:rsidTr="008204DA">
        <w:trPr>
          <w:gridBefore w:val="1"/>
          <w:wBefore w:w="15" w:type="dxa"/>
          <w:trHeight w:val="289"/>
          <w:jc w:val="center"/>
        </w:trPr>
        <w:tc>
          <w:tcPr>
            <w:tcW w:w="4754" w:type="dxa"/>
            <w:gridSpan w:val="2"/>
            <w:shd w:val="clear" w:color="auto" w:fill="auto"/>
            <w:vAlign w:val="center"/>
          </w:tcPr>
          <w:p w14:paraId="77F170AC" w14:textId="77777777" w:rsidR="003F3C34" w:rsidRPr="00C16A84" w:rsidRDefault="003F3C34" w:rsidP="008204DA">
            <w:pPr>
              <w:pStyle w:val="Text1"/>
              <w:spacing w:beforeLines="20" w:before="48" w:afterLines="20" w:after="48"/>
              <w:ind w:left="134"/>
              <w:jc w:val="left"/>
              <w:rPr>
                <w:noProof/>
                <w:sz w:val="16"/>
                <w:szCs w:val="16"/>
              </w:rPr>
            </w:pPr>
            <w:r w:rsidRPr="00C16A84">
              <w:rPr>
                <w:noProof/>
                <w:sz w:val="16"/>
              </w:rPr>
              <w:t xml:space="preserve"> 01 01 01 11 (izravno istraživanje)</w:t>
            </w:r>
          </w:p>
        </w:tc>
        <w:tc>
          <w:tcPr>
            <w:tcW w:w="731" w:type="dxa"/>
            <w:shd w:val="clear" w:color="auto" w:fill="auto"/>
            <w:vAlign w:val="center"/>
          </w:tcPr>
          <w:p w14:paraId="047C756B"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35B131F5"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69D664A9"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60E08D5F"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219C5785"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05D65346"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0A4562A0" w14:textId="77777777" w:rsidR="003F3C34" w:rsidRPr="00C16A84" w:rsidRDefault="003F3C34" w:rsidP="008204DA">
            <w:pPr>
              <w:spacing w:beforeLines="20" w:before="48" w:afterLines="20" w:after="48"/>
              <w:jc w:val="center"/>
              <w:rPr>
                <w:noProof/>
                <w:sz w:val="16"/>
                <w:szCs w:val="16"/>
              </w:rPr>
            </w:pPr>
          </w:p>
        </w:tc>
      </w:tr>
      <w:tr w:rsidR="003F3C34" w:rsidRPr="00C16A84" w14:paraId="54F448DF" w14:textId="77777777" w:rsidTr="008204DA">
        <w:trPr>
          <w:gridBefore w:val="1"/>
          <w:wBefore w:w="15" w:type="dxa"/>
          <w:trHeight w:val="289"/>
          <w:jc w:val="center"/>
        </w:trPr>
        <w:tc>
          <w:tcPr>
            <w:tcW w:w="4754" w:type="dxa"/>
            <w:gridSpan w:val="2"/>
            <w:shd w:val="clear" w:color="auto" w:fill="auto"/>
            <w:vAlign w:val="center"/>
          </w:tcPr>
          <w:p w14:paraId="4F9A0065" w14:textId="77777777" w:rsidR="003F3C34" w:rsidRPr="00C16A84" w:rsidRDefault="003F3C34" w:rsidP="008204DA">
            <w:pPr>
              <w:pStyle w:val="Text1"/>
              <w:spacing w:beforeLines="20" w:before="48" w:afterLines="20" w:after="48"/>
              <w:ind w:left="134"/>
              <w:jc w:val="left"/>
              <w:rPr>
                <w:noProof/>
                <w:sz w:val="16"/>
              </w:rPr>
            </w:pPr>
            <w:r w:rsidRPr="00C16A84">
              <w:rPr>
                <w:noProof/>
                <w:sz w:val="16"/>
              </w:rPr>
              <w:t>Druge proračunske linije (navesti)</w:t>
            </w:r>
          </w:p>
        </w:tc>
        <w:tc>
          <w:tcPr>
            <w:tcW w:w="731" w:type="dxa"/>
            <w:shd w:val="clear" w:color="auto" w:fill="auto"/>
            <w:vAlign w:val="center"/>
          </w:tcPr>
          <w:p w14:paraId="620E0020"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4E27B8DF"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64EC1668"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502473FD"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21829371"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295F2A6C"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42EB38F1" w14:textId="77777777" w:rsidR="003F3C34" w:rsidRPr="00C16A84" w:rsidRDefault="003F3C34" w:rsidP="008204DA">
            <w:pPr>
              <w:spacing w:beforeLines="20" w:before="48" w:afterLines="20" w:after="48"/>
              <w:jc w:val="center"/>
              <w:rPr>
                <w:noProof/>
                <w:sz w:val="16"/>
                <w:szCs w:val="16"/>
              </w:rPr>
            </w:pPr>
          </w:p>
        </w:tc>
      </w:tr>
      <w:tr w:rsidR="003F3C34" w:rsidRPr="00C16A84" w14:paraId="5D75A6E9" w14:textId="77777777" w:rsidTr="008204DA">
        <w:trPr>
          <w:trHeight w:val="248"/>
          <w:jc w:val="center"/>
        </w:trPr>
        <w:tc>
          <w:tcPr>
            <w:tcW w:w="9886" w:type="dxa"/>
            <w:gridSpan w:val="10"/>
            <w:shd w:val="clear" w:color="auto" w:fill="auto"/>
            <w:vAlign w:val="center"/>
          </w:tcPr>
          <w:p w14:paraId="3A9C6C41" w14:textId="77777777" w:rsidR="003F3C34" w:rsidRPr="00C16A84" w:rsidRDefault="003F3C34" w:rsidP="008204DA">
            <w:pPr>
              <w:pStyle w:val="Text1"/>
              <w:spacing w:before="60" w:after="60"/>
              <w:ind w:left="0"/>
              <w:jc w:val="left"/>
              <w:rPr>
                <w:b/>
                <w:noProof/>
                <w:sz w:val="16"/>
                <w:szCs w:val="16"/>
              </w:rPr>
            </w:pPr>
            <w:r w:rsidRPr="00C16A84">
              <w:rPr>
                <w:b/>
                <w:noProof/>
                <w:sz w:val="16"/>
              </w:rPr>
              <w:sym w:font="Wingdings" w:char="F09F"/>
            </w:r>
            <w:r w:rsidRPr="00C16A84">
              <w:rPr>
                <w:noProof/>
              </w:rPr>
              <w:t xml:space="preserve"> </w:t>
            </w:r>
            <w:r w:rsidRPr="00C16A84">
              <w:rPr>
                <w:b/>
                <w:noProof/>
                <w:sz w:val="16"/>
              </w:rPr>
              <w:t>Vanjsko osoblje (u ekvivalentu punog radnog vremena: EPRV)</w:t>
            </w:r>
            <w:r w:rsidRPr="00C16A84">
              <w:rPr>
                <w:rStyle w:val="FootnoteReference"/>
                <w:b/>
                <w:noProof/>
                <w:sz w:val="16"/>
              </w:rPr>
              <w:footnoteReference w:id="69"/>
            </w:r>
          </w:p>
          <w:p w14:paraId="1DF1B9E7" w14:textId="77777777" w:rsidR="003F3C34" w:rsidRPr="00C16A84" w:rsidRDefault="003F3C34" w:rsidP="008204DA">
            <w:pPr>
              <w:pStyle w:val="Text1"/>
              <w:spacing w:before="0" w:after="0"/>
              <w:ind w:left="0"/>
              <w:jc w:val="left"/>
              <w:rPr>
                <w:noProof/>
                <w:sz w:val="16"/>
                <w:szCs w:val="16"/>
              </w:rPr>
            </w:pPr>
          </w:p>
        </w:tc>
      </w:tr>
      <w:tr w:rsidR="003F3C34" w:rsidRPr="00C16A84" w14:paraId="604AFC36" w14:textId="77777777" w:rsidTr="008204DA">
        <w:trPr>
          <w:gridBefore w:val="1"/>
          <w:wBefore w:w="15" w:type="dxa"/>
          <w:trHeight w:val="289"/>
          <w:jc w:val="center"/>
        </w:trPr>
        <w:tc>
          <w:tcPr>
            <w:tcW w:w="4754" w:type="dxa"/>
            <w:gridSpan w:val="2"/>
            <w:shd w:val="clear" w:color="auto" w:fill="auto"/>
            <w:vAlign w:val="center"/>
          </w:tcPr>
          <w:p w14:paraId="05912A3D" w14:textId="77777777" w:rsidR="003F3C34" w:rsidRPr="00C16A84" w:rsidRDefault="003F3C34" w:rsidP="008204DA">
            <w:pPr>
              <w:pStyle w:val="Text1"/>
              <w:spacing w:beforeLines="20" w:before="48" w:afterLines="20" w:after="48"/>
              <w:ind w:left="136"/>
              <w:jc w:val="left"/>
              <w:rPr>
                <w:b/>
                <w:noProof/>
                <w:sz w:val="16"/>
                <w:szCs w:val="16"/>
              </w:rPr>
            </w:pPr>
            <w:r w:rsidRPr="00C16A84">
              <w:rPr>
                <w:noProof/>
                <w:sz w:val="16"/>
              </w:rPr>
              <w:t>20 02 01 (UO, UNS, UsO iz „globalne omotnice”)</w:t>
            </w:r>
          </w:p>
        </w:tc>
        <w:tc>
          <w:tcPr>
            <w:tcW w:w="731" w:type="dxa"/>
            <w:shd w:val="clear" w:color="auto" w:fill="auto"/>
            <w:vAlign w:val="center"/>
          </w:tcPr>
          <w:p w14:paraId="2D0E27B9"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1316BB94"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6A26C84C"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6CDEF9E7"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4125FB25"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69208764"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1FF6F613" w14:textId="77777777" w:rsidR="003F3C34" w:rsidRPr="00C16A84" w:rsidRDefault="003F3C34" w:rsidP="008204DA">
            <w:pPr>
              <w:spacing w:beforeLines="20" w:before="48" w:afterLines="20" w:after="48"/>
              <w:jc w:val="center"/>
              <w:rPr>
                <w:noProof/>
                <w:sz w:val="16"/>
                <w:szCs w:val="16"/>
              </w:rPr>
            </w:pPr>
          </w:p>
        </w:tc>
      </w:tr>
      <w:tr w:rsidR="003F3C34" w:rsidRPr="00C16A84" w14:paraId="782536ED" w14:textId="77777777" w:rsidTr="008204DA">
        <w:trPr>
          <w:gridBefore w:val="1"/>
          <w:wBefore w:w="15" w:type="dxa"/>
          <w:trHeight w:val="289"/>
          <w:jc w:val="center"/>
        </w:trPr>
        <w:tc>
          <w:tcPr>
            <w:tcW w:w="4754" w:type="dxa"/>
            <w:gridSpan w:val="2"/>
            <w:shd w:val="clear" w:color="auto" w:fill="auto"/>
            <w:vAlign w:val="center"/>
          </w:tcPr>
          <w:p w14:paraId="37BA7E22" w14:textId="77777777" w:rsidR="003F3C34" w:rsidRPr="00C16A84" w:rsidRDefault="003F3C34" w:rsidP="008204DA">
            <w:pPr>
              <w:pStyle w:val="Text1"/>
              <w:spacing w:beforeLines="20" w:before="48" w:afterLines="20" w:after="48"/>
              <w:ind w:left="136"/>
              <w:jc w:val="left"/>
              <w:rPr>
                <w:noProof/>
                <w:sz w:val="16"/>
              </w:rPr>
            </w:pPr>
            <w:r w:rsidRPr="00C16A84">
              <w:rPr>
                <w:noProof/>
                <w:sz w:val="16"/>
              </w:rPr>
              <w:t>20 02 03 (UO, LO, UNS, UsO i MSD u delegacijama)</w:t>
            </w:r>
          </w:p>
        </w:tc>
        <w:tc>
          <w:tcPr>
            <w:tcW w:w="731" w:type="dxa"/>
            <w:shd w:val="clear" w:color="auto" w:fill="auto"/>
            <w:vAlign w:val="center"/>
          </w:tcPr>
          <w:p w14:paraId="0885A204"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09A527C2"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1FF2E8B6"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44D6608A"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6F42607A"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607C1A0F"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1400A777" w14:textId="77777777" w:rsidR="003F3C34" w:rsidRPr="00C16A84" w:rsidRDefault="003F3C34" w:rsidP="008204DA">
            <w:pPr>
              <w:spacing w:beforeLines="20" w:before="48" w:afterLines="20" w:after="48"/>
              <w:jc w:val="center"/>
              <w:rPr>
                <w:noProof/>
                <w:sz w:val="16"/>
                <w:szCs w:val="16"/>
              </w:rPr>
            </w:pPr>
          </w:p>
        </w:tc>
      </w:tr>
      <w:tr w:rsidR="003F3C34" w:rsidRPr="00C16A84" w14:paraId="34A57CFB" w14:textId="77777777" w:rsidTr="008204DA">
        <w:trPr>
          <w:gridBefore w:val="1"/>
          <w:wBefore w:w="15" w:type="dxa"/>
          <w:trHeight w:val="289"/>
          <w:jc w:val="center"/>
        </w:trPr>
        <w:tc>
          <w:tcPr>
            <w:tcW w:w="2376" w:type="dxa"/>
            <w:vMerge w:val="restart"/>
            <w:shd w:val="clear" w:color="auto" w:fill="auto"/>
            <w:vAlign w:val="center"/>
          </w:tcPr>
          <w:p w14:paraId="46B912DD" w14:textId="77777777" w:rsidR="003F3C34" w:rsidRPr="00C16A84" w:rsidRDefault="003F3C34" w:rsidP="008204DA">
            <w:pPr>
              <w:pStyle w:val="Text1"/>
              <w:spacing w:beforeLines="20" w:before="48" w:afterLines="20" w:after="48"/>
              <w:ind w:left="136"/>
              <w:jc w:val="left"/>
              <w:rPr>
                <w:b/>
                <w:noProof/>
                <w:sz w:val="16"/>
                <w:szCs w:val="16"/>
              </w:rPr>
            </w:pPr>
            <w:r w:rsidRPr="00C16A84">
              <w:rPr>
                <w:b/>
                <w:noProof/>
                <w:sz w:val="16"/>
              </w:rPr>
              <w:t>XX</w:t>
            </w:r>
            <w:r w:rsidRPr="00C16A84">
              <w:rPr>
                <w:noProof/>
                <w:sz w:val="16"/>
              </w:rPr>
              <w:t> 01 xx </w:t>
            </w:r>
            <w:r w:rsidRPr="00C16A84">
              <w:rPr>
                <w:b/>
                <w:noProof/>
                <w:sz w:val="16"/>
              </w:rPr>
              <w:t xml:space="preserve">yy zz </w:t>
            </w:r>
            <w:r w:rsidRPr="00C16A84">
              <w:rPr>
                <w:b/>
                <w:i/>
                <w:noProof/>
                <w:sz w:val="16"/>
              </w:rPr>
              <w:t xml:space="preserve"> </w:t>
            </w:r>
            <w:r w:rsidRPr="00C16A84">
              <w:rPr>
                <w:rStyle w:val="FootnoteReference"/>
                <w:b/>
                <w:i/>
                <w:noProof/>
                <w:sz w:val="16"/>
              </w:rPr>
              <w:footnoteReference w:id="70"/>
            </w:r>
          </w:p>
          <w:p w14:paraId="4515905C" w14:textId="77777777" w:rsidR="003F3C34" w:rsidRPr="00C16A84" w:rsidRDefault="003F3C34" w:rsidP="008204DA">
            <w:pPr>
              <w:pStyle w:val="Text1"/>
              <w:spacing w:beforeLines="20" w:before="48" w:afterLines="20" w:after="48"/>
              <w:ind w:left="136"/>
              <w:jc w:val="left"/>
              <w:rPr>
                <w:b/>
                <w:noProof/>
                <w:sz w:val="16"/>
                <w:szCs w:val="16"/>
              </w:rPr>
            </w:pPr>
          </w:p>
        </w:tc>
        <w:tc>
          <w:tcPr>
            <w:tcW w:w="2378" w:type="dxa"/>
            <w:shd w:val="clear" w:color="auto" w:fill="auto"/>
            <w:vAlign w:val="center"/>
          </w:tcPr>
          <w:p w14:paraId="674FFEB9" w14:textId="77777777" w:rsidR="003F3C34" w:rsidRPr="00C16A84" w:rsidRDefault="003F3C34" w:rsidP="008204DA">
            <w:pPr>
              <w:pStyle w:val="Text1"/>
              <w:spacing w:beforeLines="20" w:before="48" w:afterLines="20" w:after="48"/>
              <w:ind w:left="136"/>
              <w:jc w:val="left"/>
              <w:rPr>
                <w:b/>
                <w:noProof/>
                <w:sz w:val="16"/>
                <w:szCs w:val="16"/>
              </w:rPr>
            </w:pPr>
            <w:r w:rsidRPr="00C16A84">
              <w:rPr>
                <w:noProof/>
                <w:sz w:val="16"/>
              </w:rPr>
              <w:t>– u sjedištima</w:t>
            </w:r>
          </w:p>
          <w:p w14:paraId="02EBEF3B" w14:textId="77777777" w:rsidR="003F3C34" w:rsidRPr="00C16A84" w:rsidRDefault="003F3C34" w:rsidP="008204DA">
            <w:pPr>
              <w:pStyle w:val="Text1"/>
              <w:spacing w:beforeLines="20" w:before="48" w:afterLines="20" w:after="48"/>
              <w:ind w:left="136"/>
              <w:jc w:val="left"/>
              <w:rPr>
                <w:b/>
                <w:noProof/>
                <w:sz w:val="16"/>
                <w:szCs w:val="16"/>
              </w:rPr>
            </w:pPr>
          </w:p>
        </w:tc>
        <w:tc>
          <w:tcPr>
            <w:tcW w:w="731" w:type="dxa"/>
            <w:shd w:val="clear" w:color="auto" w:fill="auto"/>
            <w:vAlign w:val="center"/>
          </w:tcPr>
          <w:p w14:paraId="30454CC1" w14:textId="77777777" w:rsidR="003F3C34" w:rsidRPr="00C16A84" w:rsidRDefault="003F3C34" w:rsidP="008204DA">
            <w:pPr>
              <w:pStyle w:val="Text1"/>
              <w:spacing w:beforeLines="20" w:before="48" w:afterLines="20" w:after="48"/>
              <w:ind w:left="0"/>
              <w:rPr>
                <w:noProof/>
                <w:sz w:val="16"/>
                <w:szCs w:val="16"/>
              </w:rPr>
            </w:pPr>
          </w:p>
        </w:tc>
        <w:tc>
          <w:tcPr>
            <w:tcW w:w="731" w:type="dxa"/>
            <w:shd w:val="clear" w:color="auto" w:fill="auto"/>
            <w:vAlign w:val="center"/>
          </w:tcPr>
          <w:p w14:paraId="6D9E42EF"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6B7AABDB"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5C1FD317"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4BF1EDCD"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1B3CA026"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7FD8A100" w14:textId="77777777" w:rsidR="003F3C34" w:rsidRPr="00C16A84" w:rsidRDefault="003F3C34" w:rsidP="008204DA">
            <w:pPr>
              <w:spacing w:beforeLines="20" w:before="48" w:afterLines="20" w:after="48"/>
              <w:jc w:val="center"/>
              <w:rPr>
                <w:noProof/>
                <w:sz w:val="16"/>
                <w:szCs w:val="16"/>
              </w:rPr>
            </w:pPr>
          </w:p>
        </w:tc>
      </w:tr>
      <w:tr w:rsidR="003F3C34" w:rsidRPr="00C16A84" w14:paraId="12B6B64E" w14:textId="77777777" w:rsidTr="008204DA">
        <w:trPr>
          <w:gridBefore w:val="1"/>
          <w:wBefore w:w="15" w:type="dxa"/>
          <w:trHeight w:val="289"/>
          <w:jc w:val="center"/>
        </w:trPr>
        <w:tc>
          <w:tcPr>
            <w:tcW w:w="2376" w:type="dxa"/>
            <w:vMerge/>
            <w:shd w:val="clear" w:color="auto" w:fill="auto"/>
            <w:vAlign w:val="center"/>
          </w:tcPr>
          <w:p w14:paraId="4BB865F3" w14:textId="77777777" w:rsidR="003F3C34" w:rsidRPr="00C16A84" w:rsidRDefault="003F3C34" w:rsidP="008204DA">
            <w:pPr>
              <w:pStyle w:val="Text1"/>
              <w:spacing w:beforeLines="20" w:before="48" w:afterLines="20" w:after="48"/>
              <w:ind w:left="136"/>
              <w:jc w:val="left"/>
              <w:rPr>
                <w:b/>
                <w:noProof/>
                <w:sz w:val="16"/>
                <w:szCs w:val="16"/>
              </w:rPr>
            </w:pPr>
          </w:p>
        </w:tc>
        <w:tc>
          <w:tcPr>
            <w:tcW w:w="2378" w:type="dxa"/>
            <w:shd w:val="clear" w:color="auto" w:fill="auto"/>
            <w:vAlign w:val="center"/>
          </w:tcPr>
          <w:p w14:paraId="7C2C0107" w14:textId="77777777" w:rsidR="003F3C34" w:rsidRPr="00C16A84" w:rsidRDefault="003F3C34" w:rsidP="008204DA">
            <w:pPr>
              <w:pStyle w:val="Text1"/>
              <w:spacing w:beforeLines="20" w:before="48" w:afterLines="20" w:after="48"/>
              <w:ind w:left="136"/>
              <w:jc w:val="left"/>
              <w:rPr>
                <w:b/>
                <w:noProof/>
                <w:sz w:val="16"/>
                <w:szCs w:val="16"/>
              </w:rPr>
            </w:pPr>
            <w:r w:rsidRPr="00C16A84">
              <w:rPr>
                <w:noProof/>
                <w:sz w:val="16"/>
              </w:rPr>
              <w:t xml:space="preserve">– u delegacijama </w:t>
            </w:r>
          </w:p>
        </w:tc>
        <w:tc>
          <w:tcPr>
            <w:tcW w:w="731" w:type="dxa"/>
            <w:shd w:val="clear" w:color="auto" w:fill="auto"/>
            <w:vAlign w:val="center"/>
          </w:tcPr>
          <w:p w14:paraId="3F305D02" w14:textId="77777777" w:rsidR="003F3C34" w:rsidRPr="00C16A84" w:rsidRDefault="003F3C34" w:rsidP="008204DA">
            <w:pPr>
              <w:pStyle w:val="Text1"/>
              <w:spacing w:beforeLines="20" w:before="48" w:afterLines="20" w:after="48"/>
              <w:ind w:left="0"/>
              <w:rPr>
                <w:noProof/>
                <w:sz w:val="16"/>
                <w:szCs w:val="16"/>
              </w:rPr>
            </w:pPr>
          </w:p>
        </w:tc>
        <w:tc>
          <w:tcPr>
            <w:tcW w:w="731" w:type="dxa"/>
            <w:shd w:val="clear" w:color="auto" w:fill="auto"/>
            <w:vAlign w:val="center"/>
          </w:tcPr>
          <w:p w14:paraId="3D6CEC1F"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16AB254D"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3EC2ABC0"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4D43C81B"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3C60881A"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5E52348C" w14:textId="77777777" w:rsidR="003F3C34" w:rsidRPr="00C16A84" w:rsidRDefault="003F3C34" w:rsidP="008204DA">
            <w:pPr>
              <w:spacing w:beforeLines="20" w:before="48" w:afterLines="20" w:after="48"/>
              <w:jc w:val="center"/>
              <w:rPr>
                <w:noProof/>
                <w:sz w:val="16"/>
                <w:szCs w:val="16"/>
              </w:rPr>
            </w:pPr>
          </w:p>
        </w:tc>
      </w:tr>
      <w:tr w:rsidR="003F3C34" w:rsidRPr="00C16A84" w14:paraId="24783CDE" w14:textId="77777777" w:rsidTr="008204DA">
        <w:trPr>
          <w:gridBefore w:val="1"/>
          <w:wBefore w:w="15" w:type="dxa"/>
          <w:trHeight w:val="289"/>
          <w:jc w:val="center"/>
        </w:trPr>
        <w:tc>
          <w:tcPr>
            <w:tcW w:w="4754" w:type="dxa"/>
            <w:gridSpan w:val="2"/>
            <w:shd w:val="clear" w:color="auto" w:fill="auto"/>
            <w:vAlign w:val="center"/>
          </w:tcPr>
          <w:p w14:paraId="067C80D7" w14:textId="77777777" w:rsidR="003F3C34" w:rsidRPr="00C16A84" w:rsidRDefault="003F3C34" w:rsidP="008204DA">
            <w:pPr>
              <w:pStyle w:val="Text1"/>
              <w:spacing w:beforeLines="20" w:before="48" w:afterLines="20" w:after="48"/>
              <w:ind w:left="136"/>
              <w:jc w:val="left"/>
              <w:rPr>
                <w:noProof/>
                <w:sz w:val="16"/>
                <w:szCs w:val="16"/>
              </w:rPr>
            </w:pPr>
            <w:r w:rsidRPr="00C16A84">
              <w:rPr>
                <w:noProof/>
                <w:sz w:val="16"/>
              </w:rPr>
              <w:t>01 01 01 02 (UO, UNS, UsO – neizravno istraživanje)</w:t>
            </w:r>
          </w:p>
        </w:tc>
        <w:tc>
          <w:tcPr>
            <w:tcW w:w="731" w:type="dxa"/>
            <w:shd w:val="clear" w:color="auto" w:fill="auto"/>
            <w:vAlign w:val="center"/>
          </w:tcPr>
          <w:p w14:paraId="71677BEA"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2A09A89C"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4F963207"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500A09B6"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2C237CC9"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6876F38C"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366A3B78" w14:textId="77777777" w:rsidR="003F3C34" w:rsidRPr="00C16A84" w:rsidRDefault="003F3C34" w:rsidP="008204DA">
            <w:pPr>
              <w:spacing w:beforeLines="20" w:before="48" w:afterLines="20" w:after="48"/>
              <w:jc w:val="center"/>
              <w:rPr>
                <w:noProof/>
                <w:sz w:val="16"/>
                <w:szCs w:val="16"/>
              </w:rPr>
            </w:pPr>
          </w:p>
        </w:tc>
      </w:tr>
      <w:tr w:rsidR="003F3C34" w:rsidRPr="00C16A84" w14:paraId="032D3DC5" w14:textId="77777777" w:rsidTr="008204DA">
        <w:trPr>
          <w:gridBefore w:val="1"/>
          <w:wBefore w:w="15" w:type="dxa"/>
          <w:trHeight w:val="289"/>
          <w:jc w:val="center"/>
        </w:trPr>
        <w:tc>
          <w:tcPr>
            <w:tcW w:w="4754" w:type="dxa"/>
            <w:gridSpan w:val="2"/>
            <w:shd w:val="clear" w:color="auto" w:fill="auto"/>
            <w:vAlign w:val="center"/>
          </w:tcPr>
          <w:p w14:paraId="33C3D50F" w14:textId="77777777" w:rsidR="003F3C34" w:rsidRPr="00C16A84" w:rsidRDefault="003F3C34" w:rsidP="008204DA">
            <w:pPr>
              <w:pStyle w:val="Text1"/>
              <w:spacing w:beforeLines="20" w:before="48" w:afterLines="20" w:after="48"/>
              <w:ind w:left="136"/>
              <w:jc w:val="left"/>
              <w:rPr>
                <w:noProof/>
                <w:color w:val="FF0000"/>
                <w:sz w:val="16"/>
                <w:szCs w:val="16"/>
              </w:rPr>
            </w:pPr>
            <w:r w:rsidRPr="00C16A84">
              <w:rPr>
                <w:noProof/>
                <w:sz w:val="16"/>
              </w:rPr>
              <w:t xml:space="preserve"> 01 01 01 12 (UO, UNS, UsO – izravno istraživanje)</w:t>
            </w:r>
          </w:p>
        </w:tc>
        <w:tc>
          <w:tcPr>
            <w:tcW w:w="731" w:type="dxa"/>
            <w:shd w:val="clear" w:color="auto" w:fill="auto"/>
            <w:vAlign w:val="center"/>
          </w:tcPr>
          <w:p w14:paraId="7AD17411"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505EA54A"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59F7DE20"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15114E17"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53ED8160"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5989227B"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7CFCA405" w14:textId="77777777" w:rsidR="003F3C34" w:rsidRPr="00C16A84" w:rsidRDefault="003F3C34" w:rsidP="008204DA">
            <w:pPr>
              <w:spacing w:beforeLines="20" w:before="48" w:afterLines="20" w:after="48"/>
              <w:jc w:val="center"/>
              <w:rPr>
                <w:noProof/>
                <w:sz w:val="16"/>
                <w:szCs w:val="16"/>
              </w:rPr>
            </w:pPr>
          </w:p>
        </w:tc>
      </w:tr>
      <w:tr w:rsidR="003F3C34" w:rsidRPr="00C16A84" w14:paraId="0DCB1518" w14:textId="77777777" w:rsidTr="008204DA">
        <w:trPr>
          <w:gridBefore w:val="1"/>
          <w:wBefore w:w="15" w:type="dxa"/>
          <w:trHeight w:val="289"/>
          <w:jc w:val="center"/>
        </w:trPr>
        <w:tc>
          <w:tcPr>
            <w:tcW w:w="4754" w:type="dxa"/>
            <w:gridSpan w:val="2"/>
            <w:shd w:val="clear" w:color="auto" w:fill="auto"/>
            <w:vAlign w:val="center"/>
          </w:tcPr>
          <w:p w14:paraId="79A75C0B" w14:textId="77777777" w:rsidR="003F3C34" w:rsidRPr="00C16A84" w:rsidRDefault="003F3C34" w:rsidP="008204DA">
            <w:pPr>
              <w:pStyle w:val="Text1"/>
              <w:spacing w:beforeLines="20" w:before="48" w:afterLines="20" w:after="48"/>
              <w:ind w:left="136"/>
              <w:jc w:val="left"/>
              <w:rPr>
                <w:noProof/>
                <w:sz w:val="16"/>
              </w:rPr>
            </w:pPr>
            <w:r w:rsidRPr="00C16A84">
              <w:rPr>
                <w:noProof/>
                <w:sz w:val="16"/>
              </w:rPr>
              <w:t>Druge proračunske linije (navesti)</w:t>
            </w:r>
          </w:p>
        </w:tc>
        <w:tc>
          <w:tcPr>
            <w:tcW w:w="731" w:type="dxa"/>
            <w:shd w:val="clear" w:color="auto" w:fill="auto"/>
            <w:vAlign w:val="center"/>
          </w:tcPr>
          <w:p w14:paraId="24831C05"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54D6A656"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49B805C3"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33C1DF7C"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2FA76320"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43929C9D" w14:textId="77777777" w:rsidR="003F3C34" w:rsidRPr="00C16A84" w:rsidRDefault="003F3C34" w:rsidP="008204DA">
            <w:pPr>
              <w:spacing w:beforeLines="20" w:before="48" w:afterLines="20" w:after="48"/>
              <w:jc w:val="center"/>
              <w:rPr>
                <w:noProof/>
                <w:sz w:val="16"/>
                <w:szCs w:val="16"/>
              </w:rPr>
            </w:pPr>
          </w:p>
        </w:tc>
        <w:tc>
          <w:tcPr>
            <w:tcW w:w="731" w:type="dxa"/>
            <w:shd w:val="clear" w:color="auto" w:fill="auto"/>
            <w:vAlign w:val="center"/>
          </w:tcPr>
          <w:p w14:paraId="6A8F12A4" w14:textId="77777777" w:rsidR="003F3C34" w:rsidRPr="00C16A84" w:rsidRDefault="003F3C34" w:rsidP="008204DA">
            <w:pPr>
              <w:spacing w:beforeLines="20" w:before="48" w:afterLines="20" w:after="48"/>
              <w:jc w:val="center"/>
              <w:rPr>
                <w:noProof/>
                <w:sz w:val="16"/>
                <w:szCs w:val="16"/>
              </w:rPr>
            </w:pPr>
          </w:p>
        </w:tc>
      </w:tr>
      <w:tr w:rsidR="003F3C34" w:rsidRPr="00C16A84" w14:paraId="70929896" w14:textId="77777777" w:rsidTr="008204DA">
        <w:trPr>
          <w:gridBefore w:val="1"/>
          <w:wBefore w:w="15" w:type="dxa"/>
          <w:trHeight w:val="289"/>
          <w:jc w:val="center"/>
        </w:trPr>
        <w:tc>
          <w:tcPr>
            <w:tcW w:w="4754" w:type="dxa"/>
            <w:gridSpan w:val="2"/>
            <w:tcBorders>
              <w:top w:val="double" w:sz="4" w:space="0" w:color="auto"/>
            </w:tcBorders>
            <w:shd w:val="clear" w:color="auto" w:fill="auto"/>
            <w:vAlign w:val="center"/>
          </w:tcPr>
          <w:p w14:paraId="42F4E254" w14:textId="77777777" w:rsidR="003F3C34" w:rsidRPr="00C16A84" w:rsidRDefault="003F3C34" w:rsidP="008204DA">
            <w:pPr>
              <w:pStyle w:val="Text1"/>
              <w:spacing w:beforeLines="20" w:before="48" w:afterLines="20" w:after="48"/>
              <w:ind w:left="136"/>
              <w:jc w:val="left"/>
              <w:rPr>
                <w:noProof/>
                <w:sz w:val="16"/>
                <w:szCs w:val="16"/>
              </w:rPr>
            </w:pPr>
            <w:r w:rsidRPr="00C16A84">
              <w:rPr>
                <w:b/>
                <w:noProof/>
                <w:sz w:val="16"/>
              </w:rPr>
              <w:t>UKUPNO</w:t>
            </w:r>
          </w:p>
        </w:tc>
        <w:tc>
          <w:tcPr>
            <w:tcW w:w="731" w:type="dxa"/>
            <w:tcBorders>
              <w:top w:val="double" w:sz="4" w:space="0" w:color="auto"/>
            </w:tcBorders>
            <w:shd w:val="clear" w:color="auto" w:fill="auto"/>
            <w:vAlign w:val="center"/>
          </w:tcPr>
          <w:p w14:paraId="479B9B97" w14:textId="77777777" w:rsidR="003F3C34" w:rsidRPr="00C16A84" w:rsidRDefault="003F3C34" w:rsidP="008204DA">
            <w:pPr>
              <w:spacing w:beforeLines="20" w:before="48" w:afterLines="20" w:after="48"/>
              <w:jc w:val="center"/>
              <w:rPr>
                <w:b/>
                <w:noProof/>
                <w:sz w:val="16"/>
                <w:szCs w:val="16"/>
              </w:rPr>
            </w:pPr>
            <w:r w:rsidRPr="00C16A84">
              <w:rPr>
                <w:b/>
                <w:noProof/>
                <w:sz w:val="16"/>
              </w:rPr>
              <w:t>2</w:t>
            </w:r>
          </w:p>
        </w:tc>
        <w:tc>
          <w:tcPr>
            <w:tcW w:w="731" w:type="dxa"/>
            <w:tcBorders>
              <w:top w:val="double" w:sz="4" w:space="0" w:color="auto"/>
            </w:tcBorders>
            <w:shd w:val="clear" w:color="auto" w:fill="auto"/>
            <w:vAlign w:val="center"/>
          </w:tcPr>
          <w:p w14:paraId="37ACB8FC" w14:textId="77777777" w:rsidR="003F3C34" w:rsidRPr="00C16A84" w:rsidRDefault="003F3C34" w:rsidP="008204DA">
            <w:pPr>
              <w:spacing w:beforeLines="20" w:before="48" w:afterLines="20" w:after="48"/>
              <w:jc w:val="center"/>
              <w:rPr>
                <w:b/>
                <w:noProof/>
                <w:sz w:val="16"/>
                <w:szCs w:val="16"/>
              </w:rPr>
            </w:pPr>
            <w:r w:rsidRPr="00C16A84">
              <w:rPr>
                <w:b/>
                <w:noProof/>
                <w:sz w:val="16"/>
              </w:rPr>
              <w:t>2</w:t>
            </w:r>
          </w:p>
        </w:tc>
        <w:tc>
          <w:tcPr>
            <w:tcW w:w="731" w:type="dxa"/>
            <w:tcBorders>
              <w:top w:val="double" w:sz="4" w:space="0" w:color="auto"/>
            </w:tcBorders>
            <w:shd w:val="clear" w:color="auto" w:fill="auto"/>
            <w:vAlign w:val="center"/>
          </w:tcPr>
          <w:p w14:paraId="7841802C" w14:textId="77777777" w:rsidR="003F3C34" w:rsidRPr="00C16A84" w:rsidRDefault="003F3C34" w:rsidP="008204DA">
            <w:pPr>
              <w:spacing w:beforeLines="20" w:before="48" w:afterLines="20" w:after="48"/>
              <w:jc w:val="center"/>
              <w:rPr>
                <w:b/>
                <w:noProof/>
                <w:sz w:val="16"/>
                <w:szCs w:val="16"/>
              </w:rPr>
            </w:pPr>
            <w:r w:rsidRPr="00C16A84">
              <w:rPr>
                <w:b/>
                <w:noProof/>
                <w:sz w:val="16"/>
              </w:rPr>
              <w:t>2</w:t>
            </w:r>
          </w:p>
        </w:tc>
        <w:tc>
          <w:tcPr>
            <w:tcW w:w="731" w:type="dxa"/>
            <w:tcBorders>
              <w:top w:val="double" w:sz="4" w:space="0" w:color="auto"/>
            </w:tcBorders>
            <w:shd w:val="clear" w:color="auto" w:fill="auto"/>
            <w:vAlign w:val="center"/>
          </w:tcPr>
          <w:p w14:paraId="03DF1605" w14:textId="77777777" w:rsidR="003F3C34" w:rsidRPr="00C16A84" w:rsidRDefault="003F3C34" w:rsidP="008204DA">
            <w:pPr>
              <w:spacing w:beforeLines="20" w:before="48" w:afterLines="20" w:after="48"/>
              <w:jc w:val="center"/>
              <w:rPr>
                <w:b/>
                <w:noProof/>
                <w:sz w:val="16"/>
                <w:szCs w:val="16"/>
              </w:rPr>
            </w:pPr>
            <w:r w:rsidRPr="00C16A84">
              <w:rPr>
                <w:b/>
                <w:noProof/>
                <w:sz w:val="16"/>
              </w:rPr>
              <w:t>2</w:t>
            </w:r>
          </w:p>
        </w:tc>
        <w:tc>
          <w:tcPr>
            <w:tcW w:w="731" w:type="dxa"/>
            <w:tcBorders>
              <w:top w:val="double" w:sz="4" w:space="0" w:color="auto"/>
            </w:tcBorders>
            <w:shd w:val="clear" w:color="auto" w:fill="auto"/>
            <w:vAlign w:val="center"/>
          </w:tcPr>
          <w:p w14:paraId="205C5F03" w14:textId="77777777" w:rsidR="003F3C34" w:rsidRPr="00C16A84" w:rsidRDefault="003F3C34" w:rsidP="008204DA">
            <w:pPr>
              <w:spacing w:beforeLines="20" w:before="48" w:afterLines="20" w:after="48"/>
              <w:jc w:val="center"/>
              <w:rPr>
                <w:b/>
                <w:noProof/>
                <w:sz w:val="16"/>
                <w:szCs w:val="16"/>
              </w:rPr>
            </w:pPr>
            <w:r w:rsidRPr="00C16A84">
              <w:rPr>
                <w:b/>
                <w:noProof/>
                <w:sz w:val="16"/>
              </w:rPr>
              <w:t>2</w:t>
            </w:r>
          </w:p>
        </w:tc>
        <w:tc>
          <w:tcPr>
            <w:tcW w:w="731" w:type="dxa"/>
            <w:tcBorders>
              <w:top w:val="double" w:sz="4" w:space="0" w:color="auto"/>
            </w:tcBorders>
            <w:shd w:val="clear" w:color="auto" w:fill="auto"/>
            <w:vAlign w:val="center"/>
          </w:tcPr>
          <w:p w14:paraId="12B5BB7A" w14:textId="77777777" w:rsidR="003F3C34" w:rsidRPr="00C16A84" w:rsidRDefault="003F3C34" w:rsidP="008204DA">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60E5F270" w14:textId="77777777" w:rsidR="003F3C34" w:rsidRPr="00C16A84" w:rsidRDefault="003F3C34" w:rsidP="008204DA">
            <w:pPr>
              <w:spacing w:beforeLines="20" w:before="48" w:afterLines="20" w:after="48"/>
              <w:jc w:val="center"/>
              <w:rPr>
                <w:b/>
                <w:noProof/>
                <w:sz w:val="16"/>
                <w:szCs w:val="16"/>
              </w:rPr>
            </w:pPr>
          </w:p>
        </w:tc>
      </w:tr>
    </w:tbl>
    <w:p w14:paraId="42F4B3E5" w14:textId="77777777" w:rsidR="003F3C34" w:rsidRPr="00C16A84" w:rsidRDefault="003F3C34" w:rsidP="003F3C34">
      <w:pPr>
        <w:pStyle w:val="Text1"/>
        <w:spacing w:before="60" w:after="60"/>
        <w:ind w:left="851"/>
        <w:rPr>
          <w:noProof/>
          <w:sz w:val="18"/>
          <w:szCs w:val="18"/>
        </w:rPr>
      </w:pPr>
      <w:r w:rsidRPr="00C16A84">
        <w:rPr>
          <w:b/>
          <w:noProof/>
          <w:sz w:val="18"/>
        </w:rPr>
        <w:t>XX</w:t>
      </w:r>
      <w:r w:rsidRPr="00C16A84">
        <w:rPr>
          <w:noProof/>
          <w:sz w:val="18"/>
        </w:rPr>
        <w:t xml:space="preserve"> se odnosi na odgovarajuće područje politike ili glavu proračuna.</w:t>
      </w:r>
    </w:p>
    <w:p w14:paraId="40A62658" w14:textId="77777777" w:rsidR="003F3C34" w:rsidRPr="00C16A84" w:rsidRDefault="003F3C34" w:rsidP="003F3C34">
      <w:pPr>
        <w:pStyle w:val="Text1"/>
        <w:rPr>
          <w:noProof/>
          <w:sz w:val="18"/>
          <w:szCs w:val="18"/>
        </w:rPr>
      </w:pPr>
      <w:r w:rsidRPr="00C16A84">
        <w:rPr>
          <w:noProof/>
          <w:sz w:val="18"/>
        </w:rPr>
        <w:t>Potrebe za ljudskim resursima pokrit će se osobljem glavne uprave kojemu je već povjereno upravljanje djelovanjem i/ili koje je preraspoređeno unutar glavne uprave te, prema potrebi, resursima koji se mogu dodijeliti nadležnoj glavnoj upravi u okviru godišnjeg postupka dodjele sredstava uzimajući u obzir proračunska ograničenja.</w:t>
      </w:r>
    </w:p>
    <w:p w14:paraId="4119C2C1" w14:textId="77777777" w:rsidR="003F3C34" w:rsidRPr="00C16A84" w:rsidRDefault="003F3C34" w:rsidP="003F3C34">
      <w:pPr>
        <w:rPr>
          <w:noProof/>
          <w:sz w:val="20"/>
        </w:rPr>
      </w:pPr>
      <w:r w:rsidRPr="00C16A84">
        <w:rPr>
          <w:noProof/>
          <w:sz w:val="20"/>
        </w:rPr>
        <w:t>Opis zadaća:</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3F3C34" w:rsidRPr="00C16A84" w14:paraId="412121AA" w14:textId="77777777" w:rsidTr="008204DA">
        <w:tc>
          <w:tcPr>
            <w:tcW w:w="3240" w:type="dxa"/>
          </w:tcPr>
          <w:p w14:paraId="14513637" w14:textId="77777777" w:rsidR="003F3C34" w:rsidRPr="00C16A84" w:rsidRDefault="003F3C34" w:rsidP="008204DA">
            <w:pPr>
              <w:rPr>
                <w:noProof/>
                <w:sz w:val="20"/>
              </w:rPr>
            </w:pPr>
            <w:r w:rsidRPr="00C16A84">
              <w:rPr>
                <w:noProof/>
                <w:sz w:val="20"/>
              </w:rPr>
              <w:t>Dužnosnici i privremeno osoblje</w:t>
            </w:r>
          </w:p>
        </w:tc>
        <w:tc>
          <w:tcPr>
            <w:tcW w:w="7200" w:type="dxa"/>
          </w:tcPr>
          <w:p w14:paraId="0A999621" w14:textId="77777777" w:rsidR="003F3C34" w:rsidRPr="00C16A84" w:rsidRDefault="003F3C34" w:rsidP="008204DA">
            <w:pPr>
              <w:rPr>
                <w:noProof/>
                <w:sz w:val="20"/>
              </w:rPr>
            </w:pPr>
            <w:r w:rsidRPr="00C16A84">
              <w:rPr>
                <w:noProof/>
                <w:sz w:val="20"/>
              </w:rPr>
              <w:t xml:space="preserve">Dva člana osoblja iz skupine AD pomagat će u pregovorima u postupku donošenja, organizirati sastanke s državama članicama i prema potrebi izraditi provedbene i delegirane zakonodavne akte. </w:t>
            </w:r>
          </w:p>
        </w:tc>
      </w:tr>
      <w:tr w:rsidR="003F3C34" w:rsidRPr="00C16A84" w14:paraId="7F75600E" w14:textId="77777777" w:rsidTr="008204DA">
        <w:tc>
          <w:tcPr>
            <w:tcW w:w="3240" w:type="dxa"/>
          </w:tcPr>
          <w:p w14:paraId="2F156102" w14:textId="77777777" w:rsidR="003F3C34" w:rsidRPr="00C16A84" w:rsidRDefault="003F3C34" w:rsidP="008204DA">
            <w:pPr>
              <w:spacing w:before="60" w:after="60"/>
              <w:rPr>
                <w:noProof/>
                <w:sz w:val="20"/>
              </w:rPr>
            </w:pPr>
            <w:r w:rsidRPr="00C16A84">
              <w:rPr>
                <w:noProof/>
                <w:sz w:val="20"/>
              </w:rPr>
              <w:t>Vanjsko osoblje</w:t>
            </w:r>
          </w:p>
        </w:tc>
        <w:tc>
          <w:tcPr>
            <w:tcW w:w="7200" w:type="dxa"/>
          </w:tcPr>
          <w:p w14:paraId="623752EE" w14:textId="77777777" w:rsidR="003F3C34" w:rsidRPr="00C16A84" w:rsidRDefault="003F3C34" w:rsidP="008204DA">
            <w:pPr>
              <w:rPr>
                <w:noProof/>
                <w:sz w:val="20"/>
              </w:rPr>
            </w:pPr>
          </w:p>
        </w:tc>
      </w:tr>
    </w:tbl>
    <w:p w14:paraId="54F2F2FE" w14:textId="77777777" w:rsidR="003F3C34" w:rsidRPr="00C16A84" w:rsidRDefault="003F3C34" w:rsidP="003F3C34">
      <w:pPr>
        <w:rPr>
          <w:noProof/>
        </w:rPr>
        <w:sectPr w:rsidR="003F3C34" w:rsidRPr="00C16A84" w:rsidSect="00396AE5">
          <w:pgSz w:w="11907" w:h="16840"/>
          <w:pgMar w:top="1134" w:right="1418" w:bottom="1134" w:left="1418" w:header="709" w:footer="709" w:gutter="0"/>
          <w:cols w:space="708"/>
          <w:docGrid w:linePitch="360"/>
        </w:sectPr>
      </w:pPr>
    </w:p>
    <w:p w14:paraId="0760E87F" w14:textId="77777777" w:rsidR="003F3C34" w:rsidRPr="00C16A84" w:rsidRDefault="003F3C34" w:rsidP="003F3C34">
      <w:pPr>
        <w:pStyle w:val="ManualHeading3"/>
        <w:rPr>
          <w:noProof/>
        </w:rPr>
      </w:pPr>
      <w:bookmarkStart w:id="93" w:name="_Toc514938056"/>
      <w:bookmarkStart w:id="94" w:name="_Toc145493431"/>
      <w:r w:rsidRPr="00C16A84">
        <w:rPr>
          <w:noProof/>
        </w:rPr>
        <w:t>3.2.4.</w:t>
      </w:r>
      <w:r w:rsidRPr="00C16A84">
        <w:rPr>
          <w:noProof/>
        </w:rPr>
        <w:tab/>
        <w:t>Usklađenost s aktualnim višegodišnjim financijskim okvirom</w:t>
      </w:r>
      <w:bookmarkEnd w:id="93"/>
      <w:bookmarkEnd w:id="94"/>
      <w:r w:rsidRPr="00C16A84">
        <w:rPr>
          <w:noProof/>
        </w:rPr>
        <w:t xml:space="preserve"> </w:t>
      </w:r>
    </w:p>
    <w:p w14:paraId="2BC40B08" w14:textId="77777777" w:rsidR="003F3C34" w:rsidRPr="00C16A84" w:rsidRDefault="003F3C34" w:rsidP="003F3C34">
      <w:pPr>
        <w:pStyle w:val="Text1"/>
        <w:rPr>
          <w:noProof/>
        </w:rPr>
      </w:pPr>
      <w:r w:rsidRPr="00C16A84">
        <w:rPr>
          <w:noProof/>
        </w:rPr>
        <w:t>Prijedlog/inicijativa:</w:t>
      </w:r>
    </w:p>
    <w:p w14:paraId="1AE802E8" w14:textId="77777777" w:rsidR="003F3C34" w:rsidRPr="00C16A84" w:rsidRDefault="003F3C34" w:rsidP="00E47EEA">
      <w:pPr>
        <w:pStyle w:val="ListDash1"/>
        <w:rPr>
          <w:noProof/>
        </w:rPr>
      </w:pPr>
      <w:r w:rsidRPr="00C16A84">
        <w:rPr>
          <w:noProof/>
        </w:rPr>
        <w:t>X</w:t>
      </w:r>
      <w:r w:rsidRPr="00C16A84">
        <w:rPr>
          <w:noProof/>
        </w:rPr>
        <w:tab/>
        <w:t>može se u potpunosti financirati preraspodjelom unutar relevantnog naslova višegodišnjeg financijskog okvira (VFO).</w:t>
      </w:r>
    </w:p>
    <w:p w14:paraId="51C43F51"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sz w:val="20"/>
        </w:rPr>
      </w:pPr>
      <w:r w:rsidRPr="00C16A84">
        <w:rPr>
          <w:noProof/>
          <w:sz w:val="20"/>
        </w:rPr>
        <w:t>Potrebna odobrena sredstva mogu se programirati u okviru tematskog područja fonda ESF+ pod izravnim upravljanjem za razdoblje 2025.–2027.</w:t>
      </w:r>
    </w:p>
    <w:p w14:paraId="70BDF9BD" w14:textId="77777777" w:rsidR="003F3C34" w:rsidRPr="00C16A84" w:rsidRDefault="003F3C34" w:rsidP="00E47EEA">
      <w:pPr>
        <w:pStyle w:val="ListDash1"/>
        <w:rPr>
          <w:noProof/>
        </w:rPr>
      </w:pPr>
      <w:r w:rsidRPr="00C16A84">
        <w:rPr>
          <w:noProof/>
        </w:rPr>
        <w:sym w:font="Wingdings" w:char="F0A8"/>
      </w:r>
      <w:r w:rsidRPr="00C16A84">
        <w:rPr>
          <w:noProof/>
        </w:rPr>
        <w:tab/>
        <w:t>zahtijeva upotrebu nedodijeljene razlike u okviru relevantnog naslova VFO-a i/ili upotrebu posebnih instrumenata kako su definirani u Uredbi o VFO-u.</w:t>
      </w:r>
    </w:p>
    <w:p w14:paraId="4322B668"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sz w:val="20"/>
        </w:rPr>
      </w:pPr>
      <w:r w:rsidRPr="00C16A84">
        <w:rPr>
          <w:noProof/>
          <w:sz w:val="20"/>
        </w:rPr>
        <w:t>Objasniti što je potrebno te navesti predmetne naslove i proračunske linije, odgovarajuće iznose te instrumente čija se upotreba predlaže.</w:t>
      </w:r>
    </w:p>
    <w:p w14:paraId="25BC793E" w14:textId="77777777" w:rsidR="003F3C34" w:rsidRPr="00C16A84" w:rsidRDefault="003F3C34" w:rsidP="00E47EEA">
      <w:pPr>
        <w:pStyle w:val="ListDash1"/>
        <w:rPr>
          <w:noProof/>
        </w:rPr>
      </w:pPr>
      <w:r w:rsidRPr="00C16A84">
        <w:rPr>
          <w:noProof/>
        </w:rPr>
        <w:sym w:font="Wingdings" w:char="F0A8"/>
      </w:r>
      <w:r w:rsidRPr="00C16A84">
        <w:rPr>
          <w:noProof/>
        </w:rPr>
        <w:tab/>
        <w:t>zahtijeva reviziju VFO-a.</w:t>
      </w:r>
    </w:p>
    <w:p w14:paraId="4A84019C"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sz w:val="20"/>
        </w:rPr>
      </w:pPr>
      <w:r w:rsidRPr="00C16A84">
        <w:rPr>
          <w:noProof/>
          <w:sz w:val="20"/>
        </w:rPr>
        <w:t>Objasniti što je potrebno te navesti predmetne naslove i proračunske linije te odgovarajuće iznose.</w:t>
      </w:r>
    </w:p>
    <w:p w14:paraId="453E9F74" w14:textId="77777777" w:rsidR="003F3C34" w:rsidRPr="00C16A84" w:rsidRDefault="003F3C34" w:rsidP="003F3C34">
      <w:pPr>
        <w:pStyle w:val="ManualHeading3"/>
        <w:rPr>
          <w:bCs/>
          <w:noProof/>
          <w:szCs w:val="24"/>
        </w:rPr>
      </w:pPr>
      <w:bookmarkStart w:id="95" w:name="_Toc514938058"/>
      <w:bookmarkStart w:id="96" w:name="_Toc145493432"/>
      <w:r w:rsidRPr="00C16A84">
        <w:rPr>
          <w:noProof/>
        </w:rPr>
        <w:t>3.2.5.</w:t>
      </w:r>
      <w:r w:rsidRPr="00C16A84">
        <w:rPr>
          <w:noProof/>
        </w:rPr>
        <w:tab/>
        <w:t>Doprinos trećih strana</w:t>
      </w:r>
      <w:bookmarkEnd w:id="95"/>
      <w:bookmarkEnd w:id="96"/>
      <w:r w:rsidRPr="00C16A84">
        <w:rPr>
          <w:noProof/>
        </w:rPr>
        <w:t xml:space="preserve"> </w:t>
      </w:r>
    </w:p>
    <w:p w14:paraId="0E78008E" w14:textId="77777777" w:rsidR="003F3C34" w:rsidRPr="00C16A84" w:rsidRDefault="003F3C34" w:rsidP="003F3C34">
      <w:pPr>
        <w:pStyle w:val="Text1"/>
        <w:rPr>
          <w:noProof/>
        </w:rPr>
      </w:pPr>
      <w:r w:rsidRPr="00C16A84">
        <w:rPr>
          <w:noProof/>
        </w:rPr>
        <w:t>U prijedlogu/inicijativi:</w:t>
      </w:r>
    </w:p>
    <w:p w14:paraId="2CBA1224" w14:textId="77777777" w:rsidR="003F3C34" w:rsidRPr="00C16A84" w:rsidRDefault="003F3C34" w:rsidP="00E47EEA">
      <w:pPr>
        <w:pStyle w:val="ListDash1"/>
        <w:rPr>
          <w:noProof/>
        </w:rPr>
      </w:pPr>
      <w:r w:rsidRPr="00C16A84">
        <w:rPr>
          <w:noProof/>
        </w:rPr>
        <w:sym w:font="Wingdings" w:char="F0A8"/>
      </w:r>
      <w:r w:rsidRPr="00C16A84">
        <w:rPr>
          <w:noProof/>
        </w:rPr>
        <w:tab/>
        <w:t>ne predviđa se sudjelovanje trećih strana u sufinanciranju.</w:t>
      </w:r>
    </w:p>
    <w:p w14:paraId="7956BEA6" w14:textId="77777777" w:rsidR="003F3C34" w:rsidRPr="00C16A84" w:rsidRDefault="003F3C34" w:rsidP="00E47EEA">
      <w:pPr>
        <w:pStyle w:val="ListDash1"/>
        <w:rPr>
          <w:noProof/>
        </w:rPr>
      </w:pPr>
      <w:r w:rsidRPr="00C16A84">
        <w:rPr>
          <w:noProof/>
        </w:rPr>
        <w:t>X</w:t>
      </w:r>
      <w:r w:rsidRPr="00C16A84">
        <w:rPr>
          <w:noProof/>
        </w:rPr>
        <w:tab/>
        <w:t>predviđa se sudjelovanje trećih strana u sufinanciranju prema sljedećoj procjeni:</w:t>
      </w:r>
    </w:p>
    <w:p w14:paraId="0FDCE2C4" w14:textId="77777777" w:rsidR="003F3C34" w:rsidRPr="00C16A84" w:rsidRDefault="003F3C34" w:rsidP="003F3C34">
      <w:pPr>
        <w:jc w:val="right"/>
        <w:rPr>
          <w:noProof/>
          <w:sz w:val="20"/>
        </w:rPr>
      </w:pPr>
      <w:r w:rsidRPr="00C16A84">
        <w:rPr>
          <w:noProof/>
          <w:sz w:val="20"/>
        </w:rPr>
        <w:t>Odobrena sredstva u milijunima EUR (do 3 decimalna mjesta)</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3F3C34" w:rsidRPr="00C16A84" w14:paraId="22D8A11B" w14:textId="77777777" w:rsidTr="008204DA">
        <w:trPr>
          <w:cantSplit/>
        </w:trPr>
        <w:tc>
          <w:tcPr>
            <w:tcW w:w="2340" w:type="dxa"/>
          </w:tcPr>
          <w:p w14:paraId="27F42171" w14:textId="77777777" w:rsidR="003F3C34" w:rsidRPr="00C16A84" w:rsidRDefault="003F3C34" w:rsidP="008204DA">
            <w:pPr>
              <w:spacing w:before="60" w:after="60"/>
              <w:rPr>
                <w:noProof/>
                <w:sz w:val="20"/>
              </w:rPr>
            </w:pPr>
          </w:p>
        </w:tc>
        <w:tc>
          <w:tcPr>
            <w:tcW w:w="964" w:type="dxa"/>
            <w:vAlign w:val="center"/>
          </w:tcPr>
          <w:p w14:paraId="5BB3B448" w14:textId="77777777" w:rsidR="003F3C34" w:rsidRPr="00C16A84" w:rsidRDefault="003F3C34" w:rsidP="008204DA">
            <w:pPr>
              <w:jc w:val="center"/>
              <w:rPr>
                <w:noProof/>
                <w:sz w:val="20"/>
              </w:rPr>
            </w:pPr>
            <w:r w:rsidRPr="00C16A84">
              <w:rPr>
                <w:noProof/>
                <w:sz w:val="20"/>
              </w:rPr>
              <w:t>2025.</w:t>
            </w:r>
          </w:p>
        </w:tc>
        <w:tc>
          <w:tcPr>
            <w:tcW w:w="964" w:type="dxa"/>
            <w:vAlign w:val="center"/>
          </w:tcPr>
          <w:p w14:paraId="18180BE5" w14:textId="77777777" w:rsidR="003F3C34" w:rsidRPr="00C16A84" w:rsidRDefault="003F3C34" w:rsidP="008204DA">
            <w:pPr>
              <w:jc w:val="center"/>
              <w:rPr>
                <w:noProof/>
                <w:sz w:val="20"/>
              </w:rPr>
            </w:pPr>
            <w:r w:rsidRPr="00C16A84">
              <w:rPr>
                <w:noProof/>
                <w:sz w:val="20"/>
              </w:rPr>
              <w:t>2026.</w:t>
            </w:r>
          </w:p>
        </w:tc>
        <w:tc>
          <w:tcPr>
            <w:tcW w:w="964" w:type="dxa"/>
            <w:vAlign w:val="center"/>
          </w:tcPr>
          <w:p w14:paraId="6D8D0C95" w14:textId="77777777" w:rsidR="003F3C34" w:rsidRPr="00C16A84" w:rsidRDefault="003F3C34" w:rsidP="008204DA">
            <w:pPr>
              <w:jc w:val="center"/>
              <w:rPr>
                <w:noProof/>
                <w:sz w:val="20"/>
              </w:rPr>
            </w:pPr>
            <w:r w:rsidRPr="00C16A84">
              <w:rPr>
                <w:noProof/>
                <w:sz w:val="20"/>
              </w:rPr>
              <w:t>2027.</w:t>
            </w:r>
          </w:p>
        </w:tc>
        <w:tc>
          <w:tcPr>
            <w:tcW w:w="964" w:type="dxa"/>
            <w:vAlign w:val="center"/>
          </w:tcPr>
          <w:p w14:paraId="57289967" w14:textId="77777777" w:rsidR="003F3C34" w:rsidRPr="00C16A84" w:rsidRDefault="003F3C34" w:rsidP="008204DA">
            <w:pPr>
              <w:jc w:val="center"/>
              <w:rPr>
                <w:noProof/>
                <w:sz w:val="20"/>
              </w:rPr>
            </w:pPr>
          </w:p>
        </w:tc>
        <w:tc>
          <w:tcPr>
            <w:tcW w:w="2892" w:type="dxa"/>
            <w:gridSpan w:val="3"/>
            <w:vAlign w:val="center"/>
          </w:tcPr>
          <w:p w14:paraId="4B91E633" w14:textId="77777777" w:rsidR="003F3C34" w:rsidRPr="00C16A84" w:rsidRDefault="003F3C34" w:rsidP="008204DA">
            <w:pPr>
              <w:jc w:val="center"/>
              <w:rPr>
                <w:b/>
                <w:noProof/>
                <w:sz w:val="20"/>
              </w:rPr>
            </w:pPr>
          </w:p>
        </w:tc>
        <w:tc>
          <w:tcPr>
            <w:tcW w:w="1158" w:type="dxa"/>
            <w:vAlign w:val="center"/>
          </w:tcPr>
          <w:p w14:paraId="37390DF1" w14:textId="77777777" w:rsidR="003F3C34" w:rsidRPr="00C16A84" w:rsidRDefault="003F3C34" w:rsidP="008204DA">
            <w:pPr>
              <w:spacing w:before="60" w:after="60"/>
              <w:jc w:val="center"/>
              <w:rPr>
                <w:noProof/>
                <w:sz w:val="20"/>
              </w:rPr>
            </w:pPr>
            <w:r w:rsidRPr="00C16A84">
              <w:rPr>
                <w:noProof/>
                <w:sz w:val="20"/>
              </w:rPr>
              <w:t>Ukupno</w:t>
            </w:r>
          </w:p>
        </w:tc>
      </w:tr>
      <w:tr w:rsidR="003F3C34" w:rsidRPr="00C16A84" w14:paraId="1C775DFC" w14:textId="77777777" w:rsidTr="008204DA">
        <w:trPr>
          <w:cantSplit/>
        </w:trPr>
        <w:tc>
          <w:tcPr>
            <w:tcW w:w="2340" w:type="dxa"/>
          </w:tcPr>
          <w:p w14:paraId="6BA95861" w14:textId="77777777" w:rsidR="003F3C34" w:rsidRPr="00C16A84" w:rsidRDefault="003F3C34" w:rsidP="008204DA">
            <w:pPr>
              <w:rPr>
                <w:noProof/>
              </w:rPr>
            </w:pPr>
            <w:r w:rsidRPr="00C16A84">
              <w:rPr>
                <w:noProof/>
                <w:sz w:val="20"/>
              </w:rPr>
              <w:t>Zemlje EGP-a</w:t>
            </w:r>
            <w:r w:rsidRPr="00C16A84">
              <w:rPr>
                <w:i/>
                <w:noProof/>
                <w:sz w:val="20"/>
              </w:rPr>
              <w:t xml:space="preserve"> </w:t>
            </w:r>
          </w:p>
        </w:tc>
        <w:tc>
          <w:tcPr>
            <w:tcW w:w="964" w:type="dxa"/>
            <w:vAlign w:val="center"/>
          </w:tcPr>
          <w:p w14:paraId="5AB07DB1" w14:textId="77777777" w:rsidR="003F3C34" w:rsidRPr="00C16A84" w:rsidRDefault="003F3C34" w:rsidP="008204DA">
            <w:pPr>
              <w:spacing w:before="60" w:after="60"/>
              <w:jc w:val="center"/>
              <w:rPr>
                <w:noProof/>
                <w:sz w:val="20"/>
              </w:rPr>
            </w:pPr>
            <w:r w:rsidRPr="00C16A84">
              <w:rPr>
                <w:noProof/>
                <w:sz w:val="20"/>
              </w:rPr>
              <w:t xml:space="preserve">p.m. </w:t>
            </w:r>
          </w:p>
        </w:tc>
        <w:tc>
          <w:tcPr>
            <w:tcW w:w="964" w:type="dxa"/>
            <w:vAlign w:val="center"/>
          </w:tcPr>
          <w:p w14:paraId="3FD2E444" w14:textId="77777777" w:rsidR="003F3C34" w:rsidRPr="00C16A84" w:rsidRDefault="003F3C34" w:rsidP="008204DA">
            <w:pPr>
              <w:spacing w:before="60" w:after="60"/>
              <w:jc w:val="center"/>
              <w:rPr>
                <w:noProof/>
                <w:sz w:val="20"/>
              </w:rPr>
            </w:pPr>
            <w:r w:rsidRPr="00C16A84">
              <w:rPr>
                <w:noProof/>
                <w:sz w:val="20"/>
              </w:rPr>
              <w:t>p.m.</w:t>
            </w:r>
          </w:p>
        </w:tc>
        <w:tc>
          <w:tcPr>
            <w:tcW w:w="964" w:type="dxa"/>
            <w:vAlign w:val="center"/>
          </w:tcPr>
          <w:p w14:paraId="188BCCF0" w14:textId="77777777" w:rsidR="003F3C34" w:rsidRPr="00C16A84" w:rsidRDefault="003F3C34" w:rsidP="008204DA">
            <w:pPr>
              <w:spacing w:before="60" w:after="60"/>
              <w:jc w:val="center"/>
              <w:rPr>
                <w:noProof/>
                <w:sz w:val="20"/>
              </w:rPr>
            </w:pPr>
            <w:r w:rsidRPr="00C16A84">
              <w:rPr>
                <w:noProof/>
                <w:sz w:val="20"/>
              </w:rPr>
              <w:t>p.m.</w:t>
            </w:r>
          </w:p>
        </w:tc>
        <w:tc>
          <w:tcPr>
            <w:tcW w:w="964" w:type="dxa"/>
            <w:vAlign w:val="center"/>
          </w:tcPr>
          <w:p w14:paraId="4641CA8F" w14:textId="77777777" w:rsidR="003F3C34" w:rsidRPr="00C16A84" w:rsidRDefault="003F3C34" w:rsidP="008204DA">
            <w:pPr>
              <w:spacing w:before="60" w:after="60"/>
              <w:jc w:val="center"/>
              <w:rPr>
                <w:noProof/>
                <w:sz w:val="20"/>
              </w:rPr>
            </w:pPr>
          </w:p>
        </w:tc>
        <w:tc>
          <w:tcPr>
            <w:tcW w:w="964" w:type="dxa"/>
            <w:vAlign w:val="center"/>
          </w:tcPr>
          <w:p w14:paraId="6504B2B4" w14:textId="77777777" w:rsidR="003F3C34" w:rsidRPr="00C16A84" w:rsidRDefault="003F3C34" w:rsidP="008204DA">
            <w:pPr>
              <w:spacing w:before="60" w:after="60"/>
              <w:jc w:val="center"/>
              <w:rPr>
                <w:noProof/>
                <w:sz w:val="20"/>
              </w:rPr>
            </w:pPr>
          </w:p>
        </w:tc>
        <w:tc>
          <w:tcPr>
            <w:tcW w:w="964" w:type="dxa"/>
            <w:vAlign w:val="center"/>
          </w:tcPr>
          <w:p w14:paraId="00488CAB" w14:textId="77777777" w:rsidR="003F3C34" w:rsidRPr="00C16A84" w:rsidRDefault="003F3C34" w:rsidP="008204DA">
            <w:pPr>
              <w:spacing w:before="60" w:after="60"/>
              <w:jc w:val="center"/>
              <w:rPr>
                <w:noProof/>
                <w:sz w:val="20"/>
              </w:rPr>
            </w:pPr>
          </w:p>
        </w:tc>
        <w:tc>
          <w:tcPr>
            <w:tcW w:w="964" w:type="dxa"/>
            <w:vAlign w:val="center"/>
          </w:tcPr>
          <w:p w14:paraId="7A493776" w14:textId="77777777" w:rsidR="003F3C34" w:rsidRPr="00C16A84" w:rsidRDefault="003F3C34" w:rsidP="008204DA">
            <w:pPr>
              <w:spacing w:before="60" w:after="60"/>
              <w:jc w:val="center"/>
              <w:rPr>
                <w:noProof/>
                <w:sz w:val="20"/>
              </w:rPr>
            </w:pPr>
          </w:p>
        </w:tc>
        <w:tc>
          <w:tcPr>
            <w:tcW w:w="1158" w:type="dxa"/>
            <w:vAlign w:val="center"/>
          </w:tcPr>
          <w:p w14:paraId="65E1A4AD" w14:textId="77777777" w:rsidR="003F3C34" w:rsidRPr="00C16A84" w:rsidRDefault="003F3C34" w:rsidP="008204DA">
            <w:pPr>
              <w:spacing w:before="60" w:after="60"/>
              <w:jc w:val="center"/>
              <w:rPr>
                <w:noProof/>
                <w:sz w:val="20"/>
              </w:rPr>
            </w:pPr>
            <w:r w:rsidRPr="00C16A84">
              <w:rPr>
                <w:noProof/>
                <w:sz w:val="20"/>
              </w:rPr>
              <w:t>p.m.</w:t>
            </w:r>
          </w:p>
        </w:tc>
      </w:tr>
      <w:tr w:rsidR="003F3C34" w:rsidRPr="00C16A84" w14:paraId="3A02B92A" w14:textId="77777777" w:rsidTr="008204DA">
        <w:trPr>
          <w:cantSplit/>
        </w:trPr>
        <w:tc>
          <w:tcPr>
            <w:tcW w:w="2340" w:type="dxa"/>
          </w:tcPr>
          <w:p w14:paraId="2A5D5DEC" w14:textId="77777777" w:rsidR="003F3C34" w:rsidRPr="00C16A84" w:rsidRDefault="003F3C34" w:rsidP="008204DA">
            <w:pPr>
              <w:spacing w:before="60" w:after="60"/>
              <w:jc w:val="left"/>
              <w:rPr>
                <w:noProof/>
                <w:sz w:val="20"/>
              </w:rPr>
            </w:pPr>
            <w:r w:rsidRPr="00C16A84">
              <w:rPr>
                <w:noProof/>
                <w:sz w:val="20"/>
              </w:rPr>
              <w:t xml:space="preserve">UKUPNO sufinancirana odobrena sredstva </w:t>
            </w:r>
          </w:p>
        </w:tc>
        <w:tc>
          <w:tcPr>
            <w:tcW w:w="964" w:type="dxa"/>
            <w:vAlign w:val="center"/>
          </w:tcPr>
          <w:p w14:paraId="5AE8E440" w14:textId="77777777" w:rsidR="003F3C34" w:rsidRPr="00C16A84" w:rsidRDefault="003F3C34" w:rsidP="008204DA">
            <w:pPr>
              <w:spacing w:before="60" w:after="60"/>
              <w:jc w:val="center"/>
              <w:rPr>
                <w:noProof/>
                <w:sz w:val="20"/>
              </w:rPr>
            </w:pPr>
            <w:r w:rsidRPr="00C16A84">
              <w:rPr>
                <w:noProof/>
                <w:sz w:val="20"/>
              </w:rPr>
              <w:t>p.m.</w:t>
            </w:r>
          </w:p>
        </w:tc>
        <w:tc>
          <w:tcPr>
            <w:tcW w:w="964" w:type="dxa"/>
            <w:vAlign w:val="center"/>
          </w:tcPr>
          <w:p w14:paraId="338949F6" w14:textId="77777777" w:rsidR="003F3C34" w:rsidRPr="00C16A84" w:rsidRDefault="003F3C34" w:rsidP="008204DA">
            <w:pPr>
              <w:spacing w:before="60" w:after="60"/>
              <w:jc w:val="center"/>
              <w:rPr>
                <w:noProof/>
                <w:sz w:val="20"/>
              </w:rPr>
            </w:pPr>
            <w:r w:rsidRPr="00C16A84">
              <w:rPr>
                <w:noProof/>
                <w:sz w:val="20"/>
              </w:rPr>
              <w:t>p.m.</w:t>
            </w:r>
          </w:p>
        </w:tc>
        <w:tc>
          <w:tcPr>
            <w:tcW w:w="964" w:type="dxa"/>
            <w:vAlign w:val="center"/>
          </w:tcPr>
          <w:p w14:paraId="34E72C9F" w14:textId="77777777" w:rsidR="003F3C34" w:rsidRPr="00C16A84" w:rsidRDefault="003F3C34" w:rsidP="008204DA">
            <w:pPr>
              <w:spacing w:before="60" w:after="60"/>
              <w:jc w:val="center"/>
              <w:rPr>
                <w:noProof/>
                <w:sz w:val="20"/>
              </w:rPr>
            </w:pPr>
            <w:r w:rsidRPr="00C16A84">
              <w:rPr>
                <w:noProof/>
                <w:sz w:val="20"/>
              </w:rPr>
              <w:t>p.m.</w:t>
            </w:r>
          </w:p>
        </w:tc>
        <w:tc>
          <w:tcPr>
            <w:tcW w:w="964" w:type="dxa"/>
            <w:vAlign w:val="center"/>
          </w:tcPr>
          <w:p w14:paraId="23A7A9D4" w14:textId="77777777" w:rsidR="003F3C34" w:rsidRPr="00C16A84" w:rsidRDefault="003F3C34" w:rsidP="008204DA">
            <w:pPr>
              <w:spacing w:before="60" w:after="60"/>
              <w:jc w:val="center"/>
              <w:rPr>
                <w:noProof/>
                <w:sz w:val="20"/>
              </w:rPr>
            </w:pPr>
          </w:p>
        </w:tc>
        <w:tc>
          <w:tcPr>
            <w:tcW w:w="964" w:type="dxa"/>
            <w:vAlign w:val="center"/>
          </w:tcPr>
          <w:p w14:paraId="722AEA3A" w14:textId="77777777" w:rsidR="003F3C34" w:rsidRPr="00C16A84" w:rsidRDefault="003F3C34" w:rsidP="008204DA">
            <w:pPr>
              <w:spacing w:before="60" w:after="60"/>
              <w:jc w:val="center"/>
              <w:rPr>
                <w:noProof/>
                <w:sz w:val="20"/>
              </w:rPr>
            </w:pPr>
          </w:p>
        </w:tc>
        <w:tc>
          <w:tcPr>
            <w:tcW w:w="964" w:type="dxa"/>
            <w:vAlign w:val="center"/>
          </w:tcPr>
          <w:p w14:paraId="7368A675" w14:textId="77777777" w:rsidR="003F3C34" w:rsidRPr="00C16A84" w:rsidRDefault="003F3C34" w:rsidP="008204DA">
            <w:pPr>
              <w:spacing w:before="60" w:after="60"/>
              <w:jc w:val="center"/>
              <w:rPr>
                <w:noProof/>
                <w:sz w:val="20"/>
              </w:rPr>
            </w:pPr>
          </w:p>
        </w:tc>
        <w:tc>
          <w:tcPr>
            <w:tcW w:w="964" w:type="dxa"/>
            <w:vAlign w:val="center"/>
          </w:tcPr>
          <w:p w14:paraId="10C6CC38" w14:textId="77777777" w:rsidR="003F3C34" w:rsidRPr="00C16A84" w:rsidRDefault="003F3C34" w:rsidP="008204DA">
            <w:pPr>
              <w:spacing w:before="60" w:after="60"/>
              <w:jc w:val="center"/>
              <w:rPr>
                <w:noProof/>
                <w:sz w:val="20"/>
              </w:rPr>
            </w:pPr>
          </w:p>
        </w:tc>
        <w:tc>
          <w:tcPr>
            <w:tcW w:w="1158" w:type="dxa"/>
            <w:vAlign w:val="center"/>
          </w:tcPr>
          <w:p w14:paraId="3595419B" w14:textId="77777777" w:rsidR="003F3C34" w:rsidRPr="00C16A84" w:rsidRDefault="003F3C34" w:rsidP="008204DA">
            <w:pPr>
              <w:spacing w:before="60" w:after="60"/>
              <w:jc w:val="center"/>
              <w:rPr>
                <w:noProof/>
                <w:sz w:val="20"/>
              </w:rPr>
            </w:pPr>
            <w:r w:rsidRPr="00C16A84">
              <w:rPr>
                <w:noProof/>
                <w:sz w:val="20"/>
              </w:rPr>
              <w:t>p.m.</w:t>
            </w:r>
          </w:p>
        </w:tc>
      </w:tr>
    </w:tbl>
    <w:p w14:paraId="158662A4" w14:textId="661062CA" w:rsidR="003F3C34" w:rsidRPr="00C16A84" w:rsidRDefault="003F3C34" w:rsidP="00151874">
      <w:pPr>
        <w:rPr>
          <w:b/>
          <w:bCs/>
          <w:noProof/>
          <w:szCs w:val="24"/>
        </w:rPr>
      </w:pPr>
      <w:r w:rsidRPr="00C16A84">
        <w:rPr>
          <w:noProof/>
        </w:rPr>
        <w:br/>
      </w:r>
      <w:r w:rsidRPr="00C16A84">
        <w:rPr>
          <w:noProof/>
        </w:rPr>
        <w:br w:type="page"/>
      </w:r>
      <w:bookmarkStart w:id="97" w:name="_Toc514938059"/>
      <w:bookmarkStart w:id="98" w:name="_Toc145493433"/>
      <w:r w:rsidRPr="00C16A84">
        <w:rPr>
          <w:noProof/>
        </w:rPr>
        <w:t>3.3.</w:t>
      </w:r>
      <w:r w:rsidRPr="00C16A84">
        <w:rPr>
          <w:noProof/>
        </w:rPr>
        <w:tab/>
        <w:t>Procijenjeni učinak na prihode</w:t>
      </w:r>
      <w:bookmarkEnd w:id="97"/>
      <w:bookmarkEnd w:id="98"/>
      <w:r w:rsidRPr="00C16A84">
        <w:rPr>
          <w:noProof/>
        </w:rPr>
        <w:t xml:space="preserve"> </w:t>
      </w:r>
    </w:p>
    <w:p w14:paraId="5F82F402" w14:textId="77777777" w:rsidR="003F3C34" w:rsidRPr="00C16A84" w:rsidRDefault="003F3C34" w:rsidP="00E47EEA">
      <w:pPr>
        <w:pStyle w:val="ListDash1"/>
        <w:rPr>
          <w:noProof/>
        </w:rPr>
      </w:pPr>
      <w:r w:rsidRPr="00C16A84">
        <w:rPr>
          <w:noProof/>
        </w:rPr>
        <w:t>X</w:t>
      </w:r>
      <w:r w:rsidRPr="00C16A84">
        <w:rPr>
          <w:noProof/>
        </w:rPr>
        <w:tab/>
        <w:t>Prijedlog/inicijativa nema financijski učinak na prihode.</w:t>
      </w:r>
    </w:p>
    <w:p w14:paraId="3DD7E70A" w14:textId="77777777" w:rsidR="003F3C34" w:rsidRPr="00C16A84" w:rsidRDefault="003F3C34" w:rsidP="00E47EEA">
      <w:pPr>
        <w:pStyle w:val="ListDash1"/>
        <w:rPr>
          <w:noProof/>
        </w:rPr>
      </w:pPr>
      <w:r w:rsidRPr="00C16A84">
        <w:rPr>
          <w:noProof/>
        </w:rPr>
        <w:sym w:font="Wingdings" w:char="F0A8"/>
      </w:r>
      <w:r w:rsidRPr="00C16A84">
        <w:rPr>
          <w:noProof/>
        </w:rPr>
        <w:tab/>
        <w:t>Prijedlog/inicijativa ima sljedeći financijski učinak:</w:t>
      </w:r>
    </w:p>
    <w:p w14:paraId="1EC73D35" w14:textId="77777777" w:rsidR="003F3C34" w:rsidRPr="00C16A84" w:rsidRDefault="003F3C34" w:rsidP="00E47EEA">
      <w:pPr>
        <w:pStyle w:val="ListNumberLevel3"/>
        <w:tabs>
          <w:tab w:val="clear" w:pos="2126"/>
          <w:tab w:val="num" w:pos="1843"/>
        </w:tabs>
        <w:rPr>
          <w:noProof/>
        </w:rPr>
      </w:pPr>
      <w:r w:rsidRPr="00C16A84">
        <w:rPr>
          <w:noProof/>
        </w:rPr>
        <w:sym w:font="Wingdings" w:char="F0A8"/>
      </w:r>
      <w:r w:rsidRPr="00C16A84">
        <w:rPr>
          <w:noProof/>
        </w:rPr>
        <w:tab/>
        <w:t xml:space="preserve">na vlastita sredstva </w:t>
      </w:r>
    </w:p>
    <w:p w14:paraId="5C83D42C" w14:textId="77777777" w:rsidR="003F3C34" w:rsidRPr="00C16A84" w:rsidRDefault="003F3C34" w:rsidP="00E47EEA">
      <w:pPr>
        <w:pStyle w:val="ListNumberLevel3"/>
        <w:tabs>
          <w:tab w:val="clear" w:pos="2126"/>
          <w:tab w:val="num" w:pos="1843"/>
        </w:tabs>
        <w:rPr>
          <w:noProof/>
        </w:rPr>
      </w:pPr>
      <w:r w:rsidRPr="00C16A84">
        <w:rPr>
          <w:noProof/>
        </w:rPr>
        <w:sym w:font="Wingdings" w:char="F0A8"/>
      </w:r>
      <w:r w:rsidRPr="00C16A84">
        <w:rPr>
          <w:noProof/>
        </w:rPr>
        <w:tab/>
        <w:t>na ostale prihode</w:t>
      </w:r>
    </w:p>
    <w:p w14:paraId="486F857C" w14:textId="77777777" w:rsidR="003F3C34" w:rsidRPr="00C16A84" w:rsidRDefault="003F3C34" w:rsidP="00E47EEA">
      <w:pPr>
        <w:pStyle w:val="ListNumberLevel3"/>
        <w:rPr>
          <w:noProof/>
        </w:rPr>
      </w:pPr>
      <w:r w:rsidRPr="00C16A84">
        <w:rPr>
          <w:noProof/>
        </w:rPr>
        <w:t xml:space="preserve">navesti jesu li prihodi namijenjeni proračunskim linijama rashoda </w:t>
      </w:r>
      <w:r w:rsidRPr="00C16A84">
        <w:rPr>
          <w:noProof/>
        </w:rPr>
        <w:sym w:font="Wingdings" w:char="F0A8"/>
      </w:r>
      <w:r w:rsidRPr="00C16A84">
        <w:rPr>
          <w:noProof/>
        </w:rPr>
        <w:tab/>
      </w:r>
    </w:p>
    <w:p w14:paraId="7960B64B" w14:textId="77777777" w:rsidR="003F3C34" w:rsidRPr="00C16A84" w:rsidRDefault="003F3C34" w:rsidP="003F3C34">
      <w:pPr>
        <w:ind w:left="4320"/>
        <w:rPr>
          <w:i/>
          <w:noProof/>
          <w:sz w:val="20"/>
        </w:rPr>
      </w:pPr>
      <w:r w:rsidRPr="00C16A84">
        <w:rPr>
          <w:noProof/>
        </w:rPr>
        <w:t xml:space="preserve">     U milijunima EUR (do 3 decimalna mjesta)</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3F3C34" w:rsidRPr="00C16A84" w14:paraId="67867092" w14:textId="77777777" w:rsidTr="008204DA">
        <w:trPr>
          <w:trHeight w:val="388"/>
        </w:trPr>
        <w:tc>
          <w:tcPr>
            <w:tcW w:w="2144" w:type="dxa"/>
            <w:vMerge w:val="restart"/>
            <w:vAlign w:val="center"/>
          </w:tcPr>
          <w:p w14:paraId="0E3E49B2" w14:textId="77777777" w:rsidR="003F3C34" w:rsidRPr="00C16A84" w:rsidRDefault="003F3C34" w:rsidP="008204DA">
            <w:pPr>
              <w:spacing w:before="40" w:after="40"/>
              <w:rPr>
                <w:noProof/>
                <w:sz w:val="18"/>
              </w:rPr>
            </w:pPr>
            <w:r w:rsidRPr="00C16A84">
              <w:rPr>
                <w:noProof/>
                <w:sz w:val="18"/>
              </w:rPr>
              <w:t>Proračunska linija prihoda:</w:t>
            </w:r>
          </w:p>
        </w:tc>
        <w:tc>
          <w:tcPr>
            <w:tcW w:w="1325" w:type="dxa"/>
            <w:vMerge w:val="restart"/>
            <w:vAlign w:val="center"/>
          </w:tcPr>
          <w:p w14:paraId="069DDB41" w14:textId="77777777" w:rsidR="003F3C34" w:rsidRPr="00C16A84" w:rsidRDefault="003F3C34" w:rsidP="008204DA">
            <w:pPr>
              <w:jc w:val="center"/>
              <w:rPr>
                <w:noProof/>
                <w:sz w:val="18"/>
              </w:rPr>
            </w:pPr>
            <w:r w:rsidRPr="00C16A84">
              <w:rPr>
                <w:noProof/>
                <w:sz w:val="18"/>
              </w:rPr>
              <w:t>Odobrena sredstva dostupna za tekuću financijsku godinu</w:t>
            </w:r>
          </w:p>
        </w:tc>
        <w:tc>
          <w:tcPr>
            <w:tcW w:w="7151" w:type="dxa"/>
            <w:gridSpan w:val="7"/>
            <w:vAlign w:val="center"/>
          </w:tcPr>
          <w:p w14:paraId="70F0F8D1" w14:textId="77777777" w:rsidR="003F3C34" w:rsidRPr="00C16A84" w:rsidRDefault="003F3C34" w:rsidP="008204DA">
            <w:pPr>
              <w:jc w:val="center"/>
              <w:rPr>
                <w:noProof/>
                <w:sz w:val="18"/>
              </w:rPr>
            </w:pPr>
            <w:r w:rsidRPr="00C16A84">
              <w:rPr>
                <w:noProof/>
                <w:sz w:val="18"/>
              </w:rPr>
              <w:t>Učinak prijedloga/inicijative</w:t>
            </w:r>
            <w:r w:rsidRPr="00C16A84">
              <w:rPr>
                <w:rStyle w:val="FootnoteReference"/>
                <w:noProof/>
                <w:sz w:val="18"/>
              </w:rPr>
              <w:footnoteReference w:id="71"/>
            </w:r>
          </w:p>
        </w:tc>
      </w:tr>
      <w:tr w:rsidR="003F3C34" w:rsidRPr="00C16A84" w14:paraId="5875DB1E" w14:textId="77777777" w:rsidTr="008204DA">
        <w:trPr>
          <w:trHeight w:val="388"/>
        </w:trPr>
        <w:tc>
          <w:tcPr>
            <w:tcW w:w="2144" w:type="dxa"/>
            <w:vMerge/>
          </w:tcPr>
          <w:p w14:paraId="2B997A9D" w14:textId="77777777" w:rsidR="003F3C34" w:rsidRPr="00C16A84" w:rsidRDefault="003F3C34" w:rsidP="008204DA">
            <w:pPr>
              <w:spacing w:before="40" w:after="40"/>
              <w:rPr>
                <w:noProof/>
                <w:sz w:val="18"/>
              </w:rPr>
            </w:pPr>
          </w:p>
        </w:tc>
        <w:tc>
          <w:tcPr>
            <w:tcW w:w="1325" w:type="dxa"/>
            <w:vMerge/>
          </w:tcPr>
          <w:p w14:paraId="3A01B041" w14:textId="77777777" w:rsidR="003F3C34" w:rsidRPr="00C16A84" w:rsidRDefault="003F3C34" w:rsidP="008204DA">
            <w:pPr>
              <w:spacing w:beforeLines="40" w:before="96" w:afterLines="40" w:after="96"/>
              <w:rPr>
                <w:i/>
                <w:noProof/>
                <w:sz w:val="18"/>
              </w:rPr>
            </w:pPr>
          </w:p>
        </w:tc>
        <w:tc>
          <w:tcPr>
            <w:tcW w:w="1031" w:type="dxa"/>
            <w:vAlign w:val="center"/>
          </w:tcPr>
          <w:p w14:paraId="6DD37192" w14:textId="77777777" w:rsidR="003F3C34" w:rsidRPr="00C16A84" w:rsidRDefault="003F3C34" w:rsidP="008204DA">
            <w:pPr>
              <w:jc w:val="center"/>
              <w:rPr>
                <w:noProof/>
                <w:sz w:val="18"/>
              </w:rPr>
            </w:pPr>
            <w:r w:rsidRPr="00C16A84">
              <w:rPr>
                <w:noProof/>
                <w:sz w:val="18"/>
              </w:rPr>
              <w:t>Godina</w:t>
            </w:r>
            <w:r w:rsidRPr="00C16A84">
              <w:rPr>
                <w:noProof/>
              </w:rPr>
              <w:t xml:space="preserve"> </w:t>
            </w:r>
            <w:r w:rsidRPr="00C16A84">
              <w:rPr>
                <w:noProof/>
              </w:rPr>
              <w:br/>
            </w:r>
            <w:r w:rsidRPr="00C16A84">
              <w:rPr>
                <w:b/>
                <w:noProof/>
                <w:sz w:val="18"/>
              </w:rPr>
              <w:t>N</w:t>
            </w:r>
          </w:p>
        </w:tc>
        <w:tc>
          <w:tcPr>
            <w:tcW w:w="900" w:type="dxa"/>
            <w:vAlign w:val="center"/>
          </w:tcPr>
          <w:p w14:paraId="63B8E493" w14:textId="77777777" w:rsidR="003F3C34" w:rsidRPr="00C16A84" w:rsidRDefault="003F3C34" w:rsidP="008204DA">
            <w:pPr>
              <w:jc w:val="center"/>
              <w:rPr>
                <w:noProof/>
                <w:sz w:val="18"/>
              </w:rPr>
            </w:pPr>
            <w:r w:rsidRPr="00C16A84">
              <w:rPr>
                <w:noProof/>
                <w:sz w:val="18"/>
              </w:rPr>
              <w:t>Godina</w:t>
            </w:r>
            <w:r w:rsidRPr="00C16A84">
              <w:rPr>
                <w:noProof/>
              </w:rPr>
              <w:t xml:space="preserve"> </w:t>
            </w:r>
            <w:r w:rsidRPr="00C16A84">
              <w:rPr>
                <w:noProof/>
              </w:rPr>
              <w:br/>
            </w:r>
            <w:r w:rsidRPr="00C16A84">
              <w:rPr>
                <w:b/>
                <w:noProof/>
                <w:sz w:val="18"/>
              </w:rPr>
              <w:t>N+1</w:t>
            </w:r>
          </w:p>
        </w:tc>
        <w:tc>
          <w:tcPr>
            <w:tcW w:w="900" w:type="dxa"/>
            <w:vAlign w:val="center"/>
          </w:tcPr>
          <w:p w14:paraId="4725C307" w14:textId="77777777" w:rsidR="003F3C34" w:rsidRPr="00C16A84" w:rsidRDefault="003F3C34" w:rsidP="008204DA">
            <w:pPr>
              <w:jc w:val="center"/>
              <w:rPr>
                <w:noProof/>
                <w:sz w:val="18"/>
              </w:rPr>
            </w:pPr>
            <w:r w:rsidRPr="00C16A84">
              <w:rPr>
                <w:noProof/>
                <w:sz w:val="18"/>
              </w:rPr>
              <w:t>Godina</w:t>
            </w:r>
            <w:r w:rsidRPr="00C16A84">
              <w:rPr>
                <w:noProof/>
              </w:rPr>
              <w:t xml:space="preserve"> </w:t>
            </w:r>
            <w:r w:rsidRPr="00C16A84">
              <w:rPr>
                <w:noProof/>
              </w:rPr>
              <w:br/>
            </w:r>
            <w:r w:rsidRPr="00C16A84">
              <w:rPr>
                <w:b/>
                <w:noProof/>
                <w:sz w:val="18"/>
              </w:rPr>
              <w:t>N+2</w:t>
            </w:r>
          </w:p>
        </w:tc>
        <w:tc>
          <w:tcPr>
            <w:tcW w:w="1080" w:type="dxa"/>
            <w:vAlign w:val="center"/>
          </w:tcPr>
          <w:p w14:paraId="0EB7C567" w14:textId="77777777" w:rsidR="003F3C34" w:rsidRPr="00C16A84" w:rsidRDefault="003F3C34" w:rsidP="008204DA">
            <w:pPr>
              <w:jc w:val="center"/>
              <w:rPr>
                <w:noProof/>
                <w:sz w:val="18"/>
              </w:rPr>
            </w:pPr>
            <w:r w:rsidRPr="00C16A84">
              <w:rPr>
                <w:noProof/>
                <w:sz w:val="18"/>
              </w:rPr>
              <w:t>Godina</w:t>
            </w:r>
            <w:r w:rsidRPr="00C16A84">
              <w:rPr>
                <w:noProof/>
              </w:rPr>
              <w:t xml:space="preserve"> </w:t>
            </w:r>
            <w:r w:rsidRPr="00C16A84">
              <w:rPr>
                <w:noProof/>
              </w:rPr>
              <w:br/>
            </w:r>
            <w:r w:rsidRPr="00C16A84">
              <w:rPr>
                <w:b/>
                <w:noProof/>
                <w:sz w:val="18"/>
              </w:rPr>
              <w:t>N+3</w:t>
            </w:r>
          </w:p>
        </w:tc>
        <w:tc>
          <w:tcPr>
            <w:tcW w:w="3240" w:type="dxa"/>
            <w:gridSpan w:val="3"/>
            <w:vAlign w:val="center"/>
          </w:tcPr>
          <w:p w14:paraId="3B1CBC70" w14:textId="77777777" w:rsidR="003F3C34" w:rsidRPr="00C16A84" w:rsidRDefault="003F3C34" w:rsidP="008204DA">
            <w:pPr>
              <w:jc w:val="center"/>
              <w:rPr>
                <w:b/>
                <w:noProof/>
                <w:sz w:val="18"/>
              </w:rPr>
            </w:pPr>
            <w:r w:rsidRPr="00C16A84">
              <w:rPr>
                <w:noProof/>
                <w:sz w:val="18"/>
              </w:rPr>
              <w:t>Unijeti onoliko godina koliko je potrebno za prikaz trajanja učinka (vidjeti točku 1.6.)</w:t>
            </w:r>
          </w:p>
        </w:tc>
      </w:tr>
      <w:tr w:rsidR="003F3C34" w:rsidRPr="00C16A84" w14:paraId="0EA1389F" w14:textId="77777777" w:rsidTr="008204DA">
        <w:trPr>
          <w:trHeight w:val="388"/>
        </w:trPr>
        <w:tc>
          <w:tcPr>
            <w:tcW w:w="2144" w:type="dxa"/>
            <w:vAlign w:val="center"/>
          </w:tcPr>
          <w:p w14:paraId="3C640436" w14:textId="77777777" w:rsidR="003F3C34" w:rsidRPr="00C16A84" w:rsidRDefault="003F3C34" w:rsidP="008204DA">
            <w:pPr>
              <w:spacing w:before="40" w:after="40"/>
              <w:rPr>
                <w:noProof/>
                <w:sz w:val="18"/>
              </w:rPr>
            </w:pPr>
            <w:r w:rsidRPr="00C16A84">
              <w:rPr>
                <w:noProof/>
                <w:sz w:val="18"/>
              </w:rPr>
              <w:t>Članak ………….</w:t>
            </w:r>
          </w:p>
        </w:tc>
        <w:tc>
          <w:tcPr>
            <w:tcW w:w="1325" w:type="dxa"/>
          </w:tcPr>
          <w:p w14:paraId="64025E30" w14:textId="77777777" w:rsidR="003F3C34" w:rsidRPr="00C16A84" w:rsidRDefault="003F3C34" w:rsidP="008204DA">
            <w:pPr>
              <w:spacing w:beforeLines="40" w:before="96" w:afterLines="40" w:after="96"/>
              <w:jc w:val="center"/>
              <w:rPr>
                <w:i/>
                <w:noProof/>
                <w:sz w:val="18"/>
              </w:rPr>
            </w:pPr>
          </w:p>
        </w:tc>
        <w:tc>
          <w:tcPr>
            <w:tcW w:w="1031" w:type="dxa"/>
          </w:tcPr>
          <w:p w14:paraId="49E437B8" w14:textId="77777777" w:rsidR="003F3C34" w:rsidRPr="00C16A84" w:rsidRDefault="003F3C34" w:rsidP="008204DA">
            <w:pPr>
              <w:spacing w:beforeLines="40" w:before="96" w:afterLines="40" w:after="96"/>
              <w:jc w:val="center"/>
              <w:rPr>
                <w:noProof/>
                <w:sz w:val="18"/>
              </w:rPr>
            </w:pPr>
          </w:p>
        </w:tc>
        <w:tc>
          <w:tcPr>
            <w:tcW w:w="900" w:type="dxa"/>
          </w:tcPr>
          <w:p w14:paraId="533A7758" w14:textId="77777777" w:rsidR="003F3C34" w:rsidRPr="00C16A84" w:rsidRDefault="003F3C34" w:rsidP="008204DA">
            <w:pPr>
              <w:spacing w:beforeLines="40" w:before="96" w:afterLines="40" w:after="96"/>
              <w:jc w:val="center"/>
              <w:rPr>
                <w:noProof/>
                <w:sz w:val="18"/>
              </w:rPr>
            </w:pPr>
          </w:p>
        </w:tc>
        <w:tc>
          <w:tcPr>
            <w:tcW w:w="900" w:type="dxa"/>
          </w:tcPr>
          <w:p w14:paraId="05013B39" w14:textId="77777777" w:rsidR="003F3C34" w:rsidRPr="00C16A84" w:rsidRDefault="003F3C34" w:rsidP="008204DA">
            <w:pPr>
              <w:spacing w:beforeLines="40" w:before="96" w:afterLines="40" w:after="96"/>
              <w:jc w:val="center"/>
              <w:rPr>
                <w:noProof/>
                <w:sz w:val="18"/>
              </w:rPr>
            </w:pPr>
          </w:p>
        </w:tc>
        <w:tc>
          <w:tcPr>
            <w:tcW w:w="1080" w:type="dxa"/>
          </w:tcPr>
          <w:p w14:paraId="1B499B6D" w14:textId="77777777" w:rsidR="003F3C34" w:rsidRPr="00C16A84" w:rsidRDefault="003F3C34" w:rsidP="008204DA">
            <w:pPr>
              <w:spacing w:beforeLines="40" w:before="96" w:afterLines="40" w:after="96"/>
              <w:jc w:val="center"/>
              <w:rPr>
                <w:noProof/>
                <w:sz w:val="18"/>
              </w:rPr>
            </w:pPr>
          </w:p>
        </w:tc>
        <w:tc>
          <w:tcPr>
            <w:tcW w:w="1080" w:type="dxa"/>
          </w:tcPr>
          <w:p w14:paraId="71DC7465" w14:textId="77777777" w:rsidR="003F3C34" w:rsidRPr="00C16A84" w:rsidRDefault="003F3C34" w:rsidP="008204DA">
            <w:pPr>
              <w:spacing w:beforeLines="40" w:before="96" w:afterLines="40" w:after="96"/>
              <w:jc w:val="center"/>
              <w:rPr>
                <w:noProof/>
                <w:sz w:val="18"/>
              </w:rPr>
            </w:pPr>
          </w:p>
        </w:tc>
        <w:tc>
          <w:tcPr>
            <w:tcW w:w="1080" w:type="dxa"/>
          </w:tcPr>
          <w:p w14:paraId="316A31B1" w14:textId="77777777" w:rsidR="003F3C34" w:rsidRPr="00C16A84" w:rsidRDefault="003F3C34" w:rsidP="008204DA">
            <w:pPr>
              <w:spacing w:beforeLines="40" w:before="96" w:afterLines="40" w:after="96"/>
              <w:jc w:val="center"/>
              <w:rPr>
                <w:noProof/>
                <w:sz w:val="18"/>
              </w:rPr>
            </w:pPr>
          </w:p>
        </w:tc>
        <w:tc>
          <w:tcPr>
            <w:tcW w:w="1080" w:type="dxa"/>
          </w:tcPr>
          <w:p w14:paraId="52011576" w14:textId="77777777" w:rsidR="003F3C34" w:rsidRPr="00C16A84" w:rsidRDefault="003F3C34" w:rsidP="008204DA">
            <w:pPr>
              <w:spacing w:beforeLines="40" w:before="96" w:afterLines="40" w:after="96"/>
              <w:jc w:val="center"/>
              <w:rPr>
                <w:noProof/>
                <w:sz w:val="18"/>
              </w:rPr>
            </w:pPr>
          </w:p>
        </w:tc>
      </w:tr>
    </w:tbl>
    <w:p w14:paraId="5A05DCB0" w14:textId="77777777" w:rsidR="003F3C34" w:rsidRPr="00C16A84" w:rsidRDefault="003F3C34" w:rsidP="003F3C34">
      <w:pPr>
        <w:pStyle w:val="Text1"/>
        <w:rPr>
          <w:noProof/>
          <w:sz w:val="20"/>
        </w:rPr>
      </w:pPr>
      <w:r w:rsidRPr="00C16A84">
        <w:rPr>
          <w:noProof/>
          <w:sz w:val="20"/>
        </w:rPr>
        <w:t>Za namjenske prihode navesti odgovarajuće proračunske linije rashoda.</w:t>
      </w:r>
    </w:p>
    <w:p w14:paraId="2DF03D3B"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p>
    <w:p w14:paraId="7469CC7C" w14:textId="77777777" w:rsidR="003F3C34" w:rsidRPr="00C16A84" w:rsidRDefault="003F3C34" w:rsidP="003F3C34">
      <w:pPr>
        <w:pStyle w:val="Text1"/>
        <w:rPr>
          <w:noProof/>
          <w:sz w:val="20"/>
        </w:rPr>
      </w:pPr>
      <w:r w:rsidRPr="00C16A84">
        <w:rPr>
          <w:noProof/>
          <w:sz w:val="20"/>
        </w:rPr>
        <w:t>Ostale napomene (npr. metoda/formula za izračun učinka na prihode ili druge informacije)</w:t>
      </w:r>
    </w:p>
    <w:p w14:paraId="19D698E6" w14:textId="77777777" w:rsidR="003F3C34" w:rsidRPr="00C16A84" w:rsidRDefault="003F3C34" w:rsidP="003F3C34">
      <w:pPr>
        <w:pStyle w:val="Text1"/>
        <w:pBdr>
          <w:top w:val="single" w:sz="4" w:space="1" w:color="auto"/>
          <w:left w:val="single" w:sz="4" w:space="4" w:color="auto"/>
          <w:bottom w:val="single" w:sz="4" w:space="1" w:color="auto"/>
          <w:right w:val="single" w:sz="4" w:space="4" w:color="auto"/>
        </w:pBdr>
        <w:rPr>
          <w:noProof/>
        </w:rPr>
      </w:pPr>
    </w:p>
    <w:sectPr w:rsidR="003F3C34" w:rsidRPr="00C16A84" w:rsidSect="00396AE5">
      <w:headerReference w:type="default" r:id="rId21"/>
      <w:footerReference w:type="default" r:id="rId22"/>
      <w:headerReference w:type="first" r:id="rId23"/>
      <w:footerReference w:type="first" r:id="rId24"/>
      <w:pgSz w:w="12240" w:h="15840" w:code="1"/>
      <w:pgMar w:top="902" w:right="1134" w:bottom="1247" w:left="902"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EB357" w14:textId="77777777" w:rsidR="000919E6" w:rsidRDefault="000919E6" w:rsidP="00E859DB">
      <w:pPr>
        <w:spacing w:before="0" w:after="0"/>
      </w:pPr>
      <w:r>
        <w:separator/>
      </w:r>
    </w:p>
  </w:endnote>
  <w:endnote w:type="continuationSeparator" w:id="0">
    <w:p w14:paraId="150F4AA5" w14:textId="77777777" w:rsidR="000919E6" w:rsidRDefault="000919E6" w:rsidP="00E859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AD201" w14:textId="03594701" w:rsidR="00C16A84" w:rsidRPr="00396AE5" w:rsidRDefault="00396AE5" w:rsidP="00396AE5">
    <w:pPr>
      <w:pStyle w:val="Footer"/>
      <w:rPr>
        <w:rFonts w:ascii="Arial" w:hAnsi="Arial" w:cs="Arial"/>
        <w:b/>
        <w:sz w:val="48"/>
      </w:rPr>
    </w:pPr>
    <w:r w:rsidRPr="00396AE5">
      <w:rPr>
        <w:rFonts w:ascii="Arial" w:hAnsi="Arial" w:cs="Arial"/>
        <w:b/>
        <w:sz w:val="48"/>
      </w:rPr>
      <w:t>HR</w:t>
    </w:r>
    <w:r w:rsidRPr="00396AE5">
      <w:rPr>
        <w:rFonts w:ascii="Arial" w:hAnsi="Arial" w:cs="Arial"/>
        <w:b/>
        <w:sz w:val="48"/>
      </w:rPr>
      <w:tab/>
    </w:r>
    <w:r w:rsidRPr="00396AE5">
      <w:rPr>
        <w:rFonts w:ascii="Arial" w:hAnsi="Arial" w:cs="Arial"/>
        <w:b/>
        <w:sz w:val="48"/>
      </w:rPr>
      <w:tab/>
    </w:r>
    <w:r w:rsidRPr="00396AE5">
      <w:tab/>
    </w:r>
    <w:r w:rsidRPr="00396AE5">
      <w:rPr>
        <w:rFonts w:ascii="Arial" w:hAnsi="Arial" w:cs="Arial"/>
        <w:b/>
        <w:sz w:val="48"/>
      </w:rPr>
      <w:t>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F376" w14:textId="32CD5EBC" w:rsidR="00396AE5" w:rsidRPr="00396AE5" w:rsidRDefault="00396AE5" w:rsidP="00396AE5">
    <w:pPr>
      <w:pStyle w:val="Footer"/>
      <w:rPr>
        <w:rFonts w:ascii="Arial" w:hAnsi="Arial" w:cs="Arial"/>
        <w:b/>
        <w:sz w:val="48"/>
      </w:rPr>
    </w:pPr>
    <w:r w:rsidRPr="00396AE5">
      <w:rPr>
        <w:rFonts w:ascii="Arial" w:hAnsi="Arial" w:cs="Arial"/>
        <w:b/>
        <w:sz w:val="48"/>
      </w:rPr>
      <w:t>HR</w:t>
    </w:r>
    <w:r w:rsidRPr="00396AE5">
      <w:rPr>
        <w:rFonts w:ascii="Arial" w:hAnsi="Arial" w:cs="Arial"/>
        <w:b/>
        <w:sz w:val="48"/>
      </w:rPr>
      <w:tab/>
    </w:r>
    <w:r>
      <w:fldChar w:fldCharType="begin"/>
    </w:r>
    <w:r>
      <w:instrText xml:space="preserve"> PAGE  \* MERGEFORMAT </w:instrText>
    </w:r>
    <w:r>
      <w:fldChar w:fldCharType="separate"/>
    </w:r>
    <w:r w:rsidR="00C35110">
      <w:rPr>
        <w:noProof/>
      </w:rPr>
      <w:t>17</w:t>
    </w:r>
    <w:r>
      <w:fldChar w:fldCharType="end"/>
    </w:r>
    <w:r>
      <w:tab/>
    </w:r>
    <w:r w:rsidRPr="00396AE5">
      <w:tab/>
    </w:r>
    <w:r w:rsidRPr="00396AE5">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1B4A0" w14:textId="77777777" w:rsidR="00396AE5" w:rsidRPr="00396AE5" w:rsidRDefault="00396AE5" w:rsidP="00396A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B8DA2" w14:textId="57A991C2" w:rsidR="00396AE5" w:rsidRPr="00396AE5" w:rsidRDefault="00396AE5" w:rsidP="00396AE5">
    <w:pPr>
      <w:pStyle w:val="FooterLandscape"/>
      <w:rPr>
        <w:rFonts w:ascii="Arial" w:hAnsi="Arial" w:cs="Arial"/>
        <w:b/>
        <w:sz w:val="48"/>
      </w:rPr>
    </w:pPr>
    <w:r w:rsidRPr="00396AE5">
      <w:rPr>
        <w:rFonts w:ascii="Arial" w:hAnsi="Arial" w:cs="Arial"/>
        <w:b/>
        <w:sz w:val="48"/>
      </w:rPr>
      <w:t>HR</w:t>
    </w:r>
    <w:r w:rsidRPr="00396AE5">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396AE5">
      <w:tab/>
    </w:r>
    <w:r w:rsidRPr="00396AE5">
      <w:rPr>
        <w:rFonts w:ascii="Arial" w:hAnsi="Arial" w:cs="Arial"/>
        <w:b/>
        <w:sz w:val="48"/>
      </w:rPr>
      <w:t>HR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D2766" w14:textId="77777777" w:rsidR="00396AE5" w:rsidRPr="00396AE5" w:rsidRDefault="00396AE5" w:rsidP="00396AE5">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A4BF6" w14:textId="139E4BC1" w:rsidR="00C43892" w:rsidRPr="00396AE5" w:rsidRDefault="00396AE5" w:rsidP="00396AE5">
    <w:pPr>
      <w:pStyle w:val="Footer"/>
      <w:rPr>
        <w:rFonts w:ascii="Arial" w:hAnsi="Arial" w:cs="Arial"/>
        <w:b/>
        <w:sz w:val="48"/>
      </w:rPr>
    </w:pPr>
    <w:r w:rsidRPr="00396AE5">
      <w:rPr>
        <w:rFonts w:ascii="Arial" w:hAnsi="Arial" w:cs="Arial"/>
        <w:b/>
        <w:sz w:val="48"/>
      </w:rPr>
      <w:t>HR</w:t>
    </w:r>
    <w:r w:rsidRPr="00396AE5">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396AE5">
      <w:tab/>
    </w:r>
    <w:r w:rsidRPr="00396AE5">
      <w:rPr>
        <w:rFonts w:ascii="Arial" w:hAnsi="Arial" w:cs="Arial"/>
        <w:b/>
        <w:sz w:val="48"/>
      </w:rPr>
      <w:t>HR</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477DB" w14:textId="77777777" w:rsidR="00396AE5" w:rsidRPr="00396AE5" w:rsidRDefault="00396AE5" w:rsidP="00396AE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59305" w14:textId="0AB7B115" w:rsidR="00396AE5" w:rsidRPr="00396AE5" w:rsidRDefault="00396AE5" w:rsidP="00DE20B5">
    <w:pPr>
      <w:pStyle w:val="Footer"/>
      <w:rPr>
        <w:rFonts w:ascii="Arial" w:hAnsi="Arial" w:cs="Arial"/>
        <w:b/>
        <w:sz w:val="48"/>
      </w:rPr>
    </w:pPr>
    <w:r w:rsidRPr="00396AE5">
      <w:rPr>
        <w:rFonts w:ascii="Arial" w:hAnsi="Arial" w:cs="Arial"/>
        <w:b/>
        <w:sz w:val="48"/>
      </w:rPr>
      <w:t>HR</w:t>
    </w:r>
    <w:r w:rsidRPr="00396AE5">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396AE5">
      <w:tab/>
    </w:r>
    <w:r w:rsidRPr="00396AE5">
      <w:rPr>
        <w:rFonts w:ascii="Arial" w:hAnsi="Arial" w:cs="Arial"/>
        <w:b/>
        <w:sz w:val="48"/>
      </w:rPr>
      <w:t>HR</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C3E90" w14:textId="77777777" w:rsidR="00396AE5" w:rsidRPr="00396AE5" w:rsidRDefault="00396AE5" w:rsidP="00396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661A7" w14:textId="77777777" w:rsidR="000919E6" w:rsidRDefault="000919E6" w:rsidP="00E859DB">
      <w:pPr>
        <w:spacing w:before="0" w:after="0"/>
      </w:pPr>
      <w:r>
        <w:separator/>
      </w:r>
    </w:p>
  </w:footnote>
  <w:footnote w:type="continuationSeparator" w:id="0">
    <w:p w14:paraId="6694F1D5" w14:textId="77777777" w:rsidR="000919E6" w:rsidRDefault="000919E6" w:rsidP="00E859DB">
      <w:pPr>
        <w:spacing w:before="0" w:after="0"/>
      </w:pPr>
      <w:r>
        <w:continuationSeparator/>
      </w:r>
    </w:p>
  </w:footnote>
  <w:footnote w:id="1">
    <w:p w14:paraId="10C93AAF" w14:textId="77777777" w:rsidR="008E472F" w:rsidRPr="00AC095C" w:rsidRDefault="008E472F" w:rsidP="008E472F">
      <w:pPr>
        <w:pStyle w:val="FootnoteText"/>
      </w:pPr>
      <w:r>
        <w:rPr>
          <w:rStyle w:val="FootnoteReference"/>
        </w:rPr>
        <w:footnoteRef/>
      </w:r>
      <w:r>
        <w:tab/>
        <w:t>Međuinstitucijski proglas o europskom stupu socijalnih prava (SL C 428, 13.12.2017., str. 10.).</w:t>
      </w:r>
    </w:p>
  </w:footnote>
  <w:footnote w:id="2">
    <w:p w14:paraId="12DD080B" w14:textId="77777777" w:rsidR="008E472F" w:rsidRPr="000D3381" w:rsidRDefault="008E472F" w:rsidP="008E472F">
      <w:pPr>
        <w:pStyle w:val="FootnoteText"/>
      </w:pPr>
      <w:r>
        <w:rPr>
          <w:rStyle w:val="FootnoteReference"/>
        </w:rPr>
        <w:footnoteRef/>
      </w:r>
      <w:r>
        <w:tab/>
        <w:t>Za dodatne primjere vidjeti Prilog 6.4. „Pregled usluga u kojima se nude povlašteni uvjeti u EU-u”, Procjena učinka, SWD(2023) 289.</w:t>
      </w:r>
    </w:p>
  </w:footnote>
  <w:footnote w:id="3">
    <w:p w14:paraId="448A57E0" w14:textId="77777777" w:rsidR="00487EE8" w:rsidRPr="005F0654" w:rsidRDefault="00487EE8">
      <w:pPr>
        <w:pStyle w:val="FootnoteText"/>
      </w:pPr>
      <w:r>
        <w:rPr>
          <w:rStyle w:val="FootnoteReference"/>
        </w:rPr>
        <w:footnoteRef/>
      </w:r>
      <w:r>
        <w:tab/>
        <w:t>Vidjeti npr. članak 23. stavak 1. točke (a) i (b) Uredbe (EU) 2021/782 Europskog parlamenta i Vijeća od 29. travnja 2021. o pravima i obvezama putnika u željezničkom prometu, SL L 172, 17.5.2021., str. 1.</w:t>
      </w:r>
    </w:p>
  </w:footnote>
  <w:footnote w:id="4">
    <w:p w14:paraId="0A5A09F7" w14:textId="77777777" w:rsidR="008E472F" w:rsidRPr="00005896" w:rsidRDefault="008E472F" w:rsidP="008E472F">
      <w:pPr>
        <w:pStyle w:val="FootnoteText"/>
      </w:pPr>
      <w:r>
        <w:rPr>
          <w:rStyle w:val="FootnoteReference"/>
        </w:rPr>
        <w:footnoteRef/>
      </w:r>
      <w:r>
        <w:tab/>
        <w:t xml:space="preserve">Nalazi završnog izvješća koje se temelji na anketi organizacija civilnog društva na razini EU-a; Shaw i Coles, </w:t>
      </w:r>
      <w:r>
        <w:rPr>
          <w:i/>
        </w:rPr>
        <w:t>Disability, holiday making and the tourism industry in the UK:</w:t>
      </w:r>
      <w:r>
        <w:t xml:space="preserve"> </w:t>
      </w:r>
      <w:r>
        <w:rPr>
          <w:i/>
        </w:rPr>
        <w:t>a preliminary survey</w:t>
      </w:r>
      <w:r>
        <w:t xml:space="preserve">, 25(3) Tourism Management (2004.) 397.–403.; Eugénia Lima Devile i Andreia Antunes Moura (2021.), </w:t>
      </w:r>
      <w:r>
        <w:rPr>
          <w:i/>
        </w:rPr>
        <w:t>Travel by People With Physical Disabilities:</w:t>
      </w:r>
      <w:r>
        <w:t xml:space="preserve"> </w:t>
      </w:r>
      <w:r>
        <w:rPr>
          <w:i/>
        </w:rPr>
        <w:t>Constraints and Influences in the Decision-Making Process</w:t>
      </w:r>
      <w:r>
        <w:t>.</w:t>
      </w:r>
    </w:p>
  </w:footnote>
  <w:footnote w:id="5">
    <w:p w14:paraId="3B3CF730" w14:textId="77777777" w:rsidR="008E472F" w:rsidRPr="00005896" w:rsidRDefault="008E472F" w:rsidP="008E472F">
      <w:pPr>
        <w:pStyle w:val="FootnoteText"/>
      </w:pPr>
      <w:r>
        <w:rPr>
          <w:rStyle w:val="FootnoteReference"/>
        </w:rPr>
        <w:footnoteRef/>
      </w:r>
      <w:r>
        <w:tab/>
        <w:t xml:space="preserve">McKercher i Darcy (2018.), </w:t>
      </w:r>
      <w:r>
        <w:rPr>
          <w:i/>
        </w:rPr>
        <w:t>Re-conceptualizing barriers to travel by people with disabilities</w:t>
      </w:r>
      <w:r>
        <w:t>, Tourism Management Perspectives, 59.–66.</w:t>
      </w:r>
    </w:p>
  </w:footnote>
  <w:footnote w:id="6">
    <w:p w14:paraId="2CE3B798" w14:textId="77777777" w:rsidR="008E472F" w:rsidRPr="009C0009" w:rsidRDefault="008E472F" w:rsidP="008E472F">
      <w:pPr>
        <w:pStyle w:val="FootnoteText"/>
        <w:rPr>
          <w:lang w:val="fr-FR"/>
        </w:rPr>
      </w:pPr>
      <w:r>
        <w:rPr>
          <w:rStyle w:val="FootnoteReference"/>
        </w:rPr>
        <w:footnoteRef/>
      </w:r>
      <w:r w:rsidRPr="009C0009">
        <w:rPr>
          <w:lang w:val="fr-FR"/>
        </w:rPr>
        <w:tab/>
        <w:t>Eurostatova baza podataka, tour_dem_npsex. Dostupna na: https://ec.europa.eu/eurostat/databrowser/view/tour_dem_npsex/default/table?lang=hr. Posljednja godina za koju su bile dostupne informacije bila je 2019.</w:t>
      </w:r>
    </w:p>
  </w:footnote>
  <w:footnote w:id="7">
    <w:p w14:paraId="3706FCD0" w14:textId="77777777" w:rsidR="008E472F" w:rsidRPr="009C0009" w:rsidRDefault="008E472F" w:rsidP="008E472F">
      <w:pPr>
        <w:pStyle w:val="FootnoteText"/>
        <w:rPr>
          <w:lang w:val="fr-FR"/>
        </w:rPr>
      </w:pPr>
      <w:r>
        <w:rPr>
          <w:rStyle w:val="FootnoteReference"/>
        </w:rPr>
        <w:footnoteRef/>
      </w:r>
      <w:r w:rsidRPr="009C0009">
        <w:rPr>
          <w:lang w:val="fr-FR"/>
        </w:rPr>
        <w:tab/>
        <w:t>Preporuka Vijeća od 4. lipnja 1998. o parkirnoj karti za osobe s invaliditetom (98/376/EZ), SL L 167/25, 12.6.1998., kako je prilagođena Preporukom Vijeća od 3. ožujka 2008. zbog pristupanja Republike Bugarske, Češke Republike, Republike Estonije, Republike Cipra, Republike Latvije, Republike Litve, Republike Mađarske, Republike Malte, Republike Poljske, Rumunjske, Republike Slovenije i Slovačke Republike, SL L 63/43, 7.3.2008.</w:t>
      </w:r>
    </w:p>
  </w:footnote>
  <w:footnote w:id="8">
    <w:p w14:paraId="221D930D" w14:textId="77777777" w:rsidR="00DB71B1" w:rsidRPr="009C0009" w:rsidRDefault="00DB71B1">
      <w:pPr>
        <w:pStyle w:val="FootnoteText"/>
        <w:rPr>
          <w:lang w:val="fr-FR"/>
        </w:rPr>
      </w:pPr>
      <w:r>
        <w:rPr>
          <w:rStyle w:val="FootnoteReference"/>
        </w:rPr>
        <w:footnoteRef/>
      </w:r>
      <w:r w:rsidRPr="009C0009">
        <w:rPr>
          <w:lang w:val="fr-FR"/>
        </w:rPr>
        <w:tab/>
        <w:t>Za dodatne informacije vidjeti Prilog 6.3. „Analiza primjene parkirne karte EU-a za osobe s invaliditetom”, Procjena učinka, SWD(2023) 289.</w:t>
      </w:r>
    </w:p>
  </w:footnote>
  <w:footnote w:id="9">
    <w:p w14:paraId="639F2B3E" w14:textId="77777777" w:rsidR="008E472F" w:rsidRPr="009C0009" w:rsidRDefault="008E472F" w:rsidP="008E472F">
      <w:pPr>
        <w:pStyle w:val="FootnoteText"/>
        <w:rPr>
          <w:lang w:val="fr-FR"/>
        </w:rPr>
      </w:pPr>
      <w:r>
        <w:rPr>
          <w:rStyle w:val="FootnoteReference"/>
        </w:rPr>
        <w:footnoteRef/>
      </w:r>
      <w:r w:rsidRPr="009C0009">
        <w:rPr>
          <w:lang w:val="fr-FR"/>
        </w:rPr>
        <w:tab/>
        <w:t>COM(2021) 101.</w:t>
      </w:r>
    </w:p>
  </w:footnote>
  <w:footnote w:id="10">
    <w:p w14:paraId="6C4ADB56" w14:textId="77777777" w:rsidR="008E472F" w:rsidRPr="00B57F10" w:rsidRDefault="008E472F" w:rsidP="008E472F">
      <w:pPr>
        <w:pStyle w:val="FootnoteText"/>
      </w:pPr>
      <w:r>
        <w:rPr>
          <w:rStyle w:val="FootnoteReference"/>
        </w:rPr>
        <w:footnoteRef/>
      </w:r>
      <w:r>
        <w:tab/>
        <w:t>COM(2022) 404 final, 17.6.2022., Prilog, točka 5. „Vrijednosti i prava, vladavina prava i sigurnost”.</w:t>
      </w:r>
    </w:p>
  </w:footnote>
  <w:footnote w:id="11">
    <w:p w14:paraId="0ECD6F13" w14:textId="77777777" w:rsidR="008E472F" w:rsidRPr="009D1CAF" w:rsidRDefault="008E472F" w:rsidP="008E472F">
      <w:pPr>
        <w:pStyle w:val="FootnoteText"/>
      </w:pPr>
      <w:r>
        <w:rPr>
          <w:rStyle w:val="FootnoteReference"/>
        </w:rPr>
        <w:footnoteRef/>
      </w:r>
      <w:r>
        <w:tab/>
        <w:t>Pismo namjere uz govor o stanju Europske unije 2022., 14. rujna 2022.</w:t>
      </w:r>
    </w:p>
  </w:footnote>
  <w:footnote w:id="12">
    <w:p w14:paraId="7A2AF70D" w14:textId="77777777" w:rsidR="008E472F" w:rsidRPr="00F77E0F" w:rsidRDefault="008E472F" w:rsidP="008E472F">
      <w:pPr>
        <w:pStyle w:val="FootnoteText"/>
      </w:pPr>
      <w:r>
        <w:rPr>
          <w:rStyle w:val="FootnoteReference"/>
        </w:rPr>
        <w:footnoteRef/>
      </w:r>
      <w:r>
        <w:tab/>
        <w:t>COM(2022) 548 final, 18.10.2022., Prilog I. točka 43. pod naslovom „Novi poticaj europskoj demokraciji”.</w:t>
      </w:r>
    </w:p>
  </w:footnote>
  <w:footnote w:id="13">
    <w:p w14:paraId="5D54B50B" w14:textId="77777777" w:rsidR="008E472F" w:rsidRPr="00DA3EDB" w:rsidRDefault="008E472F" w:rsidP="008E472F">
      <w:pPr>
        <w:pStyle w:val="FootnoteText"/>
      </w:pPr>
      <w:r>
        <w:rPr>
          <w:rStyle w:val="FootnoteReference"/>
        </w:rPr>
        <w:footnoteRef/>
      </w:r>
      <w:r>
        <w:tab/>
      </w:r>
      <w:hyperlink r:id="rId1" w:history="1">
        <w:r>
          <w:rPr>
            <w:rStyle w:val="Hyperlink"/>
          </w:rPr>
          <w:t>https://www.europarl.europa.eu/doceo/document/TA-9-2020-0156_HR.html</w:t>
        </w:r>
      </w:hyperlink>
    </w:p>
    <w:p w14:paraId="15B242A3" w14:textId="77777777" w:rsidR="008E472F" w:rsidRPr="00DA3EDB" w:rsidRDefault="008E472F" w:rsidP="008E472F">
      <w:pPr>
        <w:pStyle w:val="FootnoteText"/>
      </w:pPr>
    </w:p>
  </w:footnote>
  <w:footnote w:id="14">
    <w:p w14:paraId="72B3204F" w14:textId="77777777" w:rsidR="008E472F" w:rsidRDefault="008E472F" w:rsidP="008E472F">
      <w:pPr>
        <w:pStyle w:val="FootnoteText"/>
      </w:pPr>
      <w:r>
        <w:rPr>
          <w:rStyle w:val="FootnoteReference"/>
        </w:rPr>
        <w:footnoteRef/>
      </w:r>
      <w:r>
        <w:tab/>
      </w:r>
      <w:hyperlink r:id="rId2" w:history="1">
        <w:r>
          <w:rPr>
            <w:rStyle w:val="Hyperlink"/>
          </w:rPr>
          <w:t>https://www.europarl.europa.eu/doceo/document/TA-9-2021-0414_HR.pdf</w:t>
        </w:r>
      </w:hyperlink>
    </w:p>
    <w:p w14:paraId="5CEB6046" w14:textId="77777777" w:rsidR="008E472F" w:rsidRPr="001860A7" w:rsidRDefault="008E472F" w:rsidP="008E472F">
      <w:pPr>
        <w:pStyle w:val="FootnoteText"/>
      </w:pPr>
    </w:p>
  </w:footnote>
  <w:footnote w:id="15">
    <w:p w14:paraId="4CD934B8" w14:textId="77777777" w:rsidR="008E472F" w:rsidRPr="001860A7" w:rsidRDefault="008E472F" w:rsidP="008E472F">
      <w:pPr>
        <w:pStyle w:val="FootnoteText"/>
      </w:pPr>
      <w:r>
        <w:rPr>
          <w:rStyle w:val="FootnoteReference"/>
        </w:rPr>
        <w:footnoteRef/>
      </w:r>
      <w:r>
        <w:tab/>
      </w:r>
      <w:hyperlink r:id="rId3" w:history="1">
        <w:r>
          <w:rPr>
            <w:rStyle w:val="Hyperlink"/>
          </w:rPr>
          <w:t>https://www.europarl.europa.eu/doceo/document/TA-9-2022-0435_HR.html</w:t>
        </w:r>
      </w:hyperlink>
    </w:p>
    <w:p w14:paraId="43C86823" w14:textId="77777777" w:rsidR="008E472F" w:rsidRPr="001860A7" w:rsidRDefault="008E472F" w:rsidP="008E472F">
      <w:pPr>
        <w:pStyle w:val="FootnoteText"/>
      </w:pPr>
    </w:p>
  </w:footnote>
  <w:footnote w:id="16">
    <w:p w14:paraId="7A4FD2C4" w14:textId="77777777" w:rsidR="008E472F" w:rsidRPr="00561E69" w:rsidRDefault="008E472F" w:rsidP="008E472F">
      <w:pPr>
        <w:pStyle w:val="FootnoteText"/>
      </w:pPr>
      <w:r>
        <w:rPr>
          <w:rStyle w:val="FootnoteReference"/>
        </w:rPr>
        <w:footnoteRef/>
      </w:r>
      <w:r>
        <w:tab/>
        <w:t>SOC/765, 27.4.2024.</w:t>
      </w:r>
    </w:p>
  </w:footnote>
  <w:footnote w:id="17">
    <w:p w14:paraId="6355910D" w14:textId="77777777" w:rsidR="006E5363" w:rsidRPr="003C18C2" w:rsidRDefault="006E5363" w:rsidP="006E5363">
      <w:pPr>
        <w:pStyle w:val="FootnoteText"/>
      </w:pPr>
      <w:r>
        <w:rPr>
          <w:rStyle w:val="FootnoteReference"/>
        </w:rPr>
        <w:footnoteRef/>
      </w:r>
      <w:r>
        <w:tab/>
        <w:t>Privatni (Cipar, Finska i Malta) odnosno javni prijevoz (Finska i Slovenija).</w:t>
      </w:r>
    </w:p>
  </w:footnote>
  <w:footnote w:id="18">
    <w:p w14:paraId="64AA96A2" w14:textId="77777777" w:rsidR="006E5363" w:rsidRPr="00193F23" w:rsidRDefault="006E5363" w:rsidP="006E5363">
      <w:pPr>
        <w:pStyle w:val="FootnoteText"/>
      </w:pPr>
      <w:r>
        <w:rPr>
          <w:rStyle w:val="FootnoteReference"/>
        </w:rPr>
        <w:footnoteRef/>
      </w:r>
      <w:r>
        <w:tab/>
      </w:r>
      <w:hyperlink r:id="rId4" w:history="1">
        <w:r>
          <w:rPr>
            <w:rStyle w:val="Hyperlink"/>
          </w:rPr>
          <w:t>https://op.europa.eu/hr/publication-detail/-/publication/4adbe538-0a02-11ec-b5d3-01aa75ed71a1/language-hr</w:t>
        </w:r>
      </w:hyperlink>
    </w:p>
    <w:p w14:paraId="7F61A8CD" w14:textId="77777777" w:rsidR="006E5363" w:rsidRPr="00151874" w:rsidRDefault="006E5363" w:rsidP="006E5363">
      <w:pPr>
        <w:pStyle w:val="FootnoteText"/>
      </w:pPr>
    </w:p>
  </w:footnote>
  <w:footnote w:id="19">
    <w:p w14:paraId="6095CC83" w14:textId="77777777" w:rsidR="006E5363" w:rsidRPr="00AA770D" w:rsidRDefault="006E5363" w:rsidP="006E5363">
      <w:pPr>
        <w:pStyle w:val="FootnoteText"/>
      </w:pPr>
      <w:r>
        <w:rPr>
          <w:rStyle w:val="FootnoteReference"/>
        </w:rPr>
        <w:footnoteRef/>
      </w:r>
      <w:r>
        <w:tab/>
        <w:t xml:space="preserve">Preporuka Vijeća od 4. lipnja 1998. o parkirnoj karti </w:t>
      </w:r>
      <w:bookmarkStart w:id="7" w:name="_Hlk143067497"/>
      <w:r>
        <w:t xml:space="preserve">za osobe s invaliditetom </w:t>
      </w:r>
      <w:bookmarkEnd w:id="7"/>
      <w:r>
        <w:t>(98/376/EZ), SL L 167/25, 12.6.1998., kako je prilagođena Preporukom Vijeća 2008/205/EZ zbog pristupanja Republike Bugarske, Češke Republike, Republike Estonije, Republike Cipra, Republike Latvije, Republike Litve, Republike Mađarske, Republike Malte, Republike Poljske, Rumunjske, Republike Slovenije i Slovačke Republike, SL L 63/43, 7.3.2008.</w:t>
      </w:r>
    </w:p>
  </w:footnote>
  <w:footnote w:id="20">
    <w:p w14:paraId="6DD3AA29" w14:textId="77777777" w:rsidR="00DB71B1" w:rsidRPr="006C34B4" w:rsidRDefault="00DB71B1">
      <w:pPr>
        <w:pStyle w:val="FootnoteText"/>
      </w:pPr>
      <w:r>
        <w:rPr>
          <w:rStyle w:val="FootnoteReference"/>
        </w:rPr>
        <w:footnoteRef/>
      </w:r>
      <w:r>
        <w:tab/>
        <w:t>Za dodatne informacije vidjeti Prilog 6.3. „Analiza primjene parkirne karte EU-a za osobe s invaliditetom”, Procjena učinka, SWD(2023) 289.</w:t>
      </w:r>
    </w:p>
  </w:footnote>
  <w:footnote w:id="21">
    <w:p w14:paraId="6C33C84D" w14:textId="77777777" w:rsidR="00E96981" w:rsidRPr="001811A6" w:rsidRDefault="00E96981" w:rsidP="00E96981">
      <w:pPr>
        <w:pStyle w:val="FootnoteText"/>
      </w:pPr>
      <w:r>
        <w:rPr>
          <w:rStyle w:val="FootnoteReference"/>
        </w:rPr>
        <w:footnoteRef/>
      </w:r>
      <w:r>
        <w:tab/>
        <w:t>SL L 376/36, 27.12.2006.</w:t>
      </w:r>
    </w:p>
  </w:footnote>
  <w:footnote w:id="22">
    <w:p w14:paraId="199810E9" w14:textId="77777777" w:rsidR="00DF67E1" w:rsidRPr="00DF67E1" w:rsidRDefault="00DF67E1">
      <w:pPr>
        <w:pStyle w:val="FootnoteText"/>
      </w:pPr>
      <w:r>
        <w:rPr>
          <w:rStyle w:val="FootnoteReference"/>
        </w:rPr>
        <w:footnoteRef/>
      </w:r>
      <w:r>
        <w:tab/>
        <w:t>Direktiva (EU) 2019/882 o zahtjevima za pristupačnost proizvoda i usluga, SL L 150/70, 7.6.2019.</w:t>
      </w:r>
    </w:p>
  </w:footnote>
  <w:footnote w:id="23">
    <w:p w14:paraId="79CD7383" w14:textId="77777777" w:rsidR="0024303E" w:rsidRPr="006C34B4" w:rsidRDefault="0024303E">
      <w:pPr>
        <w:pStyle w:val="FootnoteText"/>
      </w:pPr>
      <w:r>
        <w:rPr>
          <w:rStyle w:val="FootnoteReference"/>
        </w:rPr>
        <w:footnoteRef/>
      </w:r>
      <w:r>
        <w:tab/>
        <w:t>Direktiva (EU) 2016/2102 o pristupačnosti internetskih stranica i mobilnih aplikacija tijela javnog sektora.</w:t>
      </w:r>
    </w:p>
  </w:footnote>
  <w:footnote w:id="24">
    <w:p w14:paraId="59D5639F" w14:textId="77777777" w:rsidR="00E96981" w:rsidRPr="00BF3410" w:rsidRDefault="00E96981" w:rsidP="00E96981">
      <w:pPr>
        <w:pStyle w:val="FootnoteText"/>
      </w:pPr>
      <w:r>
        <w:rPr>
          <w:rStyle w:val="FootnoteReference"/>
        </w:rPr>
        <w:footnoteRef/>
      </w:r>
      <w:r>
        <w:tab/>
        <w:t>Uredba (EZ) br. 1107/2006 o pravima osoba s invaliditetom i osoba smanjene pokretljivosti u zračnom prijevozu, SL L 150/70, 7.6.2019., Uredba (EU) br. 1177/2010 o pravima putnika kada putuju morem ili unutarnjim plovnim putovima i o izmjeni Uredbe (EZ) br. 2006/2004, Uredba (EU) br. 181/2011 o pravima putnika u autobusnom prijevozu i izmjeni Uredbe (EZ) br. 2006/2004, Uredba (EU) 2021/782 o pravima i obvezama putnika u željezničkom prometu (preinaka). [ ]</w:t>
      </w:r>
    </w:p>
  </w:footnote>
  <w:footnote w:id="25">
    <w:p w14:paraId="6A5BAE7D" w14:textId="77777777" w:rsidR="00E96981" w:rsidRPr="00BF3410" w:rsidRDefault="00E96981" w:rsidP="00E96981">
      <w:pPr>
        <w:pStyle w:val="FootnoteText"/>
      </w:pPr>
      <w:r>
        <w:rPr>
          <w:rStyle w:val="FootnoteReference"/>
        </w:rPr>
        <w:footnoteRef/>
      </w:r>
      <w:r>
        <w:tab/>
        <w:t>Direktiva (EU) 2022/362 Europskog parlamenta i Vijeća od 24. veljače 2022. o izmjeni direktiva 1999/62/EZ, 1999/37/EZ i (EU) 2019/520 u pogledu naknada koje se naplaćuju za korištenje određenih infrastruktura za vozila, SL L 69/1, 4.3.2022.</w:t>
      </w:r>
    </w:p>
  </w:footnote>
  <w:footnote w:id="26">
    <w:p w14:paraId="5A41E88B" w14:textId="77777777" w:rsidR="00A0100D" w:rsidRPr="0080419E" w:rsidRDefault="00A0100D" w:rsidP="00A0100D">
      <w:pPr>
        <w:pStyle w:val="FootnoteText"/>
      </w:pPr>
      <w:r>
        <w:rPr>
          <w:rStyle w:val="FootnoteReference"/>
        </w:rPr>
        <w:footnoteRef/>
      </w:r>
      <w:r>
        <w:tab/>
      </w:r>
      <w:bookmarkStart w:id="8" w:name="_Hlk140497109"/>
      <w:r>
        <w:t>Preporuka Vijeća od 4. lipnja 1998. o parkirnoj karti za osobe s invaliditetom (98/376/EZ), SL L 167/25, 12.6.1998., kako je prilagođena Preporukom Vijeća 2008/205/EZ zbog pristupanja Republike Bugarske, Češke Republike, Republike Estonije, Republike Cipra, Republike Latvije, Republike Litve, Republike Mađarske, Republike Malte, Republike Poljske, Rumunjske, Republike Slovenije i Slovačke Republike, SL L 63/43, 7.3.2008.</w:t>
      </w:r>
      <w:bookmarkEnd w:id="8"/>
    </w:p>
  </w:footnote>
  <w:footnote w:id="27">
    <w:p w14:paraId="2D83155B" w14:textId="77777777" w:rsidR="00897DB0" w:rsidRPr="00DD76ED" w:rsidRDefault="00897DB0" w:rsidP="00897DB0">
      <w:pPr>
        <w:pStyle w:val="FootnoteText"/>
      </w:pPr>
      <w:r>
        <w:rPr>
          <w:rStyle w:val="FootnoteReference"/>
        </w:rPr>
        <w:footnoteRef/>
      </w:r>
      <w:r>
        <w:tab/>
        <w:t>Za više detalja vidjeti „Sažeto izvješće o savjetovanju s dionicima”, Prilog 2. Izvješću o procjeni učinka, SWD(2023) 289.</w:t>
      </w:r>
    </w:p>
  </w:footnote>
  <w:footnote w:id="28">
    <w:p w14:paraId="18D71D60" w14:textId="77777777" w:rsidR="00AE2196" w:rsidRPr="00DA3EDB" w:rsidRDefault="00AE2196" w:rsidP="00AE2196">
      <w:pPr>
        <w:pStyle w:val="FootnoteText"/>
      </w:pPr>
      <w:r>
        <w:rPr>
          <w:rStyle w:val="FootnoteReference"/>
        </w:rPr>
        <w:footnoteRef/>
      </w:r>
      <w:r>
        <w:tab/>
        <w:t>SWD (2023) 289.</w:t>
      </w:r>
    </w:p>
  </w:footnote>
  <w:footnote w:id="29">
    <w:p w14:paraId="0F8EB323" w14:textId="77777777" w:rsidR="006949C1" w:rsidRPr="005F0654" w:rsidRDefault="006949C1">
      <w:pPr>
        <w:pStyle w:val="FootnoteText"/>
      </w:pPr>
      <w:r>
        <w:rPr>
          <w:rStyle w:val="FootnoteReference"/>
        </w:rPr>
        <w:footnoteRef/>
      </w:r>
      <w:r>
        <w:tab/>
        <w:t>Različita su mišljenja o opciji spajanja europske parkirne karte i nove europske iskaznice za osobe s invaliditetom. Države članice i organizacije civilnog društva koje zastupaju osobe s invaliditetom čvrstog su uvjerenja da se europska parkirna karta ne bi trebala spojiti s novom europskom iskaznicom za osobe s invaliditetom. Za razliku od toga pojedinačni ispitanici u javnom savjetovanju složili su se da bi europsku parkirnu kartu trebalo uključiti u novu europsku iskaznicu za osobe s invaliditetom, vjerojatno jer su „jedinstvenu iskaznicu” pogrešno protumačili kao „jedinstveni pravni instrument”.</w:t>
      </w:r>
    </w:p>
  </w:footnote>
  <w:footnote w:id="30">
    <w:p w14:paraId="707AEF39" w14:textId="77777777" w:rsidR="00AE2196" w:rsidRPr="00011CCD" w:rsidRDefault="00AE2196" w:rsidP="00AE2196">
      <w:pPr>
        <w:pStyle w:val="FootnoteText"/>
      </w:pPr>
      <w:r>
        <w:rPr>
          <w:rStyle w:val="FootnoteReference"/>
        </w:rPr>
        <w:footnoteRef/>
      </w:r>
      <w:r>
        <w:tab/>
        <w:t>To bi s vremenom stvorilo dodatna odstupanja u standardnom obrascu (fizičke i/ili digitalne) iskaznice/karte i povezane poteškoće u njihovu priznavanju i upotrebi, kao i veliku nesigurnost za osobe s invaliditetom.</w:t>
      </w:r>
    </w:p>
  </w:footnote>
  <w:footnote w:id="31">
    <w:p w14:paraId="37384FAD" w14:textId="77777777" w:rsidR="00AE2196" w:rsidRPr="00011CCD" w:rsidRDefault="00AE2196" w:rsidP="00AE2196">
      <w:pPr>
        <w:pStyle w:val="FootnoteText"/>
      </w:pPr>
      <w:r>
        <w:rPr>
          <w:rStyle w:val="FootnoteReference"/>
        </w:rPr>
        <w:footnoteRef/>
      </w:r>
      <w:r>
        <w:tab/>
        <w:t>To bi stvorilo veliko administrativno opterećenje i ne bi riješilo temeljno pitanje jednakog postupanja prema osobama s invaliditetom bez obzira na to gdje se provodi procjena invaliditeta.</w:t>
      </w:r>
    </w:p>
  </w:footnote>
  <w:footnote w:id="32">
    <w:p w14:paraId="06555DF8" w14:textId="77777777" w:rsidR="00AE2196" w:rsidRPr="009C0009" w:rsidRDefault="00AE2196" w:rsidP="00AE2196">
      <w:pPr>
        <w:pStyle w:val="FootnoteText"/>
        <w:rPr>
          <w:lang w:val="fr-FR"/>
        </w:rPr>
      </w:pPr>
      <w:r>
        <w:rPr>
          <w:rStyle w:val="FootnoteReference"/>
        </w:rPr>
        <w:footnoteRef/>
      </w:r>
      <w:r w:rsidRPr="009C0009">
        <w:rPr>
          <w:lang w:val="fr-FR"/>
        </w:rPr>
        <w:tab/>
        <w:t>To bi nadilazilo nadležnost EU-a.</w:t>
      </w:r>
    </w:p>
  </w:footnote>
  <w:footnote w:id="33">
    <w:p w14:paraId="14029677" w14:textId="77777777" w:rsidR="00AE2196" w:rsidRPr="009C0009" w:rsidRDefault="00AE2196" w:rsidP="00AE2196">
      <w:pPr>
        <w:pStyle w:val="FootnoteText"/>
        <w:rPr>
          <w:lang w:val="fr-FR"/>
        </w:rPr>
      </w:pPr>
      <w:r>
        <w:rPr>
          <w:rStyle w:val="FootnoteReference"/>
        </w:rPr>
        <w:footnoteRef/>
      </w:r>
      <w:r w:rsidRPr="009C0009">
        <w:rPr>
          <w:lang w:val="fr-FR"/>
        </w:rPr>
        <w:tab/>
        <w:t>Vidjeti prethodnu bilješku.</w:t>
      </w:r>
    </w:p>
  </w:footnote>
  <w:footnote w:id="34">
    <w:p w14:paraId="4252FC84" w14:textId="77777777" w:rsidR="00643D91" w:rsidRPr="009C0009" w:rsidRDefault="00643D91">
      <w:pPr>
        <w:pStyle w:val="FootnoteText"/>
        <w:rPr>
          <w:lang w:val="fr-FR"/>
        </w:rPr>
      </w:pPr>
      <w:r>
        <w:rPr>
          <w:rStyle w:val="FootnoteReference"/>
        </w:rPr>
        <w:footnoteRef/>
      </w:r>
      <w:r w:rsidRPr="009C0009">
        <w:rPr>
          <w:lang w:val="fr-FR"/>
        </w:rPr>
        <w:tab/>
        <w:t>Za više detalja vidjeti 6. poglavlje „Koji su učinci opcija politike?” i Prilog 5. „Provjera konkurentnosti”, Izvješće o procjeni učinka, SWD(2023) 289.</w:t>
      </w:r>
    </w:p>
  </w:footnote>
  <w:footnote w:id="35">
    <w:p w14:paraId="04AE3105" w14:textId="77777777" w:rsidR="00D57F6A" w:rsidRPr="009C0009" w:rsidRDefault="00D57F6A">
      <w:pPr>
        <w:pStyle w:val="FootnoteText"/>
        <w:rPr>
          <w:lang w:val="fr-FR"/>
        </w:rPr>
      </w:pPr>
      <w:r>
        <w:rPr>
          <w:rStyle w:val="FootnoteReference"/>
        </w:rPr>
        <w:footnoteRef/>
      </w:r>
      <w:r w:rsidRPr="009C0009">
        <w:rPr>
          <w:lang w:val="fr-FR"/>
        </w:rPr>
        <w:tab/>
        <w:t>Budući da postoje samo agregirani podaci, u ovoj fazi nažalost nije moguće odrediti utjecaj na rodnu ravnopravnost.</w:t>
      </w:r>
    </w:p>
  </w:footnote>
  <w:footnote w:id="36">
    <w:p w14:paraId="299B30DC" w14:textId="77777777" w:rsidR="000127F3" w:rsidRPr="009C0009" w:rsidRDefault="000127F3" w:rsidP="000127F3">
      <w:pPr>
        <w:pStyle w:val="FootnoteText"/>
        <w:rPr>
          <w:lang w:val="fr-FR"/>
        </w:rPr>
      </w:pPr>
      <w:r>
        <w:rPr>
          <w:rStyle w:val="FootnoteReference"/>
        </w:rPr>
        <w:footnoteRef/>
      </w:r>
      <w:r w:rsidRPr="009C0009">
        <w:rPr>
          <w:lang w:val="fr-FR"/>
        </w:rPr>
        <w:tab/>
        <w:t xml:space="preserve">Uredba (EU) 2016/679 Europskog parlamenta i Vijeća od 27. travnja 2016. o </w:t>
      </w:r>
    </w:p>
    <w:p w14:paraId="41AE298F" w14:textId="77777777" w:rsidR="000127F3" w:rsidRPr="009C0009" w:rsidRDefault="000127F3" w:rsidP="000127F3">
      <w:pPr>
        <w:pStyle w:val="FootnoteText"/>
        <w:ind w:firstLine="0"/>
        <w:rPr>
          <w:lang w:val="fr-FR"/>
        </w:rPr>
      </w:pPr>
      <w:r w:rsidRPr="009C0009">
        <w:rPr>
          <w:lang w:val="fr-FR"/>
        </w:rPr>
        <w:t xml:space="preserve">zaštiti pojedinaca u vezi s obradom osobnih podataka i o slobodnom kretanju </w:t>
      </w:r>
    </w:p>
    <w:p w14:paraId="517D3148" w14:textId="77777777" w:rsidR="000127F3" w:rsidRPr="009C0009" w:rsidRDefault="000127F3" w:rsidP="000127F3">
      <w:pPr>
        <w:pStyle w:val="FootnoteText"/>
        <w:ind w:firstLine="0"/>
        <w:rPr>
          <w:lang w:val="fr-FR"/>
        </w:rPr>
      </w:pPr>
      <w:r w:rsidRPr="009C0009">
        <w:rPr>
          <w:lang w:val="fr-FR"/>
        </w:rPr>
        <w:t xml:space="preserve">takvih podataka te o stavljanju izvan snage Direktive 95/46/EZ (Opća uredba o zaštiti podataka) (SL L 119, 4.5.2016., </w:t>
      </w:r>
    </w:p>
    <w:p w14:paraId="4AD88B4B" w14:textId="77777777" w:rsidR="000127F3" w:rsidRPr="005F0654" w:rsidRDefault="000127F3" w:rsidP="000127F3">
      <w:pPr>
        <w:pStyle w:val="FootnoteText"/>
        <w:ind w:firstLine="0"/>
      </w:pPr>
      <w:r>
        <w:t>str. 1.).</w:t>
      </w:r>
    </w:p>
  </w:footnote>
  <w:footnote w:id="37">
    <w:p w14:paraId="7064AAEA" w14:textId="1B76C7D7" w:rsidR="00E859DB" w:rsidRPr="00CA5179" w:rsidRDefault="00E859DB" w:rsidP="00CA5179">
      <w:pPr>
        <w:pStyle w:val="FootnoteText"/>
      </w:pPr>
      <w:r>
        <w:rPr>
          <w:rStyle w:val="FootnoteReference"/>
        </w:rPr>
        <w:footnoteRef/>
      </w:r>
      <w:r>
        <w:tab/>
        <w:t>SL C , , str. .</w:t>
      </w:r>
    </w:p>
  </w:footnote>
  <w:footnote w:id="38">
    <w:p w14:paraId="60FDB7B6" w14:textId="62CF3229" w:rsidR="00E859DB" w:rsidRPr="00CA5179" w:rsidRDefault="00E859DB" w:rsidP="00CA5179">
      <w:pPr>
        <w:pStyle w:val="FootnoteText"/>
      </w:pPr>
      <w:r>
        <w:rPr>
          <w:rStyle w:val="FootnoteReference"/>
        </w:rPr>
        <w:footnoteRef/>
      </w:r>
      <w:r>
        <w:tab/>
        <w:t>SL C , , str. .</w:t>
      </w:r>
    </w:p>
  </w:footnote>
  <w:footnote w:id="39">
    <w:p w14:paraId="007D9FC1" w14:textId="77777777" w:rsidR="0078229C" w:rsidRPr="008C17F5" w:rsidRDefault="0078229C" w:rsidP="0078229C">
      <w:pPr>
        <w:pStyle w:val="FootnoteText"/>
      </w:pPr>
      <w:r>
        <w:rPr>
          <w:rStyle w:val="FootnoteReference"/>
        </w:rPr>
        <w:footnoteRef/>
      </w:r>
      <w:r>
        <w:tab/>
        <w:t>Odluka Vijeća 2010/48/EZ od 26. studenoga 2009. o sklapanju Konvencije Ujedinjenih naroda o pravima osoba s invaliditetom od strane Europske zajednice, SL L 23, 27.1.2010., str. 35.</w:t>
      </w:r>
    </w:p>
  </w:footnote>
  <w:footnote w:id="40">
    <w:p w14:paraId="6E667265" w14:textId="77777777" w:rsidR="0078229C" w:rsidRPr="000829C1" w:rsidRDefault="0078229C" w:rsidP="0078229C">
      <w:pPr>
        <w:pStyle w:val="FootnoteText"/>
      </w:pPr>
      <w:r>
        <w:rPr>
          <w:rStyle w:val="FootnoteReference"/>
        </w:rPr>
        <w:footnoteRef/>
      </w:r>
      <w:r>
        <w:tab/>
        <w:t>Međuinstitucijski proglas o europskom stupu socijalnih prava, SL C 428, 13.12.2017., str. 10.</w:t>
      </w:r>
    </w:p>
  </w:footnote>
  <w:footnote w:id="41">
    <w:p w14:paraId="6B3F913D" w14:textId="77777777" w:rsidR="0038721F" w:rsidRPr="0038721F" w:rsidRDefault="0038721F">
      <w:pPr>
        <w:pStyle w:val="FootnoteText"/>
      </w:pPr>
      <w:r>
        <w:rPr>
          <w:rStyle w:val="FootnoteReference"/>
        </w:rPr>
        <w:footnoteRef/>
      </w:r>
      <w:r>
        <w:tab/>
        <w:t>Direktiva (EU) 2019/882 Europskog parlamenta i Vijeća od 17. travnja 2019. o zahtjevima za pristupačnost proizvoda i usluga (SL L 150, 7.6.2019., str. 70.).</w:t>
      </w:r>
    </w:p>
  </w:footnote>
  <w:footnote w:id="42">
    <w:p w14:paraId="00B3C2FB" w14:textId="77777777" w:rsidR="0024303E" w:rsidRPr="000F26E1" w:rsidRDefault="0024303E">
      <w:pPr>
        <w:pStyle w:val="FootnoteText"/>
      </w:pPr>
      <w:r>
        <w:rPr>
          <w:rStyle w:val="FootnoteReference"/>
        </w:rPr>
        <w:footnoteRef/>
      </w:r>
      <w:r>
        <w:tab/>
        <w:t>Osim toga, Direktivom (EU) 2016/2102 o pristupačnosti internetskih stranica i mobilnih aplikacija tijela javnog sektora nastoji se poboljšati pristupačnost internetskih stranica i mobilnih aplikacija tijela javnog sektora.</w:t>
      </w:r>
    </w:p>
  </w:footnote>
  <w:footnote w:id="43">
    <w:p w14:paraId="0B4BC75E" w14:textId="77777777" w:rsidR="0078229C" w:rsidRPr="000679D5" w:rsidRDefault="0078229C" w:rsidP="0078229C">
      <w:pPr>
        <w:pStyle w:val="FootnoteText"/>
      </w:pPr>
      <w:r>
        <w:rPr>
          <w:rStyle w:val="FootnoteReference"/>
        </w:rPr>
        <w:footnoteRef/>
      </w:r>
      <w:r>
        <w:tab/>
        <w:t>Uredba (EZ) br. 1107/2006 Europskog parlamenta i Vijeća od 5. srpnja 2006. o pravima osoba s invaliditetom i osoba smanjene pokretljivosti u zračnom prijevozu, SL L 204, 26.7.2006., str. 1.</w:t>
      </w:r>
    </w:p>
  </w:footnote>
  <w:footnote w:id="44">
    <w:p w14:paraId="752C0CC1" w14:textId="77777777" w:rsidR="0078229C" w:rsidRPr="000679D5" w:rsidRDefault="0078229C" w:rsidP="0078229C">
      <w:pPr>
        <w:pStyle w:val="FootnoteText"/>
      </w:pPr>
      <w:r>
        <w:rPr>
          <w:rStyle w:val="FootnoteReference"/>
        </w:rPr>
        <w:footnoteRef/>
      </w:r>
      <w:r>
        <w:tab/>
      </w:r>
      <w:bookmarkStart w:id="9" w:name="_Hlk141979829"/>
      <w:r>
        <w:t>Uredba (EU) 2021/782 Europskog parlamenta i Vijeća od 29. travnja 2021. o pravima i obvezama putnika u željezničkom prijevozu, SL L 172, 17.5.2021., str. 1.</w:t>
      </w:r>
      <w:bookmarkEnd w:id="9"/>
    </w:p>
  </w:footnote>
  <w:footnote w:id="45">
    <w:p w14:paraId="35F248E1" w14:textId="77777777" w:rsidR="0078229C" w:rsidRPr="000679D5" w:rsidRDefault="0078229C" w:rsidP="0078229C">
      <w:pPr>
        <w:pStyle w:val="FootnoteText"/>
      </w:pPr>
      <w:r>
        <w:rPr>
          <w:rStyle w:val="FootnoteReference"/>
        </w:rPr>
        <w:footnoteRef/>
      </w:r>
      <w:r>
        <w:tab/>
        <w:t>Uredba (EU) br. 1177/2010 Europskog parlamenta i Vijeća od 24. studenoga 2010. o pravima putnika kada putuju morem ili unutarnjim plovnim putovima i o izmjeni Uredbe (EZ) br. 2006/2004, SL L 334, 17.12.2010., str. 1.</w:t>
      </w:r>
    </w:p>
  </w:footnote>
  <w:footnote w:id="46">
    <w:p w14:paraId="2AE2AC3E" w14:textId="77777777" w:rsidR="0078229C" w:rsidRPr="000679D5" w:rsidRDefault="0078229C" w:rsidP="0078229C">
      <w:pPr>
        <w:pStyle w:val="FootnoteText"/>
      </w:pPr>
      <w:r>
        <w:rPr>
          <w:rStyle w:val="FootnoteReference"/>
        </w:rPr>
        <w:footnoteRef/>
      </w:r>
      <w:r>
        <w:tab/>
        <w:t>Uredba (EU) br. 181/2011 Europskog parlamenta i Vijeća od 16. veljače 2011. o pravima putnika u autobusnom prijevozu i izmjeni Uredbe (EZ) br. 2006/2004 (SL L 55, 28.2.2011., str. 1.).</w:t>
      </w:r>
    </w:p>
  </w:footnote>
  <w:footnote w:id="47">
    <w:p w14:paraId="54F68B75" w14:textId="77777777" w:rsidR="0078229C" w:rsidRDefault="0078229C" w:rsidP="0078229C">
      <w:pPr>
        <w:pStyle w:val="FootnoteText"/>
      </w:pPr>
      <w:r>
        <w:rPr>
          <w:rStyle w:val="FootnoteReference"/>
        </w:rPr>
        <w:footnoteRef/>
      </w:r>
      <w:r>
        <w:tab/>
        <w:t xml:space="preserve"> Direktiva (EU) 2022/362 Europskog parlamenta i Vijeća od 24. veljače 2022. o izmjeni direktiva 1999/62/EZ, 1999/37/EZ i (EU) 2019/520 u pogledu naknada koje se naplaćuju za korištenje određenih infrastruktura za vozila.</w:t>
      </w:r>
    </w:p>
  </w:footnote>
  <w:footnote w:id="48">
    <w:p w14:paraId="1150E58B" w14:textId="77777777" w:rsidR="00745C3E" w:rsidRPr="00C07411" w:rsidRDefault="00745C3E" w:rsidP="00745C3E">
      <w:pPr>
        <w:pStyle w:val="FootnoteText"/>
      </w:pPr>
      <w:r>
        <w:rPr>
          <w:rStyle w:val="FootnoteReference"/>
        </w:rPr>
        <w:footnoteRef/>
      </w:r>
      <w:r>
        <w:tab/>
        <w:t xml:space="preserve">Nalazi završnog izvješća koje se temelji na anketi organizacija civilnog društva na razini EU-a; Shaw i Coles, </w:t>
      </w:r>
      <w:r>
        <w:rPr>
          <w:i/>
        </w:rPr>
        <w:t>Disability, holiday making and the tourism industry in the UK:</w:t>
      </w:r>
      <w:r>
        <w:t xml:space="preserve"> </w:t>
      </w:r>
      <w:r>
        <w:rPr>
          <w:i/>
        </w:rPr>
        <w:t>a preliminary survey</w:t>
      </w:r>
      <w:r>
        <w:t xml:space="preserve">, 25(3) Tourism Management (2004.) 397.–403.; Eugénia Lima Devile i Andreia Antunes Moura (2021.), </w:t>
      </w:r>
      <w:r>
        <w:rPr>
          <w:i/>
        </w:rPr>
        <w:t>Travel by People With Physical Disabilities:</w:t>
      </w:r>
      <w:r>
        <w:t xml:space="preserve"> </w:t>
      </w:r>
      <w:r>
        <w:rPr>
          <w:i/>
        </w:rPr>
        <w:t>Constraints and Influences in the Decision-Making Process</w:t>
      </w:r>
      <w:r>
        <w:t>.</w:t>
      </w:r>
    </w:p>
  </w:footnote>
  <w:footnote w:id="49">
    <w:p w14:paraId="6782B765" w14:textId="77777777" w:rsidR="00745C3E" w:rsidRPr="00C07411" w:rsidRDefault="00745C3E" w:rsidP="00745C3E">
      <w:pPr>
        <w:pStyle w:val="FootnoteText"/>
      </w:pPr>
      <w:r>
        <w:rPr>
          <w:rStyle w:val="FootnoteReference"/>
        </w:rPr>
        <w:footnoteRef/>
      </w:r>
      <w:r>
        <w:tab/>
        <w:t xml:space="preserve">McKercher i Darcy (2018.), </w:t>
      </w:r>
      <w:r>
        <w:rPr>
          <w:i/>
        </w:rPr>
        <w:t>Re-conceptualizing barriers to travel by people with disabilities</w:t>
      </w:r>
      <w:r>
        <w:t xml:space="preserve">, Tourism Management Perspectives, 59.–66.  </w:t>
      </w:r>
    </w:p>
  </w:footnote>
  <w:footnote w:id="50">
    <w:p w14:paraId="1CC29CD9" w14:textId="77777777" w:rsidR="00B85DD3" w:rsidRPr="00B85DD3" w:rsidRDefault="00B85DD3" w:rsidP="00B85DD3">
      <w:pPr>
        <w:pStyle w:val="FootnoteText"/>
      </w:pPr>
      <w:r>
        <w:rPr>
          <w:rStyle w:val="FootnoteReference"/>
        </w:rPr>
        <w:footnoteRef/>
      </w:r>
      <w:r>
        <w:tab/>
        <w:t xml:space="preserve">Vidjeti i Završno izvješće studije o procjeni provedbe pilot-mjere u pogledu iskaznice EU-a za osobe s invaliditetom i povezanih pogodnosti, objavljeno u svibnju 2021., </w:t>
      </w:r>
      <w:hyperlink r:id="rId5" w:history="1">
        <w:r>
          <w:rPr>
            <w:rStyle w:val="Hyperlink"/>
          </w:rPr>
          <w:t>https://op.europa.eu/hr/publication-detail/-/publication/4adbe538-0a02-11ec-b5d3-01aa75ed71a1/language-hr</w:t>
        </w:r>
      </w:hyperlink>
    </w:p>
  </w:footnote>
  <w:footnote w:id="51">
    <w:p w14:paraId="7107EDAC" w14:textId="77777777" w:rsidR="006338C0" w:rsidRPr="00E32F20" w:rsidRDefault="006338C0" w:rsidP="006338C0">
      <w:pPr>
        <w:pStyle w:val="FootnoteText"/>
      </w:pPr>
      <w:r>
        <w:rPr>
          <w:rStyle w:val="FootnoteReference"/>
        </w:rPr>
        <w:footnoteRef/>
      </w:r>
      <w:r>
        <w:tab/>
        <w:t>Preporuka Vijeća od 4. lipnja 1998. o parkirnoj karti za osobe s invaliditetom (SL L 167, 12.6.1998., str. 25.), kako je prilagođena Preporukom Vijeća od 3. ožujka 2008. zbog pristupanja Republike Bugarske, Češke Republike, Republike Estonije, Republike Cipra, Republike Latvije, Republike Litve, Republike Mađarske, Republike Malte, Republike Poljske, Rumunjske, Republike Slovenije i Slovačke Republike, SL L 63/43, 7.3.2008.</w:t>
      </w:r>
    </w:p>
  </w:footnote>
  <w:footnote w:id="52">
    <w:p w14:paraId="5835CC34" w14:textId="2ADE05A1" w:rsidR="00890E28" w:rsidRPr="002E2AF7" w:rsidRDefault="00890E28">
      <w:pPr>
        <w:pStyle w:val="FootnoteText"/>
      </w:pPr>
      <w:r>
        <w:rPr>
          <w:rStyle w:val="FootnoteReference"/>
        </w:rPr>
        <w:footnoteRef/>
      </w:r>
      <w:r>
        <w:tab/>
        <w:t>COM(2021) 281 final.</w:t>
      </w:r>
    </w:p>
  </w:footnote>
  <w:footnote w:id="53">
    <w:p w14:paraId="22E7D650" w14:textId="77777777" w:rsidR="00A3697C" w:rsidRPr="00A3697C" w:rsidRDefault="00A3697C">
      <w:pPr>
        <w:pStyle w:val="FootnoteText"/>
      </w:pPr>
      <w:r>
        <w:rPr>
          <w:rStyle w:val="FootnoteReference"/>
        </w:rPr>
        <w:footnoteRef/>
      </w:r>
      <w:r>
        <w:tab/>
        <w:t>Uredba (EU) 2016/679 Europskog parlamenta i Vijeća od 27. travnja 2016. o zaštiti pojedinaca u vezi s obradom osobnih podataka i o slobodnom kretanju takvih podataka te o stavljanju izvan snage Direktive 95/46/EZ (Opća uredba o zaštiti podataka) (SL L 119, 4.5.2016., str. 1.).</w:t>
      </w:r>
    </w:p>
  </w:footnote>
  <w:footnote w:id="54">
    <w:p w14:paraId="3315725C" w14:textId="77777777" w:rsidR="0038721F" w:rsidRPr="0038721F" w:rsidRDefault="0038721F">
      <w:pPr>
        <w:pStyle w:val="FootnoteText"/>
      </w:pPr>
      <w:r>
        <w:rPr>
          <w:rStyle w:val="FootnoteReference"/>
        </w:rPr>
        <w:footnoteRef/>
      </w:r>
      <w:r>
        <w:tab/>
        <w:t>Uredba (EZ) br. 883/2004 Europskog parlamenta i Vijeća od 29. travnja 2004. o koordinaciji sustava socijalne sigurnosti (SL L 166, 30.4.2004., str. 1.).</w:t>
      </w:r>
    </w:p>
  </w:footnote>
  <w:footnote w:id="55">
    <w:p w14:paraId="58D10F35" w14:textId="77777777" w:rsidR="0038721F" w:rsidRPr="00297BF4" w:rsidRDefault="0038721F">
      <w:pPr>
        <w:pStyle w:val="FootnoteText"/>
      </w:pPr>
      <w:r>
        <w:rPr>
          <w:rStyle w:val="FootnoteReference"/>
        </w:rPr>
        <w:footnoteRef/>
      </w:r>
      <w:r>
        <w:tab/>
        <w:t>Uredba (EZ) br. 987/2009 Europskog parlamenta i Vijeća od 16. rujna 2009. o utvrđivanju postupka provedbe Uredbe (EZ) br. 883/2004 o koordinaciji sustava socijalne sigurnosti (SL L 284, 30.10.2009., str. 1.).</w:t>
      </w:r>
    </w:p>
  </w:footnote>
  <w:footnote w:id="56">
    <w:p w14:paraId="674151A6" w14:textId="77777777" w:rsidR="0038721F" w:rsidRPr="00297BF4" w:rsidRDefault="0038721F">
      <w:pPr>
        <w:pStyle w:val="FootnoteText"/>
      </w:pPr>
      <w:r>
        <w:rPr>
          <w:rStyle w:val="FootnoteReference"/>
        </w:rPr>
        <w:footnoteRef/>
      </w:r>
      <w:r>
        <w:tab/>
        <w:t>Direktiva 2004/38/EZ Europskog parlamenta i Vijeća od 29. travnja 2004. o pravu građana Unije i članova njihovih obitelji slobodno se kretati i boraviti na državnom području država članica, o izmjeni Uredbe (EEZ) br. 1612/68 i stavljaju izvan snage direktiva 64/221/EEZ, 68/360/EEZ, 72/194/EEZ, 73/148/EEZ, 75/34/EEZ, 75/35/EEZ, 90/364/EEZ, 90/365/EEZ i 93/96/EEZ, SL L 158, 30.4.2004., str. 77.</w:t>
      </w:r>
    </w:p>
  </w:footnote>
  <w:footnote w:id="57">
    <w:p w14:paraId="4FE62EA3" w14:textId="77777777" w:rsidR="00B7435D" w:rsidRPr="00A4413F" w:rsidRDefault="00B7435D" w:rsidP="00B7435D">
      <w:pPr>
        <w:pStyle w:val="FootnoteText"/>
      </w:pPr>
      <w:r>
        <w:rPr>
          <w:rStyle w:val="FootnoteReference"/>
        </w:rPr>
        <w:footnoteRef/>
      </w:r>
      <w:r>
        <w:tab/>
        <w:t>Uredba (EU) br. 182/2011 Europskog parlamenta i Vijeća od 16. veljače 2011. o utvrđivanju pravila i općih načela u vezi s mehanizmima nadzora država članica nad izvršavanjem provedbenih ovlasti Komisije (SL L 55, 28.2.2011., str. 13.).</w:t>
      </w:r>
    </w:p>
  </w:footnote>
  <w:footnote w:id="58">
    <w:p w14:paraId="4C97FB2E" w14:textId="77777777" w:rsidR="007532ED" w:rsidRPr="00554038" w:rsidRDefault="007532ED" w:rsidP="007532ED">
      <w:pPr>
        <w:pStyle w:val="FootnoteText"/>
      </w:pPr>
      <w:r>
        <w:rPr>
          <w:rStyle w:val="FootnoteReference"/>
        </w:rPr>
        <w:footnoteRef/>
      </w:r>
      <w:r>
        <w:tab/>
        <w:t xml:space="preserve">Preporuka Vijeća od 4. lipnja 1998. (98/376/EZ), SL L 167/25, 12.6.1998., </w:t>
      </w:r>
      <w:bookmarkStart w:id="28" w:name="_Hlk142309886"/>
      <w:r>
        <w:t>kako je prilagođena Preporukom Vijeća od 3. ožujka 2008. zbog pristupanja Republike Bugarske, Češke Republike, Republike Estonije, Republike Cipra, Republike Latvije, Republike Litve, Republike Mađarske, Republike Malte, Republike Poljske, Rumunjske, Republike Slovenije i Slovačke Republike, SL L 63/43, 7.3.2008.</w:t>
      </w:r>
      <w:bookmarkEnd w:id="28"/>
    </w:p>
  </w:footnote>
  <w:footnote w:id="59">
    <w:p w14:paraId="7D8BF6FD" w14:textId="77777777" w:rsidR="003F3C34" w:rsidRDefault="003F3C34" w:rsidP="003F3C34">
      <w:pPr>
        <w:pStyle w:val="FootnoteText"/>
        <w:rPr>
          <w:szCs w:val="24"/>
        </w:rPr>
      </w:pPr>
      <w:r>
        <w:rPr>
          <w:rStyle w:val="FootnoteReference"/>
        </w:rPr>
        <w:footnoteRef/>
      </w:r>
      <w:r>
        <w:tab/>
        <w:t>Kako je navedeno u članku 58. stavku 2. točkama (a) ili (b) Financijske uredbe.</w:t>
      </w:r>
    </w:p>
  </w:footnote>
  <w:footnote w:id="60">
    <w:p w14:paraId="7D8F3B99" w14:textId="77777777" w:rsidR="003F3C34" w:rsidRDefault="003F3C34" w:rsidP="003F3C34">
      <w:pPr>
        <w:pStyle w:val="FootnoteText"/>
        <w:jc w:val="left"/>
        <w:rPr>
          <w:szCs w:val="24"/>
        </w:rPr>
      </w:pPr>
      <w:r>
        <w:rPr>
          <w:rStyle w:val="FootnoteReference"/>
        </w:rPr>
        <w:footnoteRef/>
      </w:r>
      <w:r>
        <w:tab/>
        <w:t xml:space="preserve">Informacije o načinima izvršenja proračuna i upućivanja na Financijsku uredbu dostupni su na internetskim stranicama BUDGpedia: </w:t>
      </w:r>
      <w:hyperlink r:id="rId6" w:history="1">
        <w:r>
          <w:rPr>
            <w:rStyle w:val="Hyperlink"/>
          </w:rPr>
          <w:t>https://myintracomm.ec.europa.eu/corp/budget/financial-rules/budget-implementation/Pages/implementation-methods.aspx</w:t>
        </w:r>
      </w:hyperlink>
    </w:p>
  </w:footnote>
  <w:footnote w:id="61">
    <w:p w14:paraId="7AEE47CD" w14:textId="77777777" w:rsidR="003F3C34" w:rsidRDefault="003F3C34" w:rsidP="003F3C34">
      <w:pPr>
        <w:pStyle w:val="FootnoteText"/>
        <w:rPr>
          <w:szCs w:val="24"/>
        </w:rPr>
      </w:pPr>
      <w:r>
        <w:rPr>
          <w:rStyle w:val="FootnoteReference"/>
        </w:rPr>
        <w:footnoteRef/>
      </w:r>
      <w:r>
        <w:tab/>
        <w:t>Dif. = diferencirana odobrena sredstva; nedif. = nediferencirana odobrena sredstva.</w:t>
      </w:r>
    </w:p>
  </w:footnote>
  <w:footnote w:id="62">
    <w:p w14:paraId="224580FB" w14:textId="77777777" w:rsidR="003F3C34" w:rsidRDefault="003F3C34" w:rsidP="003F3C34">
      <w:pPr>
        <w:pStyle w:val="FootnoteText"/>
        <w:rPr>
          <w:szCs w:val="24"/>
        </w:rPr>
      </w:pPr>
      <w:r>
        <w:rPr>
          <w:rStyle w:val="FootnoteReference"/>
        </w:rPr>
        <w:footnoteRef/>
      </w:r>
      <w:r>
        <w:tab/>
        <w:t xml:space="preserve">EFTA: Europsko udruženje slobodne trgovine. </w:t>
      </w:r>
    </w:p>
  </w:footnote>
  <w:footnote w:id="63">
    <w:p w14:paraId="5F71DA40" w14:textId="77777777" w:rsidR="003F3C34" w:rsidRDefault="003F3C34" w:rsidP="003F3C34">
      <w:pPr>
        <w:pStyle w:val="FootnoteText"/>
        <w:rPr>
          <w:szCs w:val="24"/>
        </w:rPr>
      </w:pPr>
      <w:r>
        <w:rPr>
          <w:rStyle w:val="FootnoteReference"/>
        </w:rPr>
        <w:footnoteRef/>
      </w:r>
      <w:r>
        <w:tab/>
        <w:t>Zemlje kandidatkinje i, ako je primjenjivo, potencijalni kandidati sa zapadnog Balkana.</w:t>
      </w:r>
    </w:p>
  </w:footnote>
  <w:footnote w:id="64">
    <w:p w14:paraId="2DCEA484" w14:textId="77777777" w:rsidR="003F3C34" w:rsidRPr="001A68DA" w:rsidRDefault="003F3C34" w:rsidP="003F3C34">
      <w:pPr>
        <w:pStyle w:val="FootnoteText"/>
        <w:rPr>
          <w:sz w:val="18"/>
          <w:szCs w:val="18"/>
        </w:rPr>
      </w:pPr>
      <w:r>
        <w:rPr>
          <w:rStyle w:val="FootnoteReference"/>
        </w:rPr>
        <w:footnoteRef/>
      </w:r>
      <w:r>
        <w:tab/>
      </w:r>
      <w:r>
        <w:rPr>
          <w:sz w:val="18"/>
        </w:rPr>
        <w:t>Prema službenoj proračunskoj nomenklaturi.</w:t>
      </w:r>
    </w:p>
  </w:footnote>
  <w:footnote w:id="65">
    <w:p w14:paraId="6B8A1891" w14:textId="77777777" w:rsidR="003F3C34" w:rsidRDefault="003F3C34" w:rsidP="003F3C34">
      <w:pPr>
        <w:pStyle w:val="FootnoteText"/>
        <w:rPr>
          <w:szCs w:val="24"/>
        </w:rPr>
      </w:pPr>
      <w:r>
        <w:rPr>
          <w:rStyle w:val="FootnoteReference"/>
        </w:rPr>
        <w:footnoteRef/>
      </w:r>
      <w:r>
        <w:tab/>
      </w:r>
      <w:r>
        <w:rPr>
          <w:sz w:val="18"/>
        </w:rPr>
        <w:t>Tehnička i/ili administrativna pomoć i rashodi za potporu provedbi programa i/ili djelovanja EU-a (prijašnje linije „BA”), neizravno istraživanje, izravno istraživanje.</w:t>
      </w:r>
    </w:p>
  </w:footnote>
  <w:footnote w:id="66">
    <w:p w14:paraId="2BDD70DB" w14:textId="77777777" w:rsidR="003F3C34" w:rsidRDefault="003F3C34" w:rsidP="003F3C34">
      <w:pPr>
        <w:pStyle w:val="FootnoteText"/>
        <w:rPr>
          <w:szCs w:val="24"/>
        </w:rPr>
      </w:pPr>
      <w:r>
        <w:rPr>
          <w:rStyle w:val="FootnoteReference"/>
        </w:rPr>
        <w:footnoteRef/>
      </w:r>
      <w:r>
        <w:tab/>
        <w:t>Rezultati se odnose na proizvode i usluge koji se isporučuju (npr.: broj financiranih studentskih razmjena, kilometri izgrađenih prometnica itd.).</w:t>
      </w:r>
    </w:p>
  </w:footnote>
  <w:footnote w:id="67">
    <w:p w14:paraId="693F56E6" w14:textId="77777777" w:rsidR="003F3C34" w:rsidRDefault="003F3C34" w:rsidP="003F3C34">
      <w:pPr>
        <w:pStyle w:val="FootnoteText"/>
      </w:pPr>
      <w:r>
        <w:rPr>
          <w:rStyle w:val="FootnoteReference"/>
        </w:rPr>
        <w:footnoteRef/>
      </w:r>
      <w:r>
        <w:tab/>
        <w:t>Planirane aktivnosti doprinijet će ostvarenju obaju specifičnih ciljeva.</w:t>
      </w:r>
    </w:p>
  </w:footnote>
  <w:footnote w:id="68">
    <w:p w14:paraId="3DF5B17D" w14:textId="77777777" w:rsidR="003F3C34" w:rsidRDefault="003F3C34" w:rsidP="003F3C34">
      <w:pPr>
        <w:pStyle w:val="FootnoteText"/>
        <w:rPr>
          <w:szCs w:val="24"/>
        </w:rPr>
      </w:pPr>
      <w:r>
        <w:rPr>
          <w:rStyle w:val="FootnoteReference"/>
        </w:rPr>
        <w:footnoteRef/>
      </w:r>
      <w:r>
        <w:tab/>
      </w:r>
      <w:r>
        <w:rPr>
          <w:sz w:val="18"/>
        </w:rPr>
        <w:t>Tehnička i/ili administrativna pomoć i rashodi za potporu provedbi programa i/ili djelovanja EU-a (prijašnje linije „BA”), neizravno istraživanje, izravno istraživanje.</w:t>
      </w:r>
    </w:p>
  </w:footnote>
  <w:footnote w:id="69">
    <w:p w14:paraId="15A6CC86" w14:textId="77777777" w:rsidR="003F3C34" w:rsidRDefault="003F3C34" w:rsidP="003F3C34">
      <w:pPr>
        <w:pStyle w:val="FootnoteText"/>
        <w:rPr>
          <w:szCs w:val="24"/>
        </w:rPr>
      </w:pPr>
      <w:r>
        <w:rPr>
          <w:rStyle w:val="FootnoteReference"/>
        </w:rPr>
        <w:footnoteRef/>
      </w:r>
      <w:r>
        <w:tab/>
        <w:t xml:space="preserve">UO = ugovorno osoblje; LO = lokalno osoblje; UNS = upućeni nacionalni stručnjaci; UsO = ustupljeno osoblje; MSD = mladi stručnjaci u delegacijama. </w:t>
      </w:r>
    </w:p>
  </w:footnote>
  <w:footnote w:id="70">
    <w:p w14:paraId="3B00E86D" w14:textId="77777777" w:rsidR="003F3C34" w:rsidRDefault="003F3C34" w:rsidP="003F3C34">
      <w:pPr>
        <w:pStyle w:val="FootnoteText"/>
        <w:rPr>
          <w:szCs w:val="24"/>
        </w:rPr>
      </w:pPr>
      <w:r>
        <w:rPr>
          <w:rStyle w:val="FootnoteReference"/>
        </w:rPr>
        <w:footnoteRef/>
      </w:r>
      <w:r>
        <w:tab/>
        <w:t>U okviru gornje granice za vanjsko osoblje iz odobrenih sredstava za poslovanje (prijašnje linije „BA”).</w:t>
      </w:r>
    </w:p>
  </w:footnote>
  <w:footnote w:id="71">
    <w:p w14:paraId="2CE17CD5" w14:textId="77777777" w:rsidR="003F3C34" w:rsidRDefault="003F3C34" w:rsidP="003F3C34">
      <w:pPr>
        <w:pStyle w:val="FootnoteText"/>
        <w:rPr>
          <w:szCs w:val="24"/>
        </w:rPr>
      </w:pPr>
      <w:r>
        <w:rPr>
          <w:rStyle w:val="FootnoteReference"/>
        </w:rPr>
        <w:footnoteRef/>
      </w:r>
      <w:r>
        <w:tab/>
        <w:t>Kad je riječ o tradicionalnim vlastitim sredstvima (carine, pristojbe na šećer), navedeni iznosi moraju biti neto iznosi, to jest bruto iznosi nakon odbitka od 20 % na ime troškova naplate.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721F2" w14:textId="77777777" w:rsidR="00396AE5" w:rsidRPr="00396AE5" w:rsidRDefault="00396AE5" w:rsidP="00396AE5">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01855" w14:textId="77777777" w:rsidR="00396AE5" w:rsidRPr="00396AE5" w:rsidRDefault="00396AE5" w:rsidP="00396AE5">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611E2" w14:textId="77777777" w:rsidR="00C43892" w:rsidRPr="00C43892" w:rsidRDefault="00C43892" w:rsidP="00396A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9D65A" w14:textId="77777777" w:rsidR="00396AE5" w:rsidRPr="00396AE5" w:rsidRDefault="00396AE5" w:rsidP="00396A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5F507" w14:textId="77777777" w:rsidR="00396AE5" w:rsidRPr="00C43892" w:rsidRDefault="00396AE5" w:rsidP="00DE20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B19E" w14:textId="77777777" w:rsidR="00396AE5" w:rsidRPr="00396AE5" w:rsidRDefault="00396AE5" w:rsidP="00396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14AD79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234FC9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094A97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8F4B03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C34DFB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78A21E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37602D4"/>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8" w15:restartNumberingAfterBreak="0">
    <w:nsid w:val="17D8733A"/>
    <w:multiLevelType w:val="hybridMultilevel"/>
    <w:tmpl w:val="6DC6A894"/>
    <w:lvl w:ilvl="0" w:tplc="95CC2F84">
      <w:start w:val="1"/>
      <w:numFmt w:val="bullet"/>
      <w:pStyle w:val="Nosrmal"/>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start w:val="1"/>
      <w:numFmt w:val="bullet"/>
      <w:lvlText w:val=""/>
      <w:lvlJc w:val="left"/>
      <w:pPr>
        <w:ind w:left="7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9" w15:restartNumberingAfterBreak="0">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1F06166"/>
    <w:multiLevelType w:val="multilevel"/>
    <w:tmpl w:val="C08066D2"/>
    <w:name w:val="0,3405529"/>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7"/>
    <w:lvlOverride w:ilvl="0">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3"/>
  </w:num>
  <w:num w:numId="26">
    <w:abstractNumId w:val="19"/>
  </w:num>
  <w:num w:numId="27">
    <w:abstractNumId w:val="18"/>
  </w:num>
  <w:num w:numId="28">
    <w:abstractNumId w:val="26"/>
  </w:num>
  <w:num w:numId="29">
    <w:abstractNumId w:val="2"/>
  </w:num>
  <w:num w:numId="30">
    <w:abstractNumId w:val="1"/>
  </w:num>
  <w:num w:numId="31">
    <w:abstractNumId w:val="0"/>
  </w:num>
  <w:num w:numId="32">
    <w:abstractNumId w:val="14"/>
    <w:lvlOverride w:ilvl="0">
      <w:startOverride w:val="1"/>
    </w:lvlOverride>
  </w:num>
  <w:num w:numId="33">
    <w:abstractNumId w:val="23"/>
  </w:num>
  <w:num w:numId="34">
    <w:abstractNumId w:val="14"/>
  </w:num>
  <w:num w:numId="35">
    <w:abstractNumId w:val="25"/>
  </w:num>
  <w:num w:numId="36">
    <w:abstractNumId w:val="12"/>
  </w:num>
  <w:num w:numId="37">
    <w:abstractNumId w:val="15"/>
  </w:num>
  <w:num w:numId="38">
    <w:abstractNumId w:val="16"/>
  </w:num>
  <w:num w:numId="39">
    <w:abstractNumId w:val="10"/>
  </w:num>
  <w:num w:numId="40">
    <w:abstractNumId w:val="24"/>
  </w:num>
  <w:num w:numId="41">
    <w:abstractNumId w:val="9"/>
  </w:num>
  <w:num w:numId="42">
    <w:abstractNumId w:val="17"/>
  </w:num>
  <w:num w:numId="43">
    <w:abstractNumId w:val="21"/>
  </w:num>
  <w:num w:numId="44">
    <w:abstractNumId w:val="22"/>
  </w:num>
  <w:num w:numId="45">
    <w:abstractNumId w:val="11"/>
  </w:num>
  <w:num w:numId="46">
    <w:abstractNumId w:val="20"/>
  </w:num>
  <w:num w:numId="47">
    <w:abstractNumId w:val="2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9-18 18:36:3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77B2A87A-766B-42FA-BA17-0B66741BCDC9"/>
    <w:docVar w:name="LW_COVERPAGE_TYPE" w:val="1"/>
    <w:docVar w:name="LW_CROSSREFERENCE" w:val="{SEC(2023) 305 final} - {SWD(2023) 289 final} - {SWD(2023) 290 final} - {SWD(2023) 291 final}"/>
    <w:docVar w:name="LW_DocType" w:val="COM"/>
    <w:docVar w:name="LW_EMISSION" w:val="6.9.2023."/>
    <w:docVar w:name="LW_EMISSION_ISODATE" w:val="2023-09-06"/>
    <w:docVar w:name="LW_EMISSION_LOCATION" w:val="BRX"/>
    <w:docVar w:name="LW_EMISSION_PREFIX" w:val="Bruxelles, "/>
    <w:docVar w:name="LW_EMISSION_SUFFIX" w:val="&lt;EMPTY&gt;"/>
    <w:docVar w:name="LW_ID_DOCMODEL" w:val="SJ-024"/>
    <w:docVar w:name="LW_ID_DOCSIGNATURE" w:val="SJ-024"/>
    <w:docVar w:name="LW_ID_DOCSTRUCTURE" w:val="COM/PL/ORG"/>
    <w:docVar w:name="LW_ID_DOCTYPE" w:val="SJ-024"/>
    <w:docVar w:name="LW_ID_STATUT" w:val="SJ-024"/>
    <w:docVar w:name="LW_INSERT_EXP.MOTIFS.NEW" w:val="1"/>
    <w:docVar w:name="LW_INTERETEEE.CP" w:val="(Tekst značajan za EGP)"/>
    <w:docVar w:name="LW_LANGUE" w:val="HR"/>
    <w:docVar w:name="LW_LEVEL_OF_SENSITIVITY" w:val="Standard treatment"/>
    <w:docVar w:name="LW_NOM.INST" w:val="EUROPSKA KOMISIJA"/>
    <w:docVar w:name="LW_NOM.INST_JOINTDOC" w:val="&lt;EMPTY&gt;"/>
    <w:docVar w:name="LW_PART_NBR" w:val="1"/>
    <w:docVar w:name="LW_PART_NBR_TOTAL" w:val="1"/>
    <w:docVar w:name="LW_REF.II.NEW.CP" w:val="COD"/>
    <w:docVar w:name="LW_REF.II.NEW.CP_NUMBER" w:val="0311"/>
    <w:docVar w:name="LW_REF.II.NEW.CP_YEAR" w:val="2023"/>
    <w:docVar w:name="LW_REF.INST.NEW" w:val="COM"/>
    <w:docVar w:name="LW_REF.INST.NEW_ADOPTED" w:val="final"/>
    <w:docVar w:name="LW_REF.INST.NEW_TEXT" w:val="(2023) 51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ijedlog"/>
    <w:docVar w:name="LW_SUPERTITRE" w:val="&lt;UNUSED&gt;"/>
    <w:docVar w:name="LW_TITRE.OBJ.CP" w:val="o uspostavi europske iskaznice za osobe s invaliditetom i europske parkirne karte za osobe s invaliditetom  _x000b_"/>
    <w:docVar w:name="LW_TYPE.DOC.CP" w:val="DIREKTIVE EUROPSKOG PARLAMENTA I VIJEĆA"/>
    <w:docVar w:name="LwApiVersions" w:val="LW4CoDe 1.23.2.0; LW 8.0, Build 20211117"/>
  </w:docVars>
  <w:rsids>
    <w:rsidRoot w:val="00E859DB"/>
    <w:rsid w:val="00004ED4"/>
    <w:rsid w:val="000079FB"/>
    <w:rsid w:val="0001096E"/>
    <w:rsid w:val="000126E8"/>
    <w:rsid w:val="000127F3"/>
    <w:rsid w:val="00014554"/>
    <w:rsid w:val="00014A2A"/>
    <w:rsid w:val="000166B6"/>
    <w:rsid w:val="000207A9"/>
    <w:rsid w:val="000262DE"/>
    <w:rsid w:val="00037B08"/>
    <w:rsid w:val="000438FD"/>
    <w:rsid w:val="000447A7"/>
    <w:rsid w:val="00047C1E"/>
    <w:rsid w:val="00050973"/>
    <w:rsid w:val="00056601"/>
    <w:rsid w:val="0006692A"/>
    <w:rsid w:val="000717C7"/>
    <w:rsid w:val="00072353"/>
    <w:rsid w:val="000744F6"/>
    <w:rsid w:val="00086ECF"/>
    <w:rsid w:val="00087722"/>
    <w:rsid w:val="00091884"/>
    <w:rsid w:val="000919E6"/>
    <w:rsid w:val="00092A8C"/>
    <w:rsid w:val="000935AC"/>
    <w:rsid w:val="00097933"/>
    <w:rsid w:val="000B3F8D"/>
    <w:rsid w:val="000C542C"/>
    <w:rsid w:val="000C70F6"/>
    <w:rsid w:val="000C75B8"/>
    <w:rsid w:val="000D36A2"/>
    <w:rsid w:val="000D4182"/>
    <w:rsid w:val="000D58EC"/>
    <w:rsid w:val="000D6DBF"/>
    <w:rsid w:val="000E6D2A"/>
    <w:rsid w:val="000F26E1"/>
    <w:rsid w:val="000F3FD4"/>
    <w:rsid w:val="000F74F5"/>
    <w:rsid w:val="000F7BDF"/>
    <w:rsid w:val="0010032C"/>
    <w:rsid w:val="0010159D"/>
    <w:rsid w:val="00104BD9"/>
    <w:rsid w:val="00105E45"/>
    <w:rsid w:val="001065F5"/>
    <w:rsid w:val="001130FA"/>
    <w:rsid w:val="00115BB8"/>
    <w:rsid w:val="001238EF"/>
    <w:rsid w:val="00137C56"/>
    <w:rsid w:val="00147C40"/>
    <w:rsid w:val="00151874"/>
    <w:rsid w:val="00151F23"/>
    <w:rsid w:val="00152600"/>
    <w:rsid w:val="00153664"/>
    <w:rsid w:val="00161251"/>
    <w:rsid w:val="0016215B"/>
    <w:rsid w:val="00166508"/>
    <w:rsid w:val="0017059E"/>
    <w:rsid w:val="00170EAB"/>
    <w:rsid w:val="00172397"/>
    <w:rsid w:val="00174238"/>
    <w:rsid w:val="001757F7"/>
    <w:rsid w:val="00176538"/>
    <w:rsid w:val="00181141"/>
    <w:rsid w:val="00184C48"/>
    <w:rsid w:val="00191FAC"/>
    <w:rsid w:val="0019405B"/>
    <w:rsid w:val="00197613"/>
    <w:rsid w:val="001B7AA3"/>
    <w:rsid w:val="001C10AB"/>
    <w:rsid w:val="001C1ED4"/>
    <w:rsid w:val="001C4F35"/>
    <w:rsid w:val="001C6287"/>
    <w:rsid w:val="001D16D7"/>
    <w:rsid w:val="001D2973"/>
    <w:rsid w:val="001D739C"/>
    <w:rsid w:val="001D7DA0"/>
    <w:rsid w:val="001E7572"/>
    <w:rsid w:val="00204366"/>
    <w:rsid w:val="00206585"/>
    <w:rsid w:val="00206A11"/>
    <w:rsid w:val="0021053B"/>
    <w:rsid w:val="00213D85"/>
    <w:rsid w:val="002168EA"/>
    <w:rsid w:val="00217A9A"/>
    <w:rsid w:val="002248FB"/>
    <w:rsid w:val="00226AC8"/>
    <w:rsid w:val="0022700C"/>
    <w:rsid w:val="002326E7"/>
    <w:rsid w:val="00233DC7"/>
    <w:rsid w:val="00237080"/>
    <w:rsid w:val="00242049"/>
    <w:rsid w:val="0024303E"/>
    <w:rsid w:val="00247779"/>
    <w:rsid w:val="00250893"/>
    <w:rsid w:val="00251D4E"/>
    <w:rsid w:val="002527BF"/>
    <w:rsid w:val="00253812"/>
    <w:rsid w:val="002545A8"/>
    <w:rsid w:val="00255325"/>
    <w:rsid w:val="002623E9"/>
    <w:rsid w:val="00262926"/>
    <w:rsid w:val="00265543"/>
    <w:rsid w:val="00285BEE"/>
    <w:rsid w:val="00286DCC"/>
    <w:rsid w:val="0029533F"/>
    <w:rsid w:val="00297BF4"/>
    <w:rsid w:val="002A2234"/>
    <w:rsid w:val="002B25AA"/>
    <w:rsid w:val="002B30AF"/>
    <w:rsid w:val="002B3CB2"/>
    <w:rsid w:val="002C4B13"/>
    <w:rsid w:val="002D11DB"/>
    <w:rsid w:val="002D1B68"/>
    <w:rsid w:val="002D6672"/>
    <w:rsid w:val="002E2AF7"/>
    <w:rsid w:val="002F2518"/>
    <w:rsid w:val="002F2AE6"/>
    <w:rsid w:val="002F2E5C"/>
    <w:rsid w:val="002F4431"/>
    <w:rsid w:val="002F5859"/>
    <w:rsid w:val="00300011"/>
    <w:rsid w:val="003005AD"/>
    <w:rsid w:val="00300735"/>
    <w:rsid w:val="003008D9"/>
    <w:rsid w:val="003128CF"/>
    <w:rsid w:val="00312FC5"/>
    <w:rsid w:val="00315DE2"/>
    <w:rsid w:val="0031705E"/>
    <w:rsid w:val="00321137"/>
    <w:rsid w:val="00324CE2"/>
    <w:rsid w:val="00326DDC"/>
    <w:rsid w:val="0033344A"/>
    <w:rsid w:val="00334112"/>
    <w:rsid w:val="0033719A"/>
    <w:rsid w:val="0034452D"/>
    <w:rsid w:val="00344F61"/>
    <w:rsid w:val="003454C4"/>
    <w:rsid w:val="00347A5E"/>
    <w:rsid w:val="00352EB2"/>
    <w:rsid w:val="00361198"/>
    <w:rsid w:val="003647C7"/>
    <w:rsid w:val="003655F0"/>
    <w:rsid w:val="0036701F"/>
    <w:rsid w:val="00370222"/>
    <w:rsid w:val="003821F4"/>
    <w:rsid w:val="00385DB5"/>
    <w:rsid w:val="00387178"/>
    <w:rsid w:val="0038721F"/>
    <w:rsid w:val="00391B5A"/>
    <w:rsid w:val="00392A9A"/>
    <w:rsid w:val="003935C1"/>
    <w:rsid w:val="003955B3"/>
    <w:rsid w:val="0039585D"/>
    <w:rsid w:val="00396AE5"/>
    <w:rsid w:val="003A240F"/>
    <w:rsid w:val="003B7E05"/>
    <w:rsid w:val="003C5F69"/>
    <w:rsid w:val="003D09DD"/>
    <w:rsid w:val="003D2260"/>
    <w:rsid w:val="003D2C1B"/>
    <w:rsid w:val="003D7B3A"/>
    <w:rsid w:val="003E44D0"/>
    <w:rsid w:val="003E5AFF"/>
    <w:rsid w:val="003E5F30"/>
    <w:rsid w:val="003E618F"/>
    <w:rsid w:val="003E784D"/>
    <w:rsid w:val="003F0A4B"/>
    <w:rsid w:val="003F0C85"/>
    <w:rsid w:val="003F3C34"/>
    <w:rsid w:val="004002E4"/>
    <w:rsid w:val="00400ED9"/>
    <w:rsid w:val="00401D9F"/>
    <w:rsid w:val="00416C86"/>
    <w:rsid w:val="00421759"/>
    <w:rsid w:val="00423A7D"/>
    <w:rsid w:val="0042648E"/>
    <w:rsid w:val="00433435"/>
    <w:rsid w:val="004426B7"/>
    <w:rsid w:val="004438A9"/>
    <w:rsid w:val="004462CB"/>
    <w:rsid w:val="00447A95"/>
    <w:rsid w:val="0045204B"/>
    <w:rsid w:val="004612F2"/>
    <w:rsid w:val="004650DE"/>
    <w:rsid w:val="00470960"/>
    <w:rsid w:val="00473196"/>
    <w:rsid w:val="00482E7D"/>
    <w:rsid w:val="00484A47"/>
    <w:rsid w:val="00484E2C"/>
    <w:rsid w:val="00485135"/>
    <w:rsid w:val="00487EE8"/>
    <w:rsid w:val="0049066F"/>
    <w:rsid w:val="004936D2"/>
    <w:rsid w:val="004A406B"/>
    <w:rsid w:val="004A5E7C"/>
    <w:rsid w:val="004B648D"/>
    <w:rsid w:val="004B6B8B"/>
    <w:rsid w:val="004B73CB"/>
    <w:rsid w:val="004B7897"/>
    <w:rsid w:val="004C0930"/>
    <w:rsid w:val="004C1CA7"/>
    <w:rsid w:val="004C570C"/>
    <w:rsid w:val="004C6197"/>
    <w:rsid w:val="004D6381"/>
    <w:rsid w:val="004D790A"/>
    <w:rsid w:val="004D7AEA"/>
    <w:rsid w:val="004E122B"/>
    <w:rsid w:val="004E7D41"/>
    <w:rsid w:val="004F6436"/>
    <w:rsid w:val="00501FE8"/>
    <w:rsid w:val="00502A74"/>
    <w:rsid w:val="005039CB"/>
    <w:rsid w:val="005041E4"/>
    <w:rsid w:val="00504A2C"/>
    <w:rsid w:val="00507F73"/>
    <w:rsid w:val="0051216F"/>
    <w:rsid w:val="00514AE8"/>
    <w:rsid w:val="005201B6"/>
    <w:rsid w:val="00524F2B"/>
    <w:rsid w:val="00524F44"/>
    <w:rsid w:val="00525D6D"/>
    <w:rsid w:val="00526415"/>
    <w:rsid w:val="00527CEC"/>
    <w:rsid w:val="00531172"/>
    <w:rsid w:val="00534F86"/>
    <w:rsid w:val="0053598E"/>
    <w:rsid w:val="00543389"/>
    <w:rsid w:val="00544BCE"/>
    <w:rsid w:val="00545E38"/>
    <w:rsid w:val="0055649C"/>
    <w:rsid w:val="0056230C"/>
    <w:rsid w:val="00562F73"/>
    <w:rsid w:val="00564648"/>
    <w:rsid w:val="0057133E"/>
    <w:rsid w:val="00573442"/>
    <w:rsid w:val="005738D3"/>
    <w:rsid w:val="00575B35"/>
    <w:rsid w:val="0057666D"/>
    <w:rsid w:val="00577DAD"/>
    <w:rsid w:val="00583712"/>
    <w:rsid w:val="00584776"/>
    <w:rsid w:val="00585854"/>
    <w:rsid w:val="00596D56"/>
    <w:rsid w:val="005A4207"/>
    <w:rsid w:val="005A6023"/>
    <w:rsid w:val="005B14F3"/>
    <w:rsid w:val="005B1EB6"/>
    <w:rsid w:val="005B5243"/>
    <w:rsid w:val="005C482D"/>
    <w:rsid w:val="005C64AF"/>
    <w:rsid w:val="005D1D68"/>
    <w:rsid w:val="005D6D53"/>
    <w:rsid w:val="005E31E7"/>
    <w:rsid w:val="005F0654"/>
    <w:rsid w:val="005F11B4"/>
    <w:rsid w:val="00604AFD"/>
    <w:rsid w:val="00610413"/>
    <w:rsid w:val="00612F3E"/>
    <w:rsid w:val="00615D3C"/>
    <w:rsid w:val="00621BC3"/>
    <w:rsid w:val="0062341A"/>
    <w:rsid w:val="00623E28"/>
    <w:rsid w:val="0063134E"/>
    <w:rsid w:val="006338C0"/>
    <w:rsid w:val="00634218"/>
    <w:rsid w:val="00637ECE"/>
    <w:rsid w:val="00641280"/>
    <w:rsid w:val="00643D91"/>
    <w:rsid w:val="006466F2"/>
    <w:rsid w:val="00646F44"/>
    <w:rsid w:val="006524F3"/>
    <w:rsid w:val="0065277E"/>
    <w:rsid w:val="006534AC"/>
    <w:rsid w:val="00655111"/>
    <w:rsid w:val="00656581"/>
    <w:rsid w:val="00660BFC"/>
    <w:rsid w:val="00664130"/>
    <w:rsid w:val="0066497A"/>
    <w:rsid w:val="0069081E"/>
    <w:rsid w:val="006920AE"/>
    <w:rsid w:val="006949C1"/>
    <w:rsid w:val="00695D7F"/>
    <w:rsid w:val="006A197B"/>
    <w:rsid w:val="006A35DE"/>
    <w:rsid w:val="006A5D73"/>
    <w:rsid w:val="006B227D"/>
    <w:rsid w:val="006B47B0"/>
    <w:rsid w:val="006C34B4"/>
    <w:rsid w:val="006D0545"/>
    <w:rsid w:val="006D5242"/>
    <w:rsid w:val="006E5363"/>
    <w:rsid w:val="006E64AE"/>
    <w:rsid w:val="006E6653"/>
    <w:rsid w:val="006F0768"/>
    <w:rsid w:val="006F40AF"/>
    <w:rsid w:val="006F7664"/>
    <w:rsid w:val="007001D5"/>
    <w:rsid w:val="007046EC"/>
    <w:rsid w:val="0071355A"/>
    <w:rsid w:val="00715C17"/>
    <w:rsid w:val="00717FD3"/>
    <w:rsid w:val="00732929"/>
    <w:rsid w:val="00741AB5"/>
    <w:rsid w:val="00745C3E"/>
    <w:rsid w:val="00750502"/>
    <w:rsid w:val="00751A5A"/>
    <w:rsid w:val="007532ED"/>
    <w:rsid w:val="00757959"/>
    <w:rsid w:val="00773331"/>
    <w:rsid w:val="0078115A"/>
    <w:rsid w:val="0078229C"/>
    <w:rsid w:val="00787615"/>
    <w:rsid w:val="0079092E"/>
    <w:rsid w:val="00790AD9"/>
    <w:rsid w:val="007932EF"/>
    <w:rsid w:val="00793464"/>
    <w:rsid w:val="00794925"/>
    <w:rsid w:val="007A043C"/>
    <w:rsid w:val="007A531D"/>
    <w:rsid w:val="007A5FEE"/>
    <w:rsid w:val="007B0DDD"/>
    <w:rsid w:val="007B354C"/>
    <w:rsid w:val="007D1181"/>
    <w:rsid w:val="007D2AE6"/>
    <w:rsid w:val="007D5033"/>
    <w:rsid w:val="007D57E4"/>
    <w:rsid w:val="007E05B0"/>
    <w:rsid w:val="007E1991"/>
    <w:rsid w:val="007E1F74"/>
    <w:rsid w:val="007E2115"/>
    <w:rsid w:val="007E229D"/>
    <w:rsid w:val="007E5600"/>
    <w:rsid w:val="007F5F5E"/>
    <w:rsid w:val="007F68E5"/>
    <w:rsid w:val="00800259"/>
    <w:rsid w:val="00827245"/>
    <w:rsid w:val="00830A0A"/>
    <w:rsid w:val="00835C21"/>
    <w:rsid w:val="008369C3"/>
    <w:rsid w:val="0084029E"/>
    <w:rsid w:val="0084038F"/>
    <w:rsid w:val="00844766"/>
    <w:rsid w:val="00844C3C"/>
    <w:rsid w:val="00845ED4"/>
    <w:rsid w:val="008521B2"/>
    <w:rsid w:val="008660AF"/>
    <w:rsid w:val="008668D7"/>
    <w:rsid w:val="00872374"/>
    <w:rsid w:val="00872705"/>
    <w:rsid w:val="008740B9"/>
    <w:rsid w:val="00874D22"/>
    <w:rsid w:val="00876024"/>
    <w:rsid w:val="008800A3"/>
    <w:rsid w:val="008866A9"/>
    <w:rsid w:val="00890E28"/>
    <w:rsid w:val="00891A0A"/>
    <w:rsid w:val="008963D1"/>
    <w:rsid w:val="00897DB0"/>
    <w:rsid w:val="008A0706"/>
    <w:rsid w:val="008A2914"/>
    <w:rsid w:val="008A6F95"/>
    <w:rsid w:val="008B1C15"/>
    <w:rsid w:val="008B3578"/>
    <w:rsid w:val="008B358C"/>
    <w:rsid w:val="008C2516"/>
    <w:rsid w:val="008D248F"/>
    <w:rsid w:val="008D2667"/>
    <w:rsid w:val="008E0695"/>
    <w:rsid w:val="008E472F"/>
    <w:rsid w:val="008E4D8E"/>
    <w:rsid w:val="008F258F"/>
    <w:rsid w:val="008F4C3B"/>
    <w:rsid w:val="00900450"/>
    <w:rsid w:val="00902DE0"/>
    <w:rsid w:val="009111BD"/>
    <w:rsid w:val="0091577B"/>
    <w:rsid w:val="009168EE"/>
    <w:rsid w:val="00923A51"/>
    <w:rsid w:val="00926C70"/>
    <w:rsid w:val="0093016B"/>
    <w:rsid w:val="00932276"/>
    <w:rsid w:val="00935FA4"/>
    <w:rsid w:val="0094120E"/>
    <w:rsid w:val="00944ADC"/>
    <w:rsid w:val="00960A0A"/>
    <w:rsid w:val="00964F34"/>
    <w:rsid w:val="009653BB"/>
    <w:rsid w:val="009663BF"/>
    <w:rsid w:val="00970ABF"/>
    <w:rsid w:val="00974B9F"/>
    <w:rsid w:val="009753E1"/>
    <w:rsid w:val="00981221"/>
    <w:rsid w:val="00990D7D"/>
    <w:rsid w:val="009910E3"/>
    <w:rsid w:val="0099168A"/>
    <w:rsid w:val="009917B8"/>
    <w:rsid w:val="00994234"/>
    <w:rsid w:val="009968DB"/>
    <w:rsid w:val="009A6DBE"/>
    <w:rsid w:val="009B3FBB"/>
    <w:rsid w:val="009C0009"/>
    <w:rsid w:val="009C303C"/>
    <w:rsid w:val="009C37E4"/>
    <w:rsid w:val="009C7808"/>
    <w:rsid w:val="009D2ED8"/>
    <w:rsid w:val="009E5133"/>
    <w:rsid w:val="009F4617"/>
    <w:rsid w:val="00A002FA"/>
    <w:rsid w:val="00A00A40"/>
    <w:rsid w:val="00A0100D"/>
    <w:rsid w:val="00A10B86"/>
    <w:rsid w:val="00A134C1"/>
    <w:rsid w:val="00A16153"/>
    <w:rsid w:val="00A20553"/>
    <w:rsid w:val="00A276FE"/>
    <w:rsid w:val="00A3697C"/>
    <w:rsid w:val="00A3772F"/>
    <w:rsid w:val="00A5126B"/>
    <w:rsid w:val="00A52C14"/>
    <w:rsid w:val="00A54E3C"/>
    <w:rsid w:val="00A559F1"/>
    <w:rsid w:val="00A65970"/>
    <w:rsid w:val="00A7205D"/>
    <w:rsid w:val="00A767C0"/>
    <w:rsid w:val="00A81DDE"/>
    <w:rsid w:val="00A9031E"/>
    <w:rsid w:val="00A9230A"/>
    <w:rsid w:val="00A939E7"/>
    <w:rsid w:val="00A94020"/>
    <w:rsid w:val="00AA0842"/>
    <w:rsid w:val="00AA5A84"/>
    <w:rsid w:val="00AA71FD"/>
    <w:rsid w:val="00AA72C5"/>
    <w:rsid w:val="00AB586D"/>
    <w:rsid w:val="00AB632A"/>
    <w:rsid w:val="00AC0865"/>
    <w:rsid w:val="00AD6348"/>
    <w:rsid w:val="00AE1249"/>
    <w:rsid w:val="00AE2196"/>
    <w:rsid w:val="00AE70E8"/>
    <w:rsid w:val="00B034C8"/>
    <w:rsid w:val="00B06F7F"/>
    <w:rsid w:val="00B110D7"/>
    <w:rsid w:val="00B131D4"/>
    <w:rsid w:val="00B17452"/>
    <w:rsid w:val="00B1772D"/>
    <w:rsid w:val="00B203C7"/>
    <w:rsid w:val="00B24B88"/>
    <w:rsid w:val="00B32E83"/>
    <w:rsid w:val="00B3321C"/>
    <w:rsid w:val="00B334F0"/>
    <w:rsid w:val="00B465BB"/>
    <w:rsid w:val="00B46953"/>
    <w:rsid w:val="00B47456"/>
    <w:rsid w:val="00B504B7"/>
    <w:rsid w:val="00B54F8F"/>
    <w:rsid w:val="00B60673"/>
    <w:rsid w:val="00B62674"/>
    <w:rsid w:val="00B711C7"/>
    <w:rsid w:val="00B71577"/>
    <w:rsid w:val="00B7435D"/>
    <w:rsid w:val="00B85DD3"/>
    <w:rsid w:val="00B87B89"/>
    <w:rsid w:val="00B9091A"/>
    <w:rsid w:val="00B92EA5"/>
    <w:rsid w:val="00B94F30"/>
    <w:rsid w:val="00B97FFE"/>
    <w:rsid w:val="00BA0792"/>
    <w:rsid w:val="00BB2198"/>
    <w:rsid w:val="00BB2649"/>
    <w:rsid w:val="00BB2B3D"/>
    <w:rsid w:val="00BB2C23"/>
    <w:rsid w:val="00BB4134"/>
    <w:rsid w:val="00BB582D"/>
    <w:rsid w:val="00BB7D04"/>
    <w:rsid w:val="00BC1710"/>
    <w:rsid w:val="00BC32E3"/>
    <w:rsid w:val="00BC524E"/>
    <w:rsid w:val="00BD1C52"/>
    <w:rsid w:val="00BD270A"/>
    <w:rsid w:val="00BD5ECC"/>
    <w:rsid w:val="00BD6394"/>
    <w:rsid w:val="00BE0878"/>
    <w:rsid w:val="00BE1A75"/>
    <w:rsid w:val="00BF33AA"/>
    <w:rsid w:val="00C11726"/>
    <w:rsid w:val="00C119C4"/>
    <w:rsid w:val="00C11FE6"/>
    <w:rsid w:val="00C12301"/>
    <w:rsid w:val="00C128D1"/>
    <w:rsid w:val="00C15D2E"/>
    <w:rsid w:val="00C16A84"/>
    <w:rsid w:val="00C17575"/>
    <w:rsid w:val="00C177DD"/>
    <w:rsid w:val="00C20D5F"/>
    <w:rsid w:val="00C22FBE"/>
    <w:rsid w:val="00C23202"/>
    <w:rsid w:val="00C263BE"/>
    <w:rsid w:val="00C2664A"/>
    <w:rsid w:val="00C35110"/>
    <w:rsid w:val="00C433FC"/>
    <w:rsid w:val="00C43892"/>
    <w:rsid w:val="00C43A90"/>
    <w:rsid w:val="00C51BEE"/>
    <w:rsid w:val="00C539DC"/>
    <w:rsid w:val="00C53BBD"/>
    <w:rsid w:val="00C54494"/>
    <w:rsid w:val="00C62F85"/>
    <w:rsid w:val="00C643E1"/>
    <w:rsid w:val="00C64A39"/>
    <w:rsid w:val="00C65021"/>
    <w:rsid w:val="00C75D73"/>
    <w:rsid w:val="00C8746B"/>
    <w:rsid w:val="00C9185E"/>
    <w:rsid w:val="00CA09F0"/>
    <w:rsid w:val="00CA2B21"/>
    <w:rsid w:val="00CA2EB0"/>
    <w:rsid w:val="00CA795C"/>
    <w:rsid w:val="00CC120B"/>
    <w:rsid w:val="00CC1A4E"/>
    <w:rsid w:val="00CD4202"/>
    <w:rsid w:val="00CD7A82"/>
    <w:rsid w:val="00CE64C2"/>
    <w:rsid w:val="00CF3817"/>
    <w:rsid w:val="00CF4AB8"/>
    <w:rsid w:val="00D00BB1"/>
    <w:rsid w:val="00D01FB3"/>
    <w:rsid w:val="00D04F92"/>
    <w:rsid w:val="00D076C8"/>
    <w:rsid w:val="00D103B5"/>
    <w:rsid w:val="00D11550"/>
    <w:rsid w:val="00D20381"/>
    <w:rsid w:val="00D25A12"/>
    <w:rsid w:val="00D34A9A"/>
    <w:rsid w:val="00D429B0"/>
    <w:rsid w:val="00D4370C"/>
    <w:rsid w:val="00D45489"/>
    <w:rsid w:val="00D55612"/>
    <w:rsid w:val="00D56F9E"/>
    <w:rsid w:val="00D57F6A"/>
    <w:rsid w:val="00D60231"/>
    <w:rsid w:val="00D64D0F"/>
    <w:rsid w:val="00D71145"/>
    <w:rsid w:val="00D759DD"/>
    <w:rsid w:val="00D8388F"/>
    <w:rsid w:val="00D85762"/>
    <w:rsid w:val="00D91AD2"/>
    <w:rsid w:val="00DA08DF"/>
    <w:rsid w:val="00DA35FD"/>
    <w:rsid w:val="00DA64DF"/>
    <w:rsid w:val="00DB4CA2"/>
    <w:rsid w:val="00DB71B1"/>
    <w:rsid w:val="00DB7ABC"/>
    <w:rsid w:val="00DC0A43"/>
    <w:rsid w:val="00DC16CD"/>
    <w:rsid w:val="00DD31F3"/>
    <w:rsid w:val="00DE20B5"/>
    <w:rsid w:val="00DE3474"/>
    <w:rsid w:val="00DE45D7"/>
    <w:rsid w:val="00DE5889"/>
    <w:rsid w:val="00DF67E1"/>
    <w:rsid w:val="00E01FBC"/>
    <w:rsid w:val="00E0716D"/>
    <w:rsid w:val="00E0739A"/>
    <w:rsid w:val="00E17B2B"/>
    <w:rsid w:val="00E21D12"/>
    <w:rsid w:val="00E2736A"/>
    <w:rsid w:val="00E31738"/>
    <w:rsid w:val="00E3563B"/>
    <w:rsid w:val="00E35758"/>
    <w:rsid w:val="00E35EF1"/>
    <w:rsid w:val="00E4296C"/>
    <w:rsid w:val="00E47EEA"/>
    <w:rsid w:val="00E54F3E"/>
    <w:rsid w:val="00E62739"/>
    <w:rsid w:val="00E6459A"/>
    <w:rsid w:val="00E663B3"/>
    <w:rsid w:val="00E67570"/>
    <w:rsid w:val="00E71E9D"/>
    <w:rsid w:val="00E751D2"/>
    <w:rsid w:val="00E80077"/>
    <w:rsid w:val="00E8243F"/>
    <w:rsid w:val="00E84942"/>
    <w:rsid w:val="00E859DB"/>
    <w:rsid w:val="00E909E7"/>
    <w:rsid w:val="00E96981"/>
    <w:rsid w:val="00EA34D1"/>
    <w:rsid w:val="00EA58B1"/>
    <w:rsid w:val="00ED24F6"/>
    <w:rsid w:val="00ED6853"/>
    <w:rsid w:val="00EE1E16"/>
    <w:rsid w:val="00EE6150"/>
    <w:rsid w:val="00EE6555"/>
    <w:rsid w:val="00F0150C"/>
    <w:rsid w:val="00F03568"/>
    <w:rsid w:val="00F043BA"/>
    <w:rsid w:val="00F051BF"/>
    <w:rsid w:val="00F2390D"/>
    <w:rsid w:val="00F32714"/>
    <w:rsid w:val="00F341B8"/>
    <w:rsid w:val="00F41457"/>
    <w:rsid w:val="00F47748"/>
    <w:rsid w:val="00F550D9"/>
    <w:rsid w:val="00F56EFD"/>
    <w:rsid w:val="00F60352"/>
    <w:rsid w:val="00F60935"/>
    <w:rsid w:val="00F67C5D"/>
    <w:rsid w:val="00F910DA"/>
    <w:rsid w:val="00F948CA"/>
    <w:rsid w:val="00F968A2"/>
    <w:rsid w:val="00FA2617"/>
    <w:rsid w:val="00FB0AA6"/>
    <w:rsid w:val="00FB2D0D"/>
    <w:rsid w:val="00FC13A2"/>
    <w:rsid w:val="00FC38F8"/>
    <w:rsid w:val="00FD3605"/>
    <w:rsid w:val="00FE15DA"/>
    <w:rsid w:val="00FE4D43"/>
    <w:rsid w:val="00FF07A6"/>
    <w:rsid w:val="00FF1652"/>
    <w:rsid w:val="00FF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AA9F62"/>
  <w15:docId w15:val="{13EA0CFE-55F3-411D-8209-5A3094AE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r-HR"/>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859DB"/>
    <w:rPr>
      <w:color w:val="0000FF"/>
      <w:u w:val="single"/>
      <w:shd w:val="clear" w:color="auto" w:fill="auto"/>
    </w:rPr>
  </w:style>
  <w:style w:type="paragraph" w:styleId="ListBullet">
    <w:name w:val="List Bullet"/>
    <w:basedOn w:val="Normal"/>
    <w:uiPriority w:val="99"/>
    <w:unhideWhenUsed/>
    <w:rsid w:val="000447A7"/>
    <w:pPr>
      <w:numPr>
        <w:numId w:val="1"/>
      </w:numPr>
      <w:contextualSpacing/>
    </w:pPr>
  </w:style>
  <w:style w:type="paragraph" w:styleId="ListBullet2">
    <w:name w:val="List Bullet 2"/>
    <w:basedOn w:val="Normal"/>
    <w:uiPriority w:val="99"/>
    <w:unhideWhenUsed/>
    <w:rsid w:val="000447A7"/>
    <w:pPr>
      <w:numPr>
        <w:numId w:val="2"/>
      </w:numPr>
      <w:contextualSpacing/>
    </w:pPr>
  </w:style>
  <w:style w:type="paragraph" w:styleId="ListBullet3">
    <w:name w:val="List Bullet 3"/>
    <w:basedOn w:val="Normal"/>
    <w:uiPriority w:val="99"/>
    <w:unhideWhenUsed/>
    <w:rsid w:val="000447A7"/>
    <w:pPr>
      <w:numPr>
        <w:numId w:val="3"/>
      </w:numPr>
      <w:contextualSpacing/>
    </w:pPr>
  </w:style>
  <w:style w:type="paragraph" w:styleId="ListBullet4">
    <w:name w:val="List Bullet 4"/>
    <w:basedOn w:val="Normal"/>
    <w:uiPriority w:val="99"/>
    <w:unhideWhenUsed/>
    <w:rsid w:val="000447A7"/>
    <w:pPr>
      <w:numPr>
        <w:numId w:val="4"/>
      </w:numPr>
      <w:contextualSpacing/>
    </w:pPr>
  </w:style>
  <w:style w:type="character" w:styleId="CommentReference">
    <w:name w:val="annotation reference"/>
    <w:basedOn w:val="DefaultParagraphFont"/>
    <w:unhideWhenUsed/>
    <w:rsid w:val="00DD31F3"/>
    <w:rPr>
      <w:sz w:val="16"/>
      <w:szCs w:val="16"/>
    </w:rPr>
  </w:style>
  <w:style w:type="paragraph" w:styleId="CommentText">
    <w:name w:val="annotation text"/>
    <w:basedOn w:val="Normal"/>
    <w:link w:val="CommentTextChar"/>
    <w:unhideWhenUsed/>
    <w:rsid w:val="00DD31F3"/>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rsid w:val="00DD31F3"/>
    <w:rPr>
      <w:sz w:val="20"/>
      <w:szCs w:val="20"/>
      <w:lang w:val="hr-HR"/>
    </w:rPr>
  </w:style>
  <w:style w:type="paragraph" w:customStyle="1" w:styleId="CharCharChar1">
    <w:name w:val="Char Char Char1"/>
    <w:basedOn w:val="Normal"/>
    <w:link w:val="FootnoteReference"/>
    <w:uiPriority w:val="99"/>
    <w:rsid w:val="008F258F"/>
    <w:pPr>
      <w:spacing w:before="0" w:after="160" w:line="240" w:lineRule="exact"/>
    </w:pPr>
    <w:rPr>
      <w:rFonts w:asciiTheme="minorHAnsi" w:hAnsiTheme="minorHAnsi" w:cstheme="minorBidi"/>
      <w:sz w:val="22"/>
      <w:vertAlign w:val="superscript"/>
    </w:rPr>
  </w:style>
  <w:style w:type="paragraph" w:customStyle="1" w:styleId="CHAPTERI">
    <w:name w:val="CHAPTER I"/>
    <w:basedOn w:val="ChapterTitle"/>
    <w:rsid w:val="001C6287"/>
  </w:style>
  <w:style w:type="paragraph" w:customStyle="1" w:styleId="CHAPTERsubtitle">
    <w:name w:val="CHAPTER subtitle"/>
    <w:basedOn w:val="CHAPTERI"/>
    <w:rsid w:val="001C6287"/>
  </w:style>
  <w:style w:type="paragraph" w:customStyle="1" w:styleId="Titrechapitre">
    <w:name w:val="Titre chapitre"/>
    <w:basedOn w:val="ChapterTitle"/>
    <w:rsid w:val="001C6287"/>
    <w:rPr>
      <w:rFonts w:eastAsia="Calibri"/>
      <w:bCs/>
      <w:sz w:val="24"/>
      <w:szCs w:val="24"/>
    </w:rPr>
  </w:style>
  <w:style w:type="paragraph" w:styleId="ListParagraph">
    <w:name w:val="List Paragraph"/>
    <w:basedOn w:val="Normal"/>
    <w:uiPriority w:val="34"/>
    <w:qFormat/>
    <w:rsid w:val="00DB7ABC"/>
    <w:pPr>
      <w:spacing w:before="0" w:after="200" w:line="276" w:lineRule="auto"/>
      <w:ind w:left="720"/>
      <w:contextualSpacing/>
      <w:jc w:val="left"/>
    </w:pPr>
    <w:rPr>
      <w:rFonts w:asciiTheme="minorHAnsi" w:hAnsiTheme="minorHAnsi" w:cstheme="minorBidi"/>
      <w:sz w:val="22"/>
    </w:rPr>
  </w:style>
  <w:style w:type="paragraph" w:customStyle="1" w:styleId="Nosrmal">
    <w:name w:val="Nosrmal"/>
    <w:basedOn w:val="Point0number"/>
    <w:rsid w:val="00B62674"/>
    <w:pPr>
      <w:numPr>
        <w:numId w:val="20"/>
      </w:numPr>
    </w:pPr>
    <w:rPr>
      <w:szCs w:val="24"/>
    </w:rPr>
  </w:style>
  <w:style w:type="paragraph" w:customStyle="1" w:styleId="FooterCoverPage">
    <w:name w:val="Footer Cover Page"/>
    <w:basedOn w:val="Normal"/>
    <w:link w:val="FooterCoverPageChar"/>
    <w:rsid w:val="003F3C34"/>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3F3C34"/>
    <w:rPr>
      <w:rFonts w:ascii="Times New Roman" w:hAnsi="Times New Roman" w:cs="Times New Roman"/>
      <w:sz w:val="24"/>
      <w:lang w:val="hr-HR"/>
    </w:rPr>
  </w:style>
  <w:style w:type="character" w:customStyle="1" w:styleId="FooterSensitivityChar">
    <w:name w:val="Footer Sensitivity Char"/>
    <w:basedOn w:val="DefaultParagraphFont"/>
    <w:rsid w:val="003F3C34"/>
    <w:rPr>
      <w:rFonts w:ascii="Times New Roman" w:hAnsi="Times New Roman" w:cs="Times New Roman"/>
      <w:b/>
      <w:sz w:val="32"/>
      <w:lang w:val="hr-HR"/>
    </w:rPr>
  </w:style>
  <w:style w:type="paragraph" w:customStyle="1" w:styleId="HeaderCoverPage">
    <w:name w:val="Header Cover Page"/>
    <w:basedOn w:val="Normal"/>
    <w:link w:val="HeaderCoverPageChar"/>
    <w:rsid w:val="003F3C34"/>
    <w:pPr>
      <w:tabs>
        <w:tab w:val="center" w:pos="4535"/>
        <w:tab w:val="right" w:pos="9071"/>
      </w:tabs>
      <w:spacing w:before="0"/>
    </w:pPr>
  </w:style>
  <w:style w:type="character" w:customStyle="1" w:styleId="HeaderCoverPageChar">
    <w:name w:val="Header Cover Page Char"/>
    <w:basedOn w:val="DefaultParagraphFont"/>
    <w:link w:val="HeaderCoverPage"/>
    <w:rsid w:val="003F3C34"/>
    <w:rPr>
      <w:rFonts w:ascii="Times New Roman" w:hAnsi="Times New Roman" w:cs="Times New Roman"/>
      <w:sz w:val="24"/>
      <w:lang w:val="hr-HR"/>
    </w:rPr>
  </w:style>
  <w:style w:type="character" w:customStyle="1" w:styleId="HeaderSensitivityChar">
    <w:name w:val="Header Sensitivity Char"/>
    <w:basedOn w:val="DefaultParagraphFont"/>
    <w:rsid w:val="003F3C34"/>
    <w:rPr>
      <w:rFonts w:ascii="Times New Roman" w:hAnsi="Times New Roman" w:cs="Times New Roman"/>
      <w:b/>
      <w:sz w:val="32"/>
      <w:lang w:val="hr-HR"/>
    </w:rPr>
  </w:style>
  <w:style w:type="character" w:customStyle="1" w:styleId="HeaderSensitivityRightChar">
    <w:name w:val="Header Sensitivity Right Char"/>
    <w:basedOn w:val="DefaultParagraphFont"/>
    <w:rsid w:val="003F3C34"/>
    <w:rPr>
      <w:rFonts w:ascii="Times New Roman" w:hAnsi="Times New Roman" w:cs="Times New Roman"/>
      <w:sz w:val="28"/>
      <w:lang w:val="hr-HR"/>
    </w:rPr>
  </w:style>
  <w:style w:type="paragraph" w:styleId="ListNumber">
    <w:name w:val="List Number"/>
    <w:basedOn w:val="Normal"/>
    <w:uiPriority w:val="99"/>
    <w:rsid w:val="003F3C34"/>
    <w:pPr>
      <w:numPr>
        <w:numId w:val="28"/>
      </w:numPr>
    </w:pPr>
    <w:rPr>
      <w:lang w:eastAsia="en-GB"/>
    </w:rPr>
  </w:style>
  <w:style w:type="paragraph" w:customStyle="1" w:styleId="ListBullet1">
    <w:name w:val="List Bullet 1"/>
    <w:basedOn w:val="Normal"/>
    <w:rsid w:val="003F3C34"/>
    <w:pPr>
      <w:numPr>
        <w:numId w:val="24"/>
      </w:numPr>
    </w:pPr>
    <w:rPr>
      <w:lang w:eastAsia="en-GB"/>
    </w:rPr>
  </w:style>
  <w:style w:type="paragraph" w:customStyle="1" w:styleId="ListDash">
    <w:name w:val="List Dash"/>
    <w:basedOn w:val="Normal"/>
    <w:rsid w:val="003F3C34"/>
    <w:pPr>
      <w:numPr>
        <w:numId w:val="25"/>
      </w:numPr>
    </w:pPr>
    <w:rPr>
      <w:lang w:eastAsia="en-GB"/>
    </w:rPr>
  </w:style>
  <w:style w:type="paragraph" w:customStyle="1" w:styleId="ListDash1">
    <w:name w:val="List Dash 1"/>
    <w:basedOn w:val="Normal"/>
    <w:rsid w:val="003F3C34"/>
    <w:pPr>
      <w:numPr>
        <w:numId w:val="26"/>
      </w:numPr>
    </w:pPr>
    <w:rPr>
      <w:lang w:eastAsia="en-GB"/>
    </w:rPr>
  </w:style>
  <w:style w:type="paragraph" w:customStyle="1" w:styleId="ListDash2">
    <w:name w:val="List Dash 2"/>
    <w:basedOn w:val="Normal"/>
    <w:rsid w:val="003F3C34"/>
    <w:pPr>
      <w:numPr>
        <w:numId w:val="27"/>
      </w:numPr>
    </w:pPr>
    <w:rPr>
      <w:lang w:eastAsia="en-GB"/>
    </w:rPr>
  </w:style>
  <w:style w:type="paragraph" w:customStyle="1" w:styleId="ListNumberLevel2">
    <w:name w:val="List Number (Level 2)"/>
    <w:basedOn w:val="Normal"/>
    <w:rsid w:val="003F3C34"/>
    <w:pPr>
      <w:numPr>
        <w:ilvl w:val="1"/>
        <w:numId w:val="28"/>
      </w:numPr>
    </w:pPr>
    <w:rPr>
      <w:lang w:eastAsia="en-GB"/>
    </w:rPr>
  </w:style>
  <w:style w:type="paragraph" w:customStyle="1" w:styleId="ListNumberLevel3">
    <w:name w:val="List Number (Level 3)"/>
    <w:basedOn w:val="Normal"/>
    <w:rsid w:val="003F3C34"/>
    <w:pPr>
      <w:numPr>
        <w:ilvl w:val="2"/>
        <w:numId w:val="28"/>
      </w:numPr>
    </w:pPr>
    <w:rPr>
      <w:lang w:eastAsia="en-GB"/>
    </w:rPr>
  </w:style>
  <w:style w:type="paragraph" w:customStyle="1" w:styleId="ListNumberLevel4">
    <w:name w:val="List Number (Level 4)"/>
    <w:basedOn w:val="Normal"/>
    <w:rsid w:val="003F3C34"/>
    <w:pPr>
      <w:numPr>
        <w:ilvl w:val="3"/>
        <w:numId w:val="28"/>
      </w:numPr>
    </w:pPr>
    <w:rPr>
      <w:lang w:eastAsia="en-GB"/>
    </w:rPr>
  </w:style>
  <w:style w:type="paragraph" w:styleId="BalloonText">
    <w:name w:val="Balloon Text"/>
    <w:basedOn w:val="Normal"/>
    <w:link w:val="BalloonTextChar"/>
    <w:rsid w:val="003F3C34"/>
    <w:pPr>
      <w:spacing w:before="0" w:after="0"/>
    </w:pPr>
    <w:rPr>
      <w:rFonts w:ascii="Tahoma" w:hAnsi="Tahoma" w:cs="Tahoma"/>
      <w:sz w:val="16"/>
      <w:szCs w:val="16"/>
      <w:lang w:eastAsia="en-GB"/>
    </w:rPr>
  </w:style>
  <w:style w:type="character" w:customStyle="1" w:styleId="BalloonTextChar">
    <w:name w:val="Balloon Text Char"/>
    <w:basedOn w:val="DefaultParagraphFont"/>
    <w:link w:val="BalloonText"/>
    <w:rsid w:val="003F3C34"/>
    <w:rPr>
      <w:rFonts w:ascii="Tahoma" w:hAnsi="Tahoma" w:cs="Tahoma"/>
      <w:sz w:val="16"/>
      <w:szCs w:val="16"/>
      <w:lang w:val="hr-HR" w:eastAsia="en-GB"/>
    </w:rPr>
  </w:style>
  <w:style w:type="paragraph" w:styleId="Caption">
    <w:name w:val="caption"/>
    <w:basedOn w:val="Normal"/>
    <w:next w:val="Normal"/>
    <w:qFormat/>
    <w:rsid w:val="003F3C34"/>
    <w:rPr>
      <w:b/>
      <w:bCs/>
      <w:sz w:val="20"/>
      <w:lang w:eastAsia="en-GB"/>
    </w:rPr>
  </w:style>
  <w:style w:type="paragraph" w:styleId="TableofFigures">
    <w:name w:val="table of figures"/>
    <w:basedOn w:val="Normal"/>
    <w:next w:val="Normal"/>
    <w:uiPriority w:val="99"/>
    <w:rsid w:val="003F3C34"/>
    <w:rPr>
      <w:lang w:eastAsia="en-GB"/>
    </w:rPr>
  </w:style>
  <w:style w:type="paragraph" w:styleId="ListNumber2">
    <w:name w:val="List Number 2"/>
    <w:basedOn w:val="Normal"/>
    <w:uiPriority w:val="99"/>
    <w:rsid w:val="003F3C34"/>
    <w:pPr>
      <w:numPr>
        <w:numId w:val="29"/>
      </w:numPr>
      <w:contextualSpacing/>
    </w:pPr>
    <w:rPr>
      <w:lang w:eastAsia="en-GB"/>
    </w:rPr>
  </w:style>
  <w:style w:type="paragraph" w:styleId="ListNumber3">
    <w:name w:val="List Number 3"/>
    <w:basedOn w:val="Normal"/>
    <w:uiPriority w:val="99"/>
    <w:rsid w:val="003F3C34"/>
    <w:pPr>
      <w:numPr>
        <w:numId w:val="30"/>
      </w:numPr>
      <w:contextualSpacing/>
    </w:pPr>
    <w:rPr>
      <w:lang w:eastAsia="en-GB"/>
    </w:rPr>
  </w:style>
  <w:style w:type="paragraph" w:styleId="ListNumber4">
    <w:name w:val="List Number 4"/>
    <w:basedOn w:val="Normal"/>
    <w:uiPriority w:val="99"/>
    <w:rsid w:val="003F3C34"/>
    <w:pPr>
      <w:numPr>
        <w:numId w:val="31"/>
      </w:numPr>
      <w:contextualSpacing/>
    </w:pPr>
    <w:rPr>
      <w:lang w:eastAsia="en-GB"/>
    </w:rPr>
  </w:style>
  <w:style w:type="paragraph" w:styleId="CommentSubject">
    <w:name w:val="annotation subject"/>
    <w:basedOn w:val="CommentText"/>
    <w:next w:val="CommentText"/>
    <w:link w:val="CommentSubjectChar"/>
    <w:rsid w:val="003F3C34"/>
    <w:pPr>
      <w:spacing w:before="120" w:after="120"/>
      <w:jc w:val="both"/>
    </w:pPr>
    <w:rPr>
      <w:rFonts w:ascii="Times New Roman" w:hAnsi="Times New Roman" w:cs="Times New Roman"/>
      <w:b/>
      <w:bCs/>
      <w:szCs w:val="22"/>
      <w:lang w:eastAsia="en-GB"/>
    </w:rPr>
  </w:style>
  <w:style w:type="character" w:customStyle="1" w:styleId="CommentSubjectChar">
    <w:name w:val="Comment Subject Char"/>
    <w:basedOn w:val="CommentTextChar"/>
    <w:link w:val="CommentSubject"/>
    <w:rsid w:val="003F3C34"/>
    <w:rPr>
      <w:rFonts w:ascii="Times New Roman" w:hAnsi="Times New Roman" w:cs="Times New Roman"/>
      <w:b/>
      <w:bCs/>
      <w:sz w:val="20"/>
      <w:szCs w:val="20"/>
      <w:lang w:val="hr-HR" w:eastAsia="en-GB"/>
    </w:rPr>
  </w:style>
  <w:style w:type="paragraph" w:customStyle="1" w:styleId="Sous-titreobjet">
    <w:name w:val="Sous-titre objet"/>
    <w:basedOn w:val="Normal"/>
    <w:rsid w:val="003F3C34"/>
    <w:pPr>
      <w:spacing w:before="0" w:after="0"/>
      <w:jc w:val="center"/>
    </w:pPr>
    <w:rPr>
      <w:b/>
      <w:lang w:eastAsia="en-GB"/>
    </w:rPr>
  </w:style>
  <w:style w:type="paragraph" w:customStyle="1" w:styleId="Sous-titreobjetPagedecouverture">
    <w:name w:val="Sous-titre objet (Page de couverture)"/>
    <w:basedOn w:val="Sous-titreobjet"/>
    <w:rsid w:val="003F3C34"/>
  </w:style>
  <w:style w:type="character" w:styleId="FollowedHyperlink">
    <w:name w:val="FollowedHyperlink"/>
    <w:uiPriority w:val="99"/>
    <w:rsid w:val="003F3C34"/>
    <w:rPr>
      <w:color w:val="800080"/>
      <w:u w:val="single"/>
    </w:rPr>
  </w:style>
  <w:style w:type="paragraph" w:styleId="Revision">
    <w:name w:val="Revision"/>
    <w:hidden/>
    <w:uiPriority w:val="99"/>
    <w:semiHidden/>
    <w:rsid w:val="003F3C34"/>
    <w:rPr>
      <w:sz w:val="24"/>
      <w:lang w:eastAsia="en-GB"/>
    </w:rPr>
  </w:style>
  <w:style w:type="character" w:customStyle="1" w:styleId="TOCHeadingChar">
    <w:name w:val="TOC Heading Char"/>
    <w:basedOn w:val="DefaultParagraphFont"/>
    <w:uiPriority w:val="39"/>
    <w:rsid w:val="003F3C34"/>
    <w:rPr>
      <w:rFonts w:ascii="Times New Roman" w:hAnsi="Times New Roman" w:cs="Times New Roman"/>
      <w:b/>
      <w:sz w:val="28"/>
      <w:lang w:val="hr-HR"/>
    </w:rPr>
  </w:style>
  <w:style w:type="paragraph" w:customStyle="1" w:styleId="Heading11">
    <w:name w:val="Heading 11"/>
    <w:basedOn w:val="Normal"/>
    <w:next w:val="Text1"/>
    <w:uiPriority w:val="9"/>
    <w:qFormat/>
    <w:rsid w:val="00B46953"/>
    <w:pPr>
      <w:keepNext/>
      <w:tabs>
        <w:tab w:val="num" w:pos="850"/>
      </w:tabs>
      <w:spacing w:before="360"/>
      <w:ind w:left="850" w:hanging="850"/>
      <w:outlineLvl w:val="0"/>
    </w:pPr>
    <w:rPr>
      <w:rFonts w:eastAsia="Times New Roman"/>
      <w:b/>
      <w:bCs/>
      <w:smallCaps/>
      <w:szCs w:val="28"/>
    </w:rPr>
  </w:style>
  <w:style w:type="paragraph" w:customStyle="1" w:styleId="Heading21">
    <w:name w:val="Heading 21"/>
    <w:basedOn w:val="Normal"/>
    <w:next w:val="Text1"/>
    <w:uiPriority w:val="9"/>
    <w:semiHidden/>
    <w:unhideWhenUsed/>
    <w:qFormat/>
    <w:rsid w:val="00B46953"/>
    <w:pPr>
      <w:keepNext/>
      <w:tabs>
        <w:tab w:val="num" w:pos="850"/>
      </w:tabs>
      <w:ind w:left="850" w:hanging="850"/>
      <w:outlineLvl w:val="1"/>
    </w:pPr>
    <w:rPr>
      <w:rFonts w:eastAsia="Times New Roman"/>
      <w:b/>
      <w:bCs/>
      <w:szCs w:val="26"/>
    </w:rPr>
  </w:style>
  <w:style w:type="paragraph" w:customStyle="1" w:styleId="Heading31">
    <w:name w:val="Heading 31"/>
    <w:basedOn w:val="Normal"/>
    <w:next w:val="Text1"/>
    <w:uiPriority w:val="9"/>
    <w:semiHidden/>
    <w:unhideWhenUsed/>
    <w:qFormat/>
    <w:rsid w:val="00B46953"/>
    <w:pPr>
      <w:keepNext/>
      <w:tabs>
        <w:tab w:val="num" w:pos="850"/>
      </w:tabs>
      <w:ind w:left="850" w:hanging="850"/>
      <w:outlineLvl w:val="2"/>
    </w:pPr>
    <w:rPr>
      <w:rFonts w:eastAsia="Times New Roman"/>
      <w:bCs/>
      <w:i/>
    </w:rPr>
  </w:style>
  <w:style w:type="paragraph" w:customStyle="1" w:styleId="Heading41">
    <w:name w:val="Heading 41"/>
    <w:basedOn w:val="Normal"/>
    <w:next w:val="Text1"/>
    <w:uiPriority w:val="9"/>
    <w:semiHidden/>
    <w:unhideWhenUsed/>
    <w:qFormat/>
    <w:rsid w:val="00B46953"/>
    <w:pPr>
      <w:keepNext/>
      <w:tabs>
        <w:tab w:val="num" w:pos="850"/>
      </w:tabs>
      <w:ind w:left="850" w:hanging="850"/>
      <w:outlineLvl w:val="3"/>
    </w:pPr>
    <w:rPr>
      <w:rFonts w:eastAsia="Times New Roman"/>
      <w:bCs/>
      <w:iCs/>
    </w:rPr>
  </w:style>
  <w:style w:type="paragraph" w:customStyle="1" w:styleId="Heading51">
    <w:name w:val="Heading 51"/>
    <w:basedOn w:val="Normal"/>
    <w:next w:val="Text2"/>
    <w:uiPriority w:val="9"/>
    <w:semiHidden/>
    <w:unhideWhenUsed/>
    <w:qFormat/>
    <w:rsid w:val="00B46953"/>
    <w:pPr>
      <w:keepNext/>
      <w:tabs>
        <w:tab w:val="num" w:pos="1417"/>
      </w:tabs>
      <w:ind w:left="1417" w:hanging="1417"/>
      <w:outlineLvl w:val="4"/>
    </w:pPr>
    <w:rPr>
      <w:rFonts w:eastAsia="Times New Roman"/>
    </w:rPr>
  </w:style>
  <w:style w:type="paragraph" w:customStyle="1" w:styleId="Heading61">
    <w:name w:val="Heading 61"/>
    <w:basedOn w:val="Normal"/>
    <w:next w:val="Text2"/>
    <w:uiPriority w:val="9"/>
    <w:semiHidden/>
    <w:unhideWhenUsed/>
    <w:qFormat/>
    <w:rsid w:val="00B46953"/>
    <w:pPr>
      <w:keepNext/>
      <w:tabs>
        <w:tab w:val="num" w:pos="1417"/>
      </w:tabs>
      <w:ind w:left="1417" w:hanging="1417"/>
      <w:outlineLvl w:val="5"/>
    </w:pPr>
    <w:rPr>
      <w:rFonts w:eastAsia="Times New Roman"/>
      <w:iCs/>
    </w:rPr>
  </w:style>
  <w:style w:type="paragraph" w:customStyle="1" w:styleId="Heading71">
    <w:name w:val="Heading 71"/>
    <w:basedOn w:val="Normal"/>
    <w:next w:val="Text2"/>
    <w:uiPriority w:val="9"/>
    <w:semiHidden/>
    <w:unhideWhenUsed/>
    <w:qFormat/>
    <w:rsid w:val="00B46953"/>
    <w:pPr>
      <w:keepNext/>
      <w:tabs>
        <w:tab w:val="num" w:pos="1417"/>
      </w:tabs>
      <w:ind w:left="1417" w:hanging="1417"/>
      <w:outlineLvl w:val="6"/>
    </w:pPr>
    <w:rPr>
      <w:rFonts w:eastAsia="Times New Roman"/>
      <w:iCs/>
    </w:rPr>
  </w:style>
  <w:style w:type="numbering" w:customStyle="1" w:styleId="NoList1">
    <w:name w:val="No List1"/>
    <w:next w:val="NoList"/>
    <w:uiPriority w:val="99"/>
    <w:semiHidden/>
    <w:unhideWhenUsed/>
    <w:rsid w:val="00B46953"/>
  </w:style>
  <w:style w:type="table" w:styleId="TableGrid">
    <w:name w:val="Table Grid"/>
    <w:basedOn w:val="TableNormal"/>
    <w:rsid w:val="00B4695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B46953"/>
    <w:rPr>
      <w:rFonts w:cs="Times New Roman"/>
      <w:lang w:val="hr-HR" w:eastAsia="en-GB"/>
    </w:rPr>
  </w:style>
  <w:style w:type="character" w:customStyle="1" w:styleId="tw4winMark">
    <w:name w:val="tw4winMark"/>
    <w:rsid w:val="00B46953"/>
    <w:rPr>
      <w:rFonts w:ascii="Times New Roman" w:hAnsi="Times New Roman"/>
      <w:vanish/>
      <w:color w:val="800080"/>
      <w:sz w:val="24"/>
      <w:vertAlign w:val="subscript"/>
      <w:lang w:val="hr-HR" w:eastAsia="en-GB"/>
    </w:rPr>
  </w:style>
  <w:style w:type="character" w:customStyle="1" w:styleId="tw4winError">
    <w:name w:val="tw4winError"/>
    <w:rsid w:val="00B46953"/>
    <w:rPr>
      <w:color w:val="00FF00"/>
      <w:sz w:val="40"/>
      <w:lang w:val="hr-HR" w:eastAsia="en-GB"/>
    </w:rPr>
  </w:style>
  <w:style w:type="character" w:customStyle="1" w:styleId="tw4winTerm">
    <w:name w:val="tw4winTerm"/>
    <w:rsid w:val="00B46953"/>
    <w:rPr>
      <w:color w:val="0000FF"/>
      <w:lang w:val="hr-HR" w:eastAsia="en-GB"/>
    </w:rPr>
  </w:style>
  <w:style w:type="character" w:customStyle="1" w:styleId="tw4winPopup">
    <w:name w:val="tw4winPopup"/>
    <w:rsid w:val="00B46953"/>
    <w:rPr>
      <w:noProof/>
      <w:color w:val="008000"/>
      <w:lang w:val="hr-HR" w:eastAsia="en-GB"/>
    </w:rPr>
  </w:style>
  <w:style w:type="character" w:customStyle="1" w:styleId="tw4winJump">
    <w:name w:val="tw4winJump"/>
    <w:rsid w:val="00B46953"/>
    <w:rPr>
      <w:noProof/>
      <w:color w:val="008080"/>
      <w:lang w:val="hr-HR" w:eastAsia="en-GB"/>
    </w:rPr>
  </w:style>
  <w:style w:type="character" w:customStyle="1" w:styleId="tw4winExternal">
    <w:name w:val="tw4winExternal"/>
    <w:rsid w:val="00B46953"/>
    <w:rPr>
      <w:noProof/>
      <w:color w:val="808080"/>
      <w:lang w:val="hr-HR" w:eastAsia="en-GB"/>
    </w:rPr>
  </w:style>
  <w:style w:type="character" w:customStyle="1" w:styleId="tw4winInternal">
    <w:name w:val="tw4winInternal"/>
    <w:rsid w:val="00B46953"/>
    <w:rPr>
      <w:noProof/>
      <w:color w:val="FF0000"/>
      <w:lang w:val="hr-HR" w:eastAsia="en-GB"/>
    </w:rPr>
  </w:style>
  <w:style w:type="character" w:customStyle="1" w:styleId="DONOTTRANSLATE">
    <w:name w:val="DO_NOT_TRANSLATE"/>
    <w:rsid w:val="00B46953"/>
    <w:rPr>
      <w:noProof/>
      <w:color w:val="800000"/>
      <w:lang w:val="hr-HR" w:eastAsia="en-GB"/>
    </w:rPr>
  </w:style>
  <w:style w:type="character" w:customStyle="1" w:styleId="FollowedHyperlink1">
    <w:name w:val="FollowedHyperlink1"/>
    <w:basedOn w:val="DefaultParagraphFont"/>
    <w:uiPriority w:val="99"/>
    <w:semiHidden/>
    <w:unhideWhenUsed/>
    <w:rsid w:val="00B46953"/>
    <w:rPr>
      <w:color w:val="800080"/>
      <w:u w:val="single"/>
    </w:rPr>
  </w:style>
  <w:style w:type="paragraph" w:customStyle="1" w:styleId="Caption1">
    <w:name w:val="Caption1"/>
    <w:basedOn w:val="Normal"/>
    <w:next w:val="Normal"/>
    <w:uiPriority w:val="35"/>
    <w:semiHidden/>
    <w:unhideWhenUsed/>
    <w:qFormat/>
    <w:rsid w:val="00B46953"/>
    <w:pPr>
      <w:spacing w:before="0" w:after="200"/>
    </w:pPr>
    <w:rPr>
      <w:i/>
      <w:iCs/>
      <w:color w:val="1F497D"/>
      <w:sz w:val="18"/>
      <w:szCs w:val="18"/>
    </w:rPr>
  </w:style>
  <w:style w:type="character" w:customStyle="1" w:styleId="Heading1Char1">
    <w:name w:val="Heading 1 Char1"/>
    <w:basedOn w:val="DefaultParagraphFont"/>
    <w:uiPriority w:val="9"/>
    <w:rsid w:val="00B46953"/>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B46953"/>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B46953"/>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sid w:val="00B46953"/>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uiPriority w:val="9"/>
    <w:semiHidden/>
    <w:rsid w:val="00B46953"/>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B46953"/>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B46953"/>
    <w:rPr>
      <w:rFonts w:asciiTheme="majorHAnsi" w:eastAsiaTheme="majorEastAsia" w:hAnsiTheme="majorHAnsi" w:cstheme="majorBidi"/>
      <w:i/>
      <w:iCs/>
      <w:color w:val="243F60" w:themeColor="accent1" w:themeShade="7F"/>
    </w:rPr>
  </w:style>
  <w:style w:type="character" w:customStyle="1" w:styleId="UnresolvedMention1">
    <w:name w:val="Unresolved Mention1"/>
    <w:basedOn w:val="DefaultParagraphFont"/>
    <w:uiPriority w:val="99"/>
    <w:semiHidden/>
    <w:unhideWhenUsed/>
    <w:rsid w:val="00091884"/>
    <w:rPr>
      <w:color w:val="605E5C"/>
      <w:shd w:val="clear" w:color="auto" w:fill="E1DFDD"/>
    </w:rPr>
  </w:style>
  <w:style w:type="character" w:customStyle="1" w:styleId="UnresolvedMention">
    <w:name w:val="Unresolved Mention"/>
    <w:basedOn w:val="DefaultParagraphFont"/>
    <w:uiPriority w:val="99"/>
    <w:semiHidden/>
    <w:unhideWhenUsed/>
    <w:rsid w:val="00B85DD3"/>
    <w:rPr>
      <w:color w:val="605E5C"/>
      <w:shd w:val="clear" w:color="auto" w:fill="E1DFDD"/>
    </w:rPr>
  </w:style>
  <w:style w:type="paragraph" w:styleId="Header">
    <w:name w:val="header"/>
    <w:basedOn w:val="Normal"/>
    <w:link w:val="HeaderChar"/>
    <w:uiPriority w:val="99"/>
    <w:unhideWhenUsed/>
    <w:rsid w:val="00396AE5"/>
    <w:pPr>
      <w:tabs>
        <w:tab w:val="center" w:pos="4535"/>
        <w:tab w:val="right" w:pos="9071"/>
      </w:tabs>
      <w:spacing w:before="0"/>
    </w:pPr>
  </w:style>
  <w:style w:type="character" w:customStyle="1" w:styleId="HeaderChar">
    <w:name w:val="Header Char"/>
    <w:basedOn w:val="DefaultParagraphFont"/>
    <w:link w:val="Header"/>
    <w:uiPriority w:val="99"/>
    <w:rsid w:val="00396AE5"/>
    <w:rPr>
      <w:rFonts w:ascii="Times New Roman" w:hAnsi="Times New Roman" w:cs="Times New Roman"/>
      <w:sz w:val="24"/>
      <w:lang w:val="hr-HR"/>
    </w:rPr>
  </w:style>
  <w:style w:type="paragraph" w:styleId="Footer">
    <w:name w:val="footer"/>
    <w:basedOn w:val="Normal"/>
    <w:link w:val="FooterChar"/>
    <w:uiPriority w:val="99"/>
    <w:unhideWhenUsed/>
    <w:rsid w:val="00396AE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96AE5"/>
    <w:rPr>
      <w:rFonts w:ascii="Times New Roman" w:hAnsi="Times New Roman" w:cs="Times New Roman"/>
      <w:sz w:val="24"/>
      <w:lang w:val="hr-H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hr-H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hr-H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hr-H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hr-HR"/>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hr-HR"/>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hr-HR"/>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hr-H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396AE5"/>
    <w:pPr>
      <w:tabs>
        <w:tab w:val="center" w:pos="7285"/>
        <w:tab w:val="right" w:pos="14003"/>
      </w:tabs>
      <w:spacing w:before="0"/>
    </w:pPr>
  </w:style>
  <w:style w:type="paragraph" w:customStyle="1" w:styleId="FooterLandscape">
    <w:name w:val="FooterLandscape"/>
    <w:basedOn w:val="Normal"/>
    <w:rsid w:val="00396AE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link w:val="CharCharChar1"/>
    <w:uiPriority w:val="99"/>
    <w:semiHidden/>
    <w:unhideWhenUsed/>
    <w:rPr>
      <w:shd w:val="clear" w:color="auto" w:fill="auto"/>
      <w:vertAlign w:val="superscript"/>
    </w:rPr>
  </w:style>
  <w:style w:type="paragraph" w:customStyle="1" w:styleId="HeaderSensitivity">
    <w:name w:val="Header Sensitivity"/>
    <w:basedOn w:val="Normal"/>
    <w:rsid w:val="00396AE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96AE5"/>
    <w:pPr>
      <w:spacing w:before="0"/>
      <w:jc w:val="right"/>
    </w:pPr>
    <w:rPr>
      <w:sz w:val="28"/>
    </w:rPr>
  </w:style>
  <w:style w:type="paragraph" w:customStyle="1" w:styleId="FooterSensitivity">
    <w:name w:val="Footer Sensitivity"/>
    <w:basedOn w:val="Normal"/>
    <w:rsid w:val="00396AE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Tiret5">
    <w:name w:val="Tiret 5"/>
    <w:basedOn w:val="Point5"/>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NumPar5">
    <w:name w:val="NumPar 5"/>
    <w:basedOn w:val="Normal"/>
    <w:next w:val="Text2"/>
    <w:pPr>
      <w:numPr>
        <w:ilvl w:val="4"/>
        <w:numId w:val="39"/>
      </w:numPr>
    </w:pPr>
  </w:style>
  <w:style w:type="paragraph" w:customStyle="1" w:styleId="NumPar6">
    <w:name w:val="NumPar 6"/>
    <w:basedOn w:val="Normal"/>
    <w:next w:val="Text2"/>
    <w:pPr>
      <w:numPr>
        <w:ilvl w:val="5"/>
        <w:numId w:val="39"/>
      </w:numPr>
    </w:pPr>
  </w:style>
  <w:style w:type="paragraph" w:customStyle="1" w:styleId="NumPar7">
    <w:name w:val="NumPar 7"/>
    <w:basedOn w:val="Normal"/>
    <w:next w:val="Text2"/>
    <w:pPr>
      <w:numPr>
        <w:ilvl w:val="6"/>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C9185E"/>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myintracomm.ec.europa.eu/corp/budget/financial-rules/legal-framework/internal-rules/Documents/2022-5-legislative-financial-statement-annex-en.docx"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arl.europa.eu/doceo/document/TA-9-2022-0435_HR.html" TargetMode="External"/><Relationship Id="rId2" Type="http://schemas.openxmlformats.org/officeDocument/2006/relationships/hyperlink" Target="https://www.europarl.europa.eu/doceo/document/TA-9-2021-0414_HR.pdf" TargetMode="External"/><Relationship Id="rId1" Type="http://schemas.openxmlformats.org/officeDocument/2006/relationships/hyperlink" Target="https://www.europarl.europa.eu/doceo/document/TA-9-2020-0156_HR.html" TargetMode="External"/><Relationship Id="rId6" Type="http://schemas.openxmlformats.org/officeDocument/2006/relationships/hyperlink" Target="https://myintracomm.ec.europa.eu/corp/budget/financial-rules/budget-implementation/Pages/implementation-methods.aspx" TargetMode="External"/><Relationship Id="rId5" Type="http://schemas.openxmlformats.org/officeDocument/2006/relationships/hyperlink" Target="https://op.europa.eu/hr/publication-detail/-/publication/4adbe538-0a02-11ec-b5d3-01aa75ed71a1/language-hr" TargetMode="External"/><Relationship Id="rId4" Type="http://schemas.openxmlformats.org/officeDocument/2006/relationships/hyperlink" Target="https://op.europa.eu/hr/publication-detail/-/publication/4adbe538-0a02-11ec-b5d3-01aa75ed71a1/language-h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5121D-55D2-4DAB-9819-140ECEF1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48</TotalTime>
  <Pages>47</Pages>
  <Words>15683</Words>
  <Characters>94259</Characters>
  <Application>Microsoft Office Word</Application>
  <DocSecurity>0</DocSecurity>
  <Lines>2416</Lines>
  <Paragraphs>901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60</cp:revision>
  <cp:lastPrinted>2023-09-06T07:02:00Z</cp:lastPrinted>
  <dcterms:created xsi:type="dcterms:W3CDTF">2023-09-06T07:19:00Z</dcterms:created>
  <dcterms:modified xsi:type="dcterms:W3CDTF">2023-09-18T16:36:00Z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2023-07-17T07:17:19Z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6895ab39-d06c-4721-8eaa-d55ea64cf8c4</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SJ-024</vt:lpwstr>
  </property>
  <property fmtid="{D5CDD505-2E9C-101B-9397-08002B2CF9AE}" pid="17" name="DQCStatus">
    <vt:lpwstr>Green (DQC version 03)</vt:lpwstr>
  </property>
</Properties>
</file>