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9BA23" w14:textId="1155DC1E" w:rsidR="0047249C" w:rsidRDefault="00237B16" w:rsidP="00237B16">
      <w:pPr>
        <w:pStyle w:val="Pagedecouverture"/>
        <w:rPr>
          <w:noProof/>
        </w:rPr>
      </w:pPr>
      <w:bookmarkStart w:id="0" w:name="LW_BM_COVERPAGE"/>
      <w:r>
        <w:rPr>
          <w:noProof/>
        </w:rPr>
        <w:pict w14:anchorId="0EEFA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2E2CBB1-D8DF-4769-BF92-FC5C2A580302" style="width:455.25pt;height:351.75pt">
            <v:imagedata r:id="rId8" o:title=""/>
          </v:shape>
        </w:pict>
      </w:r>
    </w:p>
    <w:bookmarkEnd w:id="0"/>
    <w:p w14:paraId="484E93DA" w14:textId="77777777" w:rsidR="0047249C" w:rsidRDefault="0047249C" w:rsidP="0047249C">
      <w:pPr>
        <w:rPr>
          <w:noProof/>
        </w:rPr>
        <w:sectPr w:rsidR="0047249C" w:rsidSect="00237B16">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6E1320E" w14:textId="4061C259" w:rsidR="0047249C" w:rsidRDefault="0047249C" w:rsidP="00166BBD">
      <w:pPr>
        <w:pStyle w:val="Heading1"/>
        <w:spacing w:before="0" w:line="240" w:lineRule="auto"/>
        <w:ind w:left="432"/>
        <w:rPr>
          <w:lang w:val="en-IE"/>
        </w:rPr>
      </w:pPr>
      <w:bookmarkStart w:id="1" w:name="_GoBack"/>
      <w:bookmarkEnd w:id="1"/>
      <w:r w:rsidRPr="00F87851">
        <w:rPr>
          <w:lang w:val="en-IE"/>
        </w:rPr>
        <w:lastRenderedPageBreak/>
        <w:t>Introduction</w:t>
      </w:r>
    </w:p>
    <w:p w14:paraId="0849EEB3" w14:textId="0357179E" w:rsidR="0047249C" w:rsidRDefault="0047249C" w:rsidP="00166BBD">
      <w:pPr>
        <w:spacing w:after="24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On 20 June 2019, the European Parliament and the Council adopted </w:t>
      </w:r>
      <w:r w:rsidRPr="00DB69E5">
        <w:rPr>
          <w:rFonts w:ascii="Times New Roman" w:hAnsi="Times New Roman" w:cs="Times New Roman"/>
          <w:noProof/>
          <w:sz w:val="24"/>
          <w:szCs w:val="24"/>
          <w:lang w:eastAsia="en-GB"/>
        </w:rPr>
        <w:t xml:space="preserve">Regulation (EU) 2019/1157 on strengthening the security of identity cards of </w:t>
      </w:r>
      <w:r w:rsidR="00A419D1">
        <w:rPr>
          <w:rFonts w:ascii="Times New Roman" w:hAnsi="Times New Roman" w:cs="Times New Roman"/>
          <w:noProof/>
          <w:sz w:val="24"/>
          <w:szCs w:val="24"/>
          <w:lang w:eastAsia="en-GB"/>
        </w:rPr>
        <w:t>EU</w:t>
      </w:r>
      <w:r w:rsidRPr="00DB69E5">
        <w:rPr>
          <w:rFonts w:ascii="Times New Roman" w:hAnsi="Times New Roman" w:cs="Times New Roman"/>
          <w:noProof/>
          <w:sz w:val="24"/>
          <w:szCs w:val="24"/>
          <w:lang w:eastAsia="en-GB"/>
        </w:rPr>
        <w:t xml:space="preserve"> citizens and of residence documents issued to </w:t>
      </w:r>
      <w:r w:rsidR="00A419D1">
        <w:rPr>
          <w:rFonts w:ascii="Times New Roman" w:hAnsi="Times New Roman" w:cs="Times New Roman"/>
          <w:noProof/>
          <w:sz w:val="24"/>
          <w:szCs w:val="24"/>
          <w:lang w:eastAsia="en-GB"/>
        </w:rPr>
        <w:t>EU</w:t>
      </w:r>
      <w:r w:rsidRPr="00DB69E5">
        <w:rPr>
          <w:rFonts w:ascii="Times New Roman" w:hAnsi="Times New Roman" w:cs="Times New Roman"/>
          <w:noProof/>
          <w:sz w:val="24"/>
          <w:szCs w:val="24"/>
          <w:lang w:eastAsia="en-GB"/>
        </w:rPr>
        <w:t xml:space="preserve"> citizens and their family members exercising their right of free movement</w:t>
      </w:r>
      <w:r>
        <w:rPr>
          <w:rStyle w:val="FootnoteReference"/>
          <w:rFonts w:ascii="Times New Roman" w:hAnsi="Times New Roman" w:cs="Times New Roman"/>
          <w:noProof/>
          <w:sz w:val="24"/>
          <w:szCs w:val="24"/>
          <w:lang w:eastAsia="en-GB"/>
        </w:rPr>
        <w:footnoteReference w:id="2"/>
      </w:r>
      <w:r>
        <w:rPr>
          <w:rFonts w:ascii="Times New Roman" w:hAnsi="Times New Roman" w:cs="Times New Roman"/>
          <w:noProof/>
          <w:sz w:val="24"/>
          <w:szCs w:val="24"/>
          <w:lang w:eastAsia="en-GB"/>
        </w:rPr>
        <w:t xml:space="preserve"> (the ‘Regulation’). The Regulation </w:t>
      </w:r>
      <w:r w:rsidRPr="00DB69E5">
        <w:rPr>
          <w:rFonts w:ascii="Times New Roman" w:hAnsi="Times New Roman" w:cs="Times New Roman"/>
          <w:noProof/>
          <w:sz w:val="24"/>
          <w:szCs w:val="24"/>
          <w:lang w:eastAsia="en-GB"/>
        </w:rPr>
        <w:t>entered into force on 1 August 2019 and appl</w:t>
      </w:r>
      <w:r>
        <w:rPr>
          <w:rFonts w:ascii="Times New Roman" w:hAnsi="Times New Roman" w:cs="Times New Roman"/>
          <w:noProof/>
          <w:sz w:val="24"/>
          <w:szCs w:val="24"/>
          <w:lang w:eastAsia="en-GB"/>
        </w:rPr>
        <w:t>ies</w:t>
      </w:r>
      <w:r w:rsidRPr="00DB69E5">
        <w:rPr>
          <w:rFonts w:ascii="Times New Roman" w:hAnsi="Times New Roman" w:cs="Times New Roman"/>
          <w:noProof/>
          <w:sz w:val="24"/>
          <w:szCs w:val="24"/>
          <w:lang w:eastAsia="en-GB"/>
        </w:rPr>
        <w:t xml:space="preserve"> as of 2 </w:t>
      </w:r>
      <w:r>
        <w:rPr>
          <w:rFonts w:ascii="Times New Roman" w:hAnsi="Times New Roman" w:cs="Times New Roman"/>
          <w:noProof/>
          <w:sz w:val="24"/>
          <w:szCs w:val="24"/>
          <w:lang w:eastAsia="en-GB"/>
        </w:rPr>
        <w:t>August</w:t>
      </w:r>
      <w:r w:rsidRPr="00DB69E5">
        <w:rPr>
          <w:rFonts w:ascii="Times New Roman" w:hAnsi="Times New Roman" w:cs="Times New Roman"/>
          <w:noProof/>
          <w:sz w:val="24"/>
          <w:szCs w:val="24"/>
          <w:lang w:eastAsia="en-GB"/>
        </w:rPr>
        <w:t xml:space="preserve"> 2021</w:t>
      </w:r>
      <w:r>
        <w:rPr>
          <w:rStyle w:val="FootnoteReference"/>
          <w:rFonts w:ascii="Times New Roman" w:hAnsi="Times New Roman" w:cs="Times New Roman"/>
          <w:noProof/>
          <w:sz w:val="24"/>
          <w:szCs w:val="24"/>
          <w:lang w:eastAsia="en-GB"/>
        </w:rPr>
        <w:footnoteReference w:id="3"/>
      </w:r>
      <w:r w:rsidRPr="00DB69E5">
        <w:rPr>
          <w:rFonts w:ascii="Times New Roman" w:hAnsi="Times New Roman" w:cs="Times New Roman"/>
          <w:noProof/>
          <w:sz w:val="24"/>
          <w:szCs w:val="24"/>
          <w:lang w:eastAsia="en-GB"/>
        </w:rPr>
        <w:t xml:space="preserve">. </w:t>
      </w:r>
    </w:p>
    <w:p w14:paraId="1756F191" w14:textId="5B50147C" w:rsidR="0047249C" w:rsidRPr="00A956E6" w:rsidRDefault="000B42DD" w:rsidP="00166BBD">
      <w:pPr>
        <w:spacing w:after="240" w:line="240" w:lineRule="auto"/>
        <w:jc w:val="both"/>
        <w:rPr>
          <w:rFonts w:ascii="Times New Roman" w:hAnsi="Times New Roman"/>
          <w:noProof/>
          <w:sz w:val="24"/>
        </w:rPr>
      </w:pPr>
      <w:r>
        <w:rPr>
          <w:rFonts w:ascii="Times New Roman" w:hAnsi="Times New Roman" w:cs="Times New Roman"/>
          <w:noProof/>
          <w:sz w:val="24"/>
          <w:szCs w:val="24"/>
          <w:lang w:val="en-GB" w:eastAsia="en-GB"/>
        </w:rPr>
        <w:t>T</w:t>
      </w:r>
      <w:r w:rsidR="0047249C" w:rsidRPr="004C1BC5">
        <w:rPr>
          <w:rFonts w:ascii="Times New Roman" w:hAnsi="Times New Roman" w:cs="Times New Roman"/>
          <w:noProof/>
          <w:sz w:val="24"/>
          <w:szCs w:val="24"/>
        </w:rPr>
        <w:t>he Regulation covers documents referred to</w:t>
      </w:r>
      <w:r w:rsidR="0047249C">
        <w:rPr>
          <w:rFonts w:ascii="Times New Roman" w:hAnsi="Times New Roman" w:cs="Times New Roman"/>
          <w:noProof/>
          <w:sz w:val="24"/>
          <w:szCs w:val="24"/>
        </w:rPr>
        <w:t xml:space="preserve"> in</w:t>
      </w:r>
      <w:r w:rsidR="0047249C" w:rsidRPr="004C1BC5">
        <w:rPr>
          <w:rFonts w:ascii="Times New Roman" w:hAnsi="Times New Roman" w:cs="Times New Roman"/>
          <w:noProof/>
          <w:sz w:val="24"/>
          <w:szCs w:val="24"/>
        </w:rPr>
        <w:t xml:space="preserve"> or established by Directive 2004/38/EC</w:t>
      </w:r>
      <w:r w:rsidR="0047249C">
        <w:rPr>
          <w:rFonts w:ascii="Times New Roman" w:hAnsi="Times New Roman" w:cs="Times New Roman"/>
          <w:noProof/>
          <w:sz w:val="24"/>
          <w:szCs w:val="24"/>
        </w:rPr>
        <w:t xml:space="preserve"> (the ‘Free Movement Directive’)</w:t>
      </w:r>
      <w:r w:rsidR="0047249C" w:rsidRPr="004C1BC5">
        <w:rPr>
          <w:rStyle w:val="FootnoteReference"/>
          <w:rFonts w:ascii="Times New Roman" w:hAnsi="Times New Roman" w:cs="Times New Roman"/>
          <w:noProof/>
          <w:sz w:val="24"/>
          <w:szCs w:val="24"/>
        </w:rPr>
        <w:footnoteReference w:id="4"/>
      </w:r>
      <w:r w:rsidR="0047249C" w:rsidRPr="004C1BC5">
        <w:rPr>
          <w:rFonts w:ascii="Times New Roman" w:hAnsi="Times New Roman" w:cs="Times New Roman"/>
          <w:bCs/>
          <w:noProof/>
          <w:sz w:val="24"/>
          <w:szCs w:val="24"/>
          <w:shd w:val="clear" w:color="auto" w:fill="FFFFFF"/>
        </w:rPr>
        <w:t xml:space="preserve">: </w:t>
      </w:r>
      <w:r w:rsidR="0047249C">
        <w:rPr>
          <w:rFonts w:ascii="Times New Roman" w:hAnsi="Times New Roman" w:cs="Times New Roman"/>
          <w:bCs/>
          <w:noProof/>
          <w:sz w:val="24"/>
          <w:szCs w:val="24"/>
          <w:shd w:val="clear" w:color="auto" w:fill="FFFFFF"/>
        </w:rPr>
        <w:t>identity cards</w:t>
      </w:r>
      <w:r w:rsidR="0047249C" w:rsidRPr="004C1BC5">
        <w:rPr>
          <w:rFonts w:ascii="Times New Roman" w:hAnsi="Times New Roman" w:cs="Times New Roman"/>
          <w:bCs/>
          <w:noProof/>
          <w:sz w:val="24"/>
          <w:szCs w:val="24"/>
          <w:shd w:val="clear" w:color="auto" w:fill="FFFFFF"/>
        </w:rPr>
        <w:t xml:space="preserve">, residence documents for </w:t>
      </w:r>
      <w:r w:rsidR="00A419D1">
        <w:rPr>
          <w:rFonts w:ascii="Times New Roman" w:hAnsi="Times New Roman" w:cs="Times New Roman"/>
          <w:bCs/>
          <w:noProof/>
          <w:sz w:val="24"/>
          <w:szCs w:val="24"/>
          <w:shd w:val="clear" w:color="auto" w:fill="FFFFFF"/>
        </w:rPr>
        <w:t>EU</w:t>
      </w:r>
      <w:r w:rsidR="0047249C" w:rsidRPr="004C1BC5">
        <w:rPr>
          <w:rFonts w:ascii="Times New Roman" w:hAnsi="Times New Roman" w:cs="Times New Roman"/>
          <w:bCs/>
          <w:noProof/>
          <w:sz w:val="24"/>
          <w:szCs w:val="24"/>
          <w:shd w:val="clear" w:color="auto" w:fill="FFFFFF"/>
        </w:rPr>
        <w:t xml:space="preserve"> citizens, </w:t>
      </w:r>
      <w:r w:rsidR="0047249C" w:rsidRPr="004C1BC5">
        <w:rPr>
          <w:rFonts w:ascii="Times New Roman" w:hAnsi="Times New Roman" w:cs="Times New Roman"/>
          <w:noProof/>
          <w:sz w:val="24"/>
          <w:szCs w:val="24"/>
        </w:rPr>
        <w:t xml:space="preserve">and </w:t>
      </w:r>
      <w:r w:rsidR="0047249C" w:rsidRPr="004C1BC5">
        <w:rPr>
          <w:rFonts w:ascii="Times New Roman" w:hAnsi="Times New Roman" w:cs="Times New Roman"/>
          <w:noProof/>
          <w:sz w:val="24"/>
          <w:szCs w:val="24"/>
          <w:shd w:val="clear" w:color="auto" w:fill="FFFFFF"/>
        </w:rPr>
        <w:t>residence cards for family members who are not nationals of a Member State</w:t>
      </w:r>
      <w:r w:rsidR="0047249C" w:rsidRPr="004C1BC5">
        <w:rPr>
          <w:rFonts w:ascii="Times New Roman" w:hAnsi="Times New Roman" w:cs="Times New Roman"/>
          <w:noProof/>
          <w:sz w:val="24"/>
          <w:szCs w:val="24"/>
        </w:rPr>
        <w:t>.</w:t>
      </w:r>
    </w:p>
    <w:p w14:paraId="28CC3F3B" w14:textId="54AAF934" w:rsidR="008E7AA6" w:rsidRDefault="0047249C" w:rsidP="00166BBD">
      <w:pPr>
        <w:spacing w:after="240" w:line="240" w:lineRule="auto"/>
        <w:jc w:val="both"/>
        <w:rPr>
          <w:rFonts w:ascii="Times New Roman" w:hAnsi="Times New Roman" w:cs="Times New Roman"/>
          <w:noProof/>
          <w:sz w:val="24"/>
          <w:szCs w:val="24"/>
        </w:rPr>
      </w:pPr>
      <w:r w:rsidRPr="006D240C">
        <w:rPr>
          <w:rFonts w:ascii="Times New Roman" w:hAnsi="Times New Roman" w:cs="Times New Roman"/>
          <w:noProof/>
          <w:sz w:val="24"/>
          <w:szCs w:val="24"/>
          <w:lang w:val="en-GB" w:eastAsia="en-GB"/>
        </w:rPr>
        <w:t xml:space="preserve">Pursuant to </w:t>
      </w:r>
      <w:r>
        <w:rPr>
          <w:rFonts w:ascii="Times New Roman" w:hAnsi="Times New Roman" w:cs="Times New Roman"/>
          <w:noProof/>
          <w:sz w:val="24"/>
          <w:szCs w:val="24"/>
          <w:lang w:val="en-GB" w:eastAsia="en-GB"/>
        </w:rPr>
        <w:t>the Free Movement Directive</w:t>
      </w:r>
      <w:r w:rsidRPr="006D240C">
        <w:rPr>
          <w:rFonts w:ascii="Times New Roman" w:hAnsi="Times New Roman" w:cs="Times New Roman"/>
          <w:noProof/>
          <w:sz w:val="24"/>
          <w:szCs w:val="24"/>
          <w:lang w:val="en-GB" w:eastAsia="en-GB"/>
        </w:rPr>
        <w:t xml:space="preserve">, Member States are to issue and renew identity cards to their nationals </w:t>
      </w:r>
      <w:r w:rsidR="00262F35" w:rsidRPr="003A0514">
        <w:rPr>
          <w:rFonts w:ascii="Times New Roman" w:hAnsi="Times New Roman" w:cs="Times New Roman"/>
          <w:noProof/>
          <w:color w:val="000000"/>
          <w:sz w:val="24"/>
          <w:szCs w:val="24"/>
          <w:shd w:val="clear" w:color="auto" w:fill="FFFFFF"/>
        </w:rPr>
        <w:t>when exercising their right to free movement</w:t>
      </w:r>
      <w:r w:rsidR="00262F35" w:rsidRPr="00262F35">
        <w:rPr>
          <w:rFonts w:ascii="Times New Roman" w:hAnsi="Times New Roman" w:cs="Times New Roman"/>
          <w:noProof/>
          <w:sz w:val="24"/>
          <w:szCs w:val="24"/>
          <w:lang w:val="en-GB" w:eastAsia="en-GB"/>
        </w:rPr>
        <w:t xml:space="preserve"> </w:t>
      </w:r>
      <w:r w:rsidR="00262F35" w:rsidRPr="006D240C">
        <w:rPr>
          <w:rFonts w:ascii="Times New Roman" w:hAnsi="Times New Roman" w:cs="Times New Roman"/>
          <w:noProof/>
          <w:sz w:val="24"/>
          <w:szCs w:val="24"/>
          <w:lang w:val="en-GB" w:eastAsia="en-GB"/>
        </w:rPr>
        <w:t>in accordance with national laws</w:t>
      </w:r>
      <w:r w:rsidR="00262F35" w:rsidRPr="004C1BC5">
        <w:rPr>
          <w:rStyle w:val="FootnoteReference"/>
          <w:rFonts w:ascii="Times New Roman" w:hAnsi="Times New Roman" w:cs="Times New Roman"/>
          <w:noProof/>
          <w:sz w:val="24"/>
          <w:szCs w:val="24"/>
        </w:rPr>
        <w:footnoteReference w:id="5"/>
      </w:r>
      <w:r w:rsidR="00262F35" w:rsidRPr="003A0514">
        <w:rPr>
          <w:rFonts w:ascii="Times New Roman" w:hAnsi="Times New Roman" w:cs="Times New Roman"/>
          <w:noProof/>
          <w:color w:val="000000"/>
          <w:sz w:val="24"/>
          <w:szCs w:val="24"/>
          <w:shd w:val="clear" w:color="auto" w:fill="FFFFFF"/>
        </w:rPr>
        <w:t>.</w:t>
      </w:r>
      <w:r w:rsidR="00262F35">
        <w:rPr>
          <w:rFonts w:ascii="Times New Roman" w:hAnsi="Times New Roman" w:cs="Times New Roman"/>
          <w:noProof/>
          <w:color w:val="000000"/>
          <w:sz w:val="24"/>
          <w:szCs w:val="24"/>
          <w:shd w:val="clear" w:color="auto" w:fill="FFFFFF"/>
        </w:rPr>
        <w:t xml:space="preserve"> This covers, in particular, their use to exit</w:t>
      </w:r>
      <w:r w:rsidR="00262F35">
        <w:rPr>
          <w:rStyle w:val="FootnoteReference"/>
          <w:rFonts w:ascii="Times New Roman" w:hAnsi="Times New Roman" w:cs="Times New Roman"/>
          <w:noProof/>
          <w:color w:val="000000"/>
          <w:sz w:val="24"/>
          <w:szCs w:val="24"/>
          <w:shd w:val="clear" w:color="auto" w:fill="FFFFFF"/>
        </w:rPr>
        <w:footnoteReference w:id="6"/>
      </w:r>
      <w:r w:rsidR="00262F35">
        <w:rPr>
          <w:rFonts w:ascii="Times New Roman" w:hAnsi="Times New Roman" w:cs="Times New Roman"/>
          <w:noProof/>
          <w:color w:val="000000"/>
          <w:sz w:val="24"/>
          <w:szCs w:val="24"/>
          <w:shd w:val="clear" w:color="auto" w:fill="FFFFFF"/>
        </w:rPr>
        <w:t xml:space="preserve"> and enter</w:t>
      </w:r>
      <w:r w:rsidR="00262F35">
        <w:rPr>
          <w:rStyle w:val="FootnoteReference"/>
          <w:rFonts w:ascii="Times New Roman" w:hAnsi="Times New Roman" w:cs="Times New Roman"/>
          <w:noProof/>
          <w:color w:val="000000"/>
          <w:sz w:val="24"/>
          <w:szCs w:val="24"/>
          <w:shd w:val="clear" w:color="auto" w:fill="FFFFFF"/>
        </w:rPr>
        <w:footnoteReference w:id="7"/>
      </w:r>
      <w:r w:rsidR="00262F35">
        <w:rPr>
          <w:rFonts w:ascii="Times New Roman" w:hAnsi="Times New Roman" w:cs="Times New Roman"/>
          <w:noProof/>
          <w:color w:val="000000"/>
          <w:sz w:val="24"/>
          <w:szCs w:val="24"/>
          <w:shd w:val="clear" w:color="auto" w:fill="FFFFFF"/>
        </w:rPr>
        <w:t xml:space="preserve"> the territory of a Member State or for the registration of residence with the relevant authorities</w:t>
      </w:r>
      <w:r w:rsidR="00262F35">
        <w:rPr>
          <w:rStyle w:val="FootnoteReference"/>
          <w:rFonts w:ascii="Times New Roman" w:hAnsi="Times New Roman" w:cs="Times New Roman"/>
          <w:noProof/>
          <w:color w:val="000000"/>
          <w:sz w:val="24"/>
          <w:szCs w:val="24"/>
          <w:shd w:val="clear" w:color="auto" w:fill="FFFFFF"/>
        </w:rPr>
        <w:footnoteReference w:id="8"/>
      </w:r>
      <w:r w:rsidR="00262F35">
        <w:rPr>
          <w:rFonts w:ascii="Times New Roman" w:hAnsi="Times New Roman" w:cs="Times New Roman"/>
          <w:noProof/>
          <w:color w:val="000000"/>
          <w:sz w:val="24"/>
          <w:szCs w:val="24"/>
          <w:shd w:val="clear" w:color="auto" w:fill="FFFFFF"/>
        </w:rPr>
        <w:t>.</w:t>
      </w:r>
      <w:r w:rsidR="008E7AA6">
        <w:rPr>
          <w:rFonts w:ascii="Times New Roman" w:hAnsi="Times New Roman" w:cs="Times New Roman"/>
          <w:noProof/>
          <w:sz w:val="24"/>
          <w:szCs w:val="24"/>
          <w:lang w:val="en-GB" w:eastAsia="en-GB"/>
        </w:rPr>
        <w:t xml:space="preserve"> </w:t>
      </w:r>
      <w:r w:rsidR="008E7AA6">
        <w:rPr>
          <w:rFonts w:ascii="Times New Roman" w:hAnsi="Times New Roman" w:cs="Times New Roman"/>
          <w:bCs/>
          <w:noProof/>
          <w:sz w:val="24"/>
          <w:szCs w:val="24"/>
          <w:shd w:val="clear" w:color="auto" w:fill="FFFFFF"/>
        </w:rPr>
        <w:t>Identity</w:t>
      </w:r>
      <w:r w:rsidR="008E7AA6" w:rsidRPr="00D25179">
        <w:rPr>
          <w:rFonts w:ascii="Times New Roman" w:hAnsi="Times New Roman" w:cs="Times New Roman"/>
          <w:noProof/>
          <w:sz w:val="24"/>
          <w:szCs w:val="24"/>
        </w:rPr>
        <w:t xml:space="preserve"> cards can be used by </w:t>
      </w:r>
      <w:r w:rsidR="008E7AA6">
        <w:rPr>
          <w:rFonts w:ascii="Times New Roman" w:hAnsi="Times New Roman" w:cs="Times New Roman"/>
          <w:noProof/>
          <w:sz w:val="24"/>
          <w:szCs w:val="24"/>
        </w:rPr>
        <w:t>EU</w:t>
      </w:r>
      <w:r w:rsidR="008E7AA6" w:rsidRPr="00D25179">
        <w:rPr>
          <w:rFonts w:ascii="Times New Roman" w:hAnsi="Times New Roman" w:cs="Times New Roman"/>
          <w:noProof/>
          <w:sz w:val="24"/>
          <w:szCs w:val="24"/>
        </w:rPr>
        <w:t xml:space="preserve"> citizens </w:t>
      </w:r>
      <w:r w:rsidR="008E7AA6">
        <w:rPr>
          <w:rFonts w:ascii="Times New Roman" w:hAnsi="Times New Roman" w:cs="Times New Roman"/>
          <w:noProof/>
          <w:sz w:val="24"/>
          <w:szCs w:val="24"/>
        </w:rPr>
        <w:t xml:space="preserve">when travelling from another Member State or from a third country. They may thus also be used to cross the external borders of the Schengen area. At the same time, it is important to note that neither the Regulation nor the Free Movement Directive </w:t>
      </w:r>
      <w:r w:rsidR="008E7AA6" w:rsidRPr="00186D12">
        <w:rPr>
          <w:rFonts w:ascii="Times New Roman" w:hAnsi="Times New Roman" w:cs="Times New Roman"/>
          <w:noProof/>
          <w:sz w:val="24"/>
          <w:szCs w:val="24"/>
        </w:rPr>
        <w:t>require Member States to introduce identity cards where they are not provided for under national law</w:t>
      </w:r>
      <w:r w:rsidR="000B241E" w:rsidRPr="000B241E">
        <w:rPr>
          <w:rFonts w:ascii="Times New Roman" w:hAnsi="Times New Roman" w:cs="Times New Roman"/>
          <w:noProof/>
          <w:sz w:val="24"/>
          <w:szCs w:val="24"/>
          <w:vertAlign w:val="superscript"/>
        </w:rPr>
        <w:footnoteReference w:id="9"/>
      </w:r>
      <w:r w:rsidR="008E7AA6">
        <w:rPr>
          <w:rFonts w:ascii="Times New Roman" w:hAnsi="Times New Roman" w:cs="Times New Roman"/>
          <w:noProof/>
          <w:sz w:val="24"/>
          <w:szCs w:val="24"/>
        </w:rPr>
        <w:t xml:space="preserve">. </w:t>
      </w:r>
    </w:p>
    <w:p w14:paraId="08F23498" w14:textId="32099284" w:rsidR="0047249C" w:rsidRDefault="0047249C" w:rsidP="00166BBD">
      <w:pPr>
        <w:spacing w:after="240" w:line="240" w:lineRule="auto"/>
        <w:jc w:val="both"/>
        <w:rPr>
          <w:rFonts w:ascii="Times New Roman" w:hAnsi="Times New Roman" w:cs="Times New Roman"/>
          <w:noProof/>
          <w:sz w:val="24"/>
          <w:szCs w:val="24"/>
        </w:rPr>
      </w:pPr>
      <w:r w:rsidRPr="006D240C">
        <w:rPr>
          <w:rFonts w:ascii="Times New Roman" w:hAnsi="Times New Roman" w:cs="Times New Roman"/>
          <w:noProof/>
          <w:sz w:val="24"/>
          <w:szCs w:val="24"/>
          <w:lang w:val="en-GB" w:eastAsia="en-GB"/>
        </w:rPr>
        <w:t xml:space="preserve">Furthermore, Member States may require </w:t>
      </w:r>
      <w:r w:rsidR="00A419D1">
        <w:rPr>
          <w:rFonts w:ascii="Times New Roman" w:hAnsi="Times New Roman" w:cs="Times New Roman"/>
          <w:noProof/>
          <w:sz w:val="24"/>
          <w:szCs w:val="24"/>
          <w:lang w:val="en-GB" w:eastAsia="en-GB"/>
        </w:rPr>
        <w:t>EU</w:t>
      </w:r>
      <w:r w:rsidRPr="006D240C">
        <w:rPr>
          <w:rFonts w:ascii="Times New Roman" w:hAnsi="Times New Roman" w:cs="Times New Roman"/>
          <w:noProof/>
          <w:sz w:val="24"/>
          <w:szCs w:val="24"/>
          <w:lang w:val="en-GB" w:eastAsia="en-GB"/>
        </w:rPr>
        <w:t xml:space="preserve"> citizens and their family members to register with the relevant authorities</w:t>
      </w:r>
      <w:r>
        <w:rPr>
          <w:rFonts w:ascii="Times New Roman" w:hAnsi="Times New Roman" w:cs="Times New Roman"/>
          <w:noProof/>
          <w:sz w:val="24"/>
          <w:szCs w:val="24"/>
          <w:lang w:val="en-GB" w:eastAsia="en-GB"/>
        </w:rPr>
        <w:t>, in which case</w:t>
      </w:r>
      <w:r w:rsidRPr="006D240C">
        <w:rPr>
          <w:rFonts w:ascii="Times New Roman" w:hAnsi="Times New Roman" w:cs="Times New Roman"/>
          <w:noProof/>
          <w:sz w:val="24"/>
          <w:szCs w:val="24"/>
          <w:lang w:val="en-GB" w:eastAsia="en-GB"/>
        </w:rPr>
        <w:t xml:space="preserve"> Member States are required to issue registration certificates to </w:t>
      </w:r>
      <w:r w:rsidR="00A419D1">
        <w:rPr>
          <w:rFonts w:ascii="Times New Roman" w:hAnsi="Times New Roman" w:cs="Times New Roman"/>
          <w:noProof/>
          <w:sz w:val="24"/>
          <w:szCs w:val="24"/>
          <w:lang w:val="en-GB" w:eastAsia="en-GB"/>
        </w:rPr>
        <w:t>EU</w:t>
      </w:r>
      <w:r w:rsidRPr="006D240C">
        <w:rPr>
          <w:rFonts w:ascii="Times New Roman" w:hAnsi="Times New Roman" w:cs="Times New Roman"/>
          <w:noProof/>
          <w:sz w:val="24"/>
          <w:szCs w:val="24"/>
          <w:lang w:val="en-GB" w:eastAsia="en-GB"/>
        </w:rPr>
        <w:t xml:space="preserve"> citizens</w:t>
      </w:r>
      <w:r w:rsidRPr="004C1BC5">
        <w:rPr>
          <w:rStyle w:val="FootnoteReference"/>
          <w:rFonts w:ascii="Times New Roman" w:hAnsi="Times New Roman" w:cs="Times New Roman"/>
          <w:noProof/>
          <w:sz w:val="24"/>
          <w:szCs w:val="24"/>
        </w:rPr>
        <w:footnoteReference w:id="10"/>
      </w:r>
      <w:r w:rsidRPr="006D240C">
        <w:rPr>
          <w:rFonts w:ascii="Times New Roman" w:hAnsi="Times New Roman" w:cs="Times New Roman"/>
          <w:noProof/>
          <w:sz w:val="24"/>
          <w:szCs w:val="24"/>
          <w:lang w:val="en-GB" w:eastAsia="en-GB"/>
        </w:rPr>
        <w:t>. Member States are also required to issue residence cards to family members who are</w:t>
      </w:r>
      <w:r w:rsidR="00BE2020">
        <w:rPr>
          <w:rFonts w:ascii="Times New Roman" w:hAnsi="Times New Roman" w:cs="Times New Roman"/>
          <w:noProof/>
          <w:sz w:val="24"/>
          <w:szCs w:val="24"/>
          <w:lang w:val="en-GB" w:eastAsia="en-GB"/>
        </w:rPr>
        <w:t xml:space="preserve"> not</w:t>
      </w:r>
      <w:r w:rsidRPr="006D240C">
        <w:rPr>
          <w:rFonts w:ascii="Times New Roman" w:hAnsi="Times New Roman" w:cs="Times New Roman"/>
          <w:noProof/>
          <w:sz w:val="24"/>
          <w:szCs w:val="24"/>
          <w:lang w:val="en-GB" w:eastAsia="en-GB"/>
        </w:rPr>
        <w:t xml:space="preserve"> </w:t>
      </w:r>
      <w:r w:rsidR="008E7AA6">
        <w:rPr>
          <w:rFonts w:ascii="Times New Roman" w:hAnsi="Times New Roman" w:cs="Times New Roman"/>
          <w:noProof/>
          <w:sz w:val="24"/>
          <w:szCs w:val="24"/>
          <w:lang w:val="en-GB" w:eastAsia="en-GB"/>
        </w:rPr>
        <w:t>EU citizens</w:t>
      </w:r>
      <w:r w:rsidRPr="004C1BC5">
        <w:rPr>
          <w:rStyle w:val="FootnoteReference"/>
          <w:rFonts w:ascii="Times New Roman" w:hAnsi="Times New Roman" w:cs="Times New Roman"/>
          <w:noProof/>
          <w:sz w:val="24"/>
          <w:szCs w:val="24"/>
        </w:rPr>
        <w:footnoteReference w:id="11"/>
      </w:r>
      <w:r w:rsidRPr="006D240C">
        <w:rPr>
          <w:rFonts w:ascii="Times New Roman" w:hAnsi="Times New Roman" w:cs="Times New Roman"/>
          <w:noProof/>
          <w:sz w:val="24"/>
          <w:szCs w:val="24"/>
          <w:lang w:val="en-GB" w:eastAsia="en-GB"/>
        </w:rPr>
        <w:t xml:space="preserve"> and, on application, to issue documents certifying permanent residence</w:t>
      </w:r>
      <w:r w:rsidRPr="004C1BC5">
        <w:rPr>
          <w:rStyle w:val="FootnoteReference"/>
          <w:rFonts w:ascii="Times New Roman" w:hAnsi="Times New Roman" w:cs="Times New Roman"/>
          <w:noProof/>
          <w:sz w:val="24"/>
          <w:szCs w:val="24"/>
        </w:rPr>
        <w:footnoteReference w:id="12"/>
      </w:r>
      <w:r w:rsidRPr="006D240C">
        <w:rPr>
          <w:rFonts w:ascii="Times New Roman" w:hAnsi="Times New Roman" w:cs="Times New Roman"/>
          <w:noProof/>
          <w:sz w:val="24"/>
          <w:szCs w:val="24"/>
          <w:lang w:val="en-GB" w:eastAsia="en-GB"/>
        </w:rPr>
        <w:t xml:space="preserve"> and to issue permanent residence cards</w:t>
      </w:r>
      <w:r w:rsidRPr="004C1BC5">
        <w:rPr>
          <w:rStyle w:val="FootnoteReference"/>
          <w:rFonts w:ascii="Times New Roman" w:hAnsi="Times New Roman" w:cs="Times New Roman"/>
          <w:noProof/>
          <w:sz w:val="24"/>
          <w:szCs w:val="24"/>
        </w:rPr>
        <w:footnoteReference w:id="13"/>
      </w:r>
      <w:r w:rsidRPr="006D240C">
        <w:rPr>
          <w:rFonts w:ascii="Times New Roman" w:hAnsi="Times New Roman" w:cs="Times New Roman"/>
          <w:noProof/>
          <w:sz w:val="24"/>
          <w:szCs w:val="24"/>
          <w:lang w:val="en-GB" w:eastAsia="en-GB"/>
        </w:rPr>
        <w:t>.</w:t>
      </w:r>
      <w:r w:rsidR="008E7AA6">
        <w:rPr>
          <w:rFonts w:ascii="Times New Roman" w:hAnsi="Times New Roman" w:cs="Times New Roman"/>
          <w:noProof/>
          <w:sz w:val="24"/>
          <w:szCs w:val="24"/>
          <w:lang w:val="en-GB" w:eastAsia="en-GB"/>
        </w:rPr>
        <w:t xml:space="preserve"> </w:t>
      </w:r>
      <w:r w:rsidRPr="00E37990">
        <w:rPr>
          <w:rFonts w:ascii="Times New Roman" w:hAnsi="Times New Roman" w:cs="Times New Roman"/>
          <w:noProof/>
          <w:sz w:val="24"/>
          <w:szCs w:val="24"/>
        </w:rPr>
        <w:t xml:space="preserve">While these residence documents are not travel documents, </w:t>
      </w:r>
      <w:r>
        <w:rPr>
          <w:rFonts w:ascii="Times New Roman" w:hAnsi="Times New Roman" w:cs="Times New Roman"/>
          <w:noProof/>
          <w:sz w:val="24"/>
          <w:szCs w:val="24"/>
        </w:rPr>
        <w:t>p</w:t>
      </w:r>
      <w:r w:rsidRPr="0095141F">
        <w:rPr>
          <w:rFonts w:ascii="Times New Roman" w:hAnsi="Times New Roman" w:cs="Times New Roman"/>
          <w:noProof/>
          <w:sz w:val="24"/>
          <w:szCs w:val="24"/>
        </w:rPr>
        <w:t xml:space="preserve">ossession of </w:t>
      </w:r>
      <w:r>
        <w:rPr>
          <w:rFonts w:ascii="Times New Roman" w:hAnsi="Times New Roman" w:cs="Times New Roman"/>
          <w:noProof/>
          <w:sz w:val="24"/>
          <w:szCs w:val="24"/>
        </w:rPr>
        <w:t>a</w:t>
      </w:r>
      <w:r w:rsidRPr="0095141F">
        <w:rPr>
          <w:rFonts w:ascii="Times New Roman" w:hAnsi="Times New Roman" w:cs="Times New Roman"/>
          <w:noProof/>
          <w:sz w:val="24"/>
          <w:szCs w:val="24"/>
        </w:rPr>
        <w:t xml:space="preserve"> residence card </w:t>
      </w:r>
      <w:r>
        <w:rPr>
          <w:rFonts w:ascii="Times New Roman" w:hAnsi="Times New Roman" w:cs="Times New Roman"/>
          <w:noProof/>
          <w:sz w:val="24"/>
          <w:szCs w:val="24"/>
        </w:rPr>
        <w:t xml:space="preserve">or permanent residence card </w:t>
      </w:r>
      <w:r w:rsidRPr="0095141F">
        <w:rPr>
          <w:rFonts w:ascii="Times New Roman" w:hAnsi="Times New Roman" w:cs="Times New Roman"/>
          <w:noProof/>
          <w:sz w:val="24"/>
          <w:szCs w:val="24"/>
        </w:rPr>
        <w:t>exempt</w:t>
      </w:r>
      <w:r>
        <w:rPr>
          <w:rFonts w:ascii="Times New Roman" w:hAnsi="Times New Roman" w:cs="Times New Roman"/>
          <w:noProof/>
          <w:sz w:val="24"/>
          <w:szCs w:val="24"/>
        </w:rPr>
        <w:t>s</w:t>
      </w:r>
      <w:r w:rsidRPr="0095141F">
        <w:rPr>
          <w:rFonts w:ascii="Times New Roman" w:hAnsi="Times New Roman" w:cs="Times New Roman"/>
          <w:noProof/>
          <w:sz w:val="24"/>
          <w:szCs w:val="24"/>
        </w:rPr>
        <w:t xml:space="preserve"> </w:t>
      </w:r>
      <w:r>
        <w:rPr>
          <w:rFonts w:ascii="Times New Roman" w:hAnsi="Times New Roman" w:cs="Times New Roman"/>
          <w:noProof/>
          <w:sz w:val="24"/>
          <w:szCs w:val="24"/>
        </w:rPr>
        <w:t>f</w:t>
      </w:r>
      <w:r w:rsidRPr="0095141F">
        <w:rPr>
          <w:rFonts w:ascii="Times New Roman" w:hAnsi="Times New Roman" w:cs="Times New Roman"/>
          <w:noProof/>
          <w:sz w:val="24"/>
          <w:szCs w:val="24"/>
        </w:rPr>
        <w:t xml:space="preserve">amily members who are not </w:t>
      </w:r>
      <w:r w:rsidR="00A419D1">
        <w:rPr>
          <w:rFonts w:ascii="Times New Roman" w:hAnsi="Times New Roman" w:cs="Times New Roman"/>
          <w:noProof/>
          <w:sz w:val="24"/>
          <w:szCs w:val="24"/>
        </w:rPr>
        <w:t>EU</w:t>
      </w:r>
      <w:r>
        <w:rPr>
          <w:rFonts w:ascii="Times New Roman" w:hAnsi="Times New Roman" w:cs="Times New Roman"/>
          <w:noProof/>
          <w:sz w:val="24"/>
          <w:szCs w:val="24"/>
        </w:rPr>
        <w:t xml:space="preserve"> citizens </w:t>
      </w:r>
      <w:r w:rsidRPr="0095141F">
        <w:rPr>
          <w:rFonts w:ascii="Times New Roman" w:hAnsi="Times New Roman" w:cs="Times New Roman"/>
          <w:noProof/>
          <w:sz w:val="24"/>
          <w:szCs w:val="24"/>
        </w:rPr>
        <w:t>from visa requirement</w:t>
      </w:r>
      <w:r>
        <w:rPr>
          <w:rFonts w:ascii="Times New Roman" w:hAnsi="Times New Roman" w:cs="Times New Roman"/>
          <w:noProof/>
          <w:sz w:val="24"/>
          <w:szCs w:val="24"/>
        </w:rPr>
        <w:t>s</w:t>
      </w:r>
      <w:r w:rsidRPr="004C1BC5">
        <w:rPr>
          <w:rStyle w:val="FootnoteReference"/>
          <w:rFonts w:ascii="Times New Roman" w:hAnsi="Times New Roman" w:cs="Times New Roman"/>
          <w:noProof/>
          <w:sz w:val="24"/>
          <w:szCs w:val="24"/>
        </w:rPr>
        <w:footnoteReference w:id="14"/>
      </w:r>
      <w:r w:rsidRPr="00E37990">
        <w:rPr>
          <w:rFonts w:ascii="Times New Roman" w:hAnsi="Times New Roman" w:cs="Times New Roman"/>
          <w:noProof/>
          <w:sz w:val="24"/>
          <w:szCs w:val="24"/>
        </w:rPr>
        <w:t>.</w:t>
      </w:r>
    </w:p>
    <w:p w14:paraId="4ED86703" w14:textId="700B2BB7" w:rsidR="0047249C" w:rsidRDefault="0047249C" w:rsidP="00166BBD">
      <w:pPr>
        <w:spacing w:after="240" w:line="240" w:lineRule="auto"/>
        <w:jc w:val="both"/>
        <w:rPr>
          <w:rFonts w:ascii="Times New Roman" w:hAnsi="Times New Roman" w:cs="Times New Roman"/>
          <w:noProof/>
          <w:sz w:val="24"/>
          <w:szCs w:val="24"/>
        </w:rPr>
      </w:pPr>
      <w:r w:rsidRPr="008E0494">
        <w:rPr>
          <w:rFonts w:ascii="Times New Roman" w:hAnsi="Times New Roman" w:cs="Times New Roman"/>
          <w:noProof/>
          <w:sz w:val="24"/>
          <w:szCs w:val="24"/>
        </w:rPr>
        <w:t xml:space="preserve">The </w:t>
      </w:r>
      <w:r>
        <w:rPr>
          <w:rFonts w:ascii="Times New Roman" w:hAnsi="Times New Roman" w:cs="Times New Roman"/>
          <w:noProof/>
          <w:sz w:val="24"/>
          <w:szCs w:val="24"/>
        </w:rPr>
        <w:t>Regulation</w:t>
      </w:r>
      <w:r w:rsidRPr="008E0494">
        <w:rPr>
          <w:rFonts w:ascii="Times New Roman" w:hAnsi="Times New Roman" w:cs="Times New Roman"/>
          <w:noProof/>
          <w:sz w:val="24"/>
          <w:szCs w:val="24"/>
        </w:rPr>
        <w:t xml:space="preserve"> </w:t>
      </w:r>
      <w:r w:rsidRPr="00C80E3F">
        <w:rPr>
          <w:rFonts w:ascii="Times New Roman" w:hAnsi="Times New Roman" w:cs="Times New Roman"/>
          <w:noProof/>
          <w:sz w:val="24"/>
          <w:szCs w:val="24"/>
        </w:rPr>
        <w:t>facilitate</w:t>
      </w:r>
      <w:r>
        <w:rPr>
          <w:rFonts w:ascii="Times New Roman" w:hAnsi="Times New Roman" w:cs="Times New Roman"/>
          <w:noProof/>
          <w:sz w:val="24"/>
          <w:szCs w:val="24"/>
        </w:rPr>
        <w:t>s</w:t>
      </w:r>
      <w:r w:rsidRPr="00C80E3F">
        <w:rPr>
          <w:rFonts w:ascii="Times New Roman" w:hAnsi="Times New Roman" w:cs="Times New Roman"/>
          <w:noProof/>
          <w:sz w:val="24"/>
          <w:szCs w:val="24"/>
        </w:rPr>
        <w:t xml:space="preserve"> the exercise of the right to free movement of </w:t>
      </w:r>
      <w:r w:rsidR="00A419D1">
        <w:rPr>
          <w:rFonts w:ascii="Times New Roman" w:hAnsi="Times New Roman" w:cs="Times New Roman"/>
          <w:noProof/>
          <w:sz w:val="24"/>
          <w:szCs w:val="24"/>
        </w:rPr>
        <w:t>EU</w:t>
      </w:r>
      <w:r w:rsidRPr="00C80E3F">
        <w:rPr>
          <w:rFonts w:ascii="Times New Roman" w:hAnsi="Times New Roman" w:cs="Times New Roman"/>
          <w:noProof/>
          <w:sz w:val="24"/>
          <w:szCs w:val="24"/>
        </w:rPr>
        <w:t xml:space="preserve"> citizens </w:t>
      </w:r>
      <w:r>
        <w:rPr>
          <w:rFonts w:ascii="Times New Roman" w:hAnsi="Times New Roman" w:cs="Times New Roman"/>
          <w:noProof/>
          <w:sz w:val="24"/>
          <w:szCs w:val="24"/>
        </w:rPr>
        <w:t xml:space="preserve">by providing </w:t>
      </w:r>
      <w:r w:rsidRPr="00C80E3F">
        <w:rPr>
          <w:rFonts w:ascii="Times New Roman" w:hAnsi="Times New Roman" w:cs="Times New Roman"/>
          <w:noProof/>
          <w:sz w:val="24"/>
          <w:szCs w:val="24"/>
        </w:rPr>
        <w:t xml:space="preserve">for more secure </w:t>
      </w:r>
      <w:r>
        <w:rPr>
          <w:rFonts w:ascii="Times New Roman" w:hAnsi="Times New Roman" w:cs="Times New Roman"/>
          <w:noProof/>
          <w:sz w:val="24"/>
          <w:szCs w:val="24"/>
        </w:rPr>
        <w:t>identity</w:t>
      </w:r>
      <w:r w:rsidRPr="00C80E3F">
        <w:rPr>
          <w:rFonts w:ascii="Times New Roman" w:hAnsi="Times New Roman" w:cs="Times New Roman"/>
          <w:noProof/>
          <w:sz w:val="24"/>
          <w:szCs w:val="24"/>
        </w:rPr>
        <w:t xml:space="preserve"> cards and residence documents.</w:t>
      </w:r>
      <w:r>
        <w:rPr>
          <w:rFonts w:ascii="Times New Roman" w:hAnsi="Times New Roman" w:cs="Times New Roman"/>
          <w:noProof/>
          <w:sz w:val="24"/>
          <w:szCs w:val="24"/>
        </w:rPr>
        <w:t xml:space="preserve"> Before the adoption of the Regulation, c</w:t>
      </w:r>
      <w:r w:rsidRPr="00AE1900">
        <w:rPr>
          <w:rFonts w:ascii="Times New Roman" w:hAnsi="Times New Roman" w:cs="Times New Roman"/>
          <w:noProof/>
          <w:sz w:val="24"/>
          <w:szCs w:val="24"/>
        </w:rPr>
        <w:t>onsiderable differences exist</w:t>
      </w:r>
      <w:r>
        <w:rPr>
          <w:rFonts w:ascii="Times New Roman" w:hAnsi="Times New Roman" w:cs="Times New Roman"/>
          <w:noProof/>
          <w:sz w:val="24"/>
          <w:szCs w:val="24"/>
        </w:rPr>
        <w:t>ed</w:t>
      </w:r>
      <w:r w:rsidRPr="00AE1900">
        <w:rPr>
          <w:rFonts w:ascii="Times New Roman" w:hAnsi="Times New Roman" w:cs="Times New Roman"/>
          <w:noProof/>
          <w:sz w:val="24"/>
          <w:szCs w:val="24"/>
        </w:rPr>
        <w:t xml:space="preserve"> between the security levels of </w:t>
      </w:r>
      <w:r>
        <w:rPr>
          <w:rFonts w:ascii="Times New Roman" w:hAnsi="Times New Roman" w:cs="Times New Roman"/>
          <w:noProof/>
          <w:sz w:val="24"/>
          <w:szCs w:val="24"/>
        </w:rPr>
        <w:t>identity</w:t>
      </w:r>
      <w:r w:rsidRPr="00AE1900">
        <w:rPr>
          <w:rFonts w:ascii="Times New Roman" w:hAnsi="Times New Roman" w:cs="Times New Roman"/>
          <w:noProof/>
          <w:sz w:val="24"/>
          <w:szCs w:val="24"/>
        </w:rPr>
        <w:t xml:space="preserve"> cards issued by Member States and residence </w:t>
      </w:r>
      <w:r>
        <w:rPr>
          <w:rFonts w:ascii="Times New Roman" w:hAnsi="Times New Roman" w:cs="Times New Roman"/>
          <w:noProof/>
          <w:sz w:val="24"/>
          <w:szCs w:val="24"/>
        </w:rPr>
        <w:t>documents</w:t>
      </w:r>
      <w:r w:rsidRPr="00AE1900">
        <w:rPr>
          <w:rFonts w:ascii="Times New Roman" w:hAnsi="Times New Roman" w:cs="Times New Roman"/>
          <w:noProof/>
          <w:sz w:val="24"/>
          <w:szCs w:val="24"/>
        </w:rPr>
        <w:t xml:space="preserve"> for </w:t>
      </w:r>
      <w:r w:rsidR="00A419D1">
        <w:rPr>
          <w:rFonts w:ascii="Times New Roman" w:hAnsi="Times New Roman" w:cs="Times New Roman"/>
          <w:noProof/>
          <w:sz w:val="24"/>
          <w:szCs w:val="24"/>
        </w:rPr>
        <w:t>EU</w:t>
      </w:r>
      <w:r w:rsidRPr="00AE1900">
        <w:rPr>
          <w:rFonts w:ascii="Times New Roman" w:hAnsi="Times New Roman" w:cs="Times New Roman"/>
          <w:noProof/>
          <w:sz w:val="24"/>
          <w:szCs w:val="24"/>
        </w:rPr>
        <w:t xml:space="preserve"> </w:t>
      </w:r>
      <w:r>
        <w:rPr>
          <w:rFonts w:ascii="Times New Roman" w:hAnsi="Times New Roman" w:cs="Times New Roman"/>
          <w:noProof/>
          <w:sz w:val="24"/>
          <w:szCs w:val="24"/>
        </w:rPr>
        <w:t>citizens</w:t>
      </w:r>
      <w:r w:rsidRPr="00AE1900">
        <w:rPr>
          <w:rFonts w:ascii="Times New Roman" w:hAnsi="Times New Roman" w:cs="Times New Roman"/>
          <w:noProof/>
          <w:sz w:val="24"/>
          <w:szCs w:val="24"/>
        </w:rPr>
        <w:t xml:space="preserve"> residing in another Member State and their family members. Those differences increase</w:t>
      </w:r>
      <w:r>
        <w:rPr>
          <w:rFonts w:ascii="Times New Roman" w:hAnsi="Times New Roman" w:cs="Times New Roman"/>
          <w:noProof/>
          <w:sz w:val="24"/>
          <w:szCs w:val="24"/>
        </w:rPr>
        <w:t>d</w:t>
      </w:r>
      <w:r w:rsidRPr="00AE1900">
        <w:rPr>
          <w:rFonts w:ascii="Times New Roman" w:hAnsi="Times New Roman" w:cs="Times New Roman"/>
          <w:noProof/>
          <w:sz w:val="24"/>
          <w:szCs w:val="24"/>
        </w:rPr>
        <w:t xml:space="preserve"> the risk of falsification and document fraud</w:t>
      </w:r>
      <w:r w:rsidR="004E6543">
        <w:rPr>
          <w:rFonts w:ascii="Times New Roman" w:hAnsi="Times New Roman" w:cs="Times New Roman"/>
          <w:noProof/>
          <w:sz w:val="24"/>
          <w:szCs w:val="24"/>
        </w:rPr>
        <w:t>, as well as</w:t>
      </w:r>
      <w:r w:rsidRPr="00AE1900">
        <w:rPr>
          <w:rFonts w:ascii="Times New Roman" w:hAnsi="Times New Roman" w:cs="Times New Roman"/>
          <w:noProof/>
          <w:sz w:val="24"/>
          <w:szCs w:val="24"/>
        </w:rPr>
        <w:t xml:space="preserve"> </w:t>
      </w:r>
      <w:r w:rsidR="004E6543">
        <w:rPr>
          <w:rFonts w:ascii="Times New Roman" w:hAnsi="Times New Roman" w:cs="Times New Roman"/>
          <w:noProof/>
          <w:sz w:val="24"/>
          <w:szCs w:val="24"/>
        </w:rPr>
        <w:t xml:space="preserve">giving </w:t>
      </w:r>
      <w:r w:rsidRPr="00AE1900">
        <w:rPr>
          <w:rFonts w:ascii="Times New Roman" w:hAnsi="Times New Roman" w:cs="Times New Roman"/>
          <w:noProof/>
          <w:sz w:val="24"/>
          <w:szCs w:val="24"/>
        </w:rPr>
        <w:t>rise to practical difficulties for citizens when exercis</w:t>
      </w:r>
      <w:r w:rsidR="004E6543">
        <w:rPr>
          <w:rFonts w:ascii="Times New Roman" w:hAnsi="Times New Roman" w:cs="Times New Roman"/>
          <w:noProof/>
          <w:sz w:val="24"/>
          <w:szCs w:val="24"/>
        </w:rPr>
        <w:t>ing</w:t>
      </w:r>
      <w:r w:rsidRPr="00AE1900">
        <w:rPr>
          <w:rFonts w:ascii="Times New Roman" w:hAnsi="Times New Roman" w:cs="Times New Roman"/>
          <w:noProof/>
          <w:sz w:val="24"/>
          <w:szCs w:val="24"/>
        </w:rPr>
        <w:t xml:space="preserve"> their right of free movement.</w:t>
      </w:r>
    </w:p>
    <w:p w14:paraId="5EF4B5FB" w14:textId="791803F3" w:rsidR="0047249C" w:rsidRDefault="0047249C" w:rsidP="00166BBD">
      <w:pPr>
        <w:spacing w:after="240" w:line="240" w:lineRule="auto"/>
        <w:jc w:val="both"/>
        <w:rPr>
          <w:rFonts w:ascii="Times New Roman" w:hAnsi="Times New Roman" w:cs="Times New Roman"/>
          <w:noProof/>
          <w:sz w:val="24"/>
          <w:szCs w:val="24"/>
          <w:lang w:val="en-GB" w:eastAsia="en-GB"/>
        </w:rPr>
      </w:pPr>
      <w:r w:rsidRPr="005B5A5D">
        <w:rPr>
          <w:rFonts w:ascii="Times New Roman" w:hAnsi="Times New Roman" w:cs="Times New Roman"/>
          <w:noProof/>
          <w:sz w:val="24"/>
          <w:szCs w:val="24"/>
          <w:lang w:val="en-GB" w:eastAsia="en-GB"/>
        </w:rPr>
        <w:t>Pursuant to Article 13</w:t>
      </w:r>
      <w:r w:rsidR="003F3B74">
        <w:rPr>
          <w:rFonts w:ascii="Times New Roman" w:hAnsi="Times New Roman" w:cs="Times New Roman"/>
          <w:noProof/>
          <w:sz w:val="24"/>
          <w:szCs w:val="24"/>
          <w:lang w:val="en-GB" w:eastAsia="en-GB"/>
        </w:rPr>
        <w:t xml:space="preserve"> of the Regulation</w:t>
      </w:r>
      <w:r w:rsidRPr="005B5A5D">
        <w:rPr>
          <w:rFonts w:ascii="Times New Roman" w:hAnsi="Times New Roman" w:cs="Times New Roman"/>
          <w:noProof/>
          <w:sz w:val="24"/>
          <w:szCs w:val="24"/>
          <w:lang w:val="en-GB" w:eastAsia="en-GB"/>
        </w:rPr>
        <w:t xml:space="preserve">, the Commission is to report to the European Parliament, to the Council and to the European Economic and Social Committee on </w:t>
      </w:r>
      <w:r w:rsidR="008C36AB">
        <w:rPr>
          <w:rFonts w:ascii="Times New Roman" w:hAnsi="Times New Roman" w:cs="Times New Roman"/>
          <w:noProof/>
          <w:sz w:val="24"/>
          <w:szCs w:val="24"/>
          <w:lang w:val="en-GB" w:eastAsia="en-GB"/>
        </w:rPr>
        <w:t xml:space="preserve">the </w:t>
      </w:r>
      <w:r w:rsidRPr="005B5A5D">
        <w:rPr>
          <w:rFonts w:ascii="Times New Roman" w:hAnsi="Times New Roman" w:cs="Times New Roman"/>
          <w:noProof/>
          <w:sz w:val="24"/>
          <w:szCs w:val="24"/>
          <w:lang w:val="en-GB" w:eastAsia="en-GB"/>
        </w:rPr>
        <w:t>implementation</w:t>
      </w:r>
      <w:r w:rsidR="008C36AB">
        <w:rPr>
          <w:rFonts w:ascii="Times New Roman" w:hAnsi="Times New Roman" w:cs="Times New Roman"/>
          <w:noProof/>
          <w:sz w:val="24"/>
          <w:szCs w:val="24"/>
          <w:lang w:val="en-GB" w:eastAsia="en-GB"/>
        </w:rPr>
        <w:t xml:space="preserve"> of the Regulation</w:t>
      </w:r>
      <w:r w:rsidRPr="005B5A5D">
        <w:rPr>
          <w:rFonts w:ascii="Times New Roman" w:hAnsi="Times New Roman" w:cs="Times New Roman"/>
          <w:noProof/>
          <w:sz w:val="24"/>
          <w:szCs w:val="24"/>
          <w:lang w:val="en-GB" w:eastAsia="en-GB"/>
        </w:rPr>
        <w:t xml:space="preserve">, in particular on the protection of fundamental rights and personal data, two years, and 11 years, respectively, after </w:t>
      </w:r>
      <w:r w:rsidR="008C36AB">
        <w:rPr>
          <w:rFonts w:ascii="Times New Roman" w:hAnsi="Times New Roman" w:cs="Times New Roman"/>
          <w:noProof/>
          <w:sz w:val="24"/>
          <w:szCs w:val="24"/>
          <w:lang w:val="en-GB" w:eastAsia="en-GB"/>
        </w:rPr>
        <w:t>its</w:t>
      </w:r>
      <w:r w:rsidR="008C36AB" w:rsidRPr="005B5A5D">
        <w:rPr>
          <w:rFonts w:ascii="Times New Roman" w:hAnsi="Times New Roman" w:cs="Times New Roman"/>
          <w:noProof/>
          <w:sz w:val="24"/>
          <w:szCs w:val="24"/>
          <w:lang w:val="en-GB" w:eastAsia="en-GB"/>
        </w:rPr>
        <w:t xml:space="preserve"> </w:t>
      </w:r>
      <w:r w:rsidRPr="005B5A5D">
        <w:rPr>
          <w:rFonts w:ascii="Times New Roman" w:hAnsi="Times New Roman" w:cs="Times New Roman"/>
          <w:noProof/>
          <w:sz w:val="24"/>
          <w:szCs w:val="24"/>
          <w:lang w:val="en-GB" w:eastAsia="en-GB"/>
        </w:rPr>
        <w:t xml:space="preserve">date of application. </w:t>
      </w:r>
      <w:r>
        <w:rPr>
          <w:rFonts w:ascii="Times New Roman" w:hAnsi="Times New Roman" w:cs="Times New Roman"/>
          <w:noProof/>
          <w:sz w:val="24"/>
          <w:szCs w:val="24"/>
          <w:lang w:val="en-GB" w:eastAsia="en-GB"/>
        </w:rPr>
        <w:t xml:space="preserve">In addition, </w:t>
      </w:r>
      <w:r w:rsidRPr="00E93CF8">
        <w:rPr>
          <w:rFonts w:ascii="Times New Roman" w:hAnsi="Times New Roman" w:cs="Times New Roman"/>
          <w:noProof/>
          <w:sz w:val="24"/>
          <w:szCs w:val="24"/>
          <w:lang w:val="en-GB" w:eastAsia="en-GB"/>
        </w:rPr>
        <w:t xml:space="preserve">the Commission </w:t>
      </w:r>
      <w:r>
        <w:rPr>
          <w:rFonts w:ascii="Times New Roman" w:hAnsi="Times New Roman" w:cs="Times New Roman"/>
          <w:noProof/>
          <w:sz w:val="24"/>
          <w:szCs w:val="24"/>
          <w:lang w:val="en-GB" w:eastAsia="en-GB"/>
        </w:rPr>
        <w:t>is to</w:t>
      </w:r>
      <w:r w:rsidRPr="00E93CF8">
        <w:rPr>
          <w:rFonts w:ascii="Times New Roman" w:hAnsi="Times New Roman" w:cs="Times New Roman"/>
          <w:noProof/>
          <w:sz w:val="24"/>
          <w:szCs w:val="24"/>
          <w:lang w:val="en-GB" w:eastAsia="en-GB"/>
        </w:rPr>
        <w:t xml:space="preserve"> carry out an evaluation of th</w:t>
      </w:r>
      <w:r>
        <w:rPr>
          <w:rFonts w:ascii="Times New Roman" w:hAnsi="Times New Roman" w:cs="Times New Roman"/>
          <w:noProof/>
          <w:sz w:val="24"/>
          <w:szCs w:val="24"/>
          <w:lang w:val="en-GB" w:eastAsia="en-GB"/>
        </w:rPr>
        <w:t>e</w:t>
      </w:r>
      <w:r w:rsidRPr="00E93CF8">
        <w:rPr>
          <w:rFonts w:ascii="Times New Roman" w:hAnsi="Times New Roman" w:cs="Times New Roman"/>
          <w:noProof/>
          <w:sz w:val="24"/>
          <w:szCs w:val="24"/>
          <w:lang w:val="en-GB" w:eastAsia="en-GB"/>
        </w:rPr>
        <w:t xml:space="preserve"> Regulation </w:t>
      </w:r>
      <w:r>
        <w:rPr>
          <w:rFonts w:ascii="Times New Roman" w:hAnsi="Times New Roman" w:cs="Times New Roman"/>
          <w:noProof/>
          <w:sz w:val="24"/>
          <w:szCs w:val="24"/>
          <w:lang w:val="en-GB" w:eastAsia="en-GB"/>
        </w:rPr>
        <w:t>s</w:t>
      </w:r>
      <w:r w:rsidRPr="00E93CF8">
        <w:rPr>
          <w:rFonts w:ascii="Times New Roman" w:hAnsi="Times New Roman" w:cs="Times New Roman"/>
          <w:noProof/>
          <w:sz w:val="24"/>
          <w:szCs w:val="24"/>
          <w:lang w:val="en-GB" w:eastAsia="en-GB"/>
        </w:rPr>
        <w:t xml:space="preserve">ix years after </w:t>
      </w:r>
      <w:r w:rsidR="008C36AB">
        <w:rPr>
          <w:rFonts w:ascii="Times New Roman" w:hAnsi="Times New Roman" w:cs="Times New Roman"/>
          <w:noProof/>
          <w:sz w:val="24"/>
          <w:szCs w:val="24"/>
          <w:lang w:val="en-GB" w:eastAsia="en-GB"/>
        </w:rPr>
        <w:t>its</w:t>
      </w:r>
      <w:r w:rsidR="008C36AB" w:rsidRPr="00E93CF8">
        <w:rPr>
          <w:rFonts w:ascii="Times New Roman" w:hAnsi="Times New Roman" w:cs="Times New Roman"/>
          <w:noProof/>
          <w:sz w:val="24"/>
          <w:szCs w:val="24"/>
          <w:lang w:val="en-GB" w:eastAsia="en-GB"/>
        </w:rPr>
        <w:t xml:space="preserve"> </w:t>
      </w:r>
      <w:r w:rsidRPr="00E93CF8">
        <w:rPr>
          <w:rFonts w:ascii="Times New Roman" w:hAnsi="Times New Roman" w:cs="Times New Roman"/>
          <w:noProof/>
          <w:sz w:val="24"/>
          <w:szCs w:val="24"/>
          <w:lang w:val="en-GB" w:eastAsia="en-GB"/>
        </w:rPr>
        <w:t xml:space="preserve">date of application, and every subsequent six years, and </w:t>
      </w:r>
      <w:r w:rsidR="003F3B74">
        <w:rPr>
          <w:rFonts w:ascii="Times New Roman" w:hAnsi="Times New Roman" w:cs="Times New Roman"/>
          <w:noProof/>
          <w:sz w:val="24"/>
          <w:szCs w:val="24"/>
          <w:lang w:val="en-GB" w:eastAsia="en-GB"/>
        </w:rPr>
        <w:t xml:space="preserve">to </w:t>
      </w:r>
      <w:r w:rsidRPr="00E93CF8">
        <w:rPr>
          <w:rFonts w:ascii="Times New Roman" w:hAnsi="Times New Roman" w:cs="Times New Roman"/>
          <w:noProof/>
          <w:sz w:val="24"/>
          <w:szCs w:val="24"/>
          <w:lang w:val="en-GB" w:eastAsia="en-GB"/>
        </w:rPr>
        <w:t>present a report on the main findings to the European Parliament, to the Council and to the European Economic and Social Committee</w:t>
      </w:r>
      <w:r>
        <w:rPr>
          <w:rFonts w:ascii="Times New Roman" w:hAnsi="Times New Roman" w:cs="Times New Roman"/>
          <w:noProof/>
          <w:sz w:val="24"/>
          <w:szCs w:val="24"/>
          <w:lang w:val="en-GB" w:eastAsia="en-GB"/>
        </w:rPr>
        <w:t>.</w:t>
      </w:r>
    </w:p>
    <w:p w14:paraId="6CF63A7E" w14:textId="23114B75" w:rsidR="0047249C" w:rsidRPr="00C4196E" w:rsidRDefault="0047249C"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Member States and </w:t>
      </w:r>
      <w:r w:rsidRPr="00491468">
        <w:rPr>
          <w:rFonts w:ascii="Times New Roman" w:hAnsi="Times New Roman" w:cs="Times New Roman"/>
          <w:noProof/>
          <w:sz w:val="24"/>
          <w:szCs w:val="24"/>
          <w:lang w:eastAsia="zh-CN"/>
        </w:rPr>
        <w:t xml:space="preserve">relevant </w:t>
      </w:r>
      <w:r w:rsidR="00A419D1">
        <w:rPr>
          <w:rFonts w:ascii="Times New Roman" w:hAnsi="Times New Roman" w:cs="Times New Roman"/>
          <w:noProof/>
          <w:sz w:val="24"/>
          <w:szCs w:val="24"/>
          <w:lang w:eastAsia="zh-CN"/>
        </w:rPr>
        <w:t>EU</w:t>
      </w:r>
      <w:r w:rsidRPr="00491468">
        <w:rPr>
          <w:rFonts w:ascii="Times New Roman" w:hAnsi="Times New Roman" w:cs="Times New Roman"/>
          <w:noProof/>
          <w:sz w:val="24"/>
          <w:szCs w:val="24"/>
          <w:lang w:eastAsia="zh-CN"/>
        </w:rPr>
        <w:t xml:space="preserve"> agencies are to provide the Commission with the information necessary for the preparation of the reports mentioned in that provision.</w:t>
      </w:r>
      <w:r>
        <w:rPr>
          <w:rFonts w:ascii="Times New Roman" w:hAnsi="Times New Roman" w:cs="Times New Roman"/>
          <w:noProof/>
          <w:sz w:val="24"/>
          <w:szCs w:val="24"/>
          <w:lang w:eastAsia="zh-CN"/>
        </w:rPr>
        <w:t xml:space="preserve"> For this purpose, the </w:t>
      </w:r>
      <w:r>
        <w:rPr>
          <w:rFonts w:ascii="Times New Roman" w:hAnsi="Times New Roman" w:cs="Times New Roman"/>
          <w:noProof/>
          <w:sz w:val="24"/>
          <w:szCs w:val="24"/>
          <w:lang w:val="en-GB" w:eastAsia="en-GB"/>
        </w:rPr>
        <w:t xml:space="preserve">Commission sent a questionnaire to the Member States. In addition, </w:t>
      </w:r>
      <w:r w:rsidRPr="00C4196E">
        <w:rPr>
          <w:rFonts w:ascii="Times New Roman" w:hAnsi="Times New Roman" w:cs="Times New Roman"/>
          <w:noProof/>
          <w:sz w:val="24"/>
          <w:szCs w:val="24"/>
          <w:lang w:eastAsia="zh-CN"/>
        </w:rPr>
        <w:t>Frontex</w:t>
      </w:r>
      <w:r w:rsidRPr="00491468">
        <w:rPr>
          <w:rFonts w:ascii="Times New Roman" w:hAnsi="Times New Roman" w:cs="Times New Roman"/>
          <w:noProof/>
          <w:sz w:val="24"/>
          <w:szCs w:val="24"/>
          <w:lang w:eastAsia="zh-CN"/>
        </w:rPr>
        <w:t xml:space="preserve"> carried out an analysis of the </w:t>
      </w:r>
      <w:r w:rsidR="000B42DD">
        <w:rPr>
          <w:rFonts w:ascii="Times New Roman" w:hAnsi="Times New Roman" w:cs="Times New Roman"/>
          <w:noProof/>
          <w:sz w:val="24"/>
          <w:szCs w:val="24"/>
          <w:lang w:eastAsia="zh-CN"/>
        </w:rPr>
        <w:t xml:space="preserve">security features of the </w:t>
      </w:r>
      <w:r>
        <w:rPr>
          <w:rFonts w:ascii="Times New Roman" w:hAnsi="Times New Roman" w:cs="Times New Roman"/>
          <w:noProof/>
          <w:sz w:val="24"/>
          <w:szCs w:val="24"/>
          <w:lang w:eastAsia="zh-CN"/>
        </w:rPr>
        <w:t>identity card specimens provided</w:t>
      </w:r>
      <w:r w:rsidR="009C46CC">
        <w:rPr>
          <w:rFonts w:ascii="Times New Roman" w:hAnsi="Times New Roman" w:cs="Times New Roman"/>
          <w:noProof/>
          <w:sz w:val="24"/>
          <w:szCs w:val="24"/>
          <w:lang w:eastAsia="zh-CN"/>
        </w:rPr>
        <w:t xml:space="preserve"> </w:t>
      </w:r>
      <w:r w:rsidR="003F5F2B">
        <w:rPr>
          <w:rFonts w:ascii="Times New Roman" w:hAnsi="Times New Roman" w:cs="Times New Roman"/>
          <w:noProof/>
          <w:sz w:val="24"/>
          <w:szCs w:val="24"/>
          <w:lang w:eastAsia="zh-CN"/>
        </w:rPr>
        <w:t>to the Commission</w:t>
      </w:r>
      <w:r w:rsidR="009C46CC">
        <w:rPr>
          <w:rFonts w:ascii="Times New Roman" w:hAnsi="Times New Roman" w:cs="Times New Roman"/>
          <w:noProof/>
          <w:sz w:val="24"/>
          <w:szCs w:val="24"/>
          <w:lang w:eastAsia="zh-CN"/>
        </w:rPr>
        <w:t xml:space="preserve"> </w:t>
      </w:r>
      <w:r w:rsidR="003F5F2B">
        <w:rPr>
          <w:rFonts w:ascii="Times New Roman" w:hAnsi="Times New Roman" w:cs="Times New Roman"/>
          <w:noProof/>
          <w:sz w:val="24"/>
          <w:szCs w:val="24"/>
          <w:lang w:eastAsia="zh-CN"/>
        </w:rPr>
        <w:t>by the Member States</w:t>
      </w:r>
      <w:r w:rsidR="0081735E" w:rsidRPr="004C1BC5">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lang w:eastAsia="zh-CN"/>
        </w:rPr>
        <w:t xml:space="preserve">. </w:t>
      </w:r>
    </w:p>
    <w:p w14:paraId="3D2EEB96" w14:textId="77777777" w:rsidR="0047249C" w:rsidRDefault="0047249C" w:rsidP="00166BBD">
      <w:pPr>
        <w:pStyle w:val="Heading1"/>
        <w:spacing w:before="0" w:line="240" w:lineRule="auto"/>
        <w:ind w:left="432"/>
        <w:rPr>
          <w:lang w:val="en-IE"/>
        </w:rPr>
      </w:pPr>
      <w:r>
        <w:rPr>
          <w:lang w:val="en-IE"/>
        </w:rPr>
        <w:t xml:space="preserve">Implementation of the </w:t>
      </w:r>
      <w:r w:rsidRPr="00F87851">
        <w:rPr>
          <w:lang w:val="en-IE"/>
        </w:rPr>
        <w:t xml:space="preserve">Regulation </w:t>
      </w:r>
    </w:p>
    <w:p w14:paraId="4C109E0D" w14:textId="77777777" w:rsidR="0047249C" w:rsidRPr="00E452B0" w:rsidRDefault="0047249C" w:rsidP="00166BBD">
      <w:pPr>
        <w:pStyle w:val="Heading2"/>
        <w:spacing w:before="0" w:line="240" w:lineRule="auto"/>
        <w:ind w:left="578" w:hanging="578"/>
        <w:rPr>
          <w:lang w:val="en-IE"/>
        </w:rPr>
      </w:pPr>
      <w:r>
        <w:rPr>
          <w:lang w:val="en-IE"/>
        </w:rPr>
        <w:t>Technical implementation</w:t>
      </w:r>
    </w:p>
    <w:p w14:paraId="348C3A48" w14:textId="77777777" w:rsidR="0047249C" w:rsidRPr="00D81653" w:rsidRDefault="0047249C" w:rsidP="00166BBD">
      <w:pPr>
        <w:pStyle w:val="Heading3"/>
        <w:spacing w:line="240" w:lineRule="auto"/>
        <w:ind w:left="709"/>
        <w:rPr>
          <w:noProof/>
        </w:rPr>
      </w:pPr>
      <w:r>
        <w:rPr>
          <w:noProof/>
          <w:lang w:val="en-IE"/>
        </w:rPr>
        <w:t>Technical assessment of the identity cards</w:t>
      </w:r>
      <w:r w:rsidRPr="006D240C">
        <w:rPr>
          <w:noProof/>
          <w:lang w:val="en-IE"/>
        </w:rPr>
        <w:t xml:space="preserve"> </w:t>
      </w:r>
      <w:r>
        <w:rPr>
          <w:noProof/>
          <w:lang w:val="en-IE"/>
        </w:rPr>
        <w:t>issued</w:t>
      </w:r>
    </w:p>
    <w:p w14:paraId="4AA19FB9" w14:textId="37076B36" w:rsidR="00F969E8" w:rsidRPr="00166BBD" w:rsidRDefault="00684FEA"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The purpose of the </w:t>
      </w:r>
      <w:r w:rsidR="00091516" w:rsidRPr="00091516">
        <w:rPr>
          <w:rFonts w:ascii="Times New Roman" w:hAnsi="Times New Roman" w:cs="Times New Roman"/>
          <w:noProof/>
          <w:sz w:val="24"/>
          <w:szCs w:val="24"/>
          <w:lang w:eastAsia="zh-CN"/>
        </w:rPr>
        <w:t>technical assessment</w:t>
      </w:r>
      <w:r w:rsidR="0078137F" w:rsidRPr="0078137F">
        <w:rPr>
          <w:rFonts w:ascii="Times New Roman" w:hAnsi="Times New Roman" w:cs="Times New Roman"/>
          <w:noProof/>
          <w:sz w:val="24"/>
          <w:szCs w:val="24"/>
          <w:lang w:eastAsia="zh-CN"/>
        </w:rPr>
        <w:t xml:space="preserve"> </w:t>
      </w:r>
      <w:r w:rsidR="0081735E">
        <w:rPr>
          <w:rFonts w:ascii="Times New Roman" w:hAnsi="Times New Roman" w:cs="Times New Roman"/>
          <w:noProof/>
          <w:sz w:val="24"/>
          <w:szCs w:val="24"/>
          <w:lang w:eastAsia="zh-CN"/>
        </w:rPr>
        <w:t xml:space="preserve">carried out by Frontex </w:t>
      </w:r>
      <w:r w:rsidR="0078137F" w:rsidRPr="0078137F">
        <w:rPr>
          <w:rFonts w:ascii="Times New Roman" w:hAnsi="Times New Roman" w:cs="Times New Roman"/>
          <w:noProof/>
          <w:sz w:val="24"/>
          <w:szCs w:val="24"/>
          <w:lang w:eastAsia="zh-CN"/>
        </w:rPr>
        <w:t xml:space="preserve">was to the verify the compliance of </w:t>
      </w:r>
      <w:r w:rsidR="0078137F">
        <w:rPr>
          <w:rFonts w:ascii="Times New Roman" w:hAnsi="Times New Roman" w:cs="Times New Roman"/>
          <w:noProof/>
          <w:sz w:val="24"/>
          <w:szCs w:val="24"/>
          <w:lang w:eastAsia="zh-CN"/>
        </w:rPr>
        <w:t>Member States’</w:t>
      </w:r>
      <w:r w:rsidR="0078137F" w:rsidRPr="0078137F">
        <w:rPr>
          <w:rFonts w:ascii="Times New Roman" w:hAnsi="Times New Roman" w:cs="Times New Roman"/>
          <w:noProof/>
          <w:sz w:val="24"/>
          <w:szCs w:val="24"/>
          <w:lang w:eastAsia="zh-CN"/>
        </w:rPr>
        <w:t xml:space="preserve"> identity cards with the format, minimum security standards and specifications of Article 3 of </w:t>
      </w:r>
      <w:r w:rsidR="0081735E">
        <w:rPr>
          <w:rFonts w:ascii="Times New Roman" w:hAnsi="Times New Roman" w:cs="Times New Roman"/>
          <w:noProof/>
          <w:sz w:val="24"/>
          <w:szCs w:val="24"/>
          <w:lang w:eastAsia="zh-CN"/>
        </w:rPr>
        <w:t xml:space="preserve">the </w:t>
      </w:r>
      <w:r w:rsidR="0078137F" w:rsidRPr="0078137F">
        <w:rPr>
          <w:rFonts w:ascii="Times New Roman" w:hAnsi="Times New Roman" w:cs="Times New Roman"/>
          <w:noProof/>
          <w:sz w:val="24"/>
          <w:szCs w:val="24"/>
          <w:lang w:eastAsia="zh-CN"/>
        </w:rPr>
        <w:t>Regulation. This include</w:t>
      </w:r>
      <w:r w:rsidR="0078137F">
        <w:rPr>
          <w:rFonts w:ascii="Times New Roman" w:hAnsi="Times New Roman" w:cs="Times New Roman"/>
          <w:noProof/>
          <w:sz w:val="24"/>
          <w:szCs w:val="24"/>
          <w:lang w:eastAsia="zh-CN"/>
        </w:rPr>
        <w:t>d</w:t>
      </w:r>
      <w:r w:rsidR="0078137F" w:rsidRPr="0078137F">
        <w:rPr>
          <w:rFonts w:ascii="Times New Roman" w:hAnsi="Times New Roman" w:cs="Times New Roman"/>
          <w:noProof/>
          <w:sz w:val="24"/>
          <w:szCs w:val="24"/>
          <w:lang w:eastAsia="zh-CN"/>
        </w:rPr>
        <w:t xml:space="preserve"> checking the compliance of the </w:t>
      </w:r>
      <w:r w:rsidR="0081735E">
        <w:rPr>
          <w:rFonts w:ascii="Times New Roman" w:hAnsi="Times New Roman" w:cs="Times New Roman"/>
          <w:noProof/>
          <w:sz w:val="24"/>
          <w:szCs w:val="24"/>
          <w:lang w:eastAsia="zh-CN"/>
        </w:rPr>
        <w:t>identity</w:t>
      </w:r>
      <w:r w:rsidR="0078137F" w:rsidRPr="0078137F">
        <w:rPr>
          <w:rFonts w:ascii="Times New Roman" w:hAnsi="Times New Roman" w:cs="Times New Roman"/>
          <w:noProof/>
          <w:sz w:val="24"/>
          <w:szCs w:val="24"/>
          <w:lang w:eastAsia="zh-CN"/>
        </w:rPr>
        <w:t xml:space="preserve"> cards with the specifications and </w:t>
      </w:r>
      <w:r w:rsidR="007B2796" w:rsidRPr="0078137F">
        <w:rPr>
          <w:rFonts w:ascii="Times New Roman" w:hAnsi="Times New Roman" w:cs="Times New Roman"/>
          <w:noProof/>
          <w:sz w:val="24"/>
          <w:szCs w:val="24"/>
          <w:lang w:eastAsia="zh-CN"/>
        </w:rPr>
        <w:t>minimum</w:t>
      </w:r>
      <w:r w:rsidR="0042341B">
        <w:rPr>
          <w:rFonts w:ascii="Times New Roman" w:hAnsi="Times New Roman" w:cs="Times New Roman"/>
          <w:noProof/>
          <w:sz w:val="24"/>
          <w:szCs w:val="24"/>
          <w:lang w:eastAsia="zh-CN"/>
        </w:rPr>
        <w:t xml:space="preserve"> </w:t>
      </w:r>
      <w:r w:rsidR="007B2796" w:rsidRPr="0078137F">
        <w:rPr>
          <w:rFonts w:ascii="Times New Roman" w:hAnsi="Times New Roman" w:cs="Times New Roman"/>
          <w:noProof/>
          <w:sz w:val="24"/>
          <w:szCs w:val="24"/>
          <w:lang w:eastAsia="zh-CN"/>
        </w:rPr>
        <w:t>security</w:t>
      </w:r>
      <w:r w:rsidR="0078137F" w:rsidRPr="0078137F">
        <w:rPr>
          <w:rFonts w:ascii="Times New Roman" w:hAnsi="Times New Roman" w:cs="Times New Roman"/>
          <w:noProof/>
          <w:sz w:val="24"/>
          <w:szCs w:val="24"/>
          <w:lang w:eastAsia="zh-CN"/>
        </w:rPr>
        <w:t xml:space="preserve"> standards set out in the International Civil Aviation Organisation (ICAO) Document 9303 ‘Machine Readable Travel Documents’</w:t>
      </w:r>
      <w:r w:rsidR="0078137F">
        <w:rPr>
          <w:rStyle w:val="FootnoteReference"/>
          <w:rFonts w:ascii="Times New Roman" w:hAnsi="Times New Roman" w:cs="Times New Roman"/>
          <w:noProof/>
          <w:sz w:val="24"/>
          <w:szCs w:val="24"/>
          <w:lang w:eastAsia="zh-CN"/>
        </w:rPr>
        <w:footnoteReference w:id="16"/>
      </w:r>
      <w:r w:rsidR="0078137F" w:rsidRPr="0078137F">
        <w:rPr>
          <w:rFonts w:ascii="Times New Roman" w:hAnsi="Times New Roman" w:cs="Times New Roman"/>
          <w:noProof/>
          <w:sz w:val="24"/>
          <w:szCs w:val="24"/>
          <w:lang w:eastAsia="zh-CN"/>
        </w:rPr>
        <w:t xml:space="preserve"> and the requirements set out in points (d), (f) and (g) of the Annex to Regulation (EC) No 1030/2002</w:t>
      </w:r>
      <w:r w:rsidR="009E61FA">
        <w:rPr>
          <w:rStyle w:val="FootnoteReference"/>
          <w:rFonts w:ascii="Times New Roman" w:hAnsi="Times New Roman" w:cs="Times New Roman"/>
          <w:noProof/>
          <w:sz w:val="24"/>
          <w:szCs w:val="24"/>
          <w:lang w:eastAsia="zh-CN"/>
        </w:rPr>
        <w:footnoteReference w:id="17"/>
      </w:r>
      <w:r w:rsidR="0078137F" w:rsidRPr="0078137F">
        <w:rPr>
          <w:rFonts w:ascii="Times New Roman" w:hAnsi="Times New Roman" w:cs="Times New Roman"/>
          <w:noProof/>
          <w:sz w:val="24"/>
          <w:szCs w:val="24"/>
          <w:lang w:eastAsia="zh-CN"/>
        </w:rPr>
        <w:t xml:space="preserve"> as amended by Regulation (EU) 2017/1954</w:t>
      </w:r>
      <w:r w:rsidR="00874AC5">
        <w:rPr>
          <w:rStyle w:val="FootnoteReference"/>
          <w:rFonts w:ascii="Times New Roman" w:hAnsi="Times New Roman" w:cs="Times New Roman"/>
          <w:noProof/>
          <w:sz w:val="24"/>
          <w:szCs w:val="24"/>
          <w:lang w:eastAsia="zh-CN"/>
        </w:rPr>
        <w:footnoteReference w:id="18"/>
      </w:r>
      <w:r w:rsidR="00F969E8">
        <w:rPr>
          <w:rFonts w:ascii="Times New Roman" w:hAnsi="Times New Roman" w:cs="Times New Roman"/>
          <w:noProof/>
          <w:sz w:val="24"/>
          <w:szCs w:val="24"/>
          <w:lang w:eastAsia="zh-CN"/>
        </w:rPr>
        <w:t>, with certain limitations due to Frontex technical capabilities</w:t>
      </w:r>
      <w:r w:rsidR="007C0BC8">
        <w:rPr>
          <w:rStyle w:val="FootnoteReference"/>
          <w:rFonts w:ascii="Times New Roman" w:hAnsi="Times New Roman" w:cs="Times New Roman"/>
          <w:noProof/>
          <w:sz w:val="24"/>
          <w:szCs w:val="24"/>
          <w:lang w:eastAsia="zh-CN"/>
        </w:rPr>
        <w:footnoteReference w:id="19"/>
      </w:r>
      <w:r w:rsidR="0078137F" w:rsidRPr="0078137F">
        <w:rPr>
          <w:rFonts w:ascii="Times New Roman" w:hAnsi="Times New Roman" w:cs="Times New Roman"/>
          <w:noProof/>
          <w:sz w:val="24"/>
          <w:szCs w:val="24"/>
          <w:lang w:eastAsia="zh-CN"/>
        </w:rPr>
        <w:t>.</w:t>
      </w:r>
      <w:r w:rsidR="00F969E8">
        <w:rPr>
          <w:rFonts w:ascii="Times New Roman" w:hAnsi="Times New Roman" w:cs="Times New Roman"/>
          <w:noProof/>
          <w:sz w:val="24"/>
          <w:szCs w:val="24"/>
          <w:lang w:eastAsia="zh-CN"/>
        </w:rPr>
        <w:t xml:space="preserve"> Frontex examined the </w:t>
      </w:r>
      <w:r w:rsidR="009D103B" w:rsidRPr="009D103B">
        <w:rPr>
          <w:rFonts w:ascii="Times New Roman" w:hAnsi="Times New Roman" w:cs="Times New Roman"/>
          <w:noProof/>
          <w:sz w:val="24"/>
          <w:szCs w:val="24"/>
          <w:lang w:eastAsia="zh-CN"/>
        </w:rPr>
        <w:t xml:space="preserve">latest models of </w:t>
      </w:r>
      <w:r w:rsidR="00F969E8">
        <w:rPr>
          <w:rFonts w:ascii="Times New Roman" w:hAnsi="Times New Roman" w:cs="Times New Roman"/>
          <w:noProof/>
          <w:sz w:val="24"/>
          <w:szCs w:val="24"/>
          <w:lang w:eastAsia="zh-CN"/>
        </w:rPr>
        <w:t>identity</w:t>
      </w:r>
      <w:r w:rsidR="009D103B" w:rsidRPr="009D103B">
        <w:rPr>
          <w:rFonts w:ascii="Times New Roman" w:hAnsi="Times New Roman" w:cs="Times New Roman"/>
          <w:noProof/>
          <w:sz w:val="24"/>
          <w:szCs w:val="24"/>
          <w:lang w:eastAsia="zh-CN"/>
        </w:rPr>
        <w:t xml:space="preserve"> cards issued by Member States</w:t>
      </w:r>
      <w:r w:rsidR="00063127">
        <w:rPr>
          <w:rFonts w:ascii="Times New Roman" w:hAnsi="Times New Roman" w:cs="Times New Roman"/>
          <w:noProof/>
          <w:sz w:val="24"/>
          <w:szCs w:val="24"/>
          <w:lang w:eastAsia="zh-CN"/>
        </w:rPr>
        <w:t>.</w:t>
      </w:r>
    </w:p>
    <w:p w14:paraId="207503C8" w14:textId="3B82AC00" w:rsidR="005A178D" w:rsidRDefault="007B2796" w:rsidP="00166BBD">
      <w:pPr>
        <w:spacing w:after="240" w:line="240" w:lineRule="auto"/>
        <w:jc w:val="both"/>
        <w:rPr>
          <w:rFonts w:ascii="Times New Roman" w:hAnsi="Times New Roman" w:cs="Times New Roman"/>
          <w:noProof/>
          <w:sz w:val="24"/>
          <w:szCs w:val="24"/>
          <w:lang w:eastAsia="zh-CN"/>
        </w:rPr>
      </w:pPr>
      <w:r w:rsidRPr="007B2796">
        <w:rPr>
          <w:rFonts w:ascii="Times New Roman" w:hAnsi="Times New Roman" w:cs="Times New Roman"/>
          <w:noProof/>
          <w:sz w:val="24"/>
          <w:szCs w:val="24"/>
          <w:lang w:eastAsia="zh-CN"/>
        </w:rPr>
        <w:t xml:space="preserve">Except for the Greek </w:t>
      </w:r>
      <w:r w:rsidR="00F969E8">
        <w:rPr>
          <w:rFonts w:ascii="Times New Roman" w:hAnsi="Times New Roman" w:cs="Times New Roman"/>
          <w:noProof/>
          <w:sz w:val="24"/>
          <w:szCs w:val="24"/>
          <w:lang w:eastAsia="zh-CN"/>
        </w:rPr>
        <w:t>identity</w:t>
      </w:r>
      <w:r w:rsidRPr="007B2796">
        <w:rPr>
          <w:rFonts w:ascii="Times New Roman" w:hAnsi="Times New Roman" w:cs="Times New Roman"/>
          <w:noProof/>
          <w:sz w:val="24"/>
          <w:szCs w:val="24"/>
          <w:lang w:eastAsia="zh-CN"/>
        </w:rPr>
        <w:t xml:space="preserve"> card</w:t>
      </w:r>
      <w:r w:rsidR="001F2640">
        <w:rPr>
          <w:rFonts w:ascii="Times New Roman" w:hAnsi="Times New Roman" w:cs="Times New Roman"/>
          <w:noProof/>
          <w:sz w:val="24"/>
          <w:szCs w:val="24"/>
          <w:lang w:eastAsia="zh-CN"/>
        </w:rPr>
        <w:t xml:space="preserve"> (see Section 2.4.2)</w:t>
      </w:r>
      <w:r w:rsidRPr="007B2796">
        <w:rPr>
          <w:rFonts w:ascii="Times New Roman" w:hAnsi="Times New Roman" w:cs="Times New Roman"/>
          <w:noProof/>
          <w:sz w:val="24"/>
          <w:szCs w:val="24"/>
          <w:lang w:eastAsia="zh-CN"/>
        </w:rPr>
        <w:t xml:space="preserve">, all </w:t>
      </w:r>
      <w:r w:rsidR="00F969E8">
        <w:rPr>
          <w:rFonts w:ascii="Times New Roman" w:hAnsi="Times New Roman" w:cs="Times New Roman"/>
          <w:noProof/>
          <w:sz w:val="24"/>
          <w:szCs w:val="24"/>
          <w:lang w:eastAsia="zh-CN"/>
        </w:rPr>
        <w:t xml:space="preserve">identity </w:t>
      </w:r>
      <w:r w:rsidRPr="007B2796">
        <w:rPr>
          <w:rFonts w:ascii="Times New Roman" w:hAnsi="Times New Roman" w:cs="Times New Roman"/>
          <w:noProof/>
          <w:sz w:val="24"/>
          <w:szCs w:val="24"/>
          <w:lang w:eastAsia="zh-CN"/>
        </w:rPr>
        <w:t xml:space="preserve">cards </w:t>
      </w:r>
      <w:r w:rsidR="001F2640">
        <w:rPr>
          <w:rFonts w:ascii="Times New Roman" w:hAnsi="Times New Roman" w:cs="Times New Roman"/>
          <w:noProof/>
          <w:sz w:val="24"/>
          <w:szCs w:val="24"/>
          <w:lang w:eastAsia="zh-CN"/>
        </w:rPr>
        <w:t xml:space="preserve">analysed </w:t>
      </w:r>
      <w:r w:rsidRPr="007B2796">
        <w:rPr>
          <w:rFonts w:ascii="Times New Roman" w:hAnsi="Times New Roman" w:cs="Times New Roman"/>
          <w:noProof/>
          <w:sz w:val="24"/>
          <w:szCs w:val="24"/>
          <w:lang w:eastAsia="zh-CN"/>
        </w:rPr>
        <w:t>were found to be compliant with the Regulation for those parts that Frontex was able to check.</w:t>
      </w:r>
      <w:r w:rsidR="001F2640">
        <w:rPr>
          <w:rFonts w:ascii="Times New Roman" w:hAnsi="Times New Roman" w:cs="Times New Roman"/>
          <w:noProof/>
          <w:sz w:val="24"/>
          <w:szCs w:val="24"/>
          <w:lang w:eastAsia="zh-CN"/>
        </w:rPr>
        <w:t xml:space="preserve"> </w:t>
      </w:r>
      <w:r w:rsidR="005A178D">
        <w:rPr>
          <w:rFonts w:ascii="Times New Roman" w:hAnsi="Times New Roman" w:cs="Times New Roman"/>
          <w:noProof/>
          <w:sz w:val="24"/>
          <w:szCs w:val="24"/>
          <w:lang w:eastAsia="zh-CN"/>
        </w:rPr>
        <w:t xml:space="preserve">Nevertheless, Frontex identified </w:t>
      </w:r>
      <w:r w:rsidR="001F2640">
        <w:rPr>
          <w:rFonts w:ascii="Times New Roman" w:hAnsi="Times New Roman" w:cs="Times New Roman"/>
          <w:noProof/>
          <w:sz w:val="24"/>
          <w:szCs w:val="24"/>
          <w:lang w:eastAsia="zh-CN"/>
        </w:rPr>
        <w:t>the following issues</w:t>
      </w:r>
      <w:r w:rsidR="005A178D">
        <w:rPr>
          <w:rFonts w:ascii="Times New Roman" w:hAnsi="Times New Roman" w:cs="Times New Roman"/>
          <w:noProof/>
          <w:sz w:val="24"/>
          <w:szCs w:val="24"/>
          <w:lang w:eastAsia="zh-CN"/>
        </w:rPr>
        <w:t xml:space="preserve"> regarding</w:t>
      </w:r>
      <w:r w:rsidR="004D3EE8">
        <w:rPr>
          <w:rFonts w:ascii="Times New Roman" w:hAnsi="Times New Roman" w:cs="Times New Roman"/>
          <w:noProof/>
          <w:sz w:val="24"/>
          <w:szCs w:val="24"/>
          <w:lang w:eastAsia="zh-CN"/>
        </w:rPr>
        <w:t xml:space="preserve"> some </w:t>
      </w:r>
      <w:r w:rsidR="005A178D">
        <w:rPr>
          <w:rFonts w:ascii="Times New Roman" w:hAnsi="Times New Roman" w:cs="Times New Roman"/>
          <w:noProof/>
          <w:sz w:val="24"/>
          <w:szCs w:val="24"/>
          <w:lang w:eastAsia="zh-CN"/>
        </w:rPr>
        <w:t xml:space="preserve">other </w:t>
      </w:r>
      <w:r w:rsidR="001F2640">
        <w:rPr>
          <w:rFonts w:ascii="Times New Roman" w:hAnsi="Times New Roman" w:cs="Times New Roman"/>
          <w:noProof/>
          <w:sz w:val="24"/>
          <w:szCs w:val="24"/>
          <w:lang w:eastAsia="zh-CN"/>
        </w:rPr>
        <w:t>identity cards</w:t>
      </w:r>
      <w:r w:rsidR="001F2640">
        <w:rPr>
          <w:rStyle w:val="FootnoteReference"/>
          <w:rFonts w:ascii="Times New Roman" w:hAnsi="Times New Roman" w:cs="Times New Roman"/>
          <w:noProof/>
          <w:sz w:val="24"/>
          <w:szCs w:val="24"/>
          <w:lang w:eastAsia="zh-CN"/>
        </w:rPr>
        <w:footnoteReference w:id="20"/>
      </w:r>
      <w:r w:rsidR="0047452B">
        <w:rPr>
          <w:rFonts w:ascii="Times New Roman" w:hAnsi="Times New Roman" w:cs="Times New Roman"/>
          <w:noProof/>
          <w:sz w:val="24"/>
          <w:szCs w:val="24"/>
          <w:lang w:eastAsia="zh-CN"/>
        </w:rPr>
        <w:t>:</w:t>
      </w:r>
    </w:p>
    <w:p w14:paraId="53F465CA" w14:textId="62B83222" w:rsidR="006030DF" w:rsidRDefault="001F2640" w:rsidP="00166BBD">
      <w:pPr>
        <w:pStyle w:val="ListParagraph"/>
        <w:numPr>
          <w:ilvl w:val="0"/>
          <w:numId w:val="6"/>
        </w:numPr>
        <w:spacing w:after="240" w:line="240" w:lineRule="auto"/>
        <w:contextualSpacing w:val="0"/>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some of the </w:t>
      </w:r>
      <w:r w:rsidR="00914786" w:rsidRPr="00091516">
        <w:rPr>
          <w:rFonts w:ascii="Times New Roman" w:hAnsi="Times New Roman" w:cs="Times New Roman"/>
          <w:noProof/>
          <w:sz w:val="24"/>
          <w:szCs w:val="24"/>
          <w:lang w:eastAsia="zh-CN"/>
        </w:rPr>
        <w:t xml:space="preserve">examined </w:t>
      </w:r>
      <w:r>
        <w:rPr>
          <w:rFonts w:ascii="Times New Roman" w:hAnsi="Times New Roman" w:cs="Times New Roman"/>
          <w:noProof/>
          <w:sz w:val="24"/>
          <w:szCs w:val="24"/>
          <w:lang w:eastAsia="zh-CN"/>
        </w:rPr>
        <w:t>identity</w:t>
      </w:r>
      <w:r w:rsidR="00914786" w:rsidRPr="00166BBD">
        <w:rPr>
          <w:rFonts w:ascii="Times New Roman" w:hAnsi="Times New Roman" w:cs="Times New Roman"/>
          <w:noProof/>
          <w:sz w:val="24"/>
          <w:szCs w:val="24"/>
          <w:lang w:eastAsia="zh-CN"/>
        </w:rPr>
        <w:t xml:space="preserve"> cards </w:t>
      </w:r>
      <w:r w:rsidRPr="00244532">
        <w:rPr>
          <w:rFonts w:ascii="Times New Roman" w:hAnsi="Times New Roman" w:cs="Times New Roman"/>
          <w:noProof/>
          <w:sz w:val="24"/>
          <w:szCs w:val="24"/>
          <w:lang w:eastAsia="zh-CN"/>
        </w:rPr>
        <w:t xml:space="preserve">did not </w:t>
      </w:r>
      <w:r>
        <w:rPr>
          <w:rFonts w:ascii="Times New Roman" w:hAnsi="Times New Roman" w:cs="Times New Roman"/>
          <w:noProof/>
          <w:sz w:val="24"/>
          <w:szCs w:val="24"/>
          <w:lang w:eastAsia="zh-CN"/>
        </w:rPr>
        <w:t>meet</w:t>
      </w:r>
      <w:r w:rsidRPr="00244532">
        <w:rPr>
          <w:rFonts w:ascii="Times New Roman" w:hAnsi="Times New Roman" w:cs="Times New Roman"/>
          <w:noProof/>
          <w:sz w:val="24"/>
          <w:szCs w:val="24"/>
          <w:lang w:eastAsia="zh-CN"/>
        </w:rPr>
        <w:t xml:space="preserve"> </w:t>
      </w:r>
      <w:r>
        <w:rPr>
          <w:rFonts w:ascii="Times New Roman" w:hAnsi="Times New Roman" w:cs="Times New Roman"/>
          <w:noProof/>
          <w:sz w:val="24"/>
          <w:szCs w:val="24"/>
          <w:lang w:eastAsia="zh-CN"/>
        </w:rPr>
        <w:t xml:space="preserve">minimum portrait size </w:t>
      </w:r>
      <w:r w:rsidRPr="00244532">
        <w:rPr>
          <w:rFonts w:ascii="Times New Roman" w:hAnsi="Times New Roman" w:cs="Times New Roman"/>
          <w:noProof/>
          <w:sz w:val="24"/>
          <w:szCs w:val="24"/>
          <w:lang w:eastAsia="zh-CN"/>
        </w:rPr>
        <w:t>requirements</w:t>
      </w:r>
      <w:r>
        <w:rPr>
          <w:rFonts w:ascii="Times New Roman" w:hAnsi="Times New Roman" w:cs="Times New Roman"/>
          <w:noProof/>
          <w:sz w:val="24"/>
          <w:szCs w:val="24"/>
          <w:lang w:eastAsia="zh-CN"/>
        </w:rPr>
        <w:t>;</w:t>
      </w:r>
    </w:p>
    <w:p w14:paraId="2D1C24EA" w14:textId="4334D5A0" w:rsidR="00D309EF" w:rsidRDefault="001F2640" w:rsidP="00166BBD">
      <w:pPr>
        <w:pStyle w:val="ListParagraph"/>
        <w:numPr>
          <w:ilvl w:val="0"/>
          <w:numId w:val="6"/>
        </w:numPr>
        <w:spacing w:after="240" w:line="240" w:lineRule="auto"/>
        <w:contextualSpacing w:val="0"/>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some of the </w:t>
      </w:r>
      <w:r w:rsidR="00A32292" w:rsidRPr="00A32292">
        <w:rPr>
          <w:rFonts w:ascii="Times New Roman" w:hAnsi="Times New Roman" w:cs="Times New Roman"/>
          <w:noProof/>
          <w:sz w:val="24"/>
          <w:szCs w:val="24"/>
          <w:lang w:eastAsia="zh-CN"/>
        </w:rPr>
        <w:t>examined</w:t>
      </w:r>
      <w:r>
        <w:rPr>
          <w:rFonts w:ascii="Times New Roman" w:hAnsi="Times New Roman" w:cs="Times New Roman"/>
          <w:noProof/>
          <w:sz w:val="24"/>
          <w:szCs w:val="24"/>
          <w:lang w:eastAsia="zh-CN"/>
        </w:rPr>
        <w:t xml:space="preserve"> identity cards </w:t>
      </w:r>
      <w:r w:rsidR="00A32292" w:rsidRPr="00A32292">
        <w:rPr>
          <w:rFonts w:ascii="Times New Roman" w:hAnsi="Times New Roman" w:cs="Times New Roman"/>
          <w:noProof/>
          <w:sz w:val="24"/>
          <w:szCs w:val="24"/>
          <w:lang w:eastAsia="zh-CN"/>
        </w:rPr>
        <w:t xml:space="preserve">did not contain </w:t>
      </w:r>
      <w:r>
        <w:rPr>
          <w:rFonts w:ascii="Times New Roman" w:hAnsi="Times New Roman" w:cs="Times New Roman"/>
          <w:noProof/>
          <w:sz w:val="24"/>
          <w:szCs w:val="24"/>
          <w:lang w:eastAsia="zh-CN"/>
        </w:rPr>
        <w:t>all security features to protect against photo substitution</w:t>
      </w:r>
      <w:r w:rsidR="00D309EF">
        <w:rPr>
          <w:rFonts w:ascii="Times New Roman" w:hAnsi="Times New Roman" w:cs="Times New Roman"/>
          <w:noProof/>
          <w:sz w:val="24"/>
          <w:szCs w:val="24"/>
          <w:lang w:eastAsia="zh-CN"/>
        </w:rPr>
        <w:t>;</w:t>
      </w:r>
    </w:p>
    <w:p w14:paraId="18863154" w14:textId="524AA309" w:rsidR="00A32292" w:rsidRPr="00166BBD" w:rsidRDefault="00D309EF" w:rsidP="00166BBD">
      <w:pPr>
        <w:pStyle w:val="ListParagraph"/>
        <w:numPr>
          <w:ilvl w:val="0"/>
          <w:numId w:val="6"/>
        </w:numPr>
        <w:spacing w:after="240" w:line="240" w:lineRule="auto"/>
        <w:contextualSpacing w:val="0"/>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some of the examined identity cards contain deviations from the g</w:t>
      </w:r>
      <w:r w:rsidRPr="00D309EF">
        <w:rPr>
          <w:rFonts w:ascii="Times New Roman" w:hAnsi="Times New Roman" w:cs="Times New Roman"/>
          <w:noProof/>
          <w:sz w:val="24"/>
          <w:szCs w:val="24"/>
          <w:lang w:eastAsia="zh-CN"/>
        </w:rPr>
        <w:t xml:space="preserve">eneral layout specifications </w:t>
      </w:r>
      <w:r>
        <w:rPr>
          <w:rFonts w:ascii="Times New Roman" w:hAnsi="Times New Roman" w:cs="Times New Roman"/>
          <w:noProof/>
          <w:sz w:val="24"/>
          <w:szCs w:val="24"/>
          <w:lang w:eastAsia="zh-CN"/>
        </w:rPr>
        <w:t>established by ICAO (e.g. information is indicated in a different zone)</w:t>
      </w:r>
      <w:r w:rsidR="00A32292" w:rsidRPr="00A32292">
        <w:rPr>
          <w:rFonts w:ascii="Times New Roman" w:hAnsi="Times New Roman" w:cs="Times New Roman"/>
          <w:noProof/>
          <w:sz w:val="24"/>
          <w:szCs w:val="24"/>
          <w:lang w:eastAsia="zh-CN"/>
        </w:rPr>
        <w:t>.</w:t>
      </w:r>
    </w:p>
    <w:p w14:paraId="1209C481" w14:textId="02718B57" w:rsidR="00A32292" w:rsidRDefault="00FD4DC9"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The Commission is in contact with the Member State</w:t>
      </w:r>
      <w:r w:rsidR="00D309EF">
        <w:rPr>
          <w:rFonts w:ascii="Times New Roman" w:hAnsi="Times New Roman" w:cs="Times New Roman"/>
          <w:noProof/>
          <w:sz w:val="24"/>
          <w:szCs w:val="24"/>
          <w:lang w:eastAsia="zh-CN"/>
        </w:rPr>
        <w:t xml:space="preserve">s </w:t>
      </w:r>
      <w:r w:rsidR="007C0BC8">
        <w:rPr>
          <w:rFonts w:ascii="Times New Roman" w:hAnsi="Times New Roman" w:cs="Times New Roman"/>
          <w:noProof/>
          <w:sz w:val="24"/>
          <w:szCs w:val="24"/>
          <w:lang w:eastAsia="zh-CN"/>
        </w:rPr>
        <w:t xml:space="preserve">whose identity cards are </w:t>
      </w:r>
      <w:r w:rsidR="00D309EF">
        <w:rPr>
          <w:rFonts w:ascii="Times New Roman" w:hAnsi="Times New Roman" w:cs="Times New Roman"/>
          <w:noProof/>
          <w:sz w:val="24"/>
          <w:szCs w:val="24"/>
          <w:lang w:eastAsia="zh-CN"/>
        </w:rPr>
        <w:t>concerned by Frontex’ findings</w:t>
      </w:r>
      <w:r w:rsidR="00673540">
        <w:rPr>
          <w:rFonts w:ascii="Times New Roman" w:hAnsi="Times New Roman" w:cs="Times New Roman"/>
          <w:noProof/>
          <w:sz w:val="24"/>
          <w:szCs w:val="24"/>
          <w:lang w:eastAsia="zh-CN"/>
        </w:rPr>
        <w:t>.</w:t>
      </w:r>
    </w:p>
    <w:p w14:paraId="6E5134AC" w14:textId="62D3BFFC" w:rsidR="00063127" w:rsidRDefault="00063127"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Based on its analyses, Frontex made the following operational remarks:</w:t>
      </w:r>
    </w:p>
    <w:p w14:paraId="1CE8F968" w14:textId="714D6087" w:rsidR="00063127" w:rsidRPr="00063127" w:rsidRDefault="00063127" w:rsidP="00166BBD">
      <w:pPr>
        <w:pStyle w:val="ListParagraph"/>
        <w:numPr>
          <w:ilvl w:val="0"/>
          <w:numId w:val="6"/>
        </w:numPr>
        <w:spacing w:after="240" w:line="240" w:lineRule="auto"/>
        <w:contextualSpacing w:val="0"/>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w:t>
      </w:r>
      <w:r w:rsidRPr="00166BBD">
        <w:rPr>
          <w:rFonts w:ascii="Times New Roman" w:hAnsi="Times New Roman" w:cs="Times New Roman"/>
          <w:i/>
          <w:iCs/>
          <w:noProof/>
          <w:sz w:val="24"/>
          <w:szCs w:val="24"/>
          <w:lang w:eastAsia="zh-CN"/>
        </w:rPr>
        <w:t>Rainbow printing, being a special printing method, increases robustness of offset printing and facilitates checks at the front line. The gradual merge of the colours should be identifiable and distinguishable</w:t>
      </w:r>
      <w:r>
        <w:rPr>
          <w:rFonts w:ascii="Times New Roman" w:hAnsi="Times New Roman" w:cs="Times New Roman"/>
          <w:i/>
          <w:iCs/>
          <w:noProof/>
          <w:sz w:val="24"/>
          <w:szCs w:val="24"/>
          <w:lang w:eastAsia="zh-CN"/>
        </w:rPr>
        <w:t>.</w:t>
      </w:r>
      <w:r>
        <w:rPr>
          <w:rFonts w:ascii="Times New Roman" w:hAnsi="Times New Roman" w:cs="Times New Roman"/>
          <w:noProof/>
          <w:sz w:val="24"/>
          <w:szCs w:val="24"/>
          <w:lang w:eastAsia="zh-CN"/>
        </w:rPr>
        <w:t>”</w:t>
      </w:r>
    </w:p>
    <w:p w14:paraId="30B4C96C" w14:textId="437A458B" w:rsidR="00063127" w:rsidRDefault="00063127" w:rsidP="00166BBD">
      <w:pPr>
        <w:pStyle w:val="ListParagraph"/>
        <w:numPr>
          <w:ilvl w:val="0"/>
          <w:numId w:val="6"/>
        </w:numPr>
        <w:spacing w:after="240" w:line="240" w:lineRule="auto"/>
        <w:contextualSpacing w:val="0"/>
        <w:jc w:val="both"/>
        <w:rPr>
          <w:rFonts w:ascii="Times New Roman" w:hAnsi="Times New Roman" w:cs="Times New Roman"/>
          <w:noProof/>
          <w:sz w:val="24"/>
          <w:szCs w:val="24"/>
          <w:lang w:eastAsia="zh-CN"/>
        </w:rPr>
      </w:pPr>
      <w:r w:rsidRPr="00063127">
        <w:rPr>
          <w:rFonts w:ascii="Times New Roman" w:hAnsi="Times New Roman" w:cs="Times New Roman"/>
          <w:noProof/>
          <w:sz w:val="24"/>
          <w:szCs w:val="24"/>
          <w:lang w:eastAsia="zh-CN"/>
        </w:rPr>
        <w:t>“</w:t>
      </w:r>
      <w:r w:rsidRPr="00166BBD">
        <w:rPr>
          <w:rFonts w:ascii="Times New Roman" w:hAnsi="Times New Roman" w:cs="Times New Roman"/>
          <w:i/>
          <w:iCs/>
          <w:noProof/>
          <w:sz w:val="24"/>
          <w:szCs w:val="24"/>
          <w:lang w:eastAsia="zh-CN"/>
        </w:rPr>
        <w:t>[The] requirement for the size for the portrait is relevant for facilitating identity checks and detecting document frauds such as impostor fraud and portrait overprinting, two types of fraud have that have been among the most common types of document/identity fraud in recent years. Therefore, a larger size of the holder portrait is crucial to identity and document authenticity checks. In cases where the portrait is the only biographical identifiers available to support an identity check, the portrait size becomes even more significant.</w:t>
      </w:r>
      <w:r>
        <w:rPr>
          <w:rFonts w:ascii="Times New Roman" w:hAnsi="Times New Roman" w:cs="Times New Roman"/>
          <w:noProof/>
          <w:sz w:val="24"/>
          <w:szCs w:val="24"/>
          <w:lang w:eastAsia="zh-CN"/>
        </w:rPr>
        <w:t>”</w:t>
      </w:r>
    </w:p>
    <w:p w14:paraId="44CAB42C" w14:textId="4E9C619E" w:rsidR="00063127" w:rsidRPr="00063127" w:rsidRDefault="00063127" w:rsidP="00166BBD">
      <w:pPr>
        <w:pStyle w:val="ListParagraph"/>
        <w:numPr>
          <w:ilvl w:val="0"/>
          <w:numId w:val="6"/>
        </w:numPr>
        <w:spacing w:after="240" w:line="240" w:lineRule="auto"/>
        <w:contextualSpacing w:val="0"/>
        <w:jc w:val="both"/>
        <w:rPr>
          <w:rFonts w:ascii="Times New Roman" w:hAnsi="Times New Roman" w:cs="Times New Roman"/>
          <w:noProof/>
          <w:sz w:val="24"/>
          <w:szCs w:val="24"/>
          <w:lang w:eastAsia="zh-CN"/>
        </w:rPr>
      </w:pPr>
      <w:r w:rsidRPr="00063127">
        <w:rPr>
          <w:rFonts w:ascii="Times New Roman" w:hAnsi="Times New Roman" w:cs="Times New Roman"/>
          <w:noProof/>
          <w:sz w:val="24"/>
          <w:szCs w:val="24"/>
          <w:lang w:eastAsia="zh-CN"/>
        </w:rPr>
        <w:t>“</w:t>
      </w:r>
      <w:r w:rsidRPr="00166BBD">
        <w:rPr>
          <w:rFonts w:ascii="Times New Roman" w:hAnsi="Times New Roman" w:cs="Times New Roman"/>
          <w:i/>
          <w:iCs/>
          <w:noProof/>
          <w:sz w:val="24"/>
          <w:szCs w:val="24"/>
          <w:lang w:eastAsia="zh-CN"/>
        </w:rPr>
        <w:t>The introduction of an additional portrait of a holder is a measure to increase ID cards’ robustness against photo substitution and make it more resistant to portrait manipulations. The additional portrait shall be of sufficient quality to ensure comparison with the main portrait and shall be easily verifiable at the front line.</w:t>
      </w:r>
      <w:r>
        <w:rPr>
          <w:rFonts w:ascii="Times New Roman" w:hAnsi="Times New Roman" w:cs="Times New Roman"/>
          <w:noProof/>
          <w:sz w:val="24"/>
          <w:szCs w:val="24"/>
          <w:lang w:eastAsia="zh-CN"/>
        </w:rPr>
        <w:t>”</w:t>
      </w:r>
    </w:p>
    <w:p w14:paraId="24CEFD4D" w14:textId="77777777" w:rsidR="0047249C" w:rsidRPr="000E317B" w:rsidRDefault="0047249C" w:rsidP="00166BBD">
      <w:pPr>
        <w:pStyle w:val="Heading3"/>
        <w:spacing w:line="240" w:lineRule="auto"/>
        <w:ind w:left="709"/>
        <w:rPr>
          <w:noProof/>
        </w:rPr>
      </w:pPr>
      <w:r>
        <w:rPr>
          <w:noProof/>
          <w:lang w:val="en-IE"/>
        </w:rPr>
        <w:t>Other aspects linked to the technical implementation regarding identity cards</w:t>
      </w:r>
    </w:p>
    <w:p w14:paraId="33D84444" w14:textId="7EB0C6C4" w:rsidR="0047249C" w:rsidRDefault="0047249C"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A</w:t>
      </w:r>
      <w:r w:rsidRPr="002B768F">
        <w:rPr>
          <w:rFonts w:ascii="Times New Roman" w:hAnsi="Times New Roman" w:cs="Times New Roman"/>
          <w:noProof/>
          <w:sz w:val="24"/>
          <w:szCs w:val="24"/>
          <w:lang w:eastAsia="zh-CN"/>
        </w:rPr>
        <w:t xml:space="preserve">s </w:t>
      </w:r>
      <w:r>
        <w:rPr>
          <w:rFonts w:ascii="Times New Roman" w:hAnsi="Times New Roman" w:cs="Times New Roman"/>
          <w:noProof/>
          <w:sz w:val="24"/>
          <w:szCs w:val="24"/>
          <w:lang w:eastAsia="zh-CN"/>
        </w:rPr>
        <w:t>allowed</w:t>
      </w:r>
      <w:r w:rsidRPr="002B768F">
        <w:rPr>
          <w:rFonts w:ascii="Times New Roman" w:hAnsi="Times New Roman" w:cs="Times New Roman"/>
          <w:noProof/>
          <w:sz w:val="24"/>
          <w:szCs w:val="24"/>
          <w:lang w:eastAsia="zh-CN"/>
        </w:rPr>
        <w:t xml:space="preserve"> by Article 3(3) of the Regulation</w:t>
      </w:r>
      <w:r>
        <w:rPr>
          <w:rFonts w:ascii="Times New Roman" w:hAnsi="Times New Roman" w:cs="Times New Roman"/>
          <w:noProof/>
          <w:sz w:val="24"/>
          <w:szCs w:val="24"/>
          <w:lang w:eastAsia="zh-CN"/>
        </w:rPr>
        <w:t>,</w:t>
      </w:r>
      <w:r w:rsidR="007C0BC8">
        <w:rPr>
          <w:rFonts w:ascii="Times New Roman" w:hAnsi="Times New Roman" w:cs="Times New Roman"/>
          <w:noProof/>
          <w:sz w:val="24"/>
          <w:szCs w:val="24"/>
          <w:lang w:eastAsia="zh-CN"/>
        </w:rPr>
        <w:t xml:space="preserve"> two Member States </w:t>
      </w:r>
      <w:r w:rsidRPr="00C5594A">
        <w:rPr>
          <w:rFonts w:ascii="Times New Roman" w:hAnsi="Times New Roman" w:cs="Times New Roman"/>
          <w:noProof/>
          <w:sz w:val="24"/>
          <w:szCs w:val="24"/>
          <w:lang w:eastAsia="zh-CN"/>
        </w:rPr>
        <w:t>use, instead of ‘identity card’, another well-established national designation in the official language</w:t>
      </w:r>
      <w:r w:rsidR="007C0BC8" w:rsidRPr="004C1BC5">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lang w:eastAsia="zh-CN"/>
        </w:rPr>
        <w:t xml:space="preserve">. </w:t>
      </w:r>
      <w:r w:rsidR="009E32C4">
        <w:rPr>
          <w:rFonts w:ascii="Times New Roman" w:hAnsi="Times New Roman" w:cs="Times New Roman"/>
          <w:noProof/>
          <w:sz w:val="24"/>
          <w:szCs w:val="24"/>
          <w:lang w:eastAsia="zh-CN"/>
        </w:rPr>
        <w:t>Five</w:t>
      </w:r>
      <w:r>
        <w:rPr>
          <w:rFonts w:ascii="Times New Roman" w:hAnsi="Times New Roman" w:cs="Times New Roman"/>
          <w:noProof/>
          <w:sz w:val="24"/>
          <w:szCs w:val="24"/>
          <w:lang w:eastAsia="zh-CN"/>
        </w:rPr>
        <w:t xml:space="preserve"> Member States include braille text on the card</w:t>
      </w:r>
      <w:r w:rsidRPr="004C1BC5">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lang w:eastAsia="zh-CN"/>
        </w:rPr>
        <w:t>.</w:t>
      </w:r>
    </w:p>
    <w:p w14:paraId="0ABFAE79" w14:textId="4414BF2A" w:rsidR="0047249C" w:rsidRPr="004A25C9" w:rsidRDefault="0047249C" w:rsidP="00166BBD">
      <w:pPr>
        <w:spacing w:after="240" w:line="240" w:lineRule="auto"/>
        <w:jc w:val="both"/>
        <w:rPr>
          <w:rFonts w:ascii="Times New Roman" w:hAnsi="Times New Roman" w:cs="Times New Roman"/>
          <w:noProof/>
          <w:sz w:val="24"/>
          <w:szCs w:val="24"/>
          <w:lang w:eastAsia="zh-CN"/>
        </w:rPr>
      </w:pPr>
      <w:r w:rsidRPr="00C5594A">
        <w:rPr>
          <w:rFonts w:ascii="Times New Roman" w:hAnsi="Times New Roman" w:cs="Times New Roman"/>
          <w:noProof/>
          <w:sz w:val="24"/>
          <w:szCs w:val="24"/>
          <w:lang w:eastAsia="zh-CN"/>
        </w:rPr>
        <w:t xml:space="preserve">13 Member States </w:t>
      </w:r>
      <w:r w:rsidR="008C36AB">
        <w:rPr>
          <w:rFonts w:ascii="Times New Roman" w:hAnsi="Times New Roman" w:cs="Times New Roman"/>
          <w:noProof/>
          <w:sz w:val="24"/>
          <w:szCs w:val="24"/>
          <w:lang w:eastAsia="zh-CN"/>
        </w:rPr>
        <w:t xml:space="preserve">currently </w:t>
      </w:r>
      <w:r w:rsidRPr="00C5594A">
        <w:rPr>
          <w:rFonts w:ascii="Times New Roman" w:hAnsi="Times New Roman" w:cs="Times New Roman"/>
          <w:noProof/>
          <w:sz w:val="24"/>
          <w:szCs w:val="24"/>
          <w:lang w:eastAsia="zh-CN"/>
        </w:rPr>
        <w:t xml:space="preserve">make use of the </w:t>
      </w:r>
      <w:r w:rsidR="008C36AB">
        <w:rPr>
          <w:rFonts w:ascii="Times New Roman" w:hAnsi="Times New Roman" w:cs="Times New Roman"/>
          <w:noProof/>
          <w:sz w:val="24"/>
          <w:szCs w:val="24"/>
          <w:lang w:eastAsia="zh-CN"/>
        </w:rPr>
        <w:t>possibility</w:t>
      </w:r>
      <w:r w:rsidR="008C36AB" w:rsidRPr="00C5594A">
        <w:rPr>
          <w:rFonts w:ascii="Times New Roman" w:hAnsi="Times New Roman" w:cs="Times New Roman"/>
          <w:noProof/>
          <w:sz w:val="24"/>
          <w:szCs w:val="24"/>
          <w:lang w:eastAsia="zh-CN"/>
        </w:rPr>
        <w:t xml:space="preserve"> </w:t>
      </w:r>
      <w:r w:rsidRPr="00C5594A">
        <w:rPr>
          <w:rFonts w:ascii="Times New Roman" w:hAnsi="Times New Roman" w:cs="Times New Roman"/>
          <w:noProof/>
          <w:sz w:val="24"/>
          <w:szCs w:val="24"/>
          <w:lang w:eastAsia="zh-CN"/>
        </w:rPr>
        <w:t xml:space="preserve">provided </w:t>
      </w:r>
      <w:r>
        <w:rPr>
          <w:rFonts w:ascii="Times New Roman" w:hAnsi="Times New Roman" w:cs="Times New Roman"/>
          <w:noProof/>
          <w:sz w:val="24"/>
          <w:szCs w:val="24"/>
          <w:lang w:eastAsia="zh-CN"/>
        </w:rPr>
        <w:t>by</w:t>
      </w:r>
      <w:r w:rsidRPr="00C5594A">
        <w:rPr>
          <w:rFonts w:ascii="Times New Roman" w:hAnsi="Times New Roman" w:cs="Times New Roman"/>
          <w:noProof/>
          <w:sz w:val="24"/>
          <w:szCs w:val="24"/>
          <w:lang w:eastAsia="zh-CN"/>
        </w:rPr>
        <w:t xml:space="preserve"> Article 3(9) of the Regulation to </w:t>
      </w:r>
      <w:r w:rsidRPr="00EE0A6C">
        <w:rPr>
          <w:rFonts w:ascii="Times New Roman" w:hAnsi="Times New Roman" w:cs="Times New Roman"/>
          <w:noProof/>
          <w:sz w:val="24"/>
          <w:szCs w:val="24"/>
          <w:lang w:eastAsia="zh-CN"/>
        </w:rPr>
        <w:t>incorporate a dual interface or a separate storage medium</w:t>
      </w:r>
      <w:r>
        <w:rPr>
          <w:rFonts w:ascii="Times New Roman" w:hAnsi="Times New Roman" w:cs="Times New Roman"/>
          <w:noProof/>
          <w:sz w:val="24"/>
          <w:szCs w:val="24"/>
          <w:lang w:eastAsia="zh-CN"/>
        </w:rPr>
        <w:t xml:space="preserve">. In accordance with </w:t>
      </w:r>
      <w:r w:rsidRPr="004A25C9">
        <w:rPr>
          <w:rFonts w:ascii="Times New Roman" w:hAnsi="Times New Roman" w:cs="Times New Roman"/>
          <w:noProof/>
          <w:sz w:val="24"/>
          <w:szCs w:val="24"/>
          <w:lang w:eastAsia="zh-CN"/>
        </w:rPr>
        <w:t xml:space="preserve">Article 3(10) of the Regulation, </w:t>
      </w:r>
      <w:r>
        <w:rPr>
          <w:rFonts w:ascii="Times New Roman" w:hAnsi="Times New Roman" w:cs="Times New Roman"/>
          <w:noProof/>
          <w:sz w:val="24"/>
          <w:szCs w:val="24"/>
          <w:lang w:eastAsia="zh-CN"/>
        </w:rPr>
        <w:t xml:space="preserve">14 </w:t>
      </w:r>
      <w:r w:rsidRPr="004A25C9">
        <w:rPr>
          <w:rFonts w:ascii="Times New Roman" w:hAnsi="Times New Roman" w:cs="Times New Roman"/>
          <w:noProof/>
          <w:sz w:val="24"/>
          <w:szCs w:val="24"/>
          <w:lang w:eastAsia="zh-CN"/>
        </w:rPr>
        <w:t xml:space="preserve">Member States store data for electronic services such as e-government and e-business in their identity cards, </w:t>
      </w:r>
      <w:r>
        <w:rPr>
          <w:rFonts w:ascii="Times New Roman" w:hAnsi="Times New Roman" w:cs="Times New Roman"/>
          <w:noProof/>
          <w:sz w:val="24"/>
          <w:szCs w:val="24"/>
          <w:lang w:eastAsia="zh-CN"/>
        </w:rPr>
        <w:t>in a way that is</w:t>
      </w:r>
      <w:r w:rsidRPr="004A25C9">
        <w:rPr>
          <w:rFonts w:ascii="Times New Roman" w:hAnsi="Times New Roman" w:cs="Times New Roman"/>
          <w:noProof/>
          <w:sz w:val="24"/>
          <w:szCs w:val="24"/>
          <w:lang w:eastAsia="zh-CN"/>
        </w:rPr>
        <w:t xml:space="preserve"> physically or logically separated from the biometric data</w:t>
      </w:r>
      <w:r>
        <w:rPr>
          <w:rFonts w:ascii="Times New Roman" w:hAnsi="Times New Roman" w:cs="Times New Roman"/>
          <w:noProof/>
          <w:sz w:val="24"/>
          <w:szCs w:val="24"/>
          <w:lang w:eastAsia="zh-CN"/>
        </w:rPr>
        <w:t xml:space="preserve"> stored in the chip of the card</w:t>
      </w:r>
      <w:r w:rsidRPr="004A25C9">
        <w:rPr>
          <w:rFonts w:ascii="Times New Roman" w:hAnsi="Times New Roman" w:cs="Times New Roman"/>
          <w:noProof/>
          <w:sz w:val="24"/>
          <w:szCs w:val="24"/>
          <w:lang w:eastAsia="zh-CN"/>
        </w:rPr>
        <w:t>.</w:t>
      </w:r>
    </w:p>
    <w:p w14:paraId="769517E8" w14:textId="77777777" w:rsidR="0047249C" w:rsidRDefault="0047249C" w:rsidP="00166BBD">
      <w:pPr>
        <w:pStyle w:val="Heading3"/>
        <w:spacing w:line="240" w:lineRule="auto"/>
        <w:ind w:left="720"/>
        <w:rPr>
          <w:noProof/>
          <w:lang w:val="en-IE"/>
        </w:rPr>
      </w:pPr>
      <w:r>
        <w:rPr>
          <w:noProof/>
          <w:lang w:val="en-IE"/>
        </w:rPr>
        <w:t>Collection of biometric identifiers</w:t>
      </w:r>
    </w:p>
    <w:p w14:paraId="50C30D76" w14:textId="0F7596D5" w:rsidR="0047249C" w:rsidRDefault="0047249C" w:rsidP="00166BBD">
      <w:pPr>
        <w:spacing w:after="240" w:line="240" w:lineRule="auto"/>
        <w:jc w:val="both"/>
        <w:rPr>
          <w:rFonts w:ascii="Times New Roman" w:hAnsi="Times New Roman" w:cs="Times New Roman"/>
          <w:noProof/>
          <w:sz w:val="24"/>
          <w:szCs w:val="24"/>
          <w:lang w:eastAsia="en-GB"/>
        </w:rPr>
      </w:pPr>
      <w:r w:rsidRPr="00A26BFC">
        <w:rPr>
          <w:rFonts w:ascii="Times New Roman" w:hAnsi="Times New Roman" w:cs="Times New Roman"/>
          <w:noProof/>
          <w:sz w:val="24"/>
          <w:szCs w:val="24"/>
          <w:lang w:eastAsia="en-GB"/>
        </w:rPr>
        <w:t xml:space="preserve">Pursuant to the first subparagraph of Article 3(7) of the Regulation, Member States may decide to exempt children between the age of 6 to 12 years from the requirement to give fingerprints </w:t>
      </w:r>
      <w:r>
        <w:rPr>
          <w:rFonts w:ascii="Times New Roman" w:hAnsi="Times New Roman" w:cs="Times New Roman"/>
          <w:noProof/>
          <w:sz w:val="24"/>
          <w:szCs w:val="24"/>
          <w:lang w:eastAsia="en-GB"/>
        </w:rPr>
        <w:t>when issuing the</w:t>
      </w:r>
      <w:r w:rsidR="003B0DFC">
        <w:rPr>
          <w:rFonts w:ascii="Times New Roman" w:hAnsi="Times New Roman" w:cs="Times New Roman"/>
          <w:noProof/>
          <w:sz w:val="24"/>
          <w:szCs w:val="24"/>
          <w:lang w:eastAsia="en-GB"/>
        </w:rPr>
        <w:t>ir</w:t>
      </w:r>
      <w:r>
        <w:rPr>
          <w:rFonts w:ascii="Times New Roman" w:hAnsi="Times New Roman" w:cs="Times New Roman"/>
          <w:noProof/>
          <w:sz w:val="24"/>
          <w:szCs w:val="24"/>
          <w:lang w:eastAsia="en-GB"/>
        </w:rPr>
        <w:t xml:space="preserve"> identity cards</w:t>
      </w:r>
      <w:r w:rsidRPr="004C1BC5">
        <w:rPr>
          <w:rStyle w:val="FootnoteReference"/>
          <w:rFonts w:ascii="Times New Roman" w:hAnsi="Times New Roman" w:cs="Times New Roman"/>
          <w:noProof/>
          <w:sz w:val="24"/>
          <w:szCs w:val="24"/>
          <w:lang w:eastAsia="en-GB"/>
        </w:rPr>
        <w:footnoteReference w:id="23"/>
      </w:r>
      <w:r>
        <w:rPr>
          <w:rFonts w:ascii="Times New Roman" w:hAnsi="Times New Roman" w:cs="Times New Roman"/>
          <w:noProof/>
          <w:sz w:val="24"/>
          <w:szCs w:val="24"/>
          <w:lang w:eastAsia="en-GB"/>
        </w:rPr>
        <w:t xml:space="preserve">. </w:t>
      </w:r>
      <w:r w:rsidR="003F3B74">
        <w:rPr>
          <w:rFonts w:ascii="Times New Roman" w:hAnsi="Times New Roman" w:cs="Times New Roman"/>
          <w:noProof/>
          <w:sz w:val="24"/>
          <w:szCs w:val="24"/>
          <w:lang w:eastAsia="en-GB"/>
        </w:rPr>
        <w:t xml:space="preserve">Currently, </w:t>
      </w:r>
      <w:r>
        <w:rPr>
          <w:rFonts w:ascii="Times New Roman" w:hAnsi="Times New Roman" w:cs="Times New Roman"/>
          <w:noProof/>
          <w:sz w:val="24"/>
          <w:szCs w:val="24"/>
          <w:lang w:eastAsia="en-GB"/>
        </w:rPr>
        <w:t>19 Member States</w:t>
      </w:r>
      <w:r w:rsidR="008C36AB">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 xml:space="preserve">make use of this possibility. </w:t>
      </w:r>
      <w:r w:rsidRPr="0050496B">
        <w:rPr>
          <w:rFonts w:ascii="Times New Roman" w:hAnsi="Times New Roman" w:cs="Times New Roman"/>
          <w:noProof/>
          <w:sz w:val="24"/>
          <w:szCs w:val="24"/>
          <w:lang w:eastAsia="en-GB"/>
        </w:rPr>
        <w:t>Member States</w:t>
      </w:r>
      <w:r>
        <w:rPr>
          <w:rFonts w:ascii="Times New Roman" w:hAnsi="Times New Roman" w:cs="Times New Roman"/>
          <w:noProof/>
          <w:sz w:val="24"/>
          <w:szCs w:val="24"/>
          <w:lang w:eastAsia="en-GB"/>
        </w:rPr>
        <w:t xml:space="preserve"> have also put in place various measures</w:t>
      </w:r>
      <w:r w:rsidRPr="0050496B">
        <w:rPr>
          <w:rFonts w:ascii="Times New Roman" w:hAnsi="Times New Roman" w:cs="Times New Roman"/>
          <w:noProof/>
          <w:sz w:val="24"/>
          <w:szCs w:val="24"/>
          <w:lang w:eastAsia="en-GB"/>
        </w:rPr>
        <w:t xml:space="preserve"> for the collection of biometric identifiers in relation to the specific needs of children and of vulnerable persons</w:t>
      </w:r>
      <w:r>
        <w:rPr>
          <w:rFonts w:ascii="Times New Roman" w:hAnsi="Times New Roman" w:cs="Times New Roman"/>
          <w:noProof/>
          <w:sz w:val="24"/>
          <w:szCs w:val="24"/>
          <w:lang w:eastAsia="en-GB"/>
        </w:rPr>
        <w:t>, such as dedicated handbooks or opening hours</w:t>
      </w:r>
      <w:r w:rsidRPr="004C1BC5">
        <w:rPr>
          <w:rStyle w:val="FootnoteReference"/>
          <w:rFonts w:ascii="Times New Roman" w:hAnsi="Times New Roman" w:cs="Times New Roman"/>
          <w:noProof/>
          <w:sz w:val="24"/>
          <w:szCs w:val="24"/>
          <w:lang w:eastAsia="en-GB"/>
        </w:rPr>
        <w:footnoteReference w:id="24"/>
      </w:r>
      <w:r>
        <w:rPr>
          <w:rFonts w:ascii="Times New Roman" w:hAnsi="Times New Roman" w:cs="Times New Roman"/>
          <w:noProof/>
          <w:sz w:val="24"/>
          <w:szCs w:val="24"/>
          <w:lang w:eastAsia="en-GB"/>
        </w:rPr>
        <w:t xml:space="preserve">. </w:t>
      </w:r>
    </w:p>
    <w:p w14:paraId="65E858EF" w14:textId="3EB38E3A" w:rsidR="0047249C" w:rsidRDefault="0047249C" w:rsidP="00166BBD">
      <w:pPr>
        <w:spacing w:after="240" w:line="240" w:lineRule="auto"/>
        <w:jc w:val="both"/>
        <w:rPr>
          <w:noProof/>
          <w:lang w:eastAsia="zh-CN"/>
        </w:rPr>
      </w:pPr>
      <w:r>
        <w:rPr>
          <w:rFonts w:ascii="Times New Roman" w:hAnsi="Times New Roman" w:cs="Times New Roman"/>
          <w:noProof/>
          <w:sz w:val="24"/>
          <w:szCs w:val="24"/>
          <w:lang w:eastAsia="en-GB"/>
        </w:rPr>
        <w:t>In the</w:t>
      </w:r>
      <w:r w:rsidR="008C36AB">
        <w:rPr>
          <w:rFonts w:ascii="Times New Roman" w:hAnsi="Times New Roman" w:cs="Times New Roman"/>
          <w:noProof/>
          <w:sz w:val="24"/>
          <w:szCs w:val="24"/>
          <w:lang w:eastAsia="en-GB"/>
        </w:rPr>
        <w:t>ir</w:t>
      </w:r>
      <w:r>
        <w:rPr>
          <w:rFonts w:ascii="Times New Roman" w:hAnsi="Times New Roman" w:cs="Times New Roman"/>
          <w:noProof/>
          <w:sz w:val="24"/>
          <w:szCs w:val="24"/>
          <w:lang w:eastAsia="en-GB"/>
        </w:rPr>
        <w:t xml:space="preserve"> answers to the Commission’s questionnaire, only few Member States reported </w:t>
      </w:r>
      <w:r w:rsidRPr="00AC675F">
        <w:rPr>
          <w:rFonts w:ascii="Times New Roman" w:hAnsi="Times New Roman" w:cs="Times New Roman"/>
          <w:noProof/>
          <w:sz w:val="24"/>
          <w:szCs w:val="24"/>
          <w:lang w:eastAsia="en-GB"/>
        </w:rPr>
        <w:t xml:space="preserve">difficulties </w:t>
      </w:r>
      <w:r>
        <w:rPr>
          <w:rFonts w:ascii="Times New Roman" w:hAnsi="Times New Roman" w:cs="Times New Roman"/>
          <w:noProof/>
          <w:sz w:val="24"/>
          <w:szCs w:val="24"/>
          <w:lang w:eastAsia="en-GB"/>
        </w:rPr>
        <w:t xml:space="preserve">with the collection of </w:t>
      </w:r>
      <w:r w:rsidRPr="00AC675F">
        <w:rPr>
          <w:rFonts w:ascii="Times New Roman" w:hAnsi="Times New Roman" w:cs="Times New Roman"/>
          <w:noProof/>
          <w:sz w:val="24"/>
          <w:szCs w:val="24"/>
          <w:lang w:eastAsia="en-GB"/>
        </w:rPr>
        <w:t>biometric identifier</w:t>
      </w:r>
      <w:r>
        <w:rPr>
          <w:rFonts w:ascii="Times New Roman" w:hAnsi="Times New Roman" w:cs="Times New Roman"/>
          <w:noProof/>
          <w:sz w:val="24"/>
          <w:szCs w:val="24"/>
          <w:lang w:eastAsia="en-GB"/>
        </w:rPr>
        <w:t xml:space="preserve">s, mainly linked to the quality of the facial image or the fingerprints captured. 22 Member States </w:t>
      </w:r>
      <w:r w:rsidR="003B0DFC">
        <w:rPr>
          <w:rFonts w:ascii="Times New Roman" w:hAnsi="Times New Roman" w:cs="Times New Roman"/>
          <w:noProof/>
          <w:sz w:val="24"/>
          <w:szCs w:val="24"/>
          <w:lang w:eastAsia="en-GB"/>
        </w:rPr>
        <w:t>use</w:t>
      </w:r>
      <w:r w:rsidR="00684FEA">
        <w:rPr>
          <w:rFonts w:ascii="Times New Roman" w:hAnsi="Times New Roman" w:cs="Times New Roman"/>
          <w:noProof/>
          <w:sz w:val="24"/>
          <w:szCs w:val="24"/>
          <w:lang w:eastAsia="en-GB"/>
        </w:rPr>
        <w:t xml:space="preserve"> or are</w:t>
      </w:r>
      <w:r>
        <w:rPr>
          <w:rFonts w:ascii="Times New Roman" w:hAnsi="Times New Roman" w:cs="Times New Roman"/>
          <w:noProof/>
          <w:sz w:val="24"/>
          <w:szCs w:val="24"/>
          <w:lang w:eastAsia="en-GB"/>
        </w:rPr>
        <w:t xml:space="preserve"> exploring the use of </w:t>
      </w:r>
      <w:r w:rsidRPr="005B317B">
        <w:rPr>
          <w:rFonts w:ascii="Times New Roman" w:hAnsi="Times New Roman" w:cs="Times New Roman"/>
          <w:noProof/>
          <w:sz w:val="24"/>
          <w:szCs w:val="24"/>
          <w:lang w:eastAsia="en-GB"/>
        </w:rPr>
        <w:t xml:space="preserve">mobile registration devices for the issuance of </w:t>
      </w:r>
      <w:r>
        <w:rPr>
          <w:rFonts w:ascii="Times New Roman" w:hAnsi="Times New Roman" w:cs="Times New Roman"/>
          <w:noProof/>
          <w:sz w:val="24"/>
          <w:szCs w:val="24"/>
          <w:lang w:eastAsia="en-GB"/>
        </w:rPr>
        <w:t>identity</w:t>
      </w:r>
      <w:r w:rsidRPr="005B317B">
        <w:rPr>
          <w:rFonts w:ascii="Times New Roman" w:hAnsi="Times New Roman" w:cs="Times New Roman"/>
          <w:noProof/>
          <w:sz w:val="24"/>
          <w:szCs w:val="24"/>
          <w:lang w:eastAsia="en-GB"/>
        </w:rPr>
        <w:t xml:space="preserve"> cards to persons incapable of visiting the authorities responsible for issuing such cards</w:t>
      </w:r>
      <w:r w:rsidRPr="004C1BC5">
        <w:rPr>
          <w:rStyle w:val="FootnoteReference"/>
          <w:rFonts w:ascii="Times New Roman" w:hAnsi="Times New Roman" w:cs="Times New Roman"/>
          <w:noProof/>
          <w:sz w:val="24"/>
          <w:szCs w:val="24"/>
          <w:lang w:eastAsia="en-GB"/>
        </w:rPr>
        <w:footnoteReference w:id="25"/>
      </w:r>
      <w:r>
        <w:rPr>
          <w:rFonts w:ascii="Times New Roman" w:hAnsi="Times New Roman" w:cs="Times New Roman"/>
          <w:noProof/>
          <w:sz w:val="24"/>
          <w:szCs w:val="24"/>
          <w:lang w:eastAsia="en-GB"/>
        </w:rPr>
        <w:t xml:space="preserve">. 12 Member States collect </w:t>
      </w:r>
      <w:r w:rsidRPr="003D4C1F">
        <w:rPr>
          <w:rFonts w:ascii="Times New Roman" w:hAnsi="Times New Roman" w:cs="Times New Roman"/>
          <w:noProof/>
          <w:sz w:val="24"/>
          <w:szCs w:val="24"/>
          <w:lang w:eastAsia="en-GB"/>
        </w:rPr>
        <w:t>the facial image by means of live enrolment</w:t>
      </w:r>
      <w:r>
        <w:rPr>
          <w:rFonts w:ascii="Times New Roman" w:hAnsi="Times New Roman" w:cs="Times New Roman"/>
          <w:noProof/>
          <w:sz w:val="24"/>
          <w:szCs w:val="24"/>
          <w:lang w:eastAsia="en-GB"/>
        </w:rPr>
        <w:t xml:space="preserve">, although some of those also accept that the applicant provides a photograph </w:t>
      </w:r>
      <w:r w:rsidR="008C36AB">
        <w:rPr>
          <w:rFonts w:ascii="Times New Roman" w:hAnsi="Times New Roman" w:cs="Times New Roman"/>
          <w:noProof/>
          <w:sz w:val="24"/>
          <w:szCs w:val="24"/>
          <w:lang w:eastAsia="en-GB"/>
        </w:rPr>
        <w:t>instead</w:t>
      </w:r>
      <w:r>
        <w:rPr>
          <w:rFonts w:ascii="Times New Roman" w:hAnsi="Times New Roman" w:cs="Times New Roman"/>
          <w:noProof/>
          <w:sz w:val="24"/>
          <w:szCs w:val="24"/>
          <w:lang w:eastAsia="en-GB"/>
        </w:rPr>
        <w:t>.</w:t>
      </w:r>
    </w:p>
    <w:p w14:paraId="1DA8A656" w14:textId="77777777" w:rsidR="0047249C" w:rsidRDefault="0047249C" w:rsidP="00166BBD">
      <w:pPr>
        <w:pStyle w:val="Heading3"/>
        <w:spacing w:line="240" w:lineRule="auto"/>
        <w:ind w:left="720"/>
        <w:rPr>
          <w:noProof/>
          <w:lang w:val="en-IE"/>
        </w:rPr>
      </w:pPr>
      <w:r>
        <w:rPr>
          <w:noProof/>
          <w:lang w:val="en-IE"/>
        </w:rPr>
        <w:t>Document fraud</w:t>
      </w:r>
    </w:p>
    <w:p w14:paraId="6A01FF17" w14:textId="062F0FEA" w:rsidR="0047249C" w:rsidRDefault="0047249C" w:rsidP="00166BBD">
      <w:pPr>
        <w:spacing w:after="240" w:line="240" w:lineRule="auto"/>
        <w:jc w:val="both"/>
        <w:rPr>
          <w:rFonts w:ascii="Times New Roman" w:hAnsi="Times New Roman" w:cs="Times New Roman"/>
          <w:noProof/>
          <w:sz w:val="24"/>
          <w:szCs w:val="24"/>
          <w:lang w:eastAsia="en-GB"/>
        </w:rPr>
      </w:pPr>
      <w:r>
        <w:rPr>
          <w:rFonts w:ascii="Times New Roman" w:eastAsia="Verdana" w:hAnsi="Times New Roman" w:cs="Times New Roman"/>
          <w:noProof/>
          <w:sz w:val="24"/>
          <w:szCs w:val="24"/>
          <w:lang w:val="en-GB"/>
        </w:rPr>
        <w:t xml:space="preserve">Most </w:t>
      </w:r>
      <w:r>
        <w:rPr>
          <w:rFonts w:ascii="Times New Roman" w:hAnsi="Times New Roman" w:cs="Times New Roman"/>
          <w:noProof/>
          <w:sz w:val="24"/>
          <w:szCs w:val="24"/>
          <w:lang w:val="en-GB" w:eastAsia="en-GB"/>
        </w:rPr>
        <w:t xml:space="preserve">Member States report that they continue being </w:t>
      </w:r>
      <w:r w:rsidRPr="004C1BC5">
        <w:rPr>
          <w:rFonts w:ascii="Times New Roman" w:hAnsi="Times New Roman" w:cs="Times New Roman"/>
          <w:noProof/>
          <w:sz w:val="24"/>
          <w:szCs w:val="24"/>
          <w:lang w:val="en-GB" w:eastAsia="en-GB"/>
        </w:rPr>
        <w:t xml:space="preserve">confronted </w:t>
      </w:r>
      <w:r w:rsidRPr="004C1BC5">
        <w:rPr>
          <w:rFonts w:ascii="Times New Roman" w:hAnsi="Times New Roman" w:cs="Times New Roman"/>
          <w:noProof/>
          <w:sz w:val="24"/>
          <w:szCs w:val="24"/>
          <w:lang w:eastAsia="en-GB"/>
        </w:rPr>
        <w:t xml:space="preserve">with </w:t>
      </w:r>
      <w:r>
        <w:rPr>
          <w:rFonts w:ascii="Times New Roman" w:hAnsi="Times New Roman" w:cs="Times New Roman"/>
          <w:noProof/>
          <w:sz w:val="24"/>
          <w:szCs w:val="24"/>
          <w:lang w:eastAsia="en-GB"/>
        </w:rPr>
        <w:t xml:space="preserve">cases of </w:t>
      </w:r>
      <w:r w:rsidRPr="004C1BC5">
        <w:rPr>
          <w:rFonts w:ascii="Times New Roman" w:hAnsi="Times New Roman" w:cs="Times New Roman"/>
          <w:noProof/>
          <w:sz w:val="24"/>
          <w:szCs w:val="24"/>
          <w:lang w:eastAsia="en-GB"/>
        </w:rPr>
        <w:t xml:space="preserve">fraudulent </w:t>
      </w:r>
      <w:r>
        <w:rPr>
          <w:rFonts w:ascii="Times New Roman" w:hAnsi="Times New Roman" w:cs="Times New Roman"/>
          <w:noProof/>
          <w:sz w:val="24"/>
          <w:szCs w:val="24"/>
          <w:lang w:eastAsia="en-GB"/>
        </w:rPr>
        <w:t>identity</w:t>
      </w:r>
      <w:r w:rsidRPr="004C1BC5">
        <w:rPr>
          <w:rFonts w:ascii="Times New Roman" w:hAnsi="Times New Roman" w:cs="Times New Roman"/>
          <w:noProof/>
          <w:sz w:val="24"/>
          <w:szCs w:val="24"/>
          <w:lang w:eastAsia="en-GB"/>
        </w:rPr>
        <w:t xml:space="preserve"> cards and residence documents issued in accordance with the Regulation</w:t>
      </w:r>
      <w:r>
        <w:rPr>
          <w:rFonts w:ascii="Times New Roman" w:hAnsi="Times New Roman" w:cs="Times New Roman"/>
          <w:noProof/>
          <w:sz w:val="24"/>
          <w:szCs w:val="24"/>
          <w:lang w:eastAsia="en-GB"/>
        </w:rPr>
        <w:t>. However, it is not possible to provide a detailed overview of the situation</w:t>
      </w:r>
      <w:r w:rsidR="009E32C4">
        <w:rPr>
          <w:rFonts w:ascii="Times New Roman" w:hAnsi="Times New Roman" w:cs="Times New Roman"/>
          <w:noProof/>
          <w:sz w:val="24"/>
          <w:szCs w:val="24"/>
          <w:lang w:eastAsia="en-GB"/>
        </w:rPr>
        <w:t xml:space="preserve"> relevant to the Regulation</w:t>
      </w:r>
      <w:r>
        <w:rPr>
          <w:rFonts w:ascii="Times New Roman" w:hAnsi="Times New Roman" w:cs="Times New Roman"/>
          <w:noProof/>
          <w:sz w:val="24"/>
          <w:szCs w:val="24"/>
          <w:lang w:eastAsia="en-GB"/>
        </w:rPr>
        <w:t xml:space="preserve">, as Member States do not specifically monitor </w:t>
      </w:r>
      <w:r w:rsidR="003B0DFC">
        <w:rPr>
          <w:rFonts w:ascii="Times New Roman" w:hAnsi="Times New Roman" w:cs="Times New Roman"/>
          <w:noProof/>
          <w:sz w:val="24"/>
          <w:szCs w:val="24"/>
          <w:lang w:eastAsia="en-GB"/>
        </w:rPr>
        <w:t xml:space="preserve">the </w:t>
      </w:r>
      <w:r>
        <w:rPr>
          <w:rFonts w:ascii="Times New Roman" w:hAnsi="Times New Roman" w:cs="Times New Roman"/>
          <w:noProof/>
          <w:sz w:val="24"/>
          <w:szCs w:val="24"/>
          <w:lang w:eastAsia="en-GB"/>
        </w:rPr>
        <w:t xml:space="preserve">number of reported imposters </w:t>
      </w:r>
      <w:r w:rsidRPr="004C1BC5">
        <w:rPr>
          <w:rFonts w:ascii="Times New Roman" w:hAnsi="Times New Roman" w:cs="Times New Roman"/>
          <w:noProof/>
          <w:sz w:val="24"/>
          <w:szCs w:val="24"/>
          <w:lang w:eastAsia="en-GB"/>
        </w:rPr>
        <w:t>(both lookalike</w:t>
      </w:r>
      <w:r w:rsidRPr="004C1BC5">
        <w:rPr>
          <w:rStyle w:val="FootnoteReference"/>
          <w:rFonts w:ascii="Times New Roman" w:hAnsi="Times New Roman" w:cs="Times New Roman"/>
          <w:noProof/>
          <w:sz w:val="24"/>
          <w:szCs w:val="24"/>
          <w:lang w:eastAsia="en-GB"/>
        </w:rPr>
        <w:footnoteReference w:id="26"/>
      </w:r>
      <w:r w:rsidRPr="004C1BC5">
        <w:rPr>
          <w:rFonts w:ascii="Times New Roman" w:hAnsi="Times New Roman" w:cs="Times New Roman"/>
          <w:noProof/>
          <w:sz w:val="24"/>
          <w:szCs w:val="24"/>
          <w:lang w:eastAsia="en-GB"/>
        </w:rPr>
        <w:t xml:space="preserve"> fraud </w:t>
      </w:r>
      <w:r w:rsidR="009E32C4">
        <w:rPr>
          <w:rFonts w:ascii="Times New Roman" w:hAnsi="Times New Roman" w:cs="Times New Roman"/>
          <w:noProof/>
          <w:sz w:val="24"/>
          <w:szCs w:val="24"/>
          <w:lang w:eastAsia="en-GB"/>
        </w:rPr>
        <w:t>and</w:t>
      </w:r>
      <w:r w:rsidRPr="004C1BC5">
        <w:rPr>
          <w:rFonts w:ascii="Times New Roman" w:hAnsi="Times New Roman" w:cs="Times New Roman"/>
          <w:noProof/>
          <w:sz w:val="24"/>
          <w:szCs w:val="24"/>
          <w:lang w:eastAsia="en-GB"/>
        </w:rPr>
        <w:t xml:space="preserve"> fraudsters in general</w:t>
      </w:r>
      <w:r w:rsidRPr="004C1BC5">
        <w:rPr>
          <w:rStyle w:val="FootnoteReference"/>
          <w:rFonts w:ascii="Times New Roman" w:hAnsi="Times New Roman" w:cs="Times New Roman"/>
          <w:noProof/>
          <w:sz w:val="24"/>
          <w:szCs w:val="24"/>
          <w:lang w:eastAsia="en-GB"/>
        </w:rPr>
        <w:footnoteReference w:id="27"/>
      </w:r>
      <w:r w:rsidRPr="004C1BC5">
        <w:rPr>
          <w:rFonts w:ascii="Times New Roman" w:hAnsi="Times New Roman" w:cs="Times New Roman"/>
          <w:noProof/>
          <w:sz w:val="24"/>
          <w:szCs w:val="24"/>
          <w:lang w:eastAsia="en-GB"/>
        </w:rPr>
        <w:t xml:space="preserve">) using </w:t>
      </w:r>
      <w:r>
        <w:rPr>
          <w:rFonts w:ascii="Times New Roman" w:hAnsi="Times New Roman" w:cs="Times New Roman"/>
          <w:noProof/>
          <w:sz w:val="24"/>
          <w:szCs w:val="24"/>
          <w:lang w:eastAsia="en-GB"/>
        </w:rPr>
        <w:t>identity</w:t>
      </w:r>
      <w:r w:rsidRPr="004C1BC5">
        <w:rPr>
          <w:rFonts w:ascii="Times New Roman" w:hAnsi="Times New Roman" w:cs="Times New Roman"/>
          <w:noProof/>
          <w:sz w:val="24"/>
          <w:szCs w:val="24"/>
          <w:lang w:eastAsia="en-GB"/>
        </w:rPr>
        <w:t xml:space="preserve"> cards or residence documents issued in accordance with the requirements of the Regulation</w:t>
      </w:r>
      <w:r>
        <w:rPr>
          <w:rFonts w:ascii="Times New Roman" w:hAnsi="Times New Roman" w:cs="Times New Roman"/>
          <w:noProof/>
          <w:sz w:val="24"/>
          <w:szCs w:val="24"/>
          <w:lang w:eastAsia="en-GB"/>
        </w:rPr>
        <w:t xml:space="preserve">, or </w:t>
      </w:r>
      <w:r w:rsidRPr="004C1BC5">
        <w:rPr>
          <w:rFonts w:ascii="Times New Roman" w:hAnsi="Times New Roman" w:cs="Times New Roman"/>
          <w:noProof/>
          <w:sz w:val="24"/>
          <w:szCs w:val="24"/>
          <w:lang w:eastAsia="en-GB"/>
        </w:rPr>
        <w:t>the number of people who self-report being victims of identity theft</w:t>
      </w:r>
      <w:r>
        <w:rPr>
          <w:rFonts w:ascii="Times New Roman" w:hAnsi="Times New Roman" w:cs="Times New Roman"/>
          <w:noProof/>
          <w:sz w:val="24"/>
          <w:szCs w:val="24"/>
          <w:lang w:eastAsia="en-GB"/>
        </w:rPr>
        <w:t xml:space="preserve">. In the </w:t>
      </w:r>
      <w:r w:rsidR="003B0DFC">
        <w:rPr>
          <w:rFonts w:ascii="Times New Roman" w:hAnsi="Times New Roman" w:cs="Times New Roman"/>
          <w:noProof/>
          <w:sz w:val="24"/>
          <w:szCs w:val="24"/>
          <w:lang w:eastAsia="en-GB"/>
        </w:rPr>
        <w:t>five</w:t>
      </w:r>
      <w:r w:rsidR="008C36AB">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 xml:space="preserve">Member States that provided the number of reported imposters since the entry into application of the Regulation, numbers varied between 22 and 57 reported fraudulent documents. </w:t>
      </w:r>
    </w:p>
    <w:p w14:paraId="69A40AFE" w14:textId="77777777" w:rsidR="0047249C" w:rsidRDefault="0047249C" w:rsidP="00166BBD">
      <w:pPr>
        <w:pStyle w:val="Heading3"/>
        <w:spacing w:line="240" w:lineRule="auto"/>
        <w:ind w:left="709"/>
        <w:rPr>
          <w:noProof/>
          <w:lang w:val="en-IE"/>
        </w:rPr>
      </w:pPr>
      <w:r>
        <w:rPr>
          <w:noProof/>
          <w:lang w:val="en-IE"/>
        </w:rPr>
        <w:t>Reporting obligation under the Regulation</w:t>
      </w:r>
    </w:p>
    <w:p w14:paraId="554692DB" w14:textId="73A3774B" w:rsidR="0047249C" w:rsidRPr="00801DCF" w:rsidRDefault="0047249C" w:rsidP="00166BBD">
      <w:pPr>
        <w:spacing w:after="240" w:line="240" w:lineRule="auto"/>
        <w:jc w:val="both"/>
        <w:rPr>
          <w:rFonts w:ascii="Times New Roman" w:hAnsi="Times New Roman" w:cs="Times New Roman"/>
          <w:noProof/>
          <w:sz w:val="24"/>
          <w:szCs w:val="24"/>
          <w:lang w:eastAsia="zh-CN"/>
        </w:rPr>
      </w:pPr>
      <w:r w:rsidRPr="00801DCF">
        <w:rPr>
          <w:rFonts w:ascii="Times New Roman" w:hAnsi="Times New Roman" w:cs="Times New Roman"/>
          <w:noProof/>
          <w:sz w:val="24"/>
          <w:szCs w:val="24"/>
          <w:lang w:eastAsia="zh-CN"/>
        </w:rPr>
        <w:t>The sections below summarise different reporting obligations provided for by the Regulation. The Commission continue its contacts with the Member States</w:t>
      </w:r>
      <w:r w:rsidR="003B0DFC">
        <w:rPr>
          <w:rFonts w:ascii="Times New Roman" w:hAnsi="Times New Roman" w:cs="Times New Roman"/>
          <w:noProof/>
          <w:sz w:val="24"/>
          <w:szCs w:val="24"/>
          <w:lang w:eastAsia="zh-CN"/>
        </w:rPr>
        <w:t xml:space="preserve"> </w:t>
      </w:r>
      <w:r w:rsidR="007C0BC8">
        <w:rPr>
          <w:rFonts w:ascii="Times New Roman" w:hAnsi="Times New Roman" w:cs="Times New Roman"/>
          <w:noProof/>
          <w:sz w:val="24"/>
          <w:szCs w:val="24"/>
          <w:lang w:eastAsia="zh-CN"/>
        </w:rPr>
        <w:t>that</w:t>
      </w:r>
      <w:r w:rsidR="003B0DFC">
        <w:rPr>
          <w:rFonts w:ascii="Times New Roman" w:hAnsi="Times New Roman" w:cs="Times New Roman"/>
          <w:noProof/>
          <w:sz w:val="24"/>
          <w:szCs w:val="24"/>
          <w:lang w:eastAsia="zh-CN"/>
        </w:rPr>
        <w:t xml:space="preserve"> have</w:t>
      </w:r>
      <w:r w:rsidRPr="00801DCF">
        <w:rPr>
          <w:rFonts w:ascii="Times New Roman" w:hAnsi="Times New Roman" w:cs="Times New Roman"/>
          <w:noProof/>
          <w:sz w:val="24"/>
          <w:szCs w:val="24"/>
          <w:lang w:eastAsia="zh-CN"/>
        </w:rPr>
        <w:t xml:space="preserve"> not </w:t>
      </w:r>
      <w:r>
        <w:rPr>
          <w:rFonts w:ascii="Times New Roman" w:hAnsi="Times New Roman" w:cs="Times New Roman"/>
          <w:noProof/>
          <w:sz w:val="24"/>
          <w:szCs w:val="24"/>
          <w:lang w:eastAsia="zh-CN"/>
        </w:rPr>
        <w:t>yet</w:t>
      </w:r>
      <w:r w:rsidRPr="00801DCF">
        <w:rPr>
          <w:rFonts w:ascii="Times New Roman" w:hAnsi="Times New Roman" w:cs="Times New Roman"/>
          <w:noProof/>
          <w:sz w:val="24"/>
          <w:szCs w:val="24"/>
          <w:lang w:eastAsia="zh-CN"/>
        </w:rPr>
        <w:t xml:space="preserve"> provided information pursuant to the different provisions.</w:t>
      </w:r>
    </w:p>
    <w:p w14:paraId="0F7CBA92" w14:textId="77777777" w:rsidR="0047249C" w:rsidRDefault="0047249C" w:rsidP="00166BBD">
      <w:pPr>
        <w:pStyle w:val="Heading4"/>
        <w:spacing w:line="240" w:lineRule="auto"/>
        <w:ind w:left="1560" w:hanging="851"/>
        <w:rPr>
          <w:noProof/>
        </w:rPr>
      </w:pPr>
      <w:r>
        <w:rPr>
          <w:noProof/>
        </w:rPr>
        <w:t xml:space="preserve">Reporting pursuant to Article 9 </w:t>
      </w:r>
    </w:p>
    <w:p w14:paraId="3F0E32CE" w14:textId="22F38D5F" w:rsidR="0047249C" w:rsidRPr="00A72961" w:rsidRDefault="0047249C" w:rsidP="00166BBD">
      <w:pPr>
        <w:spacing w:after="240" w:line="240" w:lineRule="auto"/>
        <w:jc w:val="both"/>
        <w:rPr>
          <w:rFonts w:ascii="Times New Roman" w:hAnsi="Times New Roman" w:cs="Times New Roman"/>
          <w:noProof/>
          <w:sz w:val="24"/>
          <w:szCs w:val="24"/>
          <w:lang w:eastAsia="zh-CN"/>
        </w:rPr>
      </w:pPr>
      <w:r w:rsidRPr="00A72961">
        <w:rPr>
          <w:rFonts w:ascii="Times New Roman" w:hAnsi="Times New Roman" w:cs="Times New Roman"/>
          <w:noProof/>
          <w:sz w:val="24"/>
          <w:szCs w:val="24"/>
          <w:lang w:eastAsia="zh-CN"/>
        </w:rPr>
        <w:t xml:space="preserve">Pursuant to Article 9 of the Regulation, Member States are to designate at least one central authority as a contact point for the implementation of the Regulation and </w:t>
      </w:r>
      <w:r w:rsidR="00757603">
        <w:rPr>
          <w:rFonts w:ascii="Times New Roman" w:hAnsi="Times New Roman" w:cs="Times New Roman"/>
          <w:noProof/>
          <w:sz w:val="24"/>
          <w:szCs w:val="24"/>
          <w:lang w:eastAsia="zh-CN"/>
        </w:rPr>
        <w:t xml:space="preserve">to </w:t>
      </w:r>
      <w:r w:rsidRPr="00A72961">
        <w:rPr>
          <w:rFonts w:ascii="Times New Roman" w:hAnsi="Times New Roman" w:cs="Times New Roman"/>
          <w:noProof/>
          <w:sz w:val="24"/>
          <w:szCs w:val="24"/>
          <w:lang w:eastAsia="zh-CN"/>
        </w:rPr>
        <w:t xml:space="preserve">communicate the name of that authority to the Commission and other Member States. </w:t>
      </w:r>
    </w:p>
    <w:p w14:paraId="1EBFD26B" w14:textId="477794EF" w:rsidR="0047249C" w:rsidRPr="00A72961" w:rsidRDefault="0047249C"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By</w:t>
      </w:r>
      <w:r w:rsidRPr="00A72961">
        <w:rPr>
          <w:rFonts w:ascii="Times New Roman" w:hAnsi="Times New Roman" w:cs="Times New Roman"/>
          <w:noProof/>
          <w:sz w:val="24"/>
          <w:szCs w:val="24"/>
          <w:lang w:eastAsia="zh-CN"/>
        </w:rPr>
        <w:t xml:space="preserve"> </w:t>
      </w:r>
      <w:r>
        <w:rPr>
          <w:rFonts w:ascii="Times New Roman" w:hAnsi="Times New Roman" w:cs="Times New Roman"/>
          <w:noProof/>
          <w:sz w:val="24"/>
          <w:szCs w:val="24"/>
          <w:lang w:eastAsia="zh-CN"/>
        </w:rPr>
        <w:t xml:space="preserve">June </w:t>
      </w:r>
      <w:r w:rsidRPr="00A72961">
        <w:rPr>
          <w:rFonts w:ascii="Times New Roman" w:hAnsi="Times New Roman" w:cs="Times New Roman"/>
          <w:noProof/>
          <w:sz w:val="24"/>
          <w:szCs w:val="24"/>
          <w:lang w:eastAsia="zh-CN"/>
        </w:rPr>
        <w:t xml:space="preserve">2023, </w:t>
      </w:r>
      <w:r>
        <w:rPr>
          <w:rFonts w:ascii="Times New Roman" w:hAnsi="Times New Roman" w:cs="Times New Roman"/>
          <w:noProof/>
          <w:sz w:val="24"/>
          <w:szCs w:val="24"/>
          <w:lang w:eastAsia="zh-CN"/>
        </w:rPr>
        <w:t>19</w:t>
      </w:r>
      <w:r w:rsidRPr="00A72961">
        <w:rPr>
          <w:rFonts w:ascii="Times New Roman" w:hAnsi="Times New Roman" w:cs="Times New Roman"/>
          <w:noProof/>
          <w:sz w:val="24"/>
          <w:szCs w:val="24"/>
          <w:lang w:eastAsia="zh-CN"/>
        </w:rPr>
        <w:t xml:space="preserve"> Member States communicated </w:t>
      </w:r>
      <w:r w:rsidR="003B0DFC">
        <w:rPr>
          <w:rFonts w:ascii="Times New Roman" w:hAnsi="Times New Roman" w:cs="Times New Roman"/>
          <w:noProof/>
          <w:sz w:val="24"/>
          <w:szCs w:val="24"/>
          <w:lang w:eastAsia="zh-CN"/>
        </w:rPr>
        <w:t xml:space="preserve">that name </w:t>
      </w:r>
      <w:r w:rsidRPr="00A72961">
        <w:rPr>
          <w:rFonts w:ascii="Times New Roman" w:hAnsi="Times New Roman" w:cs="Times New Roman"/>
          <w:noProof/>
          <w:sz w:val="24"/>
          <w:szCs w:val="24"/>
          <w:lang w:eastAsia="zh-CN"/>
        </w:rPr>
        <w:t>to the Commission</w:t>
      </w:r>
      <w:r>
        <w:rPr>
          <w:rFonts w:ascii="Times New Roman" w:hAnsi="Times New Roman" w:cs="Times New Roman"/>
          <w:noProof/>
          <w:sz w:val="24"/>
          <w:szCs w:val="24"/>
          <w:lang w:eastAsia="zh-CN"/>
        </w:rPr>
        <w:t>.</w:t>
      </w:r>
    </w:p>
    <w:p w14:paraId="3FF81495" w14:textId="77777777" w:rsidR="0047249C" w:rsidRDefault="0047249C" w:rsidP="00166BBD">
      <w:pPr>
        <w:pStyle w:val="Heading4"/>
        <w:spacing w:line="240" w:lineRule="auto"/>
        <w:ind w:left="1560" w:hanging="851"/>
        <w:rPr>
          <w:noProof/>
        </w:rPr>
      </w:pPr>
      <w:r>
        <w:rPr>
          <w:noProof/>
        </w:rPr>
        <w:t xml:space="preserve">Reporting pursuant to Article 11(7) </w:t>
      </w:r>
    </w:p>
    <w:p w14:paraId="2B3A7D6F" w14:textId="6CE9E8D0" w:rsidR="0047249C" w:rsidRPr="00A72961" w:rsidRDefault="0047249C" w:rsidP="00166BBD">
      <w:pPr>
        <w:spacing w:after="240" w:line="240" w:lineRule="auto"/>
        <w:jc w:val="both"/>
        <w:rPr>
          <w:rFonts w:ascii="Times New Roman" w:hAnsi="Times New Roman" w:cs="Times New Roman"/>
          <w:noProof/>
          <w:sz w:val="24"/>
          <w:szCs w:val="24"/>
          <w:lang w:eastAsia="zh-CN"/>
        </w:rPr>
      </w:pPr>
      <w:r w:rsidRPr="00A72961">
        <w:rPr>
          <w:rFonts w:ascii="Times New Roman" w:hAnsi="Times New Roman" w:cs="Times New Roman"/>
          <w:noProof/>
          <w:sz w:val="24"/>
          <w:szCs w:val="24"/>
          <w:lang w:val="en-GB" w:eastAsia="zh-CN"/>
        </w:rPr>
        <w:t xml:space="preserve">Pursuant to Article 11(7) of the Regulation, </w:t>
      </w:r>
      <w:r w:rsidRPr="00A72961">
        <w:rPr>
          <w:rFonts w:ascii="Times New Roman" w:hAnsi="Times New Roman" w:cs="Times New Roman"/>
          <w:noProof/>
          <w:sz w:val="24"/>
          <w:szCs w:val="24"/>
          <w:lang w:eastAsia="zh-CN"/>
        </w:rPr>
        <w:t xml:space="preserve">Member States are to maintain a list of the competent authorities with access to the biometric data stored on the storage medium in identity cards and </w:t>
      </w:r>
      <w:r w:rsidR="008C36AB">
        <w:rPr>
          <w:rFonts w:ascii="Times New Roman" w:hAnsi="Times New Roman" w:cs="Times New Roman"/>
          <w:noProof/>
          <w:sz w:val="24"/>
          <w:szCs w:val="24"/>
          <w:lang w:eastAsia="zh-CN"/>
        </w:rPr>
        <w:t xml:space="preserve">to </w:t>
      </w:r>
      <w:r w:rsidRPr="00A72961">
        <w:rPr>
          <w:rFonts w:ascii="Times New Roman" w:hAnsi="Times New Roman" w:cs="Times New Roman"/>
          <w:noProof/>
          <w:sz w:val="24"/>
          <w:szCs w:val="24"/>
          <w:lang w:eastAsia="zh-CN"/>
        </w:rPr>
        <w:t>communicate such list</w:t>
      </w:r>
      <w:r w:rsidR="003B0DFC">
        <w:rPr>
          <w:rFonts w:ascii="Times New Roman" w:hAnsi="Times New Roman" w:cs="Times New Roman"/>
          <w:noProof/>
          <w:sz w:val="24"/>
          <w:szCs w:val="24"/>
          <w:lang w:eastAsia="zh-CN"/>
        </w:rPr>
        <w:t>s</w:t>
      </w:r>
      <w:r w:rsidRPr="00A72961">
        <w:rPr>
          <w:rFonts w:ascii="Times New Roman" w:hAnsi="Times New Roman" w:cs="Times New Roman"/>
          <w:noProof/>
          <w:sz w:val="24"/>
          <w:szCs w:val="24"/>
          <w:lang w:eastAsia="zh-CN"/>
        </w:rPr>
        <w:t xml:space="preserve"> to the Commission</w:t>
      </w:r>
      <w:r w:rsidR="003B0DFC">
        <w:rPr>
          <w:rFonts w:ascii="Times New Roman" w:hAnsi="Times New Roman" w:cs="Times New Roman"/>
          <w:noProof/>
          <w:sz w:val="24"/>
          <w:szCs w:val="24"/>
          <w:lang w:eastAsia="zh-CN"/>
        </w:rPr>
        <w:t xml:space="preserve"> once a year</w:t>
      </w:r>
      <w:r w:rsidRPr="00A72961">
        <w:rPr>
          <w:rFonts w:ascii="Times New Roman" w:hAnsi="Times New Roman" w:cs="Times New Roman"/>
          <w:noProof/>
          <w:sz w:val="24"/>
          <w:szCs w:val="24"/>
          <w:lang w:eastAsia="zh-CN"/>
        </w:rPr>
        <w:t xml:space="preserve">. The Commission </w:t>
      </w:r>
      <w:r>
        <w:rPr>
          <w:rFonts w:ascii="Times New Roman" w:hAnsi="Times New Roman" w:cs="Times New Roman"/>
          <w:noProof/>
          <w:sz w:val="24"/>
          <w:szCs w:val="24"/>
          <w:lang w:eastAsia="zh-CN"/>
        </w:rPr>
        <w:t>is to</w:t>
      </w:r>
      <w:r w:rsidRPr="00A72961">
        <w:rPr>
          <w:rFonts w:ascii="Times New Roman" w:hAnsi="Times New Roman" w:cs="Times New Roman"/>
          <w:noProof/>
          <w:sz w:val="24"/>
          <w:szCs w:val="24"/>
          <w:lang w:eastAsia="zh-CN"/>
        </w:rPr>
        <w:t xml:space="preserve"> publish online a compilation of such national lists.</w:t>
      </w:r>
    </w:p>
    <w:p w14:paraId="7DEAD4FA" w14:textId="2F45EAE7" w:rsidR="0047249C" w:rsidRDefault="0047249C"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By</w:t>
      </w:r>
      <w:r w:rsidRPr="00A72961">
        <w:rPr>
          <w:rFonts w:ascii="Times New Roman" w:hAnsi="Times New Roman" w:cs="Times New Roman"/>
          <w:noProof/>
          <w:sz w:val="24"/>
          <w:szCs w:val="24"/>
          <w:lang w:eastAsia="zh-CN"/>
        </w:rPr>
        <w:t xml:space="preserve"> </w:t>
      </w:r>
      <w:r>
        <w:rPr>
          <w:rFonts w:ascii="Times New Roman" w:hAnsi="Times New Roman" w:cs="Times New Roman"/>
          <w:noProof/>
          <w:sz w:val="24"/>
          <w:szCs w:val="24"/>
          <w:lang w:eastAsia="zh-CN"/>
        </w:rPr>
        <w:t>June</w:t>
      </w:r>
      <w:r w:rsidRPr="00A72961">
        <w:rPr>
          <w:rFonts w:ascii="Times New Roman" w:hAnsi="Times New Roman" w:cs="Times New Roman"/>
          <w:noProof/>
          <w:sz w:val="24"/>
          <w:szCs w:val="24"/>
          <w:lang w:eastAsia="zh-CN"/>
        </w:rPr>
        <w:t xml:space="preserve"> 2023, </w:t>
      </w:r>
      <w:r>
        <w:rPr>
          <w:rFonts w:ascii="Times New Roman" w:hAnsi="Times New Roman" w:cs="Times New Roman"/>
          <w:noProof/>
          <w:sz w:val="24"/>
          <w:szCs w:val="24"/>
          <w:lang w:eastAsia="zh-CN"/>
        </w:rPr>
        <w:t xml:space="preserve">22 </w:t>
      </w:r>
      <w:r w:rsidRPr="00A72961">
        <w:rPr>
          <w:rFonts w:ascii="Times New Roman" w:hAnsi="Times New Roman" w:cs="Times New Roman"/>
          <w:noProof/>
          <w:sz w:val="24"/>
          <w:szCs w:val="24"/>
          <w:lang w:eastAsia="zh-CN"/>
        </w:rPr>
        <w:t>Member States communicated</w:t>
      </w:r>
      <w:r w:rsidR="00684FEA">
        <w:rPr>
          <w:rFonts w:ascii="Times New Roman" w:hAnsi="Times New Roman" w:cs="Times New Roman"/>
          <w:noProof/>
          <w:sz w:val="24"/>
          <w:szCs w:val="24"/>
          <w:lang w:eastAsia="zh-CN"/>
        </w:rPr>
        <w:t xml:space="preserve"> the list of their competent authorities to the Commission</w:t>
      </w:r>
      <w:r>
        <w:rPr>
          <w:rFonts w:ascii="Times New Roman" w:hAnsi="Times New Roman" w:cs="Times New Roman"/>
          <w:noProof/>
          <w:sz w:val="24"/>
          <w:szCs w:val="24"/>
          <w:lang w:eastAsia="zh-CN"/>
        </w:rPr>
        <w:t>, which the Commission has made publicly available</w:t>
      </w:r>
      <w:r w:rsidRPr="004C1BC5">
        <w:rPr>
          <w:rStyle w:val="FootnoteReference"/>
          <w:rFonts w:ascii="Times New Roman" w:hAnsi="Times New Roman" w:cs="Times New Roman"/>
          <w:noProof/>
          <w:sz w:val="24"/>
          <w:szCs w:val="24"/>
          <w:lang w:eastAsia="en-GB"/>
        </w:rPr>
        <w:footnoteReference w:id="28"/>
      </w:r>
      <w:r w:rsidRPr="00A72961">
        <w:rPr>
          <w:rFonts w:ascii="Times New Roman" w:hAnsi="Times New Roman" w:cs="Times New Roman"/>
          <w:noProof/>
          <w:sz w:val="24"/>
          <w:szCs w:val="24"/>
          <w:lang w:eastAsia="zh-CN"/>
        </w:rPr>
        <w:t>.</w:t>
      </w:r>
    </w:p>
    <w:p w14:paraId="34F969DD" w14:textId="77777777" w:rsidR="0047249C" w:rsidRDefault="0047249C" w:rsidP="00166BBD">
      <w:pPr>
        <w:pStyle w:val="Heading4"/>
        <w:spacing w:line="240" w:lineRule="auto"/>
        <w:ind w:left="1560" w:hanging="851"/>
        <w:rPr>
          <w:noProof/>
        </w:rPr>
      </w:pPr>
      <w:r>
        <w:rPr>
          <w:noProof/>
        </w:rPr>
        <w:t xml:space="preserve">Reporting pursuant to Article 14(3) </w:t>
      </w:r>
    </w:p>
    <w:p w14:paraId="5F5F249E" w14:textId="213E4592" w:rsidR="0047249C" w:rsidRPr="00A72961" w:rsidRDefault="0047249C" w:rsidP="00166BBD">
      <w:pPr>
        <w:spacing w:after="240" w:line="240" w:lineRule="auto"/>
        <w:jc w:val="both"/>
        <w:rPr>
          <w:rFonts w:ascii="Times New Roman" w:hAnsi="Times New Roman" w:cs="Times New Roman"/>
          <w:noProof/>
          <w:sz w:val="24"/>
          <w:szCs w:val="24"/>
          <w:lang w:eastAsia="zh-CN"/>
        </w:rPr>
      </w:pPr>
      <w:r w:rsidRPr="00A72961">
        <w:rPr>
          <w:rFonts w:ascii="Times New Roman" w:hAnsi="Times New Roman" w:cs="Times New Roman"/>
          <w:noProof/>
          <w:sz w:val="24"/>
          <w:szCs w:val="24"/>
          <w:lang w:val="en-GB" w:eastAsia="zh-CN"/>
        </w:rPr>
        <w:t xml:space="preserve">Pursuant to Article 14(3) of the Regulation, Member States are to designate responsible bodies for printing identity cards and </w:t>
      </w:r>
      <w:r w:rsidRPr="00A72961">
        <w:rPr>
          <w:rFonts w:ascii="Times New Roman" w:hAnsi="Times New Roman" w:cs="Times New Roman"/>
          <w:noProof/>
          <w:sz w:val="24"/>
          <w:szCs w:val="24"/>
          <w:lang w:eastAsia="zh-CN"/>
        </w:rPr>
        <w:t xml:space="preserve">residence cards of family members of </w:t>
      </w:r>
      <w:r w:rsidR="00A419D1">
        <w:rPr>
          <w:rFonts w:ascii="Times New Roman" w:hAnsi="Times New Roman" w:cs="Times New Roman"/>
          <w:noProof/>
          <w:sz w:val="24"/>
          <w:szCs w:val="24"/>
          <w:lang w:eastAsia="zh-CN"/>
        </w:rPr>
        <w:t>EU</w:t>
      </w:r>
      <w:r w:rsidRPr="00A72961">
        <w:rPr>
          <w:rFonts w:ascii="Times New Roman" w:hAnsi="Times New Roman" w:cs="Times New Roman"/>
          <w:noProof/>
          <w:sz w:val="24"/>
          <w:szCs w:val="24"/>
          <w:lang w:eastAsia="zh-CN"/>
        </w:rPr>
        <w:t xml:space="preserve"> citizens and </w:t>
      </w:r>
      <w:r w:rsidR="008C36AB">
        <w:rPr>
          <w:rFonts w:ascii="Times New Roman" w:hAnsi="Times New Roman" w:cs="Times New Roman"/>
          <w:noProof/>
          <w:sz w:val="24"/>
          <w:szCs w:val="24"/>
          <w:lang w:eastAsia="zh-CN"/>
        </w:rPr>
        <w:t xml:space="preserve">to </w:t>
      </w:r>
      <w:r w:rsidRPr="00A72961">
        <w:rPr>
          <w:rFonts w:ascii="Times New Roman" w:hAnsi="Times New Roman" w:cs="Times New Roman"/>
          <w:noProof/>
          <w:sz w:val="24"/>
          <w:szCs w:val="24"/>
          <w:lang w:eastAsia="zh-CN"/>
        </w:rPr>
        <w:t>communicate the name</w:t>
      </w:r>
      <w:r>
        <w:rPr>
          <w:rFonts w:ascii="Times New Roman" w:hAnsi="Times New Roman" w:cs="Times New Roman"/>
          <w:noProof/>
          <w:sz w:val="24"/>
          <w:szCs w:val="24"/>
          <w:lang w:eastAsia="zh-CN"/>
        </w:rPr>
        <w:t>s</w:t>
      </w:r>
      <w:r w:rsidRPr="00A72961">
        <w:rPr>
          <w:rFonts w:ascii="Times New Roman" w:hAnsi="Times New Roman" w:cs="Times New Roman"/>
          <w:noProof/>
          <w:sz w:val="24"/>
          <w:szCs w:val="24"/>
          <w:lang w:eastAsia="zh-CN"/>
        </w:rPr>
        <w:t xml:space="preserve"> of such bodies to the Commission and other Member States. </w:t>
      </w:r>
    </w:p>
    <w:p w14:paraId="600C995D" w14:textId="24D1D1E9" w:rsidR="0047249C" w:rsidRPr="00A72961" w:rsidRDefault="0047249C"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By</w:t>
      </w:r>
      <w:r w:rsidRPr="00A72961">
        <w:rPr>
          <w:rFonts w:ascii="Times New Roman" w:hAnsi="Times New Roman" w:cs="Times New Roman"/>
          <w:noProof/>
          <w:sz w:val="24"/>
          <w:szCs w:val="24"/>
          <w:lang w:eastAsia="zh-CN"/>
        </w:rPr>
        <w:t xml:space="preserve"> </w:t>
      </w:r>
      <w:r>
        <w:rPr>
          <w:rFonts w:ascii="Times New Roman" w:hAnsi="Times New Roman" w:cs="Times New Roman"/>
          <w:noProof/>
          <w:sz w:val="24"/>
          <w:szCs w:val="24"/>
          <w:lang w:eastAsia="zh-CN"/>
        </w:rPr>
        <w:t xml:space="preserve">June </w:t>
      </w:r>
      <w:r w:rsidRPr="00A72961">
        <w:rPr>
          <w:rFonts w:ascii="Times New Roman" w:hAnsi="Times New Roman" w:cs="Times New Roman"/>
          <w:noProof/>
          <w:sz w:val="24"/>
          <w:szCs w:val="24"/>
          <w:lang w:eastAsia="zh-CN"/>
        </w:rPr>
        <w:t>2023</w:t>
      </w:r>
      <w:r>
        <w:rPr>
          <w:rFonts w:ascii="Times New Roman" w:hAnsi="Times New Roman" w:cs="Times New Roman"/>
          <w:noProof/>
          <w:sz w:val="24"/>
          <w:szCs w:val="24"/>
          <w:lang w:eastAsia="zh-CN"/>
        </w:rPr>
        <w:t>, 22</w:t>
      </w:r>
      <w:r w:rsidRPr="00A72961">
        <w:rPr>
          <w:rFonts w:ascii="Times New Roman" w:hAnsi="Times New Roman" w:cs="Times New Roman"/>
          <w:noProof/>
          <w:sz w:val="24"/>
          <w:szCs w:val="24"/>
          <w:lang w:eastAsia="zh-CN"/>
        </w:rPr>
        <w:t xml:space="preserve"> Member States communicated </w:t>
      </w:r>
      <w:r>
        <w:rPr>
          <w:rFonts w:ascii="Times New Roman" w:hAnsi="Times New Roman" w:cs="Times New Roman"/>
          <w:noProof/>
          <w:sz w:val="24"/>
          <w:szCs w:val="24"/>
          <w:lang w:eastAsia="zh-CN"/>
        </w:rPr>
        <w:t>the responsible bodies for printing the documents under the Regulation</w:t>
      </w:r>
      <w:r w:rsidR="0082098B" w:rsidRPr="0082098B">
        <w:rPr>
          <w:noProof/>
        </w:rPr>
        <w:t xml:space="preserve"> </w:t>
      </w:r>
      <w:r w:rsidR="0082098B" w:rsidRPr="0082098B">
        <w:rPr>
          <w:rFonts w:ascii="Times New Roman" w:hAnsi="Times New Roman" w:cs="Times New Roman"/>
          <w:noProof/>
          <w:sz w:val="24"/>
          <w:szCs w:val="24"/>
          <w:lang w:eastAsia="zh-CN"/>
        </w:rPr>
        <w:t>to the Commission</w:t>
      </w:r>
      <w:r>
        <w:rPr>
          <w:rFonts w:ascii="Times New Roman" w:hAnsi="Times New Roman" w:cs="Times New Roman"/>
          <w:noProof/>
          <w:sz w:val="24"/>
          <w:szCs w:val="24"/>
          <w:lang w:eastAsia="zh-CN"/>
        </w:rPr>
        <w:t xml:space="preserve">. </w:t>
      </w:r>
    </w:p>
    <w:p w14:paraId="5E646810" w14:textId="77777777" w:rsidR="0047249C" w:rsidRDefault="0047249C" w:rsidP="00166BBD">
      <w:pPr>
        <w:pStyle w:val="Heading3"/>
        <w:spacing w:line="240" w:lineRule="auto"/>
        <w:ind w:left="720"/>
        <w:rPr>
          <w:noProof/>
          <w:lang w:val="en-IE"/>
        </w:rPr>
      </w:pPr>
      <w:r>
        <w:rPr>
          <w:noProof/>
          <w:lang w:val="en-IE"/>
        </w:rPr>
        <w:t>Number of documents issued in a format compliant with the Regulation</w:t>
      </w:r>
    </w:p>
    <w:p w14:paraId="4CF92180" w14:textId="2824179E" w:rsidR="0047249C" w:rsidRPr="00F87851" w:rsidRDefault="0047249C" w:rsidP="00166BBD">
      <w:pPr>
        <w:spacing w:after="240" w:line="240" w:lineRule="auto"/>
        <w:jc w:val="both"/>
        <w:rPr>
          <w:rFonts w:ascii="Times New Roman" w:eastAsiaTheme="minorEastAsia" w:hAnsi="Times New Roman"/>
          <w:noProof/>
          <w:sz w:val="24"/>
          <w:szCs w:val="24"/>
          <w:lang w:eastAsia="zh-CN"/>
        </w:rPr>
      </w:pPr>
      <w:r>
        <w:rPr>
          <w:rFonts w:ascii="Times New Roman" w:eastAsiaTheme="minorEastAsia" w:hAnsi="Times New Roman"/>
          <w:noProof/>
          <w:sz w:val="24"/>
          <w:szCs w:val="24"/>
          <w:lang w:eastAsia="zh-CN"/>
        </w:rPr>
        <w:t xml:space="preserve">By April 2023, Member States reported having issued more than 53 million </w:t>
      </w:r>
      <w:r w:rsidRPr="00946A7E">
        <w:rPr>
          <w:rFonts w:ascii="Times New Roman" w:hAnsi="Times New Roman"/>
          <w:b/>
          <w:noProof/>
          <w:sz w:val="24"/>
        </w:rPr>
        <w:t>identity cards</w:t>
      </w:r>
      <w:r>
        <w:rPr>
          <w:rFonts w:ascii="Times New Roman" w:eastAsiaTheme="minorEastAsia" w:hAnsi="Times New Roman"/>
          <w:noProof/>
          <w:sz w:val="24"/>
          <w:szCs w:val="24"/>
          <w:lang w:eastAsia="zh-CN"/>
        </w:rPr>
        <w:t xml:space="preserve">, almost 900 000 </w:t>
      </w:r>
      <w:r w:rsidRPr="00946A7E">
        <w:rPr>
          <w:rFonts w:ascii="Times New Roman" w:hAnsi="Times New Roman"/>
          <w:b/>
          <w:noProof/>
          <w:sz w:val="24"/>
        </w:rPr>
        <w:t>residence documents</w:t>
      </w:r>
      <w:r>
        <w:rPr>
          <w:rFonts w:ascii="Times New Roman" w:hAnsi="Times New Roman"/>
          <w:b/>
          <w:noProof/>
          <w:sz w:val="24"/>
        </w:rPr>
        <w:t xml:space="preserve"> </w:t>
      </w:r>
      <w:r w:rsidRPr="002957BF">
        <w:rPr>
          <w:rFonts w:ascii="Times New Roman" w:hAnsi="Times New Roman"/>
          <w:bCs/>
          <w:noProof/>
          <w:sz w:val="24"/>
        </w:rPr>
        <w:t xml:space="preserve">for </w:t>
      </w:r>
      <w:r w:rsidR="00A419D1">
        <w:rPr>
          <w:rFonts w:ascii="Times New Roman" w:hAnsi="Times New Roman"/>
          <w:bCs/>
          <w:noProof/>
          <w:sz w:val="24"/>
        </w:rPr>
        <w:t>EU</w:t>
      </w:r>
      <w:r w:rsidRPr="002957BF">
        <w:rPr>
          <w:rFonts w:ascii="Times New Roman" w:hAnsi="Times New Roman"/>
          <w:bCs/>
          <w:noProof/>
          <w:sz w:val="24"/>
        </w:rPr>
        <w:t xml:space="preserve"> citizens</w:t>
      </w:r>
      <w:r w:rsidRPr="0075012A">
        <w:rPr>
          <w:rFonts w:ascii="Times New Roman" w:eastAsiaTheme="minorEastAsia" w:hAnsi="Times New Roman"/>
          <w:bCs/>
          <w:noProof/>
          <w:sz w:val="24"/>
          <w:szCs w:val="24"/>
          <w:lang w:eastAsia="zh-CN"/>
        </w:rPr>
        <w:t xml:space="preserve"> and</w:t>
      </w:r>
      <w:r>
        <w:rPr>
          <w:rFonts w:ascii="Times New Roman" w:eastAsiaTheme="minorEastAsia" w:hAnsi="Times New Roman"/>
          <w:bCs/>
          <w:noProof/>
          <w:sz w:val="24"/>
          <w:szCs w:val="24"/>
          <w:lang w:eastAsia="zh-CN"/>
        </w:rPr>
        <w:t xml:space="preserve"> </w:t>
      </w:r>
      <w:r>
        <w:rPr>
          <w:rFonts w:ascii="Times New Roman" w:eastAsiaTheme="minorEastAsia" w:hAnsi="Times New Roman"/>
          <w:noProof/>
          <w:sz w:val="24"/>
          <w:szCs w:val="24"/>
          <w:lang w:eastAsia="zh-CN"/>
        </w:rPr>
        <w:t xml:space="preserve">more than 950 000 </w:t>
      </w:r>
      <w:r w:rsidRPr="00946A7E">
        <w:rPr>
          <w:rFonts w:ascii="Times New Roman" w:hAnsi="Times New Roman"/>
          <w:b/>
          <w:noProof/>
          <w:sz w:val="24"/>
        </w:rPr>
        <w:t>residence cards</w:t>
      </w:r>
      <w:r>
        <w:rPr>
          <w:rFonts w:ascii="Times New Roman" w:hAnsi="Times New Roman"/>
          <w:b/>
          <w:noProof/>
          <w:sz w:val="24"/>
        </w:rPr>
        <w:t xml:space="preserve"> </w:t>
      </w:r>
      <w:r w:rsidRPr="002957BF">
        <w:rPr>
          <w:rFonts w:ascii="Times New Roman" w:hAnsi="Times New Roman"/>
          <w:bCs/>
          <w:noProof/>
          <w:sz w:val="24"/>
        </w:rPr>
        <w:t xml:space="preserve">for third-country nationals who are family members of </w:t>
      </w:r>
      <w:r w:rsidR="00A419D1">
        <w:rPr>
          <w:rFonts w:ascii="Times New Roman" w:hAnsi="Times New Roman"/>
          <w:bCs/>
          <w:noProof/>
          <w:sz w:val="24"/>
        </w:rPr>
        <w:t>EU</w:t>
      </w:r>
      <w:r w:rsidRPr="002957BF">
        <w:rPr>
          <w:rFonts w:ascii="Times New Roman" w:hAnsi="Times New Roman"/>
          <w:bCs/>
          <w:noProof/>
          <w:sz w:val="24"/>
        </w:rPr>
        <w:t xml:space="preserve"> citizens</w:t>
      </w:r>
      <w:r>
        <w:rPr>
          <w:rFonts w:ascii="Times New Roman" w:hAnsi="Times New Roman"/>
          <w:bCs/>
          <w:noProof/>
          <w:sz w:val="24"/>
        </w:rPr>
        <w:t xml:space="preserve"> in a format compliant with the Regulation</w:t>
      </w:r>
      <w:r w:rsidRPr="0075012A">
        <w:rPr>
          <w:rFonts w:ascii="Times New Roman" w:eastAsiaTheme="minorEastAsia" w:hAnsi="Times New Roman"/>
          <w:bCs/>
          <w:noProof/>
          <w:sz w:val="24"/>
          <w:szCs w:val="24"/>
          <w:lang w:eastAsia="zh-CN"/>
        </w:rPr>
        <w:t>.</w:t>
      </w:r>
    </w:p>
    <w:p w14:paraId="0C8716BA" w14:textId="77777777" w:rsidR="0047249C" w:rsidRPr="00E97EE3" w:rsidRDefault="0047249C" w:rsidP="00166BBD">
      <w:pPr>
        <w:pStyle w:val="Heading2"/>
        <w:spacing w:before="0" w:line="240" w:lineRule="auto"/>
        <w:ind w:left="578" w:hanging="578"/>
        <w:rPr>
          <w:lang w:val="en-IE"/>
        </w:rPr>
      </w:pPr>
      <w:r>
        <w:rPr>
          <w:lang w:val="en-IE"/>
        </w:rPr>
        <w:t>Phasing-out periods for identity cards and residence cards for family members who are not nationals of a Member State</w:t>
      </w:r>
    </w:p>
    <w:p w14:paraId="357F8E46" w14:textId="77777777" w:rsidR="0047249C" w:rsidRDefault="0047249C" w:rsidP="00166BBD">
      <w:pPr>
        <w:pStyle w:val="Heading3"/>
        <w:spacing w:line="240" w:lineRule="auto"/>
        <w:ind w:left="720"/>
        <w:rPr>
          <w:noProof/>
          <w:lang w:val="en-IE"/>
        </w:rPr>
      </w:pPr>
      <w:r>
        <w:rPr>
          <w:noProof/>
          <w:lang w:val="en-IE"/>
        </w:rPr>
        <w:t>Identity cards</w:t>
      </w:r>
    </w:p>
    <w:p w14:paraId="7981EFD0" w14:textId="77777777" w:rsidR="0047249C" w:rsidRDefault="0047249C" w:rsidP="00166BBD">
      <w:pPr>
        <w:spacing w:after="240" w:line="240" w:lineRule="auto"/>
        <w:jc w:val="both"/>
        <w:rPr>
          <w:noProof/>
          <w:lang w:val="en-GB" w:eastAsia="zh-CN"/>
        </w:rPr>
      </w:pPr>
      <w:r w:rsidRPr="002851DF">
        <w:rPr>
          <w:rFonts w:ascii="Times New Roman" w:hAnsi="Times New Roman" w:cs="Times New Roman"/>
          <w:noProof/>
          <w:sz w:val="24"/>
          <w:szCs w:val="24"/>
          <w:lang w:eastAsia="zh-CN"/>
        </w:rPr>
        <w:t xml:space="preserve">Article 5 of </w:t>
      </w:r>
      <w:r>
        <w:rPr>
          <w:rFonts w:ascii="Times New Roman" w:hAnsi="Times New Roman" w:cs="Times New Roman"/>
          <w:noProof/>
          <w:sz w:val="24"/>
          <w:szCs w:val="24"/>
          <w:lang w:eastAsia="zh-CN"/>
        </w:rPr>
        <w:t xml:space="preserve">the Regulation </w:t>
      </w:r>
      <w:r w:rsidRPr="002851DF">
        <w:rPr>
          <w:rFonts w:ascii="Times New Roman" w:hAnsi="Times New Roman" w:cs="Times New Roman"/>
          <w:noProof/>
          <w:sz w:val="24"/>
          <w:szCs w:val="24"/>
          <w:lang w:val="en-GB" w:eastAsia="zh-CN"/>
        </w:rPr>
        <w:t>provides that identity cards that do not meet the requirements set out in the Regulation cease to be valid at their expiry or by 3 August 2031, whichever is earlier. Identity cards that do not meet certain minimum security standards or which do not include a functional machine-readable zone cease to be valid at their expiry or by 3 August 2026.</w:t>
      </w:r>
    </w:p>
    <w:p w14:paraId="08D9FD58" w14:textId="3C6EB12A" w:rsidR="0047249C" w:rsidRPr="006D240C" w:rsidRDefault="0047249C" w:rsidP="00166BBD">
      <w:pPr>
        <w:spacing w:after="240" w:line="240" w:lineRule="auto"/>
        <w:jc w:val="both"/>
        <w:rPr>
          <w:noProof/>
          <w:lang w:val="en-GB" w:eastAsia="zh-CN"/>
        </w:rPr>
      </w:pPr>
      <w:r w:rsidRPr="00FD28DF">
        <w:rPr>
          <w:rFonts w:ascii="Times New Roman" w:hAnsi="Times New Roman" w:cs="Times New Roman"/>
          <w:noProof/>
          <w:sz w:val="24"/>
          <w:szCs w:val="24"/>
          <w:lang w:eastAsia="zh-CN"/>
        </w:rPr>
        <w:t xml:space="preserve">In the replies to the questionnaire, </w:t>
      </w:r>
      <w:r w:rsidR="004E3432">
        <w:rPr>
          <w:rFonts w:ascii="Times New Roman" w:hAnsi="Times New Roman" w:cs="Times New Roman"/>
          <w:noProof/>
          <w:sz w:val="24"/>
          <w:szCs w:val="24"/>
          <w:lang w:eastAsia="zh-CN"/>
        </w:rPr>
        <w:t>ten</w:t>
      </w:r>
      <w:r w:rsidRPr="00FD28DF">
        <w:rPr>
          <w:rFonts w:ascii="Times New Roman" w:hAnsi="Times New Roman" w:cs="Times New Roman"/>
          <w:noProof/>
          <w:sz w:val="24"/>
          <w:szCs w:val="24"/>
          <w:lang w:eastAsia="zh-CN"/>
        </w:rPr>
        <w:t xml:space="preserve"> Member States indicated that the</w:t>
      </w:r>
      <w:r>
        <w:rPr>
          <w:rFonts w:ascii="Times New Roman" w:hAnsi="Times New Roman" w:cs="Times New Roman"/>
          <w:noProof/>
          <w:sz w:val="24"/>
          <w:szCs w:val="24"/>
          <w:lang w:eastAsia="zh-CN"/>
        </w:rPr>
        <w:t xml:space="preserve"> </w:t>
      </w:r>
      <w:r w:rsidRPr="00FD28DF">
        <w:rPr>
          <w:rFonts w:ascii="Times New Roman" w:hAnsi="Times New Roman" w:cs="Times New Roman"/>
          <w:noProof/>
          <w:sz w:val="24"/>
          <w:szCs w:val="24"/>
          <w:lang w:eastAsia="zh-CN"/>
        </w:rPr>
        <w:t>10</w:t>
      </w:r>
      <w:r>
        <w:rPr>
          <w:rFonts w:ascii="Times New Roman" w:hAnsi="Times New Roman" w:cs="Times New Roman"/>
          <w:noProof/>
          <w:sz w:val="24"/>
          <w:szCs w:val="24"/>
          <w:lang w:eastAsia="zh-CN"/>
        </w:rPr>
        <w:t>-</w:t>
      </w:r>
      <w:r w:rsidRPr="00FD28DF">
        <w:rPr>
          <w:rFonts w:ascii="Times New Roman" w:hAnsi="Times New Roman" w:cs="Times New Roman"/>
          <w:noProof/>
          <w:sz w:val="24"/>
          <w:szCs w:val="24"/>
          <w:lang w:eastAsia="zh-CN"/>
        </w:rPr>
        <w:t>year phasing-out period</w:t>
      </w:r>
      <w:r>
        <w:rPr>
          <w:rFonts w:ascii="Times New Roman" w:hAnsi="Times New Roman" w:cs="Times New Roman"/>
          <w:noProof/>
          <w:sz w:val="24"/>
          <w:szCs w:val="24"/>
          <w:lang w:eastAsia="zh-CN"/>
        </w:rPr>
        <w:t xml:space="preserve"> applies</w:t>
      </w:r>
      <w:r w:rsidRPr="00FD28DF">
        <w:rPr>
          <w:rFonts w:ascii="Times New Roman" w:hAnsi="Times New Roman" w:cs="Times New Roman"/>
          <w:noProof/>
          <w:sz w:val="24"/>
          <w:szCs w:val="24"/>
          <w:lang w:eastAsia="zh-CN"/>
        </w:rPr>
        <w:t xml:space="preserve"> to</w:t>
      </w:r>
      <w:r>
        <w:rPr>
          <w:rFonts w:ascii="Times New Roman" w:hAnsi="Times New Roman" w:cs="Times New Roman"/>
          <w:noProof/>
          <w:sz w:val="24"/>
          <w:szCs w:val="24"/>
          <w:lang w:eastAsia="zh-CN"/>
        </w:rPr>
        <w:t xml:space="preserve"> their previously issued</w:t>
      </w:r>
      <w:r w:rsidRPr="00FD28DF">
        <w:rPr>
          <w:rFonts w:ascii="Times New Roman" w:hAnsi="Times New Roman" w:cs="Times New Roman"/>
          <w:noProof/>
          <w:sz w:val="24"/>
          <w:szCs w:val="24"/>
          <w:lang w:eastAsia="zh-CN"/>
        </w:rPr>
        <w:t xml:space="preserve"> identity cards</w:t>
      </w:r>
      <w:r w:rsidRPr="001D09BC">
        <w:rPr>
          <w:rFonts w:ascii="Times New Roman" w:hAnsi="Times New Roman" w:cs="Times New Roman"/>
          <w:noProof/>
          <w:sz w:val="24"/>
          <w:szCs w:val="24"/>
          <w:lang w:eastAsia="zh-CN"/>
        </w:rPr>
        <w:t xml:space="preserve">, </w:t>
      </w:r>
      <w:r w:rsidR="00884099">
        <w:rPr>
          <w:rFonts w:ascii="Times New Roman" w:hAnsi="Times New Roman" w:cs="Times New Roman"/>
          <w:noProof/>
          <w:sz w:val="24"/>
          <w:szCs w:val="24"/>
          <w:lang w:eastAsia="zh-CN"/>
        </w:rPr>
        <w:t>five</w:t>
      </w:r>
      <w:r w:rsidRPr="001D09BC">
        <w:rPr>
          <w:rFonts w:ascii="Times New Roman" w:hAnsi="Times New Roman" w:cs="Times New Roman"/>
          <w:noProof/>
          <w:sz w:val="24"/>
          <w:szCs w:val="24"/>
          <w:lang w:eastAsia="zh-CN"/>
        </w:rPr>
        <w:t xml:space="preserve"> Member States </w:t>
      </w:r>
      <w:r w:rsidRPr="00FD28DF">
        <w:rPr>
          <w:rFonts w:ascii="Times New Roman" w:hAnsi="Times New Roman" w:cs="Times New Roman"/>
          <w:noProof/>
          <w:sz w:val="24"/>
          <w:szCs w:val="24"/>
          <w:lang w:eastAsia="zh-CN"/>
        </w:rPr>
        <w:t>indicated that the</w:t>
      </w:r>
      <w:r>
        <w:rPr>
          <w:rFonts w:ascii="Times New Roman" w:hAnsi="Times New Roman" w:cs="Times New Roman"/>
          <w:noProof/>
          <w:sz w:val="24"/>
          <w:szCs w:val="24"/>
          <w:lang w:eastAsia="zh-CN"/>
        </w:rPr>
        <w:t xml:space="preserve"> 5-</w:t>
      </w:r>
      <w:r w:rsidRPr="00FD28DF">
        <w:rPr>
          <w:rFonts w:ascii="Times New Roman" w:hAnsi="Times New Roman" w:cs="Times New Roman"/>
          <w:noProof/>
          <w:sz w:val="24"/>
          <w:szCs w:val="24"/>
          <w:lang w:eastAsia="zh-CN"/>
        </w:rPr>
        <w:t>year phasing-out period</w:t>
      </w:r>
      <w:r>
        <w:rPr>
          <w:rFonts w:ascii="Times New Roman" w:hAnsi="Times New Roman" w:cs="Times New Roman"/>
          <w:noProof/>
          <w:sz w:val="24"/>
          <w:szCs w:val="24"/>
          <w:lang w:eastAsia="zh-CN"/>
        </w:rPr>
        <w:t xml:space="preserve"> applies</w:t>
      </w:r>
      <w:r w:rsidRPr="00FD28DF">
        <w:rPr>
          <w:rFonts w:ascii="Times New Roman" w:hAnsi="Times New Roman" w:cs="Times New Roman"/>
          <w:noProof/>
          <w:sz w:val="24"/>
          <w:szCs w:val="24"/>
          <w:lang w:eastAsia="zh-CN"/>
        </w:rPr>
        <w:t xml:space="preserve"> to</w:t>
      </w:r>
      <w:r>
        <w:rPr>
          <w:rFonts w:ascii="Times New Roman" w:hAnsi="Times New Roman" w:cs="Times New Roman"/>
          <w:noProof/>
          <w:sz w:val="24"/>
          <w:szCs w:val="24"/>
          <w:lang w:eastAsia="zh-CN"/>
        </w:rPr>
        <w:t xml:space="preserve"> their previously issued</w:t>
      </w:r>
      <w:r w:rsidRPr="00FD28DF">
        <w:rPr>
          <w:rFonts w:ascii="Times New Roman" w:hAnsi="Times New Roman" w:cs="Times New Roman"/>
          <w:noProof/>
          <w:sz w:val="24"/>
          <w:szCs w:val="24"/>
          <w:lang w:eastAsia="zh-CN"/>
        </w:rPr>
        <w:t xml:space="preserve"> identity cards</w:t>
      </w:r>
      <w:r>
        <w:rPr>
          <w:rFonts w:ascii="Times New Roman" w:hAnsi="Times New Roman" w:cs="Times New Roman"/>
          <w:noProof/>
          <w:sz w:val="24"/>
          <w:szCs w:val="24"/>
          <w:lang w:eastAsia="zh-CN"/>
        </w:rPr>
        <w:t xml:space="preserve"> </w:t>
      </w:r>
      <w:r w:rsidRPr="001D09BC">
        <w:rPr>
          <w:rFonts w:ascii="Times New Roman" w:hAnsi="Times New Roman" w:cs="Times New Roman"/>
          <w:noProof/>
          <w:sz w:val="24"/>
          <w:szCs w:val="24"/>
          <w:lang w:eastAsia="zh-CN"/>
        </w:rPr>
        <w:t xml:space="preserve">and </w:t>
      </w:r>
      <w:r w:rsidR="004E3432">
        <w:rPr>
          <w:rFonts w:ascii="Times New Roman" w:hAnsi="Times New Roman" w:cs="Times New Roman"/>
          <w:noProof/>
          <w:sz w:val="24"/>
          <w:szCs w:val="24"/>
          <w:lang w:eastAsia="zh-CN"/>
        </w:rPr>
        <w:t>seven</w:t>
      </w:r>
      <w:r w:rsidRPr="001D09BC">
        <w:rPr>
          <w:rFonts w:ascii="Times New Roman" w:hAnsi="Times New Roman" w:cs="Times New Roman"/>
          <w:noProof/>
          <w:sz w:val="24"/>
          <w:szCs w:val="24"/>
          <w:lang w:eastAsia="zh-CN"/>
        </w:rPr>
        <w:t xml:space="preserve"> Member States indicated</w:t>
      </w:r>
      <w:r>
        <w:rPr>
          <w:rFonts w:ascii="Times New Roman" w:hAnsi="Times New Roman" w:cs="Times New Roman"/>
          <w:noProof/>
          <w:sz w:val="24"/>
          <w:szCs w:val="24"/>
          <w:lang w:eastAsia="zh-CN"/>
        </w:rPr>
        <w:t xml:space="preserve"> the applicability of both periods </w:t>
      </w:r>
      <w:r w:rsidRPr="001D09BC">
        <w:rPr>
          <w:rFonts w:ascii="Times New Roman" w:hAnsi="Times New Roman" w:cs="Times New Roman"/>
          <w:noProof/>
          <w:sz w:val="24"/>
          <w:szCs w:val="24"/>
          <w:lang w:eastAsia="zh-CN"/>
        </w:rPr>
        <w:t>due to different formats currently in circulation.</w:t>
      </w:r>
    </w:p>
    <w:p w14:paraId="2DD8D955" w14:textId="77777777" w:rsidR="0047249C" w:rsidRDefault="0047249C" w:rsidP="00166BBD">
      <w:pPr>
        <w:pStyle w:val="Heading3"/>
        <w:spacing w:line="240" w:lineRule="auto"/>
        <w:ind w:left="709" w:hanging="709"/>
        <w:rPr>
          <w:noProof/>
        </w:rPr>
      </w:pPr>
      <w:r w:rsidRPr="00D81653">
        <w:rPr>
          <w:noProof/>
          <w:lang w:val="en-IE"/>
        </w:rPr>
        <w:t xml:space="preserve">Residence cards </w:t>
      </w:r>
      <w:r w:rsidRPr="004C1BC5">
        <w:rPr>
          <w:noProof/>
        </w:rPr>
        <w:t>for family members who are not nationals of a Member State</w:t>
      </w:r>
    </w:p>
    <w:p w14:paraId="73166CD7" w14:textId="5FEA76BE" w:rsidR="0047249C" w:rsidRDefault="0047249C" w:rsidP="00166BBD">
      <w:pPr>
        <w:spacing w:after="240" w:line="240" w:lineRule="auto"/>
        <w:jc w:val="both"/>
        <w:rPr>
          <w:rFonts w:ascii="Times New Roman" w:hAnsi="Times New Roman" w:cs="Times New Roman"/>
          <w:noProof/>
          <w:sz w:val="24"/>
          <w:szCs w:val="24"/>
          <w:lang w:eastAsia="zh-CN"/>
        </w:rPr>
      </w:pPr>
      <w:r w:rsidRPr="002851DF">
        <w:rPr>
          <w:rFonts w:ascii="Times New Roman" w:hAnsi="Times New Roman" w:cs="Times New Roman"/>
          <w:noProof/>
          <w:sz w:val="24"/>
          <w:szCs w:val="24"/>
          <w:lang w:val="en-GB" w:eastAsia="zh-CN"/>
        </w:rPr>
        <w:t xml:space="preserve">Article 8 </w:t>
      </w:r>
      <w:r w:rsidRPr="002851DF">
        <w:rPr>
          <w:rFonts w:ascii="Times New Roman" w:hAnsi="Times New Roman" w:cs="Times New Roman"/>
          <w:noProof/>
          <w:sz w:val="24"/>
          <w:szCs w:val="24"/>
          <w:lang w:eastAsia="zh-CN"/>
        </w:rPr>
        <w:t xml:space="preserve">of </w:t>
      </w:r>
      <w:r>
        <w:rPr>
          <w:rFonts w:ascii="Times New Roman" w:hAnsi="Times New Roman" w:cs="Times New Roman"/>
          <w:noProof/>
          <w:sz w:val="24"/>
          <w:szCs w:val="24"/>
          <w:lang w:eastAsia="zh-CN"/>
        </w:rPr>
        <w:t xml:space="preserve">the </w:t>
      </w:r>
      <w:r w:rsidRPr="002851DF">
        <w:rPr>
          <w:rFonts w:ascii="Times New Roman" w:hAnsi="Times New Roman" w:cs="Times New Roman"/>
          <w:noProof/>
          <w:sz w:val="24"/>
          <w:szCs w:val="24"/>
          <w:lang w:eastAsia="zh-CN"/>
        </w:rPr>
        <w:t xml:space="preserve">Regulation </w:t>
      </w:r>
      <w:r>
        <w:rPr>
          <w:rFonts w:ascii="Times New Roman" w:hAnsi="Times New Roman" w:cs="Times New Roman"/>
          <w:noProof/>
          <w:sz w:val="24"/>
          <w:szCs w:val="24"/>
          <w:lang w:eastAsia="zh-CN"/>
        </w:rPr>
        <w:t xml:space="preserve">provides that </w:t>
      </w:r>
      <w:r>
        <w:rPr>
          <w:rFonts w:ascii="Times New Roman" w:hAnsi="Times New Roman" w:cs="Times New Roman"/>
          <w:noProof/>
          <w:sz w:val="24"/>
          <w:szCs w:val="24"/>
          <w:lang w:val="en-GB" w:eastAsia="zh-CN"/>
        </w:rPr>
        <w:t>residence cards</w:t>
      </w:r>
      <w:r w:rsidRPr="002851DF">
        <w:rPr>
          <w:rFonts w:ascii="Times New Roman" w:hAnsi="Times New Roman" w:cs="Times New Roman"/>
          <w:noProof/>
          <w:sz w:val="24"/>
          <w:szCs w:val="24"/>
          <w:lang w:val="en-GB" w:eastAsia="zh-CN"/>
        </w:rPr>
        <w:t xml:space="preserve"> that do not meet the requirements set out in the Regulation </w:t>
      </w:r>
      <w:r w:rsidR="0082098B">
        <w:rPr>
          <w:rFonts w:ascii="Times New Roman" w:hAnsi="Times New Roman" w:cs="Times New Roman"/>
          <w:noProof/>
          <w:sz w:val="24"/>
          <w:szCs w:val="24"/>
          <w:lang w:val="en-GB" w:eastAsia="zh-CN"/>
        </w:rPr>
        <w:t xml:space="preserve">will </w:t>
      </w:r>
      <w:r w:rsidRPr="002851DF">
        <w:rPr>
          <w:rFonts w:ascii="Times New Roman" w:hAnsi="Times New Roman" w:cs="Times New Roman"/>
          <w:noProof/>
          <w:sz w:val="24"/>
          <w:szCs w:val="24"/>
          <w:lang w:val="en-GB" w:eastAsia="zh-CN"/>
        </w:rPr>
        <w:t>cease to be valid at their expiry or by 3 August 20</w:t>
      </w:r>
      <w:r>
        <w:rPr>
          <w:rFonts w:ascii="Times New Roman" w:hAnsi="Times New Roman" w:cs="Times New Roman"/>
          <w:noProof/>
          <w:sz w:val="24"/>
          <w:szCs w:val="24"/>
          <w:lang w:val="en-GB" w:eastAsia="zh-CN"/>
        </w:rPr>
        <w:t>26</w:t>
      </w:r>
      <w:r w:rsidR="0082098B">
        <w:rPr>
          <w:rFonts w:ascii="Times New Roman" w:hAnsi="Times New Roman" w:cs="Times New Roman"/>
          <w:noProof/>
          <w:sz w:val="24"/>
          <w:szCs w:val="24"/>
          <w:lang w:val="en-GB" w:eastAsia="zh-CN"/>
        </w:rPr>
        <w:t xml:space="preserve"> (5-year phasing-out period)</w:t>
      </w:r>
      <w:r w:rsidRPr="002851DF">
        <w:rPr>
          <w:rFonts w:ascii="Times New Roman" w:hAnsi="Times New Roman" w:cs="Times New Roman"/>
          <w:noProof/>
          <w:sz w:val="24"/>
          <w:szCs w:val="24"/>
          <w:lang w:val="en-GB" w:eastAsia="zh-CN"/>
        </w:rPr>
        <w:t>, whichever is earlier</w:t>
      </w:r>
      <w:r>
        <w:rPr>
          <w:rFonts w:ascii="Times New Roman" w:hAnsi="Times New Roman" w:cs="Times New Roman"/>
          <w:noProof/>
          <w:sz w:val="24"/>
          <w:szCs w:val="24"/>
          <w:lang w:val="en-GB" w:eastAsia="zh-CN"/>
        </w:rPr>
        <w:t xml:space="preserve">. Residence </w:t>
      </w:r>
      <w:r w:rsidRPr="002851DF">
        <w:rPr>
          <w:rFonts w:ascii="Times New Roman" w:hAnsi="Times New Roman" w:cs="Times New Roman"/>
          <w:noProof/>
          <w:sz w:val="24"/>
          <w:szCs w:val="24"/>
          <w:lang w:val="en-GB" w:eastAsia="zh-CN"/>
        </w:rPr>
        <w:t xml:space="preserve">cards that do not meet certain minimum security standards or which do not include a functional machine-readable zone </w:t>
      </w:r>
      <w:r w:rsidR="0082098B">
        <w:rPr>
          <w:rFonts w:ascii="Times New Roman" w:hAnsi="Times New Roman" w:cs="Times New Roman"/>
          <w:noProof/>
          <w:sz w:val="24"/>
          <w:szCs w:val="24"/>
          <w:lang w:val="en-GB" w:eastAsia="zh-CN"/>
        </w:rPr>
        <w:t xml:space="preserve">will </w:t>
      </w:r>
      <w:r w:rsidRPr="002851DF">
        <w:rPr>
          <w:rFonts w:ascii="Times New Roman" w:hAnsi="Times New Roman" w:cs="Times New Roman"/>
          <w:noProof/>
          <w:sz w:val="24"/>
          <w:szCs w:val="24"/>
          <w:lang w:val="en-GB" w:eastAsia="zh-CN"/>
        </w:rPr>
        <w:t>cease to be valid at their expiry or by 3 August 202</w:t>
      </w:r>
      <w:r>
        <w:rPr>
          <w:rFonts w:ascii="Times New Roman" w:hAnsi="Times New Roman" w:cs="Times New Roman"/>
          <w:noProof/>
          <w:sz w:val="24"/>
          <w:szCs w:val="24"/>
          <w:lang w:val="en-GB" w:eastAsia="zh-CN"/>
        </w:rPr>
        <w:t>3</w:t>
      </w:r>
      <w:r w:rsidR="0082098B">
        <w:rPr>
          <w:rFonts w:ascii="Times New Roman" w:hAnsi="Times New Roman" w:cs="Times New Roman"/>
          <w:noProof/>
          <w:sz w:val="24"/>
          <w:szCs w:val="24"/>
          <w:lang w:val="en-GB" w:eastAsia="zh-CN"/>
        </w:rPr>
        <w:t xml:space="preserve"> (2-year phasing-out period), whichever is earlier</w:t>
      </w:r>
      <w:r>
        <w:rPr>
          <w:rFonts w:ascii="Times New Roman" w:hAnsi="Times New Roman" w:cs="Times New Roman"/>
          <w:noProof/>
          <w:sz w:val="24"/>
          <w:szCs w:val="24"/>
          <w:lang w:val="en-GB" w:eastAsia="zh-CN"/>
        </w:rPr>
        <w:t>.</w:t>
      </w:r>
    </w:p>
    <w:p w14:paraId="3E5A6193" w14:textId="14DBF3D3" w:rsidR="0047249C" w:rsidRPr="001D09BC" w:rsidRDefault="0047249C" w:rsidP="00166BBD">
      <w:pPr>
        <w:spacing w:after="240" w:line="240" w:lineRule="auto"/>
        <w:jc w:val="both"/>
        <w:rPr>
          <w:rFonts w:ascii="Times New Roman" w:hAnsi="Times New Roman" w:cs="Times New Roman"/>
          <w:noProof/>
          <w:sz w:val="24"/>
          <w:szCs w:val="24"/>
          <w:lang w:eastAsia="zh-CN"/>
        </w:rPr>
      </w:pPr>
      <w:r w:rsidRPr="001D09BC">
        <w:rPr>
          <w:rFonts w:ascii="Times New Roman" w:hAnsi="Times New Roman" w:cs="Times New Roman"/>
          <w:noProof/>
          <w:sz w:val="24"/>
          <w:szCs w:val="24"/>
          <w:lang w:eastAsia="zh-CN"/>
        </w:rPr>
        <w:t>In the</w:t>
      </w:r>
      <w:r w:rsidR="009E32C4">
        <w:rPr>
          <w:rFonts w:ascii="Times New Roman" w:hAnsi="Times New Roman" w:cs="Times New Roman"/>
          <w:noProof/>
          <w:sz w:val="24"/>
          <w:szCs w:val="24"/>
          <w:lang w:eastAsia="zh-CN"/>
        </w:rPr>
        <w:t>ir</w:t>
      </w:r>
      <w:r w:rsidRPr="001D09BC">
        <w:rPr>
          <w:rFonts w:ascii="Times New Roman" w:hAnsi="Times New Roman" w:cs="Times New Roman"/>
          <w:noProof/>
          <w:sz w:val="24"/>
          <w:szCs w:val="24"/>
          <w:lang w:eastAsia="zh-CN"/>
        </w:rPr>
        <w:t xml:space="preserve"> replies to the questionnaire, 11 Member States indicated that </w:t>
      </w:r>
      <w:r>
        <w:rPr>
          <w:rFonts w:ascii="Times New Roman" w:hAnsi="Times New Roman" w:cs="Times New Roman"/>
          <w:noProof/>
          <w:sz w:val="24"/>
          <w:szCs w:val="24"/>
          <w:lang w:eastAsia="zh-CN"/>
        </w:rPr>
        <w:t>the</w:t>
      </w:r>
      <w:r w:rsidRPr="001D09BC">
        <w:rPr>
          <w:rFonts w:ascii="Times New Roman" w:hAnsi="Times New Roman" w:cs="Times New Roman"/>
          <w:noProof/>
          <w:sz w:val="24"/>
          <w:szCs w:val="24"/>
          <w:lang w:eastAsia="zh-CN"/>
        </w:rPr>
        <w:t xml:space="preserve"> 5</w:t>
      </w:r>
      <w:r>
        <w:rPr>
          <w:rFonts w:ascii="Times New Roman" w:hAnsi="Times New Roman" w:cs="Times New Roman"/>
          <w:noProof/>
          <w:sz w:val="24"/>
          <w:szCs w:val="24"/>
          <w:lang w:eastAsia="zh-CN"/>
        </w:rPr>
        <w:t>-</w:t>
      </w:r>
      <w:r w:rsidRPr="001D09BC">
        <w:rPr>
          <w:rFonts w:ascii="Times New Roman" w:hAnsi="Times New Roman" w:cs="Times New Roman"/>
          <w:noProof/>
          <w:sz w:val="24"/>
          <w:szCs w:val="24"/>
          <w:lang w:eastAsia="zh-CN"/>
        </w:rPr>
        <w:t xml:space="preserve">year phasing-out period </w:t>
      </w:r>
      <w:r>
        <w:rPr>
          <w:rFonts w:ascii="Times New Roman" w:hAnsi="Times New Roman" w:cs="Times New Roman"/>
          <w:noProof/>
          <w:sz w:val="24"/>
          <w:szCs w:val="24"/>
          <w:lang w:eastAsia="zh-CN"/>
        </w:rPr>
        <w:t xml:space="preserve">applies to their previously issued </w:t>
      </w:r>
      <w:r w:rsidRPr="001D09BC">
        <w:rPr>
          <w:rFonts w:ascii="Times New Roman" w:hAnsi="Times New Roman" w:cs="Times New Roman"/>
          <w:noProof/>
          <w:sz w:val="24"/>
          <w:szCs w:val="24"/>
          <w:lang w:eastAsia="zh-CN"/>
        </w:rPr>
        <w:t xml:space="preserve">residence cards, </w:t>
      </w:r>
      <w:r w:rsidR="004E3432">
        <w:rPr>
          <w:rFonts w:ascii="Times New Roman" w:hAnsi="Times New Roman" w:cs="Times New Roman"/>
          <w:noProof/>
          <w:sz w:val="24"/>
          <w:szCs w:val="24"/>
          <w:lang w:eastAsia="zh-CN"/>
        </w:rPr>
        <w:t>six</w:t>
      </w:r>
      <w:r w:rsidRPr="001D09BC">
        <w:rPr>
          <w:rFonts w:ascii="Times New Roman" w:hAnsi="Times New Roman" w:cs="Times New Roman"/>
          <w:noProof/>
          <w:sz w:val="24"/>
          <w:szCs w:val="24"/>
          <w:lang w:eastAsia="zh-CN"/>
        </w:rPr>
        <w:t xml:space="preserve"> Member States </w:t>
      </w:r>
      <w:r w:rsidRPr="00B976EF">
        <w:rPr>
          <w:rFonts w:ascii="Times New Roman" w:hAnsi="Times New Roman" w:cs="Times New Roman"/>
          <w:noProof/>
          <w:sz w:val="24"/>
          <w:szCs w:val="24"/>
          <w:lang w:eastAsia="zh-CN"/>
        </w:rPr>
        <w:t xml:space="preserve">indicated that </w:t>
      </w:r>
      <w:r>
        <w:rPr>
          <w:rFonts w:ascii="Times New Roman" w:hAnsi="Times New Roman" w:cs="Times New Roman"/>
          <w:noProof/>
          <w:sz w:val="24"/>
          <w:szCs w:val="24"/>
          <w:lang w:eastAsia="zh-CN"/>
        </w:rPr>
        <w:t>the</w:t>
      </w:r>
      <w:r w:rsidRPr="00B976EF">
        <w:rPr>
          <w:rFonts w:ascii="Times New Roman" w:hAnsi="Times New Roman" w:cs="Times New Roman"/>
          <w:noProof/>
          <w:sz w:val="24"/>
          <w:szCs w:val="24"/>
          <w:lang w:eastAsia="zh-CN"/>
        </w:rPr>
        <w:t xml:space="preserve"> </w:t>
      </w:r>
      <w:r>
        <w:rPr>
          <w:rFonts w:ascii="Times New Roman" w:hAnsi="Times New Roman" w:cs="Times New Roman"/>
          <w:noProof/>
          <w:sz w:val="24"/>
          <w:szCs w:val="24"/>
          <w:lang w:eastAsia="zh-CN"/>
        </w:rPr>
        <w:t>2-</w:t>
      </w:r>
      <w:r w:rsidRPr="00B976EF">
        <w:rPr>
          <w:rFonts w:ascii="Times New Roman" w:hAnsi="Times New Roman" w:cs="Times New Roman"/>
          <w:noProof/>
          <w:sz w:val="24"/>
          <w:szCs w:val="24"/>
          <w:lang w:eastAsia="zh-CN"/>
        </w:rPr>
        <w:t xml:space="preserve">year phasing-out period </w:t>
      </w:r>
      <w:r>
        <w:rPr>
          <w:rFonts w:ascii="Times New Roman" w:hAnsi="Times New Roman" w:cs="Times New Roman"/>
          <w:noProof/>
          <w:sz w:val="24"/>
          <w:szCs w:val="24"/>
          <w:lang w:eastAsia="zh-CN"/>
        </w:rPr>
        <w:t xml:space="preserve">applies to their previously issued </w:t>
      </w:r>
      <w:r w:rsidRPr="00B976EF">
        <w:rPr>
          <w:rFonts w:ascii="Times New Roman" w:hAnsi="Times New Roman" w:cs="Times New Roman"/>
          <w:noProof/>
          <w:sz w:val="24"/>
          <w:szCs w:val="24"/>
          <w:lang w:eastAsia="zh-CN"/>
        </w:rPr>
        <w:t>residence cards</w:t>
      </w:r>
      <w:r>
        <w:rPr>
          <w:rFonts w:ascii="Times New Roman" w:hAnsi="Times New Roman" w:cs="Times New Roman"/>
          <w:noProof/>
          <w:sz w:val="24"/>
          <w:szCs w:val="24"/>
          <w:lang w:eastAsia="zh-CN"/>
        </w:rPr>
        <w:t xml:space="preserve"> </w:t>
      </w:r>
      <w:r w:rsidRPr="001D09BC">
        <w:rPr>
          <w:rFonts w:ascii="Times New Roman" w:hAnsi="Times New Roman" w:cs="Times New Roman"/>
          <w:noProof/>
          <w:sz w:val="24"/>
          <w:szCs w:val="24"/>
          <w:lang w:eastAsia="zh-CN"/>
        </w:rPr>
        <w:t xml:space="preserve">and </w:t>
      </w:r>
      <w:r w:rsidR="004E3432">
        <w:rPr>
          <w:rFonts w:ascii="Times New Roman" w:hAnsi="Times New Roman" w:cs="Times New Roman"/>
          <w:noProof/>
          <w:sz w:val="24"/>
          <w:szCs w:val="24"/>
          <w:lang w:eastAsia="zh-CN"/>
        </w:rPr>
        <w:t>six</w:t>
      </w:r>
      <w:r w:rsidRPr="001D09BC">
        <w:rPr>
          <w:rFonts w:ascii="Times New Roman" w:hAnsi="Times New Roman" w:cs="Times New Roman"/>
          <w:noProof/>
          <w:sz w:val="24"/>
          <w:szCs w:val="24"/>
          <w:lang w:eastAsia="zh-CN"/>
        </w:rPr>
        <w:t xml:space="preserve"> Member States </w:t>
      </w:r>
      <w:r w:rsidRPr="00B976EF">
        <w:rPr>
          <w:rFonts w:ascii="Times New Roman" w:hAnsi="Times New Roman" w:cs="Times New Roman"/>
          <w:noProof/>
          <w:sz w:val="24"/>
          <w:szCs w:val="24"/>
          <w:lang w:eastAsia="zh-CN"/>
        </w:rPr>
        <w:t>indicated</w:t>
      </w:r>
      <w:r>
        <w:rPr>
          <w:rFonts w:ascii="Times New Roman" w:hAnsi="Times New Roman" w:cs="Times New Roman"/>
          <w:noProof/>
          <w:sz w:val="24"/>
          <w:szCs w:val="24"/>
          <w:lang w:eastAsia="zh-CN"/>
        </w:rPr>
        <w:t xml:space="preserve"> the applicability of both periods </w:t>
      </w:r>
      <w:r w:rsidRPr="00B976EF">
        <w:rPr>
          <w:rFonts w:ascii="Times New Roman" w:hAnsi="Times New Roman" w:cs="Times New Roman"/>
          <w:noProof/>
          <w:sz w:val="24"/>
          <w:szCs w:val="24"/>
          <w:lang w:eastAsia="zh-CN"/>
        </w:rPr>
        <w:t>due to different formats currently in circulation</w:t>
      </w:r>
      <w:r w:rsidRPr="001D09BC">
        <w:rPr>
          <w:rFonts w:ascii="Times New Roman" w:hAnsi="Times New Roman" w:cs="Times New Roman"/>
          <w:noProof/>
          <w:sz w:val="24"/>
          <w:szCs w:val="24"/>
          <w:lang w:eastAsia="zh-CN"/>
        </w:rPr>
        <w:t>.</w:t>
      </w:r>
    </w:p>
    <w:p w14:paraId="2C5E2CC7" w14:textId="77777777" w:rsidR="0047249C" w:rsidRPr="003B63D0" w:rsidRDefault="0047249C" w:rsidP="00166BBD">
      <w:pPr>
        <w:pStyle w:val="Heading2"/>
        <w:spacing w:before="0" w:line="240" w:lineRule="auto"/>
        <w:ind w:left="578" w:hanging="578"/>
        <w:rPr>
          <w:rFonts w:cs="Times New Roman"/>
          <w:szCs w:val="28"/>
          <w:lang w:eastAsia="en-GB"/>
        </w:rPr>
      </w:pPr>
      <w:r w:rsidRPr="00617F04">
        <w:rPr>
          <w:rFonts w:cs="Times New Roman"/>
          <w:szCs w:val="28"/>
          <w:lang w:eastAsia="en-GB"/>
        </w:rPr>
        <w:t>Protection of fundamental rights and personal data</w:t>
      </w:r>
    </w:p>
    <w:p w14:paraId="33E8A91B" w14:textId="77777777" w:rsidR="0047249C" w:rsidRDefault="0047249C" w:rsidP="00166BBD">
      <w:pPr>
        <w:pStyle w:val="Heading3"/>
        <w:spacing w:line="240" w:lineRule="auto"/>
        <w:ind w:left="720"/>
        <w:rPr>
          <w:noProof/>
          <w:lang w:val="en-IE"/>
        </w:rPr>
      </w:pPr>
      <w:r>
        <w:rPr>
          <w:rFonts w:cs="Times New Roman"/>
          <w:noProof/>
          <w:szCs w:val="24"/>
        </w:rPr>
        <w:t>F</w:t>
      </w:r>
      <w:r w:rsidRPr="006D1F07">
        <w:rPr>
          <w:rFonts w:cs="Times New Roman"/>
          <w:noProof/>
          <w:szCs w:val="24"/>
        </w:rPr>
        <w:t>reedom of movement and of residence</w:t>
      </w:r>
      <w:r w:rsidDel="00075767">
        <w:rPr>
          <w:noProof/>
          <w:lang w:val="en-IE"/>
        </w:rPr>
        <w:t xml:space="preserve"> </w:t>
      </w:r>
    </w:p>
    <w:p w14:paraId="7FAC5057" w14:textId="7E0ECD32" w:rsidR="0047249C" w:rsidRPr="006D1F07" w:rsidRDefault="0047249C" w:rsidP="00166BBD">
      <w:pPr>
        <w:spacing w:after="240" w:line="240" w:lineRule="auto"/>
        <w:jc w:val="both"/>
        <w:rPr>
          <w:rFonts w:ascii="Times New Roman" w:hAnsi="Times New Roman" w:cs="Times New Roman"/>
          <w:noProof/>
          <w:sz w:val="24"/>
          <w:szCs w:val="24"/>
        </w:rPr>
      </w:pPr>
      <w:r w:rsidRPr="006D1F07">
        <w:rPr>
          <w:rFonts w:ascii="Times New Roman" w:hAnsi="Times New Roman" w:cs="Times New Roman"/>
          <w:noProof/>
          <w:sz w:val="24"/>
          <w:szCs w:val="24"/>
        </w:rPr>
        <w:t xml:space="preserve">The Regulation positively affects the fundamental right </w:t>
      </w:r>
      <w:r>
        <w:rPr>
          <w:rFonts w:ascii="Times New Roman" w:hAnsi="Times New Roman" w:cs="Times New Roman"/>
          <w:noProof/>
          <w:sz w:val="24"/>
          <w:szCs w:val="24"/>
        </w:rPr>
        <w:t>of</w:t>
      </w:r>
      <w:r w:rsidRPr="006D1F07">
        <w:rPr>
          <w:rFonts w:ascii="Times New Roman" w:hAnsi="Times New Roman" w:cs="Times New Roman"/>
          <w:noProof/>
          <w:sz w:val="24"/>
          <w:szCs w:val="24"/>
        </w:rPr>
        <w:t xml:space="preserve"> freedom of movement and of residence under Article 45 of the Charter of Fundamental Rights of the European Union (</w:t>
      </w:r>
      <w:r>
        <w:rPr>
          <w:rFonts w:ascii="Times New Roman" w:hAnsi="Times New Roman" w:cs="Times New Roman"/>
          <w:noProof/>
          <w:sz w:val="24"/>
          <w:szCs w:val="24"/>
        </w:rPr>
        <w:t>the ‘</w:t>
      </w:r>
      <w:r w:rsidRPr="006D1F07">
        <w:rPr>
          <w:rFonts w:ascii="Times New Roman" w:hAnsi="Times New Roman" w:cs="Times New Roman"/>
          <w:noProof/>
          <w:sz w:val="24"/>
          <w:szCs w:val="24"/>
        </w:rPr>
        <w:t>Charter</w:t>
      </w:r>
      <w:r>
        <w:rPr>
          <w:rFonts w:ascii="Times New Roman" w:hAnsi="Times New Roman" w:cs="Times New Roman"/>
          <w:noProof/>
          <w:sz w:val="24"/>
          <w:szCs w:val="24"/>
        </w:rPr>
        <w:t>’</w:t>
      </w:r>
      <w:r w:rsidRPr="006D1F07">
        <w:rPr>
          <w:rFonts w:ascii="Times New Roman" w:hAnsi="Times New Roman" w:cs="Times New Roman"/>
          <w:noProof/>
          <w:sz w:val="24"/>
          <w:szCs w:val="24"/>
        </w:rPr>
        <w:t xml:space="preserve">) by addressing difficulties </w:t>
      </w:r>
      <w:r>
        <w:rPr>
          <w:rFonts w:ascii="Times New Roman" w:hAnsi="Times New Roman" w:cs="Times New Roman"/>
          <w:noProof/>
          <w:sz w:val="24"/>
          <w:szCs w:val="24"/>
        </w:rPr>
        <w:t xml:space="preserve">of </w:t>
      </w:r>
      <w:r w:rsidRPr="006D1F07">
        <w:rPr>
          <w:rFonts w:ascii="Times New Roman" w:hAnsi="Times New Roman" w:cs="Times New Roman"/>
          <w:noProof/>
          <w:sz w:val="24"/>
          <w:szCs w:val="24"/>
        </w:rPr>
        <w:t>security</w:t>
      </w:r>
      <w:r>
        <w:rPr>
          <w:rFonts w:ascii="Times New Roman" w:hAnsi="Times New Roman" w:cs="Times New Roman"/>
          <w:noProof/>
          <w:sz w:val="24"/>
          <w:szCs w:val="24"/>
        </w:rPr>
        <w:t xml:space="preserve"> and recognition</w:t>
      </w:r>
      <w:r w:rsidRPr="006D1F07">
        <w:rPr>
          <w:rFonts w:ascii="Times New Roman" w:hAnsi="Times New Roman" w:cs="Times New Roman"/>
          <w:noProof/>
          <w:sz w:val="24"/>
          <w:szCs w:val="24"/>
        </w:rPr>
        <w:t xml:space="preserve"> of both identity cards and residence documents. </w:t>
      </w:r>
      <w:r w:rsidRPr="006D1F07">
        <w:rPr>
          <w:rFonts w:ascii="Times New Roman" w:hAnsi="Times New Roman" w:cs="Times New Roman"/>
          <w:bCs/>
          <w:noProof/>
          <w:sz w:val="24"/>
          <w:szCs w:val="24"/>
          <w:lang w:val="en-GB" w:eastAsia="zh-CN"/>
        </w:rPr>
        <w:t xml:space="preserve">Through the </w:t>
      </w:r>
      <w:r w:rsidR="009E32C4">
        <w:rPr>
          <w:rFonts w:ascii="Times New Roman" w:hAnsi="Times New Roman" w:cs="Times New Roman"/>
          <w:bCs/>
          <w:noProof/>
          <w:sz w:val="24"/>
          <w:szCs w:val="24"/>
          <w:lang w:val="en-GB" w:eastAsia="zh-CN"/>
        </w:rPr>
        <w:t>inclusion</w:t>
      </w:r>
      <w:r w:rsidRPr="006D1F07">
        <w:rPr>
          <w:rFonts w:ascii="Times New Roman" w:hAnsi="Times New Roman" w:cs="Times New Roman"/>
          <w:bCs/>
          <w:noProof/>
          <w:sz w:val="24"/>
          <w:szCs w:val="24"/>
          <w:lang w:val="en-GB" w:eastAsia="zh-CN"/>
        </w:rPr>
        <w:t xml:space="preserve"> of biometric data</w:t>
      </w:r>
      <w:r>
        <w:rPr>
          <w:rFonts w:ascii="Times New Roman" w:hAnsi="Times New Roman" w:cs="Times New Roman"/>
          <w:bCs/>
          <w:noProof/>
          <w:sz w:val="24"/>
          <w:szCs w:val="24"/>
          <w:lang w:val="en-GB" w:eastAsia="zh-CN"/>
        </w:rPr>
        <w:t xml:space="preserve"> (facial image and two fingerprints)</w:t>
      </w:r>
      <w:r w:rsidRPr="006D1F07">
        <w:rPr>
          <w:rFonts w:ascii="Times New Roman" w:hAnsi="Times New Roman" w:cs="Times New Roman"/>
          <w:bCs/>
          <w:noProof/>
          <w:sz w:val="24"/>
          <w:szCs w:val="24"/>
          <w:lang w:val="en-GB" w:eastAsia="zh-CN"/>
        </w:rPr>
        <w:t>, documents</w:t>
      </w:r>
      <w:r>
        <w:rPr>
          <w:rFonts w:ascii="Times New Roman" w:hAnsi="Times New Roman" w:cs="Times New Roman"/>
          <w:bCs/>
          <w:noProof/>
          <w:sz w:val="24"/>
          <w:szCs w:val="24"/>
          <w:lang w:val="en-GB" w:eastAsia="zh-CN"/>
        </w:rPr>
        <w:t xml:space="preserve"> issued in accordance with the Regulation</w:t>
      </w:r>
      <w:r w:rsidRPr="006D1F07">
        <w:rPr>
          <w:rFonts w:ascii="Times New Roman" w:hAnsi="Times New Roman" w:cs="Times New Roman"/>
          <w:bCs/>
          <w:noProof/>
          <w:sz w:val="24"/>
          <w:szCs w:val="24"/>
          <w:lang w:val="en-GB" w:eastAsia="zh-CN"/>
        </w:rPr>
        <w:t xml:space="preserve"> allow for a more reliable verification of the document and a better identification of individuals.</w:t>
      </w:r>
    </w:p>
    <w:p w14:paraId="10930A27" w14:textId="11A0D9BC" w:rsidR="0047249C" w:rsidRDefault="00344B74" w:rsidP="00166BBD">
      <w:pPr>
        <w:spacing w:after="240" w:line="240" w:lineRule="auto"/>
        <w:jc w:val="both"/>
        <w:rPr>
          <w:rFonts w:ascii="Times New Roman" w:eastAsia="Verdana" w:hAnsi="Times New Roman" w:cs="Times New Roman"/>
          <w:noProof/>
          <w:sz w:val="24"/>
          <w:szCs w:val="24"/>
          <w:lang w:val="en-GB"/>
        </w:rPr>
      </w:pPr>
      <w:r>
        <w:rPr>
          <w:rFonts w:ascii="Times New Roman" w:eastAsia="Verdana" w:hAnsi="Times New Roman" w:cs="Times New Roman"/>
          <w:noProof/>
          <w:sz w:val="24"/>
          <w:szCs w:val="24"/>
          <w:lang w:val="en-GB"/>
        </w:rPr>
        <w:t>Since</w:t>
      </w:r>
      <w:r w:rsidRPr="004C1BC5">
        <w:rPr>
          <w:rFonts w:ascii="Times New Roman" w:eastAsia="Verdana" w:hAnsi="Times New Roman" w:cs="Times New Roman"/>
          <w:noProof/>
          <w:sz w:val="24"/>
          <w:szCs w:val="24"/>
          <w:lang w:val="en-GB"/>
        </w:rPr>
        <w:t xml:space="preserve"> </w:t>
      </w:r>
      <w:r w:rsidR="0047249C" w:rsidRPr="004C1BC5">
        <w:rPr>
          <w:rFonts w:ascii="Times New Roman" w:eastAsia="Verdana" w:hAnsi="Times New Roman" w:cs="Times New Roman"/>
          <w:noProof/>
          <w:sz w:val="24"/>
          <w:szCs w:val="24"/>
          <w:lang w:val="en-GB"/>
        </w:rPr>
        <w:t>the</w:t>
      </w:r>
      <w:r>
        <w:rPr>
          <w:rFonts w:ascii="Times New Roman" w:eastAsia="Verdana" w:hAnsi="Times New Roman" w:cs="Times New Roman"/>
          <w:noProof/>
          <w:sz w:val="24"/>
          <w:szCs w:val="24"/>
          <w:lang w:val="en-GB"/>
        </w:rPr>
        <w:t xml:space="preserve"> start of the</w:t>
      </w:r>
      <w:r w:rsidR="0047249C" w:rsidRPr="004C1BC5">
        <w:rPr>
          <w:rFonts w:ascii="Times New Roman" w:eastAsia="Verdana" w:hAnsi="Times New Roman" w:cs="Times New Roman"/>
          <w:noProof/>
          <w:sz w:val="24"/>
          <w:szCs w:val="24"/>
          <w:lang w:val="en-GB"/>
        </w:rPr>
        <w:t xml:space="preserve"> issuance of </w:t>
      </w:r>
      <w:r w:rsidR="0047249C">
        <w:rPr>
          <w:rFonts w:ascii="Times New Roman" w:eastAsia="Verdana" w:hAnsi="Times New Roman" w:cs="Times New Roman"/>
          <w:noProof/>
          <w:sz w:val="24"/>
          <w:szCs w:val="24"/>
          <w:lang w:val="en-GB"/>
        </w:rPr>
        <w:t>identity</w:t>
      </w:r>
      <w:r w:rsidR="0047249C" w:rsidRPr="004C1BC5">
        <w:rPr>
          <w:rFonts w:ascii="Times New Roman" w:eastAsia="Verdana" w:hAnsi="Times New Roman" w:cs="Times New Roman"/>
          <w:noProof/>
          <w:sz w:val="24"/>
          <w:szCs w:val="24"/>
          <w:lang w:val="en-GB"/>
        </w:rPr>
        <w:t xml:space="preserve"> cards </w:t>
      </w:r>
      <w:r w:rsidR="0047249C" w:rsidRPr="004C1BC5">
        <w:rPr>
          <w:rFonts w:ascii="Times New Roman" w:eastAsia="Verdana" w:hAnsi="Times New Roman" w:cs="Times New Roman"/>
          <w:noProof/>
          <w:sz w:val="24"/>
          <w:szCs w:val="24"/>
        </w:rPr>
        <w:t>in a format that complies with</w:t>
      </w:r>
      <w:r w:rsidR="0047249C" w:rsidRPr="004C1BC5">
        <w:rPr>
          <w:rFonts w:ascii="Times New Roman" w:eastAsia="Verdana" w:hAnsi="Times New Roman" w:cs="Times New Roman"/>
          <w:noProof/>
          <w:sz w:val="24"/>
          <w:szCs w:val="24"/>
          <w:lang w:val="en-GB"/>
        </w:rPr>
        <w:t xml:space="preserve"> the requirements of the Regulation</w:t>
      </w:r>
      <w:r w:rsidR="0047249C">
        <w:rPr>
          <w:rFonts w:ascii="Times New Roman" w:eastAsia="Verdana" w:hAnsi="Times New Roman" w:cs="Times New Roman"/>
          <w:noProof/>
          <w:sz w:val="24"/>
          <w:szCs w:val="24"/>
          <w:lang w:val="en-GB"/>
        </w:rPr>
        <w:t xml:space="preserve">, Member States </w:t>
      </w:r>
      <w:r>
        <w:rPr>
          <w:rFonts w:ascii="Times New Roman" w:eastAsia="Verdana" w:hAnsi="Times New Roman" w:cs="Times New Roman"/>
          <w:noProof/>
          <w:sz w:val="24"/>
          <w:szCs w:val="24"/>
          <w:lang w:val="en-GB"/>
        </w:rPr>
        <w:t xml:space="preserve">have </w:t>
      </w:r>
      <w:r w:rsidR="0047249C">
        <w:rPr>
          <w:rFonts w:ascii="Times New Roman" w:eastAsia="Verdana" w:hAnsi="Times New Roman" w:cs="Times New Roman"/>
          <w:noProof/>
          <w:sz w:val="24"/>
          <w:szCs w:val="24"/>
          <w:lang w:val="en-GB"/>
        </w:rPr>
        <w:t>not report</w:t>
      </w:r>
      <w:r>
        <w:rPr>
          <w:rFonts w:ascii="Times New Roman" w:eastAsia="Verdana" w:hAnsi="Times New Roman" w:cs="Times New Roman"/>
          <w:noProof/>
          <w:sz w:val="24"/>
          <w:szCs w:val="24"/>
          <w:lang w:val="en-GB"/>
        </w:rPr>
        <w:t>ed</w:t>
      </w:r>
      <w:r w:rsidR="001A7F01">
        <w:rPr>
          <w:rFonts w:ascii="Times New Roman" w:eastAsia="Verdana" w:hAnsi="Times New Roman" w:cs="Times New Roman"/>
          <w:noProof/>
          <w:sz w:val="24"/>
          <w:szCs w:val="24"/>
          <w:lang w:val="en-GB"/>
        </w:rPr>
        <w:t xml:space="preserve"> on</w:t>
      </w:r>
      <w:r w:rsidR="0047249C">
        <w:rPr>
          <w:rFonts w:ascii="Times New Roman" w:eastAsia="Verdana" w:hAnsi="Times New Roman" w:cs="Times New Roman"/>
          <w:noProof/>
          <w:sz w:val="24"/>
          <w:szCs w:val="24"/>
          <w:lang w:val="en-GB"/>
        </w:rPr>
        <w:t xml:space="preserve"> any issues that their nationals would experience with the acceptance of such documents in other Member States.</w:t>
      </w:r>
    </w:p>
    <w:p w14:paraId="73F9270C" w14:textId="0BEFEAD8" w:rsidR="0047249C" w:rsidRDefault="0047249C" w:rsidP="00166BBD">
      <w:pPr>
        <w:spacing w:after="240" w:line="240" w:lineRule="auto"/>
        <w:jc w:val="both"/>
        <w:rPr>
          <w:rFonts w:ascii="Times New Roman" w:eastAsia="Verdana" w:hAnsi="Times New Roman" w:cs="Times New Roman"/>
          <w:noProof/>
          <w:sz w:val="24"/>
          <w:szCs w:val="24"/>
          <w:lang w:val="en-GB"/>
        </w:rPr>
      </w:pPr>
      <w:r>
        <w:rPr>
          <w:rFonts w:ascii="Times New Roman" w:eastAsia="Verdana" w:hAnsi="Times New Roman" w:cs="Times New Roman"/>
          <w:noProof/>
          <w:sz w:val="24"/>
          <w:szCs w:val="24"/>
          <w:lang w:val="en-GB"/>
        </w:rPr>
        <w:t>In most Member States, the fees for the issuance of the documents covered by the Regulation did not increase following</w:t>
      </w:r>
      <w:r w:rsidRPr="004C1BC5">
        <w:rPr>
          <w:rFonts w:ascii="Times New Roman" w:eastAsia="Verdana" w:hAnsi="Times New Roman" w:cs="Times New Roman"/>
          <w:noProof/>
          <w:sz w:val="24"/>
          <w:szCs w:val="24"/>
          <w:lang w:val="en-GB"/>
        </w:rPr>
        <w:t xml:space="preserve"> </w:t>
      </w:r>
      <w:r>
        <w:rPr>
          <w:rFonts w:ascii="Times New Roman" w:eastAsia="Verdana" w:hAnsi="Times New Roman" w:cs="Times New Roman"/>
          <w:noProof/>
          <w:sz w:val="24"/>
          <w:szCs w:val="24"/>
          <w:lang w:val="en-GB"/>
        </w:rPr>
        <w:t xml:space="preserve">its entry into application. Where the fees did increase, the increase </w:t>
      </w:r>
      <w:r w:rsidR="00344B74">
        <w:rPr>
          <w:rFonts w:ascii="Times New Roman" w:eastAsia="Verdana" w:hAnsi="Times New Roman" w:cs="Times New Roman"/>
          <w:noProof/>
          <w:sz w:val="24"/>
          <w:szCs w:val="24"/>
          <w:lang w:val="en-GB"/>
        </w:rPr>
        <w:t xml:space="preserve">was </w:t>
      </w:r>
      <w:r>
        <w:rPr>
          <w:rFonts w:ascii="Times New Roman" w:eastAsia="Verdana" w:hAnsi="Times New Roman" w:cs="Times New Roman"/>
          <w:noProof/>
          <w:sz w:val="24"/>
          <w:szCs w:val="24"/>
          <w:lang w:val="en-GB"/>
        </w:rPr>
        <w:t>reported to be minor and in line with the</w:t>
      </w:r>
      <w:r w:rsidR="00305E52">
        <w:rPr>
          <w:rFonts w:ascii="Times New Roman" w:eastAsia="Verdana" w:hAnsi="Times New Roman" w:cs="Times New Roman"/>
          <w:noProof/>
          <w:sz w:val="24"/>
          <w:szCs w:val="24"/>
          <w:lang w:val="en-GB"/>
        </w:rPr>
        <w:t xml:space="preserve"> costs of the </w:t>
      </w:r>
      <w:r>
        <w:rPr>
          <w:rFonts w:ascii="Times New Roman" w:eastAsia="Verdana" w:hAnsi="Times New Roman" w:cs="Times New Roman"/>
          <w:noProof/>
          <w:sz w:val="24"/>
          <w:szCs w:val="24"/>
          <w:lang w:val="en-GB"/>
        </w:rPr>
        <w:t xml:space="preserve">improved security features of the documents. </w:t>
      </w:r>
    </w:p>
    <w:p w14:paraId="385BEFFF" w14:textId="77777777" w:rsidR="0047249C" w:rsidRDefault="0047249C" w:rsidP="00166BBD">
      <w:pPr>
        <w:pStyle w:val="Heading3"/>
        <w:spacing w:line="240" w:lineRule="auto"/>
        <w:ind w:left="720"/>
        <w:rPr>
          <w:noProof/>
          <w:lang w:val="en-IE"/>
        </w:rPr>
      </w:pPr>
      <w:r>
        <w:rPr>
          <w:noProof/>
          <w:lang w:val="en-IE"/>
        </w:rPr>
        <w:t xml:space="preserve">Respect for private life and protection of personal data </w:t>
      </w:r>
    </w:p>
    <w:p w14:paraId="3A12CE32" w14:textId="372A9D03" w:rsidR="0047249C" w:rsidRDefault="00344B74" w:rsidP="00CD0D82">
      <w:pPr>
        <w:pStyle w:val="LegalNumPar"/>
        <w:rPr>
          <w:rFonts w:cs="Times New Roman"/>
          <w:noProof/>
        </w:rPr>
      </w:pPr>
      <w:r>
        <w:rPr>
          <w:noProof/>
        </w:rPr>
        <w:t>Limitations</w:t>
      </w:r>
      <w:r w:rsidRPr="008B57E1">
        <w:rPr>
          <w:noProof/>
        </w:rPr>
        <w:t xml:space="preserve"> </w:t>
      </w:r>
      <w:r w:rsidR="0047249C" w:rsidRPr="008B57E1">
        <w:rPr>
          <w:noProof/>
        </w:rPr>
        <w:t xml:space="preserve">to the right to privacy and personal data (Articles 7 and 8 of the Charter) must be provided for by law, respect the essence of those rights and </w:t>
      </w:r>
      <w:r w:rsidR="0047249C">
        <w:rPr>
          <w:noProof/>
        </w:rPr>
        <w:t>be</w:t>
      </w:r>
      <w:r w:rsidR="0047249C" w:rsidRPr="008B57E1">
        <w:rPr>
          <w:noProof/>
        </w:rPr>
        <w:t xml:space="preserve"> proportionate to the attainment of a legitimate objective</w:t>
      </w:r>
      <w:r w:rsidR="0047249C" w:rsidRPr="008B57E1">
        <w:rPr>
          <w:noProof/>
          <w:vertAlign w:val="superscript"/>
        </w:rPr>
        <w:footnoteReference w:id="29"/>
      </w:r>
      <w:r w:rsidR="0047249C" w:rsidRPr="008B57E1">
        <w:rPr>
          <w:noProof/>
        </w:rPr>
        <w:t xml:space="preserve">. In this context, the Regulation provides for processing of personal data of the holder of the document, </w:t>
      </w:r>
      <w:r w:rsidR="0047249C" w:rsidRPr="008B57E1">
        <w:rPr>
          <w:rFonts w:cs="Times New Roman"/>
          <w:noProof/>
        </w:rPr>
        <w:t>including biometric data. The storage of a facial image and two fingerprints on identity and residence cards, as already provided for in respect of biometric passports</w:t>
      </w:r>
      <w:r w:rsidR="0047249C" w:rsidRPr="008B57E1">
        <w:rPr>
          <w:rFonts w:cs="Times New Roman"/>
          <w:noProof/>
          <w:vertAlign w:val="superscript"/>
        </w:rPr>
        <w:footnoteReference w:id="30"/>
      </w:r>
      <w:r w:rsidR="0047249C" w:rsidRPr="008B57E1">
        <w:rPr>
          <w:rFonts w:cs="Times New Roman"/>
          <w:noProof/>
        </w:rPr>
        <w:t xml:space="preserve"> and residence permits for third-country nationals</w:t>
      </w:r>
      <w:r w:rsidRPr="008B57E1">
        <w:rPr>
          <w:rFonts w:cs="Times New Roman"/>
          <w:noProof/>
          <w:vertAlign w:val="superscript"/>
        </w:rPr>
        <w:footnoteReference w:id="31"/>
      </w:r>
      <w:r w:rsidR="0047249C" w:rsidRPr="008B57E1">
        <w:rPr>
          <w:rFonts w:cs="Times New Roman"/>
          <w:noProof/>
        </w:rPr>
        <w:t>, represents an appropriate combination of reliable identification and authentication with a reduced risk of fraud, for the purpose of strengthening the security of identity and residence cards</w:t>
      </w:r>
      <w:r w:rsidR="0047249C" w:rsidRPr="008B57E1">
        <w:rPr>
          <w:rStyle w:val="FootnoteReference"/>
          <w:rFonts w:cs="Times New Roman"/>
          <w:noProof/>
          <w:szCs w:val="24"/>
          <w:lang w:val="en-IE"/>
        </w:rPr>
        <w:footnoteReference w:id="32"/>
      </w:r>
      <w:r w:rsidR="0047249C" w:rsidRPr="008B57E1">
        <w:rPr>
          <w:rFonts w:cs="Times New Roman"/>
          <w:noProof/>
        </w:rPr>
        <w:t>.</w:t>
      </w:r>
    </w:p>
    <w:p w14:paraId="7E7D35B8" w14:textId="5282F36F" w:rsidR="0047249C" w:rsidRPr="008B57E1" w:rsidRDefault="0047249C" w:rsidP="00CD0D82">
      <w:pPr>
        <w:pStyle w:val="LegalNumPar"/>
        <w:rPr>
          <w:noProof/>
        </w:rPr>
      </w:pPr>
      <w:r w:rsidRPr="008B57E1">
        <w:rPr>
          <w:noProof/>
        </w:rPr>
        <w:t xml:space="preserve">Amendments to the Commission proposal introduced by the European Parliament and the Council during the legislative process added the possibility to store such biometric data on residence documents issued to </w:t>
      </w:r>
      <w:r w:rsidR="00A419D1">
        <w:rPr>
          <w:noProof/>
        </w:rPr>
        <w:t>EU</w:t>
      </w:r>
      <w:r w:rsidRPr="008B57E1">
        <w:rPr>
          <w:noProof/>
        </w:rPr>
        <w:t xml:space="preserve"> citizens</w:t>
      </w:r>
      <w:r w:rsidRPr="008B57E1">
        <w:rPr>
          <w:rStyle w:val="FootnoteReference"/>
          <w:rFonts w:cs="Times New Roman"/>
          <w:noProof/>
          <w:szCs w:val="24"/>
          <w:lang w:val="en-IE"/>
        </w:rPr>
        <w:footnoteReference w:id="33"/>
      </w:r>
      <w:r w:rsidRPr="008B57E1">
        <w:rPr>
          <w:noProof/>
        </w:rPr>
        <w:t>.</w:t>
      </w:r>
      <w:r>
        <w:rPr>
          <w:noProof/>
        </w:rPr>
        <w:t xml:space="preserve"> According to the information provided by Member States in the questionnaire, 13 Member States</w:t>
      </w:r>
      <w:r w:rsidRPr="004C3F60">
        <w:rPr>
          <w:noProof/>
        </w:rPr>
        <w:t xml:space="preserve"> </w:t>
      </w:r>
      <w:r>
        <w:rPr>
          <w:noProof/>
        </w:rPr>
        <w:t xml:space="preserve">currently </w:t>
      </w:r>
      <w:r w:rsidRPr="00501E6E">
        <w:rPr>
          <w:noProof/>
        </w:rPr>
        <w:t xml:space="preserve">include a secure storage medium with the biometric identifiers of the holder (facial image and possibly two fingerprints) in residence documents issued to </w:t>
      </w:r>
      <w:r w:rsidR="00A419D1">
        <w:rPr>
          <w:noProof/>
        </w:rPr>
        <w:t>EU</w:t>
      </w:r>
      <w:r w:rsidRPr="00501E6E">
        <w:rPr>
          <w:noProof/>
        </w:rPr>
        <w:t xml:space="preserve"> citizens</w:t>
      </w:r>
      <w:r>
        <w:rPr>
          <w:noProof/>
        </w:rPr>
        <w:t>.</w:t>
      </w:r>
    </w:p>
    <w:p w14:paraId="2482C0B7" w14:textId="256A284B" w:rsidR="0047249C" w:rsidRPr="008B57E1" w:rsidRDefault="0047249C" w:rsidP="00CD0D82">
      <w:pPr>
        <w:pStyle w:val="LegalNumPar"/>
        <w:rPr>
          <w:noProof/>
        </w:rPr>
      </w:pPr>
      <w:r w:rsidRPr="008B57E1">
        <w:rPr>
          <w:noProof/>
        </w:rPr>
        <w:t xml:space="preserve">As far as the </w:t>
      </w:r>
      <w:r w:rsidR="00344C4A">
        <w:rPr>
          <w:noProof/>
        </w:rPr>
        <w:t xml:space="preserve">justification of the </w:t>
      </w:r>
      <w:r w:rsidRPr="008B57E1">
        <w:rPr>
          <w:noProof/>
        </w:rPr>
        <w:t xml:space="preserve">processing of </w:t>
      </w:r>
      <w:r w:rsidR="00344B74">
        <w:rPr>
          <w:noProof/>
        </w:rPr>
        <w:t>the</w:t>
      </w:r>
      <w:r w:rsidR="00344B74" w:rsidRPr="008B57E1">
        <w:rPr>
          <w:noProof/>
        </w:rPr>
        <w:t xml:space="preserve"> </w:t>
      </w:r>
      <w:r w:rsidRPr="008B57E1">
        <w:rPr>
          <w:noProof/>
        </w:rPr>
        <w:t>biometric data</w:t>
      </w:r>
      <w:r w:rsidR="00344B74">
        <w:rPr>
          <w:noProof/>
        </w:rPr>
        <w:t xml:space="preserve"> is concerned</w:t>
      </w:r>
      <w:r w:rsidRPr="008B57E1">
        <w:rPr>
          <w:noProof/>
        </w:rPr>
        <w:t xml:space="preserve">, </w:t>
      </w:r>
      <w:r w:rsidR="00344C4A">
        <w:rPr>
          <w:noProof/>
        </w:rPr>
        <w:t xml:space="preserve">it must be noted that </w:t>
      </w:r>
      <w:r w:rsidRPr="008B57E1">
        <w:rPr>
          <w:noProof/>
        </w:rPr>
        <w:t xml:space="preserve">it is provided for by law, namely Article 3(5) of the Regulation. </w:t>
      </w:r>
      <w:r w:rsidR="00344B74">
        <w:rPr>
          <w:noProof/>
        </w:rPr>
        <w:t>That</w:t>
      </w:r>
      <w:r w:rsidR="00344B74" w:rsidRPr="008B57E1">
        <w:rPr>
          <w:noProof/>
        </w:rPr>
        <w:t xml:space="preserve"> </w:t>
      </w:r>
      <w:r w:rsidR="00344C4A">
        <w:rPr>
          <w:noProof/>
        </w:rPr>
        <w:t>limitation</w:t>
      </w:r>
      <w:r w:rsidR="00344B74">
        <w:rPr>
          <w:noProof/>
        </w:rPr>
        <w:t xml:space="preserve"> to the right to privacy and personal data</w:t>
      </w:r>
      <w:r w:rsidR="00344C4A" w:rsidRPr="008B57E1">
        <w:rPr>
          <w:noProof/>
        </w:rPr>
        <w:t xml:space="preserve"> </w:t>
      </w:r>
      <w:r w:rsidR="00344C4A">
        <w:rPr>
          <w:noProof/>
        </w:rPr>
        <w:t>satisf</w:t>
      </w:r>
      <w:r w:rsidR="00344B74">
        <w:rPr>
          <w:noProof/>
        </w:rPr>
        <w:t>ies</w:t>
      </w:r>
      <w:r w:rsidR="00344C4A" w:rsidRPr="008B57E1">
        <w:rPr>
          <w:noProof/>
        </w:rPr>
        <w:t xml:space="preserve"> </w:t>
      </w:r>
      <w:r w:rsidRPr="008B57E1">
        <w:rPr>
          <w:noProof/>
        </w:rPr>
        <w:t xml:space="preserve">an objective of general interest, namely the prevention of </w:t>
      </w:r>
      <w:r w:rsidR="00344C4A">
        <w:rPr>
          <w:noProof/>
        </w:rPr>
        <w:t>falsification and document fraud, which is increased by a lack of homogeneity regarding the formats and security features of national identity cards prior to the entry into application of the Regulation. Preventing falsification and fraud promotes the acceptance of identity cards in Member States other than the one issuing them, facilitating th</w:t>
      </w:r>
      <w:r w:rsidR="00344B74">
        <w:rPr>
          <w:noProof/>
        </w:rPr>
        <w:t>e</w:t>
      </w:r>
      <w:r w:rsidR="00344C4A">
        <w:rPr>
          <w:noProof/>
        </w:rPr>
        <w:t xml:space="preserve"> right of free movement of EU citizens</w:t>
      </w:r>
      <w:r w:rsidR="00344C4A">
        <w:rPr>
          <w:rStyle w:val="FootnoteReference"/>
          <w:noProof/>
        </w:rPr>
        <w:footnoteReference w:id="34"/>
      </w:r>
      <w:r w:rsidRPr="008B57E1">
        <w:rPr>
          <w:noProof/>
        </w:rPr>
        <w:t>. The risk of fraud must be taken seriously, in particular by means of falsified identity cards or abuse of rights</w:t>
      </w:r>
      <w:r w:rsidRPr="008B57E1">
        <w:rPr>
          <w:rStyle w:val="FootnoteReference"/>
          <w:rFonts w:cs="Times New Roman"/>
          <w:noProof/>
          <w:szCs w:val="24"/>
          <w:lang w:val="en-IE"/>
        </w:rPr>
        <w:footnoteReference w:id="35"/>
      </w:r>
      <w:r w:rsidRPr="008B57E1">
        <w:rPr>
          <w:noProof/>
        </w:rPr>
        <w:t xml:space="preserve">. </w:t>
      </w:r>
    </w:p>
    <w:p w14:paraId="47280379" w14:textId="03F70DC3" w:rsidR="0047249C" w:rsidRPr="008B57E1" w:rsidRDefault="00305E52" w:rsidP="00CD0D82">
      <w:pPr>
        <w:pStyle w:val="LegalNumPar"/>
        <w:rPr>
          <w:noProof/>
        </w:rPr>
      </w:pPr>
      <w:r w:rsidRPr="00305E52">
        <w:rPr>
          <w:noProof/>
        </w:rPr>
        <w:t xml:space="preserve">Article 3(5) is the subject of two ongoing preliminary reference procedures (see Section 2.4.3). </w:t>
      </w:r>
      <w:r w:rsidR="0047249C" w:rsidRPr="008B57E1">
        <w:rPr>
          <w:noProof/>
        </w:rPr>
        <w:t xml:space="preserve">As regards the suitability of the storage of biometric data in identity cards, the Court has already </w:t>
      </w:r>
      <w:r w:rsidR="0047249C" w:rsidRPr="0038036D">
        <w:rPr>
          <w:noProof/>
          <w:lang w:val="en-IE"/>
        </w:rPr>
        <w:t>recognised</w:t>
      </w:r>
      <w:r w:rsidR="0047249C" w:rsidRPr="008B57E1">
        <w:rPr>
          <w:noProof/>
        </w:rPr>
        <w:t xml:space="preserve"> that the storage of fingerprints on a highly secure storage medium could reduce the risk of counterfeiting of passports and facilitate the work of the authorities responsible for verifying the authenticity of such documents</w:t>
      </w:r>
      <w:r w:rsidR="0047249C" w:rsidRPr="008B57E1">
        <w:rPr>
          <w:noProof/>
          <w:vertAlign w:val="superscript"/>
        </w:rPr>
        <w:footnoteReference w:id="36"/>
      </w:r>
      <w:r w:rsidR="0047249C" w:rsidRPr="008B57E1">
        <w:rPr>
          <w:noProof/>
        </w:rPr>
        <w:t xml:space="preserve">. </w:t>
      </w:r>
      <w:r w:rsidR="007C0BC8">
        <w:rPr>
          <w:noProof/>
        </w:rPr>
        <w:t>According to Advocate</w:t>
      </w:r>
      <w:r w:rsidR="007C0BC8">
        <w:rPr>
          <w:rFonts w:eastAsia="Verdana" w:cs="Times New Roman"/>
          <w:noProof/>
          <w:szCs w:val="24"/>
        </w:rPr>
        <w:t xml:space="preserve"> General </w:t>
      </w:r>
      <w:r w:rsidR="009B2D64">
        <w:rPr>
          <w:rFonts w:eastAsia="Verdana" w:cs="Times New Roman"/>
          <w:noProof/>
          <w:szCs w:val="24"/>
        </w:rPr>
        <w:t>Medina</w:t>
      </w:r>
      <w:r w:rsidR="007C0BC8">
        <w:rPr>
          <w:rFonts w:eastAsia="Verdana" w:cs="Times New Roman"/>
          <w:noProof/>
          <w:szCs w:val="24"/>
        </w:rPr>
        <w:t xml:space="preserve">, </w:t>
      </w:r>
      <w:r w:rsidR="007C0BC8">
        <w:rPr>
          <w:noProof/>
        </w:rPr>
        <w:t>t</w:t>
      </w:r>
      <w:r w:rsidR="0047249C" w:rsidRPr="008B57E1">
        <w:rPr>
          <w:noProof/>
        </w:rPr>
        <w:t>his also applies to the use of identity cards in connection with the exercise of free movement</w:t>
      </w:r>
      <w:r w:rsidR="00DD0977">
        <w:rPr>
          <w:rStyle w:val="FootnoteReference"/>
          <w:noProof/>
        </w:rPr>
        <w:footnoteReference w:id="37"/>
      </w:r>
      <w:r w:rsidR="0047249C" w:rsidRPr="008B57E1">
        <w:rPr>
          <w:noProof/>
        </w:rPr>
        <w:t>.</w:t>
      </w:r>
      <w:r w:rsidR="0050290A">
        <w:rPr>
          <w:noProof/>
        </w:rPr>
        <w:t xml:space="preserve"> </w:t>
      </w:r>
    </w:p>
    <w:p w14:paraId="651A0E60" w14:textId="1A858ACE" w:rsidR="0047249C" w:rsidRPr="008B57E1" w:rsidRDefault="0047249C" w:rsidP="00CD0D82">
      <w:pPr>
        <w:pStyle w:val="LegalNumPar"/>
        <w:rPr>
          <w:noProof/>
        </w:rPr>
      </w:pPr>
      <w:r w:rsidRPr="008B57E1">
        <w:rPr>
          <w:noProof/>
        </w:rPr>
        <w:t>The Court has already examined the proportionality of the acceptance and storage of fingerprints. It found that this process is neither intimate in nature, since the two fingerprints are characteristics that can be seen by others, nor does it cause particular physical or mental inconvenience to the person concerned</w:t>
      </w:r>
      <w:r w:rsidRPr="008B57E1">
        <w:rPr>
          <w:rStyle w:val="FootnoteReference"/>
          <w:rFonts w:cs="Times New Roman"/>
          <w:noProof/>
          <w:szCs w:val="24"/>
          <w:lang w:val="en-IE"/>
        </w:rPr>
        <w:footnoteReference w:id="38"/>
      </w:r>
      <w:r w:rsidRPr="008B57E1">
        <w:rPr>
          <w:noProof/>
        </w:rPr>
        <w:t>. In addition, the</w:t>
      </w:r>
      <w:r w:rsidR="00D35716">
        <w:rPr>
          <w:noProof/>
        </w:rPr>
        <w:t xml:space="preserve"> Court </w:t>
      </w:r>
      <w:r w:rsidR="007C62D5">
        <w:rPr>
          <w:noProof/>
        </w:rPr>
        <w:t xml:space="preserve">found no </w:t>
      </w:r>
      <w:r w:rsidRPr="008B57E1">
        <w:rPr>
          <w:noProof/>
        </w:rPr>
        <w:t>indication that the recording of fingerprints and the taking of the facial image would result in a more serious interference with those rights because they were carried out at the same time</w:t>
      </w:r>
      <w:r w:rsidRPr="008B57E1">
        <w:rPr>
          <w:rStyle w:val="FootnoteReference"/>
          <w:rFonts w:cs="Times New Roman"/>
          <w:noProof/>
          <w:szCs w:val="24"/>
          <w:lang w:val="en-IE"/>
        </w:rPr>
        <w:footnoteReference w:id="39"/>
      </w:r>
      <w:r w:rsidRPr="008B57E1">
        <w:rPr>
          <w:noProof/>
        </w:rPr>
        <w:t>.</w:t>
      </w:r>
      <w:r w:rsidR="00C218E4">
        <w:rPr>
          <w:noProof/>
        </w:rPr>
        <w:t xml:space="preserve"> </w:t>
      </w:r>
      <w:r w:rsidR="00305E52">
        <w:rPr>
          <w:noProof/>
        </w:rPr>
        <w:t>It further concluded that</w:t>
      </w:r>
      <w:r w:rsidR="00C218E4">
        <w:rPr>
          <w:noProof/>
        </w:rPr>
        <w:t xml:space="preserve"> there does not exist an equally suitable but less intrusive method, as compared to the taking and storage of fingerprints, for achieving, in a similarly effective manner, the aim of the Regulation</w:t>
      </w:r>
      <w:r w:rsidR="00C218E4">
        <w:rPr>
          <w:rStyle w:val="FootnoteReference"/>
          <w:noProof/>
        </w:rPr>
        <w:footnoteReference w:id="40"/>
      </w:r>
      <w:r w:rsidR="00C218E4">
        <w:rPr>
          <w:noProof/>
        </w:rPr>
        <w:t>.</w:t>
      </w:r>
    </w:p>
    <w:p w14:paraId="33A6556A" w14:textId="37D2084C" w:rsidR="0047249C" w:rsidRPr="008B57E1" w:rsidRDefault="0047249C" w:rsidP="00166BBD">
      <w:pPr>
        <w:spacing w:after="240" w:line="240" w:lineRule="auto"/>
        <w:jc w:val="both"/>
        <w:rPr>
          <w:rFonts w:ascii="Times New Roman" w:hAnsi="Times New Roman" w:cs="Times New Roman"/>
          <w:noProof/>
          <w:sz w:val="24"/>
          <w:szCs w:val="24"/>
        </w:rPr>
      </w:pPr>
      <w:r w:rsidRPr="008B57E1">
        <w:rPr>
          <w:rFonts w:ascii="Times New Roman" w:hAnsi="Times New Roman" w:cs="Times New Roman"/>
          <w:noProof/>
          <w:sz w:val="24"/>
          <w:szCs w:val="24"/>
        </w:rPr>
        <w:t>Finally, the Regulation provides for enhanced guarantees for the collection and storage of fingerprints</w:t>
      </w:r>
      <w:r w:rsidRPr="008B57E1">
        <w:rPr>
          <w:rStyle w:val="FootnoteReference"/>
          <w:rFonts w:ascii="Times New Roman" w:hAnsi="Times New Roman" w:cs="Times New Roman"/>
          <w:noProof/>
          <w:sz w:val="24"/>
          <w:szCs w:val="24"/>
        </w:rPr>
        <w:footnoteReference w:id="41"/>
      </w:r>
      <w:r w:rsidRPr="008B57E1">
        <w:rPr>
          <w:rFonts w:ascii="Times New Roman" w:hAnsi="Times New Roman" w:cs="Times New Roman"/>
          <w:noProof/>
          <w:sz w:val="24"/>
          <w:szCs w:val="24"/>
        </w:rPr>
        <w:t xml:space="preserve">. </w:t>
      </w:r>
      <w:r w:rsidRPr="008B57E1">
        <w:rPr>
          <w:rFonts w:ascii="Times New Roman" w:hAnsi="Times New Roman" w:cs="Times New Roman"/>
          <w:noProof/>
          <w:sz w:val="24"/>
          <w:szCs w:val="24"/>
          <w:lang w:eastAsia="en-GB"/>
        </w:rPr>
        <w:t>Regulation (EU) 2016/679 of the European Parliament and of the Council</w:t>
      </w:r>
      <w:r w:rsidRPr="008B57E1">
        <w:rPr>
          <w:rStyle w:val="FootnoteReference"/>
          <w:rFonts w:ascii="Times New Roman" w:hAnsi="Times New Roman" w:cs="Times New Roman"/>
          <w:noProof/>
          <w:sz w:val="24"/>
          <w:szCs w:val="24"/>
          <w:lang w:eastAsia="en-GB"/>
        </w:rPr>
        <w:footnoteReference w:id="42"/>
      </w:r>
      <w:r w:rsidRPr="008B57E1">
        <w:rPr>
          <w:rFonts w:ascii="Times New Roman" w:hAnsi="Times New Roman" w:cs="Times New Roman"/>
          <w:noProof/>
          <w:sz w:val="24"/>
          <w:szCs w:val="24"/>
          <w:lang w:eastAsia="en-GB"/>
        </w:rPr>
        <w:t xml:space="preserve"> applies with regard to processing of personal data, including biometric data, in the context of the application of the Regulation. </w:t>
      </w:r>
      <w:r w:rsidRPr="008B57E1">
        <w:rPr>
          <w:rFonts w:ascii="Times New Roman" w:hAnsi="Times New Roman" w:cs="Times New Roman"/>
          <w:noProof/>
          <w:sz w:val="24"/>
          <w:szCs w:val="24"/>
        </w:rPr>
        <w:t xml:space="preserve">As a rule, Member States must check the facial image, and fingerprints may only be checked in case of doubt. Fingerprints may only be taken by qualified and duly authorised personnel and checked by duly authorised staff and only where required by law. </w:t>
      </w:r>
      <w:r w:rsidR="00344B74">
        <w:rPr>
          <w:rFonts w:ascii="Times New Roman" w:hAnsi="Times New Roman" w:cs="Times New Roman"/>
          <w:noProof/>
          <w:sz w:val="24"/>
          <w:szCs w:val="24"/>
        </w:rPr>
        <w:t>In addition, b</w:t>
      </w:r>
      <w:r w:rsidRPr="008B57E1">
        <w:rPr>
          <w:rFonts w:ascii="Times New Roman" w:hAnsi="Times New Roman" w:cs="Times New Roman"/>
          <w:noProof/>
          <w:sz w:val="24"/>
          <w:szCs w:val="24"/>
        </w:rPr>
        <w:t>iometric data stored for the purpose of personalising identity cards or residence documents must be kept in a highly secure manner and only until the document is collected. Moreover,</w:t>
      </w:r>
      <w:r w:rsidR="00344B74">
        <w:rPr>
          <w:rFonts w:ascii="Times New Roman" w:hAnsi="Times New Roman" w:cs="Times New Roman"/>
          <w:noProof/>
          <w:sz w:val="24"/>
          <w:szCs w:val="24"/>
        </w:rPr>
        <w:t xml:space="preserve"> </w:t>
      </w:r>
      <w:r w:rsidRPr="008B57E1">
        <w:rPr>
          <w:rFonts w:ascii="Times New Roman" w:hAnsi="Times New Roman" w:cs="Times New Roman"/>
          <w:noProof/>
          <w:sz w:val="24"/>
          <w:szCs w:val="24"/>
        </w:rPr>
        <w:t xml:space="preserve">Recital 21 states explicitly that </w:t>
      </w:r>
      <w:r w:rsidR="00344B74">
        <w:rPr>
          <w:rFonts w:ascii="Times New Roman" w:hAnsi="Times New Roman" w:cs="Times New Roman"/>
          <w:noProof/>
          <w:sz w:val="24"/>
          <w:szCs w:val="24"/>
        </w:rPr>
        <w:t>the Regulation</w:t>
      </w:r>
      <w:r w:rsidR="00344B74" w:rsidRPr="008B57E1">
        <w:rPr>
          <w:rFonts w:ascii="Times New Roman" w:hAnsi="Times New Roman" w:cs="Times New Roman"/>
          <w:noProof/>
          <w:sz w:val="24"/>
          <w:szCs w:val="24"/>
        </w:rPr>
        <w:t xml:space="preserve"> </w:t>
      </w:r>
      <w:r w:rsidRPr="008B57E1">
        <w:rPr>
          <w:rFonts w:ascii="Times New Roman" w:hAnsi="Times New Roman" w:cs="Times New Roman"/>
          <w:noProof/>
          <w:sz w:val="24"/>
          <w:szCs w:val="24"/>
        </w:rPr>
        <w:t>cannot constitute a legal basis for the establishment or maintenance of databases of biometric data at national or European level.</w:t>
      </w:r>
    </w:p>
    <w:p w14:paraId="0F278380" w14:textId="6206CE89" w:rsidR="0047249C" w:rsidRPr="008B57E1" w:rsidRDefault="0047249C" w:rsidP="00166BBD">
      <w:pPr>
        <w:spacing w:after="240" w:line="240" w:lineRule="auto"/>
        <w:jc w:val="both"/>
        <w:rPr>
          <w:rFonts w:ascii="Times New Roman" w:eastAsia="Verdana" w:hAnsi="Times New Roman" w:cs="Times New Roman"/>
          <w:noProof/>
          <w:sz w:val="24"/>
          <w:szCs w:val="24"/>
        </w:rPr>
      </w:pPr>
      <w:r w:rsidRPr="008B57E1">
        <w:rPr>
          <w:rFonts w:ascii="Times New Roman" w:eastAsia="Verdana" w:hAnsi="Times New Roman" w:cs="Times New Roman"/>
          <w:noProof/>
          <w:sz w:val="24"/>
          <w:szCs w:val="24"/>
        </w:rPr>
        <w:t xml:space="preserve">Since the </w:t>
      </w:r>
      <w:r w:rsidR="00B506C9">
        <w:rPr>
          <w:rFonts w:ascii="Times New Roman" w:eastAsia="Verdana" w:hAnsi="Times New Roman" w:cs="Times New Roman"/>
          <w:noProof/>
          <w:sz w:val="24"/>
          <w:szCs w:val="24"/>
        </w:rPr>
        <w:t>date of</w:t>
      </w:r>
      <w:r w:rsidRPr="008B57E1">
        <w:rPr>
          <w:rFonts w:ascii="Times New Roman" w:eastAsia="Verdana" w:hAnsi="Times New Roman" w:cs="Times New Roman"/>
          <w:noProof/>
          <w:sz w:val="24"/>
          <w:szCs w:val="24"/>
        </w:rPr>
        <w:t xml:space="preserve"> application of the Regulation, the Commission has not been made aware of any successful attacks or breaches of the secured storage medium included in the documents covered.</w:t>
      </w:r>
    </w:p>
    <w:p w14:paraId="79EC7D9E" w14:textId="7F051479" w:rsidR="0047249C" w:rsidRPr="00C218E4" w:rsidRDefault="00C218E4" w:rsidP="00166BBD">
      <w:pPr>
        <w:spacing w:after="240" w:line="240" w:lineRule="auto"/>
        <w:jc w:val="both"/>
        <w:rPr>
          <w:rFonts w:ascii="Times New Roman" w:hAnsi="Times New Roman" w:cs="Times New Roman"/>
          <w:noProof/>
          <w:sz w:val="24"/>
          <w:szCs w:val="24"/>
        </w:rPr>
      </w:pPr>
      <w:r>
        <w:rPr>
          <w:rFonts w:ascii="Times New Roman" w:eastAsia="Verdana" w:hAnsi="Times New Roman" w:cs="Times New Roman"/>
          <w:noProof/>
          <w:sz w:val="24"/>
          <w:szCs w:val="24"/>
        </w:rPr>
        <w:t xml:space="preserve">In </w:t>
      </w:r>
      <w:r>
        <w:rPr>
          <w:rFonts w:ascii="Times New Roman" w:eastAsia="Verdana" w:hAnsi="Times New Roman" w:cs="Times New Roman"/>
          <w:i/>
          <w:iCs/>
          <w:noProof/>
          <w:sz w:val="24"/>
          <w:szCs w:val="24"/>
        </w:rPr>
        <w:t>Landeshauptstadt Wiesbaden</w:t>
      </w:r>
      <w:r>
        <w:rPr>
          <w:rFonts w:ascii="Times New Roman" w:eastAsia="Verdana" w:hAnsi="Times New Roman" w:cs="Times New Roman"/>
          <w:noProof/>
          <w:sz w:val="24"/>
          <w:szCs w:val="24"/>
        </w:rPr>
        <w:t xml:space="preserve">, Advocate General </w:t>
      </w:r>
      <w:r w:rsidR="00DC4BB0">
        <w:rPr>
          <w:rFonts w:ascii="Times New Roman" w:eastAsia="Verdana" w:hAnsi="Times New Roman" w:cs="Times New Roman"/>
          <w:noProof/>
          <w:sz w:val="24"/>
          <w:szCs w:val="24"/>
        </w:rPr>
        <w:t>Medina</w:t>
      </w:r>
      <w:r w:rsidR="0083150D" w:rsidRPr="0083150D">
        <w:rPr>
          <w:rFonts w:ascii="Times New Roman" w:eastAsia="Verdana" w:hAnsi="Times New Roman" w:cs="Times New Roman"/>
          <w:noProof/>
          <w:sz w:val="24"/>
          <w:szCs w:val="24"/>
        </w:rPr>
        <w:t xml:space="preserve"> </w:t>
      </w:r>
      <w:r>
        <w:rPr>
          <w:rFonts w:ascii="Times New Roman" w:eastAsia="Verdana" w:hAnsi="Times New Roman" w:cs="Times New Roman"/>
          <w:noProof/>
          <w:sz w:val="24"/>
          <w:szCs w:val="24"/>
        </w:rPr>
        <w:t>concluded that the Regulation and in particular Article 3(5) thereof do</w:t>
      </w:r>
      <w:r w:rsidR="00E43FD6">
        <w:rPr>
          <w:rFonts w:ascii="Times New Roman" w:eastAsia="Verdana" w:hAnsi="Times New Roman" w:cs="Times New Roman"/>
          <w:noProof/>
          <w:sz w:val="24"/>
          <w:szCs w:val="24"/>
        </w:rPr>
        <w:t>es</w:t>
      </w:r>
      <w:r>
        <w:rPr>
          <w:rFonts w:ascii="Times New Roman" w:eastAsia="Verdana" w:hAnsi="Times New Roman" w:cs="Times New Roman"/>
          <w:noProof/>
          <w:sz w:val="24"/>
          <w:szCs w:val="24"/>
        </w:rPr>
        <w:t xml:space="preserve"> not constitute an unjustified limitation of Articles 7 and 8 of the Charter</w:t>
      </w:r>
      <w:r>
        <w:rPr>
          <w:rStyle w:val="FootnoteReference"/>
          <w:rFonts w:ascii="Times New Roman" w:eastAsia="Verdana" w:hAnsi="Times New Roman" w:cs="Times New Roman"/>
          <w:noProof/>
          <w:sz w:val="24"/>
          <w:szCs w:val="24"/>
        </w:rPr>
        <w:footnoteReference w:id="43"/>
      </w:r>
      <w:r>
        <w:rPr>
          <w:rFonts w:ascii="Times New Roman" w:eastAsia="Verdana" w:hAnsi="Times New Roman" w:cs="Times New Roman"/>
          <w:noProof/>
          <w:sz w:val="24"/>
          <w:szCs w:val="24"/>
        </w:rPr>
        <w:t>.</w:t>
      </w:r>
    </w:p>
    <w:p w14:paraId="009C187A" w14:textId="77777777" w:rsidR="0047249C" w:rsidRPr="00F87851" w:rsidRDefault="0047249C" w:rsidP="00166BBD">
      <w:pPr>
        <w:pStyle w:val="Heading2"/>
        <w:spacing w:before="0" w:line="240" w:lineRule="auto"/>
        <w:ind w:left="578" w:hanging="578"/>
        <w:rPr>
          <w:lang w:val="en-IE"/>
        </w:rPr>
      </w:pPr>
      <w:r>
        <w:rPr>
          <w:lang w:val="en-IE"/>
        </w:rPr>
        <w:t>Other information on the implementation of the Regulation</w:t>
      </w:r>
    </w:p>
    <w:p w14:paraId="7F63C061" w14:textId="77777777" w:rsidR="0047249C" w:rsidRDefault="0047249C" w:rsidP="00166BBD">
      <w:pPr>
        <w:pStyle w:val="Heading3"/>
        <w:spacing w:line="240" w:lineRule="auto"/>
        <w:ind w:left="720"/>
        <w:rPr>
          <w:noProof/>
          <w:lang w:val="en-IE"/>
        </w:rPr>
      </w:pPr>
      <w:r>
        <w:rPr>
          <w:noProof/>
          <w:lang w:val="en-IE"/>
        </w:rPr>
        <w:t>Impact of the COVID-19 pandemic</w:t>
      </w:r>
    </w:p>
    <w:p w14:paraId="30D8550F" w14:textId="3EA65625" w:rsidR="0047249C" w:rsidRDefault="0047249C" w:rsidP="00166BBD">
      <w:pPr>
        <w:spacing w:after="240" w:line="240" w:lineRule="auto"/>
        <w:jc w:val="both"/>
        <w:rPr>
          <w:rFonts w:ascii="Times New Roman" w:hAnsi="Times New Roman" w:cs="Times New Roman"/>
          <w:noProof/>
          <w:sz w:val="24"/>
          <w:szCs w:val="24"/>
          <w:lang w:eastAsia="zh-CN"/>
        </w:rPr>
      </w:pPr>
      <w:r w:rsidRPr="006D240C">
        <w:rPr>
          <w:rFonts w:ascii="Times New Roman" w:hAnsi="Times New Roman" w:cs="Times New Roman"/>
          <w:noProof/>
          <w:sz w:val="24"/>
          <w:szCs w:val="24"/>
          <w:lang w:eastAsia="zh-CN"/>
        </w:rPr>
        <w:t xml:space="preserve">The </w:t>
      </w:r>
      <w:r w:rsidR="00B506C9">
        <w:rPr>
          <w:rFonts w:ascii="Times New Roman" w:hAnsi="Times New Roman" w:cs="Times New Roman"/>
          <w:noProof/>
          <w:sz w:val="24"/>
          <w:szCs w:val="24"/>
          <w:lang w:eastAsia="zh-CN"/>
        </w:rPr>
        <w:t>date of</w:t>
      </w:r>
      <w:r w:rsidRPr="006D240C">
        <w:rPr>
          <w:rFonts w:ascii="Times New Roman" w:hAnsi="Times New Roman" w:cs="Times New Roman"/>
          <w:noProof/>
          <w:sz w:val="24"/>
          <w:szCs w:val="24"/>
          <w:lang w:eastAsia="zh-CN"/>
        </w:rPr>
        <w:t xml:space="preserve"> application of the Regulation</w:t>
      </w:r>
      <w:r>
        <w:rPr>
          <w:rFonts w:ascii="Times New Roman" w:hAnsi="Times New Roman" w:cs="Times New Roman"/>
          <w:noProof/>
          <w:sz w:val="24"/>
          <w:szCs w:val="24"/>
          <w:lang w:eastAsia="zh-CN"/>
        </w:rPr>
        <w:t>, 2 August 2021,</w:t>
      </w:r>
      <w:r w:rsidRPr="006D240C">
        <w:rPr>
          <w:rFonts w:ascii="Times New Roman" w:hAnsi="Times New Roman" w:cs="Times New Roman"/>
          <w:noProof/>
          <w:sz w:val="24"/>
          <w:szCs w:val="24"/>
          <w:lang w:eastAsia="zh-CN"/>
        </w:rPr>
        <w:t xml:space="preserve"> took place during the COVID-19 pandemic. </w:t>
      </w:r>
      <w:r w:rsidR="006B7243">
        <w:rPr>
          <w:rFonts w:ascii="Times New Roman" w:hAnsi="Times New Roman" w:cs="Times New Roman"/>
          <w:noProof/>
          <w:sz w:val="24"/>
          <w:szCs w:val="24"/>
          <w:lang w:eastAsia="zh-CN"/>
        </w:rPr>
        <w:t xml:space="preserve">In view of that fact, </w:t>
      </w:r>
      <w:r>
        <w:rPr>
          <w:rFonts w:ascii="Times New Roman" w:hAnsi="Times New Roman" w:cs="Times New Roman"/>
          <w:noProof/>
          <w:sz w:val="24"/>
          <w:szCs w:val="24"/>
          <w:lang w:eastAsia="zh-CN"/>
        </w:rPr>
        <w:t xml:space="preserve">the Commission </w:t>
      </w:r>
      <w:r w:rsidR="001A7F01">
        <w:rPr>
          <w:rFonts w:ascii="Times New Roman" w:hAnsi="Times New Roman" w:cs="Times New Roman"/>
          <w:noProof/>
          <w:sz w:val="24"/>
          <w:szCs w:val="24"/>
          <w:lang w:eastAsia="zh-CN"/>
        </w:rPr>
        <w:t xml:space="preserve">had </w:t>
      </w:r>
      <w:r>
        <w:rPr>
          <w:rFonts w:ascii="Times New Roman" w:hAnsi="Times New Roman" w:cs="Times New Roman"/>
          <w:noProof/>
          <w:sz w:val="24"/>
          <w:szCs w:val="24"/>
          <w:lang w:eastAsia="zh-CN"/>
        </w:rPr>
        <w:t>sought feedback from the Member States as to the impact of the pandemic on the relevant preparations of the Member States</w:t>
      </w:r>
      <w:r w:rsidR="006B7243">
        <w:rPr>
          <w:rFonts w:ascii="Times New Roman" w:hAnsi="Times New Roman" w:cs="Times New Roman"/>
          <w:noProof/>
          <w:sz w:val="24"/>
          <w:szCs w:val="24"/>
          <w:lang w:eastAsia="zh-CN"/>
        </w:rPr>
        <w:t xml:space="preserve"> in March 2021</w:t>
      </w:r>
      <w:r>
        <w:rPr>
          <w:rFonts w:ascii="Times New Roman" w:hAnsi="Times New Roman" w:cs="Times New Roman"/>
          <w:noProof/>
          <w:sz w:val="24"/>
          <w:szCs w:val="24"/>
          <w:lang w:eastAsia="zh-CN"/>
        </w:rPr>
        <w:t xml:space="preserve">. In </w:t>
      </w:r>
      <w:r w:rsidR="006B7243">
        <w:rPr>
          <w:rFonts w:ascii="Times New Roman" w:hAnsi="Times New Roman" w:cs="Times New Roman"/>
          <w:noProof/>
          <w:sz w:val="24"/>
          <w:szCs w:val="24"/>
          <w:lang w:eastAsia="zh-CN"/>
        </w:rPr>
        <w:t>their replies</w:t>
      </w:r>
      <w:r>
        <w:rPr>
          <w:rFonts w:ascii="Times New Roman" w:hAnsi="Times New Roman" w:cs="Times New Roman"/>
          <w:noProof/>
          <w:sz w:val="24"/>
          <w:szCs w:val="24"/>
          <w:lang w:eastAsia="zh-CN"/>
        </w:rPr>
        <w:t xml:space="preserve">, </w:t>
      </w:r>
      <w:r w:rsidR="001A7F01">
        <w:rPr>
          <w:rFonts w:ascii="Times New Roman" w:hAnsi="Times New Roman" w:cs="Times New Roman"/>
          <w:noProof/>
          <w:sz w:val="24"/>
          <w:szCs w:val="24"/>
          <w:lang w:eastAsia="zh-CN"/>
        </w:rPr>
        <w:t>seven</w:t>
      </w:r>
      <w:r>
        <w:rPr>
          <w:rFonts w:ascii="Times New Roman" w:hAnsi="Times New Roman" w:cs="Times New Roman"/>
          <w:noProof/>
          <w:sz w:val="24"/>
          <w:szCs w:val="24"/>
          <w:lang w:eastAsia="zh-CN"/>
        </w:rPr>
        <w:t xml:space="preserve"> Member States proposed to </w:t>
      </w:r>
      <w:r w:rsidR="006F3581">
        <w:rPr>
          <w:rFonts w:ascii="Times New Roman" w:hAnsi="Times New Roman" w:cs="Times New Roman"/>
          <w:noProof/>
          <w:sz w:val="24"/>
          <w:szCs w:val="24"/>
          <w:lang w:eastAsia="zh-CN"/>
        </w:rPr>
        <w:t xml:space="preserve">consider </w:t>
      </w:r>
      <w:r>
        <w:rPr>
          <w:rFonts w:ascii="Times New Roman" w:hAnsi="Times New Roman" w:cs="Times New Roman"/>
          <w:noProof/>
          <w:sz w:val="24"/>
          <w:szCs w:val="24"/>
          <w:lang w:eastAsia="zh-CN"/>
        </w:rPr>
        <w:t>postpon</w:t>
      </w:r>
      <w:r w:rsidR="006F3581">
        <w:rPr>
          <w:rFonts w:ascii="Times New Roman" w:hAnsi="Times New Roman" w:cs="Times New Roman"/>
          <w:noProof/>
          <w:sz w:val="24"/>
          <w:szCs w:val="24"/>
          <w:lang w:eastAsia="zh-CN"/>
        </w:rPr>
        <w:t>ing</w:t>
      </w:r>
      <w:r>
        <w:rPr>
          <w:rFonts w:ascii="Times New Roman" w:hAnsi="Times New Roman" w:cs="Times New Roman"/>
          <w:noProof/>
          <w:sz w:val="24"/>
          <w:szCs w:val="24"/>
          <w:lang w:eastAsia="zh-CN"/>
        </w:rPr>
        <w:t xml:space="preserve"> the </w:t>
      </w:r>
      <w:r w:rsidR="00B506C9">
        <w:rPr>
          <w:rFonts w:ascii="Times New Roman" w:hAnsi="Times New Roman" w:cs="Times New Roman"/>
          <w:noProof/>
          <w:sz w:val="24"/>
          <w:szCs w:val="24"/>
          <w:lang w:eastAsia="zh-CN"/>
        </w:rPr>
        <w:t>date of</w:t>
      </w:r>
      <w:r>
        <w:rPr>
          <w:rFonts w:ascii="Times New Roman" w:hAnsi="Times New Roman" w:cs="Times New Roman"/>
          <w:noProof/>
          <w:sz w:val="24"/>
          <w:szCs w:val="24"/>
          <w:lang w:eastAsia="zh-CN"/>
        </w:rPr>
        <w:t xml:space="preserve"> application of the Regulation.</w:t>
      </w:r>
    </w:p>
    <w:p w14:paraId="7643DD37" w14:textId="11C16AB7" w:rsidR="0047249C" w:rsidRDefault="006B7243"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Based on</w:t>
      </w:r>
      <w:r w:rsidR="0047249C">
        <w:rPr>
          <w:rFonts w:ascii="Times New Roman" w:hAnsi="Times New Roman" w:cs="Times New Roman"/>
          <w:noProof/>
          <w:sz w:val="24"/>
          <w:szCs w:val="24"/>
          <w:lang w:eastAsia="zh-CN"/>
        </w:rPr>
        <w:t xml:space="preserve"> the feedback received, the Commission informed the Member States in July 2021</w:t>
      </w:r>
      <w:r w:rsidR="0047249C">
        <w:rPr>
          <w:rStyle w:val="FootnoteReference"/>
          <w:rFonts w:ascii="Times New Roman" w:hAnsi="Times New Roman" w:cs="Times New Roman"/>
          <w:noProof/>
          <w:sz w:val="24"/>
          <w:szCs w:val="24"/>
          <w:lang w:eastAsia="zh-CN"/>
        </w:rPr>
        <w:footnoteReference w:id="44"/>
      </w:r>
      <w:r w:rsidR="0047249C">
        <w:rPr>
          <w:rFonts w:ascii="Times New Roman" w:hAnsi="Times New Roman" w:cs="Times New Roman"/>
          <w:noProof/>
          <w:sz w:val="24"/>
          <w:szCs w:val="24"/>
          <w:lang w:eastAsia="zh-CN"/>
        </w:rPr>
        <w:t xml:space="preserve"> </w:t>
      </w:r>
      <w:r w:rsidR="00D35716">
        <w:rPr>
          <w:rFonts w:ascii="Times New Roman" w:hAnsi="Times New Roman" w:cs="Times New Roman"/>
          <w:noProof/>
          <w:sz w:val="24"/>
          <w:szCs w:val="24"/>
          <w:lang w:eastAsia="zh-CN"/>
        </w:rPr>
        <w:t xml:space="preserve"> that</w:t>
      </w:r>
      <w:r w:rsidR="0047249C">
        <w:rPr>
          <w:rFonts w:ascii="Times New Roman" w:hAnsi="Times New Roman" w:cs="Times New Roman"/>
          <w:noProof/>
          <w:sz w:val="24"/>
          <w:szCs w:val="24"/>
          <w:lang w:eastAsia="zh-CN"/>
        </w:rPr>
        <w:t xml:space="preserve"> </w:t>
      </w:r>
      <w:r w:rsidR="006F3581">
        <w:rPr>
          <w:rFonts w:ascii="Times New Roman" w:hAnsi="Times New Roman" w:cs="Times New Roman"/>
          <w:noProof/>
          <w:sz w:val="24"/>
          <w:szCs w:val="24"/>
          <w:lang w:eastAsia="zh-CN"/>
        </w:rPr>
        <w:t>it had</w:t>
      </w:r>
      <w:r w:rsidR="0047249C" w:rsidRPr="002851DF">
        <w:rPr>
          <w:rFonts w:ascii="Times New Roman" w:hAnsi="Times New Roman" w:cs="Times New Roman"/>
          <w:noProof/>
          <w:sz w:val="24"/>
          <w:szCs w:val="24"/>
          <w:lang w:eastAsia="zh-CN"/>
        </w:rPr>
        <w:t xml:space="preserve"> decided not to </w:t>
      </w:r>
      <w:r w:rsidR="006F3581">
        <w:rPr>
          <w:rFonts w:ascii="Times New Roman" w:hAnsi="Times New Roman" w:cs="Times New Roman"/>
          <w:noProof/>
          <w:sz w:val="24"/>
          <w:szCs w:val="24"/>
          <w:lang w:eastAsia="zh-CN"/>
        </w:rPr>
        <w:t xml:space="preserve">propose to </w:t>
      </w:r>
      <w:r w:rsidR="0047249C" w:rsidRPr="002851DF">
        <w:rPr>
          <w:rFonts w:ascii="Times New Roman" w:hAnsi="Times New Roman" w:cs="Times New Roman"/>
          <w:noProof/>
          <w:sz w:val="24"/>
          <w:szCs w:val="24"/>
          <w:lang w:eastAsia="zh-CN"/>
        </w:rPr>
        <w:t>postpone the entry into application of the Regulation in order not</w:t>
      </w:r>
      <w:r w:rsidR="0047249C">
        <w:rPr>
          <w:rFonts w:ascii="Times New Roman" w:hAnsi="Times New Roman" w:cs="Times New Roman"/>
          <w:noProof/>
          <w:sz w:val="24"/>
          <w:szCs w:val="24"/>
          <w:lang w:eastAsia="zh-CN"/>
        </w:rPr>
        <w:t xml:space="preserve"> to</w:t>
      </w:r>
      <w:r w:rsidR="0047249C" w:rsidRPr="002851DF">
        <w:rPr>
          <w:rFonts w:ascii="Times New Roman" w:hAnsi="Times New Roman" w:cs="Times New Roman"/>
          <w:noProof/>
          <w:sz w:val="24"/>
          <w:szCs w:val="24"/>
          <w:lang w:eastAsia="zh-CN"/>
        </w:rPr>
        <w:t xml:space="preserve"> jeopardise the planned rollout of Member States that </w:t>
      </w:r>
      <w:r w:rsidR="0047249C">
        <w:rPr>
          <w:rFonts w:ascii="Times New Roman" w:hAnsi="Times New Roman" w:cs="Times New Roman"/>
          <w:noProof/>
          <w:sz w:val="24"/>
          <w:szCs w:val="24"/>
          <w:lang w:eastAsia="zh-CN"/>
        </w:rPr>
        <w:t>were</w:t>
      </w:r>
      <w:r w:rsidR="0047249C" w:rsidRPr="002851DF">
        <w:rPr>
          <w:rFonts w:ascii="Times New Roman" w:hAnsi="Times New Roman" w:cs="Times New Roman"/>
          <w:noProof/>
          <w:sz w:val="24"/>
          <w:szCs w:val="24"/>
          <w:lang w:eastAsia="zh-CN"/>
        </w:rPr>
        <w:t xml:space="preserve"> ready to issue documents compliant with the requirements of </w:t>
      </w:r>
      <w:r w:rsidR="0047249C">
        <w:rPr>
          <w:rFonts w:ascii="Times New Roman" w:hAnsi="Times New Roman" w:cs="Times New Roman"/>
          <w:noProof/>
          <w:sz w:val="24"/>
          <w:szCs w:val="24"/>
          <w:lang w:eastAsia="zh-CN"/>
        </w:rPr>
        <w:t xml:space="preserve">the Regulation </w:t>
      </w:r>
      <w:r w:rsidR="0047249C" w:rsidRPr="002851DF">
        <w:rPr>
          <w:rFonts w:ascii="Times New Roman" w:hAnsi="Times New Roman" w:cs="Times New Roman"/>
          <w:noProof/>
          <w:sz w:val="24"/>
          <w:szCs w:val="24"/>
          <w:lang w:eastAsia="zh-CN"/>
        </w:rPr>
        <w:t>by 2 August 2021.</w:t>
      </w:r>
    </w:p>
    <w:p w14:paraId="248A6CBC" w14:textId="3BBFB71C" w:rsidR="0047249C" w:rsidRPr="002851DF" w:rsidRDefault="0047249C" w:rsidP="00166BBD">
      <w:pPr>
        <w:spacing w:after="240" w:line="240" w:lineRule="auto"/>
        <w:jc w:val="both"/>
        <w:rPr>
          <w:rFonts w:ascii="Times New Roman" w:hAnsi="Times New Roman" w:cs="Times New Roman"/>
          <w:noProof/>
          <w:sz w:val="24"/>
          <w:szCs w:val="24"/>
          <w:lang w:val="en-GB" w:eastAsia="zh-CN"/>
        </w:rPr>
      </w:pPr>
      <w:r>
        <w:rPr>
          <w:rFonts w:ascii="Times New Roman" w:hAnsi="Times New Roman" w:cs="Times New Roman"/>
          <w:noProof/>
          <w:sz w:val="24"/>
          <w:szCs w:val="24"/>
          <w:lang w:eastAsia="zh-CN"/>
        </w:rPr>
        <w:t>The Commission suggested that</w:t>
      </w:r>
      <w:r w:rsidR="001A7F01">
        <w:rPr>
          <w:rFonts w:ascii="Times New Roman" w:hAnsi="Times New Roman" w:cs="Times New Roman"/>
          <w:noProof/>
          <w:sz w:val="24"/>
          <w:szCs w:val="24"/>
          <w:lang w:eastAsia="zh-CN"/>
        </w:rPr>
        <w:t xml:space="preserve"> those</w:t>
      </w:r>
      <w:r>
        <w:rPr>
          <w:rFonts w:ascii="Times New Roman" w:hAnsi="Times New Roman" w:cs="Times New Roman"/>
          <w:noProof/>
          <w:sz w:val="24"/>
          <w:szCs w:val="24"/>
          <w:lang w:eastAsia="zh-CN"/>
        </w:rPr>
        <w:t xml:space="preserve"> </w:t>
      </w:r>
      <w:r w:rsidRPr="002851DF">
        <w:rPr>
          <w:rFonts w:ascii="Times New Roman" w:hAnsi="Times New Roman" w:cs="Times New Roman"/>
          <w:noProof/>
          <w:sz w:val="24"/>
          <w:szCs w:val="24"/>
          <w:lang w:eastAsia="zh-CN"/>
        </w:rPr>
        <w:t xml:space="preserve">Member States </w:t>
      </w:r>
      <w:r w:rsidR="001A7F01">
        <w:rPr>
          <w:rFonts w:ascii="Times New Roman" w:hAnsi="Times New Roman" w:cs="Times New Roman"/>
          <w:noProof/>
          <w:sz w:val="24"/>
          <w:szCs w:val="24"/>
          <w:lang w:eastAsia="zh-CN"/>
        </w:rPr>
        <w:t>that had</w:t>
      </w:r>
      <w:r w:rsidRPr="002851DF">
        <w:rPr>
          <w:rFonts w:ascii="Times New Roman" w:hAnsi="Times New Roman" w:cs="Times New Roman"/>
          <w:noProof/>
          <w:sz w:val="24"/>
          <w:szCs w:val="24"/>
          <w:lang w:eastAsia="zh-CN"/>
        </w:rPr>
        <w:t xml:space="preserve"> indicated </w:t>
      </w:r>
      <w:r w:rsidR="006F3581">
        <w:rPr>
          <w:rFonts w:ascii="Times New Roman" w:hAnsi="Times New Roman" w:cs="Times New Roman"/>
          <w:noProof/>
          <w:sz w:val="24"/>
          <w:szCs w:val="24"/>
          <w:lang w:eastAsia="zh-CN"/>
        </w:rPr>
        <w:t xml:space="preserve">potential </w:t>
      </w:r>
      <w:r w:rsidRPr="002851DF">
        <w:rPr>
          <w:rFonts w:ascii="Times New Roman" w:hAnsi="Times New Roman" w:cs="Times New Roman"/>
          <w:noProof/>
          <w:sz w:val="24"/>
          <w:szCs w:val="24"/>
          <w:lang w:eastAsia="zh-CN"/>
        </w:rPr>
        <w:t>delays</w:t>
      </w:r>
      <w:r>
        <w:rPr>
          <w:rFonts w:ascii="Times New Roman" w:hAnsi="Times New Roman" w:cs="Times New Roman"/>
          <w:noProof/>
          <w:sz w:val="24"/>
          <w:szCs w:val="24"/>
          <w:lang w:eastAsia="zh-CN"/>
        </w:rPr>
        <w:t xml:space="preserve"> take</w:t>
      </w:r>
      <w:r w:rsidRPr="002851DF">
        <w:rPr>
          <w:rFonts w:ascii="Times New Roman" w:hAnsi="Times New Roman" w:cs="Times New Roman"/>
          <w:noProof/>
          <w:sz w:val="24"/>
          <w:szCs w:val="24"/>
          <w:lang w:eastAsia="zh-CN"/>
        </w:rPr>
        <w:t xml:space="preserve"> mitigating measures to make sure </w:t>
      </w:r>
      <w:r w:rsidRPr="002851DF">
        <w:rPr>
          <w:rFonts w:ascii="Times New Roman" w:hAnsi="Times New Roman" w:cs="Times New Roman"/>
          <w:noProof/>
          <w:sz w:val="24"/>
          <w:szCs w:val="24"/>
          <w:lang w:val="en-GB" w:eastAsia="zh-CN"/>
        </w:rPr>
        <w:t xml:space="preserve">that the validity period indicated on the document duly corresponds to </w:t>
      </w:r>
      <w:r>
        <w:rPr>
          <w:rFonts w:ascii="Times New Roman" w:hAnsi="Times New Roman" w:cs="Times New Roman"/>
          <w:noProof/>
          <w:sz w:val="24"/>
          <w:szCs w:val="24"/>
          <w:lang w:val="en-GB" w:eastAsia="zh-CN"/>
        </w:rPr>
        <w:t xml:space="preserve">the </w:t>
      </w:r>
      <w:r w:rsidRPr="003F5A61">
        <w:rPr>
          <w:rFonts w:ascii="Times New Roman" w:hAnsi="Times New Roman" w:cs="Times New Roman"/>
          <w:noProof/>
          <w:sz w:val="24"/>
          <w:szCs w:val="24"/>
          <w:lang w:val="en-GB" w:eastAsia="zh-CN"/>
        </w:rPr>
        <w:t>phasing-out periods</w:t>
      </w:r>
      <w:r w:rsidRPr="002851DF">
        <w:rPr>
          <w:rFonts w:ascii="Times New Roman" w:hAnsi="Times New Roman" w:cs="Times New Roman"/>
          <w:noProof/>
          <w:sz w:val="24"/>
          <w:szCs w:val="24"/>
          <w:lang w:val="en-GB" w:eastAsia="zh-CN"/>
        </w:rPr>
        <w:t xml:space="preserve"> established by Articles 5 and 8 of </w:t>
      </w:r>
      <w:r>
        <w:rPr>
          <w:rFonts w:ascii="Times New Roman" w:hAnsi="Times New Roman" w:cs="Times New Roman"/>
          <w:noProof/>
          <w:sz w:val="24"/>
          <w:szCs w:val="24"/>
          <w:lang w:val="en-GB" w:eastAsia="zh-CN"/>
        </w:rPr>
        <w:t>the Regulation</w:t>
      </w:r>
      <w:r w:rsidR="006B7243">
        <w:rPr>
          <w:rFonts w:ascii="Times New Roman" w:hAnsi="Times New Roman" w:cs="Times New Roman"/>
          <w:noProof/>
          <w:sz w:val="24"/>
          <w:szCs w:val="24"/>
          <w:lang w:val="en-GB" w:eastAsia="zh-CN"/>
        </w:rPr>
        <w:t xml:space="preserve"> (see Section 2.2)</w:t>
      </w:r>
      <w:r w:rsidRPr="002851DF">
        <w:rPr>
          <w:rFonts w:ascii="Times New Roman" w:hAnsi="Times New Roman" w:cs="Times New Roman"/>
          <w:noProof/>
          <w:sz w:val="24"/>
          <w:szCs w:val="24"/>
          <w:lang w:val="en-GB" w:eastAsia="zh-CN"/>
        </w:rPr>
        <w:t>.</w:t>
      </w:r>
    </w:p>
    <w:p w14:paraId="6D7A358C" w14:textId="668DA1DF" w:rsidR="0047249C" w:rsidRPr="00045E9C" w:rsidRDefault="0047249C" w:rsidP="00166BBD">
      <w:pPr>
        <w:spacing w:after="240" w:line="240" w:lineRule="auto"/>
        <w:jc w:val="both"/>
        <w:rPr>
          <w:rFonts w:ascii="Times New Roman" w:hAnsi="Times New Roman" w:cs="Times New Roman"/>
          <w:noProof/>
          <w:sz w:val="24"/>
          <w:szCs w:val="24"/>
          <w:lang w:val="en-GB" w:eastAsia="zh-CN"/>
        </w:rPr>
      </w:pPr>
      <w:r w:rsidRPr="002851DF">
        <w:rPr>
          <w:rFonts w:ascii="Times New Roman" w:hAnsi="Times New Roman" w:cs="Times New Roman"/>
          <w:noProof/>
          <w:sz w:val="24"/>
          <w:szCs w:val="24"/>
          <w:lang w:val="en-GB" w:eastAsia="zh-CN"/>
        </w:rPr>
        <w:t>This would mean, for example, that non-compliant identity cards issued after 2 August 2021</w:t>
      </w:r>
      <w:r w:rsidRPr="00D81653">
        <w:rPr>
          <w:rFonts w:ascii="Times New Roman" w:hAnsi="Times New Roman"/>
          <w:noProof/>
          <w:sz w:val="24"/>
          <w:lang w:val="en-GB"/>
        </w:rPr>
        <w:t xml:space="preserve"> and covered by the </w:t>
      </w:r>
      <w:r w:rsidRPr="002851DF">
        <w:rPr>
          <w:rFonts w:ascii="Times New Roman" w:hAnsi="Times New Roman" w:cs="Times New Roman"/>
          <w:noProof/>
          <w:sz w:val="24"/>
          <w:szCs w:val="24"/>
          <w:lang w:val="en-GB" w:eastAsia="zh-CN"/>
        </w:rPr>
        <w:t>longer phasing-out period should indicate</w:t>
      </w:r>
      <w:r w:rsidR="00045E9C">
        <w:rPr>
          <w:rFonts w:ascii="Times New Roman" w:hAnsi="Times New Roman" w:cs="Times New Roman"/>
          <w:noProof/>
          <w:sz w:val="24"/>
          <w:szCs w:val="24"/>
          <w:lang w:val="en-GB" w:eastAsia="zh-CN"/>
        </w:rPr>
        <w:t xml:space="preserve"> 3 August 2031 at the latest as their validity end date</w:t>
      </w:r>
      <w:r w:rsidRPr="002851DF">
        <w:rPr>
          <w:rFonts w:ascii="Times New Roman" w:hAnsi="Times New Roman" w:cs="Times New Roman"/>
          <w:noProof/>
          <w:sz w:val="24"/>
          <w:szCs w:val="24"/>
          <w:lang w:val="en-GB" w:eastAsia="zh-CN"/>
        </w:rPr>
        <w:t>,</w:t>
      </w:r>
      <w:r w:rsidR="00045E9C">
        <w:rPr>
          <w:rFonts w:ascii="Times New Roman" w:hAnsi="Times New Roman" w:cs="Times New Roman"/>
          <w:noProof/>
          <w:sz w:val="24"/>
          <w:szCs w:val="24"/>
          <w:lang w:val="en-GB" w:eastAsia="zh-CN"/>
        </w:rPr>
        <w:t xml:space="preserve"> </w:t>
      </w:r>
      <w:r w:rsidRPr="002851DF">
        <w:rPr>
          <w:rFonts w:ascii="Times New Roman" w:hAnsi="Times New Roman" w:cs="Times New Roman"/>
          <w:noProof/>
          <w:sz w:val="24"/>
          <w:szCs w:val="24"/>
          <w:lang w:val="en-GB" w:eastAsia="zh-CN"/>
        </w:rPr>
        <w:t xml:space="preserve">even if a Member State normally issues such identity cards with a validity period of </w:t>
      </w:r>
      <w:r>
        <w:rPr>
          <w:rFonts w:ascii="Times New Roman" w:hAnsi="Times New Roman" w:cs="Times New Roman"/>
          <w:noProof/>
          <w:sz w:val="24"/>
          <w:szCs w:val="24"/>
          <w:lang w:val="en-GB" w:eastAsia="zh-CN"/>
        </w:rPr>
        <w:t>10</w:t>
      </w:r>
      <w:r w:rsidRPr="002851DF">
        <w:rPr>
          <w:rFonts w:ascii="Times New Roman" w:hAnsi="Times New Roman" w:cs="Times New Roman"/>
          <w:noProof/>
          <w:sz w:val="24"/>
          <w:szCs w:val="24"/>
          <w:lang w:val="en-GB" w:eastAsia="zh-CN"/>
        </w:rPr>
        <w:t xml:space="preserve"> years. Otherwise, the identity cards concerned would cease to be valid by operation of Article 5 of </w:t>
      </w:r>
      <w:r>
        <w:rPr>
          <w:rFonts w:ascii="Times New Roman" w:hAnsi="Times New Roman" w:cs="Times New Roman"/>
          <w:noProof/>
          <w:sz w:val="24"/>
          <w:szCs w:val="24"/>
          <w:lang w:val="en-GB" w:eastAsia="zh-CN"/>
        </w:rPr>
        <w:t xml:space="preserve">the </w:t>
      </w:r>
      <w:r w:rsidRPr="002851DF">
        <w:rPr>
          <w:rFonts w:ascii="Times New Roman" w:hAnsi="Times New Roman" w:cs="Times New Roman"/>
          <w:noProof/>
          <w:sz w:val="24"/>
          <w:szCs w:val="24"/>
          <w:lang w:val="en-GB" w:eastAsia="zh-CN"/>
        </w:rPr>
        <w:t>Regulation while still appearing to be valid due to a later date indicated on the document.</w:t>
      </w:r>
      <w:r>
        <w:rPr>
          <w:rFonts w:ascii="Times New Roman" w:hAnsi="Times New Roman" w:cs="Times New Roman"/>
          <w:noProof/>
          <w:sz w:val="24"/>
          <w:szCs w:val="24"/>
          <w:lang w:val="en-GB" w:eastAsia="zh-CN"/>
        </w:rPr>
        <w:t xml:space="preserve"> </w:t>
      </w:r>
      <w:r w:rsidRPr="002851DF">
        <w:rPr>
          <w:rFonts w:ascii="Times New Roman" w:hAnsi="Times New Roman" w:cs="Times New Roman"/>
          <w:noProof/>
          <w:sz w:val="24"/>
          <w:szCs w:val="24"/>
          <w:lang w:val="en-GB" w:eastAsia="zh-CN"/>
        </w:rPr>
        <w:t>Similarly, non-compliant identity cards issued after 2 August 2021 and covered by the shorter phasing-out period should indicate</w:t>
      </w:r>
      <w:r w:rsidR="00045E9C">
        <w:rPr>
          <w:rFonts w:ascii="Times New Roman" w:hAnsi="Times New Roman" w:cs="Times New Roman"/>
          <w:noProof/>
          <w:sz w:val="24"/>
          <w:szCs w:val="24"/>
          <w:lang w:val="en-GB" w:eastAsia="zh-CN"/>
        </w:rPr>
        <w:t xml:space="preserve"> 3 August 2026 at the latest, as their validity end date.</w:t>
      </w:r>
    </w:p>
    <w:p w14:paraId="0465201E" w14:textId="6A2C6ECC" w:rsidR="0047249C" w:rsidRDefault="0047249C"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val="en-GB" w:eastAsia="zh-CN"/>
        </w:rPr>
        <w:t>At the same time, the Commission</w:t>
      </w:r>
      <w:r w:rsidRPr="002851DF">
        <w:rPr>
          <w:rFonts w:ascii="Times New Roman" w:hAnsi="Times New Roman" w:cs="Times New Roman"/>
          <w:noProof/>
          <w:sz w:val="24"/>
          <w:szCs w:val="24"/>
          <w:lang w:eastAsia="zh-CN"/>
        </w:rPr>
        <w:t xml:space="preserve"> strongly </w:t>
      </w:r>
      <w:r w:rsidR="006B7243" w:rsidRPr="002851DF">
        <w:rPr>
          <w:rFonts w:ascii="Times New Roman" w:hAnsi="Times New Roman" w:cs="Times New Roman"/>
          <w:noProof/>
          <w:sz w:val="24"/>
          <w:szCs w:val="24"/>
          <w:lang w:eastAsia="zh-CN"/>
        </w:rPr>
        <w:t>encourage</w:t>
      </w:r>
      <w:r w:rsidR="006B7243">
        <w:rPr>
          <w:rFonts w:ascii="Times New Roman" w:hAnsi="Times New Roman" w:cs="Times New Roman"/>
          <w:noProof/>
          <w:sz w:val="24"/>
          <w:szCs w:val="24"/>
          <w:lang w:eastAsia="zh-CN"/>
        </w:rPr>
        <w:t>d</w:t>
      </w:r>
      <w:r w:rsidR="006B7243" w:rsidRPr="002851DF">
        <w:rPr>
          <w:rFonts w:ascii="Times New Roman" w:hAnsi="Times New Roman" w:cs="Times New Roman"/>
          <w:noProof/>
          <w:sz w:val="24"/>
          <w:szCs w:val="24"/>
          <w:lang w:eastAsia="zh-CN"/>
        </w:rPr>
        <w:t xml:space="preserve"> </w:t>
      </w:r>
      <w:r w:rsidRPr="002851DF">
        <w:rPr>
          <w:rFonts w:ascii="Times New Roman" w:hAnsi="Times New Roman" w:cs="Times New Roman"/>
          <w:noProof/>
          <w:sz w:val="24"/>
          <w:szCs w:val="24"/>
          <w:lang w:eastAsia="zh-CN"/>
        </w:rPr>
        <w:t>all Member States to ensure that they issue</w:t>
      </w:r>
      <w:r>
        <w:rPr>
          <w:rFonts w:ascii="Times New Roman" w:hAnsi="Times New Roman" w:cs="Times New Roman"/>
          <w:noProof/>
          <w:sz w:val="24"/>
          <w:szCs w:val="24"/>
          <w:lang w:eastAsia="zh-CN"/>
        </w:rPr>
        <w:t>d</w:t>
      </w:r>
      <w:r w:rsidRPr="002851DF">
        <w:rPr>
          <w:rFonts w:ascii="Times New Roman" w:hAnsi="Times New Roman" w:cs="Times New Roman"/>
          <w:noProof/>
          <w:sz w:val="24"/>
          <w:szCs w:val="24"/>
          <w:lang w:eastAsia="zh-CN"/>
        </w:rPr>
        <w:t xml:space="preserve"> documents compliant with </w:t>
      </w:r>
      <w:r>
        <w:rPr>
          <w:rFonts w:ascii="Times New Roman" w:hAnsi="Times New Roman" w:cs="Times New Roman"/>
          <w:noProof/>
          <w:sz w:val="24"/>
          <w:szCs w:val="24"/>
          <w:lang w:eastAsia="zh-CN"/>
        </w:rPr>
        <w:t xml:space="preserve">the </w:t>
      </w:r>
      <w:r w:rsidRPr="002851DF">
        <w:rPr>
          <w:rFonts w:ascii="Times New Roman" w:hAnsi="Times New Roman" w:cs="Times New Roman"/>
          <w:noProof/>
          <w:sz w:val="24"/>
          <w:szCs w:val="24"/>
          <w:lang w:eastAsia="zh-CN"/>
        </w:rPr>
        <w:t>Regulation as of its entry into application.</w:t>
      </w:r>
    </w:p>
    <w:p w14:paraId="368DD3E0" w14:textId="77777777" w:rsidR="0047249C" w:rsidRDefault="0047249C"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In terms of mitigating measures, the Member States concerned indicated that they had limited the validity of the documents concerned and/or notified the holders accordingly. </w:t>
      </w:r>
    </w:p>
    <w:p w14:paraId="7A05FBF5" w14:textId="79CE9740" w:rsidR="0047249C" w:rsidRDefault="0047249C" w:rsidP="00166BBD">
      <w:pPr>
        <w:pStyle w:val="Heading3"/>
        <w:spacing w:line="240" w:lineRule="auto"/>
        <w:ind w:left="720"/>
        <w:rPr>
          <w:noProof/>
          <w:lang w:val="en-IE"/>
        </w:rPr>
      </w:pPr>
      <w:r>
        <w:rPr>
          <w:noProof/>
          <w:lang w:val="en-IE"/>
        </w:rPr>
        <w:t xml:space="preserve">Infringement procedures </w:t>
      </w:r>
      <w:r w:rsidR="006F3581">
        <w:rPr>
          <w:noProof/>
          <w:lang w:val="en-IE"/>
        </w:rPr>
        <w:t xml:space="preserve">opened </w:t>
      </w:r>
      <w:r>
        <w:rPr>
          <w:noProof/>
          <w:lang w:val="en-IE"/>
        </w:rPr>
        <w:t>by the Commission</w:t>
      </w:r>
    </w:p>
    <w:p w14:paraId="529FE010" w14:textId="12DE795A" w:rsidR="0047249C" w:rsidRPr="00405AC7" w:rsidRDefault="0047249C" w:rsidP="00166BBD">
      <w:pPr>
        <w:shd w:val="clear" w:color="auto" w:fill="FFFFFF" w:themeFill="background1"/>
        <w:spacing w:after="240" w:line="240" w:lineRule="auto"/>
        <w:jc w:val="both"/>
        <w:rPr>
          <w:rFonts w:ascii="Times New Roman" w:eastAsia="Times New Roman" w:hAnsi="Times New Roman" w:cs="Times New Roman"/>
          <w:noProof/>
          <w:sz w:val="24"/>
          <w:szCs w:val="20"/>
          <w:lang w:eastAsia="fr-BE"/>
        </w:rPr>
      </w:pPr>
      <w:r w:rsidRPr="00405AC7">
        <w:rPr>
          <w:rFonts w:ascii="Times New Roman" w:hAnsi="Times New Roman" w:cs="Times New Roman"/>
          <w:noProof/>
          <w:sz w:val="24"/>
          <w:szCs w:val="24"/>
        </w:rPr>
        <w:t>On</w:t>
      </w:r>
      <w:r w:rsidR="006B7243">
        <w:rPr>
          <w:rFonts w:ascii="Times New Roman" w:hAnsi="Times New Roman" w:cs="Times New Roman"/>
          <w:noProof/>
          <w:sz w:val="24"/>
          <w:szCs w:val="24"/>
        </w:rPr>
        <w:t xml:space="preserve"> 14 July </w:t>
      </w:r>
      <w:r w:rsidRPr="00405AC7">
        <w:rPr>
          <w:rFonts w:ascii="Times New Roman" w:hAnsi="Times New Roman" w:cs="Times New Roman"/>
          <w:noProof/>
          <w:sz w:val="24"/>
          <w:szCs w:val="24"/>
        </w:rPr>
        <w:t xml:space="preserve">2023, the Commission </w:t>
      </w:r>
      <w:r w:rsidR="006F3581">
        <w:rPr>
          <w:rFonts w:ascii="Times New Roman" w:hAnsi="Times New Roman" w:cs="Times New Roman"/>
          <w:noProof/>
          <w:sz w:val="24"/>
          <w:szCs w:val="24"/>
        </w:rPr>
        <w:t>opened</w:t>
      </w:r>
      <w:r>
        <w:rPr>
          <w:rFonts w:ascii="Times New Roman" w:hAnsi="Times New Roman" w:cs="Times New Roman"/>
          <w:noProof/>
          <w:sz w:val="24"/>
          <w:szCs w:val="24"/>
        </w:rPr>
        <w:t xml:space="preserve"> infringement procedures </w:t>
      </w:r>
      <w:r w:rsidRPr="00405AC7">
        <w:rPr>
          <w:rFonts w:ascii="Times New Roman" w:hAnsi="Times New Roman" w:cs="Times New Roman"/>
          <w:noProof/>
          <w:sz w:val="24"/>
          <w:szCs w:val="24"/>
        </w:rPr>
        <w:t xml:space="preserve">against Bulgaria, Greece </w:t>
      </w:r>
      <w:r>
        <w:rPr>
          <w:rFonts w:ascii="Times New Roman" w:hAnsi="Times New Roman" w:cs="Times New Roman"/>
          <w:noProof/>
          <w:sz w:val="24"/>
          <w:szCs w:val="24"/>
        </w:rPr>
        <w:t xml:space="preserve">and </w:t>
      </w:r>
      <w:r w:rsidRPr="00405AC7">
        <w:rPr>
          <w:rFonts w:ascii="Times New Roman" w:hAnsi="Times New Roman" w:cs="Times New Roman"/>
          <w:noProof/>
          <w:sz w:val="24"/>
          <w:szCs w:val="24"/>
        </w:rPr>
        <w:t>Portugal for failing to implement the Regulation</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w:t>
      </w:r>
      <w:r w:rsidRPr="00405AC7">
        <w:rPr>
          <w:rFonts w:ascii="Times New Roman" w:hAnsi="Times New Roman" w:cs="Times New Roman"/>
          <w:noProof/>
          <w:sz w:val="24"/>
          <w:szCs w:val="24"/>
        </w:rPr>
        <w:t xml:space="preserve">The </w:t>
      </w:r>
      <w:r>
        <w:rPr>
          <w:rFonts w:ascii="Times New Roman" w:hAnsi="Times New Roman" w:cs="Times New Roman"/>
          <w:noProof/>
          <w:sz w:val="24"/>
          <w:szCs w:val="24"/>
        </w:rPr>
        <w:t>infringement procedures</w:t>
      </w:r>
      <w:r w:rsidRPr="00405AC7">
        <w:rPr>
          <w:rFonts w:ascii="Times New Roman" w:hAnsi="Times New Roman" w:cs="Times New Roman"/>
          <w:noProof/>
          <w:sz w:val="24"/>
          <w:szCs w:val="24"/>
        </w:rPr>
        <w:t xml:space="preserve"> concern </w:t>
      </w:r>
      <w:r>
        <w:rPr>
          <w:rFonts w:ascii="Times New Roman" w:hAnsi="Times New Roman" w:cs="Times New Roman"/>
          <w:noProof/>
          <w:sz w:val="24"/>
          <w:szCs w:val="24"/>
        </w:rPr>
        <w:t>failures by those</w:t>
      </w:r>
      <w:r w:rsidRPr="00D81653">
        <w:rPr>
          <w:rFonts w:ascii="Times New Roman" w:hAnsi="Times New Roman"/>
          <w:noProof/>
          <w:sz w:val="24"/>
        </w:rPr>
        <w:t xml:space="preserve"> </w:t>
      </w:r>
      <w:r w:rsidRPr="00405AC7">
        <w:rPr>
          <w:rFonts w:ascii="Times New Roman" w:eastAsia="Times New Roman" w:hAnsi="Times New Roman" w:cs="Times New Roman"/>
          <w:noProof/>
          <w:sz w:val="24"/>
          <w:szCs w:val="20"/>
          <w:lang w:eastAsia="fr-BE"/>
        </w:rPr>
        <w:t>Member States to issue documents covered by the scope of the Regulation</w:t>
      </w:r>
      <w:r>
        <w:rPr>
          <w:rFonts w:ascii="Times New Roman" w:eastAsia="Times New Roman" w:hAnsi="Times New Roman" w:cs="Times New Roman"/>
          <w:noProof/>
          <w:sz w:val="24"/>
          <w:szCs w:val="20"/>
          <w:lang w:eastAsia="fr-BE"/>
        </w:rPr>
        <w:t xml:space="preserve"> in a format that complies with its requirements</w:t>
      </w:r>
      <w:r w:rsidRPr="00405AC7">
        <w:rPr>
          <w:rFonts w:ascii="Times New Roman" w:eastAsia="Times New Roman" w:hAnsi="Times New Roman" w:cs="Times New Roman"/>
          <w:noProof/>
          <w:sz w:val="24"/>
          <w:szCs w:val="20"/>
          <w:lang w:eastAsia="fr-BE"/>
        </w:rPr>
        <w:t xml:space="preserve">. </w:t>
      </w:r>
    </w:p>
    <w:p w14:paraId="5A639B9B" w14:textId="2D7041D1" w:rsidR="0047249C" w:rsidRPr="00405AC7" w:rsidRDefault="0047249C" w:rsidP="00166BBD">
      <w:pPr>
        <w:spacing w:after="240" w:line="240" w:lineRule="auto"/>
        <w:jc w:val="both"/>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In the case of </w:t>
      </w:r>
      <w:r w:rsidRPr="006D240C">
        <w:rPr>
          <w:rFonts w:ascii="Times New Roman" w:eastAsia="Times New Roman" w:hAnsi="Times New Roman" w:cs="Times New Roman"/>
          <w:b/>
          <w:bCs/>
          <w:noProof/>
          <w:sz w:val="24"/>
          <w:szCs w:val="20"/>
          <w:lang w:eastAsia="fr-BE"/>
        </w:rPr>
        <w:t>Bulgaria</w:t>
      </w:r>
      <w:r>
        <w:rPr>
          <w:rFonts w:ascii="Times New Roman" w:eastAsia="Times New Roman" w:hAnsi="Times New Roman" w:cs="Times New Roman"/>
          <w:noProof/>
          <w:sz w:val="24"/>
          <w:szCs w:val="20"/>
          <w:lang w:eastAsia="fr-BE"/>
        </w:rPr>
        <w:t xml:space="preserve">, this concerns the failure to issue compliant </w:t>
      </w:r>
      <w:r w:rsidRPr="00405AC7">
        <w:rPr>
          <w:rFonts w:ascii="Times New Roman" w:eastAsia="Times New Roman" w:hAnsi="Times New Roman" w:cs="Times New Roman"/>
          <w:noProof/>
          <w:sz w:val="24"/>
          <w:szCs w:val="20"/>
          <w:lang w:eastAsia="fr-BE"/>
        </w:rPr>
        <w:t xml:space="preserve">identity cards, residence documents of </w:t>
      </w:r>
      <w:r w:rsidR="00A419D1">
        <w:rPr>
          <w:rFonts w:ascii="Times New Roman" w:eastAsia="Times New Roman" w:hAnsi="Times New Roman" w:cs="Times New Roman"/>
          <w:noProof/>
          <w:sz w:val="24"/>
          <w:szCs w:val="20"/>
          <w:lang w:eastAsia="fr-BE"/>
        </w:rPr>
        <w:t>EU</w:t>
      </w:r>
      <w:r w:rsidRPr="00405AC7">
        <w:rPr>
          <w:rFonts w:ascii="Times New Roman" w:eastAsia="Times New Roman" w:hAnsi="Times New Roman" w:cs="Times New Roman"/>
          <w:noProof/>
          <w:sz w:val="24"/>
          <w:szCs w:val="20"/>
          <w:lang w:eastAsia="fr-BE"/>
        </w:rPr>
        <w:t xml:space="preserve"> citizens and residence cards for family members of </w:t>
      </w:r>
      <w:r w:rsidR="00A419D1">
        <w:rPr>
          <w:rFonts w:ascii="Times New Roman" w:eastAsia="Times New Roman" w:hAnsi="Times New Roman" w:cs="Times New Roman"/>
          <w:noProof/>
          <w:sz w:val="24"/>
          <w:szCs w:val="20"/>
          <w:lang w:eastAsia="fr-BE"/>
        </w:rPr>
        <w:t>EU</w:t>
      </w:r>
      <w:r w:rsidRPr="00405AC7">
        <w:rPr>
          <w:rFonts w:ascii="Times New Roman" w:eastAsia="Times New Roman" w:hAnsi="Times New Roman" w:cs="Times New Roman"/>
          <w:noProof/>
          <w:sz w:val="24"/>
          <w:szCs w:val="20"/>
          <w:lang w:eastAsia="fr-BE"/>
        </w:rPr>
        <w:t xml:space="preserve"> citizens who are not nationals of a Member State.</w:t>
      </w:r>
    </w:p>
    <w:p w14:paraId="3A556253" w14:textId="77777777" w:rsidR="0047249C" w:rsidRPr="00405AC7" w:rsidRDefault="0047249C" w:rsidP="00166BBD">
      <w:pPr>
        <w:spacing w:after="240" w:line="240" w:lineRule="auto"/>
        <w:jc w:val="both"/>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In the case of </w:t>
      </w:r>
      <w:r w:rsidRPr="00D81653">
        <w:rPr>
          <w:rFonts w:ascii="Times New Roman" w:hAnsi="Times New Roman"/>
          <w:b/>
          <w:noProof/>
          <w:sz w:val="24"/>
        </w:rPr>
        <w:t>Greece</w:t>
      </w:r>
      <w:r>
        <w:rPr>
          <w:rFonts w:ascii="Times New Roman" w:eastAsia="Times New Roman" w:hAnsi="Times New Roman" w:cs="Times New Roman"/>
          <w:noProof/>
          <w:sz w:val="24"/>
          <w:szCs w:val="20"/>
          <w:lang w:eastAsia="fr-BE"/>
        </w:rPr>
        <w:t xml:space="preserve">, this concerns the failure to issue compliant </w:t>
      </w:r>
      <w:r w:rsidRPr="00405AC7">
        <w:rPr>
          <w:rFonts w:ascii="Times New Roman" w:eastAsia="Times New Roman" w:hAnsi="Times New Roman" w:cs="Times New Roman"/>
          <w:noProof/>
          <w:sz w:val="24"/>
          <w:szCs w:val="20"/>
          <w:lang w:eastAsia="fr-BE"/>
        </w:rPr>
        <w:t>identity cards.</w:t>
      </w:r>
    </w:p>
    <w:p w14:paraId="78A9DBE5" w14:textId="4699C70B" w:rsidR="0047249C" w:rsidRPr="00405AC7" w:rsidRDefault="0047249C" w:rsidP="00166BBD">
      <w:pPr>
        <w:spacing w:after="240" w:line="240" w:lineRule="auto"/>
        <w:jc w:val="both"/>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In the case of </w:t>
      </w:r>
      <w:r w:rsidRPr="00D81653">
        <w:rPr>
          <w:rFonts w:ascii="Times New Roman" w:hAnsi="Times New Roman"/>
          <w:b/>
          <w:noProof/>
          <w:sz w:val="24"/>
        </w:rPr>
        <w:t>Portugal</w:t>
      </w:r>
      <w:r>
        <w:rPr>
          <w:rFonts w:ascii="Times New Roman" w:eastAsia="Times New Roman" w:hAnsi="Times New Roman" w:cs="Times New Roman"/>
          <w:noProof/>
          <w:sz w:val="24"/>
          <w:szCs w:val="20"/>
          <w:lang w:eastAsia="fr-BE"/>
        </w:rPr>
        <w:t xml:space="preserve">, this concerns the failure to issue compliant </w:t>
      </w:r>
      <w:r w:rsidRPr="00405AC7">
        <w:rPr>
          <w:rFonts w:ascii="Times New Roman" w:eastAsia="Times New Roman" w:hAnsi="Times New Roman" w:cs="Times New Roman"/>
          <w:noProof/>
          <w:sz w:val="24"/>
          <w:szCs w:val="20"/>
          <w:lang w:eastAsia="fr-BE"/>
        </w:rPr>
        <w:t xml:space="preserve">identity cards and residence documents of </w:t>
      </w:r>
      <w:r w:rsidR="00A419D1">
        <w:rPr>
          <w:rFonts w:ascii="Times New Roman" w:eastAsia="Times New Roman" w:hAnsi="Times New Roman" w:cs="Times New Roman"/>
          <w:noProof/>
          <w:sz w:val="24"/>
          <w:szCs w:val="20"/>
          <w:lang w:eastAsia="fr-BE"/>
        </w:rPr>
        <w:t>EU</w:t>
      </w:r>
      <w:r w:rsidRPr="00405AC7">
        <w:rPr>
          <w:rFonts w:ascii="Times New Roman" w:eastAsia="Times New Roman" w:hAnsi="Times New Roman" w:cs="Times New Roman"/>
          <w:noProof/>
          <w:sz w:val="24"/>
          <w:szCs w:val="20"/>
          <w:lang w:eastAsia="fr-BE"/>
        </w:rPr>
        <w:t xml:space="preserve"> citizens.</w:t>
      </w:r>
    </w:p>
    <w:p w14:paraId="0B586944" w14:textId="65B4B939" w:rsidR="0047249C" w:rsidRDefault="0047249C" w:rsidP="00166BBD">
      <w:pPr>
        <w:pStyle w:val="Heading3"/>
        <w:spacing w:line="240" w:lineRule="auto"/>
        <w:ind w:left="720"/>
        <w:rPr>
          <w:noProof/>
          <w:lang w:val="en-IE"/>
        </w:rPr>
      </w:pPr>
      <w:r>
        <w:rPr>
          <w:noProof/>
          <w:lang w:val="en-IE"/>
        </w:rPr>
        <w:t xml:space="preserve">Court cases </w:t>
      </w:r>
      <w:r w:rsidR="006B7243">
        <w:rPr>
          <w:noProof/>
          <w:lang w:val="en-IE"/>
        </w:rPr>
        <w:t xml:space="preserve">with relevance for </w:t>
      </w:r>
      <w:r>
        <w:rPr>
          <w:noProof/>
          <w:lang w:val="en-IE"/>
        </w:rPr>
        <w:t>the Regulation</w:t>
      </w:r>
    </w:p>
    <w:p w14:paraId="59CB0967" w14:textId="53DC255C" w:rsidR="0047249C" w:rsidRDefault="0047249C" w:rsidP="00166BBD">
      <w:pPr>
        <w:spacing w:after="240" w:line="240" w:lineRule="auto"/>
        <w:jc w:val="both"/>
        <w:rPr>
          <w:rFonts w:ascii="Times New Roman" w:hAnsi="Times New Roman" w:cs="Times New Roman"/>
          <w:noProof/>
          <w:sz w:val="24"/>
          <w:szCs w:val="24"/>
          <w:lang w:eastAsia="zh-CN"/>
        </w:rPr>
      </w:pPr>
      <w:r w:rsidRPr="00166FC5">
        <w:rPr>
          <w:rFonts w:ascii="Times New Roman" w:hAnsi="Times New Roman" w:cs="Times New Roman"/>
          <w:noProof/>
          <w:sz w:val="24"/>
          <w:szCs w:val="24"/>
          <w:lang w:eastAsia="zh-CN"/>
        </w:rPr>
        <w:t xml:space="preserve">Since </w:t>
      </w:r>
      <w:r w:rsidR="001A2938">
        <w:rPr>
          <w:rFonts w:ascii="Times New Roman" w:hAnsi="Times New Roman" w:cs="Times New Roman"/>
          <w:noProof/>
          <w:sz w:val="24"/>
          <w:szCs w:val="24"/>
          <w:lang w:eastAsia="zh-CN"/>
        </w:rPr>
        <w:t>its</w:t>
      </w:r>
      <w:r w:rsidR="001A2938" w:rsidRPr="00166FC5">
        <w:rPr>
          <w:rFonts w:ascii="Times New Roman" w:hAnsi="Times New Roman" w:cs="Times New Roman"/>
          <w:noProof/>
          <w:sz w:val="24"/>
          <w:szCs w:val="24"/>
          <w:lang w:eastAsia="zh-CN"/>
        </w:rPr>
        <w:t xml:space="preserve"> </w:t>
      </w:r>
      <w:r>
        <w:rPr>
          <w:rFonts w:ascii="Times New Roman" w:hAnsi="Times New Roman" w:cs="Times New Roman"/>
          <w:noProof/>
          <w:sz w:val="24"/>
          <w:szCs w:val="24"/>
          <w:lang w:eastAsia="zh-CN"/>
        </w:rPr>
        <w:t xml:space="preserve">entry into </w:t>
      </w:r>
      <w:r w:rsidRPr="00166FC5">
        <w:rPr>
          <w:rFonts w:ascii="Times New Roman" w:hAnsi="Times New Roman" w:cs="Times New Roman"/>
          <w:noProof/>
          <w:sz w:val="24"/>
          <w:szCs w:val="24"/>
          <w:lang w:eastAsia="zh-CN"/>
        </w:rPr>
        <w:t xml:space="preserve">application, there </w:t>
      </w:r>
      <w:r w:rsidR="006B7243" w:rsidRPr="00166FC5">
        <w:rPr>
          <w:rFonts w:ascii="Times New Roman" w:hAnsi="Times New Roman" w:cs="Times New Roman"/>
          <w:noProof/>
          <w:sz w:val="24"/>
          <w:szCs w:val="24"/>
          <w:lang w:eastAsia="zh-CN"/>
        </w:rPr>
        <w:t>ha</w:t>
      </w:r>
      <w:r w:rsidR="006B7243">
        <w:rPr>
          <w:rFonts w:ascii="Times New Roman" w:hAnsi="Times New Roman" w:cs="Times New Roman"/>
          <w:noProof/>
          <w:sz w:val="24"/>
          <w:szCs w:val="24"/>
          <w:lang w:eastAsia="zh-CN"/>
        </w:rPr>
        <w:t>ve</w:t>
      </w:r>
      <w:r w:rsidR="006B7243" w:rsidRPr="00166FC5">
        <w:rPr>
          <w:rFonts w:ascii="Times New Roman" w:hAnsi="Times New Roman" w:cs="Times New Roman"/>
          <w:noProof/>
          <w:sz w:val="24"/>
          <w:szCs w:val="24"/>
          <w:lang w:eastAsia="zh-CN"/>
        </w:rPr>
        <w:t xml:space="preserve"> </w:t>
      </w:r>
      <w:r w:rsidRPr="00166FC5">
        <w:rPr>
          <w:rFonts w:ascii="Times New Roman" w:hAnsi="Times New Roman" w:cs="Times New Roman"/>
          <w:noProof/>
          <w:sz w:val="24"/>
          <w:szCs w:val="24"/>
          <w:lang w:eastAsia="zh-CN"/>
        </w:rPr>
        <w:t xml:space="preserve">been </w:t>
      </w:r>
      <w:r w:rsidR="001A2938">
        <w:rPr>
          <w:rFonts w:ascii="Times New Roman" w:hAnsi="Times New Roman" w:cs="Times New Roman"/>
          <w:noProof/>
          <w:sz w:val="24"/>
          <w:szCs w:val="24"/>
          <w:lang w:eastAsia="zh-CN"/>
        </w:rPr>
        <w:t>two</w:t>
      </w:r>
      <w:r w:rsidR="001A2938" w:rsidRPr="00166FC5">
        <w:rPr>
          <w:rFonts w:ascii="Times New Roman" w:hAnsi="Times New Roman" w:cs="Times New Roman"/>
          <w:noProof/>
          <w:sz w:val="24"/>
          <w:szCs w:val="24"/>
          <w:lang w:eastAsia="zh-CN"/>
        </w:rPr>
        <w:t xml:space="preserve"> </w:t>
      </w:r>
      <w:r w:rsidRPr="00166FC5">
        <w:rPr>
          <w:rFonts w:ascii="Times New Roman" w:hAnsi="Times New Roman" w:cs="Times New Roman"/>
          <w:noProof/>
          <w:sz w:val="24"/>
          <w:szCs w:val="24"/>
          <w:lang w:eastAsia="zh-CN"/>
        </w:rPr>
        <w:t xml:space="preserve">requests for preliminary rulings concerning the </w:t>
      </w:r>
      <w:r w:rsidR="008317C7">
        <w:rPr>
          <w:rFonts w:ascii="Times New Roman" w:hAnsi="Times New Roman" w:cs="Times New Roman"/>
          <w:noProof/>
          <w:sz w:val="24"/>
          <w:szCs w:val="24"/>
          <w:lang w:eastAsia="zh-CN"/>
        </w:rPr>
        <w:t>Regulation, and in particular</w:t>
      </w:r>
      <w:r w:rsidR="001A2938">
        <w:rPr>
          <w:rFonts w:ascii="Times New Roman" w:hAnsi="Times New Roman" w:cs="Times New Roman"/>
          <w:noProof/>
          <w:sz w:val="24"/>
          <w:szCs w:val="24"/>
          <w:lang w:eastAsia="zh-CN"/>
        </w:rPr>
        <w:t xml:space="preserve"> </w:t>
      </w:r>
      <w:r>
        <w:rPr>
          <w:rFonts w:ascii="Times New Roman" w:hAnsi="Times New Roman" w:cs="Times New Roman"/>
          <w:noProof/>
          <w:sz w:val="24"/>
          <w:szCs w:val="24"/>
          <w:lang w:eastAsia="zh-CN"/>
        </w:rPr>
        <w:t xml:space="preserve">the </w:t>
      </w:r>
      <w:r w:rsidRPr="00166FC5">
        <w:rPr>
          <w:rFonts w:ascii="Times New Roman" w:hAnsi="Times New Roman" w:cs="Times New Roman"/>
          <w:noProof/>
          <w:sz w:val="24"/>
          <w:szCs w:val="24"/>
          <w:lang w:eastAsia="zh-CN"/>
        </w:rPr>
        <w:t xml:space="preserve">legality of </w:t>
      </w:r>
      <w:r>
        <w:rPr>
          <w:rFonts w:ascii="Times New Roman" w:hAnsi="Times New Roman" w:cs="Times New Roman"/>
          <w:noProof/>
          <w:sz w:val="24"/>
          <w:szCs w:val="24"/>
          <w:lang w:eastAsia="zh-CN"/>
        </w:rPr>
        <w:t>the inclusion of</w:t>
      </w:r>
      <w:r w:rsidRPr="00166FC5">
        <w:rPr>
          <w:rFonts w:ascii="Times New Roman" w:hAnsi="Times New Roman" w:cs="Times New Roman"/>
          <w:noProof/>
          <w:sz w:val="24"/>
          <w:szCs w:val="24"/>
          <w:lang w:eastAsia="zh-CN"/>
        </w:rPr>
        <w:t xml:space="preserve"> fingerprints in the </w:t>
      </w:r>
      <w:r>
        <w:rPr>
          <w:rFonts w:ascii="Times New Roman" w:hAnsi="Times New Roman" w:cs="Times New Roman"/>
          <w:noProof/>
          <w:sz w:val="24"/>
          <w:szCs w:val="24"/>
          <w:lang w:eastAsia="zh-CN"/>
        </w:rPr>
        <w:t>identity</w:t>
      </w:r>
      <w:r w:rsidRPr="00166FC5">
        <w:rPr>
          <w:rFonts w:ascii="Times New Roman" w:hAnsi="Times New Roman" w:cs="Times New Roman"/>
          <w:noProof/>
          <w:sz w:val="24"/>
          <w:szCs w:val="24"/>
          <w:lang w:eastAsia="zh-CN"/>
        </w:rPr>
        <w:t xml:space="preserve"> cards</w:t>
      </w:r>
      <w:r w:rsidR="006B7243">
        <w:rPr>
          <w:rFonts w:ascii="Times New Roman" w:hAnsi="Times New Roman" w:cs="Times New Roman"/>
          <w:noProof/>
          <w:sz w:val="24"/>
          <w:szCs w:val="24"/>
          <w:lang w:eastAsia="zh-CN"/>
        </w:rPr>
        <w:t>.</w:t>
      </w:r>
      <w:r w:rsidR="006852F1">
        <w:rPr>
          <w:rFonts w:ascii="Times New Roman" w:hAnsi="Times New Roman" w:cs="Times New Roman"/>
          <w:noProof/>
          <w:sz w:val="24"/>
          <w:szCs w:val="24"/>
          <w:lang w:eastAsia="zh-CN"/>
        </w:rPr>
        <w:t xml:space="preserve"> Both cases are currently pending.</w:t>
      </w:r>
    </w:p>
    <w:p w14:paraId="462AF5AA" w14:textId="75B31068" w:rsidR="0047249C" w:rsidRPr="0045682D" w:rsidRDefault="001A7F01" w:rsidP="00166BBD">
      <w:pPr>
        <w:spacing w:after="240" w:line="240" w:lineRule="auto"/>
        <w:jc w:val="both"/>
        <w:rPr>
          <w:rFonts w:ascii="Times New Roman" w:hAnsi="Times New Roman" w:cs="Times New Roman"/>
          <w:i/>
          <w:noProof/>
          <w:sz w:val="24"/>
          <w:szCs w:val="24"/>
        </w:rPr>
      </w:pPr>
      <w:r>
        <w:rPr>
          <w:rFonts w:ascii="Times New Roman" w:hAnsi="Times New Roman" w:cs="Times New Roman"/>
          <w:noProof/>
          <w:sz w:val="24"/>
          <w:szCs w:val="24"/>
        </w:rPr>
        <w:t>The</w:t>
      </w:r>
      <w:r w:rsidR="00BE2020">
        <w:rPr>
          <w:rFonts w:ascii="Times New Roman" w:hAnsi="Times New Roman" w:cs="Times New Roman"/>
          <w:noProof/>
          <w:sz w:val="24"/>
          <w:szCs w:val="24"/>
        </w:rPr>
        <w:t xml:space="preserve"> first </w:t>
      </w:r>
      <w:r w:rsidR="001A2938">
        <w:rPr>
          <w:rFonts w:ascii="Times New Roman" w:hAnsi="Times New Roman" w:cs="Times New Roman"/>
          <w:noProof/>
          <w:sz w:val="24"/>
          <w:szCs w:val="24"/>
        </w:rPr>
        <w:t xml:space="preserve">pending </w:t>
      </w:r>
      <w:r w:rsidR="006F3581">
        <w:rPr>
          <w:rFonts w:ascii="Times New Roman" w:hAnsi="Times New Roman" w:cs="Times New Roman"/>
          <w:noProof/>
          <w:sz w:val="24"/>
          <w:szCs w:val="24"/>
        </w:rPr>
        <w:t>r</w:t>
      </w:r>
      <w:r w:rsidR="006F3581" w:rsidRPr="006F3581">
        <w:rPr>
          <w:rFonts w:ascii="Times New Roman" w:hAnsi="Times New Roman" w:cs="Times New Roman"/>
          <w:noProof/>
          <w:sz w:val="24"/>
          <w:szCs w:val="24"/>
        </w:rPr>
        <w:t>equest for a preliminary ruling</w:t>
      </w:r>
      <w:r w:rsidR="00BE2020">
        <w:rPr>
          <w:rFonts w:ascii="Times New Roman" w:hAnsi="Times New Roman" w:cs="Times New Roman"/>
          <w:noProof/>
          <w:sz w:val="24"/>
          <w:szCs w:val="24"/>
        </w:rPr>
        <w:t xml:space="preserve">, </w:t>
      </w:r>
      <w:r w:rsidR="0047249C" w:rsidRPr="003B63D0">
        <w:rPr>
          <w:rFonts w:ascii="Times New Roman" w:hAnsi="Times New Roman" w:cs="Times New Roman"/>
          <w:i/>
          <w:iCs/>
          <w:noProof/>
          <w:sz w:val="24"/>
          <w:szCs w:val="24"/>
        </w:rPr>
        <w:t>Landeshauptstadt Wiesbaden</w:t>
      </w:r>
      <w:r w:rsidR="0047249C" w:rsidRPr="00D81653">
        <w:rPr>
          <w:rStyle w:val="FootnoteReference"/>
          <w:rFonts w:ascii="Times New Roman" w:hAnsi="Times New Roman"/>
          <w:noProof/>
          <w:sz w:val="24"/>
        </w:rPr>
        <w:footnoteReference w:id="46"/>
      </w:r>
      <w:r w:rsidR="00BE2020">
        <w:rPr>
          <w:rFonts w:ascii="Times New Roman" w:hAnsi="Times New Roman" w:cs="Times New Roman"/>
          <w:noProof/>
          <w:sz w:val="24"/>
          <w:szCs w:val="24"/>
        </w:rPr>
        <w:t>,</w:t>
      </w:r>
      <w:r w:rsidRPr="00CD0D82">
        <w:rPr>
          <w:rFonts w:ascii="Times New Roman" w:hAnsi="Times New Roman"/>
          <w:noProof/>
          <w:sz w:val="24"/>
        </w:rPr>
        <w:t xml:space="preserve"> </w:t>
      </w:r>
      <w:r w:rsidR="0047249C" w:rsidRPr="00166FC5">
        <w:rPr>
          <w:rFonts w:ascii="Times New Roman" w:hAnsi="Times New Roman" w:cs="Times New Roman"/>
          <w:noProof/>
          <w:sz w:val="24"/>
          <w:szCs w:val="24"/>
        </w:rPr>
        <w:t>concerns the validity of Article 3(5) of the Regulation</w:t>
      </w:r>
      <w:r w:rsidR="0047249C">
        <w:rPr>
          <w:rFonts w:ascii="Times New Roman" w:hAnsi="Times New Roman" w:cs="Times New Roman"/>
          <w:noProof/>
          <w:sz w:val="24"/>
          <w:szCs w:val="24"/>
        </w:rPr>
        <w:t xml:space="preserve">, which </w:t>
      </w:r>
      <w:r w:rsidR="0047249C" w:rsidRPr="00166FC5">
        <w:rPr>
          <w:rFonts w:ascii="Times New Roman" w:hAnsi="Times New Roman" w:cs="Times New Roman"/>
          <w:noProof/>
          <w:sz w:val="24"/>
          <w:szCs w:val="24"/>
        </w:rPr>
        <w:t>provides that identity cards issued by Member States are to be equipped with a highly secure storage medium with the holder’s facial image and two fingerprints in interoperable formats.</w:t>
      </w:r>
    </w:p>
    <w:p w14:paraId="791F4A1B" w14:textId="5CBB6595" w:rsidR="0047249C" w:rsidRPr="004926C0" w:rsidRDefault="0047249C" w:rsidP="00166BBD">
      <w:pPr>
        <w:spacing w:after="240" w:line="240" w:lineRule="auto"/>
        <w:jc w:val="both"/>
        <w:rPr>
          <w:rFonts w:ascii="Times New Roman" w:hAnsi="Times New Roman" w:cs="Times New Roman"/>
          <w:noProof/>
          <w:sz w:val="24"/>
          <w:szCs w:val="24"/>
          <w:lang w:eastAsia="zh-CN"/>
        </w:rPr>
      </w:pPr>
      <w:r w:rsidRPr="004926C0">
        <w:rPr>
          <w:rFonts w:ascii="Times New Roman" w:hAnsi="Times New Roman" w:cs="Times New Roman"/>
          <w:noProof/>
          <w:sz w:val="24"/>
          <w:szCs w:val="24"/>
          <w:lang w:eastAsia="zh-CN"/>
        </w:rPr>
        <w:t xml:space="preserve">The referring </w:t>
      </w:r>
      <w:r>
        <w:rPr>
          <w:rFonts w:ascii="Times New Roman" w:hAnsi="Times New Roman" w:cs="Times New Roman"/>
          <w:noProof/>
          <w:sz w:val="24"/>
          <w:szCs w:val="24"/>
          <w:lang w:eastAsia="zh-CN"/>
        </w:rPr>
        <w:t>national c</w:t>
      </w:r>
      <w:r w:rsidRPr="004926C0">
        <w:rPr>
          <w:rFonts w:ascii="Times New Roman" w:hAnsi="Times New Roman" w:cs="Times New Roman"/>
          <w:noProof/>
          <w:sz w:val="24"/>
          <w:szCs w:val="24"/>
          <w:lang w:eastAsia="zh-CN"/>
        </w:rPr>
        <w:t xml:space="preserve">ourt </w:t>
      </w:r>
      <w:r w:rsidR="006B7243">
        <w:rPr>
          <w:rFonts w:ascii="Times New Roman" w:hAnsi="Times New Roman" w:cs="Times New Roman"/>
          <w:noProof/>
          <w:sz w:val="24"/>
          <w:szCs w:val="24"/>
          <w:lang w:eastAsia="zh-CN"/>
        </w:rPr>
        <w:t xml:space="preserve">asked </w:t>
      </w:r>
      <w:r>
        <w:rPr>
          <w:rFonts w:ascii="Times New Roman" w:hAnsi="Times New Roman" w:cs="Times New Roman"/>
          <w:noProof/>
          <w:sz w:val="24"/>
          <w:szCs w:val="24"/>
          <w:lang w:eastAsia="zh-CN"/>
        </w:rPr>
        <w:t xml:space="preserve">whether </w:t>
      </w:r>
      <w:r w:rsidRPr="004926C0">
        <w:rPr>
          <w:rFonts w:ascii="Times New Roman" w:hAnsi="Times New Roman" w:cs="Times New Roman"/>
          <w:noProof/>
          <w:sz w:val="24"/>
          <w:szCs w:val="24"/>
          <w:lang w:eastAsia="zh-CN"/>
        </w:rPr>
        <w:t>Article 21(2) TFEU is the correct legal basis for the Regulation</w:t>
      </w:r>
      <w:r>
        <w:rPr>
          <w:rFonts w:ascii="Times New Roman" w:hAnsi="Times New Roman" w:cs="Times New Roman"/>
          <w:noProof/>
          <w:sz w:val="24"/>
          <w:szCs w:val="24"/>
          <w:lang w:eastAsia="zh-CN"/>
        </w:rPr>
        <w:t>,</w:t>
      </w:r>
      <w:r w:rsidRPr="00166FC5">
        <w:rPr>
          <w:rFonts w:ascii="Times New Roman" w:hAnsi="Times New Roman" w:cs="Times New Roman"/>
          <w:noProof/>
          <w:sz w:val="24"/>
          <w:szCs w:val="24"/>
          <w:lang w:eastAsia="zh-CN"/>
        </w:rPr>
        <w:t xml:space="preserve"> w</w:t>
      </w:r>
      <w:r w:rsidRPr="004926C0">
        <w:rPr>
          <w:rFonts w:ascii="Times New Roman" w:hAnsi="Times New Roman" w:cs="Times New Roman"/>
          <w:noProof/>
          <w:sz w:val="24"/>
          <w:szCs w:val="24"/>
          <w:lang w:eastAsia="zh-CN"/>
        </w:rPr>
        <w:t>hether the obligation to take fingerprints complies with the fundamental rights to respect private life and data protection</w:t>
      </w:r>
      <w:r>
        <w:rPr>
          <w:rFonts w:ascii="Times New Roman" w:hAnsi="Times New Roman" w:cs="Times New Roman"/>
          <w:noProof/>
          <w:sz w:val="24"/>
          <w:szCs w:val="24"/>
          <w:lang w:eastAsia="zh-CN"/>
        </w:rPr>
        <w:t>,</w:t>
      </w:r>
      <w:r w:rsidRPr="00166FC5">
        <w:rPr>
          <w:rFonts w:ascii="Times New Roman" w:hAnsi="Times New Roman" w:cs="Times New Roman"/>
          <w:noProof/>
          <w:sz w:val="24"/>
          <w:szCs w:val="24"/>
          <w:lang w:eastAsia="zh-CN"/>
        </w:rPr>
        <w:t xml:space="preserve"> and w</w:t>
      </w:r>
      <w:r w:rsidRPr="004926C0">
        <w:rPr>
          <w:rFonts w:ascii="Times New Roman" w:hAnsi="Times New Roman" w:cs="Times New Roman"/>
          <w:noProof/>
          <w:sz w:val="24"/>
          <w:szCs w:val="24"/>
          <w:lang w:eastAsia="zh-CN"/>
        </w:rPr>
        <w:t xml:space="preserve">hether the </w:t>
      </w:r>
      <w:r>
        <w:rPr>
          <w:rFonts w:ascii="Times New Roman" w:hAnsi="Times New Roman" w:cs="Times New Roman"/>
          <w:noProof/>
          <w:sz w:val="24"/>
          <w:szCs w:val="24"/>
          <w:lang w:eastAsia="zh-CN"/>
        </w:rPr>
        <w:t xml:space="preserve">alleged lack of a data protection impact assessment can have an impact on the validity of Article </w:t>
      </w:r>
      <w:r w:rsidR="006B7243">
        <w:rPr>
          <w:rFonts w:ascii="Times New Roman" w:hAnsi="Times New Roman" w:cs="Times New Roman"/>
          <w:noProof/>
          <w:sz w:val="24"/>
          <w:szCs w:val="24"/>
          <w:lang w:eastAsia="zh-CN"/>
        </w:rPr>
        <w:t>3</w:t>
      </w:r>
      <w:r>
        <w:rPr>
          <w:rFonts w:ascii="Times New Roman" w:hAnsi="Times New Roman" w:cs="Times New Roman"/>
          <w:noProof/>
          <w:sz w:val="24"/>
          <w:szCs w:val="24"/>
          <w:lang w:eastAsia="zh-CN"/>
        </w:rPr>
        <w:t>(5) of the Regulation</w:t>
      </w:r>
      <w:r w:rsidRPr="004926C0">
        <w:rPr>
          <w:rFonts w:ascii="Times New Roman" w:hAnsi="Times New Roman" w:cs="Times New Roman"/>
          <w:noProof/>
          <w:sz w:val="24"/>
          <w:szCs w:val="24"/>
          <w:lang w:eastAsia="zh-CN"/>
        </w:rPr>
        <w:t>.</w:t>
      </w:r>
    </w:p>
    <w:p w14:paraId="4771B99F" w14:textId="764204D4" w:rsidR="006B7243" w:rsidRDefault="00D74C71" w:rsidP="00166BBD">
      <w:pPr>
        <w:spacing w:after="240" w:line="240" w:lineRule="auto"/>
        <w:jc w:val="both"/>
        <w:rPr>
          <w:rFonts w:ascii="Times New Roman" w:hAnsi="Times New Roman" w:cs="Times New Roman"/>
          <w:iCs/>
          <w:noProof/>
          <w:sz w:val="24"/>
          <w:szCs w:val="24"/>
        </w:rPr>
      </w:pPr>
      <w:r>
        <w:rPr>
          <w:rFonts w:ascii="Times New Roman" w:hAnsi="Times New Roman" w:cs="Times New Roman"/>
          <w:noProof/>
          <w:sz w:val="24"/>
          <w:szCs w:val="24"/>
          <w:lang w:eastAsia="zh-CN"/>
        </w:rPr>
        <w:t>In her Opinion of 29 June 2023</w:t>
      </w:r>
      <w:r>
        <w:rPr>
          <w:rStyle w:val="FootnoteReference"/>
          <w:rFonts w:ascii="Times New Roman" w:hAnsi="Times New Roman" w:cs="Times New Roman"/>
          <w:noProof/>
          <w:sz w:val="24"/>
          <w:szCs w:val="24"/>
          <w:lang w:eastAsia="zh-CN"/>
        </w:rPr>
        <w:footnoteReference w:id="47"/>
      </w:r>
      <w:r>
        <w:rPr>
          <w:rFonts w:ascii="Times New Roman" w:hAnsi="Times New Roman" w:cs="Times New Roman"/>
          <w:noProof/>
          <w:sz w:val="24"/>
          <w:szCs w:val="24"/>
          <w:lang w:eastAsia="zh-CN"/>
        </w:rPr>
        <w:t xml:space="preserve">, </w:t>
      </w:r>
      <w:r w:rsidR="0047249C" w:rsidRPr="00166FC5">
        <w:rPr>
          <w:rFonts w:ascii="Times New Roman" w:hAnsi="Times New Roman" w:cs="Times New Roman"/>
          <w:noProof/>
          <w:sz w:val="24"/>
          <w:szCs w:val="24"/>
          <w:lang w:eastAsia="zh-CN"/>
        </w:rPr>
        <w:t>Advocate General</w:t>
      </w:r>
      <w:r w:rsidR="0083150D">
        <w:rPr>
          <w:rFonts w:ascii="Times New Roman" w:hAnsi="Times New Roman" w:cs="Times New Roman"/>
          <w:noProof/>
          <w:sz w:val="24"/>
          <w:szCs w:val="24"/>
          <w:lang w:eastAsia="zh-CN"/>
        </w:rPr>
        <w:t xml:space="preserve"> </w:t>
      </w:r>
      <w:r w:rsidR="00DC4BB0">
        <w:rPr>
          <w:rFonts w:ascii="Times New Roman" w:eastAsia="Verdana" w:hAnsi="Times New Roman" w:cs="Times New Roman"/>
          <w:noProof/>
          <w:sz w:val="24"/>
          <w:szCs w:val="24"/>
        </w:rPr>
        <w:t>Medina</w:t>
      </w:r>
      <w:r w:rsidR="0083150D" w:rsidRPr="0083150D">
        <w:rPr>
          <w:rFonts w:ascii="Times New Roman" w:eastAsia="Verdana" w:hAnsi="Times New Roman" w:cs="Times New Roman"/>
          <w:noProof/>
          <w:sz w:val="24"/>
          <w:szCs w:val="24"/>
        </w:rPr>
        <w:t xml:space="preserve"> </w:t>
      </w:r>
      <w:r>
        <w:rPr>
          <w:rFonts w:ascii="Times New Roman" w:hAnsi="Times New Roman" w:cs="Times New Roman"/>
          <w:noProof/>
          <w:sz w:val="24"/>
          <w:szCs w:val="24"/>
          <w:lang w:eastAsia="zh-CN"/>
        </w:rPr>
        <w:t xml:space="preserve">concluded that </w:t>
      </w:r>
      <w:r w:rsidRPr="00D74C71">
        <w:rPr>
          <w:rFonts w:ascii="Times New Roman" w:hAnsi="Times New Roman" w:cs="Times New Roman"/>
          <w:noProof/>
          <w:sz w:val="24"/>
          <w:szCs w:val="24"/>
          <w:lang w:eastAsia="zh-CN"/>
        </w:rPr>
        <w:t xml:space="preserve">the Regulation </w:t>
      </w:r>
      <w:r w:rsidR="006B7243">
        <w:rPr>
          <w:rFonts w:ascii="Times New Roman" w:hAnsi="Times New Roman" w:cs="Times New Roman"/>
          <w:noProof/>
          <w:sz w:val="24"/>
          <w:szCs w:val="24"/>
          <w:lang w:eastAsia="zh-CN"/>
        </w:rPr>
        <w:t>had been</w:t>
      </w:r>
      <w:r w:rsidRPr="00D74C71">
        <w:rPr>
          <w:rFonts w:ascii="Times New Roman" w:hAnsi="Times New Roman" w:cs="Times New Roman"/>
          <w:noProof/>
          <w:sz w:val="24"/>
          <w:szCs w:val="24"/>
          <w:lang w:eastAsia="zh-CN"/>
        </w:rPr>
        <w:t xml:space="preserve"> correctly</w:t>
      </w:r>
      <w:r>
        <w:rPr>
          <w:rFonts w:ascii="Times New Roman" w:hAnsi="Times New Roman" w:cs="Times New Roman"/>
          <w:noProof/>
          <w:sz w:val="24"/>
          <w:szCs w:val="24"/>
          <w:lang w:eastAsia="zh-CN"/>
        </w:rPr>
        <w:t xml:space="preserve"> </w:t>
      </w:r>
      <w:r w:rsidRPr="00D74C71">
        <w:rPr>
          <w:rFonts w:ascii="Times New Roman" w:hAnsi="Times New Roman" w:cs="Times New Roman"/>
          <w:noProof/>
          <w:sz w:val="24"/>
          <w:szCs w:val="24"/>
          <w:lang w:eastAsia="zh-CN"/>
        </w:rPr>
        <w:t>adopted on the basis of Article 21(2) TFEU with a view to facilitating the exercise of the right of EU citizens to move</w:t>
      </w:r>
      <w:r>
        <w:rPr>
          <w:rFonts w:ascii="Times New Roman" w:hAnsi="Times New Roman" w:cs="Times New Roman"/>
          <w:noProof/>
          <w:sz w:val="24"/>
          <w:szCs w:val="24"/>
          <w:lang w:eastAsia="zh-CN"/>
        </w:rPr>
        <w:t xml:space="preserve"> </w:t>
      </w:r>
      <w:r w:rsidRPr="00D74C71">
        <w:rPr>
          <w:rFonts w:ascii="Times New Roman" w:hAnsi="Times New Roman" w:cs="Times New Roman"/>
          <w:noProof/>
          <w:sz w:val="24"/>
          <w:szCs w:val="24"/>
          <w:lang w:eastAsia="zh-CN"/>
        </w:rPr>
        <w:t>and reside freely within the Member State</w:t>
      </w:r>
      <w:r>
        <w:rPr>
          <w:rFonts w:ascii="Times New Roman" w:hAnsi="Times New Roman" w:cs="Times New Roman"/>
          <w:noProof/>
          <w:sz w:val="24"/>
          <w:szCs w:val="24"/>
          <w:lang w:eastAsia="zh-CN"/>
        </w:rPr>
        <w:t>s</w:t>
      </w:r>
      <w:r w:rsidR="0047249C" w:rsidRPr="00166FC5">
        <w:rPr>
          <w:rFonts w:ascii="Times New Roman" w:hAnsi="Times New Roman" w:cs="Times New Roman"/>
          <w:noProof/>
          <w:sz w:val="24"/>
          <w:szCs w:val="24"/>
          <w:lang w:eastAsia="zh-CN"/>
        </w:rPr>
        <w:t>.</w:t>
      </w:r>
      <w:r w:rsidR="006B7243">
        <w:rPr>
          <w:rFonts w:ascii="Times New Roman" w:hAnsi="Times New Roman" w:cs="Times New Roman"/>
          <w:noProof/>
          <w:sz w:val="24"/>
          <w:szCs w:val="24"/>
          <w:lang w:eastAsia="zh-CN"/>
        </w:rPr>
        <w:t xml:space="preserve"> </w:t>
      </w:r>
      <w:r w:rsidR="006B7243" w:rsidRPr="008C1B42">
        <w:rPr>
          <w:rFonts w:ascii="Times New Roman" w:hAnsi="Times New Roman" w:cs="Times New Roman"/>
          <w:iCs/>
          <w:noProof/>
          <w:sz w:val="24"/>
          <w:szCs w:val="24"/>
        </w:rPr>
        <w:t xml:space="preserve">In that regard, the Advocate General pointed out that that right allows EU citizens to immerse themselves in the daily life of the other residents of the host Member State. National identity cards thus display the same functions as they do for those residents, which </w:t>
      </w:r>
      <w:r w:rsidR="00A9403E">
        <w:rPr>
          <w:rFonts w:ascii="Times New Roman" w:hAnsi="Times New Roman" w:cs="Times New Roman"/>
          <w:iCs/>
          <w:noProof/>
          <w:sz w:val="24"/>
          <w:szCs w:val="24"/>
        </w:rPr>
        <w:t>entail</w:t>
      </w:r>
      <w:r w:rsidR="00706C88">
        <w:rPr>
          <w:rFonts w:ascii="Times New Roman" w:hAnsi="Times New Roman" w:cs="Times New Roman"/>
          <w:iCs/>
          <w:noProof/>
          <w:sz w:val="24"/>
          <w:szCs w:val="24"/>
        </w:rPr>
        <w:t>s</w:t>
      </w:r>
      <w:r w:rsidR="006B7243" w:rsidRPr="008C1B42">
        <w:rPr>
          <w:rFonts w:ascii="Times New Roman" w:hAnsi="Times New Roman" w:cs="Times New Roman"/>
          <w:iCs/>
          <w:noProof/>
          <w:sz w:val="24"/>
          <w:szCs w:val="24"/>
        </w:rPr>
        <w:t xml:space="preserve"> that only a reliable and authentic proof of identity facilitates full enjoyment of free</w:t>
      </w:r>
      <w:r w:rsidR="006B7243">
        <w:rPr>
          <w:rFonts w:ascii="Times New Roman" w:hAnsi="Times New Roman" w:cs="Times New Roman"/>
          <w:iCs/>
          <w:noProof/>
          <w:sz w:val="24"/>
          <w:szCs w:val="24"/>
        </w:rPr>
        <w:t xml:space="preserve"> movement</w:t>
      </w:r>
      <w:r w:rsidR="006B7243" w:rsidRPr="008C1B42">
        <w:rPr>
          <w:rFonts w:ascii="Times New Roman" w:hAnsi="Times New Roman" w:cs="Times New Roman"/>
          <w:iCs/>
          <w:noProof/>
          <w:sz w:val="24"/>
          <w:szCs w:val="24"/>
        </w:rPr>
        <w:t>.</w:t>
      </w:r>
    </w:p>
    <w:p w14:paraId="33C5791B" w14:textId="774AF430" w:rsidR="00D74C71" w:rsidRPr="00F11519" w:rsidRDefault="006B7243" w:rsidP="00166BBD">
      <w:pPr>
        <w:spacing w:after="240" w:line="240" w:lineRule="auto"/>
        <w:jc w:val="both"/>
        <w:rPr>
          <w:rFonts w:ascii="Times New Roman" w:hAnsi="Times New Roman" w:cs="Times New Roman"/>
          <w:iCs/>
          <w:noProof/>
          <w:sz w:val="24"/>
          <w:szCs w:val="24"/>
        </w:rPr>
      </w:pPr>
      <w:r>
        <w:rPr>
          <w:rFonts w:ascii="Times New Roman" w:hAnsi="Times New Roman" w:cs="Times New Roman"/>
          <w:iCs/>
          <w:noProof/>
          <w:sz w:val="24"/>
          <w:szCs w:val="24"/>
        </w:rPr>
        <w:t xml:space="preserve">Advocate General </w:t>
      </w:r>
      <w:r w:rsidR="00DC4BB0">
        <w:rPr>
          <w:rFonts w:ascii="Times New Roman" w:eastAsia="Verdana" w:hAnsi="Times New Roman" w:cs="Times New Roman"/>
          <w:noProof/>
          <w:sz w:val="24"/>
          <w:szCs w:val="24"/>
        </w:rPr>
        <w:t>Medina</w:t>
      </w:r>
      <w:r w:rsidR="0083150D" w:rsidRPr="0083150D">
        <w:rPr>
          <w:rFonts w:ascii="Times New Roman" w:eastAsia="Verdana" w:hAnsi="Times New Roman" w:cs="Times New Roman"/>
          <w:noProof/>
          <w:sz w:val="24"/>
          <w:szCs w:val="24"/>
        </w:rPr>
        <w:t xml:space="preserve"> </w:t>
      </w:r>
      <w:r>
        <w:rPr>
          <w:rFonts w:ascii="Times New Roman" w:hAnsi="Times New Roman" w:cs="Times New Roman"/>
          <w:iCs/>
          <w:noProof/>
          <w:sz w:val="24"/>
          <w:szCs w:val="24"/>
        </w:rPr>
        <w:t>also considered that Article 3(5) d</w:t>
      </w:r>
      <w:r w:rsidR="00A9403E">
        <w:rPr>
          <w:rFonts w:ascii="Times New Roman" w:hAnsi="Times New Roman" w:cs="Times New Roman"/>
          <w:iCs/>
          <w:noProof/>
          <w:sz w:val="24"/>
          <w:szCs w:val="24"/>
        </w:rPr>
        <w:t>oes</w:t>
      </w:r>
      <w:r>
        <w:rPr>
          <w:rFonts w:ascii="Times New Roman" w:eastAsia="Verdana" w:hAnsi="Times New Roman" w:cs="Times New Roman"/>
          <w:noProof/>
          <w:sz w:val="24"/>
          <w:szCs w:val="24"/>
        </w:rPr>
        <w:t xml:space="preserve"> not constitute an unjustified limitation of Articles 7 and 8 of the Charter (see also Section 2.3.2)</w:t>
      </w:r>
      <w:r w:rsidR="00D74C71">
        <w:rPr>
          <w:rFonts w:ascii="Times New Roman" w:hAnsi="Times New Roman" w:cs="Times New Roman"/>
          <w:iCs/>
          <w:noProof/>
          <w:sz w:val="24"/>
          <w:szCs w:val="24"/>
        </w:rPr>
        <w:t xml:space="preserve">. Finally, the Advocate General </w:t>
      </w:r>
      <w:r w:rsidR="00191940">
        <w:rPr>
          <w:rFonts w:ascii="Times New Roman" w:hAnsi="Times New Roman" w:cs="Times New Roman"/>
          <w:iCs/>
          <w:noProof/>
          <w:sz w:val="24"/>
          <w:szCs w:val="24"/>
        </w:rPr>
        <w:t>took the view</w:t>
      </w:r>
      <w:r w:rsidR="00D74C71">
        <w:rPr>
          <w:rFonts w:ascii="Times New Roman" w:hAnsi="Times New Roman" w:cs="Times New Roman"/>
          <w:iCs/>
          <w:noProof/>
          <w:sz w:val="24"/>
          <w:szCs w:val="24"/>
        </w:rPr>
        <w:t xml:space="preserve"> that </w:t>
      </w:r>
      <w:r w:rsidR="00D74C71" w:rsidRPr="00D74C71">
        <w:rPr>
          <w:rFonts w:ascii="Times New Roman" w:hAnsi="Times New Roman" w:cs="Times New Roman"/>
          <w:iCs/>
          <w:noProof/>
          <w:sz w:val="24"/>
          <w:szCs w:val="24"/>
        </w:rPr>
        <w:t xml:space="preserve">the European Parliament and the Council </w:t>
      </w:r>
      <w:r>
        <w:rPr>
          <w:rFonts w:ascii="Times New Roman" w:hAnsi="Times New Roman" w:cs="Times New Roman"/>
          <w:iCs/>
          <w:noProof/>
          <w:sz w:val="24"/>
          <w:szCs w:val="24"/>
        </w:rPr>
        <w:t>had</w:t>
      </w:r>
      <w:r w:rsidR="00D74C71" w:rsidRPr="00D74C71">
        <w:rPr>
          <w:rFonts w:ascii="Times New Roman" w:hAnsi="Times New Roman" w:cs="Times New Roman"/>
          <w:iCs/>
          <w:noProof/>
          <w:sz w:val="24"/>
          <w:szCs w:val="24"/>
        </w:rPr>
        <w:t xml:space="preserve"> not</w:t>
      </w:r>
      <w:r>
        <w:rPr>
          <w:rFonts w:ascii="Times New Roman" w:hAnsi="Times New Roman" w:cs="Times New Roman"/>
          <w:iCs/>
          <w:noProof/>
          <w:sz w:val="24"/>
          <w:szCs w:val="24"/>
        </w:rPr>
        <w:t xml:space="preserve"> been</w:t>
      </w:r>
      <w:r w:rsidR="00D74C71" w:rsidRPr="00D74C71">
        <w:rPr>
          <w:rFonts w:ascii="Times New Roman" w:hAnsi="Times New Roman" w:cs="Times New Roman"/>
          <w:iCs/>
          <w:noProof/>
          <w:sz w:val="24"/>
          <w:szCs w:val="24"/>
        </w:rPr>
        <w:t xml:space="preserve"> obliged to conduct an</w:t>
      </w:r>
      <w:r w:rsidR="00D74C71">
        <w:rPr>
          <w:rFonts w:ascii="Times New Roman" w:hAnsi="Times New Roman" w:cs="Times New Roman"/>
          <w:iCs/>
          <w:noProof/>
          <w:sz w:val="24"/>
          <w:szCs w:val="24"/>
        </w:rPr>
        <w:t xml:space="preserve"> </w:t>
      </w:r>
      <w:r w:rsidR="00D74C71" w:rsidRPr="00D74C71">
        <w:rPr>
          <w:rFonts w:ascii="Times New Roman" w:hAnsi="Times New Roman" w:cs="Times New Roman"/>
          <w:iCs/>
          <w:noProof/>
          <w:sz w:val="24"/>
          <w:szCs w:val="24"/>
        </w:rPr>
        <w:t xml:space="preserve">impact assessment during the legislative process leading to adoption of </w:t>
      </w:r>
      <w:r w:rsidR="00D74C71">
        <w:rPr>
          <w:rFonts w:ascii="Times New Roman" w:hAnsi="Times New Roman" w:cs="Times New Roman"/>
          <w:iCs/>
          <w:noProof/>
          <w:sz w:val="24"/>
          <w:szCs w:val="24"/>
        </w:rPr>
        <w:t xml:space="preserve">the </w:t>
      </w:r>
      <w:r w:rsidR="00D74C71" w:rsidRPr="00D74C71">
        <w:rPr>
          <w:rFonts w:ascii="Times New Roman" w:hAnsi="Times New Roman" w:cs="Times New Roman"/>
          <w:iCs/>
          <w:noProof/>
          <w:sz w:val="24"/>
          <w:szCs w:val="24"/>
        </w:rPr>
        <w:t>Regulation</w:t>
      </w:r>
      <w:r w:rsidR="00D74C71">
        <w:rPr>
          <w:rFonts w:ascii="Times New Roman" w:hAnsi="Times New Roman" w:cs="Times New Roman"/>
          <w:iCs/>
          <w:noProof/>
          <w:sz w:val="24"/>
          <w:szCs w:val="24"/>
        </w:rPr>
        <w:t>.</w:t>
      </w:r>
      <w:r w:rsidR="008317C7">
        <w:rPr>
          <w:rFonts w:ascii="Times New Roman" w:hAnsi="Times New Roman" w:cs="Times New Roman"/>
          <w:iCs/>
          <w:noProof/>
          <w:sz w:val="24"/>
          <w:szCs w:val="24"/>
        </w:rPr>
        <w:t xml:space="preserve"> </w:t>
      </w:r>
    </w:p>
    <w:p w14:paraId="5D880575" w14:textId="707C069A" w:rsidR="0047249C" w:rsidRDefault="001A7F01" w:rsidP="00166BBD">
      <w:pPr>
        <w:spacing w:after="240" w:line="240" w:lineRule="auto"/>
        <w:jc w:val="both"/>
        <w:rPr>
          <w:rFonts w:ascii="Times New Roman" w:hAnsi="Times New Roman" w:cs="Times New Roman"/>
          <w:iCs/>
          <w:noProof/>
          <w:sz w:val="24"/>
          <w:szCs w:val="24"/>
        </w:rPr>
      </w:pPr>
      <w:r>
        <w:rPr>
          <w:rFonts w:ascii="Times New Roman" w:hAnsi="Times New Roman" w:cs="Times New Roman"/>
          <w:bCs/>
          <w:noProof/>
          <w:sz w:val="24"/>
          <w:szCs w:val="24"/>
        </w:rPr>
        <w:t>The</w:t>
      </w:r>
      <w:r w:rsidR="00A64DB9">
        <w:rPr>
          <w:rFonts w:ascii="Times New Roman" w:hAnsi="Times New Roman" w:cs="Times New Roman"/>
          <w:bCs/>
          <w:noProof/>
          <w:sz w:val="24"/>
          <w:szCs w:val="24"/>
        </w:rPr>
        <w:t xml:space="preserve"> second </w:t>
      </w:r>
      <w:r w:rsidR="001A2938">
        <w:rPr>
          <w:rFonts w:ascii="Times New Roman" w:hAnsi="Times New Roman" w:cs="Times New Roman"/>
          <w:bCs/>
          <w:noProof/>
          <w:sz w:val="24"/>
          <w:szCs w:val="24"/>
        </w:rPr>
        <w:t xml:space="preserve">pending request for a </w:t>
      </w:r>
      <w:r w:rsidR="00A64DB9">
        <w:rPr>
          <w:rFonts w:ascii="Times New Roman" w:hAnsi="Times New Roman" w:cs="Times New Roman"/>
          <w:bCs/>
          <w:noProof/>
          <w:sz w:val="24"/>
          <w:szCs w:val="24"/>
        </w:rPr>
        <w:t>preliminary ruling,</w:t>
      </w:r>
      <w:r w:rsidR="008317C7">
        <w:rPr>
          <w:rFonts w:ascii="Times New Roman" w:hAnsi="Times New Roman" w:cs="Times New Roman"/>
          <w:bCs/>
          <w:noProof/>
          <w:sz w:val="24"/>
          <w:szCs w:val="24"/>
        </w:rPr>
        <w:t xml:space="preserve"> </w:t>
      </w:r>
      <w:r w:rsidR="0047249C" w:rsidRPr="003B63D0">
        <w:rPr>
          <w:rFonts w:ascii="Times New Roman" w:hAnsi="Times New Roman" w:cs="Times New Roman"/>
          <w:bCs/>
          <w:i/>
          <w:iCs/>
          <w:noProof/>
          <w:sz w:val="24"/>
          <w:szCs w:val="24"/>
        </w:rPr>
        <w:t>Kinderrechtencoalitie Vlaanderen and Liga voor Mensenrechten</w:t>
      </w:r>
      <w:r w:rsidR="0047249C" w:rsidRPr="00B978FC">
        <w:rPr>
          <w:rStyle w:val="FootnoteReference"/>
          <w:rFonts w:ascii="Times New Roman" w:hAnsi="Times New Roman" w:cs="Times New Roman"/>
          <w:bCs/>
          <w:noProof/>
          <w:sz w:val="24"/>
          <w:szCs w:val="24"/>
        </w:rPr>
        <w:footnoteReference w:id="48"/>
      </w:r>
      <w:r w:rsidR="00A64DB9">
        <w:rPr>
          <w:rFonts w:ascii="Times New Roman" w:hAnsi="Times New Roman" w:cs="Times New Roman"/>
          <w:bCs/>
          <w:noProof/>
          <w:sz w:val="24"/>
          <w:szCs w:val="24"/>
        </w:rPr>
        <w:t>,</w:t>
      </w:r>
      <w:r w:rsidRPr="00CD0D82">
        <w:rPr>
          <w:rFonts w:ascii="Times New Roman" w:hAnsi="Times New Roman"/>
          <w:noProof/>
          <w:sz w:val="24"/>
        </w:rPr>
        <w:t xml:space="preserve"> </w:t>
      </w:r>
      <w:r w:rsidR="0047249C" w:rsidRPr="00166FC5">
        <w:rPr>
          <w:rFonts w:ascii="Times New Roman" w:hAnsi="Times New Roman" w:cs="Times New Roman"/>
          <w:bCs/>
          <w:noProof/>
          <w:sz w:val="24"/>
          <w:szCs w:val="24"/>
        </w:rPr>
        <w:t>concerns Article 3(5) and (6) and Article 14 of the Regulation</w:t>
      </w:r>
      <w:r w:rsidR="0047249C">
        <w:rPr>
          <w:rFonts w:ascii="Times New Roman" w:hAnsi="Times New Roman" w:cs="Times New Roman"/>
          <w:bCs/>
          <w:noProof/>
          <w:sz w:val="24"/>
          <w:szCs w:val="24"/>
        </w:rPr>
        <w:t xml:space="preserve">, and their compatibility with, among others, the </w:t>
      </w:r>
      <w:r w:rsidR="0047249C" w:rsidRPr="00451473">
        <w:rPr>
          <w:rFonts w:ascii="Times New Roman" w:hAnsi="Times New Roman" w:cs="Times New Roman"/>
          <w:bCs/>
          <w:noProof/>
          <w:sz w:val="24"/>
          <w:szCs w:val="24"/>
        </w:rPr>
        <w:t>right to privacy and personal data</w:t>
      </w:r>
      <w:r w:rsidR="0047249C">
        <w:rPr>
          <w:rFonts w:ascii="Times New Roman" w:hAnsi="Times New Roman" w:cs="Times New Roman"/>
          <w:bCs/>
          <w:noProof/>
          <w:sz w:val="24"/>
          <w:szCs w:val="24"/>
        </w:rPr>
        <w:t xml:space="preserve"> and the right to free movement</w:t>
      </w:r>
      <w:r w:rsidR="0047249C" w:rsidRPr="00D74C71">
        <w:rPr>
          <w:rFonts w:ascii="Times New Roman" w:hAnsi="Times New Roman" w:cs="Times New Roman"/>
          <w:iCs/>
          <w:noProof/>
          <w:sz w:val="24"/>
          <w:szCs w:val="24"/>
        </w:rPr>
        <w:t>.</w:t>
      </w:r>
      <w:r w:rsidR="00D74C71">
        <w:rPr>
          <w:rFonts w:ascii="Times New Roman" w:hAnsi="Times New Roman" w:cs="Times New Roman"/>
          <w:iCs/>
          <w:noProof/>
          <w:sz w:val="24"/>
          <w:szCs w:val="24"/>
        </w:rPr>
        <w:t xml:space="preserve"> </w:t>
      </w:r>
      <w:r w:rsidR="001A2938">
        <w:rPr>
          <w:rFonts w:ascii="Times New Roman" w:hAnsi="Times New Roman" w:cs="Times New Roman"/>
          <w:iCs/>
          <w:noProof/>
          <w:sz w:val="24"/>
          <w:szCs w:val="24"/>
        </w:rPr>
        <w:t>No Opinion has been published in this case yet.</w:t>
      </w:r>
    </w:p>
    <w:p w14:paraId="3E1DC5F6" w14:textId="34361281" w:rsidR="00A93AB1" w:rsidRDefault="00A93AB1" w:rsidP="00166BBD">
      <w:pPr>
        <w:pStyle w:val="Heading3"/>
        <w:spacing w:line="240" w:lineRule="auto"/>
        <w:ind w:left="720"/>
        <w:rPr>
          <w:noProof/>
          <w:lang w:val="en-IE"/>
        </w:rPr>
      </w:pPr>
      <w:r>
        <w:rPr>
          <w:noProof/>
          <w:lang w:val="en-IE"/>
        </w:rPr>
        <w:t>Information received from citizens</w:t>
      </w:r>
    </w:p>
    <w:p w14:paraId="5E0ABB3D" w14:textId="03CAEA2B" w:rsidR="00A93AB1" w:rsidRPr="00F11519" w:rsidRDefault="00A93AB1" w:rsidP="00166BBD">
      <w:pPr>
        <w:spacing w:after="240" w:line="240" w:lineRule="auto"/>
        <w:jc w:val="both"/>
        <w:rPr>
          <w:rFonts w:ascii="Times New Roman" w:hAnsi="Times New Roman" w:cs="Times New Roman"/>
          <w:noProof/>
          <w:sz w:val="24"/>
          <w:szCs w:val="24"/>
          <w:lang w:eastAsia="zh-CN"/>
        </w:rPr>
      </w:pPr>
      <w:r w:rsidRPr="00F11519">
        <w:rPr>
          <w:rFonts w:ascii="Times New Roman" w:hAnsi="Times New Roman" w:cs="Times New Roman"/>
          <w:noProof/>
          <w:sz w:val="24"/>
          <w:szCs w:val="24"/>
          <w:lang w:eastAsia="zh-CN"/>
        </w:rPr>
        <w:t xml:space="preserve">Since the </w:t>
      </w:r>
      <w:r>
        <w:rPr>
          <w:rFonts w:ascii="Times New Roman" w:hAnsi="Times New Roman" w:cs="Times New Roman"/>
          <w:noProof/>
          <w:sz w:val="24"/>
          <w:szCs w:val="24"/>
          <w:lang w:eastAsia="zh-CN"/>
        </w:rPr>
        <w:t xml:space="preserve">entry into </w:t>
      </w:r>
      <w:r w:rsidRPr="00F11519">
        <w:rPr>
          <w:rFonts w:ascii="Times New Roman" w:hAnsi="Times New Roman" w:cs="Times New Roman"/>
          <w:noProof/>
          <w:sz w:val="24"/>
          <w:szCs w:val="24"/>
          <w:lang w:eastAsia="zh-CN"/>
        </w:rPr>
        <w:t xml:space="preserve">application of the Regulation, the Commission has received a number of complaints and letters from citizens concerning </w:t>
      </w:r>
      <w:r>
        <w:rPr>
          <w:rFonts w:ascii="Times New Roman" w:hAnsi="Times New Roman" w:cs="Times New Roman"/>
          <w:noProof/>
          <w:sz w:val="24"/>
          <w:szCs w:val="24"/>
          <w:lang w:eastAsia="zh-CN"/>
        </w:rPr>
        <w:t xml:space="preserve">the </w:t>
      </w:r>
      <w:r w:rsidR="00E638AB">
        <w:rPr>
          <w:rFonts w:ascii="Times New Roman" w:hAnsi="Times New Roman" w:cs="Times New Roman"/>
          <w:noProof/>
          <w:sz w:val="24"/>
          <w:szCs w:val="24"/>
          <w:lang w:eastAsia="zh-CN"/>
        </w:rPr>
        <w:t xml:space="preserve">documents covered by </w:t>
      </w:r>
      <w:r>
        <w:rPr>
          <w:rFonts w:ascii="Times New Roman" w:hAnsi="Times New Roman" w:cs="Times New Roman"/>
          <w:noProof/>
          <w:sz w:val="24"/>
          <w:szCs w:val="24"/>
          <w:lang w:eastAsia="zh-CN"/>
        </w:rPr>
        <w:t>the Regulation</w:t>
      </w:r>
      <w:r w:rsidRPr="00F11519">
        <w:rPr>
          <w:rFonts w:ascii="Times New Roman" w:hAnsi="Times New Roman" w:cs="Times New Roman"/>
          <w:noProof/>
          <w:sz w:val="24"/>
          <w:szCs w:val="24"/>
          <w:lang w:eastAsia="zh-CN"/>
        </w:rPr>
        <w:t xml:space="preserve">. Most of </w:t>
      </w:r>
      <w:r>
        <w:rPr>
          <w:rFonts w:ascii="Times New Roman" w:hAnsi="Times New Roman" w:cs="Times New Roman"/>
          <w:noProof/>
          <w:sz w:val="24"/>
          <w:szCs w:val="24"/>
          <w:lang w:eastAsia="zh-CN"/>
        </w:rPr>
        <w:t>that correspondence</w:t>
      </w:r>
      <w:r w:rsidRPr="00F11519">
        <w:rPr>
          <w:rFonts w:ascii="Times New Roman" w:hAnsi="Times New Roman" w:cs="Times New Roman"/>
          <w:noProof/>
          <w:sz w:val="24"/>
          <w:szCs w:val="24"/>
          <w:lang w:eastAsia="zh-CN"/>
        </w:rPr>
        <w:t xml:space="preserve"> concern</w:t>
      </w:r>
      <w:r>
        <w:rPr>
          <w:rFonts w:ascii="Times New Roman" w:hAnsi="Times New Roman" w:cs="Times New Roman"/>
          <w:noProof/>
          <w:sz w:val="24"/>
          <w:szCs w:val="24"/>
          <w:lang w:eastAsia="zh-CN"/>
        </w:rPr>
        <w:t>ed</w:t>
      </w:r>
      <w:r w:rsidRPr="00F11519">
        <w:rPr>
          <w:rFonts w:ascii="Times New Roman" w:hAnsi="Times New Roman" w:cs="Times New Roman"/>
          <w:noProof/>
          <w:sz w:val="24"/>
          <w:szCs w:val="24"/>
          <w:lang w:eastAsia="zh-CN"/>
        </w:rPr>
        <w:t xml:space="preserve"> </w:t>
      </w:r>
      <w:r w:rsidR="00ED0609">
        <w:rPr>
          <w:rFonts w:ascii="Times New Roman" w:hAnsi="Times New Roman" w:cs="Times New Roman"/>
          <w:noProof/>
          <w:sz w:val="24"/>
          <w:szCs w:val="24"/>
          <w:lang w:eastAsia="zh-CN"/>
        </w:rPr>
        <w:t xml:space="preserve">issues </w:t>
      </w:r>
      <w:r>
        <w:rPr>
          <w:rFonts w:ascii="Times New Roman" w:hAnsi="Times New Roman" w:cs="Times New Roman"/>
          <w:noProof/>
          <w:sz w:val="24"/>
          <w:szCs w:val="24"/>
          <w:lang w:eastAsia="zh-CN"/>
        </w:rPr>
        <w:t xml:space="preserve">unrelated to the </w:t>
      </w:r>
      <w:r w:rsidRPr="000B1F70">
        <w:rPr>
          <w:rFonts w:ascii="Times New Roman" w:hAnsi="Times New Roman" w:cs="Times New Roman"/>
          <w:noProof/>
          <w:sz w:val="24"/>
          <w:szCs w:val="24"/>
          <w:lang w:eastAsia="zh-CN"/>
        </w:rPr>
        <w:t>implementation the Regulation</w:t>
      </w:r>
      <w:r>
        <w:rPr>
          <w:rFonts w:ascii="Times New Roman" w:hAnsi="Times New Roman" w:cs="Times New Roman"/>
          <w:noProof/>
          <w:sz w:val="24"/>
          <w:szCs w:val="24"/>
          <w:lang w:eastAsia="zh-CN"/>
        </w:rPr>
        <w:t xml:space="preserve">, </w:t>
      </w:r>
      <w:r w:rsidR="00ED0609">
        <w:rPr>
          <w:rFonts w:ascii="Times New Roman" w:hAnsi="Times New Roman" w:cs="Times New Roman"/>
          <w:noProof/>
          <w:sz w:val="24"/>
          <w:szCs w:val="24"/>
          <w:lang w:eastAsia="zh-CN"/>
        </w:rPr>
        <w:t xml:space="preserve">notably </w:t>
      </w:r>
      <w:r>
        <w:rPr>
          <w:rFonts w:ascii="Times New Roman" w:hAnsi="Times New Roman" w:cs="Times New Roman"/>
          <w:noProof/>
          <w:sz w:val="24"/>
          <w:szCs w:val="24"/>
          <w:lang w:eastAsia="zh-CN"/>
        </w:rPr>
        <w:t>national administrative procedures linked to the issuance of identity cards</w:t>
      </w:r>
      <w:r w:rsidR="00710FF4">
        <w:rPr>
          <w:rFonts w:ascii="Times New Roman" w:hAnsi="Times New Roman" w:cs="Times New Roman"/>
          <w:noProof/>
          <w:sz w:val="24"/>
          <w:szCs w:val="24"/>
          <w:lang w:eastAsia="zh-CN"/>
        </w:rPr>
        <w:t xml:space="preserve"> and residence documents</w:t>
      </w:r>
      <w:r>
        <w:rPr>
          <w:rFonts w:ascii="Times New Roman" w:hAnsi="Times New Roman" w:cs="Times New Roman"/>
          <w:noProof/>
          <w:sz w:val="24"/>
          <w:szCs w:val="24"/>
          <w:lang w:eastAsia="zh-CN"/>
        </w:rPr>
        <w:t xml:space="preserve"> in the Member States</w:t>
      </w:r>
      <w:r w:rsidR="00ED0609">
        <w:rPr>
          <w:rFonts w:ascii="Times New Roman" w:hAnsi="Times New Roman" w:cs="Times New Roman"/>
          <w:noProof/>
          <w:sz w:val="24"/>
          <w:szCs w:val="24"/>
          <w:lang w:eastAsia="zh-CN"/>
        </w:rPr>
        <w:t xml:space="preserve"> and</w:t>
      </w:r>
      <w:r>
        <w:rPr>
          <w:rFonts w:ascii="Times New Roman" w:hAnsi="Times New Roman" w:cs="Times New Roman"/>
          <w:noProof/>
          <w:sz w:val="24"/>
          <w:szCs w:val="24"/>
          <w:lang w:eastAsia="zh-CN"/>
        </w:rPr>
        <w:t xml:space="preserve"> delays</w:t>
      </w:r>
      <w:r w:rsidR="00ED0609">
        <w:rPr>
          <w:rFonts w:ascii="Times New Roman" w:hAnsi="Times New Roman" w:cs="Times New Roman"/>
          <w:noProof/>
          <w:sz w:val="24"/>
          <w:szCs w:val="24"/>
          <w:lang w:eastAsia="zh-CN"/>
        </w:rPr>
        <w:t xml:space="preserve"> in these procedures</w:t>
      </w:r>
      <w:r w:rsidRPr="00F11519">
        <w:rPr>
          <w:rFonts w:ascii="Times New Roman" w:hAnsi="Times New Roman" w:cs="Times New Roman"/>
          <w:noProof/>
          <w:sz w:val="24"/>
          <w:szCs w:val="24"/>
          <w:lang w:eastAsia="zh-CN"/>
        </w:rPr>
        <w:t xml:space="preserve">. The letters and complaints concerning the implementation of the Regulation </w:t>
      </w:r>
      <w:r>
        <w:rPr>
          <w:rFonts w:ascii="Times New Roman" w:hAnsi="Times New Roman" w:cs="Times New Roman"/>
          <w:noProof/>
          <w:sz w:val="24"/>
          <w:szCs w:val="24"/>
          <w:lang w:eastAsia="zh-CN"/>
        </w:rPr>
        <w:t xml:space="preserve">mainly concerned the mandatory inclusion of fingerprints </w:t>
      </w:r>
      <w:r w:rsidR="00032626">
        <w:rPr>
          <w:rFonts w:ascii="Times New Roman" w:hAnsi="Times New Roman" w:cs="Times New Roman"/>
          <w:noProof/>
          <w:sz w:val="24"/>
          <w:szCs w:val="24"/>
          <w:lang w:eastAsia="zh-CN"/>
        </w:rPr>
        <w:t>(</w:t>
      </w:r>
      <w:r>
        <w:rPr>
          <w:rFonts w:ascii="Times New Roman" w:hAnsi="Times New Roman" w:cs="Times New Roman"/>
          <w:noProof/>
          <w:sz w:val="24"/>
          <w:szCs w:val="24"/>
          <w:lang w:eastAsia="zh-CN"/>
        </w:rPr>
        <w:t>in this context, see Section 2.3.2</w:t>
      </w:r>
      <w:r w:rsidR="00032626">
        <w:rPr>
          <w:rFonts w:ascii="Times New Roman" w:hAnsi="Times New Roman" w:cs="Times New Roman"/>
          <w:noProof/>
          <w:sz w:val="24"/>
          <w:szCs w:val="24"/>
          <w:lang w:eastAsia="zh-CN"/>
        </w:rPr>
        <w:t>)</w:t>
      </w:r>
      <w:r>
        <w:rPr>
          <w:rFonts w:ascii="Times New Roman" w:hAnsi="Times New Roman" w:cs="Times New Roman"/>
          <w:noProof/>
          <w:sz w:val="24"/>
          <w:szCs w:val="24"/>
          <w:lang w:eastAsia="zh-CN"/>
        </w:rPr>
        <w:t>.</w:t>
      </w:r>
    </w:p>
    <w:p w14:paraId="0B1F8BD8" w14:textId="16E91AA9" w:rsidR="00D021EB" w:rsidRDefault="00D021EB" w:rsidP="00166BBD">
      <w:pPr>
        <w:spacing w:after="240" w:line="240" w:lineRule="auto"/>
        <w:jc w:val="both"/>
        <w:rPr>
          <w:rFonts w:ascii="Times New Roman" w:hAnsi="Times New Roman" w:cs="Times New Roman"/>
          <w:noProof/>
          <w:color w:val="000000"/>
          <w:sz w:val="24"/>
          <w:szCs w:val="24"/>
          <w:shd w:val="clear" w:color="auto" w:fill="FFFFFF"/>
        </w:rPr>
      </w:pPr>
    </w:p>
    <w:p w14:paraId="3576336B" w14:textId="088B5EA9" w:rsidR="0047249C" w:rsidRDefault="0047249C" w:rsidP="00166BBD">
      <w:pPr>
        <w:pStyle w:val="Heading2"/>
        <w:spacing w:before="0" w:line="240" w:lineRule="auto"/>
        <w:ind w:left="578" w:hanging="578"/>
      </w:pPr>
      <w:r>
        <w:t xml:space="preserve">Other relevant developments </w:t>
      </w:r>
    </w:p>
    <w:p w14:paraId="129F4F1D" w14:textId="77777777" w:rsidR="0047249C" w:rsidRDefault="0047249C" w:rsidP="00166BBD">
      <w:pPr>
        <w:pStyle w:val="Heading3"/>
        <w:spacing w:line="240" w:lineRule="auto"/>
        <w:ind w:left="720"/>
        <w:rPr>
          <w:rFonts w:cs="Times New Roman"/>
          <w:noProof/>
          <w:szCs w:val="28"/>
          <w:lang w:val="en-IE"/>
        </w:rPr>
      </w:pPr>
      <w:r>
        <w:rPr>
          <w:rFonts w:cs="Times New Roman"/>
          <w:noProof/>
          <w:szCs w:val="28"/>
          <w:lang w:val="en-IE"/>
        </w:rPr>
        <w:t>Digitalisation of travel documents and travel facilitation</w:t>
      </w:r>
    </w:p>
    <w:p w14:paraId="04AACAB4" w14:textId="77777777" w:rsidR="0047249C" w:rsidRDefault="0047249C" w:rsidP="00166BBD">
      <w:pPr>
        <w:spacing w:after="240" w:line="240" w:lineRule="auto"/>
        <w:jc w:val="both"/>
        <w:rPr>
          <w:rFonts w:ascii="Times New Roman" w:hAnsi="Times New Roman" w:cs="Times New Roman"/>
          <w:b/>
          <w:bCs/>
          <w:noProof/>
          <w:color w:val="000000"/>
          <w:sz w:val="24"/>
          <w:szCs w:val="24"/>
          <w:shd w:val="clear" w:color="auto" w:fill="FFFFFF"/>
        </w:rPr>
      </w:pPr>
      <w:r w:rsidRPr="006311A3">
        <w:rPr>
          <w:rFonts w:ascii="Times New Roman" w:hAnsi="Times New Roman" w:cs="Times New Roman"/>
          <w:noProof/>
          <w:color w:val="000000"/>
          <w:sz w:val="24"/>
          <w:szCs w:val="24"/>
          <w:shd w:val="clear" w:color="auto" w:fill="FFFFFF"/>
        </w:rPr>
        <w:t>On 2 June 2021, the Commission</w:t>
      </w:r>
      <w:r>
        <w:rPr>
          <w:rFonts w:ascii="Times New Roman" w:hAnsi="Times New Roman" w:cs="Times New Roman"/>
          <w:noProof/>
          <w:color w:val="000000"/>
          <w:sz w:val="24"/>
          <w:szCs w:val="24"/>
          <w:shd w:val="clear" w:color="auto" w:fill="FFFFFF"/>
        </w:rPr>
        <w:t xml:space="preserve"> adopted a</w:t>
      </w:r>
      <w:r w:rsidRPr="006311A3">
        <w:rPr>
          <w:rFonts w:ascii="Times New Roman" w:hAnsi="Times New Roman" w:cs="Times New Roman"/>
          <w:noProof/>
          <w:color w:val="000000"/>
          <w:sz w:val="24"/>
          <w:szCs w:val="24"/>
          <w:shd w:val="clear" w:color="auto" w:fill="FFFFFF"/>
        </w:rPr>
        <w:t xml:space="preserve"> Communication on </w:t>
      </w:r>
      <w:r>
        <w:rPr>
          <w:rFonts w:ascii="Times New Roman" w:hAnsi="Times New Roman" w:cs="Times New Roman"/>
          <w:noProof/>
          <w:color w:val="000000"/>
          <w:sz w:val="24"/>
          <w:szCs w:val="24"/>
          <w:shd w:val="clear" w:color="auto" w:fill="FFFFFF"/>
        </w:rPr>
        <w:t xml:space="preserve">a </w:t>
      </w:r>
      <w:r w:rsidRPr="00104FBE">
        <w:rPr>
          <w:rFonts w:ascii="Times New Roman" w:hAnsi="Times New Roman" w:cs="Times New Roman"/>
          <w:noProof/>
          <w:color w:val="000000"/>
          <w:sz w:val="24"/>
          <w:szCs w:val="24"/>
          <w:shd w:val="clear" w:color="auto" w:fill="FFFFFF"/>
        </w:rPr>
        <w:t>strategy towards a fully functioning and resilient Schengen area</w:t>
      </w:r>
      <w:r>
        <w:rPr>
          <w:rStyle w:val="FootnoteReference"/>
          <w:rFonts w:ascii="Times New Roman" w:hAnsi="Times New Roman" w:cs="Times New Roman"/>
          <w:noProof/>
          <w:color w:val="000000"/>
          <w:sz w:val="24"/>
          <w:szCs w:val="24"/>
          <w:shd w:val="clear" w:color="auto" w:fill="FFFFFF"/>
        </w:rPr>
        <w:footnoteReference w:id="49"/>
      </w:r>
      <w:r>
        <w:rPr>
          <w:rFonts w:ascii="Times New Roman" w:hAnsi="Times New Roman" w:cs="Times New Roman"/>
          <w:noProof/>
          <w:color w:val="000000"/>
          <w:sz w:val="24"/>
          <w:szCs w:val="24"/>
          <w:shd w:val="clear" w:color="auto" w:fill="FFFFFF"/>
        </w:rPr>
        <w:t>. The strategy noted that o</w:t>
      </w:r>
      <w:r w:rsidRPr="00104FBE">
        <w:rPr>
          <w:rFonts w:ascii="Times New Roman" w:hAnsi="Times New Roman" w:cs="Times New Roman"/>
          <w:noProof/>
          <w:color w:val="000000"/>
          <w:sz w:val="24"/>
          <w:szCs w:val="24"/>
          <w:shd w:val="clear" w:color="auto" w:fill="FFFFFF"/>
        </w:rPr>
        <w:t xml:space="preserve">nce global travel recovers from the COVID-19 pandemic, strong increases in passenger flows can be expected. This will give a new impetus to the digitalisation process that already started before the pandemic and will require innovative ways to facilitate and accelerate border controls at international ports of entry. Digital documentation is both more efficient and secure. </w:t>
      </w:r>
      <w:r>
        <w:rPr>
          <w:rFonts w:ascii="Times New Roman" w:hAnsi="Times New Roman" w:cs="Times New Roman"/>
          <w:noProof/>
          <w:color w:val="000000"/>
          <w:sz w:val="24"/>
          <w:szCs w:val="24"/>
          <w:shd w:val="clear" w:color="auto" w:fill="FFFFFF"/>
        </w:rPr>
        <w:t>The Commission announced that</w:t>
      </w:r>
      <w:r w:rsidRPr="00104FBE">
        <w:rPr>
          <w:rFonts w:ascii="Times New Roman" w:hAnsi="Times New Roman" w:cs="Times New Roman"/>
          <w:noProof/>
          <w:color w:val="000000"/>
          <w:sz w:val="24"/>
          <w:szCs w:val="24"/>
          <w:shd w:val="clear" w:color="auto" w:fill="FFFFFF"/>
        </w:rPr>
        <w:t xml:space="preserve">, following an in-depth assessment and the necessary consultations, </w:t>
      </w:r>
      <w:r>
        <w:rPr>
          <w:rFonts w:ascii="Times New Roman" w:hAnsi="Times New Roman" w:cs="Times New Roman"/>
          <w:noProof/>
          <w:color w:val="000000"/>
          <w:sz w:val="24"/>
          <w:szCs w:val="24"/>
          <w:shd w:val="clear" w:color="auto" w:fill="FFFFFF"/>
        </w:rPr>
        <w:t>it</w:t>
      </w:r>
      <w:r w:rsidRPr="00104FBE">
        <w:rPr>
          <w:rFonts w:ascii="Times New Roman" w:hAnsi="Times New Roman" w:cs="Times New Roman"/>
          <w:noProof/>
          <w:color w:val="000000"/>
          <w:sz w:val="24"/>
          <w:szCs w:val="24"/>
          <w:shd w:val="clear" w:color="auto" w:fill="FFFFFF"/>
        </w:rPr>
        <w:t xml:space="preserve"> intends to present a proposal for a </w:t>
      </w:r>
      <w:r w:rsidRPr="00E7248C">
        <w:rPr>
          <w:rFonts w:ascii="Times New Roman" w:hAnsi="Times New Roman" w:cs="Times New Roman"/>
          <w:noProof/>
          <w:color w:val="000000"/>
          <w:sz w:val="24"/>
          <w:szCs w:val="24"/>
          <w:shd w:val="clear" w:color="auto" w:fill="FFFFFF"/>
        </w:rPr>
        <w:t>Regulation on digitalisation</w:t>
      </w:r>
      <w:r w:rsidRPr="00E7248C">
        <w:rPr>
          <w:rFonts w:ascii="Times New Roman" w:hAnsi="Times New Roman" w:cs="Times New Roman"/>
          <w:noProof/>
          <w:sz w:val="24"/>
          <w:szCs w:val="24"/>
        </w:rPr>
        <w:t xml:space="preserve"> of travel documents and facilitation of travel</w:t>
      </w:r>
      <w:r w:rsidRPr="00E7248C">
        <w:rPr>
          <w:rFonts w:ascii="Times New Roman" w:hAnsi="Times New Roman" w:cs="Times New Roman"/>
          <w:noProof/>
          <w:color w:val="000000"/>
          <w:sz w:val="24"/>
          <w:szCs w:val="24"/>
          <w:shd w:val="clear" w:color="auto" w:fill="FFFFFF"/>
        </w:rPr>
        <w:t>.</w:t>
      </w:r>
    </w:p>
    <w:p w14:paraId="272F1397" w14:textId="60878BB3" w:rsidR="0047249C" w:rsidRDefault="0047249C" w:rsidP="00166BBD">
      <w:pPr>
        <w:spacing w:after="240" w:line="240" w:lineRule="auto"/>
        <w:jc w:val="both"/>
        <w:rPr>
          <w:rFonts w:ascii="Times New Roman" w:hAnsi="Times New Roman" w:cs="Times New Roman"/>
          <w:noProof/>
          <w:color w:val="000000"/>
          <w:sz w:val="24"/>
          <w:szCs w:val="24"/>
          <w:shd w:val="clear" w:color="auto" w:fill="FFFFFF"/>
        </w:rPr>
      </w:pPr>
      <w:r w:rsidRPr="006311A3">
        <w:rPr>
          <w:rFonts w:ascii="Times New Roman" w:hAnsi="Times New Roman" w:cs="Times New Roman"/>
          <w:noProof/>
          <w:color w:val="000000"/>
          <w:sz w:val="24"/>
          <w:szCs w:val="24"/>
          <w:shd w:val="clear" w:color="auto" w:fill="FFFFFF"/>
        </w:rPr>
        <w:t xml:space="preserve">By introducing digital travel documents for </w:t>
      </w:r>
      <w:r w:rsidR="00A419D1">
        <w:rPr>
          <w:rFonts w:ascii="Times New Roman" w:hAnsi="Times New Roman" w:cs="Times New Roman"/>
          <w:noProof/>
          <w:color w:val="000000"/>
          <w:sz w:val="24"/>
          <w:szCs w:val="24"/>
          <w:shd w:val="clear" w:color="auto" w:fill="FFFFFF"/>
        </w:rPr>
        <w:t>EU</w:t>
      </w:r>
      <w:r w:rsidRPr="006311A3">
        <w:rPr>
          <w:rFonts w:ascii="Times New Roman" w:hAnsi="Times New Roman" w:cs="Times New Roman"/>
          <w:noProof/>
          <w:color w:val="000000"/>
          <w:sz w:val="24"/>
          <w:szCs w:val="24"/>
          <w:shd w:val="clear" w:color="auto" w:fill="FFFFFF"/>
        </w:rPr>
        <w:t xml:space="preserve"> citizens, the </w:t>
      </w:r>
      <w:r>
        <w:rPr>
          <w:rFonts w:ascii="Times New Roman" w:hAnsi="Times New Roman" w:cs="Times New Roman"/>
          <w:noProof/>
          <w:color w:val="000000"/>
          <w:sz w:val="24"/>
          <w:szCs w:val="24"/>
          <w:shd w:val="clear" w:color="auto" w:fill="FFFFFF"/>
        </w:rPr>
        <w:t>Commission</w:t>
      </w:r>
      <w:r w:rsidRPr="006311A3">
        <w:rPr>
          <w:rFonts w:ascii="Times New Roman" w:hAnsi="Times New Roman" w:cs="Times New Roman"/>
          <w:noProof/>
          <w:color w:val="000000"/>
          <w:sz w:val="24"/>
          <w:szCs w:val="24"/>
          <w:shd w:val="clear" w:color="auto" w:fill="FFFFFF"/>
        </w:rPr>
        <w:t xml:space="preserve"> aims to facilitate travel across external borders, to relieve pressure and bottlenecks at border-crossing points and to shorten waiting times as well as increase the security and efficiency of border checks. It also aims to facilitate the exercise of free movement for </w:t>
      </w:r>
      <w:r w:rsidR="00A419D1">
        <w:rPr>
          <w:rFonts w:ascii="Times New Roman" w:hAnsi="Times New Roman" w:cs="Times New Roman"/>
          <w:noProof/>
          <w:color w:val="000000"/>
          <w:sz w:val="24"/>
          <w:szCs w:val="24"/>
          <w:shd w:val="clear" w:color="auto" w:fill="FFFFFF"/>
        </w:rPr>
        <w:t>EU</w:t>
      </w:r>
      <w:r w:rsidRPr="006311A3">
        <w:rPr>
          <w:rFonts w:ascii="Times New Roman" w:hAnsi="Times New Roman" w:cs="Times New Roman"/>
          <w:noProof/>
          <w:color w:val="000000"/>
          <w:sz w:val="24"/>
          <w:szCs w:val="24"/>
          <w:shd w:val="clear" w:color="auto" w:fill="FFFFFF"/>
        </w:rPr>
        <w:t xml:space="preserve"> citizens and their family members. </w:t>
      </w:r>
    </w:p>
    <w:p w14:paraId="540F442C" w14:textId="63AA4B80" w:rsidR="0047249C" w:rsidRPr="00E7248C" w:rsidRDefault="0047249C" w:rsidP="00166BBD">
      <w:pPr>
        <w:spacing w:after="240" w:line="240" w:lineRule="auto"/>
        <w:jc w:val="both"/>
        <w:rPr>
          <w:rFonts w:ascii="Times New Roman" w:hAnsi="Times New Roman"/>
          <w:noProof/>
          <w:color w:val="000000"/>
          <w:sz w:val="24"/>
          <w:shd w:val="clear" w:color="auto" w:fill="FFFFFF"/>
        </w:rPr>
      </w:pPr>
      <w:r w:rsidRPr="001B74DC">
        <w:rPr>
          <w:rFonts w:ascii="Times New Roman" w:hAnsi="Times New Roman" w:cs="Times New Roman"/>
          <w:noProof/>
          <w:color w:val="000000"/>
          <w:sz w:val="24"/>
          <w:szCs w:val="24"/>
          <w:shd w:val="clear" w:color="auto" w:fill="FFFFFF"/>
        </w:rPr>
        <w:t>A standard for digital travel documents</w:t>
      </w:r>
      <w:r>
        <w:rPr>
          <w:rFonts w:ascii="Times New Roman" w:hAnsi="Times New Roman" w:cs="Times New Roman"/>
          <w:noProof/>
          <w:color w:val="000000"/>
          <w:sz w:val="24"/>
          <w:szCs w:val="24"/>
          <w:shd w:val="clear" w:color="auto" w:fill="FFFFFF"/>
        </w:rPr>
        <w:t xml:space="preserve"> (so-called Digital Travel Credentials)</w:t>
      </w:r>
      <w:r w:rsidRPr="001B74DC">
        <w:rPr>
          <w:rFonts w:ascii="Times New Roman" w:hAnsi="Times New Roman" w:cs="Times New Roman"/>
          <w:noProof/>
          <w:color w:val="000000"/>
          <w:sz w:val="24"/>
          <w:szCs w:val="24"/>
          <w:shd w:val="clear" w:color="auto" w:fill="FFFFFF"/>
        </w:rPr>
        <w:t xml:space="preserve"> has been established by ICAO, as done historically for the physical ePassport document and the electronic data contained in its chip</w:t>
      </w:r>
      <w:r>
        <w:rPr>
          <w:rStyle w:val="FootnoteReference"/>
          <w:rFonts w:ascii="Times New Roman" w:hAnsi="Times New Roman" w:cs="Times New Roman"/>
          <w:noProof/>
          <w:color w:val="000000"/>
          <w:sz w:val="24"/>
          <w:szCs w:val="24"/>
          <w:shd w:val="clear" w:color="auto" w:fill="FFFFFF"/>
        </w:rPr>
        <w:footnoteReference w:id="50"/>
      </w:r>
      <w:r w:rsidRPr="001B74DC">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Digital Travel Credentials</w:t>
      </w:r>
      <w:r w:rsidRPr="00E7248C">
        <w:rPr>
          <w:rFonts w:ascii="Times New Roman" w:hAnsi="Times New Roman"/>
          <w:noProof/>
          <w:color w:val="000000"/>
          <w:sz w:val="24"/>
          <w:shd w:val="clear" w:color="auto" w:fill="FFFFFF"/>
        </w:rPr>
        <w:t xml:space="preserve"> </w:t>
      </w:r>
      <w:r w:rsidRPr="006F4518">
        <w:rPr>
          <w:rFonts w:ascii="Times New Roman" w:hAnsi="Times New Roman" w:cs="Times New Roman"/>
          <w:noProof/>
          <w:color w:val="000000"/>
          <w:sz w:val="24"/>
          <w:szCs w:val="24"/>
          <w:shd w:val="clear" w:color="auto" w:fill="FFFFFF"/>
        </w:rPr>
        <w:t xml:space="preserve">can be derived from an existing passport or identity card. Travellers would have a copy of the data stored on the </w:t>
      </w:r>
      <w:r>
        <w:rPr>
          <w:rFonts w:ascii="Times New Roman" w:hAnsi="Times New Roman" w:cs="Times New Roman"/>
          <w:noProof/>
          <w:color w:val="000000"/>
          <w:sz w:val="24"/>
          <w:szCs w:val="24"/>
          <w:shd w:val="clear" w:color="auto" w:fill="FFFFFF"/>
        </w:rPr>
        <w:t>storage medium of</w:t>
      </w:r>
      <w:r w:rsidRPr="006F4518">
        <w:rPr>
          <w:rFonts w:ascii="Times New Roman" w:hAnsi="Times New Roman" w:cs="Times New Roman"/>
          <w:noProof/>
          <w:color w:val="000000"/>
          <w:sz w:val="24"/>
          <w:szCs w:val="24"/>
          <w:shd w:val="clear" w:color="auto" w:fill="FFFFFF"/>
        </w:rPr>
        <w:t xml:space="preserve"> the physical travel document replicated into an application hosted on a device</w:t>
      </w:r>
      <w:r>
        <w:rPr>
          <w:rFonts w:ascii="Times New Roman" w:hAnsi="Times New Roman" w:cs="Times New Roman"/>
          <w:noProof/>
          <w:color w:val="000000"/>
          <w:sz w:val="24"/>
          <w:szCs w:val="24"/>
          <w:shd w:val="clear" w:color="auto" w:fill="FFFFFF"/>
        </w:rPr>
        <w:t xml:space="preserve">, such as a </w:t>
      </w:r>
      <w:r w:rsidRPr="006F4518">
        <w:rPr>
          <w:rFonts w:ascii="Times New Roman" w:hAnsi="Times New Roman" w:cs="Times New Roman"/>
          <w:noProof/>
          <w:color w:val="000000"/>
          <w:sz w:val="24"/>
          <w:szCs w:val="24"/>
          <w:shd w:val="clear" w:color="auto" w:fill="FFFFFF"/>
        </w:rPr>
        <w:t>mobile phone</w:t>
      </w:r>
      <w:r>
        <w:rPr>
          <w:rFonts w:ascii="Times New Roman" w:hAnsi="Times New Roman" w:cs="Times New Roman"/>
          <w:noProof/>
          <w:color w:val="000000"/>
          <w:sz w:val="24"/>
          <w:szCs w:val="24"/>
          <w:shd w:val="clear" w:color="auto" w:fill="FFFFFF"/>
        </w:rPr>
        <w:t xml:space="preserve"> (fingerprints not included)</w:t>
      </w:r>
      <w:r w:rsidRPr="006F4518">
        <w:rPr>
          <w:rFonts w:ascii="Times New Roman" w:hAnsi="Times New Roman" w:cs="Times New Roman"/>
          <w:noProof/>
          <w:color w:val="000000"/>
          <w:sz w:val="24"/>
          <w:szCs w:val="24"/>
          <w:shd w:val="clear" w:color="auto" w:fill="FFFFFF"/>
        </w:rPr>
        <w:t>.</w:t>
      </w:r>
      <w:r w:rsidRPr="00104FBE">
        <w:rPr>
          <w:rFonts w:ascii="Times New Roman" w:hAnsi="Times New Roman" w:cs="Times New Roman"/>
          <w:noProof/>
          <w:color w:val="000000"/>
          <w:sz w:val="24"/>
          <w:szCs w:val="24"/>
          <w:shd w:val="clear" w:color="auto" w:fill="FFFFFF"/>
        </w:rPr>
        <w:t xml:space="preserve"> </w:t>
      </w:r>
      <w:r w:rsidRPr="006F4518">
        <w:rPr>
          <w:rFonts w:ascii="Times New Roman" w:hAnsi="Times New Roman" w:cs="Times New Roman"/>
          <w:noProof/>
          <w:color w:val="000000"/>
          <w:sz w:val="24"/>
          <w:szCs w:val="24"/>
          <w:shd w:val="clear" w:color="auto" w:fill="FFFFFF"/>
        </w:rPr>
        <w:t xml:space="preserve">Travellers would be able to send travel information up-front, giving authorities the time to filter the information and speed up </w:t>
      </w:r>
      <w:r>
        <w:rPr>
          <w:rFonts w:ascii="Times New Roman" w:hAnsi="Times New Roman" w:cs="Times New Roman"/>
          <w:noProof/>
          <w:color w:val="000000"/>
          <w:sz w:val="24"/>
          <w:szCs w:val="24"/>
          <w:shd w:val="clear" w:color="auto" w:fill="FFFFFF"/>
        </w:rPr>
        <w:t>any applicable</w:t>
      </w:r>
      <w:r w:rsidRPr="006F4518">
        <w:rPr>
          <w:rFonts w:ascii="Times New Roman" w:hAnsi="Times New Roman" w:cs="Times New Roman"/>
          <w:noProof/>
          <w:color w:val="000000"/>
          <w:sz w:val="24"/>
          <w:szCs w:val="24"/>
          <w:shd w:val="clear" w:color="auto" w:fill="FFFFFF"/>
        </w:rPr>
        <w:t xml:space="preserve"> border check</w:t>
      </w:r>
      <w:r>
        <w:rPr>
          <w:rFonts w:ascii="Times New Roman" w:hAnsi="Times New Roman" w:cs="Times New Roman"/>
          <w:noProof/>
          <w:color w:val="000000"/>
          <w:sz w:val="24"/>
          <w:szCs w:val="24"/>
          <w:shd w:val="clear" w:color="auto" w:fill="FFFFFF"/>
        </w:rPr>
        <w:t>s</w:t>
      </w:r>
      <w:r w:rsidRPr="006F4518">
        <w:rPr>
          <w:rFonts w:ascii="Times New Roman" w:hAnsi="Times New Roman" w:cs="Times New Roman"/>
          <w:noProof/>
          <w:color w:val="000000"/>
          <w:sz w:val="24"/>
          <w:szCs w:val="24"/>
          <w:shd w:val="clear" w:color="auto" w:fill="FFFFFF"/>
        </w:rPr>
        <w:t xml:space="preserve">. </w:t>
      </w:r>
    </w:p>
    <w:p w14:paraId="68B72E4A" w14:textId="77777777" w:rsidR="0047249C" w:rsidRPr="000E317B" w:rsidRDefault="0047249C" w:rsidP="00166BBD">
      <w:pPr>
        <w:spacing w:after="240" w:line="240" w:lineRule="auto"/>
        <w:jc w:val="both"/>
        <w:rPr>
          <w:rFonts w:ascii="Times New Roman" w:hAnsi="Times New Roman" w:cs="Times New Roman"/>
          <w:noProof/>
          <w:color w:val="000000"/>
          <w:sz w:val="24"/>
          <w:szCs w:val="24"/>
          <w:shd w:val="clear" w:color="auto" w:fill="FFFFFF"/>
          <w:lang w:val="en-GB"/>
        </w:rPr>
      </w:pPr>
      <w:r w:rsidRPr="00E7248C">
        <w:rPr>
          <w:rFonts w:ascii="Times New Roman" w:hAnsi="Times New Roman"/>
          <w:noProof/>
          <w:color w:val="000000"/>
          <w:sz w:val="24"/>
          <w:shd w:val="clear" w:color="auto" w:fill="FFFFFF"/>
        </w:rPr>
        <w:t xml:space="preserve">The Commission </w:t>
      </w:r>
      <w:r>
        <w:rPr>
          <w:rFonts w:ascii="Times New Roman" w:hAnsi="Times New Roman" w:cs="Times New Roman"/>
          <w:noProof/>
          <w:color w:val="000000"/>
          <w:sz w:val="24"/>
          <w:szCs w:val="24"/>
          <w:shd w:val="clear" w:color="auto" w:fill="FFFFFF"/>
        </w:rPr>
        <w:t>is currently carrying out the evidence-gathering and assessments necessary for the preparation of such a proposal.</w:t>
      </w:r>
    </w:p>
    <w:p w14:paraId="5677B2B6" w14:textId="77777777" w:rsidR="0047249C" w:rsidRDefault="0047249C" w:rsidP="00166BBD">
      <w:pPr>
        <w:pStyle w:val="Heading3"/>
        <w:spacing w:line="240" w:lineRule="auto"/>
        <w:ind w:left="720"/>
        <w:rPr>
          <w:rFonts w:cs="Times New Roman"/>
          <w:noProof/>
          <w:szCs w:val="28"/>
          <w:lang w:val="en-IE"/>
        </w:rPr>
      </w:pPr>
      <w:r w:rsidRPr="00E93CF8">
        <w:rPr>
          <w:rFonts w:cs="Times New Roman"/>
          <w:noProof/>
          <w:szCs w:val="28"/>
          <w:lang w:val="en-IE"/>
        </w:rPr>
        <w:t>European Digital Identity</w:t>
      </w:r>
    </w:p>
    <w:p w14:paraId="490FC430" w14:textId="6E080B5C" w:rsidR="0047249C" w:rsidRPr="00AE7646" w:rsidRDefault="0047249C" w:rsidP="00166BBD">
      <w:pPr>
        <w:pStyle w:val="5Normal"/>
        <w:tabs>
          <w:tab w:val="clear" w:pos="11057"/>
          <w:tab w:val="right" w:pos="9044"/>
        </w:tabs>
        <w:spacing w:after="240"/>
        <w:rPr>
          <w:rFonts w:ascii="Times New Roman" w:hAnsi="Times New Roman" w:cs="Times New Roman"/>
          <w:noProof/>
          <w:sz w:val="24"/>
          <w:szCs w:val="24"/>
        </w:rPr>
      </w:pPr>
      <w:r>
        <w:rPr>
          <w:rFonts w:ascii="Times New Roman" w:hAnsi="Times New Roman" w:cs="Times New Roman"/>
          <w:noProof/>
          <w:sz w:val="24"/>
          <w:szCs w:val="24"/>
        </w:rPr>
        <w:t>On 3 June 2021, t</w:t>
      </w:r>
      <w:r w:rsidRPr="00AE7646">
        <w:rPr>
          <w:rFonts w:ascii="Times New Roman" w:hAnsi="Times New Roman" w:cs="Times New Roman"/>
          <w:noProof/>
          <w:sz w:val="24"/>
          <w:szCs w:val="24"/>
        </w:rPr>
        <w:t>he Commission proposed a framework for a European Digital Identity</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w:t>
      </w:r>
      <w:r w:rsidRPr="00AE7646">
        <w:rPr>
          <w:rFonts w:ascii="Times New Roman" w:hAnsi="Times New Roman" w:cs="Times New Roman"/>
          <w:noProof/>
          <w:sz w:val="24"/>
          <w:szCs w:val="24"/>
        </w:rPr>
        <w:t xml:space="preserve">  which will be available to </w:t>
      </w:r>
      <w:r w:rsidR="00A419D1">
        <w:rPr>
          <w:rFonts w:ascii="Times New Roman" w:hAnsi="Times New Roman" w:cs="Times New Roman"/>
          <w:noProof/>
          <w:sz w:val="24"/>
          <w:szCs w:val="24"/>
        </w:rPr>
        <w:t>EU</w:t>
      </w:r>
      <w:r w:rsidRPr="00E93CF8">
        <w:rPr>
          <w:rFonts w:ascii="Times New Roman" w:hAnsi="Times New Roman" w:cs="Times New Roman"/>
          <w:noProof/>
          <w:sz w:val="24"/>
          <w:szCs w:val="24"/>
        </w:rPr>
        <w:t xml:space="preserve"> citizens, residents, and businesses</w:t>
      </w:r>
      <w:r w:rsidRPr="00E93CF8" w:rsidDel="00E93CF8">
        <w:rPr>
          <w:rFonts w:ascii="Times New Roman" w:hAnsi="Times New Roman" w:cs="Times New Roman"/>
          <w:noProof/>
          <w:sz w:val="24"/>
          <w:szCs w:val="24"/>
        </w:rPr>
        <w:t xml:space="preserve"> </w:t>
      </w:r>
      <w:r w:rsidRPr="00AE7646">
        <w:rPr>
          <w:rFonts w:ascii="Times New Roman" w:hAnsi="Times New Roman" w:cs="Times New Roman"/>
          <w:noProof/>
          <w:sz w:val="24"/>
          <w:szCs w:val="24"/>
        </w:rPr>
        <w:t>to identify</w:t>
      </w:r>
      <w:r>
        <w:rPr>
          <w:rFonts w:ascii="Times New Roman" w:hAnsi="Times New Roman" w:cs="Times New Roman"/>
          <w:noProof/>
          <w:sz w:val="24"/>
          <w:szCs w:val="24"/>
        </w:rPr>
        <w:t xml:space="preserve"> themselves</w:t>
      </w:r>
      <w:r w:rsidRPr="00AE7646">
        <w:rPr>
          <w:rFonts w:ascii="Times New Roman" w:hAnsi="Times New Roman" w:cs="Times New Roman"/>
          <w:noProof/>
          <w:sz w:val="24"/>
          <w:szCs w:val="24"/>
        </w:rPr>
        <w:t xml:space="preserve"> online </w:t>
      </w:r>
      <w:r>
        <w:rPr>
          <w:rFonts w:ascii="Times New Roman" w:hAnsi="Times New Roman" w:cs="Times New Roman"/>
          <w:noProof/>
          <w:sz w:val="24"/>
          <w:szCs w:val="24"/>
        </w:rPr>
        <w:t xml:space="preserve">and offline </w:t>
      </w:r>
      <w:r w:rsidRPr="00AE7646">
        <w:rPr>
          <w:rFonts w:ascii="Times New Roman" w:hAnsi="Times New Roman" w:cs="Times New Roman"/>
          <w:noProof/>
          <w:sz w:val="24"/>
          <w:szCs w:val="24"/>
        </w:rPr>
        <w:t>for public and private services.</w:t>
      </w:r>
      <w:r>
        <w:rPr>
          <w:rFonts w:ascii="Times New Roman" w:hAnsi="Times New Roman" w:cs="Times New Roman"/>
          <w:noProof/>
          <w:sz w:val="24"/>
          <w:szCs w:val="24"/>
        </w:rPr>
        <w:t xml:space="preserve"> </w:t>
      </w:r>
      <w:r w:rsidRPr="00AE7646">
        <w:rPr>
          <w:rFonts w:ascii="Times New Roman" w:hAnsi="Times New Roman" w:cs="Times New Roman"/>
          <w:noProof/>
          <w:sz w:val="24"/>
          <w:szCs w:val="24"/>
        </w:rPr>
        <w:t xml:space="preserve">The proposed </w:t>
      </w:r>
      <w:r>
        <w:rPr>
          <w:rFonts w:ascii="Times New Roman" w:hAnsi="Times New Roman" w:cs="Times New Roman"/>
          <w:noProof/>
          <w:sz w:val="24"/>
          <w:szCs w:val="24"/>
        </w:rPr>
        <w:t>R</w:t>
      </w:r>
      <w:r w:rsidRPr="00AE7646">
        <w:rPr>
          <w:rFonts w:ascii="Times New Roman" w:hAnsi="Times New Roman" w:cs="Times New Roman"/>
          <w:noProof/>
          <w:sz w:val="24"/>
          <w:szCs w:val="24"/>
        </w:rPr>
        <w:t xml:space="preserve">egulation </w:t>
      </w:r>
      <w:r>
        <w:rPr>
          <w:rFonts w:ascii="Times New Roman" w:hAnsi="Times New Roman" w:cs="Times New Roman"/>
          <w:noProof/>
          <w:sz w:val="24"/>
          <w:szCs w:val="24"/>
        </w:rPr>
        <w:t xml:space="preserve">seeks to </w:t>
      </w:r>
      <w:r w:rsidRPr="00AE7646">
        <w:rPr>
          <w:rFonts w:ascii="Times New Roman" w:hAnsi="Times New Roman" w:cs="Times New Roman"/>
          <w:noProof/>
          <w:sz w:val="24"/>
          <w:szCs w:val="24"/>
        </w:rPr>
        <w:t xml:space="preserve">establish a secure framework where citizens can link their national digital identities with digital attributes and credentials that will enable them to replace a variety of physical cards and passes thus simplifying their everyday lives. </w:t>
      </w:r>
    </w:p>
    <w:p w14:paraId="7CE637A1" w14:textId="0D7B9F0E" w:rsidR="0047249C" w:rsidRDefault="0047249C" w:rsidP="00166BBD">
      <w:pPr>
        <w:spacing w:after="240" w:line="240" w:lineRule="auto"/>
        <w:jc w:val="both"/>
        <w:rPr>
          <w:rFonts w:ascii="Times New Roman" w:hAnsi="Times New Roman" w:cs="Times New Roman"/>
          <w:noProof/>
          <w:sz w:val="24"/>
          <w:szCs w:val="24"/>
        </w:rPr>
      </w:pPr>
      <w:r w:rsidRPr="00AE7646">
        <w:rPr>
          <w:rFonts w:ascii="Times New Roman" w:hAnsi="Times New Roman" w:cs="Times New Roman"/>
          <w:noProof/>
          <w:sz w:val="24"/>
          <w:szCs w:val="24"/>
          <w:lang w:val="en-GB" w:eastAsia="zh-CN"/>
        </w:rPr>
        <w:t xml:space="preserve">The proposal </w:t>
      </w:r>
      <w:r w:rsidRPr="00AE7646">
        <w:rPr>
          <w:rFonts w:ascii="Times New Roman" w:hAnsi="Times New Roman" w:cs="Times New Roman"/>
          <w:noProof/>
          <w:sz w:val="24"/>
          <w:szCs w:val="24"/>
        </w:rPr>
        <w:t>for a European Digital Identity</w:t>
      </w:r>
      <w:r>
        <w:rPr>
          <w:rFonts w:ascii="Times New Roman" w:hAnsi="Times New Roman" w:cs="Times New Roman"/>
          <w:noProof/>
          <w:sz w:val="24"/>
          <w:szCs w:val="24"/>
        </w:rPr>
        <w:t>, currently under negotiations,</w:t>
      </w:r>
      <w:r w:rsidRPr="00AE7646">
        <w:rPr>
          <w:rFonts w:ascii="Times New Roman" w:hAnsi="Times New Roman" w:cs="Times New Roman"/>
          <w:noProof/>
          <w:sz w:val="24"/>
          <w:szCs w:val="24"/>
          <w:lang w:val="en-GB" w:eastAsia="zh-CN"/>
        </w:rPr>
        <w:t xml:space="preserve"> is aligned with the objectives of the Regulation</w:t>
      </w:r>
      <w:r>
        <w:rPr>
          <w:rFonts w:ascii="Times New Roman" w:hAnsi="Times New Roman" w:cs="Times New Roman"/>
          <w:noProof/>
          <w:sz w:val="24"/>
          <w:szCs w:val="24"/>
          <w:lang w:val="en-GB" w:eastAsia="zh-CN"/>
        </w:rPr>
        <w:t>. Identity</w:t>
      </w:r>
      <w:r w:rsidRPr="00AE7646">
        <w:rPr>
          <w:rFonts w:ascii="Times New Roman" w:hAnsi="Times New Roman" w:cs="Times New Roman"/>
          <w:noProof/>
          <w:sz w:val="24"/>
          <w:szCs w:val="24"/>
          <w:lang w:val="en-GB" w:eastAsia="zh-CN"/>
        </w:rPr>
        <w:t xml:space="preserve"> cards </w:t>
      </w:r>
      <w:r>
        <w:rPr>
          <w:rFonts w:ascii="Times New Roman" w:hAnsi="Times New Roman" w:cs="Times New Roman"/>
          <w:noProof/>
          <w:sz w:val="24"/>
          <w:szCs w:val="24"/>
          <w:lang w:val="en-GB" w:eastAsia="zh-CN"/>
        </w:rPr>
        <w:t xml:space="preserve">issued in accordance with the requirements of the Regulation </w:t>
      </w:r>
      <w:r w:rsidRPr="00AE7646">
        <w:rPr>
          <w:rFonts w:ascii="Times New Roman" w:hAnsi="Times New Roman" w:cs="Times New Roman"/>
          <w:noProof/>
          <w:sz w:val="24"/>
          <w:szCs w:val="24"/>
        </w:rPr>
        <w:t xml:space="preserve">contain secure information in a </w:t>
      </w:r>
      <w:r>
        <w:rPr>
          <w:rFonts w:ascii="Times New Roman" w:hAnsi="Times New Roman" w:cs="Times New Roman"/>
          <w:noProof/>
          <w:sz w:val="24"/>
          <w:szCs w:val="24"/>
        </w:rPr>
        <w:t>storage medium that</w:t>
      </w:r>
      <w:r w:rsidRPr="00AE7646">
        <w:rPr>
          <w:rFonts w:ascii="Times New Roman" w:hAnsi="Times New Roman" w:cs="Times New Roman"/>
          <w:noProof/>
          <w:sz w:val="24"/>
          <w:szCs w:val="24"/>
        </w:rPr>
        <w:t xml:space="preserve"> can be used by Member States to </w:t>
      </w:r>
      <w:r>
        <w:rPr>
          <w:rFonts w:ascii="Times New Roman" w:hAnsi="Times New Roman" w:cs="Times New Roman"/>
          <w:noProof/>
          <w:sz w:val="24"/>
          <w:szCs w:val="24"/>
        </w:rPr>
        <w:t xml:space="preserve">securely </w:t>
      </w:r>
      <w:r w:rsidRPr="00AE7646">
        <w:rPr>
          <w:rFonts w:ascii="Times New Roman" w:hAnsi="Times New Roman" w:cs="Times New Roman"/>
          <w:noProof/>
          <w:sz w:val="24"/>
          <w:szCs w:val="24"/>
        </w:rPr>
        <w:t xml:space="preserve">identify a person, </w:t>
      </w:r>
      <w:r>
        <w:rPr>
          <w:rFonts w:ascii="Times New Roman" w:hAnsi="Times New Roman" w:cs="Times New Roman"/>
          <w:noProof/>
          <w:sz w:val="24"/>
          <w:szCs w:val="24"/>
        </w:rPr>
        <w:t>allowing it to be used to create a</w:t>
      </w:r>
      <w:r w:rsidRPr="00AE7646">
        <w:rPr>
          <w:rFonts w:ascii="Times New Roman" w:hAnsi="Times New Roman" w:cs="Times New Roman"/>
          <w:noProof/>
          <w:sz w:val="24"/>
          <w:szCs w:val="24"/>
        </w:rPr>
        <w:t xml:space="preserve"> European Digital Identity. Member States </w:t>
      </w:r>
      <w:r>
        <w:rPr>
          <w:rFonts w:ascii="Times New Roman" w:hAnsi="Times New Roman" w:cs="Times New Roman"/>
          <w:noProof/>
          <w:sz w:val="24"/>
          <w:szCs w:val="24"/>
        </w:rPr>
        <w:t>can</w:t>
      </w:r>
      <w:r w:rsidRPr="00AE7646">
        <w:rPr>
          <w:rFonts w:ascii="Times New Roman" w:hAnsi="Times New Roman" w:cs="Times New Roman"/>
          <w:noProof/>
          <w:sz w:val="24"/>
          <w:szCs w:val="24"/>
        </w:rPr>
        <w:t xml:space="preserve"> </w:t>
      </w:r>
      <w:r>
        <w:rPr>
          <w:rFonts w:ascii="Times New Roman" w:hAnsi="Times New Roman" w:cs="Times New Roman"/>
          <w:noProof/>
          <w:sz w:val="24"/>
          <w:szCs w:val="24"/>
        </w:rPr>
        <w:t xml:space="preserve">also make use of the secure storage medium of </w:t>
      </w:r>
      <w:r w:rsidRPr="00AE7646">
        <w:rPr>
          <w:rFonts w:ascii="Times New Roman" w:hAnsi="Times New Roman" w:cs="Times New Roman"/>
          <w:noProof/>
          <w:sz w:val="24"/>
          <w:szCs w:val="24"/>
        </w:rPr>
        <w:t xml:space="preserve">the identity cards issued under </w:t>
      </w:r>
      <w:r>
        <w:rPr>
          <w:rFonts w:ascii="Times New Roman" w:hAnsi="Times New Roman" w:cs="Times New Roman"/>
          <w:noProof/>
          <w:sz w:val="24"/>
          <w:szCs w:val="24"/>
        </w:rPr>
        <w:t xml:space="preserve">the </w:t>
      </w:r>
      <w:r w:rsidRPr="00AE7646">
        <w:rPr>
          <w:rFonts w:ascii="Times New Roman" w:hAnsi="Times New Roman" w:cs="Times New Roman"/>
          <w:noProof/>
          <w:sz w:val="24"/>
          <w:szCs w:val="24"/>
        </w:rPr>
        <w:t xml:space="preserve">Regulation to </w:t>
      </w:r>
      <w:r>
        <w:rPr>
          <w:rFonts w:ascii="Times New Roman" w:hAnsi="Times New Roman" w:cs="Times New Roman"/>
          <w:noProof/>
          <w:sz w:val="24"/>
          <w:szCs w:val="24"/>
        </w:rPr>
        <w:t>equip the cards with</w:t>
      </w:r>
      <w:r w:rsidRPr="00AE7646">
        <w:rPr>
          <w:rFonts w:ascii="Times New Roman" w:hAnsi="Times New Roman" w:cs="Times New Roman"/>
          <w:noProof/>
          <w:sz w:val="24"/>
          <w:szCs w:val="24"/>
        </w:rPr>
        <w:t xml:space="preserve"> eID functionality.</w:t>
      </w:r>
    </w:p>
    <w:p w14:paraId="5A9194E1" w14:textId="47D737D5" w:rsidR="00800A49" w:rsidRPr="00AE7646" w:rsidRDefault="00800A49" w:rsidP="00166BBD">
      <w:pPr>
        <w:spacing w:after="240" w:line="240" w:lineRule="auto"/>
        <w:jc w:val="both"/>
        <w:rPr>
          <w:rFonts w:ascii="Times New Roman" w:hAnsi="Times New Roman" w:cs="Times New Roman"/>
          <w:noProof/>
          <w:sz w:val="24"/>
          <w:szCs w:val="24"/>
          <w:lang w:eastAsia="zh-CN"/>
        </w:rPr>
      </w:pPr>
      <w:r>
        <w:rPr>
          <w:rFonts w:ascii="Times New Roman" w:hAnsi="Times New Roman" w:cs="Times New Roman"/>
          <w:noProof/>
          <w:sz w:val="24"/>
          <w:szCs w:val="24"/>
        </w:rPr>
        <w:t xml:space="preserve">On 29 June 2023, the European Parliament and the Council reached a </w:t>
      </w:r>
      <w:r w:rsidRPr="00800A49">
        <w:rPr>
          <w:rFonts w:ascii="Times New Roman" w:hAnsi="Times New Roman" w:cs="Times New Roman"/>
          <w:noProof/>
          <w:sz w:val="24"/>
          <w:szCs w:val="24"/>
        </w:rPr>
        <w:t>provisional political agreement on the key elements of the proposal</w:t>
      </w:r>
      <w:r>
        <w:rPr>
          <w:rStyle w:val="FootnoteReference"/>
          <w:rFonts w:ascii="Times New Roman" w:hAnsi="Times New Roman" w:cs="Times New Roman"/>
          <w:noProof/>
          <w:sz w:val="24"/>
          <w:szCs w:val="24"/>
        </w:rPr>
        <w:footnoteReference w:id="52"/>
      </w:r>
      <w:r w:rsidRPr="00800A49">
        <w:rPr>
          <w:rFonts w:ascii="Times New Roman" w:hAnsi="Times New Roman" w:cs="Times New Roman"/>
          <w:noProof/>
          <w:sz w:val="24"/>
          <w:szCs w:val="24"/>
        </w:rPr>
        <w:t>.</w:t>
      </w:r>
    </w:p>
    <w:p w14:paraId="26F125A8" w14:textId="77777777" w:rsidR="0047249C" w:rsidRPr="00F87851" w:rsidRDefault="0047249C" w:rsidP="00166BBD">
      <w:pPr>
        <w:pStyle w:val="Heading1"/>
        <w:spacing w:before="0" w:line="240" w:lineRule="auto"/>
        <w:ind w:left="432"/>
        <w:rPr>
          <w:lang w:val="en-IE"/>
        </w:rPr>
      </w:pPr>
      <w:r w:rsidRPr="00F87851">
        <w:rPr>
          <w:lang w:val="en-IE"/>
        </w:rPr>
        <w:t xml:space="preserve">Conclusion </w:t>
      </w:r>
    </w:p>
    <w:p w14:paraId="02184A70" w14:textId="68EC0602" w:rsidR="002E1CBC" w:rsidRDefault="0047249C" w:rsidP="00166BBD">
      <w:pPr>
        <w:spacing w:after="240" w:line="240" w:lineRule="auto"/>
        <w:jc w:val="both"/>
        <w:rPr>
          <w:rFonts w:ascii="Times New Roman" w:hAnsi="Times New Roman" w:cs="Times New Roman"/>
          <w:bCs/>
          <w:i/>
          <w:iCs/>
          <w:noProof/>
          <w:sz w:val="24"/>
        </w:rPr>
      </w:pPr>
      <w:r>
        <w:rPr>
          <w:rFonts w:ascii="Times New Roman" w:hAnsi="Times New Roman" w:cs="Times New Roman"/>
          <w:bCs/>
          <w:noProof/>
          <w:sz w:val="24"/>
        </w:rPr>
        <w:t>The right to free movement is</w:t>
      </w:r>
      <w:r w:rsidR="00710FF4">
        <w:rPr>
          <w:rFonts w:ascii="Times New Roman" w:hAnsi="Times New Roman" w:cs="Times New Roman"/>
          <w:bCs/>
          <w:noProof/>
          <w:sz w:val="24"/>
        </w:rPr>
        <w:t xml:space="preserve"> an</w:t>
      </w:r>
      <w:r>
        <w:rPr>
          <w:rFonts w:ascii="Times New Roman" w:hAnsi="Times New Roman" w:cs="Times New Roman"/>
          <w:bCs/>
          <w:noProof/>
          <w:sz w:val="24"/>
        </w:rPr>
        <w:t xml:space="preserve"> </w:t>
      </w:r>
      <w:r w:rsidR="00A419D1">
        <w:rPr>
          <w:rFonts w:ascii="Times New Roman" w:hAnsi="Times New Roman" w:cs="Times New Roman"/>
          <w:bCs/>
          <w:noProof/>
          <w:sz w:val="24"/>
        </w:rPr>
        <w:t>EU</w:t>
      </w:r>
      <w:r>
        <w:rPr>
          <w:rFonts w:ascii="Times New Roman" w:hAnsi="Times New Roman" w:cs="Times New Roman"/>
          <w:bCs/>
          <w:noProof/>
          <w:sz w:val="24"/>
        </w:rPr>
        <w:t xml:space="preserve"> citizenship right particularly cherished by </w:t>
      </w:r>
      <w:r w:rsidR="00A419D1">
        <w:rPr>
          <w:rFonts w:ascii="Times New Roman" w:hAnsi="Times New Roman" w:cs="Times New Roman"/>
          <w:bCs/>
          <w:noProof/>
          <w:sz w:val="24"/>
        </w:rPr>
        <w:t>EU</w:t>
      </w:r>
      <w:r>
        <w:rPr>
          <w:rFonts w:ascii="Times New Roman" w:hAnsi="Times New Roman" w:cs="Times New Roman"/>
          <w:bCs/>
          <w:noProof/>
          <w:sz w:val="24"/>
        </w:rPr>
        <w:t xml:space="preserve"> citizens, and secure and reliable identity cards and residence documents play a crucial role in avoiding obstacles to the exercise of this right. The possibility</w:t>
      </w:r>
      <w:r w:rsidR="00710FF4">
        <w:rPr>
          <w:rFonts w:ascii="Times New Roman" w:hAnsi="Times New Roman" w:cs="Times New Roman"/>
          <w:bCs/>
          <w:noProof/>
          <w:sz w:val="24"/>
        </w:rPr>
        <w:t xml:space="preserve"> for EU citizens</w:t>
      </w:r>
      <w:r>
        <w:rPr>
          <w:rFonts w:ascii="Times New Roman" w:hAnsi="Times New Roman" w:cs="Times New Roman"/>
          <w:bCs/>
          <w:noProof/>
          <w:sz w:val="24"/>
        </w:rPr>
        <w:t xml:space="preserve"> to travel within the </w:t>
      </w:r>
      <w:r w:rsidR="00A419D1">
        <w:rPr>
          <w:rFonts w:ascii="Times New Roman" w:hAnsi="Times New Roman" w:cs="Times New Roman"/>
          <w:bCs/>
          <w:noProof/>
          <w:sz w:val="24"/>
        </w:rPr>
        <w:t>EU</w:t>
      </w:r>
      <w:r>
        <w:rPr>
          <w:rFonts w:ascii="Times New Roman" w:hAnsi="Times New Roman" w:cs="Times New Roman"/>
          <w:bCs/>
          <w:noProof/>
          <w:sz w:val="24"/>
        </w:rPr>
        <w:t xml:space="preserve"> without a passport and using only an identity card is one of the concrete benefits of the right of free movement. In addition, the visa-exempting nature of residence cards issued to family members </w:t>
      </w:r>
      <w:r w:rsidR="00D65FD5" w:rsidRPr="00D65FD5">
        <w:rPr>
          <w:rFonts w:ascii="Times New Roman" w:hAnsi="Times New Roman" w:cs="Times New Roman"/>
          <w:bCs/>
          <w:noProof/>
          <w:sz w:val="24"/>
        </w:rPr>
        <w:t>who are not nationals of a Member State</w:t>
      </w:r>
      <w:r w:rsidR="00D65FD5">
        <w:rPr>
          <w:rFonts w:ascii="Times New Roman" w:hAnsi="Times New Roman" w:cs="Times New Roman"/>
          <w:bCs/>
          <w:noProof/>
          <w:sz w:val="24"/>
        </w:rPr>
        <w:t xml:space="preserve"> </w:t>
      </w:r>
      <w:r>
        <w:rPr>
          <w:rFonts w:ascii="Times New Roman" w:hAnsi="Times New Roman" w:cs="Times New Roman"/>
          <w:bCs/>
          <w:noProof/>
          <w:sz w:val="24"/>
        </w:rPr>
        <w:t xml:space="preserve">facilitates family life with the </w:t>
      </w:r>
      <w:r w:rsidR="00A419D1">
        <w:rPr>
          <w:rFonts w:ascii="Times New Roman" w:hAnsi="Times New Roman" w:cs="Times New Roman"/>
          <w:bCs/>
          <w:noProof/>
          <w:sz w:val="24"/>
        </w:rPr>
        <w:t>EU</w:t>
      </w:r>
      <w:r>
        <w:rPr>
          <w:rFonts w:ascii="Times New Roman" w:hAnsi="Times New Roman" w:cs="Times New Roman"/>
          <w:bCs/>
          <w:noProof/>
          <w:sz w:val="24"/>
        </w:rPr>
        <w:t xml:space="preserve"> citizen they accompany. To ensure that these benefits are not abused by malign actors, a high level of security for such documents remains necessary.</w:t>
      </w:r>
      <w:r w:rsidR="00305591">
        <w:rPr>
          <w:rFonts w:ascii="Times New Roman" w:hAnsi="Times New Roman" w:cs="Times New Roman"/>
          <w:bCs/>
          <w:i/>
          <w:iCs/>
          <w:noProof/>
          <w:sz w:val="24"/>
        </w:rPr>
        <w:t xml:space="preserve"> </w:t>
      </w:r>
    </w:p>
    <w:p w14:paraId="4C0DB906" w14:textId="07DB45FA" w:rsidR="0047249C" w:rsidRDefault="0047249C" w:rsidP="00166BBD">
      <w:pPr>
        <w:spacing w:after="240" w:line="240" w:lineRule="auto"/>
        <w:jc w:val="both"/>
        <w:rPr>
          <w:rFonts w:ascii="Times New Roman" w:hAnsi="Times New Roman" w:cs="Times New Roman"/>
          <w:bCs/>
          <w:noProof/>
          <w:sz w:val="24"/>
        </w:rPr>
      </w:pPr>
      <w:r>
        <w:rPr>
          <w:rFonts w:ascii="Times New Roman" w:hAnsi="Times New Roman" w:cs="Times New Roman"/>
          <w:bCs/>
          <w:noProof/>
          <w:sz w:val="24"/>
        </w:rPr>
        <w:t>The Commission will continue monitoring the implementation of the Regulation in line with its role as guardian of the treaties.</w:t>
      </w:r>
    </w:p>
    <w:p w14:paraId="45800547" w14:textId="77777777" w:rsidR="0047249C" w:rsidRPr="00E7248C" w:rsidRDefault="0047249C" w:rsidP="0047249C">
      <w:pPr>
        <w:jc w:val="both"/>
        <w:rPr>
          <w:rFonts w:ascii="Times New Roman" w:hAnsi="Times New Roman"/>
          <w:noProof/>
          <w:sz w:val="24"/>
        </w:rPr>
      </w:pPr>
      <w:r>
        <w:rPr>
          <w:rFonts w:ascii="Times New Roman" w:hAnsi="Times New Roman" w:cs="Times New Roman"/>
          <w:bCs/>
          <w:noProof/>
          <w:sz w:val="24"/>
        </w:rPr>
        <w:t xml:space="preserve"> </w:t>
      </w:r>
    </w:p>
    <w:p w14:paraId="3C34D39F" w14:textId="77777777" w:rsidR="00D42F50" w:rsidRDefault="00D42F50">
      <w:pPr>
        <w:rPr>
          <w:noProof/>
        </w:rPr>
      </w:pPr>
    </w:p>
    <w:sectPr w:rsidR="00D42F50" w:rsidSect="0047249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803A2" w14:textId="77777777" w:rsidR="00801BDD" w:rsidRDefault="00801BDD" w:rsidP="0047249C">
      <w:pPr>
        <w:spacing w:after="0" w:line="240" w:lineRule="auto"/>
      </w:pPr>
      <w:r>
        <w:separator/>
      </w:r>
    </w:p>
  </w:endnote>
  <w:endnote w:type="continuationSeparator" w:id="0">
    <w:p w14:paraId="1CC54CF9" w14:textId="77777777" w:rsidR="00801BDD" w:rsidRDefault="00801BDD" w:rsidP="0047249C">
      <w:pPr>
        <w:spacing w:after="0" w:line="240" w:lineRule="auto"/>
      </w:pPr>
      <w:r>
        <w:continuationSeparator/>
      </w:r>
    </w:p>
  </w:endnote>
  <w:endnote w:type="continuationNotice" w:id="1">
    <w:p w14:paraId="2F7BD0CE" w14:textId="77777777" w:rsidR="00801BDD" w:rsidRDefault="00801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AC9F" w14:textId="2E3DD868" w:rsidR="00780CA1" w:rsidRPr="00237B16" w:rsidRDefault="00780CA1" w:rsidP="00237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C6E50" w14:textId="5D261E0B" w:rsidR="00780CA1" w:rsidRPr="00237B16" w:rsidRDefault="00237B16" w:rsidP="00237B16">
    <w:pPr>
      <w:pStyle w:val="FooterCoverPage"/>
      <w:rPr>
        <w:rFonts w:ascii="Arial" w:hAnsi="Arial" w:cs="Arial"/>
        <w:b/>
        <w:sz w:val="48"/>
      </w:rPr>
    </w:pPr>
    <w:r w:rsidRPr="00237B16">
      <w:rPr>
        <w:rFonts w:ascii="Arial" w:hAnsi="Arial" w:cs="Arial"/>
        <w:b/>
        <w:sz w:val="48"/>
      </w:rPr>
      <w:t>EN</w:t>
    </w:r>
    <w:r w:rsidRPr="00237B16">
      <w:rPr>
        <w:rFonts w:ascii="Arial" w:hAnsi="Arial" w:cs="Arial"/>
        <w:b/>
        <w:sz w:val="48"/>
      </w:rPr>
      <w:tab/>
    </w:r>
    <w:r w:rsidRPr="00237B16">
      <w:rPr>
        <w:rFonts w:ascii="Arial" w:hAnsi="Arial" w:cs="Arial"/>
        <w:b/>
        <w:sz w:val="48"/>
      </w:rPr>
      <w:tab/>
    </w:r>
    <w:r w:rsidRPr="00237B16">
      <w:tab/>
    </w:r>
    <w:r w:rsidRPr="00237B1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32A0F" w14:textId="77777777" w:rsidR="00237B16" w:rsidRPr="00237B16" w:rsidRDefault="00237B16" w:rsidP="00237B1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71A5" w14:textId="77777777" w:rsidR="0047249C" w:rsidRDefault="004724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986662"/>
      <w:docPartObj>
        <w:docPartGallery w:val="Page Numbers (Bottom of Page)"/>
        <w:docPartUnique/>
      </w:docPartObj>
    </w:sdtPr>
    <w:sdtEndPr>
      <w:rPr>
        <w:rFonts w:ascii="Times New Roman" w:hAnsi="Times New Roman" w:cs="Times New Roman"/>
        <w:noProof/>
      </w:rPr>
    </w:sdtEndPr>
    <w:sdtContent>
      <w:p w14:paraId="0EE159B0" w14:textId="5CAB0502" w:rsidR="000B42DD" w:rsidRPr="000B42DD" w:rsidRDefault="000B42DD">
        <w:pPr>
          <w:pStyle w:val="Footer"/>
          <w:jc w:val="center"/>
          <w:rPr>
            <w:rFonts w:ascii="Times New Roman" w:hAnsi="Times New Roman" w:cs="Times New Roman"/>
          </w:rPr>
        </w:pPr>
        <w:r w:rsidRPr="000B42DD">
          <w:rPr>
            <w:rFonts w:ascii="Times New Roman" w:hAnsi="Times New Roman" w:cs="Times New Roman"/>
          </w:rPr>
          <w:fldChar w:fldCharType="begin"/>
        </w:r>
        <w:r w:rsidRPr="000B42DD">
          <w:rPr>
            <w:rFonts w:ascii="Times New Roman" w:hAnsi="Times New Roman" w:cs="Times New Roman"/>
          </w:rPr>
          <w:instrText xml:space="preserve"> PAGE   \* MERGEFORMAT </w:instrText>
        </w:r>
        <w:r w:rsidRPr="000B42DD">
          <w:rPr>
            <w:rFonts w:ascii="Times New Roman" w:hAnsi="Times New Roman" w:cs="Times New Roman"/>
          </w:rPr>
          <w:fldChar w:fldCharType="separate"/>
        </w:r>
        <w:r w:rsidR="00237B16" w:rsidRPr="00237B16">
          <w:rPr>
            <w:rFonts w:ascii="Times New Roman" w:hAnsi="Times New Roman"/>
            <w:noProof/>
          </w:rPr>
          <w:t>1</w:t>
        </w:r>
        <w:r w:rsidRPr="000B42DD">
          <w:rPr>
            <w:rFonts w:ascii="Times New Roman" w:hAnsi="Times New Roman" w:cs="Times New Roman"/>
            <w:noProof/>
          </w:rPr>
          <w:fldChar w:fldCharType="end"/>
        </w:r>
      </w:p>
    </w:sdtContent>
  </w:sdt>
  <w:p w14:paraId="47D8FB41" w14:textId="77777777" w:rsidR="0047249C" w:rsidRDefault="004724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34D45" w14:textId="77777777" w:rsidR="0047249C" w:rsidRDefault="0047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55CDD" w14:textId="77777777" w:rsidR="00801BDD" w:rsidRDefault="00801BDD" w:rsidP="0047249C">
      <w:pPr>
        <w:spacing w:after="0" w:line="240" w:lineRule="auto"/>
      </w:pPr>
      <w:r>
        <w:separator/>
      </w:r>
    </w:p>
  </w:footnote>
  <w:footnote w:type="continuationSeparator" w:id="0">
    <w:p w14:paraId="6D10A388" w14:textId="77777777" w:rsidR="00801BDD" w:rsidRDefault="00801BDD" w:rsidP="0047249C">
      <w:pPr>
        <w:spacing w:after="0" w:line="240" w:lineRule="auto"/>
      </w:pPr>
      <w:r>
        <w:continuationSeparator/>
      </w:r>
    </w:p>
  </w:footnote>
  <w:footnote w:type="continuationNotice" w:id="1">
    <w:p w14:paraId="5FB6C9B1" w14:textId="77777777" w:rsidR="00801BDD" w:rsidRDefault="00801BDD">
      <w:pPr>
        <w:spacing w:after="0" w:line="240" w:lineRule="auto"/>
      </w:pPr>
    </w:p>
  </w:footnote>
  <w:footnote w:id="2">
    <w:p w14:paraId="5B57566C" w14:textId="77777777" w:rsidR="0047249C" w:rsidRPr="00DB69E5" w:rsidRDefault="0047249C" w:rsidP="00F969E8">
      <w:pPr>
        <w:pStyle w:val="FootnoteText"/>
        <w:ind w:left="720" w:hanging="720"/>
        <w:jc w:val="both"/>
        <w:rPr>
          <w:lang w:val="en-IE"/>
        </w:rPr>
      </w:pPr>
      <w:r>
        <w:rPr>
          <w:rStyle w:val="FootnoteReference"/>
        </w:rPr>
        <w:footnoteRef/>
      </w:r>
      <w:r>
        <w:t xml:space="preserve"> </w:t>
      </w:r>
      <w:r>
        <w:tab/>
      </w:r>
      <w:r w:rsidRPr="00DB69E5">
        <w:t>OJ L 188, 12.7.2019, p. 67.</w:t>
      </w:r>
    </w:p>
  </w:footnote>
  <w:footnote w:id="3">
    <w:p w14:paraId="409B6113" w14:textId="77777777" w:rsidR="0047249C" w:rsidRPr="006D240C" w:rsidRDefault="0047249C" w:rsidP="00F969E8">
      <w:pPr>
        <w:pStyle w:val="FootnoteText"/>
        <w:ind w:left="720" w:hanging="720"/>
        <w:jc w:val="both"/>
        <w:rPr>
          <w:lang w:val="en-IE"/>
        </w:rPr>
      </w:pPr>
      <w:r w:rsidRPr="00637ED8">
        <w:rPr>
          <w:rStyle w:val="FootnoteReference"/>
        </w:rPr>
        <w:footnoteRef/>
      </w:r>
      <w:r w:rsidRPr="00637ED8">
        <w:t xml:space="preserve"> </w:t>
      </w:r>
      <w:r w:rsidRPr="006D240C">
        <w:rPr>
          <w:lang w:val="en-IE"/>
        </w:rPr>
        <w:tab/>
      </w:r>
      <w:r w:rsidRPr="00637ED8">
        <w:rPr>
          <w:lang w:val="en-US"/>
        </w:rPr>
        <w:t xml:space="preserve">On 17 March 2023, the Joint Committee of the European Economic Area adopted Decision No 50/2023 incorporating the Regulation into the </w:t>
      </w:r>
      <w:r w:rsidRPr="00637ED8">
        <w:t>Agreement on the European Economic Area. The decision will be binding on Iceland, Liechtenstein and Norway after the fulfilment of constitutional requirements.</w:t>
      </w:r>
    </w:p>
  </w:footnote>
  <w:footnote w:id="4">
    <w:p w14:paraId="12D6E9DB" w14:textId="77777777" w:rsidR="0047249C" w:rsidRPr="00886CB4" w:rsidRDefault="0047249C"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Directive 2004/38/EC of the European Parliament and of the Council of 29 April 2004 on the right of citizens of the Union and their family members to move and reside freely within the territory of Member States (OJ L 158, 30.4.2004, p. 77).</w:t>
      </w:r>
    </w:p>
  </w:footnote>
  <w:footnote w:id="5">
    <w:p w14:paraId="6E2A518A" w14:textId="77777777" w:rsidR="00262F35" w:rsidRPr="00886CB4" w:rsidRDefault="00262F35"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Article 4(3) of the Free Movement Directive.</w:t>
      </w:r>
    </w:p>
  </w:footnote>
  <w:footnote w:id="6">
    <w:p w14:paraId="19663E09" w14:textId="77777777" w:rsidR="00262F35" w:rsidRPr="00E7248C" w:rsidRDefault="00262F35" w:rsidP="00F969E8">
      <w:pPr>
        <w:pStyle w:val="FootnoteText"/>
        <w:ind w:left="720" w:hanging="720"/>
        <w:jc w:val="both"/>
        <w:rPr>
          <w:lang w:val="en-IE"/>
        </w:rPr>
      </w:pPr>
      <w:r>
        <w:rPr>
          <w:rStyle w:val="FootnoteReference"/>
        </w:rPr>
        <w:footnoteRef/>
      </w:r>
      <w:r>
        <w:t xml:space="preserve"> </w:t>
      </w:r>
      <w:r w:rsidRPr="00E7248C">
        <w:rPr>
          <w:lang w:val="en-IE"/>
        </w:rPr>
        <w:tab/>
        <w:t>Article 4(1) of the F</w:t>
      </w:r>
      <w:r>
        <w:rPr>
          <w:lang w:val="en-IE"/>
        </w:rPr>
        <w:t>ree Movement Directive.</w:t>
      </w:r>
    </w:p>
  </w:footnote>
  <w:footnote w:id="7">
    <w:p w14:paraId="0266A39C" w14:textId="77777777" w:rsidR="00262F35" w:rsidRPr="00E7248C" w:rsidRDefault="00262F35" w:rsidP="00F969E8">
      <w:pPr>
        <w:pStyle w:val="FootnoteText"/>
        <w:ind w:left="720" w:hanging="720"/>
        <w:jc w:val="both"/>
        <w:rPr>
          <w:lang w:val="en-IE"/>
        </w:rPr>
      </w:pPr>
      <w:r>
        <w:rPr>
          <w:rStyle w:val="FootnoteReference"/>
        </w:rPr>
        <w:footnoteRef/>
      </w:r>
      <w:r>
        <w:t xml:space="preserve"> </w:t>
      </w:r>
      <w:r w:rsidRPr="00E7248C">
        <w:rPr>
          <w:lang w:val="en-IE"/>
        </w:rPr>
        <w:tab/>
        <w:t xml:space="preserve">Article 5(1) of the </w:t>
      </w:r>
      <w:r>
        <w:rPr>
          <w:lang w:val="en-IE"/>
        </w:rPr>
        <w:t>Free Movement Directive.</w:t>
      </w:r>
    </w:p>
  </w:footnote>
  <w:footnote w:id="8">
    <w:p w14:paraId="369F3DF6" w14:textId="77777777" w:rsidR="00262F35" w:rsidRPr="00E7248C" w:rsidRDefault="00262F35" w:rsidP="00F969E8">
      <w:pPr>
        <w:pStyle w:val="FootnoteText"/>
        <w:ind w:left="720" w:hanging="720"/>
        <w:jc w:val="both"/>
        <w:rPr>
          <w:lang w:val="en-IE"/>
        </w:rPr>
      </w:pPr>
      <w:r>
        <w:rPr>
          <w:rStyle w:val="FootnoteReference"/>
        </w:rPr>
        <w:footnoteRef/>
      </w:r>
      <w:r>
        <w:t xml:space="preserve"> </w:t>
      </w:r>
      <w:r w:rsidRPr="00E7248C">
        <w:rPr>
          <w:lang w:val="en-IE"/>
        </w:rPr>
        <w:tab/>
        <w:t xml:space="preserve">Article 8(3) of the </w:t>
      </w:r>
      <w:r>
        <w:rPr>
          <w:lang w:val="en-IE"/>
        </w:rPr>
        <w:t>Free Movement Directive.</w:t>
      </w:r>
    </w:p>
  </w:footnote>
  <w:footnote w:id="9">
    <w:p w14:paraId="6AB4C066" w14:textId="6F01E514" w:rsidR="000B241E" w:rsidRPr="00E7248C" w:rsidRDefault="000B241E" w:rsidP="000B241E">
      <w:pPr>
        <w:pStyle w:val="FootnoteText"/>
        <w:ind w:left="720" w:hanging="720"/>
        <w:jc w:val="both"/>
        <w:rPr>
          <w:lang w:val="en-IE"/>
        </w:rPr>
      </w:pPr>
      <w:r>
        <w:rPr>
          <w:rStyle w:val="FootnoteReference"/>
        </w:rPr>
        <w:footnoteRef/>
      </w:r>
      <w:r>
        <w:t xml:space="preserve"> </w:t>
      </w:r>
      <w:r w:rsidRPr="00E7248C">
        <w:rPr>
          <w:lang w:val="en-IE"/>
        </w:rPr>
        <w:tab/>
      </w:r>
      <w:r>
        <w:rPr>
          <w:lang w:val="en-IE"/>
        </w:rPr>
        <w:t>Denmark and Ireland do not issue identity cards.</w:t>
      </w:r>
    </w:p>
  </w:footnote>
  <w:footnote w:id="10">
    <w:p w14:paraId="0895E741" w14:textId="77777777" w:rsidR="0047249C" w:rsidRPr="00886CB4" w:rsidRDefault="0047249C"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Article 8(1) and (2) of the Free Movement Directive.</w:t>
      </w:r>
    </w:p>
  </w:footnote>
  <w:footnote w:id="11">
    <w:p w14:paraId="79D56620" w14:textId="77777777" w:rsidR="0047249C" w:rsidRPr="00886CB4" w:rsidRDefault="0047249C"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Article 10(1) of the Free Movement Directive.</w:t>
      </w:r>
    </w:p>
  </w:footnote>
  <w:footnote w:id="12">
    <w:p w14:paraId="0ABBDEB4" w14:textId="77777777" w:rsidR="0047249C" w:rsidRPr="00886CB4" w:rsidRDefault="0047249C"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Article 19(1) of the Free Movement Directive.</w:t>
      </w:r>
    </w:p>
  </w:footnote>
  <w:footnote w:id="13">
    <w:p w14:paraId="645B4348" w14:textId="77777777" w:rsidR="0047249C" w:rsidRPr="00886CB4" w:rsidRDefault="0047249C"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Article 20(1) of the Free Movement Directive.</w:t>
      </w:r>
    </w:p>
  </w:footnote>
  <w:footnote w:id="14">
    <w:p w14:paraId="1E2279EC" w14:textId="77777777" w:rsidR="0047249C" w:rsidRPr="00886CB4" w:rsidRDefault="0047249C"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Article 5(2) of the Free Movement Directive.</w:t>
      </w:r>
    </w:p>
  </w:footnote>
  <w:footnote w:id="15">
    <w:p w14:paraId="672F756B" w14:textId="5D0F002A" w:rsidR="0081735E" w:rsidRPr="00886CB4" w:rsidRDefault="0081735E"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 xml:space="preserve">Pursuant to Article 7(1) of the Regulation, Member States are to use, for residence cards, the same format as </w:t>
      </w:r>
      <w:r w:rsidR="001164CA">
        <w:t xml:space="preserve">established by Regulation </w:t>
      </w:r>
      <w:r w:rsidR="001164CA" w:rsidRPr="001164CA">
        <w:t>(EC) No 1030/2002 as amended by Regulation (EU) 2017/1954</w:t>
      </w:r>
      <w:r>
        <w:t>. Given the use of an established format, the Commission did not request Frontex to carry out a similar assessment as for identity cards. In addition, no technical assessment was requested regarding residence documents issued to EU citizens, given that Article 6 of the Regulation does not provide for specific security features regarding such documents.</w:t>
      </w:r>
    </w:p>
  </w:footnote>
  <w:footnote w:id="16">
    <w:p w14:paraId="4E2D86C6" w14:textId="7628EA35" w:rsidR="0078137F" w:rsidRPr="00166BBD" w:rsidRDefault="0078137F" w:rsidP="00166BBD">
      <w:pPr>
        <w:pStyle w:val="FootnoteText"/>
        <w:ind w:left="720" w:hanging="720"/>
        <w:jc w:val="both"/>
        <w:rPr>
          <w:lang w:val="en-IE"/>
        </w:rPr>
      </w:pPr>
      <w:r>
        <w:rPr>
          <w:rStyle w:val="FootnoteReference"/>
        </w:rPr>
        <w:footnoteRef/>
      </w:r>
      <w:r>
        <w:t xml:space="preserve"> </w:t>
      </w:r>
      <w:r>
        <w:tab/>
      </w:r>
      <w:r w:rsidRPr="0078137F">
        <w:t>ICAO Doc 9303, Machine Readable Travel Documents, Eighth Edition, 2021.</w:t>
      </w:r>
    </w:p>
  </w:footnote>
  <w:footnote w:id="17">
    <w:p w14:paraId="1777FC99" w14:textId="7CBEF5EF" w:rsidR="009E61FA" w:rsidRPr="00166BBD" w:rsidRDefault="009E61FA" w:rsidP="00166BBD">
      <w:pPr>
        <w:pStyle w:val="FootnoteText"/>
        <w:ind w:left="720" w:hanging="720"/>
        <w:jc w:val="both"/>
        <w:rPr>
          <w:lang w:val="en-IE"/>
        </w:rPr>
      </w:pPr>
      <w:r>
        <w:rPr>
          <w:rStyle w:val="FootnoteReference"/>
        </w:rPr>
        <w:footnoteRef/>
      </w:r>
      <w:r>
        <w:t xml:space="preserve"> </w:t>
      </w:r>
      <w:r>
        <w:tab/>
      </w:r>
      <w:r w:rsidRPr="009E61FA">
        <w:t>Council Regulation (EC) No 1030/2002 of 13 June 2002 laying down a uniform format for residence permits for third-country nationals</w:t>
      </w:r>
      <w:r w:rsidR="00F969E8">
        <w:t xml:space="preserve"> (</w:t>
      </w:r>
      <w:r w:rsidR="00F969E8" w:rsidRPr="00F969E8">
        <w:t>OJ L 157, 15.6.2002, p. 1</w:t>
      </w:r>
      <w:r w:rsidR="00F969E8">
        <w:t>)</w:t>
      </w:r>
      <w:r w:rsidRPr="009E61FA">
        <w:t>.</w:t>
      </w:r>
    </w:p>
  </w:footnote>
  <w:footnote w:id="18">
    <w:p w14:paraId="53CA45B6" w14:textId="296780EB" w:rsidR="00874AC5" w:rsidRPr="00166BBD" w:rsidRDefault="00874AC5" w:rsidP="00166BBD">
      <w:pPr>
        <w:pStyle w:val="FootnoteText"/>
        <w:ind w:left="720" w:hanging="720"/>
        <w:jc w:val="both"/>
        <w:rPr>
          <w:lang w:val="en-IE"/>
        </w:rPr>
      </w:pPr>
      <w:r>
        <w:rPr>
          <w:rStyle w:val="FootnoteReference"/>
        </w:rPr>
        <w:footnoteRef/>
      </w:r>
      <w:r>
        <w:t xml:space="preserve"> </w:t>
      </w:r>
      <w:r>
        <w:tab/>
        <w:t xml:space="preserve">Regulation (EU) 2017/1954 of the European Parliament and of the Council of 25 October 2017 amending Council Regulation (EC) No 1030/2002 </w:t>
      </w:r>
      <w:r w:rsidR="00F969E8">
        <w:t>(</w:t>
      </w:r>
      <w:r w:rsidR="00F969E8" w:rsidRPr="00F969E8">
        <w:t>OJ L 286, 1.11.2017, p. 9</w:t>
      </w:r>
      <w:r w:rsidR="00F969E8">
        <w:t>).</w:t>
      </w:r>
    </w:p>
  </w:footnote>
  <w:footnote w:id="19">
    <w:p w14:paraId="1D1DC951" w14:textId="65074455" w:rsidR="007C0BC8" w:rsidRPr="00EE12A7" w:rsidRDefault="007C0BC8" w:rsidP="007C0BC8">
      <w:pPr>
        <w:pStyle w:val="FootnoteText"/>
        <w:ind w:left="720" w:hanging="720"/>
        <w:jc w:val="both"/>
        <w:rPr>
          <w:lang w:val="en-IE"/>
        </w:rPr>
      </w:pPr>
      <w:r>
        <w:rPr>
          <w:rStyle w:val="FootnoteReference"/>
        </w:rPr>
        <w:footnoteRef/>
      </w:r>
      <w:r>
        <w:t xml:space="preserve"> </w:t>
      </w:r>
      <w:r>
        <w:tab/>
        <w:t>In particular, compliance of the storage medium was out of the scope of the check carried out by Frontex.</w:t>
      </w:r>
    </w:p>
  </w:footnote>
  <w:footnote w:id="20">
    <w:p w14:paraId="5838FFB4" w14:textId="672FBCB5" w:rsidR="001F2640" w:rsidRPr="00EE12A7" w:rsidRDefault="001F2640" w:rsidP="001F2640">
      <w:pPr>
        <w:pStyle w:val="FootnoteText"/>
        <w:ind w:left="720" w:hanging="720"/>
        <w:jc w:val="both"/>
        <w:rPr>
          <w:lang w:val="en-IE"/>
        </w:rPr>
      </w:pPr>
      <w:r>
        <w:rPr>
          <w:rStyle w:val="FootnoteReference"/>
        </w:rPr>
        <w:footnoteRef/>
      </w:r>
      <w:r>
        <w:t xml:space="preserve"> </w:t>
      </w:r>
      <w:r>
        <w:tab/>
        <w:t>For reasons of security, the Commission does not disclose which identity cards are affected.</w:t>
      </w:r>
    </w:p>
  </w:footnote>
  <w:footnote w:id="21">
    <w:p w14:paraId="604D0229" w14:textId="77777777" w:rsidR="007C0BC8" w:rsidRPr="00886CB4" w:rsidRDefault="007C0BC8" w:rsidP="007C0BC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rsidRPr="007C0BC8">
        <w:rPr>
          <w:rFonts w:cs="Times New Roman"/>
          <w:lang w:val="en-IE"/>
        </w:rPr>
        <w:t>Czechia (</w:t>
      </w:r>
      <w:r w:rsidRPr="007C0BC8">
        <w:rPr>
          <w:rFonts w:cs="Times New Roman"/>
          <w:i/>
          <w:iCs/>
          <w:lang w:val="en-IE"/>
        </w:rPr>
        <w:t>občanský průkaz</w:t>
      </w:r>
      <w:r w:rsidRPr="007C0BC8">
        <w:rPr>
          <w:rFonts w:cs="Times New Roman"/>
          <w:lang w:val="en-IE"/>
        </w:rPr>
        <w:t>) and Portugal (</w:t>
      </w:r>
      <w:r w:rsidRPr="007C0BC8">
        <w:rPr>
          <w:rFonts w:cs="Times New Roman"/>
          <w:i/>
          <w:iCs/>
          <w:lang w:val="en-IE"/>
        </w:rPr>
        <w:t>Cartão de Cidadão</w:t>
      </w:r>
      <w:r w:rsidRPr="007C0BC8">
        <w:rPr>
          <w:rFonts w:cs="Times New Roman"/>
          <w:lang w:val="en-IE"/>
        </w:rPr>
        <w:t>)</w:t>
      </w:r>
      <w:r>
        <w:t>.</w:t>
      </w:r>
    </w:p>
  </w:footnote>
  <w:footnote w:id="22">
    <w:p w14:paraId="054B4B31" w14:textId="77777777" w:rsidR="0047249C" w:rsidRPr="00886CB4" w:rsidRDefault="0047249C"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rPr>
          <w:rFonts w:cs="Times New Roman"/>
          <w:lang w:val="en-IE"/>
        </w:rPr>
        <w:t xml:space="preserve">See </w:t>
      </w:r>
      <w:r>
        <w:t>Recital 35 of the Regulation.</w:t>
      </w:r>
    </w:p>
  </w:footnote>
  <w:footnote w:id="23">
    <w:p w14:paraId="349057FD" w14:textId="77777777" w:rsidR="0047249C" w:rsidRPr="00511F38" w:rsidRDefault="0047249C" w:rsidP="00F969E8">
      <w:pPr>
        <w:pStyle w:val="FootnoteText"/>
        <w:ind w:left="720" w:hanging="720"/>
        <w:jc w:val="both"/>
        <w:rPr>
          <w:lang w:val="en-IE"/>
        </w:rPr>
      </w:pPr>
      <w:r>
        <w:rPr>
          <w:rStyle w:val="FootnoteReference"/>
        </w:rPr>
        <w:footnoteRef/>
      </w:r>
      <w:r w:rsidRPr="00511F38">
        <w:rPr>
          <w:lang w:val="en-IE"/>
        </w:rPr>
        <w:t xml:space="preserve"> </w:t>
      </w:r>
      <w:r>
        <w:rPr>
          <w:lang w:val="en-IE"/>
        </w:rPr>
        <w:tab/>
      </w:r>
      <w:r>
        <w:t>Children under the age of 6 years are exempt from the requirement to give fingerprints</w:t>
      </w:r>
      <w:r>
        <w:rPr>
          <w:lang w:val="en-IE"/>
        </w:rPr>
        <w:t>.</w:t>
      </w:r>
    </w:p>
  </w:footnote>
  <w:footnote w:id="24">
    <w:p w14:paraId="208C5FCD" w14:textId="77777777" w:rsidR="0047249C" w:rsidRPr="00511F38" w:rsidRDefault="0047249C" w:rsidP="00F969E8">
      <w:pPr>
        <w:pStyle w:val="FootnoteText"/>
        <w:ind w:left="720" w:hanging="720"/>
        <w:jc w:val="both"/>
        <w:rPr>
          <w:lang w:val="en-IE"/>
        </w:rPr>
      </w:pPr>
      <w:r>
        <w:rPr>
          <w:rStyle w:val="FootnoteReference"/>
        </w:rPr>
        <w:footnoteRef/>
      </w:r>
      <w:r w:rsidRPr="00511F38">
        <w:rPr>
          <w:lang w:val="en-IE"/>
        </w:rPr>
        <w:t xml:space="preserve"> </w:t>
      </w:r>
      <w:r>
        <w:rPr>
          <w:lang w:val="en-IE"/>
        </w:rPr>
        <w:tab/>
      </w:r>
      <w:r>
        <w:t>See Recital 27 of the Regulation</w:t>
      </w:r>
      <w:r>
        <w:rPr>
          <w:lang w:val="en-IE"/>
        </w:rPr>
        <w:t>.</w:t>
      </w:r>
    </w:p>
  </w:footnote>
  <w:footnote w:id="25">
    <w:p w14:paraId="4443FB9D" w14:textId="77777777" w:rsidR="0047249C" w:rsidRPr="00511F38" w:rsidRDefault="0047249C" w:rsidP="00F969E8">
      <w:pPr>
        <w:pStyle w:val="FootnoteText"/>
        <w:ind w:left="720" w:hanging="720"/>
        <w:jc w:val="both"/>
        <w:rPr>
          <w:lang w:val="en-IE"/>
        </w:rPr>
      </w:pPr>
      <w:r>
        <w:rPr>
          <w:rStyle w:val="FootnoteReference"/>
        </w:rPr>
        <w:footnoteRef/>
      </w:r>
      <w:r w:rsidRPr="00511F38">
        <w:rPr>
          <w:lang w:val="en-IE"/>
        </w:rPr>
        <w:t xml:space="preserve"> </w:t>
      </w:r>
      <w:r>
        <w:rPr>
          <w:lang w:val="en-IE"/>
        </w:rPr>
        <w:tab/>
      </w:r>
      <w:r>
        <w:t>See Recital 35 of the Regulation</w:t>
      </w:r>
      <w:r>
        <w:rPr>
          <w:lang w:val="en-IE"/>
        </w:rPr>
        <w:t>.</w:t>
      </w:r>
    </w:p>
  </w:footnote>
  <w:footnote w:id="26">
    <w:p w14:paraId="7F187C17" w14:textId="78C52D3C" w:rsidR="0047249C" w:rsidRPr="00511F38" w:rsidRDefault="0047249C" w:rsidP="00F969E8">
      <w:pPr>
        <w:pStyle w:val="FootnoteText"/>
        <w:ind w:left="720" w:hanging="720"/>
        <w:jc w:val="both"/>
        <w:rPr>
          <w:lang w:val="en-IE"/>
        </w:rPr>
      </w:pPr>
      <w:r>
        <w:rPr>
          <w:rStyle w:val="FootnoteReference"/>
        </w:rPr>
        <w:footnoteRef/>
      </w:r>
      <w:r w:rsidRPr="00511F38">
        <w:rPr>
          <w:lang w:val="en-IE"/>
        </w:rPr>
        <w:t xml:space="preserve"> </w:t>
      </w:r>
      <w:r>
        <w:rPr>
          <w:lang w:val="en-IE"/>
        </w:rPr>
        <w:tab/>
      </w:r>
      <w:r w:rsidRPr="00511F38">
        <w:rPr>
          <w:lang w:val="en-IE"/>
        </w:rPr>
        <w:t xml:space="preserve">Using someone else’s </w:t>
      </w:r>
      <w:r w:rsidR="003B0DFC">
        <w:rPr>
          <w:lang w:val="en-IE"/>
        </w:rPr>
        <w:t xml:space="preserve">valid </w:t>
      </w:r>
      <w:r w:rsidRPr="00511F38">
        <w:rPr>
          <w:lang w:val="en-IE"/>
        </w:rPr>
        <w:t>document</w:t>
      </w:r>
      <w:r>
        <w:rPr>
          <w:lang w:val="en-IE"/>
        </w:rPr>
        <w:t>.</w:t>
      </w:r>
    </w:p>
  </w:footnote>
  <w:footnote w:id="27">
    <w:p w14:paraId="695D7830" w14:textId="528B1A07" w:rsidR="0047249C" w:rsidRPr="00511F38" w:rsidRDefault="0047249C" w:rsidP="00F969E8">
      <w:pPr>
        <w:pStyle w:val="FootnoteText"/>
        <w:ind w:left="720" w:hanging="720"/>
        <w:jc w:val="both"/>
        <w:rPr>
          <w:lang w:val="en-IE"/>
        </w:rPr>
      </w:pPr>
      <w:r>
        <w:rPr>
          <w:rStyle w:val="FootnoteReference"/>
        </w:rPr>
        <w:footnoteRef/>
      </w:r>
      <w:r w:rsidRPr="00511F38">
        <w:rPr>
          <w:lang w:val="en-IE"/>
        </w:rPr>
        <w:t xml:space="preserve"> </w:t>
      </w:r>
      <w:r>
        <w:rPr>
          <w:lang w:val="en-IE"/>
        </w:rPr>
        <w:tab/>
      </w:r>
      <w:r w:rsidRPr="00511F38">
        <w:t>Someone who uses a counterfeit or forged card</w:t>
      </w:r>
      <w:r w:rsidR="003B0DFC">
        <w:t>s</w:t>
      </w:r>
      <w:r>
        <w:t>.</w:t>
      </w:r>
    </w:p>
  </w:footnote>
  <w:footnote w:id="28">
    <w:p w14:paraId="41D8B0C4" w14:textId="77777777" w:rsidR="0047249C" w:rsidRPr="00511F38" w:rsidRDefault="0047249C" w:rsidP="00F969E8">
      <w:pPr>
        <w:pStyle w:val="FootnoteText"/>
        <w:ind w:left="720" w:hanging="720"/>
        <w:jc w:val="both"/>
        <w:rPr>
          <w:lang w:val="en-IE"/>
        </w:rPr>
      </w:pPr>
      <w:r>
        <w:rPr>
          <w:rStyle w:val="FootnoteReference"/>
        </w:rPr>
        <w:footnoteRef/>
      </w:r>
      <w:r w:rsidRPr="00511F38">
        <w:rPr>
          <w:lang w:val="en-IE"/>
        </w:rPr>
        <w:t xml:space="preserve"> </w:t>
      </w:r>
      <w:r>
        <w:rPr>
          <w:lang w:val="en-IE"/>
        </w:rPr>
        <w:tab/>
      </w:r>
      <w:hyperlink r:id="rId1" w:history="1">
        <w:r w:rsidRPr="002F518E">
          <w:rPr>
            <w:rStyle w:val="Hyperlink"/>
            <w:lang w:val="en-US"/>
          </w:rPr>
          <w:t>https://commission.europa.eu/strategy-and-policy/policies/justice-and-fundamental-rights/eu-citizenship/movement-and-residence_en</w:t>
        </w:r>
      </w:hyperlink>
    </w:p>
  </w:footnote>
  <w:footnote w:id="29">
    <w:p w14:paraId="31021530" w14:textId="77777777" w:rsidR="0047249C" w:rsidRDefault="0047249C" w:rsidP="00F969E8">
      <w:pPr>
        <w:pStyle w:val="FootnoteText"/>
        <w:ind w:left="720" w:hanging="720"/>
        <w:jc w:val="both"/>
      </w:pPr>
      <w:r>
        <w:rPr>
          <w:rStyle w:val="FootnoteReference"/>
        </w:rPr>
        <w:footnoteRef/>
      </w:r>
      <w:r>
        <w:tab/>
        <w:t xml:space="preserve">For example, judgment of 20 March 2018, </w:t>
      </w:r>
      <w:r w:rsidRPr="005C4F52">
        <w:rPr>
          <w:i/>
        </w:rPr>
        <w:t>Menci</w:t>
      </w:r>
      <w:r>
        <w:t>, C-524/15, EU:C:2018:197, paragraph 41.</w:t>
      </w:r>
    </w:p>
  </w:footnote>
  <w:footnote w:id="30">
    <w:p w14:paraId="37F39EF1" w14:textId="77777777" w:rsidR="0047249C" w:rsidRDefault="0047249C" w:rsidP="00F969E8">
      <w:pPr>
        <w:pStyle w:val="FootnoteText"/>
        <w:ind w:left="720" w:hanging="720"/>
        <w:jc w:val="both"/>
      </w:pPr>
      <w:r>
        <w:rPr>
          <w:rStyle w:val="FootnoteReference"/>
        </w:rPr>
        <w:footnoteRef/>
      </w:r>
      <w:r>
        <w:tab/>
        <w:t xml:space="preserve">Article 1(2) of </w:t>
      </w:r>
      <w:r w:rsidRPr="000C45F5">
        <w:t>Council Regulation (EC) No 2252/2004</w:t>
      </w:r>
      <w:r>
        <w:t>.</w:t>
      </w:r>
    </w:p>
  </w:footnote>
  <w:footnote w:id="31">
    <w:p w14:paraId="0380245C" w14:textId="77777777" w:rsidR="00344B74" w:rsidRDefault="00344B74" w:rsidP="00F969E8">
      <w:pPr>
        <w:pStyle w:val="FootnoteText"/>
        <w:ind w:left="720" w:hanging="720"/>
        <w:jc w:val="both"/>
      </w:pPr>
      <w:r>
        <w:rPr>
          <w:rStyle w:val="FootnoteReference"/>
        </w:rPr>
        <w:footnoteRef/>
      </w:r>
      <w:r>
        <w:tab/>
        <w:t>Article 4a of Council Regulation (EC) No 1030/2002 of 13 June 2002 laying down a uniform format for residence permits for third-country nationals (OJ L 157, 15.6.2002, p. 1).</w:t>
      </w:r>
    </w:p>
  </w:footnote>
  <w:footnote w:id="32">
    <w:p w14:paraId="695A9B14" w14:textId="77777777" w:rsidR="0047249C" w:rsidRPr="00886CB4" w:rsidRDefault="0047249C"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Recital 18 of the Regulation.</w:t>
      </w:r>
    </w:p>
  </w:footnote>
  <w:footnote w:id="33">
    <w:p w14:paraId="53FC4CE5" w14:textId="77777777" w:rsidR="0047249C" w:rsidRPr="00886CB4" w:rsidRDefault="0047249C" w:rsidP="00F969E8">
      <w:pPr>
        <w:pStyle w:val="FootnoteText"/>
        <w:ind w:left="720" w:hanging="720"/>
        <w:jc w:val="both"/>
        <w:rPr>
          <w:rFonts w:cs="Times New Roman"/>
          <w:lang w:val="en-IE"/>
        </w:rPr>
      </w:pPr>
      <w:r w:rsidRPr="00886CB4">
        <w:rPr>
          <w:rStyle w:val="FootnoteReference"/>
          <w:rFonts w:cs="Times New Roman"/>
        </w:rPr>
        <w:footnoteRef/>
      </w:r>
      <w:r w:rsidRPr="00886CB4">
        <w:rPr>
          <w:rFonts w:cs="Times New Roman"/>
          <w:lang w:val="en-IE"/>
        </w:rPr>
        <w:tab/>
      </w:r>
      <w:r>
        <w:t>Second subparagraph of Article 6 of the Regulation.</w:t>
      </w:r>
    </w:p>
  </w:footnote>
  <w:footnote w:id="34">
    <w:p w14:paraId="6D51D8CF" w14:textId="4474838F" w:rsidR="00344C4A" w:rsidRPr="00F11519" w:rsidRDefault="00344C4A" w:rsidP="00166BBD">
      <w:pPr>
        <w:pStyle w:val="FootnoteText"/>
        <w:ind w:left="720" w:hanging="720"/>
        <w:jc w:val="both"/>
        <w:rPr>
          <w:lang w:val="de-AT"/>
        </w:rPr>
      </w:pPr>
      <w:r>
        <w:rPr>
          <w:rStyle w:val="FootnoteReference"/>
        </w:rPr>
        <w:footnoteRef/>
      </w:r>
      <w:r w:rsidRPr="00F11519">
        <w:rPr>
          <w:lang w:val="de-AT"/>
        </w:rPr>
        <w:t xml:space="preserve"> </w:t>
      </w:r>
      <w:r>
        <w:rPr>
          <w:lang w:val="de-AT"/>
        </w:rPr>
        <w:tab/>
        <w:t xml:space="preserve">Opinion of 29 June 2023, </w:t>
      </w:r>
      <w:r w:rsidRPr="001B0C96">
        <w:rPr>
          <w:i/>
          <w:iCs/>
          <w:lang w:val="de-AT"/>
        </w:rPr>
        <w:t>Landeshauptstadt Wiesbaden</w:t>
      </w:r>
      <w:r>
        <w:rPr>
          <w:lang w:val="de-AT"/>
        </w:rPr>
        <w:t xml:space="preserve">, </w:t>
      </w:r>
      <w:r w:rsidRPr="00D74C71">
        <w:rPr>
          <w:lang w:val="de-AT"/>
        </w:rPr>
        <w:t>C‑61/22</w:t>
      </w:r>
      <w:r>
        <w:rPr>
          <w:lang w:val="de-AT"/>
        </w:rPr>
        <w:t xml:space="preserve">, </w:t>
      </w:r>
      <w:r w:rsidRPr="001B0C96">
        <w:rPr>
          <w:rStyle w:val="outputecli"/>
          <w:lang w:val="de-AT"/>
        </w:rPr>
        <w:t>EU:C:2023:520</w:t>
      </w:r>
      <w:r>
        <w:rPr>
          <w:rStyle w:val="outputecli"/>
          <w:lang w:val="de-AT"/>
        </w:rPr>
        <w:t>, paragraph 75.</w:t>
      </w:r>
    </w:p>
  </w:footnote>
  <w:footnote w:id="35">
    <w:p w14:paraId="111EC5FC" w14:textId="77777777" w:rsidR="0047249C" w:rsidRDefault="0047249C" w:rsidP="00F969E8">
      <w:pPr>
        <w:pStyle w:val="FootnoteText"/>
        <w:ind w:left="720" w:hanging="720"/>
        <w:jc w:val="both"/>
      </w:pPr>
      <w:r>
        <w:rPr>
          <w:rStyle w:val="FootnoteReference"/>
        </w:rPr>
        <w:footnoteRef/>
      </w:r>
      <w:r>
        <w:tab/>
        <w:t>Article 35 of Free Movement Directive allows for restrictions to the law to freedom of movement in cases of fraud and abuse of rights.</w:t>
      </w:r>
    </w:p>
  </w:footnote>
  <w:footnote w:id="36">
    <w:p w14:paraId="649E1163" w14:textId="77777777" w:rsidR="0047249C" w:rsidRPr="00F11519" w:rsidRDefault="0047249C" w:rsidP="00F969E8">
      <w:pPr>
        <w:pStyle w:val="FootnoteText"/>
        <w:ind w:left="720" w:hanging="720"/>
        <w:jc w:val="both"/>
        <w:rPr>
          <w:lang w:val="de-AT"/>
        </w:rPr>
      </w:pPr>
      <w:r>
        <w:rPr>
          <w:rStyle w:val="FootnoteReference"/>
        </w:rPr>
        <w:footnoteRef/>
      </w:r>
      <w:r w:rsidRPr="00F11519">
        <w:rPr>
          <w:lang w:val="de-AT"/>
        </w:rPr>
        <w:tab/>
        <w:t xml:space="preserve">Judgment of 17 October 2013, </w:t>
      </w:r>
      <w:r w:rsidRPr="00F11519">
        <w:rPr>
          <w:i/>
          <w:lang w:val="de-AT"/>
        </w:rPr>
        <w:t>Schwarz</w:t>
      </w:r>
      <w:r w:rsidRPr="00F11519">
        <w:rPr>
          <w:lang w:val="de-AT"/>
        </w:rPr>
        <w:t>, C-291/12, EU:C:2013:670, paragraph 41.</w:t>
      </w:r>
    </w:p>
  </w:footnote>
  <w:footnote w:id="37">
    <w:p w14:paraId="69649D60" w14:textId="593FFD1B" w:rsidR="00DD0977" w:rsidRPr="00F11519" w:rsidRDefault="00DD0977" w:rsidP="00166BBD">
      <w:pPr>
        <w:pStyle w:val="FootnoteText"/>
        <w:ind w:left="720" w:hanging="720"/>
        <w:jc w:val="both"/>
        <w:rPr>
          <w:lang w:val="de-AT"/>
        </w:rPr>
      </w:pPr>
      <w:r>
        <w:rPr>
          <w:rStyle w:val="FootnoteReference"/>
        </w:rPr>
        <w:footnoteRef/>
      </w:r>
      <w:r w:rsidRPr="00F11519">
        <w:rPr>
          <w:lang w:val="de-AT"/>
        </w:rPr>
        <w:t xml:space="preserve"> </w:t>
      </w:r>
      <w:r>
        <w:rPr>
          <w:lang w:val="de-AT"/>
        </w:rPr>
        <w:tab/>
        <w:t xml:space="preserve">Opinion of 29 June 2023, </w:t>
      </w:r>
      <w:r w:rsidRPr="001B0C96">
        <w:rPr>
          <w:i/>
          <w:iCs/>
          <w:lang w:val="de-AT"/>
        </w:rPr>
        <w:t>Landeshauptstadt Wiesbaden</w:t>
      </w:r>
      <w:r>
        <w:rPr>
          <w:lang w:val="de-AT"/>
        </w:rPr>
        <w:t xml:space="preserve">, </w:t>
      </w:r>
      <w:r w:rsidRPr="00D74C71">
        <w:rPr>
          <w:lang w:val="de-AT"/>
        </w:rPr>
        <w:t>C‑61/22</w:t>
      </w:r>
      <w:r>
        <w:rPr>
          <w:lang w:val="de-AT"/>
        </w:rPr>
        <w:t xml:space="preserve">, </w:t>
      </w:r>
      <w:r w:rsidRPr="001B0C96">
        <w:rPr>
          <w:rStyle w:val="outputecli"/>
          <w:lang w:val="de-AT"/>
        </w:rPr>
        <w:t>EU:C:2023:520</w:t>
      </w:r>
      <w:r>
        <w:rPr>
          <w:rStyle w:val="outputecli"/>
          <w:lang w:val="de-AT"/>
        </w:rPr>
        <w:t>, paragraph 82.</w:t>
      </w:r>
    </w:p>
  </w:footnote>
  <w:footnote w:id="38">
    <w:p w14:paraId="1F0DEFB0" w14:textId="7839797D" w:rsidR="0047249C" w:rsidRPr="00F11519" w:rsidRDefault="0047249C" w:rsidP="00F969E8">
      <w:pPr>
        <w:pStyle w:val="FootnoteText"/>
        <w:ind w:left="720" w:hanging="720"/>
        <w:jc w:val="both"/>
        <w:rPr>
          <w:lang w:val="de-AT"/>
        </w:rPr>
      </w:pPr>
      <w:r>
        <w:rPr>
          <w:rStyle w:val="FootnoteReference"/>
        </w:rPr>
        <w:footnoteRef/>
      </w:r>
      <w:r w:rsidRPr="00F11519">
        <w:rPr>
          <w:lang w:val="de-AT"/>
        </w:rPr>
        <w:tab/>
        <w:t xml:space="preserve">Judgment of 17 October 2013, </w:t>
      </w:r>
      <w:r w:rsidRPr="00F11519">
        <w:rPr>
          <w:i/>
          <w:lang w:val="de-AT"/>
        </w:rPr>
        <w:t>Schwarz</w:t>
      </w:r>
      <w:r w:rsidRPr="00F11519">
        <w:rPr>
          <w:lang w:val="de-AT"/>
        </w:rPr>
        <w:t xml:space="preserve">, C-291/12, EU:C:2013:670, paragraph 48; see also the judgment of 3 October 2019, </w:t>
      </w:r>
      <w:r w:rsidRPr="00F11519">
        <w:rPr>
          <w:i/>
          <w:lang w:val="de-AT"/>
        </w:rPr>
        <w:t>Staatssecretaris van Justitie en Veiligheid v A and Others</w:t>
      </w:r>
      <w:r w:rsidRPr="00F11519">
        <w:rPr>
          <w:lang w:val="de-AT"/>
        </w:rPr>
        <w:t>, C-70/18, EU:C:2019:823, paragraph 58</w:t>
      </w:r>
      <w:r w:rsidR="00DD0977" w:rsidRPr="00F11519">
        <w:rPr>
          <w:lang w:val="de-AT"/>
        </w:rPr>
        <w:t xml:space="preserve"> and o</w:t>
      </w:r>
      <w:r w:rsidR="00DD0977" w:rsidRPr="00A419D1">
        <w:rPr>
          <w:lang w:val="de-AT"/>
        </w:rPr>
        <w:t xml:space="preserve">pinion of 29 June 2023, </w:t>
      </w:r>
      <w:r w:rsidR="00DD0977" w:rsidRPr="00A419D1">
        <w:rPr>
          <w:i/>
          <w:iCs/>
          <w:lang w:val="de-AT"/>
        </w:rPr>
        <w:t>Landeshauptstadt Wiesbaden</w:t>
      </w:r>
      <w:r w:rsidR="00DD0977" w:rsidRPr="00A419D1">
        <w:rPr>
          <w:lang w:val="de-AT"/>
        </w:rPr>
        <w:t xml:space="preserve">, C‑61/22, </w:t>
      </w:r>
      <w:r w:rsidR="00DD0977" w:rsidRPr="00A419D1">
        <w:rPr>
          <w:rStyle w:val="outputecli"/>
          <w:lang w:val="de-AT"/>
        </w:rPr>
        <w:t>EU:C:2023:520</w:t>
      </w:r>
      <w:r w:rsidR="00DD0977" w:rsidRPr="00F11519">
        <w:rPr>
          <w:rStyle w:val="outputecli"/>
          <w:lang w:val="de-AT"/>
        </w:rPr>
        <w:t>, paragraph 79</w:t>
      </w:r>
      <w:r w:rsidRPr="00F11519">
        <w:rPr>
          <w:lang w:val="de-AT"/>
        </w:rPr>
        <w:t>.</w:t>
      </w:r>
    </w:p>
  </w:footnote>
  <w:footnote w:id="39">
    <w:p w14:paraId="74B0FBEA" w14:textId="1032039C" w:rsidR="0047249C" w:rsidRPr="00F11519" w:rsidRDefault="0047249C" w:rsidP="00F969E8">
      <w:pPr>
        <w:pStyle w:val="FootnoteText"/>
        <w:ind w:left="720" w:hanging="720"/>
        <w:jc w:val="both"/>
        <w:rPr>
          <w:lang w:val="de-AT"/>
        </w:rPr>
      </w:pPr>
      <w:r>
        <w:rPr>
          <w:rStyle w:val="FootnoteReference"/>
        </w:rPr>
        <w:footnoteRef/>
      </w:r>
      <w:r w:rsidRPr="00F11519">
        <w:rPr>
          <w:lang w:val="de-AT"/>
        </w:rPr>
        <w:tab/>
        <w:t xml:space="preserve">Judgment of 17 October 2013, </w:t>
      </w:r>
      <w:r w:rsidRPr="00F11519">
        <w:rPr>
          <w:i/>
          <w:lang w:val="de-AT"/>
        </w:rPr>
        <w:t>Schwarz</w:t>
      </w:r>
      <w:r w:rsidRPr="00F11519">
        <w:rPr>
          <w:lang w:val="de-AT"/>
        </w:rPr>
        <w:t>, C-291/12, EU:C:2013:670, paragraph 50.</w:t>
      </w:r>
      <w:r w:rsidR="00C218E4" w:rsidRPr="00F11519">
        <w:rPr>
          <w:lang w:val="de-AT"/>
        </w:rPr>
        <w:t xml:space="preserve"> See also </w:t>
      </w:r>
      <w:r w:rsidR="00C218E4">
        <w:rPr>
          <w:lang w:val="de-AT"/>
        </w:rPr>
        <w:t xml:space="preserve">Opinion of 29 June 2023, </w:t>
      </w:r>
      <w:r w:rsidR="00C218E4" w:rsidRPr="001B0C96">
        <w:rPr>
          <w:i/>
          <w:iCs/>
          <w:lang w:val="de-AT"/>
        </w:rPr>
        <w:t>Landeshauptstadt Wiesbaden</w:t>
      </w:r>
      <w:r w:rsidR="00C218E4">
        <w:rPr>
          <w:lang w:val="de-AT"/>
        </w:rPr>
        <w:t xml:space="preserve">, </w:t>
      </w:r>
      <w:r w:rsidR="00C218E4" w:rsidRPr="00D74C71">
        <w:rPr>
          <w:lang w:val="de-AT"/>
        </w:rPr>
        <w:t>C‑61/22</w:t>
      </w:r>
      <w:r w:rsidR="00C218E4">
        <w:rPr>
          <w:lang w:val="de-AT"/>
        </w:rPr>
        <w:t xml:space="preserve">, </w:t>
      </w:r>
      <w:r w:rsidR="00C218E4" w:rsidRPr="001B0C96">
        <w:rPr>
          <w:rStyle w:val="outputecli"/>
          <w:lang w:val="de-AT"/>
        </w:rPr>
        <w:t>EU:C:2023:520</w:t>
      </w:r>
      <w:r w:rsidR="00C218E4">
        <w:rPr>
          <w:rStyle w:val="outputecli"/>
          <w:lang w:val="de-AT"/>
        </w:rPr>
        <w:t>, paragraph 89.</w:t>
      </w:r>
    </w:p>
  </w:footnote>
  <w:footnote w:id="40">
    <w:p w14:paraId="77DF5A75" w14:textId="4FD35859" w:rsidR="00C218E4" w:rsidRPr="00F11519" w:rsidRDefault="00C218E4" w:rsidP="00F969E8">
      <w:pPr>
        <w:pStyle w:val="FootnoteText"/>
        <w:ind w:left="720" w:hanging="720"/>
        <w:jc w:val="both"/>
        <w:rPr>
          <w:lang w:val="de-AT"/>
        </w:rPr>
      </w:pPr>
      <w:r>
        <w:rPr>
          <w:rStyle w:val="FootnoteReference"/>
        </w:rPr>
        <w:footnoteRef/>
      </w:r>
      <w:r w:rsidRPr="00F11519">
        <w:rPr>
          <w:lang w:val="de-AT"/>
        </w:rPr>
        <w:t xml:space="preserve"> </w:t>
      </w:r>
      <w:r w:rsidRPr="00C218E4">
        <w:rPr>
          <w:lang w:val="de-AT"/>
        </w:rPr>
        <w:tab/>
      </w:r>
      <w:r w:rsidR="00305E52">
        <w:rPr>
          <w:lang w:val="de-AT"/>
        </w:rPr>
        <w:t xml:space="preserve">Judgment of 17 October 2013, </w:t>
      </w:r>
      <w:r w:rsidR="00305E52">
        <w:rPr>
          <w:i/>
          <w:iCs/>
          <w:lang w:val="de-AT"/>
        </w:rPr>
        <w:t xml:space="preserve">Schwarz, </w:t>
      </w:r>
      <w:r w:rsidR="00305E52">
        <w:rPr>
          <w:lang w:val="de-AT"/>
        </w:rPr>
        <w:t xml:space="preserve">C-291/12, EU:C:2013:670, paragraph 51. See also </w:t>
      </w:r>
      <w:r>
        <w:rPr>
          <w:lang w:val="de-AT"/>
        </w:rPr>
        <w:t xml:space="preserve">Opinion of 29 June 2023, </w:t>
      </w:r>
      <w:r w:rsidRPr="001B0C96">
        <w:rPr>
          <w:i/>
          <w:iCs/>
          <w:lang w:val="de-AT"/>
        </w:rPr>
        <w:t>Landeshauptstadt Wiesbaden</w:t>
      </w:r>
      <w:r>
        <w:rPr>
          <w:lang w:val="de-AT"/>
        </w:rPr>
        <w:t xml:space="preserve">, </w:t>
      </w:r>
      <w:r w:rsidRPr="00D74C71">
        <w:rPr>
          <w:lang w:val="de-AT"/>
        </w:rPr>
        <w:t>C‑61/22</w:t>
      </w:r>
      <w:r>
        <w:rPr>
          <w:lang w:val="de-AT"/>
        </w:rPr>
        <w:t xml:space="preserve">, </w:t>
      </w:r>
      <w:r w:rsidRPr="001B0C96">
        <w:rPr>
          <w:rStyle w:val="outputecli"/>
          <w:lang w:val="de-AT"/>
        </w:rPr>
        <w:t>EU:C:2023:520</w:t>
      </w:r>
      <w:r>
        <w:rPr>
          <w:rStyle w:val="outputecli"/>
          <w:lang w:val="de-AT"/>
        </w:rPr>
        <w:t>, paragraph 95.</w:t>
      </w:r>
    </w:p>
  </w:footnote>
  <w:footnote w:id="41">
    <w:p w14:paraId="44BD3D10" w14:textId="16D2CDD6" w:rsidR="0047249C" w:rsidRDefault="0047249C" w:rsidP="00F969E8">
      <w:pPr>
        <w:pStyle w:val="FootnoteText"/>
        <w:ind w:left="720" w:hanging="720"/>
        <w:jc w:val="both"/>
      </w:pPr>
      <w:r>
        <w:rPr>
          <w:rStyle w:val="FootnoteReference"/>
        </w:rPr>
        <w:footnoteRef/>
      </w:r>
      <w:r>
        <w:tab/>
        <w:t xml:space="preserve">See Articles 10 and 11 of the Regulation and </w:t>
      </w:r>
      <w:r w:rsidR="00884099">
        <w:t>R</w:t>
      </w:r>
      <w:r>
        <w:t>ecitals 19 to 22 and 40</w:t>
      </w:r>
      <w:r w:rsidR="00C218E4">
        <w:t xml:space="preserve"> and </w:t>
      </w:r>
      <w:r w:rsidR="00C218E4" w:rsidRPr="00F11519">
        <w:rPr>
          <w:lang w:val="en-IE"/>
        </w:rPr>
        <w:t xml:space="preserve">Opinion of 29 June 2023, </w:t>
      </w:r>
      <w:r w:rsidR="00C218E4" w:rsidRPr="00F11519">
        <w:rPr>
          <w:i/>
          <w:iCs/>
          <w:lang w:val="en-IE"/>
        </w:rPr>
        <w:t>Landeshauptstadt Wiesbaden</w:t>
      </w:r>
      <w:r w:rsidR="00C218E4" w:rsidRPr="00F11519">
        <w:rPr>
          <w:lang w:val="en-IE"/>
        </w:rPr>
        <w:t xml:space="preserve">, C‑61/22, </w:t>
      </w:r>
      <w:r w:rsidR="00C218E4" w:rsidRPr="00F11519">
        <w:rPr>
          <w:rStyle w:val="outputecli"/>
          <w:lang w:val="en-IE"/>
        </w:rPr>
        <w:t>EU:C:2023:520, paragraph</w:t>
      </w:r>
      <w:r w:rsidR="00C218E4">
        <w:rPr>
          <w:rStyle w:val="outputecli"/>
          <w:lang w:val="en-IE"/>
        </w:rPr>
        <w:t>s 98-103</w:t>
      </w:r>
      <w:r>
        <w:t>.</w:t>
      </w:r>
    </w:p>
  </w:footnote>
  <w:footnote w:id="42">
    <w:p w14:paraId="2ADC6ECC" w14:textId="4923BD86" w:rsidR="0047249C" w:rsidRPr="00593420" w:rsidRDefault="0047249C" w:rsidP="00F969E8">
      <w:pPr>
        <w:pStyle w:val="FootnoteText"/>
        <w:ind w:left="720" w:hanging="720"/>
        <w:jc w:val="both"/>
        <w:rPr>
          <w:lang w:val="en-IE"/>
        </w:rPr>
      </w:pPr>
      <w:r>
        <w:rPr>
          <w:rStyle w:val="FootnoteReference"/>
        </w:rPr>
        <w:footnoteRef/>
      </w:r>
      <w:r>
        <w:t xml:space="preserve"> </w:t>
      </w:r>
      <w:r>
        <w:tab/>
      </w:r>
      <w:r w:rsidRPr="003B63D0">
        <w:rPr>
          <w:sz w:val="19"/>
          <w:szCs w:val="19"/>
          <w:shd w:val="clear" w:color="auto" w:fill="FFFFFF"/>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F11519">
        <w:rPr>
          <w:sz w:val="19"/>
          <w:szCs w:val="19"/>
          <w:shd w:val="clear" w:color="auto" w:fill="FFFFFF"/>
        </w:rPr>
        <w:t>OJ L 119, 4.5.2016, p. 1</w:t>
      </w:r>
      <w:r w:rsidRPr="003B63D0">
        <w:rPr>
          <w:sz w:val="19"/>
          <w:szCs w:val="19"/>
          <w:shd w:val="clear" w:color="auto" w:fill="FFFFFF"/>
        </w:rPr>
        <w:t>).</w:t>
      </w:r>
    </w:p>
  </w:footnote>
  <w:footnote w:id="43">
    <w:p w14:paraId="30EBCD5B" w14:textId="2F6CBDEB" w:rsidR="00C218E4" w:rsidRPr="00F11519" w:rsidRDefault="00C218E4" w:rsidP="00F969E8">
      <w:pPr>
        <w:pStyle w:val="FootnoteText"/>
        <w:ind w:left="720" w:hanging="720"/>
        <w:jc w:val="both"/>
        <w:rPr>
          <w:lang w:val="de-AT"/>
        </w:rPr>
      </w:pPr>
      <w:r>
        <w:rPr>
          <w:rStyle w:val="FootnoteReference"/>
        </w:rPr>
        <w:footnoteRef/>
      </w:r>
      <w:r w:rsidRPr="00F11519">
        <w:rPr>
          <w:lang w:val="de-AT"/>
        </w:rPr>
        <w:t xml:space="preserve"> </w:t>
      </w:r>
      <w:r>
        <w:rPr>
          <w:lang w:val="de-AT"/>
        </w:rPr>
        <w:tab/>
        <w:t xml:space="preserve">Opinion of 29 June 2023, </w:t>
      </w:r>
      <w:r w:rsidRPr="001B0C96">
        <w:rPr>
          <w:i/>
          <w:iCs/>
          <w:lang w:val="de-AT"/>
        </w:rPr>
        <w:t>Landeshauptstadt Wiesbaden</w:t>
      </w:r>
      <w:r>
        <w:rPr>
          <w:lang w:val="de-AT"/>
        </w:rPr>
        <w:t xml:space="preserve">, </w:t>
      </w:r>
      <w:r w:rsidRPr="00D74C71">
        <w:rPr>
          <w:lang w:val="de-AT"/>
        </w:rPr>
        <w:t>C‑61/22</w:t>
      </w:r>
      <w:r>
        <w:rPr>
          <w:lang w:val="de-AT"/>
        </w:rPr>
        <w:t xml:space="preserve">, </w:t>
      </w:r>
      <w:r w:rsidRPr="001B0C96">
        <w:rPr>
          <w:rStyle w:val="outputecli"/>
          <w:lang w:val="de-AT"/>
        </w:rPr>
        <w:t>EU:C:2023:520</w:t>
      </w:r>
      <w:r>
        <w:rPr>
          <w:rStyle w:val="outputecli"/>
          <w:lang w:val="de-AT"/>
        </w:rPr>
        <w:t>, paragraph 108.</w:t>
      </w:r>
    </w:p>
  </w:footnote>
  <w:footnote w:id="44">
    <w:p w14:paraId="659355BC" w14:textId="77777777" w:rsidR="0047249C" w:rsidRPr="007A36F7" w:rsidRDefault="0047249C" w:rsidP="00F969E8">
      <w:pPr>
        <w:pStyle w:val="FootnoteText"/>
        <w:ind w:left="720" w:hanging="720"/>
        <w:jc w:val="both"/>
        <w:rPr>
          <w:lang w:val="en-IE"/>
        </w:rPr>
      </w:pPr>
      <w:r>
        <w:rPr>
          <w:rStyle w:val="FootnoteReference"/>
        </w:rPr>
        <w:footnoteRef/>
      </w:r>
      <w:r w:rsidRPr="007A36F7">
        <w:rPr>
          <w:lang w:val="en-IE"/>
        </w:rPr>
        <w:t xml:space="preserve"> </w:t>
      </w:r>
      <w:r w:rsidRPr="007A36F7">
        <w:rPr>
          <w:lang w:val="en-IE"/>
        </w:rPr>
        <w:tab/>
        <w:t>Ares(2021)4724281.</w:t>
      </w:r>
    </w:p>
  </w:footnote>
  <w:footnote w:id="45">
    <w:p w14:paraId="604CEE07" w14:textId="477B0D18" w:rsidR="0047249C" w:rsidRPr="007A36F7" w:rsidRDefault="0047249C" w:rsidP="00F969E8">
      <w:pPr>
        <w:pStyle w:val="FootnoteText"/>
        <w:ind w:left="720" w:hanging="720"/>
        <w:jc w:val="both"/>
        <w:rPr>
          <w:lang w:val="en-IE"/>
        </w:rPr>
      </w:pPr>
      <w:r>
        <w:rPr>
          <w:rStyle w:val="FootnoteReference"/>
        </w:rPr>
        <w:footnoteRef/>
      </w:r>
      <w:r w:rsidRPr="007A36F7">
        <w:rPr>
          <w:lang w:val="en-IE"/>
        </w:rPr>
        <w:t xml:space="preserve"> </w:t>
      </w:r>
      <w:r w:rsidR="00F91F1F">
        <w:rPr>
          <w:lang w:val="en-IE"/>
        </w:rPr>
        <w:tab/>
      </w:r>
      <w:hyperlink r:id="rId2" w:history="1">
        <w:r w:rsidR="00F91F1F" w:rsidRPr="00274785">
          <w:rPr>
            <w:rStyle w:val="Hyperlink"/>
            <w:lang w:val="en-IE"/>
          </w:rPr>
          <w:t>https://ec.europa.eu/commission/presscorner/detail/en/inf_23_3445</w:t>
        </w:r>
      </w:hyperlink>
      <w:r w:rsidR="003206BE" w:rsidRPr="007A36F7">
        <w:rPr>
          <w:lang w:val="en-IE"/>
        </w:rPr>
        <w:t xml:space="preserve"> </w:t>
      </w:r>
    </w:p>
  </w:footnote>
  <w:footnote w:id="46">
    <w:p w14:paraId="02546F7E" w14:textId="786EA8D1" w:rsidR="0047249C" w:rsidRPr="00F11519" w:rsidRDefault="0047249C" w:rsidP="00F969E8">
      <w:pPr>
        <w:pStyle w:val="FootnoteText"/>
        <w:ind w:left="720" w:hanging="720"/>
        <w:jc w:val="both"/>
        <w:rPr>
          <w:lang w:val="de-AT"/>
        </w:rPr>
      </w:pPr>
      <w:r>
        <w:rPr>
          <w:rStyle w:val="FootnoteReference"/>
        </w:rPr>
        <w:footnoteRef/>
      </w:r>
      <w:r w:rsidRPr="00F11519">
        <w:rPr>
          <w:lang w:val="de-AT"/>
        </w:rPr>
        <w:t xml:space="preserve"> </w:t>
      </w:r>
      <w:r w:rsidRPr="00F11519">
        <w:rPr>
          <w:lang w:val="de-AT"/>
        </w:rPr>
        <w:tab/>
      </w:r>
      <w:r w:rsidR="006F3581">
        <w:rPr>
          <w:lang w:val="de-AT"/>
        </w:rPr>
        <w:t xml:space="preserve">Case </w:t>
      </w:r>
      <w:r w:rsidRPr="00F11519">
        <w:rPr>
          <w:lang w:val="de-AT"/>
        </w:rPr>
        <w:t>C-61/22.</w:t>
      </w:r>
    </w:p>
  </w:footnote>
  <w:footnote w:id="47">
    <w:p w14:paraId="321F4D74" w14:textId="5274FCD7" w:rsidR="00D74C71" w:rsidRPr="00F11519" w:rsidRDefault="00D74C71" w:rsidP="00166BBD">
      <w:pPr>
        <w:pStyle w:val="FootnoteText"/>
        <w:ind w:left="720" w:hanging="720"/>
        <w:jc w:val="both"/>
        <w:rPr>
          <w:lang w:val="de-AT"/>
        </w:rPr>
      </w:pPr>
      <w:r>
        <w:rPr>
          <w:rStyle w:val="FootnoteReference"/>
        </w:rPr>
        <w:footnoteRef/>
      </w:r>
      <w:r w:rsidRPr="00F11519">
        <w:rPr>
          <w:lang w:val="de-AT"/>
        </w:rPr>
        <w:t xml:space="preserve"> </w:t>
      </w:r>
      <w:r>
        <w:rPr>
          <w:lang w:val="de-AT"/>
        </w:rPr>
        <w:tab/>
        <w:t xml:space="preserve">Opinion of 29 June 2023, </w:t>
      </w:r>
      <w:r w:rsidRPr="00F11519">
        <w:rPr>
          <w:i/>
          <w:iCs/>
          <w:lang w:val="de-AT"/>
        </w:rPr>
        <w:t>Landeshauptstadt Wiesbaden</w:t>
      </w:r>
      <w:r>
        <w:rPr>
          <w:lang w:val="de-AT"/>
        </w:rPr>
        <w:t xml:space="preserve">, </w:t>
      </w:r>
      <w:r w:rsidRPr="00D74C71">
        <w:rPr>
          <w:lang w:val="de-AT"/>
        </w:rPr>
        <w:t>C‑61/22</w:t>
      </w:r>
      <w:r>
        <w:rPr>
          <w:lang w:val="de-AT"/>
        </w:rPr>
        <w:t xml:space="preserve">, </w:t>
      </w:r>
      <w:r w:rsidRPr="00F11519">
        <w:rPr>
          <w:rStyle w:val="outputecli"/>
          <w:lang w:val="de-AT"/>
        </w:rPr>
        <w:t>EU:C:2023:520</w:t>
      </w:r>
      <w:r>
        <w:rPr>
          <w:rStyle w:val="outputecli"/>
          <w:lang w:val="de-AT"/>
        </w:rPr>
        <w:t>.</w:t>
      </w:r>
    </w:p>
  </w:footnote>
  <w:footnote w:id="48">
    <w:p w14:paraId="7C45EC4B" w14:textId="76574C3D" w:rsidR="0047249C" w:rsidRPr="00D81653" w:rsidRDefault="0047249C" w:rsidP="00F969E8">
      <w:pPr>
        <w:pStyle w:val="FootnoteText"/>
        <w:ind w:left="720" w:hanging="720"/>
        <w:jc w:val="both"/>
        <w:rPr>
          <w:lang w:val="en-IE"/>
        </w:rPr>
      </w:pPr>
      <w:r>
        <w:rPr>
          <w:rStyle w:val="FootnoteReference"/>
        </w:rPr>
        <w:footnoteRef/>
      </w:r>
      <w:r w:rsidRPr="00D81653">
        <w:rPr>
          <w:lang w:val="en-IE"/>
        </w:rPr>
        <w:t xml:space="preserve"> </w:t>
      </w:r>
      <w:r w:rsidRPr="00D81653">
        <w:rPr>
          <w:lang w:val="en-IE"/>
        </w:rPr>
        <w:tab/>
      </w:r>
      <w:r w:rsidR="006F3581">
        <w:rPr>
          <w:lang w:val="en-IE"/>
        </w:rPr>
        <w:t xml:space="preserve">Case </w:t>
      </w:r>
      <w:r w:rsidRPr="00D81653">
        <w:rPr>
          <w:lang w:val="en-IE"/>
        </w:rPr>
        <w:t>C-280/22.</w:t>
      </w:r>
      <w:hyperlink r:id="rId3" w:history="1"/>
    </w:p>
  </w:footnote>
  <w:footnote w:id="49">
    <w:p w14:paraId="64E38ABE" w14:textId="77777777" w:rsidR="0047249C" w:rsidRPr="006D240C" w:rsidRDefault="0047249C" w:rsidP="00F969E8">
      <w:pPr>
        <w:pStyle w:val="FootnoteText"/>
        <w:ind w:left="720" w:hanging="720"/>
        <w:jc w:val="both"/>
        <w:rPr>
          <w:lang w:val="en-IE"/>
        </w:rPr>
      </w:pPr>
      <w:r>
        <w:rPr>
          <w:rStyle w:val="FootnoteReference"/>
        </w:rPr>
        <w:footnoteRef/>
      </w:r>
      <w:r>
        <w:t xml:space="preserve"> </w:t>
      </w:r>
      <w:r w:rsidRPr="006D240C">
        <w:rPr>
          <w:lang w:val="en-IE"/>
        </w:rPr>
        <w:tab/>
      </w:r>
      <w:r w:rsidRPr="00104FBE">
        <w:rPr>
          <w:lang w:val="en-IE"/>
        </w:rPr>
        <w:t>COM(2021) 277 final</w:t>
      </w:r>
      <w:r>
        <w:rPr>
          <w:lang w:val="en-IE"/>
        </w:rPr>
        <w:t>.</w:t>
      </w:r>
    </w:p>
  </w:footnote>
  <w:footnote w:id="50">
    <w:p w14:paraId="084E971C" w14:textId="208182B8" w:rsidR="0047249C" w:rsidRPr="00104FBE" w:rsidRDefault="0047249C" w:rsidP="00166BBD">
      <w:pPr>
        <w:pStyle w:val="FootnoteText"/>
        <w:ind w:left="720" w:hanging="720"/>
        <w:jc w:val="both"/>
      </w:pPr>
      <w:r>
        <w:rPr>
          <w:rStyle w:val="FootnoteReference"/>
        </w:rPr>
        <w:footnoteRef/>
      </w:r>
      <w:r w:rsidR="00CD0D82">
        <w:t xml:space="preserve"> </w:t>
      </w:r>
      <w:r w:rsidR="00CD0D82">
        <w:tab/>
      </w:r>
      <w:r w:rsidR="00305591">
        <w:t xml:space="preserve">Guiding Core Principles for the Development of Digital Travel Credential (DTC), available at:  </w:t>
      </w:r>
      <w:hyperlink r:id="rId4" w:history="1">
        <w:r w:rsidRPr="00E7248C">
          <w:rPr>
            <w:rStyle w:val="Hyperlink"/>
          </w:rPr>
          <w:t>https://www.icao.int/Security/FAL/TRIP/PublishingImages/Pages/Publications/Guiding%20core%20principles%20for%20the%20development%20of%20a%20Digital%20Travel%20Credential%20%20%28DTC%29.PDF</w:t>
        </w:r>
      </w:hyperlink>
      <w:r>
        <w:t xml:space="preserve"> </w:t>
      </w:r>
    </w:p>
  </w:footnote>
  <w:footnote w:id="51">
    <w:p w14:paraId="4A07B8DB" w14:textId="77777777" w:rsidR="0047249C" w:rsidRPr="006D240C" w:rsidRDefault="0047249C" w:rsidP="00166BBD">
      <w:pPr>
        <w:pStyle w:val="FootnoteText"/>
        <w:ind w:left="720" w:hanging="720"/>
        <w:jc w:val="both"/>
        <w:rPr>
          <w:lang w:val="en-IE"/>
        </w:rPr>
      </w:pPr>
      <w:r>
        <w:rPr>
          <w:rStyle w:val="FootnoteReference"/>
        </w:rPr>
        <w:footnoteRef/>
      </w:r>
      <w:r>
        <w:t xml:space="preserve"> </w:t>
      </w:r>
      <w:r w:rsidRPr="006D240C">
        <w:rPr>
          <w:lang w:val="en-IE"/>
        </w:rPr>
        <w:tab/>
      </w:r>
      <w:r w:rsidRPr="00E93CF8">
        <w:rPr>
          <w:lang w:val="en-IE"/>
        </w:rPr>
        <w:t>Proposal for a R</w:t>
      </w:r>
      <w:r>
        <w:rPr>
          <w:lang w:val="en-IE"/>
        </w:rPr>
        <w:t xml:space="preserve">egulation of the European Parliament and of the Council </w:t>
      </w:r>
      <w:r w:rsidRPr="00E93CF8">
        <w:rPr>
          <w:lang w:val="en-IE"/>
        </w:rPr>
        <w:t>amending Regulation (EU) No 910/2014 as regards establishing a framework for a European Digital Identity</w:t>
      </w:r>
      <w:r>
        <w:rPr>
          <w:lang w:val="en-IE"/>
        </w:rPr>
        <w:t xml:space="preserve"> (</w:t>
      </w:r>
      <w:r w:rsidRPr="00E93CF8">
        <w:rPr>
          <w:lang w:val="en-IE"/>
        </w:rPr>
        <w:t>COM (2021) 281</w:t>
      </w:r>
      <w:r>
        <w:rPr>
          <w:lang w:val="en-IE"/>
        </w:rPr>
        <w:t xml:space="preserve"> final).</w:t>
      </w:r>
    </w:p>
  </w:footnote>
  <w:footnote w:id="52">
    <w:p w14:paraId="3D325B9D" w14:textId="5DA825AD" w:rsidR="00800A49" w:rsidRPr="00F11519" w:rsidRDefault="00800A49" w:rsidP="00166BBD">
      <w:pPr>
        <w:pStyle w:val="FootnoteText"/>
        <w:ind w:left="720" w:hanging="720"/>
        <w:jc w:val="both"/>
        <w:rPr>
          <w:lang w:val="en-IE"/>
        </w:rPr>
      </w:pPr>
      <w:r>
        <w:rPr>
          <w:rStyle w:val="FootnoteReference"/>
        </w:rPr>
        <w:footnoteRef/>
      </w:r>
      <w:r>
        <w:t xml:space="preserve"> </w:t>
      </w:r>
      <w:r w:rsidRPr="00F11519">
        <w:rPr>
          <w:lang w:val="en-IE"/>
        </w:rPr>
        <w:tab/>
      </w:r>
      <w:hyperlink r:id="rId5" w:history="1">
        <w:r w:rsidRPr="00F11519">
          <w:rPr>
            <w:rStyle w:val="Hyperlink"/>
            <w:lang w:val="en-IE"/>
          </w:rPr>
          <w:t>https://ec.europa.eu/commission/presscorner/detail/en/ip_23_3556</w:t>
        </w:r>
      </w:hyperlink>
      <w:r>
        <w:rPr>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BA38" w14:textId="77777777" w:rsidR="00237B16" w:rsidRPr="00237B16" w:rsidRDefault="00237B16" w:rsidP="00237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262B" w14:textId="77777777" w:rsidR="00237B16" w:rsidRPr="00237B16" w:rsidRDefault="00237B16" w:rsidP="00237B1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5EA7E" w14:textId="77777777" w:rsidR="00237B16" w:rsidRPr="00237B16" w:rsidRDefault="00237B16" w:rsidP="00237B1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3DFE7" w14:textId="77777777" w:rsidR="0047249C" w:rsidRDefault="004724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3B1F" w14:textId="77777777" w:rsidR="0047249C" w:rsidRDefault="004724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AF34" w14:textId="77777777" w:rsidR="0047249C" w:rsidRDefault="00472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43D3"/>
    <w:multiLevelType w:val="hybridMultilevel"/>
    <w:tmpl w:val="61FA1E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AE6DC0"/>
    <w:multiLevelType w:val="multilevel"/>
    <w:tmpl w:val="94642614"/>
    <w:lvl w:ilvl="0">
      <w:start w:val="1"/>
      <w:numFmt w:val="decimal"/>
      <w:pStyle w:val="Heading1"/>
      <w:lvlText w:val="%1."/>
      <w:lvlJc w:val="left"/>
      <w:pPr>
        <w:ind w:left="1294" w:hanging="432"/>
      </w:pPr>
      <w:rPr>
        <w:rFonts w:hint="default"/>
      </w:rPr>
    </w:lvl>
    <w:lvl w:ilvl="1">
      <w:start w:val="1"/>
      <w:numFmt w:val="decimal"/>
      <w:pStyle w:val="Heading2"/>
      <w:lvlText w:val="%1.%2."/>
      <w:lvlJc w:val="left"/>
      <w:pPr>
        <w:ind w:left="3978" w:hanging="576"/>
      </w:pPr>
      <w:rPr>
        <w:rFonts w:hint="default"/>
      </w:rPr>
    </w:lvl>
    <w:lvl w:ilvl="2">
      <w:start w:val="1"/>
      <w:numFmt w:val="decimal"/>
      <w:pStyle w:val="Heading3"/>
      <w:lvlText w:val="%1.%2.%3."/>
      <w:lvlJc w:val="left"/>
      <w:pPr>
        <w:ind w:left="3850" w:hanging="720"/>
      </w:pPr>
      <w:rPr>
        <w:rFonts w:hint="default"/>
      </w:rPr>
    </w:lvl>
    <w:lvl w:ilvl="3">
      <w:start w:val="1"/>
      <w:numFmt w:val="decimal"/>
      <w:pStyle w:val="Heading4"/>
      <w:lvlText w:val="%1.%2.%3.%4."/>
      <w:lvlJc w:val="left"/>
      <w:pPr>
        <w:ind w:left="1726" w:hanging="864"/>
      </w:pPr>
      <w:rPr>
        <w:rFonts w:hint="default"/>
      </w:rPr>
    </w:lvl>
    <w:lvl w:ilvl="4">
      <w:start w:val="1"/>
      <w:numFmt w:val="decimal"/>
      <w:pStyle w:val="Heading5"/>
      <w:lvlText w:val="%1.%2.%3.%4.%5"/>
      <w:lvlJc w:val="left"/>
      <w:pPr>
        <w:ind w:left="1870" w:hanging="1008"/>
      </w:pPr>
      <w:rPr>
        <w:rFonts w:hint="default"/>
      </w:rPr>
    </w:lvl>
    <w:lvl w:ilvl="5">
      <w:start w:val="1"/>
      <w:numFmt w:val="decimal"/>
      <w:pStyle w:val="Heading6"/>
      <w:lvlText w:val="%1.%2.%3.%4.%5.%6"/>
      <w:lvlJc w:val="left"/>
      <w:pPr>
        <w:ind w:left="2014" w:hanging="1152"/>
      </w:pPr>
      <w:rPr>
        <w:rFonts w:hint="default"/>
      </w:rPr>
    </w:lvl>
    <w:lvl w:ilvl="6">
      <w:start w:val="1"/>
      <w:numFmt w:val="decimal"/>
      <w:pStyle w:val="Heading7"/>
      <w:lvlText w:val="%1.%2.%3.%4.%5.%6.%7"/>
      <w:lvlJc w:val="left"/>
      <w:pPr>
        <w:ind w:left="2158" w:hanging="1296"/>
      </w:pPr>
      <w:rPr>
        <w:rFonts w:hint="default"/>
      </w:rPr>
    </w:lvl>
    <w:lvl w:ilvl="7">
      <w:start w:val="1"/>
      <w:numFmt w:val="decimal"/>
      <w:pStyle w:val="Heading8"/>
      <w:lvlText w:val="%1.%2.%3.%4.%5.%6.%7.%8"/>
      <w:lvlJc w:val="left"/>
      <w:pPr>
        <w:ind w:left="2302" w:hanging="1440"/>
      </w:pPr>
      <w:rPr>
        <w:rFonts w:hint="default"/>
      </w:rPr>
    </w:lvl>
    <w:lvl w:ilvl="8">
      <w:start w:val="1"/>
      <w:numFmt w:val="decimal"/>
      <w:pStyle w:val="Heading9"/>
      <w:lvlText w:val="%1.%2.%3.%4.%5.%6.%7.%8.%9"/>
      <w:lvlJc w:val="left"/>
      <w:pPr>
        <w:ind w:left="2446" w:hanging="1584"/>
      </w:pPr>
      <w:rPr>
        <w:rFonts w:hint="default"/>
      </w:rPr>
    </w:lvl>
  </w:abstractNum>
  <w:abstractNum w:abstractNumId="2" w15:restartNumberingAfterBreak="0">
    <w:nsid w:val="3B212C43"/>
    <w:multiLevelType w:val="hybridMultilevel"/>
    <w:tmpl w:val="7744D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9C97B21"/>
    <w:multiLevelType w:val="hybridMultilevel"/>
    <w:tmpl w:val="1B5E2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25652F3"/>
    <w:multiLevelType w:val="hybridMultilevel"/>
    <w:tmpl w:val="CA18A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2E2CBB1-D8DF-4769-BF92-FC5C2A580302"/>
    <w:docVar w:name="LW_COVERPAGE_TYPE" w:val="1"/>
    <w:docVar w:name="LW_CROSSREFERENCE" w:val="&lt;UNUSED&gt;"/>
    <w:docVar w:name="LW_DocType" w:val="NORMAL"/>
    <w:docVar w:name="LW_EMISSION" w:val="20.9.2023"/>
    <w:docVar w:name="LW_EMISSION_ISODATE" w:val="2023-09-20"/>
    <w:docVar w:name="LW_EMISSION_LOCATION" w:val="BRX"/>
    <w:docVar w:name="LW_EMISSION_PREFIX" w:val="Brussels, "/>
    <w:docVar w:name="LW_EMISSION_SUFFIX" w:val=" "/>
    <w:docVar w:name="LW_ID_DOCTYPE_NONLW" w:val="CP-007"/>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53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ursuant to Article 13(1) of Regulation (EU) 2019/1157 of the European Parliament and of the Council of 20 June 2019 on strengthening the security of identity cards of Union citizens and of residence documents issued to Union citizens and their family members exercising their right of free movement"/>
    <w:docVar w:name="LW_TYPE.DOC.CP" w:val="REPORT FROM THE COMMISSION TO THE EUROPEAN PARLIAMENT, THE COUNCIL AND THE EUROPEAN ECONOMIC AND SOCIAL COMMITTEE"/>
    <w:docVar w:name="LwApiVersions" w:val="LW4CoDe 1.23.2.0; LW 8.0, Build 20211117"/>
  </w:docVars>
  <w:rsids>
    <w:rsidRoot w:val="0047249C"/>
    <w:rsid w:val="00032626"/>
    <w:rsid w:val="00036B75"/>
    <w:rsid w:val="00045E9C"/>
    <w:rsid w:val="00056774"/>
    <w:rsid w:val="00056DDB"/>
    <w:rsid w:val="00061058"/>
    <w:rsid w:val="00063127"/>
    <w:rsid w:val="00067F4C"/>
    <w:rsid w:val="000758BA"/>
    <w:rsid w:val="000840F3"/>
    <w:rsid w:val="00091516"/>
    <w:rsid w:val="00095F2C"/>
    <w:rsid w:val="000B241E"/>
    <w:rsid w:val="000B42DD"/>
    <w:rsid w:val="000B655E"/>
    <w:rsid w:val="000D273A"/>
    <w:rsid w:val="000E28F8"/>
    <w:rsid w:val="000F7526"/>
    <w:rsid w:val="001164CA"/>
    <w:rsid w:val="0015344D"/>
    <w:rsid w:val="00154078"/>
    <w:rsid w:val="00166BBD"/>
    <w:rsid w:val="00191940"/>
    <w:rsid w:val="00193BA7"/>
    <w:rsid w:val="001A0778"/>
    <w:rsid w:val="001A2938"/>
    <w:rsid w:val="001A7F01"/>
    <w:rsid w:val="001F2640"/>
    <w:rsid w:val="00223DC7"/>
    <w:rsid w:val="00237B16"/>
    <w:rsid w:val="00250568"/>
    <w:rsid w:val="00262F35"/>
    <w:rsid w:val="00267516"/>
    <w:rsid w:val="00293F0A"/>
    <w:rsid w:val="002A0832"/>
    <w:rsid w:val="002A72F9"/>
    <w:rsid w:val="002E1CBC"/>
    <w:rsid w:val="00305591"/>
    <w:rsid w:val="00305E52"/>
    <w:rsid w:val="003206BE"/>
    <w:rsid w:val="00344B74"/>
    <w:rsid w:val="00344C4A"/>
    <w:rsid w:val="003724E0"/>
    <w:rsid w:val="003729C5"/>
    <w:rsid w:val="00384C0C"/>
    <w:rsid w:val="00385B8A"/>
    <w:rsid w:val="003A75E5"/>
    <w:rsid w:val="003B0DFC"/>
    <w:rsid w:val="003D491E"/>
    <w:rsid w:val="003F3B74"/>
    <w:rsid w:val="003F5F2B"/>
    <w:rsid w:val="0042341B"/>
    <w:rsid w:val="00445429"/>
    <w:rsid w:val="0047249C"/>
    <w:rsid w:val="0047452B"/>
    <w:rsid w:val="00487E76"/>
    <w:rsid w:val="004A248F"/>
    <w:rsid w:val="004A6881"/>
    <w:rsid w:val="004B2298"/>
    <w:rsid w:val="004D3683"/>
    <w:rsid w:val="004D3EE8"/>
    <w:rsid w:val="004E3432"/>
    <w:rsid w:val="004E6543"/>
    <w:rsid w:val="0050290A"/>
    <w:rsid w:val="00554B39"/>
    <w:rsid w:val="005708B4"/>
    <w:rsid w:val="005A110D"/>
    <w:rsid w:val="005A178D"/>
    <w:rsid w:val="005C26CF"/>
    <w:rsid w:val="005D74B5"/>
    <w:rsid w:val="006030DF"/>
    <w:rsid w:val="006144FE"/>
    <w:rsid w:val="00624300"/>
    <w:rsid w:val="00635E5B"/>
    <w:rsid w:val="00646ED2"/>
    <w:rsid w:val="00667809"/>
    <w:rsid w:val="00673540"/>
    <w:rsid w:val="00684FEA"/>
    <w:rsid w:val="006852F1"/>
    <w:rsid w:val="006B01AF"/>
    <w:rsid w:val="006B7243"/>
    <w:rsid w:val="006F3581"/>
    <w:rsid w:val="00706C88"/>
    <w:rsid w:val="00710FF4"/>
    <w:rsid w:val="00713DF4"/>
    <w:rsid w:val="0071502B"/>
    <w:rsid w:val="00732141"/>
    <w:rsid w:val="00734021"/>
    <w:rsid w:val="00757603"/>
    <w:rsid w:val="00772EBE"/>
    <w:rsid w:val="00774466"/>
    <w:rsid w:val="007762F8"/>
    <w:rsid w:val="00780CA1"/>
    <w:rsid w:val="0078137F"/>
    <w:rsid w:val="0079494F"/>
    <w:rsid w:val="00795E28"/>
    <w:rsid w:val="007A36F7"/>
    <w:rsid w:val="007B1F28"/>
    <w:rsid w:val="007B2796"/>
    <w:rsid w:val="007B2B6D"/>
    <w:rsid w:val="007C0BC8"/>
    <w:rsid w:val="007C62D5"/>
    <w:rsid w:val="007E65D1"/>
    <w:rsid w:val="00800A49"/>
    <w:rsid w:val="00801BDD"/>
    <w:rsid w:val="00802AAD"/>
    <w:rsid w:val="00811F8F"/>
    <w:rsid w:val="0081735E"/>
    <w:rsid w:val="0082098B"/>
    <w:rsid w:val="0083150D"/>
    <w:rsid w:val="008317C7"/>
    <w:rsid w:val="00864B94"/>
    <w:rsid w:val="008654DB"/>
    <w:rsid w:val="00874AC5"/>
    <w:rsid w:val="00884099"/>
    <w:rsid w:val="008901BC"/>
    <w:rsid w:val="00892775"/>
    <w:rsid w:val="008B5A24"/>
    <w:rsid w:val="008C36AB"/>
    <w:rsid w:val="008E5687"/>
    <w:rsid w:val="008E7AA6"/>
    <w:rsid w:val="00906C6C"/>
    <w:rsid w:val="00914786"/>
    <w:rsid w:val="00924BAA"/>
    <w:rsid w:val="00961A10"/>
    <w:rsid w:val="009B2D64"/>
    <w:rsid w:val="009C46CC"/>
    <w:rsid w:val="009D103B"/>
    <w:rsid w:val="009D422A"/>
    <w:rsid w:val="009E32C4"/>
    <w:rsid w:val="009E61FA"/>
    <w:rsid w:val="009F5935"/>
    <w:rsid w:val="00A05095"/>
    <w:rsid w:val="00A05752"/>
    <w:rsid w:val="00A062C1"/>
    <w:rsid w:val="00A161B2"/>
    <w:rsid w:val="00A16B0A"/>
    <w:rsid w:val="00A32292"/>
    <w:rsid w:val="00A419D1"/>
    <w:rsid w:val="00A63503"/>
    <w:rsid w:val="00A64DB9"/>
    <w:rsid w:val="00A67848"/>
    <w:rsid w:val="00A848A7"/>
    <w:rsid w:val="00A93AB1"/>
    <w:rsid w:val="00A9403E"/>
    <w:rsid w:val="00A95E83"/>
    <w:rsid w:val="00A96A59"/>
    <w:rsid w:val="00B12D8A"/>
    <w:rsid w:val="00B37E5C"/>
    <w:rsid w:val="00B506C9"/>
    <w:rsid w:val="00B74955"/>
    <w:rsid w:val="00BE2020"/>
    <w:rsid w:val="00BF6379"/>
    <w:rsid w:val="00C049F8"/>
    <w:rsid w:val="00C218E4"/>
    <w:rsid w:val="00C30F71"/>
    <w:rsid w:val="00C50FFB"/>
    <w:rsid w:val="00C72D85"/>
    <w:rsid w:val="00CC05B7"/>
    <w:rsid w:val="00CC19B8"/>
    <w:rsid w:val="00CD0D82"/>
    <w:rsid w:val="00CE68DE"/>
    <w:rsid w:val="00D021EB"/>
    <w:rsid w:val="00D07015"/>
    <w:rsid w:val="00D309EF"/>
    <w:rsid w:val="00D35716"/>
    <w:rsid w:val="00D42F50"/>
    <w:rsid w:val="00D65FD5"/>
    <w:rsid w:val="00D74C71"/>
    <w:rsid w:val="00DB6330"/>
    <w:rsid w:val="00DC4BB0"/>
    <w:rsid w:val="00DD0977"/>
    <w:rsid w:val="00DE28E9"/>
    <w:rsid w:val="00E0054E"/>
    <w:rsid w:val="00E1524B"/>
    <w:rsid w:val="00E43FD6"/>
    <w:rsid w:val="00E531E9"/>
    <w:rsid w:val="00E638AB"/>
    <w:rsid w:val="00E90646"/>
    <w:rsid w:val="00E93B32"/>
    <w:rsid w:val="00EB5323"/>
    <w:rsid w:val="00EB66E7"/>
    <w:rsid w:val="00EC2021"/>
    <w:rsid w:val="00ED0609"/>
    <w:rsid w:val="00ED3A89"/>
    <w:rsid w:val="00EE1392"/>
    <w:rsid w:val="00EF14E8"/>
    <w:rsid w:val="00F11519"/>
    <w:rsid w:val="00F32361"/>
    <w:rsid w:val="00F46729"/>
    <w:rsid w:val="00F90C3F"/>
    <w:rsid w:val="00F91F1F"/>
    <w:rsid w:val="00F94838"/>
    <w:rsid w:val="00F969E8"/>
    <w:rsid w:val="00FB542B"/>
    <w:rsid w:val="00FD4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851DD1"/>
  <w15:chartTrackingRefBased/>
  <w15:docId w15:val="{052A2375-E5EC-44AC-B574-79FC3FF1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49C"/>
    <w:pPr>
      <w:spacing w:after="160" w:line="259" w:lineRule="auto"/>
    </w:pPr>
    <w:rPr>
      <w:lang w:val="en-IE"/>
    </w:rPr>
  </w:style>
  <w:style w:type="paragraph" w:styleId="Heading1">
    <w:name w:val="heading 1"/>
    <w:basedOn w:val="Normal"/>
    <w:next w:val="Normal"/>
    <w:link w:val="Heading1Char"/>
    <w:uiPriority w:val="9"/>
    <w:qFormat/>
    <w:rsid w:val="0047249C"/>
    <w:pPr>
      <w:keepNext/>
      <w:keepLines/>
      <w:numPr>
        <w:numId w:val="1"/>
      </w:numPr>
      <w:spacing w:before="240" w:after="240" w:line="276" w:lineRule="auto"/>
      <w:jc w:val="both"/>
      <w:outlineLvl w:val="0"/>
    </w:pPr>
    <w:rPr>
      <w:rFonts w:ascii="Times New Roman" w:eastAsiaTheme="majorEastAsia" w:hAnsi="Times New Roman" w:cstheme="majorBidi"/>
      <w:b/>
      <w:bCs/>
      <w:smallCaps/>
      <w:noProof/>
      <w:sz w:val="28"/>
      <w:szCs w:val="24"/>
      <w:lang w:val="en-GB" w:eastAsia="zh-CN"/>
    </w:rPr>
  </w:style>
  <w:style w:type="paragraph" w:styleId="Heading2">
    <w:name w:val="heading 2"/>
    <w:basedOn w:val="Normal"/>
    <w:next w:val="Normal"/>
    <w:link w:val="Heading2Char"/>
    <w:uiPriority w:val="9"/>
    <w:unhideWhenUsed/>
    <w:qFormat/>
    <w:rsid w:val="0047249C"/>
    <w:pPr>
      <w:keepNext/>
      <w:keepLines/>
      <w:numPr>
        <w:ilvl w:val="1"/>
        <w:numId w:val="1"/>
      </w:numPr>
      <w:spacing w:before="240" w:after="240" w:line="276" w:lineRule="auto"/>
      <w:jc w:val="both"/>
      <w:outlineLvl w:val="1"/>
    </w:pPr>
    <w:rPr>
      <w:rFonts w:ascii="Times New Roman" w:eastAsiaTheme="majorEastAsia" w:hAnsi="Times New Roman" w:cstheme="majorBidi"/>
      <w:b/>
      <w:bCs/>
      <w:noProof/>
      <w:sz w:val="28"/>
      <w:szCs w:val="26"/>
      <w:lang w:val="en-GB" w:eastAsia="zh-CN"/>
    </w:rPr>
  </w:style>
  <w:style w:type="paragraph" w:styleId="Heading3">
    <w:name w:val="heading 3"/>
    <w:basedOn w:val="Normal"/>
    <w:next w:val="Normal"/>
    <w:link w:val="Heading3Char"/>
    <w:uiPriority w:val="9"/>
    <w:unhideWhenUsed/>
    <w:qFormat/>
    <w:rsid w:val="0047249C"/>
    <w:pPr>
      <w:keepNext/>
      <w:keepLines/>
      <w:numPr>
        <w:ilvl w:val="2"/>
        <w:numId w:val="1"/>
      </w:numPr>
      <w:spacing w:after="240" w:line="276" w:lineRule="auto"/>
      <w:jc w:val="both"/>
      <w:outlineLvl w:val="2"/>
    </w:pPr>
    <w:rPr>
      <w:rFonts w:ascii="Times New Roman" w:eastAsiaTheme="minorEastAsia" w:hAnsi="Times New Roman" w:cstheme="majorBidi"/>
      <w:b/>
      <w:bCs/>
      <w:sz w:val="24"/>
      <w:lang w:val="en-GB" w:eastAsia="zh-CN"/>
    </w:rPr>
  </w:style>
  <w:style w:type="paragraph" w:styleId="Heading4">
    <w:name w:val="heading 4"/>
    <w:basedOn w:val="Normal"/>
    <w:next w:val="Normal"/>
    <w:link w:val="Heading4Char"/>
    <w:uiPriority w:val="9"/>
    <w:unhideWhenUsed/>
    <w:qFormat/>
    <w:rsid w:val="0047249C"/>
    <w:pPr>
      <w:keepNext/>
      <w:keepLines/>
      <w:numPr>
        <w:ilvl w:val="3"/>
        <w:numId w:val="1"/>
      </w:numPr>
      <w:spacing w:after="240" w:line="276" w:lineRule="auto"/>
      <w:jc w:val="both"/>
      <w:outlineLvl w:val="3"/>
    </w:pPr>
    <w:rPr>
      <w:rFonts w:ascii="Times New Roman" w:eastAsiaTheme="minorEastAsia" w:hAnsi="Times New Roman" w:cstheme="majorBidi"/>
      <w:b/>
      <w:bCs/>
      <w:i/>
      <w:iCs/>
      <w:sz w:val="24"/>
      <w:lang w:val="en-GB" w:eastAsia="zh-CN"/>
    </w:rPr>
  </w:style>
  <w:style w:type="paragraph" w:styleId="Heading5">
    <w:name w:val="heading 5"/>
    <w:basedOn w:val="Normal"/>
    <w:next w:val="Normal"/>
    <w:link w:val="Heading5Char"/>
    <w:uiPriority w:val="9"/>
    <w:unhideWhenUsed/>
    <w:qFormat/>
    <w:rsid w:val="0047249C"/>
    <w:pPr>
      <w:keepNext/>
      <w:keepLines/>
      <w:numPr>
        <w:ilvl w:val="4"/>
        <w:numId w:val="1"/>
      </w:numPr>
      <w:spacing w:after="240" w:line="276" w:lineRule="auto"/>
      <w:jc w:val="both"/>
      <w:outlineLvl w:val="4"/>
    </w:pPr>
    <w:rPr>
      <w:rFonts w:ascii="Times New Roman" w:eastAsiaTheme="majorEastAsia" w:hAnsi="Times New Roman" w:cstheme="majorBidi"/>
      <w:b/>
      <w:lang w:val="en-GB" w:eastAsia="zh-CN"/>
    </w:rPr>
  </w:style>
  <w:style w:type="paragraph" w:styleId="Heading6">
    <w:name w:val="heading 6"/>
    <w:basedOn w:val="Normal"/>
    <w:next w:val="Normal"/>
    <w:link w:val="Heading6Char"/>
    <w:uiPriority w:val="9"/>
    <w:semiHidden/>
    <w:unhideWhenUsed/>
    <w:qFormat/>
    <w:rsid w:val="0047249C"/>
    <w:pPr>
      <w:keepNext/>
      <w:keepLines/>
      <w:numPr>
        <w:ilvl w:val="5"/>
        <w:numId w:val="1"/>
      </w:numPr>
      <w:spacing w:before="200" w:after="0" w:line="276" w:lineRule="auto"/>
      <w:jc w:val="both"/>
      <w:outlineLvl w:val="5"/>
    </w:pPr>
    <w:rPr>
      <w:rFonts w:asciiTheme="majorHAnsi" w:eastAsiaTheme="majorEastAsia" w:hAnsiTheme="majorHAnsi" w:cstheme="majorBidi"/>
      <w:i/>
      <w:iCs/>
      <w:color w:val="243F60" w:themeColor="accent1" w:themeShade="7F"/>
      <w:sz w:val="24"/>
      <w:lang w:val="en-GB" w:eastAsia="zh-CN"/>
    </w:rPr>
  </w:style>
  <w:style w:type="paragraph" w:styleId="Heading7">
    <w:name w:val="heading 7"/>
    <w:basedOn w:val="Normal"/>
    <w:next w:val="Normal"/>
    <w:link w:val="Heading7Char"/>
    <w:uiPriority w:val="9"/>
    <w:semiHidden/>
    <w:unhideWhenUsed/>
    <w:qFormat/>
    <w:rsid w:val="0047249C"/>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4"/>
      <w:lang w:val="en-GB" w:eastAsia="zh-CN"/>
    </w:rPr>
  </w:style>
  <w:style w:type="paragraph" w:styleId="Heading8">
    <w:name w:val="heading 8"/>
    <w:basedOn w:val="Normal"/>
    <w:next w:val="Normal"/>
    <w:link w:val="Heading8Char"/>
    <w:uiPriority w:val="9"/>
    <w:semiHidden/>
    <w:unhideWhenUsed/>
    <w:qFormat/>
    <w:rsid w:val="0047249C"/>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lang w:val="en-GB" w:eastAsia="zh-CN"/>
    </w:rPr>
  </w:style>
  <w:style w:type="paragraph" w:styleId="Heading9">
    <w:name w:val="heading 9"/>
    <w:basedOn w:val="Normal"/>
    <w:next w:val="Normal"/>
    <w:link w:val="Heading9Char"/>
    <w:uiPriority w:val="9"/>
    <w:semiHidden/>
    <w:unhideWhenUsed/>
    <w:qFormat/>
    <w:rsid w:val="0047249C"/>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49C"/>
    <w:rPr>
      <w:rFonts w:ascii="Times New Roman" w:eastAsiaTheme="majorEastAsia" w:hAnsi="Times New Roman" w:cstheme="majorBidi"/>
      <w:b/>
      <w:bCs/>
      <w:smallCaps/>
      <w:noProof/>
      <w:sz w:val="28"/>
      <w:szCs w:val="24"/>
      <w:lang w:eastAsia="zh-CN"/>
    </w:rPr>
  </w:style>
  <w:style w:type="character" w:customStyle="1" w:styleId="Heading2Char">
    <w:name w:val="Heading 2 Char"/>
    <w:basedOn w:val="DefaultParagraphFont"/>
    <w:link w:val="Heading2"/>
    <w:uiPriority w:val="9"/>
    <w:rsid w:val="0047249C"/>
    <w:rPr>
      <w:rFonts w:ascii="Times New Roman" w:eastAsiaTheme="majorEastAsia" w:hAnsi="Times New Roman" w:cstheme="majorBidi"/>
      <w:b/>
      <w:bCs/>
      <w:noProof/>
      <w:sz w:val="28"/>
      <w:szCs w:val="26"/>
      <w:lang w:eastAsia="zh-CN"/>
    </w:rPr>
  </w:style>
  <w:style w:type="character" w:customStyle="1" w:styleId="Heading3Char">
    <w:name w:val="Heading 3 Char"/>
    <w:basedOn w:val="DefaultParagraphFont"/>
    <w:link w:val="Heading3"/>
    <w:uiPriority w:val="9"/>
    <w:rsid w:val="0047249C"/>
    <w:rPr>
      <w:rFonts w:ascii="Times New Roman" w:eastAsiaTheme="minorEastAsia" w:hAnsi="Times New Roman" w:cstheme="majorBidi"/>
      <w:b/>
      <w:bCs/>
      <w:sz w:val="24"/>
      <w:lang w:eastAsia="zh-CN"/>
    </w:rPr>
  </w:style>
  <w:style w:type="character" w:customStyle="1" w:styleId="Heading4Char">
    <w:name w:val="Heading 4 Char"/>
    <w:basedOn w:val="DefaultParagraphFont"/>
    <w:link w:val="Heading4"/>
    <w:uiPriority w:val="9"/>
    <w:rsid w:val="0047249C"/>
    <w:rPr>
      <w:rFonts w:ascii="Times New Roman" w:eastAsiaTheme="minorEastAsia" w:hAnsi="Times New Roman" w:cstheme="majorBidi"/>
      <w:b/>
      <w:bCs/>
      <w:i/>
      <w:iCs/>
      <w:sz w:val="24"/>
      <w:lang w:eastAsia="zh-CN"/>
    </w:rPr>
  </w:style>
  <w:style w:type="character" w:customStyle="1" w:styleId="Heading5Char">
    <w:name w:val="Heading 5 Char"/>
    <w:basedOn w:val="DefaultParagraphFont"/>
    <w:link w:val="Heading5"/>
    <w:uiPriority w:val="9"/>
    <w:rsid w:val="0047249C"/>
    <w:rPr>
      <w:rFonts w:ascii="Times New Roman" w:eastAsiaTheme="majorEastAsia" w:hAnsi="Times New Roman" w:cstheme="majorBidi"/>
      <w:b/>
      <w:lang w:eastAsia="zh-CN"/>
    </w:rPr>
  </w:style>
  <w:style w:type="character" w:customStyle="1" w:styleId="Heading6Char">
    <w:name w:val="Heading 6 Char"/>
    <w:basedOn w:val="DefaultParagraphFont"/>
    <w:link w:val="Heading6"/>
    <w:uiPriority w:val="9"/>
    <w:semiHidden/>
    <w:rsid w:val="0047249C"/>
    <w:rPr>
      <w:rFonts w:asciiTheme="majorHAnsi" w:eastAsiaTheme="majorEastAsia" w:hAnsiTheme="majorHAnsi" w:cstheme="majorBidi"/>
      <w:i/>
      <w:iCs/>
      <w:color w:val="243F60" w:themeColor="accent1" w:themeShade="7F"/>
      <w:sz w:val="24"/>
      <w:lang w:eastAsia="zh-CN"/>
    </w:rPr>
  </w:style>
  <w:style w:type="character" w:customStyle="1" w:styleId="Heading7Char">
    <w:name w:val="Heading 7 Char"/>
    <w:basedOn w:val="DefaultParagraphFont"/>
    <w:link w:val="Heading7"/>
    <w:uiPriority w:val="9"/>
    <w:semiHidden/>
    <w:rsid w:val="0047249C"/>
    <w:rPr>
      <w:rFonts w:asciiTheme="majorHAnsi" w:eastAsiaTheme="majorEastAsia" w:hAnsiTheme="majorHAnsi" w:cstheme="majorBidi"/>
      <w:i/>
      <w:iCs/>
      <w:color w:val="404040" w:themeColor="text1" w:themeTint="BF"/>
      <w:sz w:val="24"/>
      <w:lang w:eastAsia="zh-CN"/>
    </w:rPr>
  </w:style>
  <w:style w:type="character" w:customStyle="1" w:styleId="Heading8Char">
    <w:name w:val="Heading 8 Char"/>
    <w:basedOn w:val="DefaultParagraphFont"/>
    <w:link w:val="Heading8"/>
    <w:uiPriority w:val="9"/>
    <w:semiHidden/>
    <w:rsid w:val="0047249C"/>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47249C"/>
    <w:rPr>
      <w:rFonts w:asciiTheme="majorHAnsi" w:eastAsiaTheme="majorEastAsia" w:hAnsiTheme="majorHAnsi" w:cstheme="majorBidi"/>
      <w:i/>
      <w:iCs/>
      <w:color w:val="404040" w:themeColor="text1" w:themeTint="BF"/>
      <w:sz w:val="20"/>
      <w:szCs w:val="20"/>
      <w:lang w:eastAsia="zh-CN"/>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iPriority w:val="99"/>
    <w:unhideWhenUsed/>
    <w:qFormat/>
    <w:rsid w:val="0047249C"/>
    <w:pPr>
      <w:spacing w:after="0" w:line="240" w:lineRule="auto"/>
    </w:pPr>
    <w:rPr>
      <w:rFonts w:ascii="Times New Roman" w:hAnsi="Times New Roman"/>
      <w:sz w:val="20"/>
      <w:szCs w:val="20"/>
      <w:lang w:val="en-GB"/>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uiPriority w:val="99"/>
    <w:qFormat/>
    <w:rsid w:val="0047249C"/>
    <w:rPr>
      <w:rFonts w:ascii="Times New Roman" w:hAnsi="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BVIfnr"/>
    <w:uiPriority w:val="99"/>
    <w:unhideWhenUsed/>
    <w:qFormat/>
    <w:rsid w:val="0047249C"/>
    <w:rPr>
      <w:vertAlign w:val="superscript"/>
    </w:rPr>
  </w:style>
  <w:style w:type="character" w:styleId="Hyperlink">
    <w:name w:val="Hyperlink"/>
    <w:basedOn w:val="DefaultParagraphFont"/>
    <w:unhideWhenUsed/>
    <w:qFormat/>
    <w:rsid w:val="0047249C"/>
    <w:rPr>
      <w:color w:val="0000FF" w:themeColor="hyperlink"/>
      <w:u w:val="single"/>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rsid w:val="0047249C"/>
    <w:pPr>
      <w:spacing w:line="240" w:lineRule="exact"/>
    </w:pPr>
    <w:rPr>
      <w:vertAlign w:val="superscript"/>
      <w:lang w:val="en-GB"/>
    </w:rPr>
  </w:style>
  <w:style w:type="paragraph" w:customStyle="1" w:styleId="5Normal">
    <w:name w:val="5 Normal"/>
    <w:rsid w:val="0047249C"/>
    <w:pPr>
      <w:pBdr>
        <w:top w:val="nil"/>
        <w:left w:val="nil"/>
        <w:bottom w:val="nil"/>
        <w:right w:val="nil"/>
        <w:between w:val="nil"/>
        <w:bar w:val="nil"/>
      </w:pBd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Arial Unicode MS" w:hAnsi="Verdana" w:cs="Arial Unicode MS"/>
      <w:color w:val="000000"/>
      <w:spacing w:val="-1"/>
      <w:sz w:val="20"/>
      <w:szCs w:val="20"/>
      <w:u w:color="000000"/>
      <w:bdr w:val="nil"/>
      <w:lang w:val="en-US"/>
    </w:rPr>
  </w:style>
  <w:style w:type="paragraph" w:customStyle="1" w:styleId="LegalNumPar">
    <w:name w:val="LegalNumPar"/>
    <w:basedOn w:val="Normal"/>
    <w:autoRedefine/>
    <w:qFormat/>
    <w:rsid w:val="00CD0D82"/>
    <w:pPr>
      <w:spacing w:after="240" w:line="240" w:lineRule="auto"/>
      <w:jc w:val="both"/>
    </w:pPr>
    <w:rPr>
      <w:rFonts w:ascii="Times New Roman" w:hAnsi="Times New Roman"/>
      <w:sz w:val="24"/>
      <w:szCs w:val="20"/>
      <w:lang w:val="en" w:eastAsia="en-GB"/>
    </w:rPr>
  </w:style>
  <w:style w:type="character" w:customStyle="1" w:styleId="Marker">
    <w:name w:val="Marker"/>
    <w:basedOn w:val="DefaultParagraphFont"/>
    <w:rsid w:val="0047249C"/>
    <w:rPr>
      <w:color w:val="0000FF"/>
      <w:shd w:val="clear" w:color="auto" w:fill="auto"/>
    </w:rPr>
  </w:style>
  <w:style w:type="paragraph" w:styleId="Header">
    <w:name w:val="header"/>
    <w:basedOn w:val="Normal"/>
    <w:link w:val="HeaderChar"/>
    <w:uiPriority w:val="99"/>
    <w:unhideWhenUsed/>
    <w:rsid w:val="00472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49C"/>
    <w:rPr>
      <w:lang w:val="en-IE"/>
    </w:rPr>
  </w:style>
  <w:style w:type="paragraph" w:styleId="Footer">
    <w:name w:val="footer"/>
    <w:basedOn w:val="Normal"/>
    <w:link w:val="FooterChar"/>
    <w:uiPriority w:val="99"/>
    <w:unhideWhenUsed/>
    <w:rsid w:val="00472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49C"/>
    <w:rPr>
      <w:lang w:val="en-IE"/>
    </w:rPr>
  </w:style>
  <w:style w:type="paragraph" w:customStyle="1" w:styleId="Pagedecouverture">
    <w:name w:val="Page de couverture"/>
    <w:basedOn w:val="Normal"/>
    <w:next w:val="Normal"/>
    <w:link w:val="PagedecouvertureChar"/>
    <w:rsid w:val="0047249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7249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47249C"/>
    <w:rPr>
      <w:rFonts w:ascii="Times New Roman" w:hAnsi="Times New Roman" w:cs="Times New Roman"/>
      <w:sz w:val="24"/>
      <w:lang w:val="en-IE"/>
    </w:rPr>
  </w:style>
  <w:style w:type="character" w:customStyle="1" w:styleId="FooterCoverPageChar">
    <w:name w:val="Footer Cover Page Char"/>
    <w:basedOn w:val="PagedecouvertureChar"/>
    <w:link w:val="FooterCoverPage"/>
    <w:rsid w:val="0047249C"/>
    <w:rPr>
      <w:rFonts w:ascii="Times New Roman" w:hAnsi="Times New Roman" w:cs="Times New Roman"/>
      <w:sz w:val="24"/>
      <w:lang w:val="en-IE"/>
    </w:rPr>
  </w:style>
  <w:style w:type="paragraph" w:customStyle="1" w:styleId="FooterSensitivity">
    <w:name w:val="Footer Sensitivity"/>
    <w:basedOn w:val="Normal"/>
    <w:link w:val="FooterSensitivityChar"/>
    <w:rsid w:val="0047249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47249C"/>
    <w:rPr>
      <w:rFonts w:ascii="Times New Roman" w:hAnsi="Times New Roman" w:cs="Times New Roman"/>
      <w:b/>
      <w:sz w:val="32"/>
      <w:lang w:val="en-IE"/>
    </w:rPr>
  </w:style>
  <w:style w:type="paragraph" w:customStyle="1" w:styleId="HeaderCoverPage">
    <w:name w:val="Header Cover Page"/>
    <w:basedOn w:val="Normal"/>
    <w:link w:val="HeaderCoverPageChar"/>
    <w:rsid w:val="0047249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47249C"/>
    <w:rPr>
      <w:rFonts w:ascii="Times New Roman" w:hAnsi="Times New Roman" w:cs="Times New Roman"/>
      <w:sz w:val="24"/>
      <w:lang w:val="en-IE"/>
    </w:rPr>
  </w:style>
  <w:style w:type="paragraph" w:customStyle="1" w:styleId="HeaderSensitivity">
    <w:name w:val="Header Sensitivity"/>
    <w:basedOn w:val="Normal"/>
    <w:link w:val="HeaderSensitivityChar"/>
    <w:rsid w:val="0047249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47249C"/>
    <w:rPr>
      <w:rFonts w:ascii="Times New Roman" w:hAnsi="Times New Roman" w:cs="Times New Roman"/>
      <w:b/>
      <w:sz w:val="32"/>
      <w:lang w:val="en-IE"/>
    </w:rPr>
  </w:style>
  <w:style w:type="paragraph" w:customStyle="1" w:styleId="HeaderSensitivityRight">
    <w:name w:val="Header Sensitivity Right"/>
    <w:basedOn w:val="Normal"/>
    <w:link w:val="HeaderSensitivityRightChar"/>
    <w:rsid w:val="0047249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47249C"/>
    <w:rPr>
      <w:rFonts w:ascii="Times New Roman" w:hAnsi="Times New Roman" w:cs="Times New Roman"/>
      <w:sz w:val="28"/>
      <w:lang w:val="en-IE"/>
    </w:rPr>
  </w:style>
  <w:style w:type="paragraph" w:styleId="Revision">
    <w:name w:val="Revision"/>
    <w:hidden/>
    <w:uiPriority w:val="99"/>
    <w:semiHidden/>
    <w:rsid w:val="00A93AB1"/>
    <w:pPr>
      <w:spacing w:after="0" w:line="240" w:lineRule="auto"/>
    </w:pPr>
    <w:rPr>
      <w:lang w:val="en-IE"/>
    </w:rPr>
  </w:style>
  <w:style w:type="character" w:customStyle="1" w:styleId="outputecli">
    <w:name w:val="outputecli"/>
    <w:basedOn w:val="DefaultParagraphFont"/>
    <w:rsid w:val="00D74C71"/>
  </w:style>
  <w:style w:type="character" w:customStyle="1" w:styleId="UnresolvedMention">
    <w:name w:val="Unresolved Mention"/>
    <w:basedOn w:val="DefaultParagraphFont"/>
    <w:uiPriority w:val="99"/>
    <w:semiHidden/>
    <w:unhideWhenUsed/>
    <w:rsid w:val="00800A49"/>
    <w:rPr>
      <w:color w:val="605E5C"/>
      <w:shd w:val="clear" w:color="auto" w:fill="E1DFDD"/>
    </w:rPr>
  </w:style>
  <w:style w:type="character" w:styleId="CommentReference">
    <w:name w:val="annotation reference"/>
    <w:basedOn w:val="DefaultParagraphFont"/>
    <w:uiPriority w:val="99"/>
    <w:semiHidden/>
    <w:unhideWhenUsed/>
    <w:rsid w:val="000B42DD"/>
    <w:rPr>
      <w:sz w:val="16"/>
      <w:szCs w:val="16"/>
    </w:rPr>
  </w:style>
  <w:style w:type="paragraph" w:styleId="CommentText">
    <w:name w:val="annotation text"/>
    <w:basedOn w:val="Normal"/>
    <w:link w:val="CommentTextChar"/>
    <w:uiPriority w:val="99"/>
    <w:unhideWhenUsed/>
    <w:rsid w:val="000B42DD"/>
    <w:pPr>
      <w:spacing w:line="240" w:lineRule="auto"/>
    </w:pPr>
    <w:rPr>
      <w:sz w:val="20"/>
      <w:szCs w:val="20"/>
    </w:rPr>
  </w:style>
  <w:style w:type="character" w:customStyle="1" w:styleId="CommentTextChar">
    <w:name w:val="Comment Text Char"/>
    <w:basedOn w:val="DefaultParagraphFont"/>
    <w:link w:val="CommentText"/>
    <w:uiPriority w:val="99"/>
    <w:rsid w:val="000B42DD"/>
    <w:rPr>
      <w:sz w:val="20"/>
      <w:szCs w:val="20"/>
      <w:lang w:val="en-IE"/>
    </w:rPr>
  </w:style>
  <w:style w:type="paragraph" w:styleId="CommentSubject">
    <w:name w:val="annotation subject"/>
    <w:basedOn w:val="CommentText"/>
    <w:next w:val="CommentText"/>
    <w:link w:val="CommentSubjectChar"/>
    <w:uiPriority w:val="99"/>
    <w:semiHidden/>
    <w:unhideWhenUsed/>
    <w:rsid w:val="000B42DD"/>
    <w:rPr>
      <w:b/>
      <w:bCs/>
    </w:rPr>
  </w:style>
  <w:style w:type="character" w:customStyle="1" w:styleId="CommentSubjectChar">
    <w:name w:val="Comment Subject Char"/>
    <w:basedOn w:val="CommentTextChar"/>
    <w:link w:val="CommentSubject"/>
    <w:uiPriority w:val="99"/>
    <w:semiHidden/>
    <w:rsid w:val="000B42DD"/>
    <w:rPr>
      <w:b/>
      <w:bCs/>
      <w:sz w:val="20"/>
      <w:szCs w:val="20"/>
      <w:lang w:val="en-IE"/>
    </w:rPr>
  </w:style>
  <w:style w:type="paragraph" w:styleId="ListParagraph">
    <w:name w:val="List Paragraph"/>
    <w:basedOn w:val="Normal"/>
    <w:uiPriority w:val="34"/>
    <w:qFormat/>
    <w:rsid w:val="009F5935"/>
    <w:pPr>
      <w:ind w:left="720"/>
      <w:contextualSpacing/>
    </w:pPr>
  </w:style>
  <w:style w:type="character" w:styleId="FollowedHyperlink">
    <w:name w:val="FollowedHyperlink"/>
    <w:basedOn w:val="DefaultParagraphFont"/>
    <w:uiPriority w:val="99"/>
    <w:semiHidden/>
    <w:unhideWhenUsed/>
    <w:rsid w:val="006F3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3767">
      <w:bodyDiv w:val="1"/>
      <w:marLeft w:val="0"/>
      <w:marRight w:val="0"/>
      <w:marTop w:val="0"/>
      <w:marBottom w:val="0"/>
      <w:divBdr>
        <w:top w:val="none" w:sz="0" w:space="0" w:color="auto"/>
        <w:left w:val="none" w:sz="0" w:space="0" w:color="auto"/>
        <w:bottom w:val="none" w:sz="0" w:space="0" w:color="auto"/>
        <w:right w:val="none" w:sz="0" w:space="0" w:color="auto"/>
      </w:divBdr>
    </w:div>
    <w:div w:id="639502249">
      <w:bodyDiv w:val="1"/>
      <w:marLeft w:val="0"/>
      <w:marRight w:val="0"/>
      <w:marTop w:val="0"/>
      <w:marBottom w:val="0"/>
      <w:divBdr>
        <w:top w:val="none" w:sz="0" w:space="0" w:color="auto"/>
        <w:left w:val="none" w:sz="0" w:space="0" w:color="auto"/>
        <w:bottom w:val="none" w:sz="0" w:space="0" w:color="auto"/>
        <w:right w:val="none" w:sz="0" w:space="0" w:color="auto"/>
      </w:divBdr>
    </w:div>
    <w:div w:id="1063406205">
      <w:bodyDiv w:val="1"/>
      <w:marLeft w:val="0"/>
      <w:marRight w:val="0"/>
      <w:marTop w:val="0"/>
      <w:marBottom w:val="0"/>
      <w:divBdr>
        <w:top w:val="none" w:sz="0" w:space="0" w:color="auto"/>
        <w:left w:val="none" w:sz="0" w:space="0" w:color="auto"/>
        <w:bottom w:val="none" w:sz="0" w:space="0" w:color="auto"/>
        <w:right w:val="none" w:sz="0" w:space="0" w:color="auto"/>
      </w:divBdr>
    </w:div>
    <w:div w:id="1206983831">
      <w:bodyDiv w:val="1"/>
      <w:marLeft w:val="0"/>
      <w:marRight w:val="0"/>
      <w:marTop w:val="0"/>
      <w:marBottom w:val="0"/>
      <w:divBdr>
        <w:top w:val="none" w:sz="0" w:space="0" w:color="auto"/>
        <w:left w:val="none" w:sz="0" w:space="0" w:color="auto"/>
        <w:bottom w:val="none" w:sz="0" w:space="0" w:color="auto"/>
        <w:right w:val="none" w:sz="0" w:space="0" w:color="auto"/>
      </w:divBdr>
    </w:div>
    <w:div w:id="1277059361">
      <w:bodyDiv w:val="1"/>
      <w:marLeft w:val="0"/>
      <w:marRight w:val="0"/>
      <w:marTop w:val="0"/>
      <w:marBottom w:val="0"/>
      <w:divBdr>
        <w:top w:val="none" w:sz="0" w:space="0" w:color="auto"/>
        <w:left w:val="none" w:sz="0" w:space="0" w:color="auto"/>
        <w:bottom w:val="none" w:sz="0" w:space="0" w:color="auto"/>
        <w:right w:val="none" w:sz="0" w:space="0" w:color="auto"/>
      </w:divBdr>
    </w:div>
    <w:div w:id="1342119854">
      <w:bodyDiv w:val="1"/>
      <w:marLeft w:val="0"/>
      <w:marRight w:val="0"/>
      <w:marTop w:val="0"/>
      <w:marBottom w:val="0"/>
      <w:divBdr>
        <w:top w:val="none" w:sz="0" w:space="0" w:color="auto"/>
        <w:left w:val="none" w:sz="0" w:space="0" w:color="auto"/>
        <w:bottom w:val="none" w:sz="0" w:space="0" w:color="auto"/>
        <w:right w:val="none" w:sz="0" w:space="0" w:color="auto"/>
      </w:divBdr>
    </w:div>
    <w:div w:id="1369719994">
      <w:bodyDiv w:val="1"/>
      <w:marLeft w:val="0"/>
      <w:marRight w:val="0"/>
      <w:marTop w:val="0"/>
      <w:marBottom w:val="0"/>
      <w:divBdr>
        <w:top w:val="none" w:sz="0" w:space="0" w:color="auto"/>
        <w:left w:val="none" w:sz="0" w:space="0" w:color="auto"/>
        <w:bottom w:val="none" w:sz="0" w:space="0" w:color="auto"/>
        <w:right w:val="none" w:sz="0" w:space="0" w:color="auto"/>
      </w:divBdr>
    </w:div>
    <w:div w:id="1371417521">
      <w:bodyDiv w:val="1"/>
      <w:marLeft w:val="0"/>
      <w:marRight w:val="0"/>
      <w:marTop w:val="0"/>
      <w:marBottom w:val="0"/>
      <w:divBdr>
        <w:top w:val="none" w:sz="0" w:space="0" w:color="auto"/>
        <w:left w:val="none" w:sz="0" w:space="0" w:color="auto"/>
        <w:bottom w:val="none" w:sz="0" w:space="0" w:color="auto"/>
        <w:right w:val="none" w:sz="0" w:space="0" w:color="auto"/>
      </w:divBdr>
    </w:div>
    <w:div w:id="196688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62022CN0280" TargetMode="External"/><Relationship Id="rId2" Type="http://schemas.openxmlformats.org/officeDocument/2006/relationships/hyperlink" Target="https://ec.europa.eu/commission/presscorner/detail/en/inf_23_3445" TargetMode="External"/><Relationship Id="rId1" Type="http://schemas.openxmlformats.org/officeDocument/2006/relationships/hyperlink" Target="https://commission.europa.eu/strategy-and-policy/policies/justice-and-fundamental-rights/eu-citizenship/movement-and-residence_en" TargetMode="External"/><Relationship Id="rId5" Type="http://schemas.openxmlformats.org/officeDocument/2006/relationships/hyperlink" Target="https://ec.europa.eu/commission/presscorner/detail/en/ip_23_3556" TargetMode="External"/><Relationship Id="rId4" Type="http://schemas.openxmlformats.org/officeDocument/2006/relationships/hyperlink" Target="https://www.icao.int/Security/FAL/TRIP/PublishingImages/Pages/Publications/Guiding%20core%20principles%20for%20the%20development%20of%20a%20Digital%20Travel%20Credential%20%20%28DTC%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B4EA-0ACE-493C-AF7D-873D428B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4484</Words>
  <Characters>24172</Characters>
  <Application>Microsoft Office Word</Application>
  <DocSecurity>0</DocSecurity>
  <Lines>355</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27</cp:revision>
  <dcterms:created xsi:type="dcterms:W3CDTF">2023-09-01T13:15:00Z</dcterms:created>
  <dcterms:modified xsi:type="dcterms:W3CDTF">2023-09-13T07:10:00Z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2023-06-20T15:59:57Z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0d61419f-0fd2-4835-9bdb-f5246ddb059d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CP-007</vt:lpwstr>
  </property>
  <property fmtid="{D5CDD505-2E9C-101B-9397-08002B2CF9AE}" pid="14" name="Last edited using">
    <vt:lpwstr>LW 9.0, Build 20230317</vt:lpwstr>
  </property>
  <property fmtid="{D5CDD505-2E9C-101B-9397-08002B2CF9AE}" pid="15" name="Created using">
    <vt:lpwstr>LW 9.0, Build 20230317</vt:lpwstr>
  </property>
</Properties>
</file>