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E298" w14:textId="27514907" w:rsidR="00BE7E05" w:rsidRPr="00853D04" w:rsidRDefault="002D57EB" w:rsidP="002D57EB">
      <w:pPr>
        <w:pStyle w:val="Pagedecouverture"/>
        <w:rPr>
          <w:noProof/>
        </w:rPr>
      </w:pPr>
      <w:r>
        <w:rPr>
          <w:noProof/>
        </w:rPr>
        <w:pict w14:anchorId="7B9BA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561E886-7A0F-45AE-81E9-4C59AC35433A" style="width:455.25pt;height:414pt">
            <v:imagedata r:id="rId11" o:title=""/>
          </v:shape>
        </w:pict>
      </w:r>
    </w:p>
    <w:p w14:paraId="0695BEE2" w14:textId="77777777" w:rsidR="00BE7E05" w:rsidRPr="00853D04" w:rsidRDefault="00BE7E05" w:rsidP="00BE7E05">
      <w:pPr>
        <w:rPr>
          <w:noProof/>
        </w:rPr>
        <w:sectPr w:rsidR="00BE7E05" w:rsidRPr="00853D04" w:rsidSect="002D57EB">
          <w:footerReference w:type="default" r:id="rId12"/>
          <w:pgSz w:w="11907" w:h="16839"/>
          <w:pgMar w:top="1134" w:right="1417" w:bottom="1134" w:left="1417" w:header="709" w:footer="709" w:gutter="0"/>
          <w:pgNumType w:start="0"/>
          <w:cols w:space="720"/>
          <w:docGrid w:linePitch="360"/>
        </w:sectPr>
      </w:pPr>
    </w:p>
    <w:p w14:paraId="39C89987" w14:textId="77777777" w:rsidR="00215691" w:rsidRPr="00853D04" w:rsidRDefault="00EA5768" w:rsidP="00697F89">
      <w:pPr>
        <w:pStyle w:val="Exposdesmotifstitre"/>
        <w:rPr>
          <w:noProof/>
        </w:rPr>
      </w:pPr>
      <w:bookmarkStart w:id="0" w:name="_GoBack"/>
      <w:bookmarkEnd w:id="0"/>
      <w:r w:rsidRPr="00853D04">
        <w:rPr>
          <w:b w:val="0"/>
          <w:noProof/>
        </w:rPr>
        <w:lastRenderedPageBreak/>
        <w:t>UZASADNIENIE</w:t>
      </w:r>
      <w:r w:rsidRPr="00853D04">
        <w:rPr>
          <w:noProof/>
        </w:rPr>
        <w:t xml:space="preserve"> </w:t>
      </w:r>
    </w:p>
    <w:p w14:paraId="5FB69713" w14:textId="77777777" w:rsidR="00215691" w:rsidRPr="00853D04" w:rsidRDefault="00215691" w:rsidP="003946D3">
      <w:pPr>
        <w:pStyle w:val="ManualHeading1"/>
        <w:rPr>
          <w:b w:val="0"/>
          <w:smallCaps w:val="0"/>
          <w:noProof/>
        </w:rPr>
      </w:pPr>
      <w:r w:rsidRPr="00853D04">
        <w:rPr>
          <w:noProof/>
        </w:rPr>
        <w:t>1.</w:t>
      </w:r>
      <w:r w:rsidRPr="00853D04">
        <w:rPr>
          <w:noProof/>
        </w:rPr>
        <w:tab/>
        <w:t xml:space="preserve">KONTEKST WNIOSKU </w:t>
      </w:r>
    </w:p>
    <w:p w14:paraId="7ACE953B" w14:textId="1BAF9722" w:rsidR="00BE7E05" w:rsidRPr="00853D04" w:rsidRDefault="00BE7E05">
      <w:pPr>
        <w:pStyle w:val="ManualHeading2"/>
        <w:rPr>
          <w:noProof/>
        </w:rPr>
      </w:pPr>
      <w:r w:rsidRPr="00853D04">
        <w:rPr>
          <w:noProof/>
        </w:rPr>
        <w:t>•</w:t>
      </w:r>
      <w:r w:rsidRPr="00853D04">
        <w:rPr>
          <w:noProof/>
        </w:rPr>
        <w:tab/>
        <w:t>Przyczyny</w:t>
      </w:r>
      <w:r w:rsidR="00C13C75" w:rsidRPr="00853D04">
        <w:rPr>
          <w:noProof/>
        </w:rPr>
        <w:t xml:space="preserve"> i</w:t>
      </w:r>
      <w:r w:rsidR="00C13C75">
        <w:rPr>
          <w:noProof/>
        </w:rPr>
        <w:t> </w:t>
      </w:r>
      <w:r w:rsidR="00C13C75" w:rsidRPr="00853D04">
        <w:rPr>
          <w:noProof/>
        </w:rPr>
        <w:t>cel</w:t>
      </w:r>
      <w:r w:rsidRPr="00853D04">
        <w:rPr>
          <w:noProof/>
        </w:rPr>
        <w:t>e wniosku</w:t>
      </w:r>
    </w:p>
    <w:p w14:paraId="623FF6C3" w14:textId="0E7A0B0F" w:rsidR="00D462AA" w:rsidRPr="00853D04" w:rsidRDefault="00D462AA" w:rsidP="003946D3">
      <w:pPr>
        <w:rPr>
          <w:noProof/>
        </w:rPr>
      </w:pPr>
      <w:r w:rsidRPr="00853D04">
        <w:rPr>
          <w:noProof/>
        </w:rPr>
        <w:t>Wniosek jest następstwem rezolucji Parlamentu Europejskiego</w:t>
      </w:r>
      <w:r w:rsidR="00C13C75" w:rsidRPr="00853D04">
        <w:rPr>
          <w:noProof/>
        </w:rPr>
        <w:t xml:space="preserve"> z</w:t>
      </w:r>
      <w:r w:rsidR="00C13C75">
        <w:rPr>
          <w:noProof/>
        </w:rPr>
        <w:t> </w:t>
      </w:r>
      <w:r w:rsidR="00C13C75" w:rsidRPr="00853D04">
        <w:rPr>
          <w:noProof/>
        </w:rPr>
        <w:t>1</w:t>
      </w:r>
      <w:r w:rsidRPr="00853D04">
        <w:rPr>
          <w:noProof/>
        </w:rPr>
        <w:t>7 lutego 20</w:t>
      </w:r>
      <w:r w:rsidRPr="00C13C75">
        <w:rPr>
          <w:noProof/>
        </w:rPr>
        <w:t>22</w:t>
      </w:r>
      <w:r w:rsidR="00C13C75" w:rsidRPr="00C13C75">
        <w:rPr>
          <w:noProof/>
        </w:rPr>
        <w:t> </w:t>
      </w:r>
      <w:r w:rsidRPr="00C13C75">
        <w:rPr>
          <w:noProof/>
        </w:rPr>
        <w:t>r.</w:t>
      </w:r>
      <w:r w:rsidRPr="00853D04">
        <w:rPr>
          <w:noProof/>
        </w:rPr>
        <w:t>, która ma na celu zachęcanie stowarzyszeń</w:t>
      </w:r>
      <w:r w:rsidR="00C13C75" w:rsidRPr="00853D04">
        <w:rPr>
          <w:noProof/>
        </w:rPr>
        <w:t xml:space="preserve"> i</w:t>
      </w:r>
      <w:r w:rsidR="00C13C75">
        <w:rPr>
          <w:noProof/>
        </w:rPr>
        <w:t> </w:t>
      </w:r>
      <w:r w:rsidR="00C13C75" w:rsidRPr="00853D04">
        <w:rPr>
          <w:noProof/>
        </w:rPr>
        <w:t>inn</w:t>
      </w:r>
      <w:r w:rsidRPr="00853D04">
        <w:rPr>
          <w:noProof/>
        </w:rPr>
        <w:t>ych organizacji niekomercyjnych w UE do pełnej realizacji rynku wewnętrznego, ochrony ich praw podstawowych</w:t>
      </w:r>
      <w:r w:rsidR="00C13C75" w:rsidRPr="00853D04">
        <w:rPr>
          <w:noProof/>
        </w:rPr>
        <w:t xml:space="preserve"> i</w:t>
      </w:r>
      <w:r w:rsidR="00C13C75">
        <w:rPr>
          <w:noProof/>
        </w:rPr>
        <w:t> </w:t>
      </w:r>
      <w:r w:rsidR="00C13C75" w:rsidRPr="00853D04">
        <w:rPr>
          <w:noProof/>
        </w:rPr>
        <w:t>roz</w:t>
      </w:r>
      <w:r w:rsidRPr="00853D04">
        <w:rPr>
          <w:noProof/>
        </w:rPr>
        <w:t xml:space="preserve">wijania unijnej przestrzeni demokratycznej. Dokładniej rzecz ujmując, na podstawie </w:t>
      </w:r>
      <w:r w:rsidRPr="00C13C75">
        <w:rPr>
          <w:noProof/>
        </w:rPr>
        <w:t>art.</w:t>
      </w:r>
      <w:r w:rsidR="00C13C75" w:rsidRPr="00C13C75">
        <w:rPr>
          <w:noProof/>
        </w:rPr>
        <w:t> </w:t>
      </w:r>
      <w:r w:rsidRPr="00C13C75">
        <w:rPr>
          <w:noProof/>
        </w:rPr>
        <w:t>2</w:t>
      </w:r>
      <w:r w:rsidRPr="00853D04">
        <w:rPr>
          <w:noProof/>
        </w:rPr>
        <w:t>25 Traktatu</w:t>
      </w:r>
      <w:r w:rsidR="00C13C75" w:rsidRPr="00853D04">
        <w:rPr>
          <w:noProof/>
        </w:rPr>
        <w:t xml:space="preserve"> o</w:t>
      </w:r>
      <w:r w:rsidR="00C13C75">
        <w:rPr>
          <w:noProof/>
        </w:rPr>
        <w:t> </w:t>
      </w:r>
      <w:r w:rsidR="00C13C75" w:rsidRPr="00853D04">
        <w:rPr>
          <w:noProof/>
        </w:rPr>
        <w:t>fun</w:t>
      </w:r>
      <w:r w:rsidRPr="00853D04">
        <w:rPr>
          <w:noProof/>
        </w:rPr>
        <w:t>kcjonowaniu Unii Europejskiej („TFUE”)</w:t>
      </w:r>
      <w:r w:rsidR="00C13C75" w:rsidRPr="00853D04">
        <w:rPr>
          <w:noProof/>
        </w:rPr>
        <w:t xml:space="preserve"> w</w:t>
      </w:r>
      <w:r w:rsidR="00C13C75">
        <w:rPr>
          <w:noProof/>
        </w:rPr>
        <w:t> </w:t>
      </w:r>
      <w:r w:rsidR="00C13C75" w:rsidRPr="00853D04">
        <w:rPr>
          <w:noProof/>
        </w:rPr>
        <w:t>rez</w:t>
      </w:r>
      <w:r w:rsidRPr="00853D04">
        <w:rPr>
          <w:noProof/>
        </w:rPr>
        <w:t>olucji zwrócono się do Komisji</w:t>
      </w:r>
      <w:r w:rsidR="00C13C75" w:rsidRPr="00853D04">
        <w:rPr>
          <w:noProof/>
        </w:rPr>
        <w:t xml:space="preserve"> o</w:t>
      </w:r>
      <w:r w:rsidR="00C13C75">
        <w:rPr>
          <w:noProof/>
        </w:rPr>
        <w:t> </w:t>
      </w:r>
      <w:r w:rsidR="00C13C75" w:rsidRPr="00853D04">
        <w:rPr>
          <w:noProof/>
        </w:rPr>
        <w:t>prz</w:t>
      </w:r>
      <w:r w:rsidRPr="00853D04">
        <w:rPr>
          <w:noProof/>
        </w:rPr>
        <w:t xml:space="preserve">edłożenie dwóch nowych wniosków ustawodawczych: rozporządzenia (na podstawie </w:t>
      </w:r>
      <w:r w:rsidRPr="00C13C75">
        <w:rPr>
          <w:noProof/>
        </w:rPr>
        <w:t>art.</w:t>
      </w:r>
      <w:r w:rsidR="00C13C75" w:rsidRPr="00C13C75">
        <w:rPr>
          <w:noProof/>
        </w:rPr>
        <w:t> </w:t>
      </w:r>
      <w:r w:rsidRPr="00C13C75">
        <w:rPr>
          <w:noProof/>
        </w:rPr>
        <w:t>3</w:t>
      </w:r>
      <w:r w:rsidRPr="00853D04">
        <w:rPr>
          <w:noProof/>
        </w:rPr>
        <w:t>52 TFUE), które zapewni utworzenie formy prawnej „stowarzyszeń europejskich”, oraz dyrektywy harmonizującej wspólne minimalne normy</w:t>
      </w:r>
      <w:r w:rsidR="00C13C75" w:rsidRPr="00853D04">
        <w:rPr>
          <w:noProof/>
        </w:rPr>
        <w:t xml:space="preserve"> w</w:t>
      </w:r>
      <w:r w:rsidR="00C13C75">
        <w:rPr>
          <w:noProof/>
        </w:rPr>
        <w:t> </w:t>
      </w:r>
      <w:r w:rsidR="00C13C75" w:rsidRPr="00853D04">
        <w:rPr>
          <w:noProof/>
        </w:rPr>
        <w:t>odn</w:t>
      </w:r>
      <w:r w:rsidRPr="00853D04">
        <w:rPr>
          <w:noProof/>
        </w:rPr>
        <w:t xml:space="preserve">iesieniu do organizacji niekomercyjnych (na podstawie </w:t>
      </w:r>
      <w:r w:rsidRPr="00C13C75">
        <w:rPr>
          <w:noProof/>
        </w:rPr>
        <w:t>art.</w:t>
      </w:r>
      <w:r w:rsidR="00C13C75" w:rsidRPr="00C13C75">
        <w:rPr>
          <w:noProof/>
        </w:rPr>
        <w:t> </w:t>
      </w:r>
      <w:r w:rsidRPr="00C13C75">
        <w:rPr>
          <w:noProof/>
        </w:rPr>
        <w:t>1</w:t>
      </w:r>
      <w:r w:rsidRPr="00853D04">
        <w:rPr>
          <w:noProof/>
        </w:rPr>
        <w:t>14 TFUE). Komisja Europejska zareagowała pozytywnie na wezwanie Parlamentu Europejskiego, podzielając jego opinię, że istnieje potrzeba stworzenia otoczenia sprzyjającego trzeciemu sektorowi,</w:t>
      </w:r>
      <w:r w:rsidR="00C13C75" w:rsidRPr="00853D04">
        <w:rPr>
          <w:noProof/>
        </w:rPr>
        <w:t xml:space="preserve"> w</w:t>
      </w:r>
      <w:r w:rsidR="00C13C75">
        <w:rPr>
          <w:noProof/>
        </w:rPr>
        <w:t> </w:t>
      </w:r>
      <w:r w:rsidR="00C13C75" w:rsidRPr="00853D04">
        <w:rPr>
          <w:noProof/>
        </w:rPr>
        <w:t>któ</w:t>
      </w:r>
      <w:r w:rsidRPr="00853D04">
        <w:rPr>
          <w:noProof/>
        </w:rPr>
        <w:t>rym najczęściej występującą formą prawną są stowarzyszenia.</w:t>
      </w:r>
    </w:p>
    <w:p w14:paraId="4AEA7A45" w14:textId="7F60EB7A" w:rsidR="00184786" w:rsidRPr="00853D04" w:rsidRDefault="0061162E" w:rsidP="003946D3">
      <w:pPr>
        <w:rPr>
          <w:noProof/>
        </w:rPr>
      </w:pPr>
      <w:r w:rsidRPr="00853D04">
        <w:rPr>
          <w:noProof/>
        </w:rPr>
        <w:t>Celem wniosku jest poprawa funkcjonowania rynku wewnętrznego stowarzyszeń niekomercyjnych dzięki ustanowieniu środków koordynujących warunki zakładania</w:t>
      </w:r>
      <w:r w:rsidR="00C13C75" w:rsidRPr="00853D04">
        <w:rPr>
          <w:noProof/>
        </w:rPr>
        <w:t xml:space="preserve"> i</w:t>
      </w:r>
      <w:r w:rsidR="00C13C75">
        <w:rPr>
          <w:noProof/>
        </w:rPr>
        <w:t> </w:t>
      </w:r>
      <w:r w:rsidR="00C13C75" w:rsidRPr="00853D04">
        <w:rPr>
          <w:noProof/>
        </w:rPr>
        <w:t>pro</w:t>
      </w:r>
      <w:r w:rsidRPr="00853D04">
        <w:rPr>
          <w:noProof/>
        </w:rPr>
        <w:t>wadzenia europejskich stowarzyszeń transgranicznych (EST)</w:t>
      </w:r>
      <w:r w:rsidR="00C13C75" w:rsidRPr="00853D04">
        <w:rPr>
          <w:noProof/>
        </w:rPr>
        <w:t xml:space="preserve"> w</w:t>
      </w:r>
      <w:r w:rsidR="00C13C75">
        <w:rPr>
          <w:noProof/>
        </w:rPr>
        <w:t> </w:t>
      </w:r>
      <w:r w:rsidR="00C13C75" w:rsidRPr="00853D04">
        <w:rPr>
          <w:noProof/>
        </w:rPr>
        <w:t>cel</w:t>
      </w:r>
      <w:r w:rsidRPr="00853D04">
        <w:rPr>
          <w:noProof/>
        </w:rPr>
        <w:t>u ułatwienia skutecznego korzystania ze swobody przemieszczania się organizacji niekomercyjnych działających na rynku wewnętrznym.</w:t>
      </w:r>
    </w:p>
    <w:p w14:paraId="20618455" w14:textId="08D89510" w:rsidR="003D274F" w:rsidRPr="00853D04" w:rsidRDefault="09A6E6EC" w:rsidP="00FA173E">
      <w:pPr>
        <w:rPr>
          <w:noProof/>
        </w:rPr>
      </w:pPr>
      <w:r w:rsidRPr="00853D04">
        <w:rPr>
          <w:noProof/>
        </w:rPr>
        <w:t>Stowarzyszenia niekomercyjne stanowią dominującą formę prawną wśród organizacji niekomercyjnych</w:t>
      </w:r>
      <w:r w:rsidR="00C13C75" w:rsidRPr="00853D04">
        <w:rPr>
          <w:noProof/>
        </w:rPr>
        <w:t xml:space="preserve"> w</w:t>
      </w:r>
      <w:r w:rsidR="00C13C75">
        <w:rPr>
          <w:noProof/>
        </w:rPr>
        <w:t> </w:t>
      </w:r>
      <w:r w:rsidR="00C13C75" w:rsidRPr="00853D04">
        <w:rPr>
          <w:noProof/>
        </w:rPr>
        <w:t>Uni</w:t>
      </w:r>
      <w:r w:rsidRPr="00853D04">
        <w:rPr>
          <w:noProof/>
        </w:rPr>
        <w:t>i Europejskiej,</w:t>
      </w:r>
      <w:r w:rsidR="00C13C75" w:rsidRPr="00853D04">
        <w:rPr>
          <w:noProof/>
        </w:rPr>
        <w:t xml:space="preserve"> a</w:t>
      </w:r>
      <w:r w:rsidR="00C13C75">
        <w:rPr>
          <w:noProof/>
        </w:rPr>
        <w:t> </w:t>
      </w:r>
      <w:r w:rsidR="00C13C75" w:rsidRPr="00853D04">
        <w:rPr>
          <w:noProof/>
        </w:rPr>
        <w:t>ich</w:t>
      </w:r>
      <w:r w:rsidRPr="00853D04">
        <w:rPr>
          <w:noProof/>
        </w:rPr>
        <w:t xml:space="preserve"> liczbę</w:t>
      </w:r>
      <w:r w:rsidR="00C13C75" w:rsidRPr="00853D04">
        <w:rPr>
          <w:noProof/>
        </w:rPr>
        <w:t xml:space="preserve"> w</w:t>
      </w:r>
      <w:r w:rsidR="00C13C75">
        <w:rPr>
          <w:noProof/>
        </w:rPr>
        <w:t> </w:t>
      </w:r>
      <w:r w:rsidR="00C13C75" w:rsidRPr="00853D04">
        <w:rPr>
          <w:noProof/>
        </w:rPr>
        <w:t>pań</w:t>
      </w:r>
      <w:r w:rsidRPr="00853D04">
        <w:rPr>
          <w:noProof/>
        </w:rPr>
        <w:t xml:space="preserve">stwach członkowskich UE szacuje się </w:t>
      </w:r>
      <w:r w:rsidRPr="00C13C75">
        <w:rPr>
          <w:noProof/>
        </w:rPr>
        <w:t>na</w:t>
      </w:r>
      <w:r w:rsidR="00C13C75" w:rsidRPr="00C13C75">
        <w:rPr>
          <w:noProof/>
        </w:rPr>
        <w:t> </w:t>
      </w:r>
      <w:r w:rsidRPr="00C13C75">
        <w:rPr>
          <w:noProof/>
        </w:rPr>
        <w:t>3</w:t>
      </w:r>
      <w:r w:rsidRPr="00853D04">
        <w:rPr>
          <w:noProof/>
        </w:rPr>
        <w:t>,8 mln. Stowarzyszenia niekomercyjne są również najliczniejsze spośród czterech form prawnych tradycyjnie zaliczających się do gospodarki społecznej</w:t>
      </w:r>
      <w:r w:rsidRPr="00853D04">
        <w:rPr>
          <w:rStyle w:val="FootnoteReference"/>
          <w:noProof/>
        </w:rPr>
        <w:footnoteReference w:id="2"/>
      </w:r>
      <w:r w:rsidRPr="00853D04">
        <w:rPr>
          <w:noProof/>
        </w:rPr>
        <w:t xml:space="preserve">. Spośród stowarzyszeń niekomercyjnych </w:t>
      </w:r>
      <w:r w:rsidRPr="00853D04">
        <w:rPr>
          <w:rStyle w:val="normaltextrun"/>
          <w:noProof/>
          <w:color w:val="000000" w:themeColor="text1"/>
        </w:rPr>
        <w:t>310 000</w:t>
      </w:r>
      <w:r w:rsidRPr="00853D04">
        <w:rPr>
          <w:noProof/>
        </w:rPr>
        <w:t xml:space="preserve"> prowadzi działalność</w:t>
      </w:r>
      <w:r w:rsidR="00C13C75" w:rsidRPr="00853D04">
        <w:rPr>
          <w:noProof/>
        </w:rPr>
        <w:t xml:space="preserve"> w</w:t>
      </w:r>
      <w:r w:rsidR="00C13C75">
        <w:rPr>
          <w:noProof/>
        </w:rPr>
        <w:t> </w:t>
      </w:r>
      <w:r w:rsidR="00C13C75" w:rsidRPr="00853D04">
        <w:rPr>
          <w:noProof/>
        </w:rPr>
        <w:t>wię</w:t>
      </w:r>
      <w:r w:rsidRPr="00853D04">
        <w:rPr>
          <w:noProof/>
        </w:rPr>
        <w:t>cej niż jednym państwie członkowskim,</w:t>
      </w:r>
      <w:r w:rsidR="00C13C75" w:rsidRPr="00853D04">
        <w:rPr>
          <w:noProof/>
        </w:rPr>
        <w:t xml:space="preserve"> a</w:t>
      </w:r>
      <w:r w:rsidR="00C13C75">
        <w:rPr>
          <w:noProof/>
        </w:rPr>
        <w:t> </w:t>
      </w:r>
      <w:r w:rsidR="00C13C75" w:rsidRPr="00853D04">
        <w:rPr>
          <w:noProof/>
        </w:rPr>
        <w:t>pot</w:t>
      </w:r>
      <w:r w:rsidRPr="00853D04">
        <w:rPr>
          <w:noProof/>
        </w:rPr>
        <w:t>encjalnie kolejne 185 000 mogłoby teoretycznie zaangażować się</w:t>
      </w:r>
      <w:r w:rsidR="00C13C75" w:rsidRPr="00853D04">
        <w:rPr>
          <w:noProof/>
        </w:rPr>
        <w:t xml:space="preserve"> w</w:t>
      </w:r>
      <w:r w:rsidR="00C13C75">
        <w:rPr>
          <w:noProof/>
        </w:rPr>
        <w:t> </w:t>
      </w:r>
      <w:r w:rsidR="00C13C75" w:rsidRPr="00853D04">
        <w:rPr>
          <w:noProof/>
        </w:rPr>
        <w:t>dzi</w:t>
      </w:r>
      <w:r w:rsidRPr="00853D04">
        <w:rPr>
          <w:noProof/>
        </w:rPr>
        <w:t>ałalność transgraniczną, gdyby zostały usunięte bariery. Stowarzyszenia niekomercyjne to organizacje kierujące się kluczowymi zasadami ekonomii społecznej: pierwszeństwo ludzi,</w:t>
      </w:r>
      <w:r w:rsidR="00C13C75" w:rsidRPr="00853D04">
        <w:rPr>
          <w:noProof/>
        </w:rPr>
        <w:t xml:space="preserve"> a</w:t>
      </w:r>
      <w:r w:rsidR="00C13C75">
        <w:rPr>
          <w:noProof/>
        </w:rPr>
        <w:t> </w:t>
      </w:r>
      <w:r w:rsidR="00C13C75" w:rsidRPr="00853D04">
        <w:rPr>
          <w:noProof/>
        </w:rPr>
        <w:t>tak</w:t>
      </w:r>
      <w:r w:rsidRPr="00853D04">
        <w:rPr>
          <w:noProof/>
        </w:rPr>
        <w:t>że celów społecznych</w:t>
      </w:r>
      <w:r w:rsidR="00C13C75" w:rsidRPr="00853D04">
        <w:rPr>
          <w:noProof/>
        </w:rPr>
        <w:t xml:space="preserve"> i</w:t>
      </w:r>
      <w:r w:rsidR="00C13C75">
        <w:rPr>
          <w:noProof/>
        </w:rPr>
        <w:t> </w:t>
      </w:r>
      <w:r w:rsidR="00C13C75" w:rsidRPr="00853D04">
        <w:rPr>
          <w:noProof/>
        </w:rPr>
        <w:t>śro</w:t>
      </w:r>
      <w:r w:rsidRPr="00853D04">
        <w:rPr>
          <w:noProof/>
        </w:rPr>
        <w:t>dowiskowych, wobec zysku, reinwestowanie większości zysków</w:t>
      </w:r>
      <w:r w:rsidR="00C13C75" w:rsidRPr="00853D04">
        <w:rPr>
          <w:noProof/>
        </w:rPr>
        <w:t xml:space="preserve"> i</w:t>
      </w:r>
      <w:r w:rsidR="00C13C75">
        <w:rPr>
          <w:noProof/>
        </w:rPr>
        <w:t> </w:t>
      </w:r>
      <w:r w:rsidR="00C13C75" w:rsidRPr="00853D04">
        <w:rPr>
          <w:noProof/>
        </w:rPr>
        <w:t>nad</w:t>
      </w:r>
      <w:r w:rsidRPr="00853D04">
        <w:rPr>
          <w:noProof/>
        </w:rPr>
        <w:t>wyżek</w:t>
      </w:r>
      <w:r w:rsidR="00C13C75" w:rsidRPr="00853D04">
        <w:rPr>
          <w:noProof/>
        </w:rPr>
        <w:t xml:space="preserve"> w</w:t>
      </w:r>
      <w:r w:rsidR="00C13C75">
        <w:rPr>
          <w:noProof/>
        </w:rPr>
        <w:t> </w:t>
      </w:r>
      <w:r w:rsidR="00C13C75" w:rsidRPr="00853D04">
        <w:rPr>
          <w:noProof/>
        </w:rPr>
        <w:t>cel</w:t>
      </w:r>
      <w:r w:rsidRPr="00853D04">
        <w:rPr>
          <w:noProof/>
        </w:rPr>
        <w:t>u prowadzenia działań</w:t>
      </w:r>
      <w:r w:rsidR="00C13C75" w:rsidRPr="00853D04">
        <w:rPr>
          <w:noProof/>
        </w:rPr>
        <w:t xml:space="preserve"> w</w:t>
      </w:r>
      <w:r w:rsidR="00C13C75">
        <w:rPr>
          <w:noProof/>
        </w:rPr>
        <w:t> </w:t>
      </w:r>
      <w:r w:rsidR="00C13C75" w:rsidRPr="00853D04">
        <w:rPr>
          <w:noProof/>
        </w:rPr>
        <w:t>int</w:t>
      </w:r>
      <w:r w:rsidRPr="00853D04">
        <w:rPr>
          <w:noProof/>
        </w:rPr>
        <w:t>eresie członków/użytkowników („interes zbiorowy”) lub całego społeczeństwa („interes ogólny”) oraz zarządzanie demokratyczne lub partycypacyjne.</w:t>
      </w:r>
    </w:p>
    <w:p w14:paraId="581E6D7F" w14:textId="75BDDCC8" w:rsidR="00C21EFC" w:rsidRPr="00853D04" w:rsidRDefault="0FE47323" w:rsidP="00FA173E">
      <w:pPr>
        <w:rPr>
          <w:noProof/>
        </w:rPr>
      </w:pPr>
      <w:r w:rsidRPr="00853D04">
        <w:rPr>
          <w:noProof/>
        </w:rPr>
        <w:t>Stowarzyszenia niekomercyjne prowadzą działalność</w:t>
      </w:r>
      <w:r w:rsidR="00C13C75" w:rsidRPr="00853D04">
        <w:rPr>
          <w:noProof/>
        </w:rPr>
        <w:t xml:space="preserve"> w</w:t>
      </w:r>
      <w:r w:rsidR="00C13C75">
        <w:rPr>
          <w:noProof/>
        </w:rPr>
        <w:t> </w:t>
      </w:r>
      <w:r w:rsidR="00C13C75" w:rsidRPr="00853D04">
        <w:rPr>
          <w:noProof/>
        </w:rPr>
        <w:t>sek</w:t>
      </w:r>
      <w:r w:rsidRPr="00853D04">
        <w:rPr>
          <w:noProof/>
        </w:rPr>
        <w:t>torach mających wpływ na społeczeństwo, takich jak: opieka zdrowotna, usługi społeczne, włączenie społeczne, kultura, sport, badania</w:t>
      </w:r>
      <w:r w:rsidR="00C13C75" w:rsidRPr="00853D04">
        <w:rPr>
          <w:noProof/>
        </w:rPr>
        <w:t xml:space="preserve"> i</w:t>
      </w:r>
      <w:r w:rsidR="00C13C75">
        <w:rPr>
          <w:noProof/>
        </w:rPr>
        <w:t> </w:t>
      </w:r>
      <w:r w:rsidR="00C13C75" w:rsidRPr="00853D04">
        <w:rPr>
          <w:noProof/>
        </w:rPr>
        <w:t>roz</w:t>
      </w:r>
      <w:r w:rsidRPr="00853D04">
        <w:rPr>
          <w:noProof/>
        </w:rPr>
        <w:t>wój, kształcenie</w:t>
      </w:r>
      <w:r w:rsidR="00C13C75" w:rsidRPr="00853D04">
        <w:rPr>
          <w:noProof/>
        </w:rPr>
        <w:t xml:space="preserve"> i</w:t>
      </w:r>
      <w:r w:rsidR="00C13C75">
        <w:rPr>
          <w:noProof/>
        </w:rPr>
        <w:t> </w:t>
      </w:r>
      <w:r w:rsidR="00C13C75" w:rsidRPr="00853D04">
        <w:rPr>
          <w:noProof/>
        </w:rPr>
        <w:t>szk</w:t>
      </w:r>
      <w:r w:rsidRPr="00853D04">
        <w:rPr>
          <w:noProof/>
        </w:rPr>
        <w:t>olenie, wnosząc 2,</w:t>
      </w:r>
      <w:r w:rsidRPr="00C13C75">
        <w:rPr>
          <w:noProof/>
        </w:rPr>
        <w:t>9</w:t>
      </w:r>
      <w:r w:rsidR="00C13C75" w:rsidRPr="00C13C75">
        <w:rPr>
          <w:noProof/>
        </w:rPr>
        <w:t> </w:t>
      </w:r>
      <w:r w:rsidRPr="00C13C75">
        <w:rPr>
          <w:noProof/>
        </w:rPr>
        <w:t>%</w:t>
      </w:r>
      <w:r w:rsidRPr="00853D04">
        <w:rPr>
          <w:noProof/>
        </w:rPr>
        <w:t xml:space="preserve"> do PKB UE. Dzięki swojej strukturze opartej na członkostwie mają one również bezpośredni stymulujący wpływ na obywateli, którzy są członkami, darczyńcami lub beneficjentami ich działalności. Jeżeli działalność stowarzyszeń niekomercyjnych jest świadczona za wynagrodzeniem, stanowi usługę</w:t>
      </w:r>
      <w:r w:rsidR="00C13C75" w:rsidRPr="00853D04">
        <w:rPr>
          <w:noProof/>
        </w:rPr>
        <w:t xml:space="preserve"> w</w:t>
      </w:r>
      <w:r w:rsidR="00C13C75">
        <w:rPr>
          <w:noProof/>
        </w:rPr>
        <w:t> </w:t>
      </w:r>
      <w:r w:rsidR="00C13C75" w:rsidRPr="00853D04">
        <w:rPr>
          <w:noProof/>
        </w:rPr>
        <w:t>roz</w:t>
      </w:r>
      <w:r w:rsidRPr="00853D04">
        <w:rPr>
          <w:noProof/>
        </w:rPr>
        <w:t xml:space="preserve">umieniu </w:t>
      </w:r>
      <w:r w:rsidRPr="00C13C75">
        <w:rPr>
          <w:noProof/>
        </w:rPr>
        <w:t>art.</w:t>
      </w:r>
      <w:r w:rsidR="00C13C75" w:rsidRPr="00C13C75">
        <w:rPr>
          <w:noProof/>
        </w:rPr>
        <w:t> </w:t>
      </w:r>
      <w:r w:rsidRPr="00C13C75">
        <w:rPr>
          <w:noProof/>
        </w:rPr>
        <w:t>5</w:t>
      </w:r>
      <w:r w:rsidRPr="00853D04">
        <w:rPr>
          <w:noProof/>
        </w:rPr>
        <w:t>7 TFUE.</w:t>
      </w:r>
    </w:p>
    <w:p w14:paraId="225B78F4" w14:textId="07CBA074" w:rsidR="00BB420A" w:rsidRPr="00853D04" w:rsidRDefault="004812E6" w:rsidP="003946D3">
      <w:pPr>
        <w:rPr>
          <w:noProof/>
        </w:rPr>
      </w:pPr>
      <w:r w:rsidRPr="00853D04">
        <w:rPr>
          <w:noProof/>
        </w:rPr>
        <w:t>Stowarzyszenia niekomercyjne mają pozytywny wpływ na zapewnianie obywatelom UE sprawiedliwości społecznej</w:t>
      </w:r>
      <w:r w:rsidR="00C13C75" w:rsidRPr="00853D04">
        <w:rPr>
          <w:noProof/>
        </w:rPr>
        <w:t xml:space="preserve"> i</w:t>
      </w:r>
      <w:r w:rsidR="00C13C75">
        <w:rPr>
          <w:noProof/>
        </w:rPr>
        <w:t> </w:t>
      </w:r>
      <w:r w:rsidR="00C13C75" w:rsidRPr="00853D04">
        <w:rPr>
          <w:noProof/>
        </w:rPr>
        <w:t>dob</w:t>
      </w:r>
      <w:r w:rsidRPr="00853D04">
        <w:rPr>
          <w:noProof/>
        </w:rPr>
        <w:t>robytu oraz odgrywają znaczącą rolę pod względem wzrostu gospodarczego na rynku wewnętrznym. Ich potencjał społeczno-ekonomiczny nie jest jednak</w:t>
      </w:r>
      <w:r w:rsidR="00C13C75" w:rsidRPr="00853D04">
        <w:rPr>
          <w:noProof/>
        </w:rPr>
        <w:t xml:space="preserve"> w</w:t>
      </w:r>
      <w:r w:rsidR="00C13C75">
        <w:rPr>
          <w:noProof/>
        </w:rPr>
        <w:t> </w:t>
      </w:r>
      <w:r w:rsidR="00C13C75" w:rsidRPr="00853D04">
        <w:rPr>
          <w:noProof/>
        </w:rPr>
        <w:t>peł</w:t>
      </w:r>
      <w:r w:rsidRPr="00853D04">
        <w:rPr>
          <w:noProof/>
        </w:rPr>
        <w:t>ni wykorzystywany. Uwolnienie pełnego potencjału rynku wewnętrznego będzie możliwe dopiero wtedy, gdy wszyscy jego uczestnicy będą korzystać</w:t>
      </w:r>
      <w:r w:rsidR="00C13C75" w:rsidRPr="00853D04">
        <w:rPr>
          <w:noProof/>
        </w:rPr>
        <w:t xml:space="preserve"> z</w:t>
      </w:r>
      <w:r w:rsidR="00C13C75">
        <w:rPr>
          <w:noProof/>
        </w:rPr>
        <w:t> </w:t>
      </w:r>
      <w:r w:rsidR="00C13C75" w:rsidRPr="00853D04">
        <w:rPr>
          <w:noProof/>
        </w:rPr>
        <w:t>pra</w:t>
      </w:r>
      <w:r w:rsidRPr="00853D04">
        <w:rPr>
          <w:noProof/>
        </w:rPr>
        <w:t>w, jakie ten rynek zapewnia</w:t>
      </w:r>
      <w:r w:rsidR="00C13C75" w:rsidRPr="00853D04">
        <w:rPr>
          <w:noProof/>
        </w:rPr>
        <w:t>. W</w:t>
      </w:r>
      <w:r w:rsidR="00C13C75">
        <w:rPr>
          <w:noProof/>
        </w:rPr>
        <w:t> </w:t>
      </w:r>
      <w:r w:rsidR="00C13C75" w:rsidRPr="00853D04">
        <w:rPr>
          <w:noProof/>
        </w:rPr>
        <w:t>tym</w:t>
      </w:r>
      <w:r w:rsidRPr="00853D04">
        <w:rPr>
          <w:noProof/>
        </w:rPr>
        <w:t xml:space="preserve"> celu stowarzyszenia niekomercyjne potrzebują przewidywalnych ram prawnych, które pozwolą im na płynne prowadzenie działalności,</w:t>
      </w:r>
      <w:r w:rsidR="00C13C75" w:rsidRPr="00853D04">
        <w:rPr>
          <w:noProof/>
        </w:rPr>
        <w:t xml:space="preserve"> w</w:t>
      </w:r>
      <w:r w:rsidR="00C13C75">
        <w:rPr>
          <w:noProof/>
        </w:rPr>
        <w:t> </w:t>
      </w:r>
      <w:r w:rsidR="00C13C75" w:rsidRPr="00853D04">
        <w:rPr>
          <w:noProof/>
        </w:rPr>
        <w:t>tym</w:t>
      </w:r>
      <w:r w:rsidRPr="00853D04">
        <w:rPr>
          <w:noProof/>
        </w:rPr>
        <w:t xml:space="preserve"> także działalności transgranicznej na rynku wewnętrznym. </w:t>
      </w:r>
    </w:p>
    <w:p w14:paraId="2A3BFDFC" w14:textId="54C888ED" w:rsidR="007D620A" w:rsidRPr="00853D04" w:rsidRDefault="347BDD32" w:rsidP="003946D3">
      <w:pPr>
        <w:rPr>
          <w:noProof/>
        </w:rPr>
      </w:pPr>
      <w:r w:rsidRPr="00853D04">
        <w:rPr>
          <w:noProof/>
        </w:rPr>
        <w:t>Obecnie stowarzyszenia niekomercyjne</w:t>
      </w:r>
      <w:r w:rsidR="00C13C75" w:rsidRPr="00853D04">
        <w:rPr>
          <w:noProof/>
        </w:rPr>
        <w:t xml:space="preserve"> i</w:t>
      </w:r>
      <w:r w:rsidR="00C13C75">
        <w:rPr>
          <w:noProof/>
        </w:rPr>
        <w:t> </w:t>
      </w:r>
      <w:r w:rsidR="00C13C75" w:rsidRPr="00853D04">
        <w:rPr>
          <w:noProof/>
        </w:rPr>
        <w:t>ich</w:t>
      </w:r>
      <w:r w:rsidRPr="00853D04">
        <w:rPr>
          <w:noProof/>
        </w:rPr>
        <w:t xml:space="preserve"> działalność są regulowane</w:t>
      </w:r>
      <w:r w:rsidR="00C13C75" w:rsidRPr="00853D04">
        <w:rPr>
          <w:noProof/>
        </w:rPr>
        <w:t xml:space="preserve"> w</w:t>
      </w:r>
      <w:r w:rsidR="00C13C75">
        <w:rPr>
          <w:noProof/>
        </w:rPr>
        <w:t> </w:t>
      </w:r>
      <w:r w:rsidR="00C13C75" w:rsidRPr="00853D04">
        <w:rPr>
          <w:noProof/>
        </w:rPr>
        <w:t>róż</w:t>
      </w:r>
      <w:r w:rsidRPr="00853D04">
        <w:rPr>
          <w:noProof/>
        </w:rPr>
        <w:t>ny sposób przepisami szczegółowymi</w:t>
      </w:r>
      <w:r w:rsidR="00C13C75" w:rsidRPr="00853D04">
        <w:rPr>
          <w:noProof/>
        </w:rPr>
        <w:t xml:space="preserve"> w</w:t>
      </w:r>
      <w:r w:rsidR="00C13C75">
        <w:rPr>
          <w:noProof/>
        </w:rPr>
        <w:t> </w:t>
      </w:r>
      <w:r w:rsidR="00C13C75" w:rsidRPr="00853D04">
        <w:rPr>
          <w:noProof/>
        </w:rPr>
        <w:t>2</w:t>
      </w:r>
      <w:r w:rsidRPr="00853D04">
        <w:rPr>
          <w:noProof/>
        </w:rPr>
        <w:t>4 państwach członkowskich</w:t>
      </w:r>
      <w:r w:rsidRPr="00853D04">
        <w:rPr>
          <w:rStyle w:val="FootnoteReference"/>
          <w:noProof/>
        </w:rPr>
        <w:footnoteReference w:id="3"/>
      </w:r>
      <w:r w:rsidRPr="00853D04">
        <w:rPr>
          <w:noProof/>
          <w:color w:val="2B579A"/>
        </w:rPr>
        <w:t xml:space="preserve">, </w:t>
      </w:r>
      <w:r w:rsidRPr="00853D04">
        <w:rPr>
          <w:noProof/>
        </w:rPr>
        <w:t>co skutkuje niepewnością prawa</w:t>
      </w:r>
      <w:r w:rsidR="00C13C75" w:rsidRPr="00853D04">
        <w:rPr>
          <w:noProof/>
        </w:rPr>
        <w:t xml:space="preserve"> i</w:t>
      </w:r>
      <w:r w:rsidR="00C13C75">
        <w:rPr>
          <w:noProof/>
        </w:rPr>
        <w:t> </w:t>
      </w:r>
      <w:r w:rsidR="00C13C75" w:rsidRPr="00853D04">
        <w:rPr>
          <w:noProof/>
        </w:rPr>
        <w:t>pro</w:t>
      </w:r>
      <w:r w:rsidRPr="00853D04">
        <w:rPr>
          <w:noProof/>
        </w:rPr>
        <w:t>wadzi do powstawania różnych procedur</w:t>
      </w:r>
      <w:r w:rsidR="00C13C75" w:rsidRPr="00853D04">
        <w:rPr>
          <w:noProof/>
        </w:rPr>
        <w:t xml:space="preserve"> i</w:t>
      </w:r>
      <w:r w:rsidR="00C13C75">
        <w:rPr>
          <w:noProof/>
        </w:rPr>
        <w:t> </w:t>
      </w:r>
      <w:r w:rsidR="00C13C75" w:rsidRPr="00853D04">
        <w:rPr>
          <w:noProof/>
        </w:rPr>
        <w:t>wym</w:t>
      </w:r>
      <w:r w:rsidRPr="00853D04">
        <w:rPr>
          <w:noProof/>
        </w:rPr>
        <w:t>ogów administracyjnych</w:t>
      </w:r>
      <w:r w:rsidR="00C13C75" w:rsidRPr="00853D04">
        <w:rPr>
          <w:noProof/>
        </w:rPr>
        <w:t>. W</w:t>
      </w:r>
      <w:r w:rsidR="00C13C75">
        <w:rPr>
          <w:noProof/>
        </w:rPr>
        <w:t> </w:t>
      </w:r>
      <w:r w:rsidR="00C13C75" w:rsidRPr="00853D04">
        <w:rPr>
          <w:noProof/>
        </w:rPr>
        <w:t>prz</w:t>
      </w:r>
      <w:r w:rsidRPr="00853D04">
        <w:rPr>
          <w:noProof/>
        </w:rPr>
        <w:t>episach dotyczących zakładania, członkostwa</w:t>
      </w:r>
      <w:r w:rsidR="00C13C75" w:rsidRPr="00853D04">
        <w:rPr>
          <w:noProof/>
        </w:rPr>
        <w:t xml:space="preserve"> i</w:t>
      </w:r>
      <w:r w:rsidR="00C13C75">
        <w:rPr>
          <w:noProof/>
        </w:rPr>
        <w:t> </w:t>
      </w:r>
      <w:r w:rsidR="00C13C75" w:rsidRPr="00853D04">
        <w:rPr>
          <w:noProof/>
        </w:rPr>
        <w:t>zar</w:t>
      </w:r>
      <w:r w:rsidRPr="00853D04">
        <w:rPr>
          <w:noProof/>
        </w:rPr>
        <w:t xml:space="preserve">ządzania nakłada się różne wymogi. Na przykład wymagana liczba osób fizycznych lub prawnych wymagana do celów założenia stowarzyszenia niekomercyjnego waha się od trzech </w:t>
      </w:r>
      <w:r w:rsidRPr="00C13C75">
        <w:rPr>
          <w:noProof/>
        </w:rPr>
        <w:t>do</w:t>
      </w:r>
      <w:r w:rsidR="00C13C75" w:rsidRPr="00C13C75">
        <w:rPr>
          <w:noProof/>
        </w:rPr>
        <w:t> </w:t>
      </w:r>
      <w:r w:rsidRPr="00C13C75">
        <w:rPr>
          <w:noProof/>
        </w:rPr>
        <w:t>2</w:t>
      </w:r>
      <w:r w:rsidRPr="00853D04">
        <w:rPr>
          <w:noProof/>
        </w:rPr>
        <w:t>0 osób</w:t>
      </w:r>
      <w:r w:rsidR="00C13C75" w:rsidRPr="00853D04">
        <w:rPr>
          <w:noProof/>
        </w:rPr>
        <w:t xml:space="preserve"> w</w:t>
      </w:r>
      <w:r w:rsidR="00C13C75">
        <w:rPr>
          <w:noProof/>
        </w:rPr>
        <w:t> </w:t>
      </w:r>
      <w:r w:rsidR="00C13C75" w:rsidRPr="00853D04">
        <w:rPr>
          <w:noProof/>
        </w:rPr>
        <w:t>zal</w:t>
      </w:r>
      <w:r w:rsidRPr="00853D04">
        <w:rPr>
          <w:noProof/>
        </w:rPr>
        <w:t>eżności od państwa członkowskiego. Jeśli chodzi</w:t>
      </w:r>
      <w:r w:rsidR="00C13C75" w:rsidRPr="00853D04">
        <w:rPr>
          <w:noProof/>
        </w:rPr>
        <w:t xml:space="preserve"> o</w:t>
      </w:r>
      <w:r w:rsidR="00C13C75">
        <w:rPr>
          <w:noProof/>
        </w:rPr>
        <w:t> </w:t>
      </w:r>
      <w:r w:rsidR="00C13C75" w:rsidRPr="00853D04">
        <w:rPr>
          <w:noProof/>
        </w:rPr>
        <w:t>uzy</w:t>
      </w:r>
      <w:r w:rsidRPr="00853D04">
        <w:rPr>
          <w:noProof/>
        </w:rPr>
        <w:t>skanie członkostwa lub pełnienie funkcji wykonawczej</w:t>
      </w:r>
      <w:r w:rsidR="00C13C75" w:rsidRPr="00853D04">
        <w:rPr>
          <w:noProof/>
        </w:rPr>
        <w:t xml:space="preserve"> w</w:t>
      </w:r>
      <w:r w:rsidR="00C13C75">
        <w:rPr>
          <w:noProof/>
        </w:rPr>
        <w:t> </w:t>
      </w:r>
      <w:r w:rsidR="00C13C75" w:rsidRPr="00853D04">
        <w:rPr>
          <w:noProof/>
        </w:rPr>
        <w:t>sto</w:t>
      </w:r>
      <w:r w:rsidRPr="00853D04">
        <w:rPr>
          <w:noProof/>
        </w:rPr>
        <w:t>warzyszeniu niekomercyjnym, obowiązują różne wymogi,</w:t>
      </w:r>
      <w:r w:rsidR="00C13C75" w:rsidRPr="00853D04">
        <w:rPr>
          <w:noProof/>
        </w:rPr>
        <w:t xml:space="preserve"> w</w:t>
      </w:r>
      <w:r w:rsidR="00C13C75">
        <w:rPr>
          <w:noProof/>
        </w:rPr>
        <w:t> </w:t>
      </w:r>
      <w:r w:rsidR="00C13C75" w:rsidRPr="00853D04">
        <w:rPr>
          <w:noProof/>
        </w:rPr>
        <w:t>nie</w:t>
      </w:r>
      <w:r w:rsidRPr="00853D04">
        <w:rPr>
          <w:noProof/>
        </w:rPr>
        <w:t>których przypadkach dotyczące obywatelstwa lub legalnego pobytu. Chociaż wszystkie stowarzyszenia niekomercyjne posiadają organ wykonawczy</w:t>
      </w:r>
      <w:r w:rsidR="00C13C75" w:rsidRPr="00853D04">
        <w:rPr>
          <w:noProof/>
        </w:rPr>
        <w:t xml:space="preserve"> i</w:t>
      </w:r>
      <w:r w:rsidR="00C13C75">
        <w:rPr>
          <w:noProof/>
        </w:rPr>
        <w:t> </w:t>
      </w:r>
      <w:r w:rsidR="00C13C75" w:rsidRPr="00853D04">
        <w:rPr>
          <w:noProof/>
        </w:rPr>
        <w:t>dec</w:t>
      </w:r>
      <w:r w:rsidRPr="00853D04">
        <w:rPr>
          <w:noProof/>
        </w:rPr>
        <w:t>yzyjny, przepisy dotyczące zarządzania nimi różnią się</w:t>
      </w:r>
      <w:r w:rsidR="00C13C75" w:rsidRPr="00853D04">
        <w:rPr>
          <w:noProof/>
        </w:rPr>
        <w:t xml:space="preserve"> w</w:t>
      </w:r>
      <w:r w:rsidR="00C13C75">
        <w:rPr>
          <w:noProof/>
        </w:rPr>
        <w:t> </w:t>
      </w:r>
      <w:r w:rsidR="00C13C75" w:rsidRPr="00853D04">
        <w:rPr>
          <w:noProof/>
        </w:rPr>
        <w:t>pos</w:t>
      </w:r>
      <w:r w:rsidRPr="00853D04">
        <w:rPr>
          <w:noProof/>
        </w:rPr>
        <w:t>zczególnych państwach członkowskich. Nabywanie osobowości prawnej przez stowarzyszenia niekomercyjne odbywa się ponadto na różnych zasadach – niektóre państwa członkowskie przyznają osobowość prawną</w:t>
      </w:r>
      <w:r w:rsidR="00C13C75" w:rsidRPr="00853D04">
        <w:rPr>
          <w:noProof/>
        </w:rPr>
        <w:t xml:space="preserve"> w</w:t>
      </w:r>
      <w:r w:rsidR="00C13C75">
        <w:rPr>
          <w:noProof/>
        </w:rPr>
        <w:t> </w:t>
      </w:r>
      <w:r w:rsidR="00C13C75" w:rsidRPr="00853D04">
        <w:rPr>
          <w:noProof/>
        </w:rPr>
        <w:t>mom</w:t>
      </w:r>
      <w:r w:rsidRPr="00853D04">
        <w:rPr>
          <w:noProof/>
        </w:rPr>
        <w:t>encie rejestracji, inne po uznaniu przez organy krajowe lub po prostu</w:t>
      </w:r>
      <w:r w:rsidR="00C13C75" w:rsidRPr="00853D04">
        <w:rPr>
          <w:noProof/>
        </w:rPr>
        <w:t xml:space="preserve"> w</w:t>
      </w:r>
      <w:r w:rsidR="00C13C75">
        <w:rPr>
          <w:noProof/>
        </w:rPr>
        <w:t> </w:t>
      </w:r>
      <w:r w:rsidR="00C13C75" w:rsidRPr="00853D04">
        <w:rPr>
          <w:noProof/>
        </w:rPr>
        <w:t>wyn</w:t>
      </w:r>
      <w:r w:rsidRPr="00853D04">
        <w:rPr>
          <w:noProof/>
        </w:rPr>
        <w:t>iku założenia. Różnią się także możliwości prowadzenia działalności gospodarczej. Co więcej, zdecydowana większość państw członkowskich nie uznaje chcących prowadzić działalność transgraniczną stowarzyszeń</w:t>
      </w:r>
      <w:r w:rsidR="00C13C75" w:rsidRPr="00853D04">
        <w:rPr>
          <w:noProof/>
        </w:rPr>
        <w:t xml:space="preserve"> z</w:t>
      </w:r>
      <w:r w:rsidR="00C13C75">
        <w:rPr>
          <w:noProof/>
        </w:rPr>
        <w:t> </w:t>
      </w:r>
      <w:r w:rsidR="00C13C75" w:rsidRPr="00853D04">
        <w:rPr>
          <w:noProof/>
        </w:rPr>
        <w:t>inn</w:t>
      </w:r>
      <w:r w:rsidRPr="00853D04">
        <w:rPr>
          <w:noProof/>
        </w:rPr>
        <w:t>ych państw członkowskich. Zmusza to stowarzyszenia niekomercyjne, które chcą prowadzić działalność gospodarczą</w:t>
      </w:r>
      <w:r w:rsidR="00C13C75" w:rsidRPr="00853D04">
        <w:rPr>
          <w:noProof/>
        </w:rPr>
        <w:t xml:space="preserve"> w</w:t>
      </w:r>
      <w:r w:rsidR="00C13C75">
        <w:rPr>
          <w:noProof/>
        </w:rPr>
        <w:t> </w:t>
      </w:r>
      <w:r w:rsidR="00C13C75" w:rsidRPr="00853D04">
        <w:rPr>
          <w:noProof/>
        </w:rPr>
        <w:t>inn</w:t>
      </w:r>
      <w:r w:rsidRPr="00853D04">
        <w:rPr>
          <w:noProof/>
        </w:rPr>
        <w:t>ym państwie członkowskim, do założenia</w:t>
      </w:r>
      <w:r w:rsidR="00C13C75" w:rsidRPr="00853D04">
        <w:rPr>
          <w:noProof/>
        </w:rPr>
        <w:t xml:space="preserve"> i</w:t>
      </w:r>
      <w:r w:rsidR="00C13C75">
        <w:rPr>
          <w:noProof/>
        </w:rPr>
        <w:t> </w:t>
      </w:r>
      <w:r w:rsidR="00C13C75" w:rsidRPr="00853D04">
        <w:rPr>
          <w:noProof/>
        </w:rPr>
        <w:t>zar</w:t>
      </w:r>
      <w:r w:rsidRPr="00853D04">
        <w:rPr>
          <w:noProof/>
        </w:rPr>
        <w:t>ejestrowania zupełnie nowego stowarzyszenia niekomercyjnego</w:t>
      </w:r>
      <w:r w:rsidR="00C13C75" w:rsidRPr="00853D04">
        <w:rPr>
          <w:noProof/>
        </w:rPr>
        <w:t xml:space="preserve"> w</w:t>
      </w:r>
      <w:r w:rsidR="00C13C75">
        <w:rPr>
          <w:noProof/>
        </w:rPr>
        <w:t> </w:t>
      </w:r>
      <w:r w:rsidR="00C13C75" w:rsidRPr="00853D04">
        <w:rPr>
          <w:noProof/>
        </w:rPr>
        <w:t>tym</w:t>
      </w:r>
      <w:r w:rsidRPr="00853D04">
        <w:rPr>
          <w:noProof/>
        </w:rPr>
        <w:t xml:space="preserve"> państwie członkowskim, co wiąże się</w:t>
      </w:r>
      <w:r w:rsidR="00C13C75" w:rsidRPr="00853D04">
        <w:rPr>
          <w:noProof/>
        </w:rPr>
        <w:t xml:space="preserve"> z</w:t>
      </w:r>
      <w:r w:rsidR="00C13C75">
        <w:rPr>
          <w:noProof/>
        </w:rPr>
        <w:t> </w:t>
      </w:r>
      <w:r w:rsidR="00C13C75" w:rsidRPr="00853D04">
        <w:rPr>
          <w:noProof/>
        </w:rPr>
        <w:t>dod</w:t>
      </w:r>
      <w:r w:rsidRPr="00853D04">
        <w:rPr>
          <w:noProof/>
        </w:rPr>
        <w:t>atkowymi kosztami</w:t>
      </w:r>
      <w:r w:rsidR="00C13C75" w:rsidRPr="00853D04">
        <w:rPr>
          <w:noProof/>
        </w:rPr>
        <w:t xml:space="preserve"> i</w:t>
      </w:r>
      <w:r w:rsidR="00C13C75">
        <w:rPr>
          <w:noProof/>
        </w:rPr>
        <w:t> </w:t>
      </w:r>
      <w:r w:rsidR="00C13C75" w:rsidRPr="00853D04">
        <w:rPr>
          <w:noProof/>
        </w:rPr>
        <w:t>for</w:t>
      </w:r>
      <w:r w:rsidRPr="00853D04">
        <w:rPr>
          <w:noProof/>
        </w:rPr>
        <w:t>malnościami administracyjnymi. Ma to również konsekwencje</w:t>
      </w:r>
      <w:r w:rsidR="00C13C75" w:rsidRPr="00853D04">
        <w:rPr>
          <w:noProof/>
        </w:rPr>
        <w:t xml:space="preserve"> w</w:t>
      </w:r>
      <w:r w:rsidR="00C13C75">
        <w:rPr>
          <w:noProof/>
        </w:rPr>
        <w:t> </w:t>
      </w:r>
      <w:r w:rsidR="00C13C75" w:rsidRPr="00853D04">
        <w:rPr>
          <w:noProof/>
        </w:rPr>
        <w:t>odn</w:t>
      </w:r>
      <w:r w:rsidRPr="00853D04">
        <w:rPr>
          <w:noProof/>
        </w:rPr>
        <w:t>iesieniu do przekierowywania kapitału pomiędzy stowarzyszeniami niekomercyjnymi, utrudniając niezakłócony przepływ kapitału</w:t>
      </w:r>
      <w:r w:rsidR="00C13C75" w:rsidRPr="00853D04">
        <w:rPr>
          <w:noProof/>
        </w:rPr>
        <w:t xml:space="preserve"> i</w:t>
      </w:r>
      <w:r w:rsidR="00C13C75">
        <w:rPr>
          <w:noProof/>
        </w:rPr>
        <w:t> </w:t>
      </w:r>
      <w:r w:rsidR="00C13C75" w:rsidRPr="00853D04">
        <w:rPr>
          <w:noProof/>
        </w:rPr>
        <w:t>pod</w:t>
      </w:r>
      <w:r w:rsidRPr="00853D04">
        <w:rPr>
          <w:noProof/>
        </w:rPr>
        <w:t>ważając zdolność stowarzyszeń niekomercyjnych do prowadzenia działalności</w:t>
      </w:r>
      <w:r w:rsidR="00C13C75" w:rsidRPr="00853D04">
        <w:rPr>
          <w:noProof/>
        </w:rPr>
        <w:t xml:space="preserve"> w</w:t>
      </w:r>
      <w:r w:rsidR="00C13C75">
        <w:rPr>
          <w:noProof/>
        </w:rPr>
        <w:t> </w:t>
      </w:r>
      <w:r w:rsidR="00C13C75" w:rsidRPr="00853D04">
        <w:rPr>
          <w:noProof/>
        </w:rPr>
        <w:t>inn</w:t>
      </w:r>
      <w:r w:rsidRPr="00853D04">
        <w:rPr>
          <w:noProof/>
        </w:rPr>
        <w:t>ym państwie członkowskim. Różne przepisy obowiązują również</w:t>
      </w:r>
      <w:r w:rsidR="00C13C75" w:rsidRPr="00853D04">
        <w:rPr>
          <w:noProof/>
        </w:rPr>
        <w:t xml:space="preserve"> w</w:t>
      </w:r>
      <w:r w:rsidR="00C13C75">
        <w:rPr>
          <w:noProof/>
        </w:rPr>
        <w:t> </w:t>
      </w:r>
      <w:r w:rsidR="00C13C75" w:rsidRPr="00853D04">
        <w:rPr>
          <w:noProof/>
        </w:rPr>
        <w:t>odn</w:t>
      </w:r>
      <w:r w:rsidRPr="00853D04">
        <w:rPr>
          <w:noProof/>
        </w:rPr>
        <w:t>iesieniu do dostępu do kapitału,</w:t>
      </w:r>
      <w:r w:rsidR="00C13C75" w:rsidRPr="00853D04">
        <w:rPr>
          <w:noProof/>
        </w:rPr>
        <w:t xml:space="preserve"> a</w:t>
      </w:r>
      <w:r w:rsidR="00C13C75">
        <w:rPr>
          <w:noProof/>
        </w:rPr>
        <w:t> </w:t>
      </w:r>
      <w:r w:rsidR="00C13C75" w:rsidRPr="00853D04">
        <w:rPr>
          <w:noProof/>
        </w:rPr>
        <w:t>tak</w:t>
      </w:r>
      <w:r w:rsidRPr="00853D04">
        <w:rPr>
          <w:noProof/>
        </w:rPr>
        <w:t>że istnieją trudności</w:t>
      </w:r>
      <w:r w:rsidR="00C13C75" w:rsidRPr="00853D04">
        <w:rPr>
          <w:noProof/>
        </w:rPr>
        <w:t xml:space="preserve"> w</w:t>
      </w:r>
      <w:r w:rsidR="00C13C75">
        <w:rPr>
          <w:noProof/>
        </w:rPr>
        <w:t> </w:t>
      </w:r>
      <w:r w:rsidR="00C13C75" w:rsidRPr="00853D04">
        <w:rPr>
          <w:noProof/>
        </w:rPr>
        <w:t>dos</w:t>
      </w:r>
      <w:r w:rsidRPr="00853D04">
        <w:rPr>
          <w:noProof/>
        </w:rPr>
        <w:t>tępie do pożyczek finansowych, kredytów</w:t>
      </w:r>
      <w:r w:rsidR="00C13C75" w:rsidRPr="00853D04">
        <w:rPr>
          <w:noProof/>
        </w:rPr>
        <w:t xml:space="preserve"> i</w:t>
      </w:r>
      <w:r w:rsidR="00C13C75">
        <w:rPr>
          <w:noProof/>
        </w:rPr>
        <w:t> </w:t>
      </w:r>
      <w:r w:rsidR="00C13C75" w:rsidRPr="00853D04">
        <w:rPr>
          <w:noProof/>
        </w:rPr>
        <w:t>gwa</w:t>
      </w:r>
      <w:r w:rsidRPr="00853D04">
        <w:rPr>
          <w:noProof/>
        </w:rPr>
        <w:t>rancji</w:t>
      </w:r>
      <w:r w:rsidR="00C13C75" w:rsidRPr="00853D04">
        <w:rPr>
          <w:noProof/>
        </w:rPr>
        <w:t xml:space="preserve"> w</w:t>
      </w:r>
      <w:r w:rsidR="00C13C75">
        <w:rPr>
          <w:noProof/>
        </w:rPr>
        <w:t> </w:t>
      </w:r>
      <w:r w:rsidR="00C13C75" w:rsidRPr="00853D04">
        <w:rPr>
          <w:noProof/>
        </w:rPr>
        <w:t>ins</w:t>
      </w:r>
      <w:r w:rsidRPr="00853D04">
        <w:rPr>
          <w:noProof/>
        </w:rPr>
        <w:t>tytucjach kredytowych. Niekomercyjny charakter stowarzyszeń sprawia, że przeszkody te są szczególnie dotkliwe</w:t>
      </w:r>
      <w:r w:rsidR="00C13C75" w:rsidRPr="00853D04">
        <w:rPr>
          <w:noProof/>
        </w:rPr>
        <w:t xml:space="preserve"> i</w:t>
      </w:r>
      <w:r w:rsidR="00C13C75">
        <w:rPr>
          <w:noProof/>
        </w:rPr>
        <w:t> </w:t>
      </w:r>
      <w:r w:rsidR="00C13C75" w:rsidRPr="00853D04">
        <w:rPr>
          <w:noProof/>
        </w:rPr>
        <w:t>zwi</w:t>
      </w:r>
      <w:r w:rsidRPr="00853D04">
        <w:rPr>
          <w:noProof/>
        </w:rPr>
        <w:t>ększają obciążenie finansowe, jakie stowarzyszenia te muszą ponosić przy prowadzeniu działalności transgranicznej</w:t>
      </w:r>
      <w:r w:rsidR="00C13C75" w:rsidRPr="00853D04">
        <w:rPr>
          <w:noProof/>
        </w:rPr>
        <w:t xml:space="preserve"> w</w:t>
      </w:r>
      <w:r w:rsidR="00C13C75">
        <w:rPr>
          <w:noProof/>
        </w:rPr>
        <w:t> </w:t>
      </w:r>
      <w:r w:rsidR="00C13C75" w:rsidRPr="00853D04">
        <w:rPr>
          <w:noProof/>
        </w:rPr>
        <w:t>Uni</w:t>
      </w:r>
      <w:r w:rsidRPr="00853D04">
        <w:rPr>
          <w:noProof/>
        </w:rPr>
        <w:t>i.</w:t>
      </w:r>
    </w:p>
    <w:p w14:paraId="5A8B821D" w14:textId="07716597" w:rsidR="00950247" w:rsidRPr="00853D04" w:rsidRDefault="00177029" w:rsidP="00950247">
      <w:pPr>
        <w:rPr>
          <w:noProof/>
        </w:rPr>
      </w:pPr>
      <w:r w:rsidRPr="00853D04">
        <w:rPr>
          <w:noProof/>
        </w:rPr>
        <w:t>Jak stwierdzono</w:t>
      </w:r>
      <w:r w:rsidR="00C13C75" w:rsidRPr="00853D04">
        <w:rPr>
          <w:noProof/>
        </w:rPr>
        <w:t xml:space="preserve"> w</w:t>
      </w:r>
      <w:r w:rsidR="00C13C75">
        <w:rPr>
          <w:noProof/>
        </w:rPr>
        <w:t> </w:t>
      </w:r>
      <w:r w:rsidR="00C13C75" w:rsidRPr="00853D04">
        <w:rPr>
          <w:noProof/>
        </w:rPr>
        <w:t>kon</w:t>
      </w:r>
      <w:r w:rsidRPr="00853D04">
        <w:rPr>
          <w:noProof/>
        </w:rPr>
        <w:t>tekście oceny skutków towarzyszącej niniejszemu wnioskowi, rozbieżności te powodują nieuzasadnione obciążenie stowarzyszeń niekomercyjnych, które chcą prowadzić działalność</w:t>
      </w:r>
      <w:r w:rsidR="00C13C75" w:rsidRPr="00853D04">
        <w:rPr>
          <w:noProof/>
        </w:rPr>
        <w:t xml:space="preserve"> w</w:t>
      </w:r>
      <w:r w:rsidR="00C13C75">
        <w:rPr>
          <w:noProof/>
        </w:rPr>
        <w:t> </w:t>
      </w:r>
      <w:r w:rsidR="00C13C75" w:rsidRPr="00853D04">
        <w:rPr>
          <w:noProof/>
        </w:rPr>
        <w:t>wie</w:t>
      </w:r>
      <w:r w:rsidRPr="00853D04">
        <w:rPr>
          <w:noProof/>
        </w:rPr>
        <w:t>lu państwach członkowskich, kosztami przestrzegania przepisów, wywołują niepewność</w:t>
      </w:r>
      <w:r w:rsidR="00C13C75" w:rsidRPr="00853D04">
        <w:rPr>
          <w:noProof/>
        </w:rPr>
        <w:t xml:space="preserve"> w</w:t>
      </w:r>
      <w:r w:rsidR="00C13C75">
        <w:rPr>
          <w:noProof/>
        </w:rPr>
        <w:t> </w:t>
      </w:r>
      <w:r w:rsidR="00C13C75" w:rsidRPr="00853D04">
        <w:rPr>
          <w:noProof/>
        </w:rPr>
        <w:t>odn</w:t>
      </w:r>
      <w:r w:rsidRPr="00853D04">
        <w:rPr>
          <w:noProof/>
        </w:rPr>
        <w:t>iesieniu do mających zastosowanie obowiązków</w:t>
      </w:r>
      <w:r w:rsidR="00C13C75" w:rsidRPr="00853D04">
        <w:rPr>
          <w:noProof/>
        </w:rPr>
        <w:t xml:space="preserve"> i</w:t>
      </w:r>
      <w:r w:rsidR="00C13C75">
        <w:rPr>
          <w:noProof/>
        </w:rPr>
        <w:t> </w:t>
      </w:r>
      <w:r w:rsidR="00C13C75" w:rsidRPr="00853D04">
        <w:rPr>
          <w:noProof/>
        </w:rPr>
        <w:t>mog</w:t>
      </w:r>
      <w:r w:rsidRPr="00853D04">
        <w:rPr>
          <w:noProof/>
        </w:rPr>
        <w:t>ą zniechęcać do świadczenia</w:t>
      </w:r>
      <w:r w:rsidR="00C13C75" w:rsidRPr="00853D04">
        <w:rPr>
          <w:noProof/>
        </w:rPr>
        <w:t xml:space="preserve"> i</w:t>
      </w:r>
      <w:r w:rsidR="00C13C75">
        <w:rPr>
          <w:noProof/>
        </w:rPr>
        <w:t> </w:t>
      </w:r>
      <w:r w:rsidR="00C13C75" w:rsidRPr="00853D04">
        <w:rPr>
          <w:noProof/>
        </w:rPr>
        <w:t>dal</w:t>
      </w:r>
      <w:r w:rsidRPr="00853D04">
        <w:rPr>
          <w:noProof/>
        </w:rPr>
        <w:t>szego rozwoju usług mających wpływ na społeczeństwo na rynku wewnętrznym. Ta niejednorodność nie tylko zagraża prawidłowemu funkcjonowaniu rynku wewnętrznego, ale także ma negatywny wpływ na wolność zrzeszania się,</w:t>
      </w:r>
      <w:r w:rsidR="00C13C75" w:rsidRPr="00853D04">
        <w:rPr>
          <w:noProof/>
        </w:rPr>
        <w:t xml:space="preserve"> a</w:t>
      </w:r>
      <w:r w:rsidR="00C13C75">
        <w:rPr>
          <w:noProof/>
        </w:rPr>
        <w:t> </w:t>
      </w:r>
      <w:r w:rsidR="00C13C75" w:rsidRPr="00853D04">
        <w:rPr>
          <w:noProof/>
        </w:rPr>
        <w:t>tak</w:t>
      </w:r>
      <w:r w:rsidRPr="00853D04">
        <w:rPr>
          <w:noProof/>
        </w:rPr>
        <w:t>że wolność wypowiedzi</w:t>
      </w:r>
      <w:r w:rsidR="00C13C75" w:rsidRPr="00853D04">
        <w:rPr>
          <w:noProof/>
        </w:rPr>
        <w:t xml:space="preserve"> i</w:t>
      </w:r>
      <w:r w:rsidR="00C13C75">
        <w:rPr>
          <w:noProof/>
        </w:rPr>
        <w:t> </w:t>
      </w:r>
      <w:r w:rsidR="00C13C75" w:rsidRPr="00853D04">
        <w:rPr>
          <w:noProof/>
        </w:rPr>
        <w:t>inf</w:t>
      </w:r>
      <w:r w:rsidRPr="00853D04">
        <w:rPr>
          <w:noProof/>
        </w:rPr>
        <w:t>ormacji,</w:t>
      </w:r>
      <w:r w:rsidR="00C13C75" w:rsidRPr="00853D04">
        <w:rPr>
          <w:noProof/>
        </w:rPr>
        <w:t xml:space="preserve"> i</w:t>
      </w:r>
      <w:r w:rsidR="00C13C75">
        <w:rPr>
          <w:noProof/>
        </w:rPr>
        <w:t> </w:t>
      </w:r>
      <w:r w:rsidR="00C13C75" w:rsidRPr="00853D04">
        <w:rPr>
          <w:noProof/>
        </w:rPr>
        <w:t>ost</w:t>
      </w:r>
      <w:r w:rsidRPr="00853D04">
        <w:rPr>
          <w:noProof/>
        </w:rPr>
        <w:t>atecznie utrudnia stowarzyszeniom niekomercyjnym uwolnienie ich pełnego potencjału generowania wartości gospodarczej</w:t>
      </w:r>
      <w:r w:rsidR="00C13C75" w:rsidRPr="00853D04">
        <w:rPr>
          <w:noProof/>
        </w:rPr>
        <w:t xml:space="preserve"> i</w:t>
      </w:r>
      <w:r w:rsidR="00C13C75">
        <w:rPr>
          <w:noProof/>
        </w:rPr>
        <w:t> </w:t>
      </w:r>
      <w:r w:rsidR="00C13C75" w:rsidRPr="00853D04">
        <w:rPr>
          <w:noProof/>
        </w:rPr>
        <w:t>spo</w:t>
      </w:r>
      <w:r w:rsidRPr="00853D04">
        <w:rPr>
          <w:noProof/>
        </w:rPr>
        <w:t>łecznej w UE.</w:t>
      </w:r>
    </w:p>
    <w:p w14:paraId="350B7D02" w14:textId="77777777" w:rsidR="002A07F6" w:rsidRPr="00853D04" w:rsidRDefault="002A07F6" w:rsidP="00D462AA">
      <w:pPr>
        <w:pStyle w:val="ManualHeading2"/>
        <w:ind w:left="0" w:firstLine="0"/>
        <w:rPr>
          <w:noProof/>
        </w:rPr>
      </w:pPr>
    </w:p>
    <w:p w14:paraId="14C793D7" w14:textId="06CB6E2F" w:rsidR="00215691" w:rsidRPr="00853D04" w:rsidRDefault="005B1A33" w:rsidP="00123810">
      <w:pPr>
        <w:pStyle w:val="ManualHeading2"/>
        <w:rPr>
          <w:noProof/>
        </w:rPr>
      </w:pPr>
      <w:r w:rsidRPr="00853D04">
        <w:rPr>
          <w:noProof/>
        </w:rPr>
        <w:t>•</w:t>
      </w:r>
      <w:r w:rsidRPr="00853D04">
        <w:rPr>
          <w:noProof/>
        </w:rPr>
        <w:tab/>
        <w:t>Spójność</w:t>
      </w:r>
      <w:r w:rsidR="00C13C75" w:rsidRPr="00853D04">
        <w:rPr>
          <w:noProof/>
        </w:rPr>
        <w:t xml:space="preserve"> z</w:t>
      </w:r>
      <w:r w:rsidR="00C13C75">
        <w:rPr>
          <w:noProof/>
        </w:rPr>
        <w:t> </w:t>
      </w:r>
      <w:r w:rsidR="00C13C75" w:rsidRPr="00853D04">
        <w:rPr>
          <w:noProof/>
        </w:rPr>
        <w:t>prz</w:t>
      </w:r>
      <w:r w:rsidRPr="00853D04">
        <w:rPr>
          <w:noProof/>
        </w:rPr>
        <w:t>episami obowiązującymi</w:t>
      </w:r>
      <w:r w:rsidR="00C13C75" w:rsidRPr="00853D04">
        <w:rPr>
          <w:noProof/>
        </w:rPr>
        <w:t xml:space="preserve"> w</w:t>
      </w:r>
      <w:r w:rsidR="00C13C75">
        <w:rPr>
          <w:noProof/>
        </w:rPr>
        <w:t> </w:t>
      </w:r>
      <w:r w:rsidR="00C13C75" w:rsidRPr="00853D04">
        <w:rPr>
          <w:noProof/>
        </w:rPr>
        <w:t>tej</w:t>
      </w:r>
      <w:r w:rsidRPr="00853D04">
        <w:rPr>
          <w:noProof/>
        </w:rPr>
        <w:t xml:space="preserve"> dziedzinie polityki</w:t>
      </w:r>
    </w:p>
    <w:p w14:paraId="477F57FA" w14:textId="33B05115" w:rsidR="00E95ED1" w:rsidRPr="00853D04" w:rsidRDefault="00B856AF" w:rsidP="00E95ED1">
      <w:pPr>
        <w:rPr>
          <w:rFonts w:eastAsiaTheme="minorEastAsia"/>
          <w:noProof/>
        </w:rPr>
      </w:pPr>
      <w:r w:rsidRPr="00853D04">
        <w:rPr>
          <w:noProof/>
        </w:rPr>
        <w:t>W</w:t>
      </w:r>
      <w:r w:rsidRPr="00853D04">
        <w:rPr>
          <w:noProof/>
          <w:color w:val="000000" w:themeColor="text1"/>
        </w:rPr>
        <w:t>niosek został uwzględniony</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pro</w:t>
      </w:r>
      <w:r w:rsidRPr="00853D04">
        <w:rPr>
          <w:noProof/>
          <w:color w:val="000000" w:themeColor="text1"/>
        </w:rPr>
        <w:t xml:space="preserve">gramie prac Komisji </w:t>
      </w:r>
      <w:r w:rsidRPr="00C13C75">
        <w:rPr>
          <w:noProof/>
          <w:color w:val="000000" w:themeColor="text1"/>
        </w:rPr>
        <w:t>na</w:t>
      </w:r>
      <w:r w:rsidR="00C13C75" w:rsidRPr="00C13C75">
        <w:rPr>
          <w:noProof/>
          <w:color w:val="000000" w:themeColor="text1"/>
        </w:rPr>
        <w:t> </w:t>
      </w:r>
      <w:r w:rsidRPr="00C13C75">
        <w:rPr>
          <w:noProof/>
          <w:color w:val="000000" w:themeColor="text1"/>
        </w:rPr>
        <w:t>2</w:t>
      </w:r>
      <w:r w:rsidRPr="00853D04">
        <w:rPr>
          <w:noProof/>
          <w:color w:val="000000" w:themeColor="text1"/>
        </w:rPr>
        <w:t>0</w:t>
      </w:r>
      <w:r w:rsidRPr="00C13C75">
        <w:rPr>
          <w:noProof/>
          <w:color w:val="000000" w:themeColor="text1"/>
        </w:rPr>
        <w:t>23</w:t>
      </w:r>
      <w:r w:rsidR="00C13C75" w:rsidRPr="00C13C75">
        <w:rPr>
          <w:noProof/>
          <w:color w:val="000000" w:themeColor="text1"/>
        </w:rPr>
        <w:t> </w:t>
      </w:r>
      <w:r w:rsidRPr="00C13C75">
        <w:rPr>
          <w:noProof/>
          <w:color w:val="000000" w:themeColor="text1"/>
        </w:rPr>
        <w:t>r.</w:t>
      </w:r>
      <w:r w:rsidRPr="00853D04">
        <w:rPr>
          <w:noProof/>
          <w:color w:val="000000" w:themeColor="text1"/>
        </w:rPr>
        <w:t xml:space="preserve"> jako część ram gospodarki społecznej</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kon</w:t>
      </w:r>
      <w:r w:rsidRPr="00853D04">
        <w:rPr>
          <w:noProof/>
          <w:color w:val="000000" w:themeColor="text1"/>
        </w:rPr>
        <w:t>tekście naczelnego celu Komisji „Gospodarka służąca ludziom”</w:t>
      </w:r>
      <w:r w:rsidRPr="00853D04">
        <w:rPr>
          <w:rStyle w:val="FootnoteReference"/>
          <w:noProof/>
          <w:color w:val="000000" w:themeColor="text1"/>
        </w:rPr>
        <w:footnoteReference w:id="4"/>
      </w:r>
      <w:r w:rsidRPr="00853D04">
        <w:rPr>
          <w:noProof/>
        </w:rPr>
        <w:t>, ponieważ wnosi wkład</w:t>
      </w:r>
      <w:r w:rsidR="00C13C75" w:rsidRPr="00853D04">
        <w:rPr>
          <w:noProof/>
        </w:rPr>
        <w:t xml:space="preserve"> w</w:t>
      </w:r>
      <w:r w:rsidR="00C13C75">
        <w:rPr>
          <w:noProof/>
        </w:rPr>
        <w:t> </w:t>
      </w:r>
      <w:r w:rsidR="00C13C75" w:rsidRPr="00853D04">
        <w:rPr>
          <w:noProof/>
        </w:rPr>
        <w:t>osi</w:t>
      </w:r>
      <w:r w:rsidRPr="00853D04">
        <w:rPr>
          <w:noProof/>
        </w:rPr>
        <w:t>ągnięcie celu, jakim jest „gospodarka, która może</w:t>
      </w:r>
      <w:r w:rsidR="00C13C75" w:rsidRPr="00853D04">
        <w:rPr>
          <w:noProof/>
        </w:rPr>
        <w:t xml:space="preserve"> w</w:t>
      </w:r>
      <w:r w:rsidR="00C13C75">
        <w:rPr>
          <w:noProof/>
        </w:rPr>
        <w:t> </w:t>
      </w:r>
      <w:r w:rsidR="00C13C75" w:rsidRPr="00853D04">
        <w:rPr>
          <w:noProof/>
        </w:rPr>
        <w:t>peł</w:t>
      </w:r>
      <w:r w:rsidRPr="00853D04">
        <w:rPr>
          <w:noProof/>
        </w:rPr>
        <w:t>ni odpowiadać na potrzeby obywateli UE, zapewniając tym samym sprawiedliwość społeczną</w:t>
      </w:r>
      <w:r w:rsidR="00C13C75" w:rsidRPr="00853D04">
        <w:rPr>
          <w:noProof/>
        </w:rPr>
        <w:t xml:space="preserve"> i</w:t>
      </w:r>
      <w:r w:rsidR="00C13C75">
        <w:rPr>
          <w:noProof/>
        </w:rPr>
        <w:t> </w:t>
      </w:r>
      <w:r w:rsidR="00C13C75" w:rsidRPr="00853D04">
        <w:rPr>
          <w:noProof/>
        </w:rPr>
        <w:t>dob</w:t>
      </w:r>
      <w:r w:rsidRPr="00853D04">
        <w:rPr>
          <w:noProof/>
        </w:rPr>
        <w:t>robyt”. Pod tym względem łączy się on ze środkami zapowiedzianymi</w:t>
      </w:r>
      <w:r w:rsidR="00C13C75" w:rsidRPr="00853D04">
        <w:rPr>
          <w:noProof/>
        </w:rPr>
        <w:t xml:space="preserve"> w</w:t>
      </w:r>
      <w:r w:rsidR="00C13C75">
        <w:rPr>
          <w:noProof/>
        </w:rPr>
        <w:t> </w:t>
      </w:r>
      <w:r w:rsidR="00C13C75" w:rsidRPr="00853D04">
        <w:rPr>
          <w:noProof/>
        </w:rPr>
        <w:t>pla</w:t>
      </w:r>
      <w:r w:rsidRPr="00853D04">
        <w:rPr>
          <w:noProof/>
        </w:rPr>
        <w:t>nie działania na rzecz gospodarki społecznej</w:t>
      </w:r>
      <w:r w:rsidRPr="00853D04">
        <w:rPr>
          <w:rStyle w:val="FootnoteReference"/>
          <w:rFonts w:eastAsiaTheme="minorEastAsia"/>
          <w:noProof/>
        </w:rPr>
        <w:footnoteReference w:id="5"/>
      </w:r>
      <w:r w:rsidR="00C13C75" w:rsidRPr="00853D04">
        <w:rPr>
          <w:noProof/>
        </w:rPr>
        <w:t xml:space="preserve"> i</w:t>
      </w:r>
      <w:r w:rsidR="00C13C75">
        <w:rPr>
          <w:noProof/>
        </w:rPr>
        <w:t> </w:t>
      </w:r>
      <w:r w:rsidR="00C13C75" w:rsidRPr="00853D04">
        <w:rPr>
          <w:noProof/>
        </w:rPr>
        <w:t>two</w:t>
      </w:r>
      <w:r w:rsidRPr="00853D04">
        <w:rPr>
          <w:noProof/>
        </w:rPr>
        <w:t>rzy razem</w:t>
      </w:r>
      <w:r w:rsidR="00C13C75" w:rsidRPr="00853D04">
        <w:rPr>
          <w:noProof/>
        </w:rPr>
        <w:t xml:space="preserve"> z</w:t>
      </w:r>
      <w:r w:rsidR="00C13C75">
        <w:rPr>
          <w:noProof/>
        </w:rPr>
        <w:t> </w:t>
      </w:r>
      <w:r w:rsidR="00C13C75" w:rsidRPr="00853D04">
        <w:rPr>
          <w:noProof/>
        </w:rPr>
        <w:t>nim</w:t>
      </w:r>
      <w:r w:rsidRPr="00853D04">
        <w:rPr>
          <w:noProof/>
        </w:rPr>
        <w:t>i „ramy gospodarki społecznej”, mianowicie: wniosek dotyczący zalecenia Rady</w:t>
      </w:r>
      <w:r w:rsidR="00C13C75" w:rsidRPr="00853D04">
        <w:rPr>
          <w:noProof/>
        </w:rPr>
        <w:t xml:space="preserve"> w</w:t>
      </w:r>
      <w:r w:rsidR="00C13C75">
        <w:rPr>
          <w:noProof/>
        </w:rPr>
        <w:t> </w:t>
      </w:r>
      <w:r w:rsidR="00C13C75" w:rsidRPr="00853D04">
        <w:rPr>
          <w:noProof/>
        </w:rPr>
        <w:t>spr</w:t>
      </w:r>
      <w:r w:rsidRPr="00853D04">
        <w:rPr>
          <w:noProof/>
        </w:rPr>
        <w:t>awie „opracowania warunków ramowych gospodarki społecznej</w:t>
      </w:r>
      <w:r w:rsidR="00C13C75" w:rsidRPr="00853D04">
        <w:rPr>
          <w:noProof/>
        </w:rPr>
        <w:t xml:space="preserve"> w</w:t>
      </w:r>
      <w:r w:rsidR="00C13C75">
        <w:rPr>
          <w:noProof/>
        </w:rPr>
        <w:t> </w:t>
      </w:r>
      <w:r w:rsidR="00C13C75" w:rsidRPr="00853D04">
        <w:rPr>
          <w:noProof/>
        </w:rPr>
        <w:t>pań</w:t>
      </w:r>
      <w:r w:rsidRPr="00853D04">
        <w:rPr>
          <w:noProof/>
        </w:rPr>
        <w:t>stwach członkowskich”</w:t>
      </w:r>
      <w:r w:rsidRPr="00853D04">
        <w:rPr>
          <w:rStyle w:val="FootnoteReference"/>
          <w:rFonts w:eastAsiaTheme="minorEastAsia"/>
          <w:noProof/>
        </w:rPr>
        <w:footnoteReference w:id="6"/>
      </w:r>
      <w:r w:rsidRPr="00853D04">
        <w:rPr>
          <w:noProof/>
        </w:rPr>
        <w:t>; oraz dwa dokumenty robocze służb Komisji – „Odpowiednie ramy podatkowe dla podmiotów gospodarki społecznej”</w:t>
      </w:r>
      <w:r w:rsidRPr="00853D04">
        <w:rPr>
          <w:rStyle w:val="FootnoteReference"/>
          <w:rFonts w:eastAsiaTheme="minorEastAsia"/>
          <w:noProof/>
        </w:rPr>
        <w:footnoteReference w:id="7"/>
      </w:r>
      <w:r w:rsidRPr="00853D04">
        <w:rPr>
          <w:noProof/>
        </w:rPr>
        <w:t xml:space="preserve"> i „Niedyskryminacyjne opodatkowanie organizacji charytatywnych</w:t>
      </w:r>
      <w:r w:rsidR="00C13C75" w:rsidRPr="00853D04">
        <w:rPr>
          <w:noProof/>
        </w:rPr>
        <w:t xml:space="preserve"> i</w:t>
      </w:r>
      <w:r w:rsidR="00C13C75">
        <w:rPr>
          <w:noProof/>
        </w:rPr>
        <w:t> </w:t>
      </w:r>
      <w:r w:rsidR="00C13C75" w:rsidRPr="00853D04">
        <w:rPr>
          <w:noProof/>
        </w:rPr>
        <w:t>ich</w:t>
      </w:r>
      <w:r w:rsidRPr="00853D04">
        <w:rPr>
          <w:noProof/>
        </w:rPr>
        <w:t xml:space="preserve"> darczyńców: zasady wynikające</w:t>
      </w:r>
      <w:r w:rsidR="00C13C75" w:rsidRPr="00853D04">
        <w:rPr>
          <w:noProof/>
        </w:rPr>
        <w:t xml:space="preserve"> z</w:t>
      </w:r>
      <w:r w:rsidR="00C13C75">
        <w:rPr>
          <w:noProof/>
        </w:rPr>
        <w:t> </w:t>
      </w:r>
      <w:r w:rsidR="00C13C75" w:rsidRPr="00853D04">
        <w:rPr>
          <w:noProof/>
        </w:rPr>
        <w:t>orz</w:t>
      </w:r>
      <w:r w:rsidRPr="00853D04">
        <w:rPr>
          <w:noProof/>
        </w:rPr>
        <w:t>ecznictwa UE”</w:t>
      </w:r>
      <w:r w:rsidRPr="00853D04">
        <w:rPr>
          <w:rStyle w:val="FootnoteReference"/>
          <w:rFonts w:eastAsiaTheme="minorEastAsia"/>
          <w:noProof/>
        </w:rPr>
        <w:footnoteReference w:id="8"/>
      </w:r>
      <w:r w:rsidR="00C13C75" w:rsidRPr="00853D04">
        <w:rPr>
          <w:noProof/>
        </w:rPr>
        <w:t>. W</w:t>
      </w:r>
      <w:r w:rsidR="00C13C75">
        <w:rPr>
          <w:noProof/>
        </w:rPr>
        <w:t> </w:t>
      </w:r>
      <w:r w:rsidR="00C13C75" w:rsidRPr="00853D04">
        <w:rPr>
          <w:noProof/>
        </w:rPr>
        <w:t>szc</w:t>
      </w:r>
      <w:r w:rsidRPr="00853D04">
        <w:rPr>
          <w:noProof/>
        </w:rPr>
        <w:t>zególności</w:t>
      </w:r>
      <w:r w:rsidR="00C13C75" w:rsidRPr="00853D04">
        <w:rPr>
          <w:noProof/>
        </w:rPr>
        <w:t xml:space="preserve"> w</w:t>
      </w:r>
      <w:r w:rsidR="00C13C75">
        <w:rPr>
          <w:noProof/>
        </w:rPr>
        <w:t> </w:t>
      </w:r>
      <w:r w:rsidR="00C13C75" w:rsidRPr="00853D04">
        <w:rPr>
          <w:noProof/>
        </w:rPr>
        <w:t>zal</w:t>
      </w:r>
      <w:r w:rsidRPr="00853D04">
        <w:rPr>
          <w:noProof/>
        </w:rPr>
        <w:t>eceniu Rady promuje się otoczenie sprzyjające podmiotom gospodarki społecznej,</w:t>
      </w:r>
      <w:r w:rsidR="00C13C75" w:rsidRPr="00853D04">
        <w:rPr>
          <w:noProof/>
        </w:rPr>
        <w:t xml:space="preserve"> w</w:t>
      </w:r>
      <w:r w:rsidR="00C13C75">
        <w:rPr>
          <w:noProof/>
        </w:rPr>
        <w:t> </w:t>
      </w:r>
      <w:r w:rsidR="00C13C75" w:rsidRPr="00853D04">
        <w:rPr>
          <w:noProof/>
        </w:rPr>
        <w:t>tym</w:t>
      </w:r>
      <w:r w:rsidRPr="00853D04">
        <w:rPr>
          <w:noProof/>
        </w:rPr>
        <w:t xml:space="preserve"> stowarzyszeniom,</w:t>
      </w:r>
      <w:r w:rsidR="00C13C75" w:rsidRPr="00853D04">
        <w:rPr>
          <w:noProof/>
        </w:rPr>
        <w:t xml:space="preserve"> a</w:t>
      </w:r>
      <w:r w:rsidR="00C13C75">
        <w:rPr>
          <w:noProof/>
        </w:rPr>
        <w:t> </w:t>
      </w:r>
      <w:r w:rsidR="00C13C75" w:rsidRPr="00853D04">
        <w:rPr>
          <w:noProof/>
        </w:rPr>
        <w:t>dok</w:t>
      </w:r>
      <w:r w:rsidRPr="00853D04">
        <w:rPr>
          <w:noProof/>
        </w:rPr>
        <w:t>umenty robocze służb Komisji dotyczące kwestii podatkowych zapewniają jasność</w:t>
      </w:r>
      <w:r w:rsidR="00C13C75" w:rsidRPr="00853D04">
        <w:rPr>
          <w:noProof/>
        </w:rPr>
        <w:t xml:space="preserve"> i</w:t>
      </w:r>
      <w:r w:rsidR="00C13C75">
        <w:rPr>
          <w:noProof/>
        </w:rPr>
        <w:t> </w:t>
      </w:r>
      <w:r w:rsidR="00C13C75" w:rsidRPr="00853D04">
        <w:rPr>
          <w:noProof/>
        </w:rPr>
        <w:t>pol</w:t>
      </w:r>
      <w:r w:rsidRPr="00853D04">
        <w:rPr>
          <w:noProof/>
        </w:rPr>
        <w:t>epszają zrozumienie odpowiednich przepisów podatkowych</w:t>
      </w:r>
      <w:r w:rsidR="00C13C75" w:rsidRPr="00853D04">
        <w:rPr>
          <w:noProof/>
        </w:rPr>
        <w:t xml:space="preserve"> w</w:t>
      </w:r>
      <w:r w:rsidR="00C13C75">
        <w:rPr>
          <w:noProof/>
        </w:rPr>
        <w:t> </w:t>
      </w:r>
      <w:r w:rsidR="00C13C75" w:rsidRPr="00853D04">
        <w:rPr>
          <w:noProof/>
        </w:rPr>
        <w:t>odn</w:t>
      </w:r>
      <w:r w:rsidRPr="00853D04">
        <w:rPr>
          <w:noProof/>
        </w:rPr>
        <w:t>iesieniu do podmiotów gospodarki społecznej</w:t>
      </w:r>
      <w:r w:rsidR="00C13C75" w:rsidRPr="00853D04">
        <w:rPr>
          <w:noProof/>
        </w:rPr>
        <w:t xml:space="preserve"> i</w:t>
      </w:r>
      <w:r w:rsidR="00C13C75">
        <w:rPr>
          <w:noProof/>
        </w:rPr>
        <w:t> </w:t>
      </w:r>
      <w:r w:rsidR="00C13C75" w:rsidRPr="00853D04">
        <w:rPr>
          <w:noProof/>
        </w:rPr>
        <w:t>dar</w:t>
      </w:r>
      <w:r w:rsidRPr="00853D04">
        <w:rPr>
          <w:noProof/>
        </w:rPr>
        <w:t>owizn transgranicznych na rzecz organizacji niekomercyjnych. Teksty te uzupełniają zatem niniejszy wniosek ustawodawczy, ponieważ określają kompleksowe strategie</w:t>
      </w:r>
      <w:r w:rsidR="00C13C75" w:rsidRPr="00853D04">
        <w:rPr>
          <w:noProof/>
        </w:rPr>
        <w:t xml:space="preserve"> w</w:t>
      </w:r>
      <w:r w:rsidR="00C13C75">
        <w:rPr>
          <w:noProof/>
        </w:rPr>
        <w:t> </w:t>
      </w:r>
      <w:r w:rsidR="00C13C75" w:rsidRPr="00853D04">
        <w:rPr>
          <w:noProof/>
        </w:rPr>
        <w:t>odn</w:t>
      </w:r>
      <w:r w:rsidRPr="00853D04">
        <w:rPr>
          <w:noProof/>
        </w:rPr>
        <w:t>iesieniu do podmiotów gospodarki społecznej,</w:t>
      </w:r>
      <w:r w:rsidR="00C13C75" w:rsidRPr="00853D04">
        <w:rPr>
          <w:noProof/>
        </w:rPr>
        <w:t xml:space="preserve"> w</w:t>
      </w:r>
      <w:r w:rsidR="00C13C75">
        <w:rPr>
          <w:noProof/>
        </w:rPr>
        <w:t> </w:t>
      </w:r>
      <w:r w:rsidR="00C13C75" w:rsidRPr="00853D04">
        <w:rPr>
          <w:noProof/>
        </w:rPr>
        <w:t>tym</w:t>
      </w:r>
      <w:r w:rsidRPr="00853D04">
        <w:rPr>
          <w:noProof/>
        </w:rPr>
        <w:t xml:space="preserve"> stowarzyszeń niekomercyjnych,</w:t>
      </w:r>
      <w:r w:rsidR="00C13C75" w:rsidRPr="00853D04">
        <w:rPr>
          <w:noProof/>
        </w:rPr>
        <w:t xml:space="preserve"> i</w:t>
      </w:r>
      <w:r w:rsidR="00C13C75">
        <w:rPr>
          <w:noProof/>
        </w:rPr>
        <w:t> </w:t>
      </w:r>
      <w:r w:rsidR="00C13C75" w:rsidRPr="00853D04">
        <w:rPr>
          <w:noProof/>
        </w:rPr>
        <w:t>dot</w:t>
      </w:r>
      <w:r w:rsidRPr="00853D04">
        <w:rPr>
          <w:noProof/>
        </w:rPr>
        <w:t>yczą obszaru opodatkowania, którego wniosek nie reguluje.</w:t>
      </w:r>
    </w:p>
    <w:p w14:paraId="7B5EE67C" w14:textId="5213CD0A" w:rsidR="00286915" w:rsidRPr="00853D04" w:rsidRDefault="00767A37" w:rsidP="00767A37">
      <w:pPr>
        <w:rPr>
          <w:noProof/>
        </w:rPr>
      </w:pPr>
      <w:r w:rsidRPr="00853D04">
        <w:rPr>
          <w:noProof/>
        </w:rPr>
        <w:t>Wniosek jest również częściowo zgodny</w:t>
      </w:r>
      <w:r w:rsidR="00C13C75" w:rsidRPr="00853D04">
        <w:rPr>
          <w:noProof/>
        </w:rPr>
        <w:t xml:space="preserve"> z</w:t>
      </w:r>
      <w:r w:rsidR="00C13C75">
        <w:rPr>
          <w:noProof/>
        </w:rPr>
        <w:t> </w:t>
      </w:r>
      <w:r w:rsidR="00C13C75" w:rsidRPr="00853D04">
        <w:rPr>
          <w:noProof/>
        </w:rPr>
        <w:t>nie</w:t>
      </w:r>
      <w:r w:rsidRPr="00853D04">
        <w:rPr>
          <w:noProof/>
        </w:rPr>
        <w:t>którymi rozwiązaniami przyjętymi</w:t>
      </w:r>
      <w:r w:rsidR="00C13C75" w:rsidRPr="00853D04">
        <w:rPr>
          <w:noProof/>
        </w:rPr>
        <w:t xml:space="preserve"> w</w:t>
      </w:r>
      <w:r w:rsidR="00C13C75">
        <w:rPr>
          <w:noProof/>
        </w:rPr>
        <w:t> </w:t>
      </w:r>
      <w:r w:rsidR="00C13C75" w:rsidRPr="00853D04">
        <w:rPr>
          <w:noProof/>
        </w:rPr>
        <w:t>kon</w:t>
      </w:r>
      <w:r w:rsidRPr="00853D04">
        <w:rPr>
          <w:noProof/>
        </w:rPr>
        <w:t>tekście przepisów UE dotyczących prawa spółek</w:t>
      </w:r>
      <w:r w:rsidRPr="00853D04">
        <w:rPr>
          <w:rStyle w:val="FootnoteReference"/>
          <w:noProof/>
        </w:rPr>
        <w:footnoteReference w:id="9"/>
      </w:r>
      <w:r w:rsidR="00C13C75" w:rsidRPr="00853D04">
        <w:rPr>
          <w:noProof/>
        </w:rPr>
        <w:t xml:space="preserve"> i</w:t>
      </w:r>
      <w:r w:rsidR="00C13C75">
        <w:rPr>
          <w:noProof/>
        </w:rPr>
        <w:t> </w:t>
      </w:r>
      <w:r w:rsidR="00C13C75" w:rsidRPr="00853D04">
        <w:rPr>
          <w:noProof/>
        </w:rPr>
        <w:t>usł</w:t>
      </w:r>
      <w:r w:rsidRPr="00853D04">
        <w:rPr>
          <w:noProof/>
        </w:rPr>
        <w:t>ug na rynku wewnętrznym. Przepisy UE dotyczące prawa spółek (dyrektywa (UE) 2017/1132)</w:t>
      </w:r>
      <w:r w:rsidRPr="00853D04">
        <w:rPr>
          <w:rStyle w:val="FootnoteReference"/>
          <w:noProof/>
        </w:rPr>
        <w:footnoteReference w:id="10"/>
      </w:r>
      <w:r w:rsidRPr="00853D04">
        <w:rPr>
          <w:noProof/>
        </w:rPr>
        <w:t xml:space="preserve"> harmonizują m.in. wymogi dotyczące tworzenia, kapitału</w:t>
      </w:r>
      <w:r w:rsidR="00C13C75" w:rsidRPr="00853D04">
        <w:rPr>
          <w:noProof/>
        </w:rPr>
        <w:t xml:space="preserve"> i</w:t>
      </w:r>
      <w:r w:rsidR="00C13C75">
        <w:rPr>
          <w:noProof/>
        </w:rPr>
        <w:t> </w:t>
      </w:r>
      <w:r w:rsidR="00C13C75" w:rsidRPr="00853D04">
        <w:rPr>
          <w:noProof/>
        </w:rPr>
        <w:t>uja</w:t>
      </w:r>
      <w:r w:rsidRPr="00853D04">
        <w:rPr>
          <w:noProof/>
        </w:rPr>
        <w:t>wniania informacji oraz operacji (połączenia</w:t>
      </w:r>
      <w:r w:rsidR="00C13C75" w:rsidRPr="00853D04">
        <w:rPr>
          <w:noProof/>
        </w:rPr>
        <w:t xml:space="preserve"> i</w:t>
      </w:r>
      <w:r w:rsidR="00C13C75">
        <w:rPr>
          <w:noProof/>
        </w:rPr>
        <w:t> </w:t>
      </w:r>
      <w:r w:rsidR="00C13C75" w:rsidRPr="00853D04">
        <w:rPr>
          <w:noProof/>
        </w:rPr>
        <w:t>pod</w:t>
      </w:r>
      <w:r w:rsidRPr="00853D04">
        <w:rPr>
          <w:noProof/>
        </w:rPr>
        <w:t>ziały krajowe, przekształcenia transgraniczne, połączenia</w:t>
      </w:r>
      <w:r w:rsidR="00C13C75" w:rsidRPr="00853D04">
        <w:rPr>
          <w:noProof/>
        </w:rPr>
        <w:t xml:space="preserve"> i</w:t>
      </w:r>
      <w:r w:rsidR="00C13C75">
        <w:rPr>
          <w:noProof/>
        </w:rPr>
        <w:t> </w:t>
      </w:r>
      <w:r w:rsidR="00C13C75" w:rsidRPr="00853D04">
        <w:rPr>
          <w:noProof/>
        </w:rPr>
        <w:t>pod</w:t>
      </w:r>
      <w:r w:rsidRPr="00853D04">
        <w:rPr>
          <w:noProof/>
        </w:rPr>
        <w:t>ziały spółek kapitałowych), umożliwiając zakładanie</w:t>
      </w:r>
      <w:r w:rsidR="00C13C75" w:rsidRPr="00853D04">
        <w:rPr>
          <w:noProof/>
        </w:rPr>
        <w:t xml:space="preserve"> i</w:t>
      </w:r>
      <w:r w:rsidR="00C13C75">
        <w:rPr>
          <w:noProof/>
        </w:rPr>
        <w:t> </w:t>
      </w:r>
      <w:r w:rsidR="00C13C75" w:rsidRPr="00853D04">
        <w:rPr>
          <w:noProof/>
        </w:rPr>
        <w:t>pro</w:t>
      </w:r>
      <w:r w:rsidRPr="00853D04">
        <w:rPr>
          <w:noProof/>
        </w:rPr>
        <w:t>wadzenie działalności</w:t>
      </w:r>
      <w:r w:rsidR="00C13C75" w:rsidRPr="00853D04">
        <w:rPr>
          <w:noProof/>
        </w:rPr>
        <w:t xml:space="preserve"> w</w:t>
      </w:r>
      <w:r w:rsidR="00C13C75">
        <w:rPr>
          <w:noProof/>
        </w:rPr>
        <w:t> </w:t>
      </w:r>
      <w:r w:rsidR="00C13C75" w:rsidRPr="00853D04">
        <w:rPr>
          <w:noProof/>
        </w:rPr>
        <w:t>dow</w:t>
      </w:r>
      <w:r w:rsidRPr="00853D04">
        <w:rPr>
          <w:noProof/>
        </w:rPr>
        <w:t>olnym miejscu w UE. Dyrektywa usługowa</w:t>
      </w:r>
      <w:r w:rsidRPr="00853D04">
        <w:rPr>
          <w:rStyle w:val="FootnoteReference"/>
          <w:noProof/>
        </w:rPr>
        <w:footnoteReference w:id="11"/>
      </w:r>
      <w:r w:rsidRPr="00853D04">
        <w:rPr>
          <w:noProof/>
        </w:rPr>
        <w:t xml:space="preserve"> ułatwia korzystanie ze swobody przedsiębiorczości przez usługodawców oraz swobodnego przepływu usług, zapewniając przy tym wysoki poziom jakości usług</w:t>
      </w:r>
      <w:r w:rsidR="00C13C75" w:rsidRPr="00853D04">
        <w:rPr>
          <w:noProof/>
        </w:rPr>
        <w:t>. W</w:t>
      </w:r>
      <w:r w:rsidR="00C13C75">
        <w:rPr>
          <w:noProof/>
        </w:rPr>
        <w:t> </w:t>
      </w:r>
      <w:r w:rsidR="00C13C75" w:rsidRPr="00853D04">
        <w:rPr>
          <w:noProof/>
        </w:rPr>
        <w:t>pod</w:t>
      </w:r>
      <w:r w:rsidRPr="00853D04">
        <w:rPr>
          <w:noProof/>
        </w:rPr>
        <w:t>obnym duchu celem wniosku jest zaradzenie ograniczeniom</w:t>
      </w:r>
      <w:r w:rsidR="00C13C75" w:rsidRPr="00853D04">
        <w:rPr>
          <w:noProof/>
        </w:rPr>
        <w:t xml:space="preserve"> w</w:t>
      </w:r>
      <w:r w:rsidR="00C13C75">
        <w:rPr>
          <w:noProof/>
        </w:rPr>
        <w:t> </w:t>
      </w:r>
      <w:r w:rsidR="00C13C75" w:rsidRPr="00853D04">
        <w:rPr>
          <w:noProof/>
        </w:rPr>
        <w:t>kor</w:t>
      </w:r>
      <w:r w:rsidRPr="00853D04">
        <w:rPr>
          <w:noProof/>
        </w:rPr>
        <w:t>zystaniu ze swobód rynku wewnętrznego,</w:t>
      </w:r>
      <w:r w:rsidR="00C13C75" w:rsidRPr="00853D04">
        <w:rPr>
          <w:noProof/>
        </w:rPr>
        <w:t xml:space="preserve"> z</w:t>
      </w:r>
      <w:r w:rsidR="00C13C75">
        <w:rPr>
          <w:noProof/>
        </w:rPr>
        <w:t> </w:t>
      </w:r>
      <w:r w:rsidR="00C13C75" w:rsidRPr="00853D04">
        <w:rPr>
          <w:noProof/>
        </w:rPr>
        <w:t>jak</w:t>
      </w:r>
      <w:r w:rsidRPr="00853D04">
        <w:rPr>
          <w:noProof/>
        </w:rPr>
        <w:t>imi borykają się stowarzyszenia niekomercyjne,</w:t>
      </w:r>
      <w:r w:rsidR="00C13C75" w:rsidRPr="00853D04">
        <w:rPr>
          <w:noProof/>
        </w:rPr>
        <w:t xml:space="preserve"> i</w:t>
      </w:r>
      <w:r w:rsidR="00C13C75">
        <w:rPr>
          <w:noProof/>
        </w:rPr>
        <w:t> </w:t>
      </w:r>
      <w:r w:rsidR="00C13C75" w:rsidRPr="00853D04">
        <w:rPr>
          <w:noProof/>
        </w:rPr>
        <w:t>umo</w:t>
      </w:r>
      <w:r w:rsidRPr="00853D04">
        <w:rPr>
          <w:noProof/>
        </w:rPr>
        <w:t>żliwienie im prowadzenia działalności</w:t>
      </w:r>
      <w:r w:rsidR="00C13C75" w:rsidRPr="00853D04">
        <w:rPr>
          <w:noProof/>
        </w:rPr>
        <w:t xml:space="preserve"> w</w:t>
      </w:r>
      <w:r w:rsidR="00C13C75">
        <w:rPr>
          <w:noProof/>
        </w:rPr>
        <w:t> </w:t>
      </w:r>
      <w:r w:rsidR="00C13C75" w:rsidRPr="00853D04">
        <w:rPr>
          <w:noProof/>
        </w:rPr>
        <w:t>dow</w:t>
      </w:r>
      <w:r w:rsidRPr="00853D04">
        <w:rPr>
          <w:noProof/>
        </w:rPr>
        <w:t>olnym miejscu w UE za pośrednictwem nowej formy, jaką jest europejskie stowarzyszenie transgraniczne.</w:t>
      </w:r>
    </w:p>
    <w:p w14:paraId="02BD2CFE" w14:textId="042FD46E" w:rsidR="003F5C4D" w:rsidRPr="00853D04" w:rsidRDefault="00BC7A56" w:rsidP="003946D3">
      <w:pPr>
        <w:rPr>
          <w:noProof/>
          <w:color w:val="000000" w:themeColor="text1"/>
        </w:rPr>
      </w:pPr>
      <w:r w:rsidRPr="00853D04">
        <w:rPr>
          <w:noProof/>
        </w:rPr>
        <w:t>W świetle powyższego dyrektywa wypełnia lukę legislacyjną, ponieważ nie istnieją specjalne przepisy na szczeblu UE regulujące warunki prowadzenia działalności transgranicznej na rynku wewnętrznym przez stowarzyszenia niekomercyjne</w:t>
      </w:r>
      <w:r w:rsidRPr="00853D04">
        <w:rPr>
          <w:rStyle w:val="FootnoteReference"/>
          <w:rFonts w:eastAsiaTheme="minorEastAsia"/>
          <w:noProof/>
        </w:rPr>
        <w:footnoteReference w:id="12"/>
      </w:r>
      <w:r w:rsidRPr="00853D04">
        <w:rPr>
          <w:noProof/>
        </w:rPr>
        <w:t>. Pod tym względem ukierunkowane podejście zawarte we wniosku różni się znacznie od szeroko zakrojonego podejścia zastosowanego we wniosku Komisji</w:t>
      </w:r>
      <w:r w:rsidR="00C13C75" w:rsidRPr="00853D04">
        <w:rPr>
          <w:noProof/>
        </w:rPr>
        <w:t xml:space="preserve"> z</w:t>
      </w:r>
      <w:r w:rsidR="00C13C75">
        <w:rPr>
          <w:noProof/>
        </w:rPr>
        <w:t> </w:t>
      </w:r>
      <w:r w:rsidR="00C13C75" w:rsidRPr="00853D04">
        <w:rPr>
          <w:noProof/>
        </w:rPr>
        <w:t>1</w:t>
      </w:r>
      <w:r w:rsidRPr="00853D04">
        <w:rPr>
          <w:noProof/>
        </w:rPr>
        <w:t>9</w:t>
      </w:r>
      <w:r w:rsidRPr="00C13C75">
        <w:rPr>
          <w:noProof/>
        </w:rPr>
        <w:t>92</w:t>
      </w:r>
      <w:r w:rsidR="00C13C75" w:rsidRPr="00C13C75">
        <w:rPr>
          <w:noProof/>
        </w:rPr>
        <w:t> </w:t>
      </w:r>
      <w:r w:rsidRPr="00C13C75">
        <w:rPr>
          <w:noProof/>
        </w:rPr>
        <w:t>r.</w:t>
      </w:r>
      <w:r w:rsidR="00C13C75" w:rsidRPr="00853D04">
        <w:rPr>
          <w:noProof/>
        </w:rPr>
        <w:t xml:space="preserve"> w</w:t>
      </w:r>
      <w:r w:rsidR="00C13C75">
        <w:rPr>
          <w:noProof/>
        </w:rPr>
        <w:t> </w:t>
      </w:r>
      <w:r w:rsidR="00C13C75" w:rsidRPr="00853D04">
        <w:rPr>
          <w:noProof/>
        </w:rPr>
        <w:t>cel</w:t>
      </w:r>
      <w:r w:rsidRPr="00853D04">
        <w:rPr>
          <w:noProof/>
        </w:rPr>
        <w:t>u utworzenia europejskiej formy prawnej dla stowarzyszenia (tj. stowarzyszenia europejskiego)</w:t>
      </w:r>
      <w:r w:rsidRPr="00853D04">
        <w:rPr>
          <w:rStyle w:val="FootnoteReference"/>
          <w:rFonts w:eastAsiaTheme="minorEastAsia"/>
          <w:noProof/>
        </w:rPr>
        <w:footnoteReference w:id="13"/>
      </w:r>
      <w:r w:rsidRPr="00853D04">
        <w:rPr>
          <w:noProof/>
          <w:color w:val="000000" w:themeColor="text1"/>
        </w:rPr>
        <w:t xml:space="preserve">, ponieważ wniosek nie ma na celu stworzenia europejskiego statutu stowarzyszeń, natomiast tworzy nową krajową formę prawną ułatwiającą transgraniczną działalność stowarzyszeń </w:t>
      </w:r>
      <w:r w:rsidRPr="00853D04">
        <w:rPr>
          <w:noProof/>
        </w:rPr>
        <w:t>niekomercyjnych</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ich</w:t>
      </w:r>
      <w:r w:rsidRPr="00853D04">
        <w:rPr>
          <w:noProof/>
          <w:color w:val="000000" w:themeColor="text1"/>
        </w:rPr>
        <w:t xml:space="preserve"> mobilność przy jednoczesnym poszanowaniu tradycji krajowych.</w:t>
      </w:r>
    </w:p>
    <w:p w14:paraId="2E73CF30" w14:textId="2F9573F4" w:rsidR="00E97E0B" w:rsidRPr="00853D04" w:rsidRDefault="00EB732A" w:rsidP="003946D3">
      <w:pPr>
        <w:rPr>
          <w:noProof/>
        </w:rPr>
      </w:pPr>
      <w:r w:rsidRPr="00853D04">
        <w:rPr>
          <w:noProof/>
        </w:rPr>
        <w:t>Wniosek łączy się ponadto</w:t>
      </w:r>
      <w:r w:rsidR="00C13C75" w:rsidRPr="00853D04">
        <w:rPr>
          <w:noProof/>
        </w:rPr>
        <w:t xml:space="preserve"> z</w:t>
      </w:r>
      <w:r w:rsidR="00C13C75">
        <w:rPr>
          <w:noProof/>
        </w:rPr>
        <w:t> </w:t>
      </w:r>
      <w:r w:rsidR="00C13C75" w:rsidRPr="00853D04">
        <w:rPr>
          <w:noProof/>
        </w:rPr>
        <w:t>prz</w:t>
      </w:r>
      <w:r w:rsidRPr="00853D04">
        <w:rPr>
          <w:noProof/>
        </w:rPr>
        <w:t>episami UE dotyczącymi innych istniejących europejskich form prawnych, których celem jest ułatwienie</w:t>
      </w:r>
      <w:r w:rsidR="00C13C75" w:rsidRPr="00853D04">
        <w:rPr>
          <w:noProof/>
        </w:rPr>
        <w:t xml:space="preserve"> i</w:t>
      </w:r>
      <w:r w:rsidR="00C13C75">
        <w:rPr>
          <w:noProof/>
        </w:rPr>
        <w:t> </w:t>
      </w:r>
      <w:r w:rsidR="00C13C75" w:rsidRPr="00853D04">
        <w:rPr>
          <w:noProof/>
        </w:rPr>
        <w:t>usp</w:t>
      </w:r>
      <w:r w:rsidRPr="00853D04">
        <w:rPr>
          <w:noProof/>
        </w:rPr>
        <w:t>rawnienie działalności transgranicznej między państwami członkowskimi,</w:t>
      </w:r>
      <w:r w:rsidR="00C13C75" w:rsidRPr="00853D04">
        <w:rPr>
          <w:noProof/>
        </w:rPr>
        <w:t xml:space="preserve"> a</w:t>
      </w:r>
      <w:r w:rsidR="00C13C75">
        <w:rPr>
          <w:noProof/>
        </w:rPr>
        <w:t> </w:t>
      </w:r>
      <w:r w:rsidR="00C13C75" w:rsidRPr="00853D04">
        <w:rPr>
          <w:noProof/>
        </w:rPr>
        <w:t>bar</w:t>
      </w:r>
      <w:r w:rsidRPr="00853D04">
        <w:rPr>
          <w:noProof/>
        </w:rPr>
        <w:t>dziej ogólnie</w:t>
      </w:r>
      <w:r w:rsidR="00C13C75" w:rsidRPr="00853D04">
        <w:rPr>
          <w:noProof/>
        </w:rPr>
        <w:t xml:space="preserve"> w</w:t>
      </w:r>
      <w:r w:rsidR="00C13C75">
        <w:rPr>
          <w:noProof/>
        </w:rPr>
        <w:t> </w:t>
      </w:r>
      <w:r w:rsidR="00C13C75" w:rsidRPr="00853D04">
        <w:rPr>
          <w:noProof/>
        </w:rPr>
        <w:t>cał</w:t>
      </w:r>
      <w:r w:rsidRPr="00853D04">
        <w:rPr>
          <w:noProof/>
        </w:rPr>
        <w:t>ej Unii,</w:t>
      </w:r>
      <w:r w:rsidR="00C13C75" w:rsidRPr="00853D04">
        <w:rPr>
          <w:noProof/>
        </w:rPr>
        <w:t xml:space="preserve"> w</w:t>
      </w:r>
      <w:r w:rsidR="00C13C75">
        <w:rPr>
          <w:noProof/>
        </w:rPr>
        <w:t> </w:t>
      </w:r>
      <w:r w:rsidR="00C13C75" w:rsidRPr="00853D04">
        <w:rPr>
          <w:noProof/>
        </w:rPr>
        <w:t>szc</w:t>
      </w:r>
      <w:r w:rsidRPr="00853D04">
        <w:rPr>
          <w:noProof/>
        </w:rPr>
        <w:t>zególności europejskiego ugrupowania interesów gospodarczych (EUIG)</w:t>
      </w:r>
      <w:r w:rsidRPr="00853D04">
        <w:rPr>
          <w:rStyle w:val="FootnoteReference"/>
          <w:noProof/>
        </w:rPr>
        <w:footnoteReference w:id="14"/>
      </w:r>
      <w:r w:rsidRPr="00853D04">
        <w:rPr>
          <w:noProof/>
        </w:rPr>
        <w:t>, europejskiego ugrupowania współpracy terytorialnej (EUWT)</w:t>
      </w:r>
      <w:r w:rsidRPr="00853D04">
        <w:rPr>
          <w:rStyle w:val="FootnoteReference"/>
          <w:noProof/>
        </w:rPr>
        <w:footnoteReference w:id="15"/>
      </w:r>
      <w:r w:rsidRPr="00853D04">
        <w:rPr>
          <w:noProof/>
        </w:rPr>
        <w:t>, konsorcjum na rzecz europejskiej infrastruktury badawczej (ERIC)</w:t>
      </w:r>
      <w:r w:rsidRPr="00853D04">
        <w:rPr>
          <w:rStyle w:val="FootnoteReference"/>
          <w:noProof/>
        </w:rPr>
        <w:footnoteReference w:id="16"/>
      </w:r>
      <w:r w:rsidRPr="00853D04">
        <w:rPr>
          <w:noProof/>
        </w:rPr>
        <w:t xml:space="preserve"> oraz konsorcjów na rzecz europejskiej infrastruktury cyfrowej (EDIC)</w:t>
      </w:r>
      <w:r w:rsidRPr="00853D04">
        <w:rPr>
          <w:rStyle w:val="FootnoteReference"/>
          <w:noProof/>
        </w:rPr>
        <w:footnoteReference w:id="17"/>
      </w:r>
      <w:r w:rsidRPr="00853D04">
        <w:rPr>
          <w:noProof/>
        </w:rPr>
        <w:t>. Te formy prawne, chociaż opierają się na członkostwie, nie są porównywalne ze stowarzyszeniami niekomercyjnymi</w:t>
      </w:r>
      <w:r w:rsidR="00C13C75" w:rsidRPr="00853D04">
        <w:rPr>
          <w:noProof/>
        </w:rPr>
        <w:t xml:space="preserve"> w</w:t>
      </w:r>
      <w:r w:rsidR="00C13C75">
        <w:rPr>
          <w:noProof/>
        </w:rPr>
        <w:t> </w:t>
      </w:r>
      <w:r w:rsidR="00C13C75" w:rsidRPr="00853D04">
        <w:rPr>
          <w:noProof/>
        </w:rPr>
        <w:t>kon</w:t>
      </w:r>
      <w:r w:rsidRPr="00853D04">
        <w:rPr>
          <w:noProof/>
        </w:rPr>
        <w:t>tekście niniejszego wniosku. Ich celem jest wykonywanie bardzo konkretnych</w:t>
      </w:r>
      <w:r w:rsidR="00C13C75" w:rsidRPr="00853D04">
        <w:rPr>
          <w:noProof/>
        </w:rPr>
        <w:t xml:space="preserve"> i</w:t>
      </w:r>
      <w:r w:rsidR="00C13C75">
        <w:rPr>
          <w:noProof/>
        </w:rPr>
        <w:t> </w:t>
      </w:r>
      <w:r w:rsidR="00C13C75" w:rsidRPr="00853D04">
        <w:rPr>
          <w:noProof/>
        </w:rPr>
        <w:t>ogr</w:t>
      </w:r>
      <w:r w:rsidRPr="00853D04">
        <w:rPr>
          <w:noProof/>
        </w:rPr>
        <w:t>aniczonych zadań</w:t>
      </w:r>
      <w:r w:rsidRPr="00853D04">
        <w:rPr>
          <w:rStyle w:val="FootnoteReference"/>
          <w:noProof/>
        </w:rPr>
        <w:footnoteReference w:id="18"/>
      </w:r>
      <w:r w:rsidRPr="00853D04">
        <w:rPr>
          <w:noProof/>
        </w:rPr>
        <w:t xml:space="preserve"> (ERIC i EDIC) – mają one bardzo ograniczony rodzaj członkostwa</w:t>
      </w:r>
      <w:r w:rsidRPr="00853D04">
        <w:rPr>
          <w:rStyle w:val="FootnoteReference"/>
          <w:noProof/>
        </w:rPr>
        <w:footnoteReference w:id="19"/>
      </w:r>
      <w:r w:rsidRPr="00853D04">
        <w:rPr>
          <w:noProof/>
        </w:rPr>
        <w:t xml:space="preserve"> (EUWT i ERIC), nie mają ograniczonej odpowiedzialności (EUIG i EUWT), albo nie mają niedochodowego celu</w:t>
      </w:r>
      <w:r w:rsidR="00C13C75" w:rsidRPr="00853D04">
        <w:rPr>
          <w:noProof/>
        </w:rPr>
        <w:t xml:space="preserve"> i</w:t>
      </w:r>
      <w:r w:rsidR="00C13C75">
        <w:rPr>
          <w:noProof/>
        </w:rPr>
        <w:t> </w:t>
      </w:r>
      <w:r w:rsidR="00C13C75" w:rsidRPr="00853D04">
        <w:rPr>
          <w:noProof/>
        </w:rPr>
        <w:t>ogr</w:t>
      </w:r>
      <w:r w:rsidRPr="00853D04">
        <w:rPr>
          <w:noProof/>
        </w:rPr>
        <w:t>aniczenie</w:t>
      </w:r>
      <w:r w:rsidR="00C13C75" w:rsidRPr="00853D04">
        <w:rPr>
          <w:noProof/>
        </w:rPr>
        <w:t xml:space="preserve"> w</w:t>
      </w:r>
      <w:r w:rsidR="00C13C75">
        <w:rPr>
          <w:noProof/>
        </w:rPr>
        <w:t> </w:t>
      </w:r>
      <w:r w:rsidR="00C13C75" w:rsidRPr="00853D04">
        <w:rPr>
          <w:noProof/>
        </w:rPr>
        <w:t>zak</w:t>
      </w:r>
      <w:r w:rsidRPr="00853D04">
        <w:rPr>
          <w:noProof/>
        </w:rPr>
        <w:t xml:space="preserve">resie braku podziału zysków (EUIG). </w:t>
      </w:r>
    </w:p>
    <w:p w14:paraId="2BE01FC9" w14:textId="10B97815" w:rsidR="00E20DB3" w:rsidRPr="00853D04" w:rsidRDefault="00E20DB3" w:rsidP="00EB732A">
      <w:pPr>
        <w:rPr>
          <w:noProof/>
        </w:rPr>
      </w:pPr>
      <w:r w:rsidRPr="00853D04">
        <w:rPr>
          <w:noProof/>
        </w:rPr>
        <w:t>Niniejsza dyrektywa nie ma ponadto na celu uregulowania niektórych obszarów prawa mających znaczenie dla europejskich stowarzyszeń transgranicznych na rynku wewnętrznym,</w:t>
      </w:r>
      <w:r w:rsidR="00C13C75" w:rsidRPr="00853D04">
        <w:rPr>
          <w:noProof/>
        </w:rPr>
        <w:t xml:space="preserve"> w</w:t>
      </w:r>
      <w:r w:rsidR="00C13C75">
        <w:rPr>
          <w:noProof/>
        </w:rPr>
        <w:t> </w:t>
      </w:r>
      <w:r w:rsidR="00C13C75" w:rsidRPr="00853D04">
        <w:rPr>
          <w:noProof/>
        </w:rPr>
        <w:t>szc</w:t>
      </w:r>
      <w:r w:rsidRPr="00853D04">
        <w:rPr>
          <w:noProof/>
        </w:rPr>
        <w:t>zególności podatków, prawa pracy, konkurencji, własności intelektualnej, przeciwdziałania praniu pieniędzy</w:t>
      </w:r>
      <w:r w:rsidR="00C13C75" w:rsidRPr="00853D04">
        <w:rPr>
          <w:noProof/>
        </w:rPr>
        <w:t xml:space="preserve"> i</w:t>
      </w:r>
      <w:r w:rsidR="00C13C75">
        <w:rPr>
          <w:noProof/>
        </w:rPr>
        <w:t> </w:t>
      </w:r>
      <w:r w:rsidR="00C13C75" w:rsidRPr="00853D04">
        <w:rPr>
          <w:noProof/>
        </w:rPr>
        <w:t>nie</w:t>
      </w:r>
      <w:r w:rsidRPr="00853D04">
        <w:rPr>
          <w:noProof/>
        </w:rPr>
        <w:t xml:space="preserve">wypłacalności. </w:t>
      </w:r>
    </w:p>
    <w:p w14:paraId="5030271A" w14:textId="77777777" w:rsidR="00CE3A44" w:rsidRPr="00853D04" w:rsidRDefault="00CE3A44" w:rsidP="003946D3">
      <w:pPr>
        <w:rPr>
          <w:noProof/>
          <w:color w:val="000000" w:themeColor="text1"/>
        </w:rPr>
      </w:pPr>
    </w:p>
    <w:p w14:paraId="6258FC6A" w14:textId="7568F341" w:rsidR="00215691" w:rsidRPr="00853D04" w:rsidRDefault="00215691" w:rsidP="003946D3">
      <w:pPr>
        <w:pStyle w:val="ManualHeading2"/>
        <w:rPr>
          <w:noProof/>
        </w:rPr>
      </w:pPr>
      <w:r w:rsidRPr="00853D04">
        <w:rPr>
          <w:noProof/>
        </w:rPr>
        <w:t>•</w:t>
      </w:r>
      <w:r w:rsidRPr="00853D04">
        <w:rPr>
          <w:noProof/>
        </w:rPr>
        <w:tab/>
        <w:t>Spójność</w:t>
      </w:r>
      <w:r w:rsidR="00C13C75" w:rsidRPr="00853D04">
        <w:rPr>
          <w:noProof/>
        </w:rPr>
        <w:t xml:space="preserve"> z</w:t>
      </w:r>
      <w:r w:rsidR="00C13C75">
        <w:rPr>
          <w:noProof/>
        </w:rPr>
        <w:t> </w:t>
      </w:r>
      <w:r w:rsidR="00C13C75" w:rsidRPr="00853D04">
        <w:rPr>
          <w:noProof/>
        </w:rPr>
        <w:t>inn</w:t>
      </w:r>
      <w:r w:rsidRPr="00853D04">
        <w:rPr>
          <w:noProof/>
        </w:rPr>
        <w:t>ymi politykami Unii</w:t>
      </w:r>
    </w:p>
    <w:p w14:paraId="0AD864E6" w14:textId="489FFAF2" w:rsidR="00CD4638" w:rsidRPr="00853D04" w:rsidRDefault="00CD4638" w:rsidP="00CD4638">
      <w:pPr>
        <w:rPr>
          <w:noProof/>
        </w:rPr>
      </w:pPr>
      <w:r w:rsidRPr="00853D04">
        <w:rPr>
          <w:noProof/>
        </w:rPr>
        <w:t>Niniejszy wniosek wpisuje się</w:t>
      </w:r>
      <w:r w:rsidR="00C13C75" w:rsidRPr="00853D04">
        <w:rPr>
          <w:noProof/>
        </w:rPr>
        <w:t xml:space="preserve"> w</w:t>
      </w:r>
      <w:r w:rsidR="00C13C75">
        <w:rPr>
          <w:noProof/>
        </w:rPr>
        <w:t> </w:t>
      </w:r>
      <w:r w:rsidR="00C13C75" w:rsidRPr="00853D04">
        <w:rPr>
          <w:noProof/>
        </w:rPr>
        <w:t>sze</w:t>
      </w:r>
      <w:r w:rsidRPr="00853D04">
        <w:rPr>
          <w:noProof/>
        </w:rPr>
        <w:t>rsze cele polityczne Europejskiego Zielonego Ładu (w tym zasadę „nie czyń poważnych szkód”) i ma znaczenie dla realizacji innych polityk UE wprowadzonych</w:t>
      </w:r>
      <w:r w:rsidR="00C13C75" w:rsidRPr="00853D04">
        <w:rPr>
          <w:noProof/>
        </w:rPr>
        <w:t xml:space="preserve"> w</w:t>
      </w:r>
      <w:r w:rsidR="00C13C75">
        <w:rPr>
          <w:noProof/>
        </w:rPr>
        <w:t> </w:t>
      </w:r>
      <w:r w:rsidR="00C13C75" w:rsidRPr="00853D04">
        <w:rPr>
          <w:noProof/>
        </w:rPr>
        <w:t>tak</w:t>
      </w:r>
      <w:r w:rsidRPr="00853D04">
        <w:rPr>
          <w:noProof/>
        </w:rPr>
        <w:t>ich dziedzinach jak demokracja</w:t>
      </w:r>
      <w:r w:rsidR="00C13C75" w:rsidRPr="00853D04">
        <w:rPr>
          <w:noProof/>
        </w:rPr>
        <w:t xml:space="preserve"> i</w:t>
      </w:r>
      <w:r w:rsidR="00C13C75">
        <w:rPr>
          <w:noProof/>
        </w:rPr>
        <w:t> </w:t>
      </w:r>
      <w:r w:rsidR="00C13C75" w:rsidRPr="00853D04">
        <w:rPr>
          <w:noProof/>
        </w:rPr>
        <w:t>pra</w:t>
      </w:r>
      <w:r w:rsidRPr="00853D04">
        <w:rPr>
          <w:noProof/>
        </w:rPr>
        <w:t>wa podstawowe.</w:t>
      </w:r>
    </w:p>
    <w:p w14:paraId="2AA37EBB" w14:textId="7091F856" w:rsidR="00513682" w:rsidRPr="00853D04" w:rsidRDefault="00513682" w:rsidP="00513682">
      <w:pPr>
        <w:spacing w:before="0" w:after="240"/>
        <w:rPr>
          <w:noProof/>
        </w:rPr>
      </w:pPr>
      <w:r w:rsidRPr="00853D04">
        <w:rPr>
          <w:noProof/>
        </w:rPr>
        <w:t>Wniosek wpisuje się również</w:t>
      </w:r>
      <w:r w:rsidR="00C13C75" w:rsidRPr="00853D04">
        <w:rPr>
          <w:noProof/>
        </w:rPr>
        <w:t xml:space="preserve"> w</w:t>
      </w:r>
      <w:r w:rsidR="00C13C75">
        <w:rPr>
          <w:noProof/>
        </w:rPr>
        <w:t> </w:t>
      </w:r>
      <w:r w:rsidR="00C13C75" w:rsidRPr="00853D04">
        <w:rPr>
          <w:noProof/>
        </w:rPr>
        <w:t>pri</w:t>
      </w:r>
      <w:r w:rsidRPr="00853D04">
        <w:rPr>
          <w:noProof/>
        </w:rPr>
        <w:t>orytet Komisji „Europa na miarę ery cyfrowej”</w:t>
      </w:r>
      <w:r w:rsidRPr="00853D04">
        <w:rPr>
          <w:rStyle w:val="FootnoteReference"/>
          <w:noProof/>
        </w:rPr>
        <w:footnoteReference w:id="20"/>
      </w:r>
      <w:r w:rsidR="00C13C75" w:rsidRPr="00853D04">
        <w:rPr>
          <w:noProof/>
        </w:rPr>
        <w:t xml:space="preserve"> i</w:t>
      </w:r>
      <w:r w:rsidR="00C13C75">
        <w:rPr>
          <w:noProof/>
        </w:rPr>
        <w:t> </w:t>
      </w:r>
      <w:r w:rsidR="00C13C75" w:rsidRPr="00853D04">
        <w:rPr>
          <w:noProof/>
        </w:rPr>
        <w:t>wsp</w:t>
      </w:r>
      <w:r w:rsidRPr="00853D04">
        <w:rPr>
          <w:noProof/>
        </w:rPr>
        <w:t xml:space="preserve">iera cel polityczny „Drogi ku cyfrowej dekadzie” </w:t>
      </w:r>
      <w:r w:rsidRPr="00C13C75">
        <w:rPr>
          <w:noProof/>
        </w:rPr>
        <w:t>do</w:t>
      </w:r>
      <w:r w:rsidR="00C13C75" w:rsidRPr="00C13C75">
        <w:rPr>
          <w:noProof/>
        </w:rPr>
        <w:t> </w:t>
      </w:r>
      <w:r w:rsidRPr="00C13C75">
        <w:rPr>
          <w:noProof/>
        </w:rPr>
        <w:t>2</w:t>
      </w:r>
      <w:r w:rsidRPr="00853D04">
        <w:rPr>
          <w:noProof/>
        </w:rPr>
        <w:t>0</w:t>
      </w:r>
      <w:r w:rsidRPr="00C13C75">
        <w:rPr>
          <w:noProof/>
        </w:rPr>
        <w:t>30</w:t>
      </w:r>
      <w:r w:rsidR="00C13C75" w:rsidRPr="00C13C75">
        <w:rPr>
          <w:noProof/>
        </w:rPr>
        <w:t> </w:t>
      </w:r>
      <w:r w:rsidRPr="00C13C75">
        <w:rPr>
          <w:noProof/>
        </w:rPr>
        <w:t>r.</w:t>
      </w:r>
      <w:r w:rsidRPr="00853D04">
        <w:rPr>
          <w:noProof/>
        </w:rPr>
        <w:t xml:space="preserve"> dzięki usprawnionemu korzystaniu ze środków cyfrowych</w:t>
      </w:r>
      <w:r w:rsidR="00C13C75" w:rsidRPr="00853D04">
        <w:rPr>
          <w:noProof/>
        </w:rPr>
        <w:t xml:space="preserve"> i</w:t>
      </w:r>
      <w:r w:rsidR="00C13C75">
        <w:rPr>
          <w:noProof/>
        </w:rPr>
        <w:t> </w:t>
      </w:r>
      <w:r w:rsidR="00C13C75" w:rsidRPr="00853D04">
        <w:rPr>
          <w:noProof/>
        </w:rPr>
        <w:t>zac</w:t>
      </w:r>
      <w:r w:rsidRPr="00853D04">
        <w:rPr>
          <w:noProof/>
        </w:rPr>
        <w:t>hęcaniu do niego</w:t>
      </w:r>
      <w:r w:rsidR="00C13C75" w:rsidRPr="00853D04">
        <w:rPr>
          <w:noProof/>
        </w:rPr>
        <w:t xml:space="preserve"> w</w:t>
      </w:r>
      <w:r w:rsidR="00C13C75">
        <w:rPr>
          <w:noProof/>
        </w:rPr>
        <w:t> </w:t>
      </w:r>
      <w:r w:rsidR="00C13C75" w:rsidRPr="00853D04">
        <w:rPr>
          <w:noProof/>
        </w:rPr>
        <w:t>cel</w:t>
      </w:r>
      <w:r w:rsidRPr="00853D04">
        <w:rPr>
          <w:noProof/>
        </w:rPr>
        <w:t>u zmniejszenia obciążenia administracyjnego związanego</w:t>
      </w:r>
      <w:r w:rsidR="00C13C75" w:rsidRPr="00853D04">
        <w:rPr>
          <w:noProof/>
        </w:rPr>
        <w:t xml:space="preserve"> z</w:t>
      </w:r>
      <w:r w:rsidR="00C13C75">
        <w:rPr>
          <w:noProof/>
        </w:rPr>
        <w:t> </w:t>
      </w:r>
      <w:r w:rsidR="00C13C75" w:rsidRPr="00853D04">
        <w:rPr>
          <w:noProof/>
        </w:rPr>
        <w:t>tra</w:t>
      </w:r>
      <w:r w:rsidRPr="00853D04">
        <w:rPr>
          <w:noProof/>
        </w:rPr>
        <w:t>nsgraniczną działalnością stowarzyszeń niekomercyjnych. Ma to decydujące znaczenie dla wzmocnienia wolności wypowiedzi</w:t>
      </w:r>
      <w:r w:rsidR="00C13C75" w:rsidRPr="00853D04">
        <w:rPr>
          <w:noProof/>
        </w:rPr>
        <w:t xml:space="preserve"> i</w:t>
      </w:r>
      <w:r w:rsidR="00C13C75">
        <w:rPr>
          <w:noProof/>
        </w:rPr>
        <w:t> </w:t>
      </w:r>
      <w:r w:rsidR="00C13C75" w:rsidRPr="00853D04">
        <w:rPr>
          <w:noProof/>
        </w:rPr>
        <w:t>inf</w:t>
      </w:r>
      <w:r w:rsidRPr="00853D04">
        <w:rPr>
          <w:noProof/>
        </w:rPr>
        <w:t>ormacji</w:t>
      </w:r>
      <w:r w:rsidR="00C13C75" w:rsidRPr="00853D04">
        <w:rPr>
          <w:noProof/>
        </w:rPr>
        <w:t xml:space="preserve"> w</w:t>
      </w:r>
      <w:r w:rsidR="00C13C75">
        <w:rPr>
          <w:noProof/>
        </w:rPr>
        <w:t> </w:t>
      </w:r>
      <w:r w:rsidR="00C13C75" w:rsidRPr="00853D04">
        <w:rPr>
          <w:noProof/>
        </w:rPr>
        <w:t>spo</w:t>
      </w:r>
      <w:r w:rsidRPr="00853D04">
        <w:rPr>
          <w:noProof/>
        </w:rPr>
        <w:t>łeczeństwie obywatelskim,</w:t>
      </w:r>
      <w:r w:rsidR="00C13C75" w:rsidRPr="00853D04">
        <w:rPr>
          <w:noProof/>
        </w:rPr>
        <w:t xml:space="preserve"> a</w:t>
      </w:r>
      <w:r w:rsidR="00C13C75">
        <w:rPr>
          <w:noProof/>
        </w:rPr>
        <w:t> </w:t>
      </w:r>
      <w:r w:rsidR="00C13C75" w:rsidRPr="00853D04">
        <w:rPr>
          <w:noProof/>
        </w:rPr>
        <w:t>tak</w:t>
      </w:r>
      <w:r w:rsidRPr="00853D04">
        <w:rPr>
          <w:noProof/>
        </w:rPr>
        <w:t xml:space="preserve">że dla zwiększenia zaangażowania obywatelskiego. </w:t>
      </w:r>
    </w:p>
    <w:p w14:paraId="5D41A818" w14:textId="31EF275C" w:rsidR="00945994" w:rsidRPr="00853D04" w:rsidRDefault="00215691" w:rsidP="00945994">
      <w:pPr>
        <w:rPr>
          <w:noProof/>
        </w:rPr>
      </w:pPr>
      <w:r w:rsidRPr="00853D04">
        <w:rPr>
          <w:noProof/>
        </w:rPr>
        <w:t>W nawiązaniu do transgranicznej działalności stowarzyszeń niekomercyjnych wniosek jest zgodny</w:t>
      </w:r>
      <w:r w:rsidR="00C13C75" w:rsidRPr="00853D04">
        <w:rPr>
          <w:noProof/>
        </w:rPr>
        <w:t xml:space="preserve"> z</w:t>
      </w:r>
      <w:r w:rsidR="00C13C75">
        <w:rPr>
          <w:noProof/>
        </w:rPr>
        <w:t> </w:t>
      </w:r>
      <w:r w:rsidR="00C13C75" w:rsidRPr="00853D04">
        <w:rPr>
          <w:noProof/>
        </w:rPr>
        <w:t>ust</w:t>
      </w:r>
      <w:r w:rsidRPr="00853D04">
        <w:rPr>
          <w:noProof/>
        </w:rPr>
        <w:t>aleniami zawartymi</w:t>
      </w:r>
      <w:r w:rsidR="00C13C75" w:rsidRPr="00853D04">
        <w:rPr>
          <w:noProof/>
        </w:rPr>
        <w:t xml:space="preserve"> w</w:t>
      </w:r>
      <w:r w:rsidR="00C13C75">
        <w:rPr>
          <w:noProof/>
        </w:rPr>
        <w:t> </w:t>
      </w:r>
      <w:r w:rsidR="00C13C75" w:rsidRPr="00853D04">
        <w:rPr>
          <w:noProof/>
        </w:rPr>
        <w:t>roc</w:t>
      </w:r>
      <w:r w:rsidRPr="00853D04">
        <w:rPr>
          <w:noProof/>
        </w:rPr>
        <w:t xml:space="preserve">znym sprawozdaniu ze stosowania Karty praw podstawowych Unii Europejskiej </w:t>
      </w:r>
      <w:r w:rsidRPr="00C13C75">
        <w:rPr>
          <w:noProof/>
        </w:rPr>
        <w:t>za</w:t>
      </w:r>
      <w:r w:rsidR="00C13C75" w:rsidRPr="00C13C75">
        <w:rPr>
          <w:noProof/>
        </w:rPr>
        <w:t> </w:t>
      </w:r>
      <w:r w:rsidRPr="00C13C75">
        <w:rPr>
          <w:noProof/>
        </w:rPr>
        <w:t>2</w:t>
      </w:r>
      <w:r w:rsidRPr="00853D04">
        <w:rPr>
          <w:noProof/>
        </w:rPr>
        <w:t>0</w:t>
      </w:r>
      <w:r w:rsidRPr="00C13C75">
        <w:rPr>
          <w:noProof/>
        </w:rPr>
        <w:t>22</w:t>
      </w:r>
      <w:r w:rsidR="00C13C75" w:rsidRPr="00C13C75">
        <w:rPr>
          <w:noProof/>
        </w:rPr>
        <w:t> </w:t>
      </w:r>
      <w:r w:rsidRPr="00C13C75">
        <w:rPr>
          <w:noProof/>
        </w:rPr>
        <w:t>r.</w:t>
      </w:r>
      <w:r w:rsidRPr="00853D04">
        <w:rPr>
          <w:rStyle w:val="FootnoteReference"/>
          <w:noProof/>
        </w:rPr>
        <w:footnoteReference w:id="21"/>
      </w:r>
      <w:r w:rsidRPr="00853D04">
        <w:rPr>
          <w:noProof/>
        </w:rPr>
        <w:t>,</w:t>
      </w:r>
      <w:r w:rsidR="00C13C75" w:rsidRPr="00853D04">
        <w:rPr>
          <w:noProof/>
        </w:rPr>
        <w:t xml:space="preserve"> w</w:t>
      </w:r>
      <w:r w:rsidR="00C13C75">
        <w:rPr>
          <w:noProof/>
        </w:rPr>
        <w:t> </w:t>
      </w:r>
      <w:r w:rsidR="00C13C75" w:rsidRPr="00853D04">
        <w:rPr>
          <w:noProof/>
        </w:rPr>
        <w:t>któ</w:t>
      </w:r>
      <w:r w:rsidRPr="00853D04">
        <w:rPr>
          <w:noProof/>
        </w:rPr>
        <w:t>rym podkreśla się, że organizacje społeczeństwa obywatelskiego mogą wspierać politykę</w:t>
      </w:r>
      <w:r w:rsidR="00C13C75" w:rsidRPr="00853D04">
        <w:rPr>
          <w:noProof/>
        </w:rPr>
        <w:t xml:space="preserve"> i</w:t>
      </w:r>
      <w:r w:rsidR="00C13C75">
        <w:rPr>
          <w:noProof/>
        </w:rPr>
        <w:t> </w:t>
      </w:r>
      <w:r w:rsidR="00C13C75" w:rsidRPr="00853D04">
        <w:rPr>
          <w:noProof/>
        </w:rPr>
        <w:t>pra</w:t>
      </w:r>
      <w:r w:rsidRPr="00853D04">
        <w:rPr>
          <w:noProof/>
        </w:rPr>
        <w:t>wodawstwo poza granicami państw członkowskich,</w:t>
      </w:r>
      <w:r w:rsidR="00C13C75" w:rsidRPr="00853D04">
        <w:rPr>
          <w:noProof/>
        </w:rPr>
        <w:t xml:space="preserve"> a</w:t>
      </w:r>
      <w:r w:rsidR="00C13C75">
        <w:rPr>
          <w:noProof/>
        </w:rPr>
        <w:t> </w:t>
      </w:r>
      <w:r w:rsidR="00C13C75" w:rsidRPr="00853D04">
        <w:rPr>
          <w:noProof/>
        </w:rPr>
        <w:t>ich</w:t>
      </w:r>
      <w:r w:rsidRPr="00853D04">
        <w:rPr>
          <w:noProof/>
        </w:rPr>
        <w:t xml:space="preserve"> rola jest szczególnie istotna</w:t>
      </w:r>
      <w:r w:rsidR="00C13C75" w:rsidRPr="00853D04">
        <w:rPr>
          <w:noProof/>
        </w:rPr>
        <w:t xml:space="preserve"> w</w:t>
      </w:r>
      <w:r w:rsidR="00C13C75">
        <w:rPr>
          <w:noProof/>
        </w:rPr>
        <w:t> </w:t>
      </w:r>
      <w:r w:rsidR="00C13C75" w:rsidRPr="00853D04">
        <w:rPr>
          <w:noProof/>
        </w:rPr>
        <w:t>kon</w:t>
      </w:r>
      <w:r w:rsidRPr="00853D04">
        <w:rPr>
          <w:noProof/>
        </w:rPr>
        <w:t>tekście obecnych wyzwań, przed którymi stoi UE</w:t>
      </w:r>
      <w:r w:rsidR="00C13C75" w:rsidRPr="00853D04">
        <w:rPr>
          <w:noProof/>
        </w:rPr>
        <w:t>. W</w:t>
      </w:r>
      <w:r w:rsidR="00C13C75">
        <w:rPr>
          <w:noProof/>
        </w:rPr>
        <w:t> </w:t>
      </w:r>
      <w:r w:rsidR="00C13C75" w:rsidRPr="00853D04">
        <w:rPr>
          <w:noProof/>
        </w:rPr>
        <w:t>zwi</w:t>
      </w:r>
      <w:r w:rsidRPr="00853D04">
        <w:rPr>
          <w:noProof/>
        </w:rPr>
        <w:t>ązku</w:t>
      </w:r>
      <w:r w:rsidR="00C13C75" w:rsidRPr="00853D04">
        <w:rPr>
          <w:noProof/>
        </w:rPr>
        <w:t xml:space="preserve"> z</w:t>
      </w:r>
      <w:r w:rsidR="00C13C75">
        <w:rPr>
          <w:noProof/>
        </w:rPr>
        <w:t> </w:t>
      </w:r>
      <w:r w:rsidR="00C13C75" w:rsidRPr="00853D04">
        <w:rPr>
          <w:noProof/>
        </w:rPr>
        <w:t>tym</w:t>
      </w:r>
      <w:r w:rsidRPr="00853D04">
        <w:rPr>
          <w:noProof/>
        </w:rPr>
        <w:t xml:space="preserve"> na Konferencji</w:t>
      </w:r>
      <w:r w:rsidR="00C13C75" w:rsidRPr="00853D04">
        <w:rPr>
          <w:noProof/>
        </w:rPr>
        <w:t xml:space="preserve"> w</w:t>
      </w:r>
      <w:r w:rsidR="00C13C75">
        <w:rPr>
          <w:noProof/>
        </w:rPr>
        <w:t> </w:t>
      </w:r>
      <w:r w:rsidR="00C13C75" w:rsidRPr="00853D04">
        <w:rPr>
          <w:noProof/>
        </w:rPr>
        <w:t>spr</w:t>
      </w:r>
      <w:r w:rsidRPr="00853D04">
        <w:rPr>
          <w:noProof/>
        </w:rPr>
        <w:t>awie przyszłości Europy</w:t>
      </w:r>
      <w:r w:rsidRPr="00853D04">
        <w:rPr>
          <w:rStyle w:val="FootnoteReference"/>
          <w:rFonts w:eastAsiaTheme="minorEastAsia"/>
          <w:noProof/>
        </w:rPr>
        <w:footnoteReference w:id="22"/>
      </w:r>
      <w:r w:rsidRPr="00853D04">
        <w:rPr>
          <w:noProof/>
        </w:rPr>
        <w:t xml:space="preserve"> uznano ważną rolę społeczeństwa obywatelskiego</w:t>
      </w:r>
      <w:r w:rsidR="00C13C75" w:rsidRPr="00853D04">
        <w:rPr>
          <w:noProof/>
        </w:rPr>
        <w:t xml:space="preserve"> i</w:t>
      </w:r>
      <w:r w:rsidR="00C13C75">
        <w:rPr>
          <w:noProof/>
        </w:rPr>
        <w:t> </w:t>
      </w:r>
      <w:r w:rsidR="00C13C75" w:rsidRPr="00853D04">
        <w:rPr>
          <w:noProof/>
        </w:rPr>
        <w:t>wsp</w:t>
      </w:r>
      <w:r w:rsidRPr="00853D04">
        <w:rPr>
          <w:noProof/>
        </w:rPr>
        <w:t>omniano</w:t>
      </w:r>
      <w:r w:rsidR="00C13C75" w:rsidRPr="00853D04">
        <w:rPr>
          <w:noProof/>
        </w:rPr>
        <w:t xml:space="preserve"> o</w:t>
      </w:r>
      <w:r w:rsidR="00C13C75">
        <w:rPr>
          <w:noProof/>
        </w:rPr>
        <w:t> </w:t>
      </w:r>
      <w:r w:rsidR="00C13C75" w:rsidRPr="00853D04">
        <w:rPr>
          <w:noProof/>
        </w:rPr>
        <w:t>pot</w:t>
      </w:r>
      <w:r w:rsidRPr="00853D04">
        <w:rPr>
          <w:noProof/>
        </w:rPr>
        <w:t>rzebie ustalenia statusu europejskich stowarzyszeń transgranicznych</w:t>
      </w:r>
      <w:r w:rsidR="00C13C75" w:rsidRPr="00853D04">
        <w:rPr>
          <w:noProof/>
        </w:rPr>
        <w:t xml:space="preserve"> i</w:t>
      </w:r>
      <w:r w:rsidR="00C13C75">
        <w:rPr>
          <w:noProof/>
        </w:rPr>
        <w:t> </w:t>
      </w:r>
      <w:r w:rsidR="00C13C75" w:rsidRPr="00853D04">
        <w:rPr>
          <w:noProof/>
        </w:rPr>
        <w:t>org</w:t>
      </w:r>
      <w:r w:rsidRPr="00853D04">
        <w:rPr>
          <w:noProof/>
        </w:rPr>
        <w:t>anizacji niekomercyjnych. Wniosek ten mógłby pozytywnie wpłynąć na sojusze europejskich szkół wyższych</w:t>
      </w:r>
      <w:r w:rsidR="00C13C75" w:rsidRPr="00853D04">
        <w:rPr>
          <w:noProof/>
        </w:rPr>
        <w:t xml:space="preserve"> w</w:t>
      </w:r>
      <w:r w:rsidR="00C13C75">
        <w:rPr>
          <w:noProof/>
        </w:rPr>
        <w:t> </w:t>
      </w:r>
      <w:r w:rsidR="00C13C75" w:rsidRPr="00853D04">
        <w:rPr>
          <w:noProof/>
        </w:rPr>
        <w:t>cel</w:t>
      </w:r>
      <w:r w:rsidRPr="00853D04">
        <w:rPr>
          <w:noProof/>
        </w:rPr>
        <w:t>u ułatwienia ściślejszej, długoterminowej</w:t>
      </w:r>
      <w:r w:rsidR="00C13C75" w:rsidRPr="00853D04">
        <w:rPr>
          <w:noProof/>
        </w:rPr>
        <w:t xml:space="preserve"> i</w:t>
      </w:r>
      <w:r w:rsidR="00C13C75">
        <w:rPr>
          <w:noProof/>
        </w:rPr>
        <w:t> </w:t>
      </w:r>
      <w:r w:rsidR="00C13C75" w:rsidRPr="00853D04">
        <w:rPr>
          <w:noProof/>
        </w:rPr>
        <w:t>ela</w:t>
      </w:r>
      <w:r w:rsidRPr="00853D04">
        <w:rPr>
          <w:noProof/>
        </w:rPr>
        <w:t>stycznej współpracy transgranicznej</w:t>
      </w:r>
      <w:r w:rsidRPr="00853D04">
        <w:rPr>
          <w:rStyle w:val="FootnoteReference"/>
          <w:noProof/>
        </w:rPr>
        <w:footnoteReference w:id="23"/>
      </w:r>
      <w:r w:rsidRPr="00853D04">
        <w:rPr>
          <w:noProof/>
        </w:rPr>
        <w:t>. Wniosek ma również odnosić się do zapowiedzianego pakietu na rzecz obrony demokracji</w:t>
      </w:r>
      <w:r w:rsidRPr="00853D04">
        <w:rPr>
          <w:rStyle w:val="FootnoteReference"/>
          <w:noProof/>
        </w:rPr>
        <w:footnoteReference w:id="24"/>
      </w:r>
      <w:r w:rsidRPr="00853D04">
        <w:rPr>
          <w:noProof/>
        </w:rPr>
        <w:t>.</w:t>
      </w:r>
    </w:p>
    <w:p w14:paraId="3ADA8A98" w14:textId="77777777" w:rsidR="00BE7E05" w:rsidRPr="00853D04" w:rsidRDefault="00BE7E05">
      <w:pPr>
        <w:pStyle w:val="ManualHeading1"/>
        <w:rPr>
          <w:b w:val="0"/>
          <w:smallCaps w:val="0"/>
          <w:noProof/>
        </w:rPr>
      </w:pPr>
      <w:r w:rsidRPr="00853D04">
        <w:rPr>
          <w:noProof/>
        </w:rPr>
        <w:t>2.</w:t>
      </w:r>
      <w:r w:rsidRPr="00853D04">
        <w:rPr>
          <w:noProof/>
        </w:rPr>
        <w:tab/>
        <w:t>PODSTAWA PRAWNA, POMOCNICZOŚĆ I PROPORCJONALNOŚĆ</w:t>
      </w:r>
    </w:p>
    <w:p w14:paraId="6D03B5F1" w14:textId="77777777" w:rsidR="00215691" w:rsidRPr="00853D04" w:rsidRDefault="00215691" w:rsidP="003946D3">
      <w:pPr>
        <w:pStyle w:val="ManualHeading2"/>
        <w:rPr>
          <w:noProof/>
        </w:rPr>
      </w:pPr>
      <w:r w:rsidRPr="00853D04">
        <w:rPr>
          <w:noProof/>
        </w:rPr>
        <w:t>•</w:t>
      </w:r>
      <w:r w:rsidRPr="00853D04">
        <w:rPr>
          <w:noProof/>
        </w:rPr>
        <w:tab/>
        <w:t>Podstawa prawna</w:t>
      </w:r>
    </w:p>
    <w:p w14:paraId="4267DEC1" w14:textId="142EA58F" w:rsidR="0016324C" w:rsidRPr="00853D04" w:rsidRDefault="00215691" w:rsidP="003946D3">
      <w:pPr>
        <w:rPr>
          <w:noProof/>
        </w:rPr>
      </w:pPr>
      <w:r w:rsidRPr="00853D04">
        <w:rPr>
          <w:noProof/>
        </w:rPr>
        <w:t xml:space="preserve">Podstawę wniosku stanowią </w:t>
      </w:r>
      <w:r w:rsidRPr="00C13C75">
        <w:rPr>
          <w:noProof/>
        </w:rPr>
        <w:t>art.</w:t>
      </w:r>
      <w:r w:rsidR="00C13C75" w:rsidRPr="00C13C75">
        <w:rPr>
          <w:noProof/>
        </w:rPr>
        <w:t> </w:t>
      </w:r>
      <w:r w:rsidRPr="00C13C75">
        <w:rPr>
          <w:noProof/>
        </w:rPr>
        <w:t>5</w:t>
      </w:r>
      <w:r w:rsidRPr="00853D04">
        <w:rPr>
          <w:noProof/>
        </w:rPr>
        <w:t>0</w:t>
      </w:r>
      <w:r w:rsidR="00C13C75" w:rsidRPr="00853D04">
        <w:rPr>
          <w:noProof/>
        </w:rPr>
        <w:t xml:space="preserve"> i</w:t>
      </w:r>
      <w:r w:rsidR="00C13C75">
        <w:rPr>
          <w:noProof/>
        </w:rPr>
        <w:t> </w:t>
      </w:r>
      <w:r w:rsidR="00C13C75" w:rsidRPr="00853D04">
        <w:rPr>
          <w:noProof/>
        </w:rPr>
        <w:t>1</w:t>
      </w:r>
      <w:r w:rsidRPr="00853D04">
        <w:rPr>
          <w:noProof/>
        </w:rPr>
        <w:t xml:space="preserve">14 TFUE. </w:t>
      </w:r>
    </w:p>
    <w:p w14:paraId="25D963DD" w14:textId="390C4DD1" w:rsidR="00215691" w:rsidRPr="00853D04" w:rsidRDefault="009420C5" w:rsidP="003946D3">
      <w:pPr>
        <w:rPr>
          <w:noProof/>
        </w:rPr>
      </w:pPr>
      <w:r w:rsidRPr="00853D04">
        <w:rPr>
          <w:noProof/>
        </w:rPr>
        <w:t xml:space="preserve">Art. 50 </w:t>
      </w:r>
      <w:r w:rsidRPr="00C13C75">
        <w:rPr>
          <w:noProof/>
        </w:rPr>
        <w:t>ust.</w:t>
      </w:r>
      <w:r w:rsidR="00C13C75" w:rsidRPr="00C13C75">
        <w:rPr>
          <w:noProof/>
        </w:rPr>
        <w:t> </w:t>
      </w:r>
      <w:r w:rsidRPr="00C13C75">
        <w:rPr>
          <w:noProof/>
        </w:rPr>
        <w:t>1</w:t>
      </w:r>
      <w:r w:rsidR="00C13C75" w:rsidRPr="00853D04">
        <w:rPr>
          <w:noProof/>
        </w:rPr>
        <w:t xml:space="preserve"> i</w:t>
      </w:r>
      <w:r w:rsidR="00C13C75">
        <w:rPr>
          <w:noProof/>
        </w:rPr>
        <w:t> </w:t>
      </w:r>
      <w:r w:rsidR="00C13C75" w:rsidRPr="00853D04">
        <w:rPr>
          <w:noProof/>
        </w:rPr>
        <w:t>2</w:t>
      </w:r>
      <w:r w:rsidRPr="00853D04">
        <w:rPr>
          <w:noProof/>
        </w:rPr>
        <w:t xml:space="preserve"> TFUE, upoważniający Parlament Europejski</w:t>
      </w:r>
      <w:r w:rsidR="00C13C75" w:rsidRPr="00853D04">
        <w:rPr>
          <w:noProof/>
        </w:rPr>
        <w:t xml:space="preserve"> i</w:t>
      </w:r>
      <w:r w:rsidR="00C13C75">
        <w:rPr>
          <w:noProof/>
        </w:rPr>
        <w:t> </w:t>
      </w:r>
      <w:r w:rsidR="00C13C75" w:rsidRPr="00853D04">
        <w:rPr>
          <w:noProof/>
        </w:rPr>
        <w:t>Rad</w:t>
      </w:r>
      <w:r w:rsidRPr="00853D04">
        <w:rPr>
          <w:noProof/>
        </w:rPr>
        <w:t>ę do przyjmowania przepisów</w:t>
      </w:r>
      <w:r w:rsidR="00C13C75" w:rsidRPr="00853D04">
        <w:rPr>
          <w:noProof/>
        </w:rPr>
        <w:t xml:space="preserve"> w</w:t>
      </w:r>
      <w:r w:rsidR="00C13C75">
        <w:rPr>
          <w:noProof/>
        </w:rPr>
        <w:t> </w:t>
      </w:r>
      <w:r w:rsidR="00C13C75" w:rsidRPr="00853D04">
        <w:rPr>
          <w:noProof/>
        </w:rPr>
        <w:t>cel</w:t>
      </w:r>
      <w:r w:rsidRPr="00853D04">
        <w:rPr>
          <w:noProof/>
        </w:rPr>
        <w:t>u zapewnienia swobody przedsiębiorczości, służy jako podstawa prawna dla środków, które ułatwiają wykonywanie prawa przedsiębiorczości stowarzyszeń prowadzących działalność gospodarczą</w:t>
      </w:r>
      <w:r w:rsidR="00C13C75" w:rsidRPr="00853D04">
        <w:rPr>
          <w:noProof/>
        </w:rPr>
        <w:t xml:space="preserve"> i</w:t>
      </w:r>
      <w:r w:rsidR="00C13C75">
        <w:rPr>
          <w:noProof/>
        </w:rPr>
        <w:t> </w:t>
      </w:r>
      <w:r w:rsidR="00C13C75" w:rsidRPr="00853D04">
        <w:rPr>
          <w:noProof/>
        </w:rPr>
        <w:t>ich</w:t>
      </w:r>
      <w:r w:rsidRPr="00853D04">
        <w:rPr>
          <w:noProof/>
        </w:rPr>
        <w:t xml:space="preserve"> mobilność, np. przeniesienie siedziby statutowej.</w:t>
      </w:r>
    </w:p>
    <w:p w14:paraId="1FD8CF48" w14:textId="65307C83" w:rsidR="00FC0987" w:rsidRPr="00853D04" w:rsidRDefault="00FC0987" w:rsidP="003946D3">
      <w:pPr>
        <w:rPr>
          <w:noProof/>
        </w:rPr>
      </w:pPr>
      <w:r w:rsidRPr="00853D04">
        <w:rPr>
          <w:noProof/>
        </w:rPr>
        <w:t xml:space="preserve">W </w:t>
      </w:r>
      <w:r w:rsidRPr="00C13C75">
        <w:rPr>
          <w:noProof/>
        </w:rPr>
        <w:t>art.</w:t>
      </w:r>
      <w:r w:rsidR="00C13C75" w:rsidRPr="00C13C75">
        <w:rPr>
          <w:noProof/>
        </w:rPr>
        <w:t> </w:t>
      </w:r>
      <w:r w:rsidRPr="00C13C75">
        <w:rPr>
          <w:noProof/>
        </w:rPr>
        <w:t>1</w:t>
      </w:r>
      <w:r w:rsidRPr="00853D04">
        <w:rPr>
          <w:noProof/>
        </w:rPr>
        <w:t>14 TFUE upoważnia się Parlament Europejski</w:t>
      </w:r>
      <w:r w:rsidR="00C13C75" w:rsidRPr="00853D04">
        <w:rPr>
          <w:noProof/>
        </w:rPr>
        <w:t xml:space="preserve"> i</w:t>
      </w:r>
      <w:r w:rsidR="00C13C75">
        <w:rPr>
          <w:noProof/>
        </w:rPr>
        <w:t> </w:t>
      </w:r>
      <w:r w:rsidR="00C13C75" w:rsidRPr="00853D04">
        <w:rPr>
          <w:noProof/>
        </w:rPr>
        <w:t>Rad</w:t>
      </w:r>
      <w:r w:rsidRPr="00853D04">
        <w:rPr>
          <w:noProof/>
        </w:rPr>
        <w:t>ę do przyjmowania środków dotyczące zbliżenia przepisów ustawowych, wykonawczych</w:t>
      </w:r>
      <w:r w:rsidR="00C13C75" w:rsidRPr="00853D04">
        <w:rPr>
          <w:noProof/>
        </w:rPr>
        <w:t xml:space="preserve"> i</w:t>
      </w:r>
      <w:r w:rsidR="00C13C75">
        <w:rPr>
          <w:noProof/>
        </w:rPr>
        <w:t> </w:t>
      </w:r>
      <w:r w:rsidR="00C13C75" w:rsidRPr="00853D04">
        <w:rPr>
          <w:noProof/>
        </w:rPr>
        <w:t>adm</w:t>
      </w:r>
      <w:r w:rsidRPr="00853D04">
        <w:rPr>
          <w:noProof/>
        </w:rPr>
        <w:t>inistracyjnych państw członkowskich, które mają na celu ustanowienie</w:t>
      </w:r>
      <w:r w:rsidR="00C13C75" w:rsidRPr="00853D04">
        <w:rPr>
          <w:noProof/>
        </w:rPr>
        <w:t xml:space="preserve"> i</w:t>
      </w:r>
      <w:r w:rsidR="00C13C75">
        <w:rPr>
          <w:noProof/>
        </w:rPr>
        <w:t> </w:t>
      </w:r>
      <w:r w:rsidR="00C13C75" w:rsidRPr="00853D04">
        <w:rPr>
          <w:noProof/>
        </w:rPr>
        <w:t>fun</w:t>
      </w:r>
      <w:r w:rsidRPr="00853D04">
        <w:rPr>
          <w:noProof/>
        </w:rPr>
        <w:t xml:space="preserve">kcjonowanie rynku wewnętrznego. </w:t>
      </w:r>
    </w:p>
    <w:p w14:paraId="5B94C742" w14:textId="2558B025" w:rsidR="00E60D46" w:rsidRPr="00853D04" w:rsidRDefault="00FC0987" w:rsidP="00E60D46">
      <w:pPr>
        <w:rPr>
          <w:noProof/>
        </w:rPr>
      </w:pPr>
      <w:r w:rsidRPr="00853D04">
        <w:rPr>
          <w:noProof/>
        </w:rPr>
        <w:t>Celem wniosku jest ułatwienie stowarzyszeniom niekomercyjnym korzystania</w:t>
      </w:r>
      <w:r w:rsidR="00C13C75" w:rsidRPr="00853D04">
        <w:rPr>
          <w:noProof/>
        </w:rPr>
        <w:t xml:space="preserve"> z</w:t>
      </w:r>
      <w:r w:rsidR="00C13C75">
        <w:rPr>
          <w:noProof/>
        </w:rPr>
        <w:t> </w:t>
      </w:r>
      <w:r w:rsidR="00C13C75" w:rsidRPr="00853D04">
        <w:rPr>
          <w:noProof/>
        </w:rPr>
        <w:t>pra</w:t>
      </w:r>
      <w:r w:rsidRPr="00853D04">
        <w:rPr>
          <w:noProof/>
        </w:rPr>
        <w:t>wa przedsiębiorczości oraz skutecznego korzystania</w:t>
      </w:r>
      <w:r w:rsidR="00C13C75" w:rsidRPr="00853D04">
        <w:rPr>
          <w:noProof/>
        </w:rPr>
        <w:t xml:space="preserve"> z</w:t>
      </w:r>
      <w:r w:rsidR="00C13C75">
        <w:rPr>
          <w:noProof/>
        </w:rPr>
        <w:t> </w:t>
      </w:r>
      <w:r w:rsidR="00C13C75" w:rsidRPr="00853D04">
        <w:rPr>
          <w:noProof/>
        </w:rPr>
        <w:t>pra</w:t>
      </w:r>
      <w:r w:rsidRPr="00853D04">
        <w:rPr>
          <w:noProof/>
        </w:rPr>
        <w:t>wa do swobodnego przemieszczania się dzięki określeniu środków koordynujących warunki zakładania</w:t>
      </w:r>
      <w:r w:rsidR="00C13C75" w:rsidRPr="00853D04">
        <w:rPr>
          <w:noProof/>
        </w:rPr>
        <w:t xml:space="preserve"> i</w:t>
      </w:r>
      <w:r w:rsidR="00C13C75">
        <w:rPr>
          <w:noProof/>
        </w:rPr>
        <w:t> </w:t>
      </w:r>
      <w:r w:rsidR="00C13C75" w:rsidRPr="00853D04">
        <w:rPr>
          <w:noProof/>
        </w:rPr>
        <w:t>fun</w:t>
      </w:r>
      <w:r w:rsidRPr="00853D04">
        <w:rPr>
          <w:noProof/>
        </w:rPr>
        <w:t>kcjonowania europejskich stowarzyszeń transgranicznych, przez co zapewnione zostanie m.in. automatyczne uznawanie ich osobowości prawnej przez państwa członkowskie</w:t>
      </w:r>
      <w:r w:rsidR="00C13C75" w:rsidRPr="00853D04">
        <w:rPr>
          <w:noProof/>
        </w:rPr>
        <w:t xml:space="preserve"> i</w:t>
      </w:r>
      <w:r w:rsidR="00C13C75">
        <w:rPr>
          <w:noProof/>
        </w:rPr>
        <w:t> </w:t>
      </w:r>
      <w:r w:rsidR="00C13C75" w:rsidRPr="00853D04">
        <w:rPr>
          <w:noProof/>
        </w:rPr>
        <w:t>tym</w:t>
      </w:r>
      <w:r w:rsidRPr="00853D04">
        <w:rPr>
          <w:noProof/>
        </w:rPr>
        <w:t xml:space="preserve"> samym nałożony zostanie obowiązek jednej rejestracji oraz zapewnione będę zharmonizowane przepisy dotyczące mobilności (tj. przeniesienia siedziby statutowej). Poprzez stworzenie</w:t>
      </w:r>
      <w:r w:rsidR="00C13C75" w:rsidRPr="00853D04">
        <w:rPr>
          <w:noProof/>
        </w:rPr>
        <w:t xml:space="preserve"> w</w:t>
      </w:r>
      <w:r w:rsidR="00C13C75">
        <w:rPr>
          <w:noProof/>
        </w:rPr>
        <w:t> </w:t>
      </w:r>
      <w:r w:rsidR="00C13C75" w:rsidRPr="00853D04">
        <w:rPr>
          <w:noProof/>
        </w:rPr>
        <w:t>ram</w:t>
      </w:r>
      <w:r w:rsidRPr="00853D04">
        <w:rPr>
          <w:noProof/>
        </w:rPr>
        <w:t>ach krajowego porządku prawnego państw członkowskich nowej formy prawnej stowarzyszeń niekomercyjnych służącej prowadzeniu działalności transgranicznej oraz poprzez określenie warunków ich działalności</w:t>
      </w:r>
      <w:r w:rsidR="00C13C75" w:rsidRPr="00853D04">
        <w:rPr>
          <w:noProof/>
        </w:rPr>
        <w:t xml:space="preserve"> i</w:t>
      </w:r>
      <w:r w:rsidR="00C13C75">
        <w:rPr>
          <w:noProof/>
        </w:rPr>
        <w:t> </w:t>
      </w:r>
      <w:r w:rsidR="00C13C75" w:rsidRPr="00853D04">
        <w:rPr>
          <w:noProof/>
        </w:rPr>
        <w:t>mob</w:t>
      </w:r>
      <w:r w:rsidRPr="00853D04">
        <w:rPr>
          <w:noProof/>
        </w:rPr>
        <w:t>ilności</w:t>
      </w:r>
      <w:r w:rsidR="00C13C75" w:rsidRPr="00853D04">
        <w:rPr>
          <w:noProof/>
        </w:rPr>
        <w:t xml:space="preserve"> w</w:t>
      </w:r>
      <w:r w:rsidR="00C13C75">
        <w:rPr>
          <w:noProof/>
        </w:rPr>
        <w:t> </w:t>
      </w:r>
      <w:r w:rsidR="00C13C75" w:rsidRPr="00853D04">
        <w:rPr>
          <w:noProof/>
        </w:rPr>
        <w:t>cał</w:t>
      </w:r>
      <w:r w:rsidRPr="00853D04">
        <w:rPr>
          <w:noProof/>
        </w:rPr>
        <w:t>ej Unii, niniejszy wniosek prowadzi do zbliżenia działań prawnych</w:t>
      </w:r>
      <w:r w:rsidR="00C13C75" w:rsidRPr="00853D04">
        <w:rPr>
          <w:noProof/>
        </w:rPr>
        <w:t xml:space="preserve"> i</w:t>
      </w:r>
      <w:r w:rsidR="00C13C75">
        <w:rPr>
          <w:noProof/>
        </w:rPr>
        <w:t> </w:t>
      </w:r>
      <w:r w:rsidR="00C13C75" w:rsidRPr="00853D04">
        <w:rPr>
          <w:noProof/>
        </w:rPr>
        <w:t>adm</w:t>
      </w:r>
      <w:r w:rsidRPr="00853D04">
        <w:rPr>
          <w:noProof/>
        </w:rPr>
        <w:t>inistracyjnych</w:t>
      </w:r>
      <w:r w:rsidR="00C13C75" w:rsidRPr="00853D04">
        <w:rPr>
          <w:noProof/>
        </w:rPr>
        <w:t xml:space="preserve"> w</w:t>
      </w:r>
      <w:r w:rsidR="00C13C75">
        <w:rPr>
          <w:noProof/>
        </w:rPr>
        <w:t> </w:t>
      </w:r>
      <w:r w:rsidR="00C13C75" w:rsidRPr="00853D04">
        <w:rPr>
          <w:noProof/>
        </w:rPr>
        <w:t>pań</w:t>
      </w:r>
      <w:r w:rsidRPr="00853D04">
        <w:rPr>
          <w:noProof/>
        </w:rPr>
        <w:t>stwach członkowskich</w:t>
      </w:r>
      <w:r w:rsidR="00C13C75" w:rsidRPr="00853D04">
        <w:rPr>
          <w:noProof/>
        </w:rPr>
        <w:t xml:space="preserve"> w</w:t>
      </w:r>
      <w:r w:rsidR="00C13C75">
        <w:rPr>
          <w:noProof/>
        </w:rPr>
        <w:t> </w:t>
      </w:r>
      <w:r w:rsidR="00C13C75" w:rsidRPr="00853D04">
        <w:rPr>
          <w:noProof/>
        </w:rPr>
        <w:t>odn</w:t>
      </w:r>
      <w:r w:rsidRPr="00853D04">
        <w:rPr>
          <w:noProof/>
        </w:rPr>
        <w:t>iesieniu do stowarzyszeń niekomercyjnych,</w:t>
      </w:r>
      <w:r w:rsidR="00C13C75" w:rsidRPr="00853D04">
        <w:rPr>
          <w:noProof/>
        </w:rPr>
        <w:t xml:space="preserve"> a</w:t>
      </w:r>
      <w:r w:rsidR="00C13C75">
        <w:rPr>
          <w:noProof/>
        </w:rPr>
        <w:t> </w:t>
      </w:r>
      <w:r w:rsidR="00C13C75" w:rsidRPr="00853D04">
        <w:rPr>
          <w:noProof/>
        </w:rPr>
        <w:t>tym</w:t>
      </w:r>
      <w:r w:rsidRPr="00853D04">
        <w:rPr>
          <w:noProof/>
        </w:rPr>
        <w:t xml:space="preserve"> samym przyczynia się do funkcjonowania rynku wewnętrznego.</w:t>
      </w:r>
    </w:p>
    <w:p w14:paraId="75AD2177" w14:textId="71802E35" w:rsidR="002F1B2A" w:rsidRPr="00853D04" w:rsidRDefault="00E60D46" w:rsidP="00BA3BD8">
      <w:pPr>
        <w:rPr>
          <w:noProof/>
        </w:rPr>
      </w:pPr>
      <w:r w:rsidRPr="00853D04">
        <w:rPr>
          <w:noProof/>
        </w:rPr>
        <w:t>W związku</w:t>
      </w:r>
      <w:r w:rsidR="00C13C75" w:rsidRPr="00853D04">
        <w:rPr>
          <w:noProof/>
        </w:rPr>
        <w:t xml:space="preserve"> z</w:t>
      </w:r>
      <w:r w:rsidR="00C13C75">
        <w:rPr>
          <w:noProof/>
        </w:rPr>
        <w:t> </w:t>
      </w:r>
      <w:r w:rsidR="00C13C75" w:rsidRPr="00853D04">
        <w:rPr>
          <w:noProof/>
        </w:rPr>
        <w:t>tym</w:t>
      </w:r>
      <w:r w:rsidRPr="00853D04">
        <w:rPr>
          <w:noProof/>
        </w:rPr>
        <w:t xml:space="preserve"> </w:t>
      </w:r>
      <w:r w:rsidRPr="00C13C75">
        <w:rPr>
          <w:noProof/>
        </w:rPr>
        <w:t>art.</w:t>
      </w:r>
      <w:r w:rsidR="00C13C75" w:rsidRPr="00C13C75">
        <w:rPr>
          <w:noProof/>
        </w:rPr>
        <w:t> </w:t>
      </w:r>
      <w:r w:rsidRPr="00C13C75">
        <w:rPr>
          <w:noProof/>
        </w:rPr>
        <w:t>5</w:t>
      </w:r>
      <w:r w:rsidRPr="00853D04">
        <w:rPr>
          <w:noProof/>
        </w:rPr>
        <w:t>0 TFUE stanowi właściwą podstawę prawną dla środków mających bezpośrednio na celu poprawę prawa przedsiębiorczości stowarzyszeń</w:t>
      </w:r>
      <w:r w:rsidR="00C13C75" w:rsidRPr="00853D04">
        <w:rPr>
          <w:noProof/>
        </w:rPr>
        <w:t xml:space="preserve"> i</w:t>
      </w:r>
      <w:r w:rsidR="00C13C75">
        <w:rPr>
          <w:noProof/>
        </w:rPr>
        <w:t> </w:t>
      </w:r>
      <w:r w:rsidR="00C13C75" w:rsidRPr="00853D04">
        <w:rPr>
          <w:noProof/>
        </w:rPr>
        <w:t>ich</w:t>
      </w:r>
      <w:r w:rsidRPr="00853D04">
        <w:rPr>
          <w:noProof/>
        </w:rPr>
        <w:t xml:space="preserve"> mobilności na rynku wewnętrznym. </w:t>
      </w:r>
    </w:p>
    <w:p w14:paraId="0DE9C10E" w14:textId="2744B42B" w:rsidR="00215691" w:rsidRPr="00853D04" w:rsidRDefault="00215691" w:rsidP="00BA3BD8">
      <w:pPr>
        <w:rPr>
          <w:noProof/>
        </w:rPr>
      </w:pPr>
      <w:r w:rsidRPr="00853D04">
        <w:rPr>
          <w:noProof/>
        </w:rPr>
        <w:t>Art. 50 TFUE jest powiązany</w:t>
      </w:r>
      <w:r w:rsidR="00C13C75" w:rsidRPr="00853D04">
        <w:rPr>
          <w:noProof/>
        </w:rPr>
        <w:t xml:space="preserve"> z</w:t>
      </w:r>
      <w:r w:rsidR="00C13C75">
        <w:rPr>
          <w:noProof/>
        </w:rPr>
        <w:t> </w:t>
      </w:r>
      <w:r w:rsidR="00C13C75" w:rsidRPr="00C13C75">
        <w:rPr>
          <w:noProof/>
        </w:rPr>
        <w:t>art</w:t>
      </w:r>
      <w:r w:rsidRPr="00C13C75">
        <w:rPr>
          <w:noProof/>
        </w:rPr>
        <w:t>.</w:t>
      </w:r>
      <w:r w:rsidR="00C13C75" w:rsidRPr="00C13C75">
        <w:rPr>
          <w:noProof/>
        </w:rPr>
        <w:t> </w:t>
      </w:r>
      <w:r w:rsidRPr="00C13C75">
        <w:rPr>
          <w:noProof/>
        </w:rPr>
        <w:t>1</w:t>
      </w:r>
      <w:r w:rsidRPr="00853D04">
        <w:rPr>
          <w:noProof/>
        </w:rPr>
        <w:t>14 TFUE. Oprócz ułatwienia swobody przedsiębiorczości proponowana dyrektywa ma</w:t>
      </w:r>
      <w:r w:rsidR="00C13C75" w:rsidRPr="00853D04">
        <w:rPr>
          <w:noProof/>
        </w:rPr>
        <w:t xml:space="preserve"> w</w:t>
      </w:r>
      <w:r w:rsidR="00C13C75">
        <w:rPr>
          <w:noProof/>
        </w:rPr>
        <w:t> </w:t>
      </w:r>
      <w:r w:rsidR="00C13C75" w:rsidRPr="00853D04">
        <w:rPr>
          <w:noProof/>
        </w:rPr>
        <w:t>ist</w:t>
      </w:r>
      <w:r w:rsidRPr="00853D04">
        <w:rPr>
          <w:noProof/>
        </w:rPr>
        <w:t>ocie na celu zapewnienie stowarzyszeniom niekomercyjnym pełnego korzystania ze swobodnego przepływu towarów, prowadzenia działalności gospodarczej</w:t>
      </w:r>
      <w:r w:rsidR="00C13C75" w:rsidRPr="00853D04">
        <w:rPr>
          <w:noProof/>
        </w:rPr>
        <w:t xml:space="preserve"> i</w:t>
      </w:r>
      <w:r w:rsidR="00C13C75">
        <w:rPr>
          <w:noProof/>
        </w:rPr>
        <w:t> </w:t>
      </w:r>
      <w:r w:rsidR="00C13C75" w:rsidRPr="00853D04">
        <w:rPr>
          <w:noProof/>
        </w:rPr>
        <w:t>otr</w:t>
      </w:r>
      <w:r w:rsidRPr="00853D04">
        <w:rPr>
          <w:noProof/>
        </w:rPr>
        <w:t>zymywania usług oraz korzystania ze swobody otrzymywania kapitału. Służy temu zniesienie ograniczeń,</w:t>
      </w:r>
      <w:r w:rsidR="00C13C75" w:rsidRPr="00853D04">
        <w:rPr>
          <w:noProof/>
        </w:rPr>
        <w:t xml:space="preserve"> w</w:t>
      </w:r>
      <w:r w:rsidR="00C13C75">
        <w:rPr>
          <w:noProof/>
        </w:rPr>
        <w:t> </w:t>
      </w:r>
      <w:r w:rsidR="00C13C75" w:rsidRPr="00853D04">
        <w:rPr>
          <w:noProof/>
        </w:rPr>
        <w:t>szc</w:t>
      </w:r>
      <w:r w:rsidRPr="00853D04">
        <w:rPr>
          <w:noProof/>
        </w:rPr>
        <w:t>zególności związanych</w:t>
      </w:r>
      <w:r w:rsidR="00C13C75" w:rsidRPr="00853D04">
        <w:rPr>
          <w:noProof/>
        </w:rPr>
        <w:t xml:space="preserve"> z</w:t>
      </w:r>
      <w:r w:rsidR="00C13C75">
        <w:rPr>
          <w:noProof/>
        </w:rPr>
        <w:t> </w:t>
      </w:r>
      <w:r w:rsidR="00C13C75" w:rsidRPr="00853D04">
        <w:rPr>
          <w:noProof/>
        </w:rPr>
        <w:t>reg</w:t>
      </w:r>
      <w:r w:rsidRPr="00853D04">
        <w:rPr>
          <w:noProof/>
        </w:rPr>
        <w:t>ulacją działalności gospodarczej</w:t>
      </w:r>
      <w:r w:rsidR="00C13C75" w:rsidRPr="00853D04">
        <w:rPr>
          <w:noProof/>
        </w:rPr>
        <w:t xml:space="preserve"> i</w:t>
      </w:r>
      <w:r w:rsidR="00C13C75">
        <w:rPr>
          <w:noProof/>
        </w:rPr>
        <w:t> </w:t>
      </w:r>
      <w:r w:rsidR="00C13C75" w:rsidRPr="00853D04">
        <w:rPr>
          <w:noProof/>
        </w:rPr>
        <w:t>kie</w:t>
      </w:r>
      <w:r w:rsidRPr="00853D04">
        <w:rPr>
          <w:noProof/>
        </w:rPr>
        <w:t>rowaniem kapitału</w:t>
      </w:r>
      <w:r w:rsidR="00C13C75" w:rsidRPr="00853D04">
        <w:rPr>
          <w:noProof/>
        </w:rPr>
        <w:t>. W</w:t>
      </w:r>
      <w:r w:rsidR="00C13C75">
        <w:rPr>
          <w:noProof/>
        </w:rPr>
        <w:t> </w:t>
      </w:r>
      <w:r w:rsidR="00C13C75" w:rsidRPr="00853D04">
        <w:rPr>
          <w:noProof/>
        </w:rPr>
        <w:t>zwi</w:t>
      </w:r>
      <w:r w:rsidRPr="00853D04">
        <w:rPr>
          <w:noProof/>
        </w:rPr>
        <w:t>ązku</w:t>
      </w:r>
      <w:r w:rsidR="00C13C75" w:rsidRPr="00853D04">
        <w:rPr>
          <w:noProof/>
        </w:rPr>
        <w:t xml:space="preserve"> z</w:t>
      </w:r>
      <w:r w:rsidR="00C13C75">
        <w:rPr>
          <w:noProof/>
        </w:rPr>
        <w:t> </w:t>
      </w:r>
      <w:r w:rsidR="00C13C75" w:rsidRPr="00853D04">
        <w:rPr>
          <w:noProof/>
        </w:rPr>
        <w:t>tym</w:t>
      </w:r>
      <w:r w:rsidRPr="00853D04">
        <w:rPr>
          <w:noProof/>
        </w:rPr>
        <w:t xml:space="preserve"> </w:t>
      </w:r>
      <w:r w:rsidRPr="00C13C75">
        <w:rPr>
          <w:noProof/>
        </w:rPr>
        <w:t>art.</w:t>
      </w:r>
      <w:r w:rsidR="00C13C75" w:rsidRPr="00C13C75">
        <w:rPr>
          <w:noProof/>
        </w:rPr>
        <w:t> </w:t>
      </w:r>
      <w:r w:rsidRPr="00C13C75">
        <w:rPr>
          <w:noProof/>
        </w:rPr>
        <w:t>1</w:t>
      </w:r>
      <w:r w:rsidRPr="00853D04">
        <w:rPr>
          <w:noProof/>
        </w:rPr>
        <w:t>14 TFUE stanowi dodatkową podstawę prawną interwencji, która obejmuje stowarzyszenia niekomercyjne prowadzące działalność gospodarczą na rynku wewnętrznym, przez harmonizację rozbieżnych przepisów państw członkowskich ograniczających prowadzenie przez te stowarzyszenia działalności gospodarczej</w:t>
      </w:r>
      <w:r w:rsidR="00C13C75" w:rsidRPr="00853D04">
        <w:rPr>
          <w:noProof/>
        </w:rPr>
        <w:t xml:space="preserve"> i</w:t>
      </w:r>
      <w:r w:rsidR="00C13C75">
        <w:rPr>
          <w:noProof/>
        </w:rPr>
        <w:t> </w:t>
      </w:r>
      <w:r w:rsidR="00C13C75" w:rsidRPr="00853D04">
        <w:rPr>
          <w:noProof/>
        </w:rPr>
        <w:t>ich</w:t>
      </w:r>
      <w:r w:rsidRPr="00853D04">
        <w:rPr>
          <w:noProof/>
        </w:rPr>
        <w:t xml:space="preserve"> swobodę otrzymywania kapitału, które to elementy mają bezpośredni wpływ na funkcjonowanie rynku wewnętrznego.</w:t>
      </w:r>
    </w:p>
    <w:p w14:paraId="5B9FDC13" w14:textId="77777777" w:rsidR="00FE2D13" w:rsidRPr="00853D04" w:rsidRDefault="00FE2D13" w:rsidP="003946D3">
      <w:pPr>
        <w:rPr>
          <w:noProof/>
        </w:rPr>
      </w:pPr>
    </w:p>
    <w:p w14:paraId="1ECAA244" w14:textId="77777777" w:rsidR="00215691" w:rsidRPr="00853D04" w:rsidRDefault="00215691" w:rsidP="003946D3">
      <w:pPr>
        <w:pStyle w:val="ManualHeading2"/>
        <w:rPr>
          <w:noProof/>
        </w:rPr>
      </w:pPr>
      <w:r w:rsidRPr="00853D04">
        <w:rPr>
          <w:noProof/>
        </w:rPr>
        <w:t>•</w:t>
      </w:r>
      <w:r w:rsidRPr="00853D04">
        <w:rPr>
          <w:noProof/>
        </w:rPr>
        <w:tab/>
        <w:t xml:space="preserve">Pomocniczość (w przypadku kompetencji niewyłącznych) </w:t>
      </w:r>
    </w:p>
    <w:p w14:paraId="5EBFCA9E" w14:textId="1888226C" w:rsidR="00215691" w:rsidRPr="00853D04" w:rsidRDefault="00215691" w:rsidP="003946D3">
      <w:pPr>
        <w:rPr>
          <w:noProof/>
        </w:rPr>
      </w:pPr>
      <w:r w:rsidRPr="00853D04">
        <w:rPr>
          <w:noProof/>
        </w:rPr>
        <w:t>Ogólnym celem wniosku jest wyeliminowanie barier dla transgranicznej działalności gospodarczej</w:t>
      </w:r>
      <w:r w:rsidR="00C13C75" w:rsidRPr="00853D04">
        <w:rPr>
          <w:noProof/>
        </w:rPr>
        <w:t xml:space="preserve"> i</w:t>
      </w:r>
      <w:r w:rsidR="00C13C75">
        <w:rPr>
          <w:noProof/>
        </w:rPr>
        <w:t> </w:t>
      </w:r>
      <w:r w:rsidR="00C13C75" w:rsidRPr="00853D04">
        <w:rPr>
          <w:noProof/>
        </w:rPr>
        <w:t>tra</w:t>
      </w:r>
      <w:r w:rsidRPr="00853D04">
        <w:rPr>
          <w:noProof/>
        </w:rPr>
        <w:t xml:space="preserve">nsgranicznej mobilności stowarzyszeń niekomercyjnych na rynku wewnętrznym. </w:t>
      </w:r>
    </w:p>
    <w:p w14:paraId="7ECCE6E9" w14:textId="55B57761" w:rsidR="00215691" w:rsidRPr="00853D04" w:rsidRDefault="00215691" w:rsidP="003946D3">
      <w:pPr>
        <w:rPr>
          <w:noProof/>
        </w:rPr>
      </w:pPr>
      <w:r w:rsidRPr="00853D04">
        <w:rPr>
          <w:noProof/>
        </w:rPr>
        <w:t>Działanie na szczeblu unijnym stanowi wyraźną wartość dodaną, ponieważ problemy, których dotyczy niniejszy wniosek, mają znaczący wymiar transgraniczny. Obecnie istnieje niewielki stopień koordynacji między państwami członkowskimi służącej ułatwieniu transgranicznej działalności gospodarczej stowarzyszeń niekomercyjnych, ich mobilności oraz zdolności do korzystania ze swobód rynku wewnętrznego. Taka koordynacja, choć teoretycznie możliwa, wydaje się mało prawdopodobna</w:t>
      </w:r>
      <w:r w:rsidR="00C13C75" w:rsidRPr="00853D04">
        <w:rPr>
          <w:noProof/>
        </w:rPr>
        <w:t xml:space="preserve"> w</w:t>
      </w:r>
      <w:r w:rsidR="00C13C75">
        <w:rPr>
          <w:noProof/>
        </w:rPr>
        <w:t> </w:t>
      </w:r>
      <w:r w:rsidR="00C13C75" w:rsidRPr="00853D04">
        <w:rPr>
          <w:noProof/>
        </w:rPr>
        <w:t>naj</w:t>
      </w:r>
      <w:r w:rsidRPr="00853D04">
        <w:rPr>
          <w:noProof/>
        </w:rPr>
        <w:t>bliższej przyszłości. Przykładowo po wycofaniu przez Komisję</w:t>
      </w:r>
      <w:r w:rsidR="00C13C75" w:rsidRPr="00853D04">
        <w:rPr>
          <w:noProof/>
        </w:rPr>
        <w:t xml:space="preserve"> w</w:t>
      </w:r>
      <w:r w:rsidR="00C13C75">
        <w:rPr>
          <w:noProof/>
        </w:rPr>
        <w:t> </w:t>
      </w:r>
      <w:r w:rsidR="00C13C75" w:rsidRPr="00853D04">
        <w:rPr>
          <w:noProof/>
        </w:rPr>
        <w:t>2</w:t>
      </w:r>
      <w:r w:rsidRPr="00853D04">
        <w:rPr>
          <w:noProof/>
        </w:rPr>
        <w:t>0</w:t>
      </w:r>
      <w:r w:rsidRPr="00C13C75">
        <w:rPr>
          <w:noProof/>
        </w:rPr>
        <w:t>05</w:t>
      </w:r>
      <w:r w:rsidR="00C13C75" w:rsidRPr="00C13C75">
        <w:rPr>
          <w:noProof/>
        </w:rPr>
        <w:t> </w:t>
      </w:r>
      <w:r w:rsidRPr="00C13C75">
        <w:rPr>
          <w:noProof/>
        </w:rPr>
        <w:t>r.</w:t>
      </w:r>
      <w:r w:rsidRPr="00853D04">
        <w:rPr>
          <w:noProof/>
        </w:rPr>
        <w:t xml:space="preserve"> wniosku</w:t>
      </w:r>
      <w:r w:rsidR="00C13C75" w:rsidRPr="00853D04">
        <w:rPr>
          <w:noProof/>
        </w:rPr>
        <w:t xml:space="preserve"> w</w:t>
      </w:r>
      <w:r w:rsidR="00C13C75">
        <w:rPr>
          <w:noProof/>
        </w:rPr>
        <w:t> </w:t>
      </w:r>
      <w:r w:rsidR="00C13C75" w:rsidRPr="00853D04">
        <w:rPr>
          <w:noProof/>
        </w:rPr>
        <w:t>spr</w:t>
      </w:r>
      <w:r w:rsidRPr="00853D04">
        <w:rPr>
          <w:noProof/>
        </w:rPr>
        <w:t>awie utworzenia statutu stowarzyszenia europejskiego tylko trzy państwa członkowskie wprowadziły przepisy ułatwiające transgraniczną działalność stowarzyszeń niekomercyjnych</w:t>
      </w:r>
      <w:r w:rsidR="00C13C75" w:rsidRPr="00853D04">
        <w:rPr>
          <w:noProof/>
        </w:rPr>
        <w:t xml:space="preserve"> w</w:t>
      </w:r>
      <w:r w:rsidR="00C13C75">
        <w:rPr>
          <w:noProof/>
        </w:rPr>
        <w:t> </w:t>
      </w:r>
      <w:r w:rsidR="00C13C75" w:rsidRPr="00853D04">
        <w:rPr>
          <w:noProof/>
        </w:rPr>
        <w:t>dro</w:t>
      </w:r>
      <w:r w:rsidRPr="00853D04">
        <w:rPr>
          <w:noProof/>
        </w:rPr>
        <w:t>dze obowiązku rejestracyjnego</w:t>
      </w:r>
      <w:r w:rsidR="00C13C75" w:rsidRPr="00853D04">
        <w:rPr>
          <w:noProof/>
        </w:rPr>
        <w:t>. W</w:t>
      </w:r>
      <w:r w:rsidR="00C13C75">
        <w:rPr>
          <w:noProof/>
        </w:rPr>
        <w:t> </w:t>
      </w:r>
      <w:r w:rsidR="00C13C75" w:rsidRPr="00853D04">
        <w:rPr>
          <w:noProof/>
        </w:rPr>
        <w:t>szc</w:t>
      </w:r>
      <w:r w:rsidRPr="00853D04">
        <w:rPr>
          <w:noProof/>
        </w:rPr>
        <w:t>zególności indywidualne działanie państw członkowskich (lub jego brak) koncentruje się głównie na regulowaniu stowarzyszeń niekomercyjnych</w:t>
      </w:r>
      <w:r w:rsidR="00C13C75" w:rsidRPr="00853D04">
        <w:rPr>
          <w:noProof/>
        </w:rPr>
        <w:t xml:space="preserve"> w</w:t>
      </w:r>
      <w:r w:rsidR="00C13C75">
        <w:rPr>
          <w:noProof/>
        </w:rPr>
        <w:t> </w:t>
      </w:r>
      <w:r w:rsidR="00C13C75" w:rsidRPr="00853D04">
        <w:rPr>
          <w:noProof/>
        </w:rPr>
        <w:t>ich</w:t>
      </w:r>
      <w:r w:rsidRPr="00853D04">
        <w:rPr>
          <w:noProof/>
        </w:rPr>
        <w:t xml:space="preserve"> specyficznym kontekście krajowym</w:t>
      </w:r>
      <w:r w:rsidR="00C13C75" w:rsidRPr="00853D04">
        <w:rPr>
          <w:noProof/>
        </w:rPr>
        <w:t xml:space="preserve"> i</w:t>
      </w:r>
      <w:r w:rsidR="00C13C75">
        <w:rPr>
          <w:noProof/>
        </w:rPr>
        <w:t> </w:t>
      </w:r>
      <w:r w:rsidR="00C13C75" w:rsidRPr="00853D04">
        <w:rPr>
          <w:noProof/>
        </w:rPr>
        <w:t>nie</w:t>
      </w:r>
      <w:r w:rsidRPr="00853D04">
        <w:rPr>
          <w:noProof/>
        </w:rPr>
        <w:t xml:space="preserve"> dotyczy wymiaru transgranicznego</w:t>
      </w:r>
      <w:r w:rsidR="00C13C75" w:rsidRPr="00853D04">
        <w:rPr>
          <w:noProof/>
        </w:rPr>
        <w:t xml:space="preserve"> z</w:t>
      </w:r>
      <w:r w:rsidR="00C13C75">
        <w:rPr>
          <w:noProof/>
        </w:rPr>
        <w:t> </w:t>
      </w:r>
      <w:r w:rsidR="00C13C75" w:rsidRPr="00853D04">
        <w:rPr>
          <w:noProof/>
        </w:rPr>
        <w:t>wyj</w:t>
      </w:r>
      <w:r w:rsidRPr="00853D04">
        <w:rPr>
          <w:noProof/>
        </w:rPr>
        <w:t>ątkiem kilku państw członkowskich. Dyrektywa ma wyłącznie wymiar transgraniczny, ponieważ ustanawia formę prawną ukierunkowaną na stowarzyszenia niekomercyjne zainteresowane działalnością</w:t>
      </w:r>
      <w:r w:rsidR="00C13C75" w:rsidRPr="00853D04">
        <w:rPr>
          <w:noProof/>
        </w:rPr>
        <w:t xml:space="preserve"> w</w:t>
      </w:r>
      <w:r w:rsidR="00C13C75">
        <w:rPr>
          <w:noProof/>
        </w:rPr>
        <w:t> </w:t>
      </w:r>
      <w:r w:rsidR="00C13C75" w:rsidRPr="00853D04">
        <w:rPr>
          <w:noProof/>
        </w:rPr>
        <w:t>wię</w:t>
      </w:r>
      <w:r w:rsidRPr="00853D04">
        <w:rPr>
          <w:noProof/>
        </w:rPr>
        <w:t>cej niż jednym państwie członkowskim (europejskie stowarzyszenie transgraniczne)</w:t>
      </w:r>
      <w:r w:rsidR="00C13C75" w:rsidRPr="00853D04">
        <w:rPr>
          <w:noProof/>
        </w:rPr>
        <w:t xml:space="preserve"> i</w:t>
      </w:r>
      <w:r w:rsidR="00C13C75">
        <w:rPr>
          <w:noProof/>
        </w:rPr>
        <w:t> </w:t>
      </w:r>
      <w:r w:rsidR="00C13C75" w:rsidRPr="00853D04">
        <w:rPr>
          <w:noProof/>
        </w:rPr>
        <w:t>okr</w:t>
      </w:r>
      <w:r w:rsidRPr="00853D04">
        <w:rPr>
          <w:noProof/>
        </w:rPr>
        <w:t>eśla warunki ich działalności,</w:t>
      </w:r>
      <w:r w:rsidR="00C13C75" w:rsidRPr="00853D04">
        <w:rPr>
          <w:noProof/>
        </w:rPr>
        <w:t xml:space="preserve"> a</w:t>
      </w:r>
      <w:r w:rsidR="00C13C75">
        <w:rPr>
          <w:noProof/>
        </w:rPr>
        <w:t> </w:t>
      </w:r>
      <w:r w:rsidR="00C13C75" w:rsidRPr="00853D04">
        <w:rPr>
          <w:noProof/>
        </w:rPr>
        <w:t>jej</w:t>
      </w:r>
      <w:r w:rsidRPr="00853D04">
        <w:rPr>
          <w:noProof/>
        </w:rPr>
        <w:t xml:space="preserve"> celem jest pomoc tym stowarzyszeniom niekomercyjnym</w:t>
      </w:r>
      <w:r w:rsidR="00C13C75" w:rsidRPr="00853D04">
        <w:rPr>
          <w:noProof/>
        </w:rPr>
        <w:t xml:space="preserve"> w</w:t>
      </w:r>
      <w:r w:rsidR="00C13C75">
        <w:rPr>
          <w:noProof/>
        </w:rPr>
        <w:t> </w:t>
      </w:r>
      <w:r w:rsidR="00C13C75" w:rsidRPr="00853D04">
        <w:rPr>
          <w:noProof/>
        </w:rPr>
        <w:t>peł</w:t>
      </w:r>
      <w:r w:rsidRPr="00853D04">
        <w:rPr>
          <w:noProof/>
        </w:rPr>
        <w:t>nym korzystaniu ze swobód rynku wewnętrznego przez uznanie ich osobowości prawnej</w:t>
      </w:r>
      <w:r w:rsidR="00C13C75" w:rsidRPr="00853D04">
        <w:rPr>
          <w:noProof/>
        </w:rPr>
        <w:t xml:space="preserve"> w</w:t>
      </w:r>
      <w:r w:rsidR="00C13C75">
        <w:rPr>
          <w:noProof/>
        </w:rPr>
        <w:t> </w:t>
      </w:r>
      <w:r w:rsidR="00C13C75" w:rsidRPr="00853D04">
        <w:rPr>
          <w:noProof/>
        </w:rPr>
        <w:t>cał</w:t>
      </w:r>
      <w:r w:rsidRPr="00853D04">
        <w:rPr>
          <w:noProof/>
        </w:rPr>
        <w:t>ej Unii oraz większą jasność procedur administracyjnych mających zastosowanie przy prowadzeniu działalności transgranicznej. Opieranie się wyłącznie na działaniach państw członkowskich prawdopodobnie skutkowałoby utrzymaniem się barier prawnych</w:t>
      </w:r>
      <w:r w:rsidR="00C13C75" w:rsidRPr="00853D04">
        <w:rPr>
          <w:noProof/>
        </w:rPr>
        <w:t xml:space="preserve"> i</w:t>
      </w:r>
      <w:r w:rsidR="00C13C75">
        <w:rPr>
          <w:noProof/>
        </w:rPr>
        <w:t> </w:t>
      </w:r>
      <w:r w:rsidR="00C13C75" w:rsidRPr="00853D04">
        <w:rPr>
          <w:noProof/>
        </w:rPr>
        <w:t>adm</w:t>
      </w:r>
      <w:r w:rsidRPr="00853D04">
        <w:rPr>
          <w:noProof/>
        </w:rPr>
        <w:t>inistracyjnych,</w:t>
      </w:r>
      <w:r w:rsidR="00C13C75" w:rsidRPr="00853D04">
        <w:rPr>
          <w:noProof/>
        </w:rPr>
        <w:t xml:space="preserve"> z</w:t>
      </w:r>
      <w:r w:rsidR="00C13C75">
        <w:rPr>
          <w:noProof/>
        </w:rPr>
        <w:t> </w:t>
      </w:r>
      <w:r w:rsidR="00C13C75" w:rsidRPr="00853D04">
        <w:rPr>
          <w:noProof/>
        </w:rPr>
        <w:t>któ</w:t>
      </w:r>
      <w:r w:rsidRPr="00853D04">
        <w:rPr>
          <w:noProof/>
        </w:rPr>
        <w:t>rymi borykają się stowarzyszenia niekomercyjne angażujące się</w:t>
      </w:r>
      <w:r w:rsidR="00C13C75" w:rsidRPr="00853D04">
        <w:rPr>
          <w:noProof/>
        </w:rPr>
        <w:t xml:space="preserve"> w</w:t>
      </w:r>
      <w:r w:rsidR="00C13C75">
        <w:rPr>
          <w:noProof/>
        </w:rPr>
        <w:t> </w:t>
      </w:r>
      <w:r w:rsidR="00C13C75" w:rsidRPr="00853D04">
        <w:rPr>
          <w:noProof/>
        </w:rPr>
        <w:t>dzi</w:t>
      </w:r>
      <w:r w:rsidRPr="00853D04">
        <w:rPr>
          <w:noProof/>
        </w:rPr>
        <w:t>ałalność transgraniczną, co powodowałoby utrzymanie braku pewności prawa</w:t>
      </w:r>
      <w:r w:rsidR="00C13C75" w:rsidRPr="00853D04">
        <w:rPr>
          <w:noProof/>
        </w:rPr>
        <w:t xml:space="preserve"> i</w:t>
      </w:r>
      <w:r w:rsidR="00C13C75">
        <w:rPr>
          <w:noProof/>
        </w:rPr>
        <w:t> </w:t>
      </w:r>
      <w:r w:rsidR="00C13C75" w:rsidRPr="00853D04">
        <w:rPr>
          <w:noProof/>
        </w:rPr>
        <w:t>biu</w:t>
      </w:r>
      <w:r w:rsidRPr="00853D04">
        <w:rPr>
          <w:noProof/>
        </w:rPr>
        <w:t xml:space="preserve">rokracji oraz nie pozwoliłoby na zapewnienie równych warunków działania stowarzyszeniom niekomercyjnym na rynku wewnętrznym. </w:t>
      </w:r>
    </w:p>
    <w:p w14:paraId="15C37ED8" w14:textId="45BBD13B" w:rsidR="0016351A" w:rsidRPr="00853D04" w:rsidRDefault="00837463" w:rsidP="00215691">
      <w:pPr>
        <w:pBdr>
          <w:top w:val="nil"/>
          <w:left w:val="nil"/>
          <w:bottom w:val="nil"/>
          <w:right w:val="nil"/>
          <w:between w:val="nil"/>
          <w:bar w:val="nil"/>
        </w:pBdr>
        <w:spacing w:before="0" w:after="240"/>
        <w:rPr>
          <w:noProof/>
        </w:rPr>
      </w:pPr>
      <w:r w:rsidRPr="00853D04">
        <w:rPr>
          <w:noProof/>
        </w:rPr>
        <w:t>Przez podjęcie działań UE zapewni jasne</w:t>
      </w:r>
      <w:r w:rsidR="00C13C75" w:rsidRPr="00853D04">
        <w:rPr>
          <w:noProof/>
        </w:rPr>
        <w:t xml:space="preserve"> i</w:t>
      </w:r>
      <w:r w:rsidR="00C13C75">
        <w:rPr>
          <w:noProof/>
        </w:rPr>
        <w:t> </w:t>
      </w:r>
      <w:r w:rsidR="00C13C75" w:rsidRPr="00853D04">
        <w:rPr>
          <w:noProof/>
        </w:rPr>
        <w:t>prz</w:t>
      </w:r>
      <w:r w:rsidRPr="00853D04">
        <w:rPr>
          <w:noProof/>
        </w:rPr>
        <w:t>ewidywalne ramy umożliwiające stowarzyszeniom niekomercyjnym pełne korzystanie ze swobód rynku wewnętrznego podczas prowadzenia działalności transgranicznej. Cel niniejszej inicjatywy nie może zostać zatem osiągnięty</w:t>
      </w:r>
      <w:r w:rsidR="00C13C75" w:rsidRPr="00853D04">
        <w:rPr>
          <w:noProof/>
        </w:rPr>
        <w:t xml:space="preserve"> w</w:t>
      </w:r>
      <w:r w:rsidR="00C13C75">
        <w:rPr>
          <w:noProof/>
        </w:rPr>
        <w:t> </w:t>
      </w:r>
      <w:r w:rsidR="00C13C75" w:rsidRPr="00853D04">
        <w:rPr>
          <w:noProof/>
        </w:rPr>
        <w:t>wys</w:t>
      </w:r>
      <w:r w:rsidRPr="00853D04">
        <w:rPr>
          <w:noProof/>
        </w:rPr>
        <w:t xml:space="preserve">tarczającym stopniu przez same państwa członkowskie, ale może zostać skuteczniej zrealizowany na szczeblu Unii. </w:t>
      </w:r>
    </w:p>
    <w:p w14:paraId="07E5E43D" w14:textId="77777777" w:rsidR="00215691" w:rsidRPr="00853D04" w:rsidRDefault="00215691" w:rsidP="003946D3">
      <w:pPr>
        <w:pStyle w:val="ManualHeading2"/>
        <w:rPr>
          <w:noProof/>
        </w:rPr>
      </w:pPr>
      <w:r w:rsidRPr="00853D04">
        <w:rPr>
          <w:noProof/>
        </w:rPr>
        <w:t>•</w:t>
      </w:r>
      <w:r w:rsidRPr="00853D04">
        <w:rPr>
          <w:noProof/>
        </w:rPr>
        <w:tab/>
        <w:t>Proporcjonalność</w:t>
      </w:r>
    </w:p>
    <w:p w14:paraId="19719B61" w14:textId="5ADC7F37" w:rsidR="005C116D" w:rsidRPr="00853D04" w:rsidRDefault="005C116D" w:rsidP="005C116D">
      <w:pPr>
        <w:rPr>
          <w:noProof/>
        </w:rPr>
      </w:pPr>
      <w:r w:rsidRPr="00853D04">
        <w:rPr>
          <w:noProof/>
        </w:rPr>
        <w:t>Wniosek dotyczy stowarzyszeń niekomercyjnych, które prowadzą lub chcą prowadzić działalność transgraniczną,</w:t>
      </w:r>
      <w:r w:rsidR="00C13C75" w:rsidRPr="00853D04">
        <w:rPr>
          <w:noProof/>
        </w:rPr>
        <w:t xml:space="preserve"> i</w:t>
      </w:r>
      <w:r w:rsidR="00C13C75">
        <w:rPr>
          <w:noProof/>
        </w:rPr>
        <w:t> </w:t>
      </w:r>
      <w:r w:rsidR="00C13C75" w:rsidRPr="00853D04">
        <w:rPr>
          <w:noProof/>
        </w:rPr>
        <w:t>nie</w:t>
      </w:r>
      <w:r w:rsidRPr="00853D04">
        <w:rPr>
          <w:noProof/>
        </w:rPr>
        <w:t xml:space="preserve"> musi prowadzić do zmiany istniejących przepisów krajowych dotyczących stowarzyszeń niekomercyjnych</w:t>
      </w:r>
      <w:r w:rsidR="00C13C75" w:rsidRPr="00853D04">
        <w:rPr>
          <w:noProof/>
        </w:rPr>
        <w:t xml:space="preserve"> w</w:t>
      </w:r>
      <w:r w:rsidR="00C13C75">
        <w:rPr>
          <w:noProof/>
        </w:rPr>
        <w:t> </w:t>
      </w:r>
      <w:r w:rsidR="00C13C75" w:rsidRPr="00853D04">
        <w:rPr>
          <w:noProof/>
        </w:rPr>
        <w:t>pań</w:t>
      </w:r>
      <w:r w:rsidRPr="00853D04">
        <w:rPr>
          <w:noProof/>
        </w:rPr>
        <w:t>stwach członkowskich, ani nie będzie miał bezpośredniego wpływu na stowarzyszenia niekomercyjne niezainteresowane działalnością transgraniczną. Treść</w:t>
      </w:r>
      <w:r w:rsidR="00C13C75" w:rsidRPr="00853D04">
        <w:rPr>
          <w:noProof/>
        </w:rPr>
        <w:t xml:space="preserve"> i</w:t>
      </w:r>
      <w:r w:rsidR="00C13C75">
        <w:rPr>
          <w:noProof/>
        </w:rPr>
        <w:t> </w:t>
      </w:r>
      <w:r w:rsidR="00C13C75" w:rsidRPr="00853D04">
        <w:rPr>
          <w:noProof/>
        </w:rPr>
        <w:t>for</w:t>
      </w:r>
      <w:r w:rsidRPr="00853D04">
        <w:rPr>
          <w:noProof/>
        </w:rPr>
        <w:t>ma wniosku są zatem proporcjonalne do skali</w:t>
      </w:r>
      <w:r w:rsidR="00C13C75" w:rsidRPr="00853D04">
        <w:rPr>
          <w:noProof/>
        </w:rPr>
        <w:t xml:space="preserve"> i</w:t>
      </w:r>
      <w:r w:rsidR="00C13C75">
        <w:rPr>
          <w:noProof/>
        </w:rPr>
        <w:t> </w:t>
      </w:r>
      <w:r w:rsidR="00C13C75" w:rsidRPr="00853D04">
        <w:rPr>
          <w:noProof/>
        </w:rPr>
        <w:t>zak</w:t>
      </w:r>
      <w:r w:rsidRPr="00853D04">
        <w:rPr>
          <w:noProof/>
        </w:rPr>
        <w:t>resu zidentyfikowanych problemów,</w:t>
      </w:r>
      <w:r w:rsidR="00C13C75" w:rsidRPr="00853D04">
        <w:rPr>
          <w:noProof/>
        </w:rPr>
        <w:t xml:space="preserve"> z</w:t>
      </w:r>
      <w:r w:rsidR="00C13C75">
        <w:rPr>
          <w:noProof/>
        </w:rPr>
        <w:t> </w:t>
      </w:r>
      <w:r w:rsidR="00C13C75" w:rsidRPr="00853D04">
        <w:rPr>
          <w:noProof/>
        </w:rPr>
        <w:t>jak</w:t>
      </w:r>
      <w:r w:rsidRPr="00853D04">
        <w:rPr>
          <w:noProof/>
        </w:rPr>
        <w:t>imi borykają się stowarzyszenia niekomercyjną angażujące się</w:t>
      </w:r>
      <w:r w:rsidR="00C13C75" w:rsidRPr="00853D04">
        <w:rPr>
          <w:noProof/>
        </w:rPr>
        <w:t xml:space="preserve"> w</w:t>
      </w:r>
      <w:r w:rsidR="00C13C75">
        <w:rPr>
          <w:noProof/>
        </w:rPr>
        <w:t> </w:t>
      </w:r>
      <w:r w:rsidR="00C13C75" w:rsidRPr="00853D04">
        <w:rPr>
          <w:noProof/>
        </w:rPr>
        <w:t>dzi</w:t>
      </w:r>
      <w:r w:rsidRPr="00853D04">
        <w:rPr>
          <w:noProof/>
        </w:rPr>
        <w:t xml:space="preserve">ałalność lub mobilność transgraniczną. </w:t>
      </w:r>
    </w:p>
    <w:p w14:paraId="366299F4" w14:textId="5636099E" w:rsidR="005C116D" w:rsidRPr="00853D04" w:rsidRDefault="005C116D" w:rsidP="005C116D">
      <w:pPr>
        <w:rPr>
          <w:noProof/>
        </w:rPr>
      </w:pPr>
      <w:r w:rsidRPr="00853D04">
        <w:rPr>
          <w:noProof/>
        </w:rPr>
        <w:t>Specjalnie opracowana</w:t>
      </w:r>
      <w:r w:rsidR="00C13C75" w:rsidRPr="00853D04">
        <w:rPr>
          <w:noProof/>
        </w:rPr>
        <w:t xml:space="preserve"> i</w:t>
      </w:r>
      <w:r w:rsidR="00C13C75">
        <w:rPr>
          <w:noProof/>
        </w:rPr>
        <w:t> </w:t>
      </w:r>
      <w:r w:rsidR="00C13C75" w:rsidRPr="00853D04">
        <w:rPr>
          <w:noProof/>
        </w:rPr>
        <w:t>wpr</w:t>
      </w:r>
      <w:r w:rsidRPr="00853D04">
        <w:rPr>
          <w:noProof/>
        </w:rPr>
        <w:t>owadzana na szczeblu krajowym nowa forma prawna, która stanowi centralny element niniejszego wniosku, umożliwi państwom członkowskim elastyczne dostosowanie jej do swoich warunków. Przepisy określone</w:t>
      </w:r>
      <w:r w:rsidR="00C13C75" w:rsidRPr="00853D04">
        <w:rPr>
          <w:noProof/>
        </w:rPr>
        <w:t xml:space="preserve"> w</w:t>
      </w:r>
      <w:r w:rsidR="00C13C75">
        <w:rPr>
          <w:noProof/>
        </w:rPr>
        <w:t> </w:t>
      </w:r>
      <w:r w:rsidR="00C13C75" w:rsidRPr="00853D04">
        <w:rPr>
          <w:noProof/>
        </w:rPr>
        <w:t>pro</w:t>
      </w:r>
      <w:r w:rsidRPr="00853D04">
        <w:rPr>
          <w:noProof/>
        </w:rPr>
        <w:t>ponowanej dyrektywie nie będą wymagały zmiany przepisów państw członkowskich, regulujących istniejące formy stowarzyszeń niekomercyjnych, które mają siedzibę na ich terytorium.</w:t>
      </w:r>
    </w:p>
    <w:p w14:paraId="7FB8E494" w14:textId="46C57C1D" w:rsidR="00215691" w:rsidRPr="00853D04" w:rsidRDefault="005C116D" w:rsidP="005C116D">
      <w:pPr>
        <w:rPr>
          <w:noProof/>
        </w:rPr>
      </w:pPr>
      <w:r w:rsidRPr="00853D04">
        <w:rPr>
          <w:noProof/>
        </w:rPr>
        <w:t>W analizie wariantów strategicznych przeprowadzonej</w:t>
      </w:r>
      <w:r w:rsidR="00C13C75" w:rsidRPr="00853D04">
        <w:rPr>
          <w:noProof/>
        </w:rPr>
        <w:t xml:space="preserve"> w</w:t>
      </w:r>
      <w:r w:rsidR="00C13C75">
        <w:rPr>
          <w:noProof/>
        </w:rPr>
        <w:t> </w:t>
      </w:r>
      <w:r w:rsidR="00C13C75" w:rsidRPr="00853D04">
        <w:rPr>
          <w:noProof/>
        </w:rPr>
        <w:t>ram</w:t>
      </w:r>
      <w:r w:rsidRPr="00853D04">
        <w:rPr>
          <w:noProof/>
        </w:rPr>
        <w:t>ach oceny skutków,</w:t>
      </w:r>
      <w:r w:rsidR="00C13C75" w:rsidRPr="00853D04">
        <w:rPr>
          <w:noProof/>
        </w:rPr>
        <w:t xml:space="preserve"> w</w:t>
      </w:r>
      <w:r w:rsidR="00C13C75">
        <w:rPr>
          <w:noProof/>
        </w:rPr>
        <w:t> </w:t>
      </w:r>
      <w:r w:rsidR="00C13C75" w:rsidRPr="00853D04">
        <w:rPr>
          <w:noProof/>
        </w:rPr>
        <w:t>któ</w:t>
      </w:r>
      <w:r w:rsidRPr="00853D04">
        <w:rPr>
          <w:noProof/>
        </w:rPr>
        <w:t>rej uwzględniono skuteczność, efektywność, spójność</w:t>
      </w:r>
      <w:r w:rsidR="00C13C75" w:rsidRPr="00853D04">
        <w:rPr>
          <w:noProof/>
        </w:rPr>
        <w:t xml:space="preserve"> i</w:t>
      </w:r>
      <w:r w:rsidR="00C13C75">
        <w:rPr>
          <w:noProof/>
        </w:rPr>
        <w:t> </w:t>
      </w:r>
      <w:r w:rsidR="00C13C75" w:rsidRPr="00853D04">
        <w:rPr>
          <w:noProof/>
        </w:rPr>
        <w:t>pro</w:t>
      </w:r>
      <w:r w:rsidRPr="00853D04">
        <w:rPr>
          <w:noProof/>
        </w:rPr>
        <w:t>porcjonalność tych wariantów, wykazano, że wszystkie one mogą mieć pozytywny wpływ,</w:t>
      </w:r>
      <w:r w:rsidR="00C13C75" w:rsidRPr="00853D04">
        <w:rPr>
          <w:noProof/>
        </w:rPr>
        <w:t xml:space="preserve"> a</w:t>
      </w:r>
      <w:r w:rsidR="00C13C75">
        <w:rPr>
          <w:noProof/>
        </w:rPr>
        <w:t> </w:t>
      </w:r>
      <w:r w:rsidR="00C13C75" w:rsidRPr="00853D04">
        <w:rPr>
          <w:noProof/>
        </w:rPr>
        <w:t>war</w:t>
      </w:r>
      <w:r w:rsidRPr="00853D04">
        <w:rPr>
          <w:noProof/>
        </w:rPr>
        <w:t>iant zawarty</w:t>
      </w:r>
      <w:r w:rsidR="00C13C75" w:rsidRPr="00853D04">
        <w:rPr>
          <w:noProof/>
        </w:rPr>
        <w:t xml:space="preserve"> w</w:t>
      </w:r>
      <w:r w:rsidR="00C13C75">
        <w:rPr>
          <w:noProof/>
        </w:rPr>
        <w:t> </w:t>
      </w:r>
      <w:r w:rsidR="00C13C75" w:rsidRPr="00853D04">
        <w:rPr>
          <w:noProof/>
        </w:rPr>
        <w:t>prz</w:t>
      </w:r>
      <w:r w:rsidRPr="00853D04">
        <w:rPr>
          <w:noProof/>
        </w:rPr>
        <w:t xml:space="preserve">edstawionym wniosku został oceniony najwyżej pod tymi względami. </w:t>
      </w:r>
    </w:p>
    <w:p w14:paraId="7325F1C8" w14:textId="77777777" w:rsidR="00215691" w:rsidRPr="00853D04" w:rsidRDefault="00215691" w:rsidP="00701E5C">
      <w:pPr>
        <w:pStyle w:val="ManualHeading2"/>
        <w:rPr>
          <w:noProof/>
        </w:rPr>
      </w:pPr>
      <w:r w:rsidRPr="00853D04">
        <w:rPr>
          <w:noProof/>
        </w:rPr>
        <w:t>•</w:t>
      </w:r>
      <w:r w:rsidRPr="00853D04">
        <w:rPr>
          <w:noProof/>
        </w:rPr>
        <w:tab/>
        <w:t>Wybór instrumentu</w:t>
      </w:r>
    </w:p>
    <w:p w14:paraId="11B974C7" w14:textId="5DA641E3" w:rsidR="00C50F8A" w:rsidRPr="00853D04" w:rsidRDefault="00215691" w:rsidP="00701E5C">
      <w:pPr>
        <w:rPr>
          <w:noProof/>
        </w:rPr>
      </w:pPr>
      <w:r w:rsidRPr="00853D04">
        <w:rPr>
          <w:noProof/>
        </w:rPr>
        <w:t>Niniejszy wniosek ma formę dyrektywy</w:t>
      </w:r>
      <w:r w:rsidR="00C13C75" w:rsidRPr="00853D04">
        <w:rPr>
          <w:noProof/>
        </w:rPr>
        <w:t xml:space="preserve"> i</w:t>
      </w:r>
      <w:r w:rsidR="00C13C75">
        <w:rPr>
          <w:noProof/>
        </w:rPr>
        <w:t> </w:t>
      </w:r>
      <w:r w:rsidR="00C13C75" w:rsidRPr="00853D04">
        <w:rPr>
          <w:noProof/>
        </w:rPr>
        <w:t>roz</w:t>
      </w:r>
      <w:r w:rsidRPr="00853D04">
        <w:rPr>
          <w:noProof/>
        </w:rPr>
        <w:t>porządzenia.</w:t>
      </w:r>
    </w:p>
    <w:p w14:paraId="12C1B828" w14:textId="34A432A2" w:rsidR="00215691" w:rsidRPr="00853D04" w:rsidRDefault="00C50F8A" w:rsidP="00701E5C">
      <w:pPr>
        <w:rPr>
          <w:noProof/>
        </w:rPr>
      </w:pPr>
      <w:r w:rsidRPr="00853D04">
        <w:rPr>
          <w:noProof/>
        </w:rPr>
        <w:t>Art. 50 TFUE wymaga zastosowania dyrektywy. Dyrektywę uznaje się ponadto za najbardziej odpowiedni</w:t>
      </w:r>
      <w:r w:rsidR="00C13C75" w:rsidRPr="00853D04">
        <w:rPr>
          <w:noProof/>
        </w:rPr>
        <w:t xml:space="preserve"> i</w:t>
      </w:r>
      <w:r w:rsidR="00C13C75">
        <w:rPr>
          <w:noProof/>
        </w:rPr>
        <w:t> </w:t>
      </w:r>
      <w:r w:rsidR="00C13C75" w:rsidRPr="00853D04">
        <w:rPr>
          <w:noProof/>
        </w:rPr>
        <w:t>pro</w:t>
      </w:r>
      <w:r w:rsidRPr="00853D04">
        <w:rPr>
          <w:noProof/>
        </w:rPr>
        <w:t>porcjonalny instrument prawny umożliwiający dostosowanie środków transpozycji do warunków krajowych, co może również ułatwić stowarzyszeniom przyjęcie nowej formy prawnej.</w:t>
      </w:r>
    </w:p>
    <w:p w14:paraId="2CC2A369" w14:textId="6FC83FD8" w:rsidR="00637BFF" w:rsidRPr="00853D04" w:rsidRDefault="0002035A" w:rsidP="00701E5C">
      <w:pPr>
        <w:rPr>
          <w:noProof/>
        </w:rPr>
      </w:pPr>
      <w:r w:rsidRPr="00853D04">
        <w:rPr>
          <w:noProof/>
        </w:rPr>
        <w:t>Rozporządzenie ma charakter techniczny</w:t>
      </w:r>
      <w:r w:rsidR="00C13C75" w:rsidRPr="00853D04">
        <w:rPr>
          <w:noProof/>
        </w:rPr>
        <w:t xml:space="preserve"> i</w:t>
      </w:r>
      <w:r w:rsidR="00C13C75">
        <w:rPr>
          <w:noProof/>
        </w:rPr>
        <w:t> </w:t>
      </w:r>
      <w:r w:rsidR="00C13C75" w:rsidRPr="00853D04">
        <w:rPr>
          <w:noProof/>
        </w:rPr>
        <w:t>zmi</w:t>
      </w:r>
      <w:r w:rsidRPr="00853D04">
        <w:rPr>
          <w:noProof/>
        </w:rPr>
        <w:t xml:space="preserve">enia rozporządzenie (UE) </w:t>
      </w:r>
      <w:r w:rsidRPr="00C13C75">
        <w:rPr>
          <w:noProof/>
        </w:rPr>
        <w:t>nr</w:t>
      </w:r>
      <w:r w:rsidR="00C13C75" w:rsidRPr="00C13C75">
        <w:rPr>
          <w:noProof/>
        </w:rPr>
        <w:t> </w:t>
      </w:r>
      <w:r w:rsidRPr="00C13C75">
        <w:rPr>
          <w:noProof/>
        </w:rPr>
        <w:t>1</w:t>
      </w:r>
      <w:r w:rsidRPr="00853D04">
        <w:rPr>
          <w:noProof/>
        </w:rPr>
        <w:t>024/2012</w:t>
      </w:r>
      <w:r w:rsidRPr="00853D04">
        <w:rPr>
          <w:rStyle w:val="FootnoteReference"/>
          <w:noProof/>
        </w:rPr>
        <w:footnoteReference w:id="25"/>
      </w:r>
      <w:r w:rsidRPr="00853D04">
        <w:rPr>
          <w:noProof/>
        </w:rPr>
        <w:t>, którym ustanowiono system wymiany informacji na rynku wewnętrznym (IMI),</w:t>
      </w:r>
      <w:r w:rsidR="00C13C75" w:rsidRPr="00853D04">
        <w:rPr>
          <w:noProof/>
        </w:rPr>
        <w:t xml:space="preserve"> w</w:t>
      </w:r>
      <w:r w:rsidR="00C13C75">
        <w:rPr>
          <w:noProof/>
        </w:rPr>
        <w:t> </w:t>
      </w:r>
      <w:r w:rsidR="00C13C75" w:rsidRPr="00853D04">
        <w:rPr>
          <w:noProof/>
        </w:rPr>
        <w:t>cel</w:t>
      </w:r>
      <w:r w:rsidRPr="00853D04">
        <w:rPr>
          <w:noProof/>
        </w:rPr>
        <w:t>u zapewnienia, aby właściwe organy państw członkowskich współpracowały</w:t>
      </w:r>
      <w:r w:rsidR="00C13C75" w:rsidRPr="00853D04">
        <w:rPr>
          <w:noProof/>
        </w:rPr>
        <w:t xml:space="preserve"> i</w:t>
      </w:r>
      <w:r w:rsidR="00C13C75">
        <w:rPr>
          <w:noProof/>
        </w:rPr>
        <w:t> </w:t>
      </w:r>
      <w:r w:rsidR="00C13C75" w:rsidRPr="00853D04">
        <w:rPr>
          <w:noProof/>
        </w:rPr>
        <w:t>wym</w:t>
      </w:r>
      <w:r w:rsidRPr="00853D04">
        <w:rPr>
          <w:noProof/>
        </w:rPr>
        <w:t>ieniały informacje za pośrednictwem IMI, gdy stosują przepisy krajowe wdrożone zgodnie</w:t>
      </w:r>
      <w:r w:rsidR="00C13C75" w:rsidRPr="00853D04">
        <w:rPr>
          <w:noProof/>
        </w:rPr>
        <w:t xml:space="preserve"> z</w:t>
      </w:r>
      <w:r w:rsidR="00C13C75">
        <w:rPr>
          <w:noProof/>
        </w:rPr>
        <w:t> </w:t>
      </w:r>
      <w:r w:rsidR="00C13C75" w:rsidRPr="00853D04">
        <w:rPr>
          <w:noProof/>
        </w:rPr>
        <w:t>prz</w:t>
      </w:r>
      <w:r w:rsidRPr="00853D04">
        <w:rPr>
          <w:noProof/>
        </w:rPr>
        <w:t>episami wniosku. Zmienia ono również rozporządzenie (UE) 2018/1724</w:t>
      </w:r>
      <w:r w:rsidRPr="00853D04">
        <w:rPr>
          <w:rStyle w:val="FootnoteReference"/>
          <w:noProof/>
        </w:rPr>
        <w:footnoteReference w:id="26"/>
      </w:r>
      <w:r w:rsidRPr="00853D04">
        <w:rPr>
          <w:noProof/>
        </w:rPr>
        <w:t>, którym ustanowiono jednolity portal cyfrowy</w:t>
      </w:r>
      <w:r w:rsidR="00C13C75" w:rsidRPr="00853D04">
        <w:rPr>
          <w:noProof/>
        </w:rPr>
        <w:t xml:space="preserve"> w</w:t>
      </w:r>
      <w:r w:rsidR="00C13C75">
        <w:rPr>
          <w:noProof/>
        </w:rPr>
        <w:t> </w:t>
      </w:r>
      <w:r w:rsidR="00C13C75" w:rsidRPr="00853D04">
        <w:rPr>
          <w:noProof/>
        </w:rPr>
        <w:t>cel</w:t>
      </w:r>
      <w:r w:rsidRPr="00C13C75">
        <w:rPr>
          <w:noProof/>
        </w:rPr>
        <w:t>u</w:t>
      </w:r>
      <w:r w:rsidR="00C13C75" w:rsidRPr="00C13C75">
        <w:rPr>
          <w:noProof/>
        </w:rPr>
        <w:t xml:space="preserve"> </w:t>
      </w:r>
      <w:r w:rsidRPr="00C13C75">
        <w:rPr>
          <w:noProof/>
        </w:rPr>
        <w:t>z</w:t>
      </w:r>
      <w:r w:rsidRPr="00853D04">
        <w:rPr>
          <w:noProof/>
        </w:rPr>
        <w:t>apewnienia, aby państwa członkowskie udostępniły online informacje istotne dla europejskich stowarzyszeń transgranicznych</w:t>
      </w:r>
      <w:r w:rsidR="00C13C75" w:rsidRPr="00853D04">
        <w:rPr>
          <w:noProof/>
        </w:rPr>
        <w:t xml:space="preserve"> i</w:t>
      </w:r>
      <w:r w:rsidR="00C13C75">
        <w:rPr>
          <w:noProof/>
        </w:rPr>
        <w:t> </w:t>
      </w:r>
      <w:r w:rsidR="00C13C75" w:rsidRPr="00853D04">
        <w:rPr>
          <w:noProof/>
        </w:rPr>
        <w:t>sto</w:t>
      </w:r>
      <w:r w:rsidRPr="00853D04">
        <w:rPr>
          <w:noProof/>
        </w:rPr>
        <w:t>warzyszeń niekomercyjnych oraz</w:t>
      </w:r>
      <w:r w:rsidR="00C13C75" w:rsidRPr="00853D04">
        <w:rPr>
          <w:noProof/>
        </w:rPr>
        <w:t xml:space="preserve"> w</w:t>
      </w:r>
      <w:r w:rsidR="00C13C75">
        <w:rPr>
          <w:noProof/>
        </w:rPr>
        <w:t> </w:t>
      </w:r>
      <w:r w:rsidR="00C13C75" w:rsidRPr="00853D04">
        <w:rPr>
          <w:noProof/>
        </w:rPr>
        <w:t>cel</w:t>
      </w:r>
      <w:r w:rsidRPr="00853D04">
        <w:rPr>
          <w:noProof/>
        </w:rPr>
        <w:t>u ułatwienia wymiany dowodów między właściwymi organami</w:t>
      </w:r>
      <w:r w:rsidR="00C13C75" w:rsidRPr="00853D04">
        <w:rPr>
          <w:noProof/>
        </w:rPr>
        <w:t xml:space="preserve"> w</w:t>
      </w:r>
      <w:r w:rsidR="00C13C75">
        <w:rPr>
          <w:noProof/>
        </w:rPr>
        <w:t> </w:t>
      </w:r>
      <w:r w:rsidR="00C13C75" w:rsidRPr="00853D04">
        <w:rPr>
          <w:noProof/>
        </w:rPr>
        <w:t>tra</w:t>
      </w:r>
      <w:r w:rsidRPr="00853D04">
        <w:rPr>
          <w:noProof/>
        </w:rPr>
        <w:t>kcie procedur dotyczących europejskich stowarzyszeń transgranicznych, jak określono</w:t>
      </w:r>
      <w:r w:rsidR="00C13C75" w:rsidRPr="00853D04">
        <w:rPr>
          <w:noProof/>
        </w:rPr>
        <w:t xml:space="preserve"> w</w:t>
      </w:r>
      <w:r w:rsidR="00C13C75">
        <w:rPr>
          <w:noProof/>
        </w:rPr>
        <w:t> </w:t>
      </w:r>
      <w:r w:rsidR="00C13C75" w:rsidRPr="00853D04">
        <w:rPr>
          <w:noProof/>
        </w:rPr>
        <w:t>pro</w:t>
      </w:r>
      <w:r w:rsidRPr="00853D04">
        <w:rPr>
          <w:noProof/>
        </w:rPr>
        <w:t>ponowanej dyrektywie. Rozporządzenie jest właściwym instrumentem ze względu na zasadę paralelizmu formy.</w:t>
      </w:r>
    </w:p>
    <w:p w14:paraId="23329B62" w14:textId="77777777" w:rsidR="00BE7E05" w:rsidRPr="00853D04" w:rsidRDefault="00BE7E05">
      <w:pPr>
        <w:pStyle w:val="ManualHeading1"/>
        <w:rPr>
          <w:noProof/>
        </w:rPr>
      </w:pPr>
      <w:r w:rsidRPr="00853D04">
        <w:rPr>
          <w:noProof/>
        </w:rPr>
        <w:t>3.</w:t>
      </w:r>
      <w:r w:rsidRPr="00853D04">
        <w:rPr>
          <w:noProof/>
        </w:rPr>
        <w:tab/>
        <w:t xml:space="preserve">WYNIKI OCEN </w:t>
      </w:r>
      <w:r w:rsidRPr="00853D04">
        <w:rPr>
          <w:i/>
          <w:iCs/>
          <w:noProof/>
        </w:rPr>
        <w:t>EX POST</w:t>
      </w:r>
      <w:r w:rsidRPr="00853D04">
        <w:rPr>
          <w:noProof/>
        </w:rPr>
        <w:t>, KONSULTACJI Z ZAINTERESOWANYMI STRONAMI I OCEN SKUTKÓW</w:t>
      </w:r>
    </w:p>
    <w:p w14:paraId="677FB260" w14:textId="26F79C55" w:rsidR="00215691" w:rsidRPr="00853D04" w:rsidRDefault="00215691" w:rsidP="00701E5C">
      <w:pPr>
        <w:pStyle w:val="ManualHeading2"/>
        <w:rPr>
          <w:noProof/>
        </w:rPr>
      </w:pPr>
      <w:r w:rsidRPr="00853D04">
        <w:rPr>
          <w:noProof/>
        </w:rPr>
        <w:t>•</w:t>
      </w:r>
      <w:r w:rsidRPr="00853D04">
        <w:rPr>
          <w:noProof/>
        </w:rPr>
        <w:tab/>
        <w:t>Konsultacje</w:t>
      </w:r>
      <w:r w:rsidR="00C13C75" w:rsidRPr="00853D04">
        <w:rPr>
          <w:noProof/>
        </w:rPr>
        <w:t xml:space="preserve"> z</w:t>
      </w:r>
      <w:r w:rsidR="00C13C75">
        <w:rPr>
          <w:noProof/>
        </w:rPr>
        <w:t> </w:t>
      </w:r>
      <w:r w:rsidR="00C13C75" w:rsidRPr="00853D04">
        <w:rPr>
          <w:noProof/>
        </w:rPr>
        <w:t>zai</w:t>
      </w:r>
      <w:r w:rsidRPr="00853D04">
        <w:rPr>
          <w:noProof/>
        </w:rPr>
        <w:t>nteresowanymi stronami</w:t>
      </w:r>
    </w:p>
    <w:p w14:paraId="28EAFA6C" w14:textId="42300681" w:rsidR="00215691" w:rsidRPr="00853D04" w:rsidRDefault="00215691" w:rsidP="00701E5C">
      <w:pPr>
        <w:rPr>
          <w:noProof/>
        </w:rPr>
      </w:pPr>
      <w:r w:rsidRPr="00853D04">
        <w:rPr>
          <w:noProof/>
        </w:rPr>
        <w:t>Niniejszy wniosek jest wynikiem szeroko zakrojonych konsultacji</w:t>
      </w:r>
      <w:r w:rsidR="00C13C75" w:rsidRPr="00853D04">
        <w:rPr>
          <w:noProof/>
        </w:rPr>
        <w:t xml:space="preserve"> z</w:t>
      </w:r>
      <w:r w:rsidR="00C13C75">
        <w:rPr>
          <w:noProof/>
        </w:rPr>
        <w:t> </w:t>
      </w:r>
      <w:r w:rsidR="00C13C75" w:rsidRPr="00853D04">
        <w:rPr>
          <w:noProof/>
        </w:rPr>
        <w:t>zai</w:t>
      </w:r>
      <w:r w:rsidRPr="00853D04">
        <w:rPr>
          <w:noProof/>
        </w:rPr>
        <w:t>nteresowanymi stronami,</w:t>
      </w:r>
      <w:r w:rsidR="00C13C75" w:rsidRPr="00853D04">
        <w:rPr>
          <w:noProof/>
        </w:rPr>
        <w:t xml:space="preserve"> a</w:t>
      </w:r>
      <w:r w:rsidR="00C13C75">
        <w:rPr>
          <w:noProof/>
        </w:rPr>
        <w:t> </w:t>
      </w:r>
      <w:r w:rsidR="00C13C75" w:rsidRPr="00853D04">
        <w:rPr>
          <w:noProof/>
        </w:rPr>
        <w:t>mia</w:t>
      </w:r>
      <w:r w:rsidRPr="00853D04">
        <w:rPr>
          <w:noProof/>
        </w:rPr>
        <w:t>nowicie stowarzyszeniami niekomercyjnymi, organizacjami niekomercyjnymi, obywatelami UE zaangażowanymi</w:t>
      </w:r>
      <w:r w:rsidR="00C13C75" w:rsidRPr="00853D04">
        <w:rPr>
          <w:noProof/>
        </w:rPr>
        <w:t xml:space="preserve"> w</w:t>
      </w:r>
      <w:r w:rsidR="00C13C75">
        <w:rPr>
          <w:noProof/>
        </w:rPr>
        <w:t> </w:t>
      </w:r>
      <w:r w:rsidR="00C13C75" w:rsidRPr="00853D04">
        <w:rPr>
          <w:noProof/>
        </w:rPr>
        <w:t>dzi</w:t>
      </w:r>
      <w:r w:rsidRPr="00853D04">
        <w:rPr>
          <w:noProof/>
        </w:rPr>
        <w:t>ałania stowarzyszeń niekomercyjnych</w:t>
      </w:r>
      <w:r w:rsidR="00C13C75" w:rsidRPr="00853D04">
        <w:rPr>
          <w:noProof/>
        </w:rPr>
        <w:t xml:space="preserve"> i</w:t>
      </w:r>
      <w:r w:rsidR="00C13C75">
        <w:rPr>
          <w:noProof/>
        </w:rPr>
        <w:t> </w:t>
      </w:r>
      <w:r w:rsidR="00C13C75" w:rsidRPr="00853D04">
        <w:rPr>
          <w:noProof/>
        </w:rPr>
        <w:t>inn</w:t>
      </w:r>
      <w:r w:rsidRPr="00853D04">
        <w:rPr>
          <w:noProof/>
        </w:rPr>
        <w:t>ych organizacji niekomercyjnych, państwami członkowskimi</w:t>
      </w:r>
      <w:r w:rsidR="00C13C75" w:rsidRPr="00853D04">
        <w:rPr>
          <w:noProof/>
        </w:rPr>
        <w:t xml:space="preserve"> i</w:t>
      </w:r>
      <w:r w:rsidR="00C13C75">
        <w:rPr>
          <w:noProof/>
        </w:rPr>
        <w:t> </w:t>
      </w:r>
      <w:r w:rsidR="00C13C75" w:rsidRPr="00853D04">
        <w:rPr>
          <w:noProof/>
        </w:rPr>
        <w:t>org</w:t>
      </w:r>
      <w:r w:rsidRPr="00853D04">
        <w:rPr>
          <w:noProof/>
        </w:rPr>
        <w:t>anami publicznymi, przedsiębiorstwami, ekspertami oraz analityków</w:t>
      </w:r>
      <w:r w:rsidR="00C13C75" w:rsidRPr="00853D04">
        <w:rPr>
          <w:noProof/>
        </w:rPr>
        <w:t xml:space="preserve"> w</w:t>
      </w:r>
      <w:r w:rsidR="00C13C75">
        <w:rPr>
          <w:noProof/>
        </w:rPr>
        <w:t> </w:t>
      </w:r>
      <w:r w:rsidR="00C13C75" w:rsidRPr="00853D04">
        <w:rPr>
          <w:noProof/>
        </w:rPr>
        <w:t>dzi</w:t>
      </w:r>
      <w:r w:rsidRPr="00853D04">
        <w:rPr>
          <w:noProof/>
        </w:rPr>
        <w:t>edzinie prawa organizacji pozarządowych.</w:t>
      </w:r>
    </w:p>
    <w:p w14:paraId="5995CA23" w14:textId="4625EAC7" w:rsidR="00215691" w:rsidRPr="00853D04" w:rsidRDefault="00215691" w:rsidP="00701E5C">
      <w:pPr>
        <w:rPr>
          <w:noProof/>
        </w:rPr>
      </w:pPr>
      <w:r w:rsidRPr="00853D04">
        <w:rPr>
          <w:noProof/>
        </w:rPr>
        <w:t>Otwarte konsultacje publiczne wraz</w:t>
      </w:r>
      <w:r w:rsidR="00C13C75" w:rsidRPr="00853D04">
        <w:rPr>
          <w:noProof/>
        </w:rPr>
        <w:t xml:space="preserve"> z</w:t>
      </w:r>
      <w:r w:rsidR="00C13C75">
        <w:rPr>
          <w:noProof/>
        </w:rPr>
        <w:t> </w:t>
      </w:r>
      <w:r w:rsidR="00C13C75" w:rsidRPr="00853D04">
        <w:rPr>
          <w:noProof/>
        </w:rPr>
        <w:t>zap</w:t>
      </w:r>
      <w:r w:rsidRPr="00853D04">
        <w:rPr>
          <w:noProof/>
        </w:rPr>
        <w:t>roszeniem do zgłaszania uwag opublikowano 5 sierpnia 20</w:t>
      </w:r>
      <w:r w:rsidRPr="00C13C75">
        <w:rPr>
          <w:noProof/>
        </w:rPr>
        <w:t>22</w:t>
      </w:r>
      <w:r w:rsidR="00C13C75" w:rsidRPr="00C13C75">
        <w:rPr>
          <w:noProof/>
        </w:rPr>
        <w:t> </w:t>
      </w:r>
      <w:r w:rsidRPr="00C13C75">
        <w:rPr>
          <w:noProof/>
        </w:rPr>
        <w:t>r.</w:t>
      </w:r>
      <w:r w:rsidR="00C13C75" w:rsidRPr="00853D04">
        <w:rPr>
          <w:noProof/>
        </w:rPr>
        <w:t xml:space="preserve"> i</w:t>
      </w:r>
      <w:r w:rsidR="00C13C75">
        <w:rPr>
          <w:noProof/>
        </w:rPr>
        <w:t> </w:t>
      </w:r>
      <w:r w:rsidR="00C13C75" w:rsidRPr="00853D04">
        <w:rPr>
          <w:noProof/>
        </w:rPr>
        <w:t>pro</w:t>
      </w:r>
      <w:r w:rsidRPr="00853D04">
        <w:rPr>
          <w:noProof/>
        </w:rPr>
        <w:t xml:space="preserve">wadzono je </w:t>
      </w:r>
      <w:r w:rsidRPr="00C13C75">
        <w:rPr>
          <w:noProof/>
        </w:rPr>
        <w:t>do</w:t>
      </w:r>
      <w:r w:rsidR="00C13C75" w:rsidRPr="00C13C75">
        <w:rPr>
          <w:noProof/>
        </w:rPr>
        <w:t> </w:t>
      </w:r>
      <w:r w:rsidRPr="00C13C75">
        <w:rPr>
          <w:noProof/>
        </w:rPr>
        <w:t>3</w:t>
      </w:r>
      <w:r w:rsidRPr="00853D04">
        <w:rPr>
          <w:noProof/>
        </w:rPr>
        <w:t xml:space="preserve"> listopada 20</w:t>
      </w:r>
      <w:r w:rsidRPr="00C13C75">
        <w:rPr>
          <w:noProof/>
        </w:rPr>
        <w:t>22</w:t>
      </w:r>
      <w:r w:rsidR="00C13C75" w:rsidRPr="00C13C75">
        <w:rPr>
          <w:noProof/>
        </w:rPr>
        <w:t> </w:t>
      </w:r>
      <w:r w:rsidRPr="00C13C75">
        <w:rPr>
          <w:noProof/>
        </w:rPr>
        <w:t>r.</w:t>
      </w:r>
      <w:r w:rsidRPr="00853D04">
        <w:rPr>
          <w:rStyle w:val="FootnoteReference"/>
          <w:noProof/>
        </w:rPr>
        <w:footnoteReference w:id="27"/>
      </w:r>
      <w:r w:rsidRPr="00853D04">
        <w:rPr>
          <w:noProof/>
        </w:rPr>
        <w:t xml:space="preserve"> Wkład</w:t>
      </w:r>
      <w:r w:rsidR="00C13C75" w:rsidRPr="00853D04">
        <w:rPr>
          <w:noProof/>
        </w:rPr>
        <w:t xml:space="preserve"> i</w:t>
      </w:r>
      <w:r w:rsidR="00C13C75">
        <w:rPr>
          <w:noProof/>
        </w:rPr>
        <w:t> </w:t>
      </w:r>
      <w:r w:rsidR="00C13C75" w:rsidRPr="00853D04">
        <w:rPr>
          <w:noProof/>
        </w:rPr>
        <w:t>uwa</w:t>
      </w:r>
      <w:r w:rsidRPr="00853D04">
        <w:rPr>
          <w:noProof/>
        </w:rPr>
        <w:t xml:space="preserve">gi </w:t>
      </w:r>
      <w:r w:rsidRPr="00853D04">
        <w:rPr>
          <w:noProof/>
          <w:shd w:val="clear" w:color="auto" w:fill="FFFFFF"/>
        </w:rPr>
        <w:t>zainteresowanych stron wykorzystano</w:t>
      </w:r>
      <w:r w:rsidR="00C13C75" w:rsidRPr="00853D04">
        <w:rPr>
          <w:noProof/>
          <w:shd w:val="clear" w:color="auto" w:fill="FFFFFF"/>
        </w:rPr>
        <w:t xml:space="preserve"> w</w:t>
      </w:r>
      <w:r w:rsidR="00C13C75">
        <w:rPr>
          <w:noProof/>
          <w:shd w:val="clear" w:color="auto" w:fill="FFFFFF"/>
        </w:rPr>
        <w:t> </w:t>
      </w:r>
      <w:r w:rsidR="00C13C75" w:rsidRPr="00853D04">
        <w:rPr>
          <w:noProof/>
          <w:shd w:val="clear" w:color="auto" w:fill="FFFFFF"/>
        </w:rPr>
        <w:t>pro</w:t>
      </w:r>
      <w:r w:rsidRPr="00853D04">
        <w:rPr>
          <w:noProof/>
          <w:shd w:val="clear" w:color="auto" w:fill="FFFFFF"/>
        </w:rPr>
        <w:t>cesie określania</w:t>
      </w:r>
      <w:r w:rsidR="00C13C75" w:rsidRPr="00853D04">
        <w:rPr>
          <w:noProof/>
          <w:shd w:val="clear" w:color="auto" w:fill="FFFFFF"/>
        </w:rPr>
        <w:t xml:space="preserve"> i</w:t>
      </w:r>
      <w:r w:rsidR="00C13C75">
        <w:rPr>
          <w:noProof/>
          <w:shd w:val="clear" w:color="auto" w:fill="FFFFFF"/>
        </w:rPr>
        <w:t> </w:t>
      </w:r>
      <w:r w:rsidR="00C13C75" w:rsidRPr="00853D04">
        <w:rPr>
          <w:noProof/>
          <w:shd w:val="clear" w:color="auto" w:fill="FFFFFF"/>
        </w:rPr>
        <w:t>def</w:t>
      </w:r>
      <w:r w:rsidRPr="00853D04">
        <w:rPr>
          <w:noProof/>
          <w:shd w:val="clear" w:color="auto" w:fill="FFFFFF"/>
        </w:rPr>
        <w:t>iniowania skali problemu</w:t>
      </w:r>
      <w:r w:rsidR="00C13C75" w:rsidRPr="00853D04">
        <w:rPr>
          <w:noProof/>
          <w:shd w:val="clear" w:color="auto" w:fill="FFFFFF"/>
        </w:rPr>
        <w:t xml:space="preserve"> i</w:t>
      </w:r>
      <w:r w:rsidR="00C13C75">
        <w:rPr>
          <w:noProof/>
          <w:shd w:val="clear" w:color="auto" w:fill="FFFFFF"/>
        </w:rPr>
        <w:t> </w:t>
      </w:r>
      <w:r w:rsidR="00C13C75" w:rsidRPr="00853D04">
        <w:rPr>
          <w:noProof/>
          <w:shd w:val="clear" w:color="auto" w:fill="FFFFFF"/>
        </w:rPr>
        <w:t>war</w:t>
      </w:r>
      <w:r w:rsidRPr="00853D04">
        <w:rPr>
          <w:noProof/>
          <w:shd w:val="clear" w:color="auto" w:fill="FFFFFF"/>
        </w:rPr>
        <w:t>iantów strategicznych</w:t>
      </w:r>
      <w:r w:rsidRPr="00853D04">
        <w:rPr>
          <w:noProof/>
        </w:rPr>
        <w:t>.</w:t>
      </w:r>
      <w:r w:rsidRPr="00853D04">
        <w:rPr>
          <w:noProof/>
          <w:shd w:val="clear" w:color="auto" w:fill="FFFFFF"/>
        </w:rPr>
        <w:t> </w:t>
      </w:r>
    </w:p>
    <w:p w14:paraId="627896CD" w14:textId="3A0AB788" w:rsidR="00215691" w:rsidRPr="00853D04" w:rsidRDefault="00215691" w:rsidP="00701E5C">
      <w:pPr>
        <w:rPr>
          <w:noProof/>
        </w:rPr>
      </w:pPr>
      <w:r w:rsidRPr="00853D04">
        <w:rPr>
          <w:noProof/>
        </w:rPr>
        <w:t>Komisja zleciła badanie zewnętrzne</w:t>
      </w:r>
      <w:r w:rsidR="00C13C75" w:rsidRPr="00853D04">
        <w:rPr>
          <w:noProof/>
        </w:rPr>
        <w:t xml:space="preserve"> w</w:t>
      </w:r>
      <w:r w:rsidR="00C13C75">
        <w:rPr>
          <w:noProof/>
        </w:rPr>
        <w:t> </w:t>
      </w:r>
      <w:r w:rsidR="00C13C75" w:rsidRPr="00853D04">
        <w:rPr>
          <w:noProof/>
        </w:rPr>
        <w:t>cel</w:t>
      </w:r>
      <w:r w:rsidRPr="00853D04">
        <w:rPr>
          <w:noProof/>
        </w:rPr>
        <w:t>u wsparcia przygotowania niniejszego wniosku</w:t>
      </w:r>
      <w:r w:rsidR="00C13C75" w:rsidRPr="00853D04">
        <w:rPr>
          <w:noProof/>
        </w:rPr>
        <w:t>. W</w:t>
      </w:r>
      <w:r w:rsidR="00C13C75">
        <w:rPr>
          <w:noProof/>
        </w:rPr>
        <w:t> </w:t>
      </w:r>
      <w:r w:rsidR="00C13C75" w:rsidRPr="00853D04">
        <w:rPr>
          <w:noProof/>
        </w:rPr>
        <w:t>tym</w:t>
      </w:r>
      <w:r w:rsidRPr="00853D04">
        <w:rPr>
          <w:noProof/>
        </w:rPr>
        <w:t xml:space="preserve"> kontekście przeprowadzono dodatkowe ukierunkowane konsultacje</w:t>
      </w:r>
      <w:r w:rsidR="00C13C75" w:rsidRPr="00853D04">
        <w:rPr>
          <w:noProof/>
        </w:rPr>
        <w:t xml:space="preserve"> z</w:t>
      </w:r>
      <w:r w:rsidR="00C13C75">
        <w:rPr>
          <w:noProof/>
        </w:rPr>
        <w:t> </w:t>
      </w:r>
      <w:r w:rsidR="00C13C75" w:rsidRPr="00853D04">
        <w:rPr>
          <w:noProof/>
        </w:rPr>
        <w:t>zai</w:t>
      </w:r>
      <w:r w:rsidRPr="00853D04">
        <w:rPr>
          <w:noProof/>
        </w:rPr>
        <w:t>nteresowanymi stronami.</w:t>
      </w:r>
    </w:p>
    <w:p w14:paraId="473E1A80" w14:textId="77777777" w:rsidR="00215691" w:rsidRPr="00853D04" w:rsidRDefault="00413EF3" w:rsidP="00701E5C">
      <w:pPr>
        <w:rPr>
          <w:noProof/>
        </w:rPr>
      </w:pPr>
      <w:r w:rsidRPr="00853D04">
        <w:rPr>
          <w:noProof/>
        </w:rPr>
        <w:t>Ocena skutków towarzysząca wnioskowi Komisji opiera się na wynikach następujących działań konsultacyjnych:</w:t>
      </w:r>
    </w:p>
    <w:p w14:paraId="348B8D26" w14:textId="77777777" w:rsidR="00215691" w:rsidRPr="00853D04" w:rsidRDefault="00215691" w:rsidP="00CE207E">
      <w:pPr>
        <w:pStyle w:val="Tiret1"/>
        <w:numPr>
          <w:ilvl w:val="0"/>
          <w:numId w:val="38"/>
        </w:numPr>
        <w:rPr>
          <w:noProof/>
        </w:rPr>
      </w:pPr>
      <w:r w:rsidRPr="00853D04">
        <w:rPr>
          <w:noProof/>
        </w:rPr>
        <w:t>zaproszenia do zgłaszania uwag, na które otrzymano 50 odpowiedzi;</w:t>
      </w:r>
    </w:p>
    <w:p w14:paraId="68B2ACD0" w14:textId="40D47BB3" w:rsidR="00215691" w:rsidRPr="00853D04" w:rsidRDefault="00215691" w:rsidP="00697F89">
      <w:pPr>
        <w:pStyle w:val="Tiret1"/>
        <w:rPr>
          <w:noProof/>
        </w:rPr>
      </w:pPr>
      <w:r w:rsidRPr="00853D04">
        <w:rPr>
          <w:noProof/>
        </w:rPr>
        <w:t>konsultacji publicznych,</w:t>
      </w:r>
      <w:r w:rsidR="00C13C75" w:rsidRPr="00853D04">
        <w:rPr>
          <w:noProof/>
        </w:rPr>
        <w:t xml:space="preserve"> w</w:t>
      </w:r>
      <w:r w:rsidR="00C13C75">
        <w:rPr>
          <w:noProof/>
        </w:rPr>
        <w:t> </w:t>
      </w:r>
      <w:r w:rsidR="00C13C75" w:rsidRPr="00853D04">
        <w:rPr>
          <w:noProof/>
        </w:rPr>
        <w:t>ram</w:t>
      </w:r>
      <w:r w:rsidRPr="00853D04">
        <w:rPr>
          <w:noProof/>
        </w:rPr>
        <w:t xml:space="preserve">ach których uzyskano 64 odpowiedzi; </w:t>
      </w:r>
    </w:p>
    <w:p w14:paraId="299CA8BE" w14:textId="63AD1319" w:rsidR="00215691" w:rsidRPr="00853D04" w:rsidRDefault="00220016" w:rsidP="00697F89">
      <w:pPr>
        <w:pStyle w:val="Tiret1"/>
        <w:rPr>
          <w:noProof/>
        </w:rPr>
      </w:pPr>
      <w:r w:rsidRPr="00853D04">
        <w:rPr>
          <w:noProof/>
        </w:rPr>
        <w:t>w kontekście badania zewnętrznego – ukierunkowanych konsultacji za pośrednictwem ankiety internetowej,</w:t>
      </w:r>
      <w:r w:rsidR="00C13C75" w:rsidRPr="00853D04">
        <w:rPr>
          <w:noProof/>
        </w:rPr>
        <w:t xml:space="preserve"> z</w:t>
      </w:r>
      <w:r w:rsidR="00C13C75">
        <w:rPr>
          <w:noProof/>
        </w:rPr>
        <w:t> </w:t>
      </w:r>
      <w:r w:rsidR="00C13C75" w:rsidRPr="00853D04">
        <w:rPr>
          <w:noProof/>
        </w:rPr>
        <w:t>odp</w:t>
      </w:r>
      <w:r w:rsidRPr="00853D04">
        <w:rPr>
          <w:noProof/>
        </w:rPr>
        <w:t>owiedziami od stowarzyszeń krajowych</w:t>
      </w:r>
      <w:r w:rsidR="00C13C75" w:rsidRPr="00853D04">
        <w:rPr>
          <w:noProof/>
        </w:rPr>
        <w:t xml:space="preserve"> i</w:t>
      </w:r>
      <w:r w:rsidR="00C13C75">
        <w:rPr>
          <w:noProof/>
        </w:rPr>
        <w:t> </w:t>
      </w:r>
      <w:r w:rsidR="00C13C75" w:rsidRPr="00853D04">
        <w:rPr>
          <w:noProof/>
        </w:rPr>
        <w:t>tra</w:t>
      </w:r>
      <w:r w:rsidRPr="00853D04">
        <w:rPr>
          <w:noProof/>
        </w:rPr>
        <w:t>nsgranicznych (łącznie 88,</w:t>
      </w:r>
      <w:r w:rsidR="00C13C75" w:rsidRPr="00853D04">
        <w:rPr>
          <w:noProof/>
        </w:rPr>
        <w:t xml:space="preserve"> w</w:t>
      </w:r>
      <w:r w:rsidR="00C13C75">
        <w:rPr>
          <w:noProof/>
        </w:rPr>
        <w:t> </w:t>
      </w:r>
      <w:r w:rsidR="00C13C75" w:rsidRPr="00853D04">
        <w:rPr>
          <w:noProof/>
        </w:rPr>
        <w:t>tym</w:t>
      </w:r>
      <w:r w:rsidRPr="00853D04">
        <w:rPr>
          <w:noProof/>
        </w:rPr>
        <w:t xml:space="preserve"> organizacji parasolowych), dostawców usług (łącznie 12), środowisk akademickich/instytutów badawczych (łącznie 14)</w:t>
      </w:r>
      <w:r w:rsidR="00C13C75" w:rsidRPr="00853D04">
        <w:rPr>
          <w:noProof/>
        </w:rPr>
        <w:t xml:space="preserve"> i</w:t>
      </w:r>
      <w:r w:rsidR="00C13C75">
        <w:rPr>
          <w:noProof/>
        </w:rPr>
        <w:t> </w:t>
      </w:r>
      <w:r w:rsidR="00C13C75" w:rsidRPr="00853D04">
        <w:rPr>
          <w:noProof/>
        </w:rPr>
        <w:t>odp</w:t>
      </w:r>
      <w:r w:rsidRPr="00853D04">
        <w:rPr>
          <w:noProof/>
        </w:rPr>
        <w:t>owiedzialnych organów (łącznie 11);</w:t>
      </w:r>
    </w:p>
    <w:p w14:paraId="7A023A31" w14:textId="1C89562E" w:rsidR="00215691" w:rsidRPr="00C13C75" w:rsidRDefault="00DE47AC" w:rsidP="00697F89">
      <w:pPr>
        <w:pStyle w:val="Tiret1"/>
        <w:rPr>
          <w:noProof/>
        </w:rPr>
      </w:pPr>
      <w:r w:rsidRPr="00853D04">
        <w:rPr>
          <w:noProof/>
        </w:rPr>
        <w:t>w kontekście badania zewnętrznego – 64 wywiadów ze stowarzyszeniami</w:t>
      </w:r>
      <w:r w:rsidR="00C13C75" w:rsidRPr="00853D04">
        <w:rPr>
          <w:noProof/>
        </w:rPr>
        <w:t xml:space="preserve"> i</w:t>
      </w:r>
      <w:r w:rsidR="00C13C75">
        <w:rPr>
          <w:noProof/>
        </w:rPr>
        <w:t> </w:t>
      </w:r>
      <w:r w:rsidR="00C13C75" w:rsidRPr="00853D04">
        <w:rPr>
          <w:noProof/>
        </w:rPr>
        <w:t>org</w:t>
      </w:r>
      <w:r w:rsidRPr="00853D04">
        <w:rPr>
          <w:noProof/>
        </w:rPr>
        <w:t>anizacjami parasolowymi,</w:t>
      </w:r>
      <w:r w:rsidR="00C13C75" w:rsidRPr="00853D04">
        <w:rPr>
          <w:noProof/>
        </w:rPr>
        <w:t xml:space="preserve"> w</w:t>
      </w:r>
      <w:r w:rsidR="00C13C75">
        <w:rPr>
          <w:noProof/>
        </w:rPr>
        <w:t> </w:t>
      </w:r>
      <w:r w:rsidR="00C13C75" w:rsidRPr="00853D04">
        <w:rPr>
          <w:noProof/>
        </w:rPr>
        <w:t>któ</w:t>
      </w:r>
      <w:r w:rsidRPr="00853D04">
        <w:rPr>
          <w:noProof/>
        </w:rPr>
        <w:t>rych zrzeszone są stowarzyszenia krajowe</w:t>
      </w:r>
      <w:r w:rsidRPr="00C13C75">
        <w:rPr>
          <w:noProof/>
        </w:rPr>
        <w:t>.</w:t>
      </w:r>
      <w:r w:rsidR="00C13C75" w:rsidRPr="00C13C75">
        <w:rPr>
          <w:noProof/>
        </w:rPr>
        <w:t xml:space="preserve"> </w:t>
      </w:r>
    </w:p>
    <w:p w14:paraId="427F5A58" w14:textId="4C288AA2" w:rsidR="00215691" w:rsidRPr="00853D04" w:rsidRDefault="00215691" w:rsidP="00701E5C">
      <w:pPr>
        <w:rPr>
          <w:noProof/>
        </w:rPr>
      </w:pPr>
      <w:r w:rsidRPr="00853D04">
        <w:rPr>
          <w:noProof/>
        </w:rPr>
        <w:t>Chociaż bezwzględną liczbę odpowiedzi</w:t>
      </w:r>
      <w:r w:rsidR="00C13C75" w:rsidRPr="00853D04">
        <w:rPr>
          <w:noProof/>
        </w:rPr>
        <w:t xml:space="preserve"> w</w:t>
      </w:r>
      <w:r w:rsidR="00C13C75">
        <w:rPr>
          <w:noProof/>
        </w:rPr>
        <w:t> </w:t>
      </w:r>
      <w:r w:rsidR="00C13C75" w:rsidRPr="00853D04">
        <w:rPr>
          <w:noProof/>
        </w:rPr>
        <w:t>ram</w:t>
      </w:r>
      <w:r w:rsidRPr="00853D04">
        <w:rPr>
          <w:noProof/>
        </w:rPr>
        <w:t xml:space="preserve">ach działań konsultacyjnych można postrzegać jako ogólnie ograniczoną, ich reprezentatywność zwiększa wkład 29 organizacji parasolowych, które reprezentowały opinie </w:t>
      </w:r>
      <w:r w:rsidRPr="00853D04">
        <w:rPr>
          <w:rStyle w:val="normaltextrun"/>
          <w:noProof/>
          <w:bdr w:val="none" w:sz="0" w:space="0" w:color="auto" w:frame="1"/>
        </w:rPr>
        <w:t>3 026</w:t>
      </w:r>
      <w:r w:rsidRPr="00853D04">
        <w:rPr>
          <w:noProof/>
        </w:rPr>
        <w:t xml:space="preserve"> stowarzyszeń.</w:t>
      </w:r>
    </w:p>
    <w:p w14:paraId="2AB9B537" w14:textId="7D386E57" w:rsidR="00215691" w:rsidRPr="00853D04" w:rsidRDefault="00215691" w:rsidP="00701E5C">
      <w:pPr>
        <w:rPr>
          <w:rFonts w:eastAsiaTheme="minorEastAsia"/>
          <w:noProof/>
        </w:rPr>
      </w:pPr>
      <w:r w:rsidRPr="00853D04">
        <w:rPr>
          <w:noProof/>
        </w:rPr>
        <w:t>Ogólnie rzecz biorąc, konsultacje pokazały, że wśród zainteresowanych stron istnieje zarówno szerokie uznanie potrzeby wzmocnienia transgranicznej działalności stowarzyszeń niekomercyjnych, jak</w:t>
      </w:r>
      <w:r w:rsidR="00C13C75" w:rsidRPr="00853D04">
        <w:rPr>
          <w:noProof/>
        </w:rPr>
        <w:t xml:space="preserve"> i</w:t>
      </w:r>
      <w:r w:rsidR="00C13C75">
        <w:rPr>
          <w:noProof/>
        </w:rPr>
        <w:t> </w:t>
      </w:r>
      <w:r w:rsidR="00C13C75" w:rsidRPr="00853D04">
        <w:rPr>
          <w:noProof/>
        </w:rPr>
        <w:t>pop</w:t>
      </w:r>
      <w:r w:rsidRPr="00853D04">
        <w:rPr>
          <w:noProof/>
        </w:rPr>
        <w:t xml:space="preserve">arcie dla </w:t>
      </w:r>
      <w:r w:rsidRPr="00853D04">
        <w:rPr>
          <w:noProof/>
          <w:shd w:val="clear" w:color="auto" w:fill="FFFFFF"/>
        </w:rPr>
        <w:t>działań UE mających na celu ułatwienie transgranicznej działalności stowarzyszeń</w:t>
      </w:r>
      <w:r w:rsidRPr="00853D04">
        <w:rPr>
          <w:noProof/>
        </w:rPr>
        <w:t xml:space="preserve"> niekomercyjnych </w:t>
      </w:r>
      <w:r w:rsidRPr="00853D04">
        <w:rPr>
          <w:noProof/>
          <w:shd w:val="clear" w:color="auto" w:fill="FFFFFF"/>
        </w:rPr>
        <w:t>na rynku wewnętrznym</w:t>
      </w:r>
      <w:r w:rsidRPr="00853D04">
        <w:rPr>
          <w:rStyle w:val="FootnoteReference"/>
          <w:rFonts w:eastAsiaTheme="minorEastAsia"/>
          <w:noProof/>
        </w:rPr>
        <w:footnoteReference w:id="28"/>
      </w:r>
      <w:r w:rsidRPr="00853D04">
        <w:rPr>
          <w:noProof/>
        </w:rPr>
        <w:t xml:space="preserve">. </w:t>
      </w:r>
    </w:p>
    <w:p w14:paraId="3169D141" w14:textId="07FD9B0B" w:rsidR="00215691" w:rsidRPr="00853D04" w:rsidRDefault="00215691" w:rsidP="00701E5C">
      <w:pPr>
        <w:rPr>
          <w:rFonts w:eastAsiaTheme="minorEastAsia"/>
          <w:noProof/>
        </w:rPr>
      </w:pPr>
      <w:r w:rsidRPr="00853D04">
        <w:rPr>
          <w:noProof/>
        </w:rPr>
        <w:t>Większość respondentów zgłosiła powtarzające się wyzwania</w:t>
      </w:r>
      <w:r w:rsidR="00C13C75" w:rsidRPr="00853D04">
        <w:rPr>
          <w:noProof/>
        </w:rPr>
        <w:t xml:space="preserve"> i</w:t>
      </w:r>
      <w:r w:rsidR="00C13C75">
        <w:rPr>
          <w:noProof/>
        </w:rPr>
        <w:t> </w:t>
      </w:r>
      <w:r w:rsidR="00C13C75" w:rsidRPr="00853D04">
        <w:rPr>
          <w:noProof/>
        </w:rPr>
        <w:t>prz</w:t>
      </w:r>
      <w:r w:rsidRPr="00853D04">
        <w:rPr>
          <w:noProof/>
        </w:rPr>
        <w:t>eszkody podczas prowadzenia działalności transgranicznej</w:t>
      </w:r>
      <w:r w:rsidR="00C13C75" w:rsidRPr="00853D04">
        <w:rPr>
          <w:noProof/>
        </w:rPr>
        <w:t>. W</w:t>
      </w:r>
      <w:r w:rsidR="00C13C75">
        <w:rPr>
          <w:noProof/>
        </w:rPr>
        <w:t> </w:t>
      </w:r>
      <w:r w:rsidR="00C13C75" w:rsidRPr="00853D04">
        <w:rPr>
          <w:noProof/>
        </w:rPr>
        <w:t>ram</w:t>
      </w:r>
      <w:r w:rsidRPr="00853D04">
        <w:rPr>
          <w:noProof/>
        </w:rPr>
        <w:t>ach zaproszenia do zgłaszania uwag zainteresowane strony zwróciły uwagę na istniejące bariery</w:t>
      </w:r>
      <w:r w:rsidR="00C13C75" w:rsidRPr="00853D04">
        <w:rPr>
          <w:noProof/>
        </w:rPr>
        <w:t xml:space="preserve"> w</w:t>
      </w:r>
      <w:r w:rsidR="00C13C75">
        <w:rPr>
          <w:noProof/>
        </w:rPr>
        <w:t> </w:t>
      </w:r>
      <w:r w:rsidR="00C13C75" w:rsidRPr="00853D04">
        <w:rPr>
          <w:noProof/>
        </w:rPr>
        <w:t>tak</w:t>
      </w:r>
      <w:r w:rsidRPr="00853D04">
        <w:rPr>
          <w:noProof/>
        </w:rPr>
        <w:t>ich obszarach, jak świadczenie usług</w:t>
      </w:r>
      <w:r w:rsidR="00C13C75" w:rsidRPr="00853D04">
        <w:rPr>
          <w:noProof/>
        </w:rPr>
        <w:t xml:space="preserve"> w</w:t>
      </w:r>
      <w:r w:rsidR="00C13C75">
        <w:rPr>
          <w:noProof/>
        </w:rPr>
        <w:t> </w:t>
      </w:r>
      <w:r w:rsidR="00C13C75" w:rsidRPr="00853D04">
        <w:rPr>
          <w:noProof/>
        </w:rPr>
        <w:t>inn</w:t>
      </w:r>
      <w:r w:rsidRPr="00853D04">
        <w:rPr>
          <w:noProof/>
        </w:rPr>
        <w:t>ym państwie członkowskim bez rejestracji, problemy</w:t>
      </w:r>
      <w:r w:rsidR="00C13C75" w:rsidRPr="00853D04">
        <w:rPr>
          <w:noProof/>
        </w:rPr>
        <w:t xml:space="preserve"> z</w:t>
      </w:r>
      <w:r w:rsidR="00C13C75">
        <w:rPr>
          <w:noProof/>
        </w:rPr>
        <w:t> </w:t>
      </w:r>
      <w:r w:rsidR="00C13C75" w:rsidRPr="00853D04">
        <w:rPr>
          <w:noProof/>
        </w:rPr>
        <w:t>uzn</w:t>
      </w:r>
      <w:r w:rsidRPr="00853D04">
        <w:rPr>
          <w:noProof/>
        </w:rPr>
        <w:t>awaniem</w:t>
      </w:r>
      <w:r w:rsidR="00C13C75" w:rsidRPr="00853D04">
        <w:rPr>
          <w:noProof/>
        </w:rPr>
        <w:t xml:space="preserve"> w</w:t>
      </w:r>
      <w:r w:rsidR="00C13C75">
        <w:rPr>
          <w:noProof/>
        </w:rPr>
        <w:t> </w:t>
      </w:r>
      <w:r w:rsidR="00C13C75" w:rsidRPr="00853D04">
        <w:rPr>
          <w:noProof/>
        </w:rPr>
        <w:t>inn</w:t>
      </w:r>
      <w:r w:rsidRPr="00853D04">
        <w:rPr>
          <w:noProof/>
        </w:rPr>
        <w:t>ym państwie członkowskim, dostęp do finansowania oraz różne systemy VAT</w:t>
      </w:r>
      <w:r w:rsidR="00C13C75" w:rsidRPr="00853D04">
        <w:rPr>
          <w:noProof/>
        </w:rPr>
        <w:t xml:space="preserve"> i</w:t>
      </w:r>
      <w:r w:rsidR="00C13C75">
        <w:rPr>
          <w:noProof/>
        </w:rPr>
        <w:t> </w:t>
      </w:r>
      <w:r w:rsidR="00C13C75" w:rsidRPr="00853D04">
        <w:rPr>
          <w:noProof/>
        </w:rPr>
        <w:t>pod</w:t>
      </w:r>
      <w:r w:rsidRPr="00853D04">
        <w:rPr>
          <w:noProof/>
        </w:rPr>
        <w:t>ejścia</w:t>
      </w:r>
      <w:r w:rsidR="00C13C75" w:rsidRPr="00853D04">
        <w:rPr>
          <w:noProof/>
        </w:rPr>
        <w:t xml:space="preserve"> w</w:t>
      </w:r>
      <w:r w:rsidR="00C13C75">
        <w:rPr>
          <w:noProof/>
        </w:rPr>
        <w:t> </w:t>
      </w:r>
      <w:r w:rsidR="00C13C75" w:rsidRPr="00853D04">
        <w:rPr>
          <w:noProof/>
        </w:rPr>
        <w:t>pos</w:t>
      </w:r>
      <w:r w:rsidRPr="00853D04">
        <w:rPr>
          <w:noProof/>
        </w:rPr>
        <w:t>zczególnych państwach UE</w:t>
      </w:r>
      <w:r w:rsidR="00C13C75" w:rsidRPr="00853D04">
        <w:rPr>
          <w:noProof/>
        </w:rPr>
        <w:t>. W</w:t>
      </w:r>
      <w:r w:rsidR="00C13C75">
        <w:rPr>
          <w:noProof/>
        </w:rPr>
        <w:t> </w:t>
      </w:r>
      <w:r w:rsidR="00C13C75" w:rsidRPr="00853D04">
        <w:rPr>
          <w:noProof/>
        </w:rPr>
        <w:t>kon</w:t>
      </w:r>
      <w:r w:rsidRPr="00853D04">
        <w:rPr>
          <w:noProof/>
        </w:rPr>
        <w:t>sultacjach publicznych najczęściej powtarzającymi się problemami były kwestie podatkowe, procesy rejestracyjne</w:t>
      </w:r>
      <w:r w:rsidR="00C13C75" w:rsidRPr="00853D04">
        <w:rPr>
          <w:noProof/>
        </w:rPr>
        <w:t xml:space="preserve"> i</w:t>
      </w:r>
      <w:r w:rsidR="00C13C75">
        <w:rPr>
          <w:noProof/>
        </w:rPr>
        <w:t> </w:t>
      </w:r>
      <w:r w:rsidR="00C13C75" w:rsidRPr="00853D04">
        <w:rPr>
          <w:noProof/>
        </w:rPr>
        <w:t>for</w:t>
      </w:r>
      <w:r w:rsidRPr="00853D04">
        <w:rPr>
          <w:noProof/>
        </w:rPr>
        <w:t>malności administracyjne. Odpowiedzi uzyskane</w:t>
      </w:r>
      <w:r w:rsidR="00C13C75" w:rsidRPr="00853D04">
        <w:rPr>
          <w:noProof/>
        </w:rPr>
        <w:t xml:space="preserve"> w</w:t>
      </w:r>
      <w:r w:rsidR="00C13C75">
        <w:rPr>
          <w:noProof/>
        </w:rPr>
        <w:t> </w:t>
      </w:r>
      <w:r w:rsidR="00C13C75" w:rsidRPr="00853D04">
        <w:rPr>
          <w:noProof/>
        </w:rPr>
        <w:t>ram</w:t>
      </w:r>
      <w:r w:rsidRPr="00853D04">
        <w:rPr>
          <w:noProof/>
        </w:rPr>
        <w:t>ach ukierunkowanych konsultacji</w:t>
      </w:r>
      <w:r w:rsidR="00C13C75" w:rsidRPr="00853D04">
        <w:rPr>
          <w:noProof/>
        </w:rPr>
        <w:t xml:space="preserve"> z</w:t>
      </w:r>
      <w:r w:rsidR="00C13C75">
        <w:rPr>
          <w:noProof/>
        </w:rPr>
        <w:t> </w:t>
      </w:r>
      <w:r w:rsidR="00C13C75" w:rsidRPr="00853D04">
        <w:rPr>
          <w:noProof/>
        </w:rPr>
        <w:t>zai</w:t>
      </w:r>
      <w:r w:rsidRPr="00853D04">
        <w:rPr>
          <w:noProof/>
        </w:rPr>
        <w:t>nteresowanymi stronami były podobne</w:t>
      </w:r>
      <w:r w:rsidR="00C13C75" w:rsidRPr="00853D04">
        <w:rPr>
          <w:noProof/>
        </w:rPr>
        <w:t xml:space="preserve"> i</w:t>
      </w:r>
      <w:r w:rsidR="00C13C75">
        <w:rPr>
          <w:noProof/>
        </w:rPr>
        <w:t> </w:t>
      </w:r>
      <w:r w:rsidR="00C13C75" w:rsidRPr="00853D04">
        <w:rPr>
          <w:noProof/>
        </w:rPr>
        <w:t>wsk</w:t>
      </w:r>
      <w:r w:rsidRPr="00853D04">
        <w:rPr>
          <w:noProof/>
        </w:rPr>
        <w:t>azywały na takie problemy, jak różne zbiory przepisów krajowych dotyczących zakładania stowarzyszeń niekomercyjnych,</w:t>
      </w:r>
      <w:r w:rsidR="00C13C75" w:rsidRPr="00853D04">
        <w:rPr>
          <w:noProof/>
        </w:rPr>
        <w:t xml:space="preserve"> a</w:t>
      </w:r>
      <w:r w:rsidR="00C13C75">
        <w:rPr>
          <w:noProof/>
        </w:rPr>
        <w:t> </w:t>
      </w:r>
      <w:r w:rsidR="00C13C75" w:rsidRPr="00853D04">
        <w:rPr>
          <w:noProof/>
        </w:rPr>
        <w:t>w</w:t>
      </w:r>
      <w:r w:rsidR="00C13C75">
        <w:rPr>
          <w:noProof/>
        </w:rPr>
        <w:t> </w:t>
      </w:r>
      <w:r w:rsidR="00C13C75" w:rsidRPr="00853D04">
        <w:rPr>
          <w:noProof/>
        </w:rPr>
        <w:t>dal</w:t>
      </w:r>
      <w:r w:rsidRPr="00853D04">
        <w:rPr>
          <w:noProof/>
        </w:rPr>
        <w:t>szej kolejności trudności</w:t>
      </w:r>
      <w:r w:rsidR="00C13C75" w:rsidRPr="00853D04">
        <w:rPr>
          <w:noProof/>
        </w:rPr>
        <w:t xml:space="preserve"> w</w:t>
      </w:r>
      <w:r w:rsidR="00C13C75">
        <w:rPr>
          <w:noProof/>
        </w:rPr>
        <w:t> </w:t>
      </w:r>
      <w:r w:rsidR="00C13C75" w:rsidRPr="00853D04">
        <w:rPr>
          <w:noProof/>
        </w:rPr>
        <w:t>łąc</w:t>
      </w:r>
      <w:r w:rsidRPr="00853D04">
        <w:rPr>
          <w:noProof/>
        </w:rPr>
        <w:t>zeniu stowarzyszeń niekomercyjnych</w:t>
      </w:r>
      <w:r w:rsidR="00C13C75" w:rsidRPr="00853D04">
        <w:rPr>
          <w:noProof/>
        </w:rPr>
        <w:t xml:space="preserve"> w</w:t>
      </w:r>
      <w:r w:rsidR="00C13C75">
        <w:rPr>
          <w:noProof/>
        </w:rPr>
        <w:t> </w:t>
      </w:r>
      <w:r w:rsidR="00C13C75" w:rsidRPr="00853D04">
        <w:rPr>
          <w:noProof/>
        </w:rPr>
        <w:t>róż</w:t>
      </w:r>
      <w:r w:rsidRPr="00853D04">
        <w:rPr>
          <w:noProof/>
        </w:rPr>
        <w:t>nych państwach członkowskich oraz inne kwestie podatkowe.</w:t>
      </w:r>
    </w:p>
    <w:p w14:paraId="438D6F06" w14:textId="0CB373F4" w:rsidR="00215691" w:rsidRPr="00853D04" w:rsidRDefault="00215691" w:rsidP="217015B3">
      <w:pPr>
        <w:rPr>
          <w:rFonts w:eastAsiaTheme="minorEastAsia"/>
          <w:noProof/>
        </w:rPr>
      </w:pPr>
      <w:r w:rsidRPr="00853D04">
        <w:rPr>
          <w:noProof/>
        </w:rPr>
        <w:t>Jeśli chodzi</w:t>
      </w:r>
      <w:r w:rsidR="00C13C75" w:rsidRPr="00853D04">
        <w:rPr>
          <w:noProof/>
        </w:rPr>
        <w:t xml:space="preserve"> o</w:t>
      </w:r>
      <w:r w:rsidR="00C13C75">
        <w:rPr>
          <w:noProof/>
        </w:rPr>
        <w:t> </w:t>
      </w:r>
      <w:r w:rsidR="00C13C75" w:rsidRPr="00853D04">
        <w:rPr>
          <w:noProof/>
        </w:rPr>
        <w:t>pre</w:t>
      </w:r>
      <w:r w:rsidRPr="00853D04">
        <w:rPr>
          <w:noProof/>
        </w:rPr>
        <w:t>ferowany wariant strategiczny, 3</w:t>
      </w:r>
      <w:r w:rsidRPr="00C13C75">
        <w:rPr>
          <w:noProof/>
        </w:rPr>
        <w:t>6</w:t>
      </w:r>
      <w:r w:rsidR="00C13C75" w:rsidRPr="00C13C75">
        <w:rPr>
          <w:noProof/>
        </w:rPr>
        <w:t> </w:t>
      </w:r>
      <w:r w:rsidRPr="00C13C75">
        <w:rPr>
          <w:noProof/>
        </w:rPr>
        <w:t>%</w:t>
      </w:r>
      <w:r w:rsidRPr="00853D04">
        <w:rPr>
          <w:noProof/>
        </w:rPr>
        <w:t xml:space="preserve"> (22 spośród 64) wszystkich respondentów biorących udział</w:t>
      </w:r>
      <w:r w:rsidR="00C13C75" w:rsidRPr="00853D04">
        <w:rPr>
          <w:noProof/>
        </w:rPr>
        <w:t xml:space="preserve"> w</w:t>
      </w:r>
      <w:r w:rsidR="00C13C75">
        <w:rPr>
          <w:noProof/>
        </w:rPr>
        <w:t> </w:t>
      </w:r>
      <w:r w:rsidR="00C13C75" w:rsidRPr="00853D04">
        <w:rPr>
          <w:noProof/>
        </w:rPr>
        <w:t>kon</w:t>
      </w:r>
      <w:r w:rsidRPr="00853D04">
        <w:rPr>
          <w:noProof/>
        </w:rPr>
        <w:t>sultacjach publicznych (z czego 6</w:t>
      </w:r>
      <w:r w:rsidRPr="00C13C75">
        <w:rPr>
          <w:noProof/>
        </w:rPr>
        <w:t>7</w:t>
      </w:r>
      <w:r w:rsidR="00C13C75" w:rsidRPr="00C13C75">
        <w:rPr>
          <w:noProof/>
        </w:rPr>
        <w:t> </w:t>
      </w:r>
      <w:r w:rsidRPr="00C13C75">
        <w:rPr>
          <w:noProof/>
        </w:rPr>
        <w:t>%</w:t>
      </w:r>
      <w:r w:rsidRPr="00853D04">
        <w:rPr>
          <w:noProof/>
        </w:rPr>
        <w:t xml:space="preserve">, </w:t>
      </w:r>
      <w:r w:rsidRPr="00C13C75">
        <w:rPr>
          <w:noProof/>
        </w:rPr>
        <w:t>tj.</w:t>
      </w:r>
      <w:r w:rsidR="00C13C75" w:rsidRPr="00C13C75">
        <w:rPr>
          <w:noProof/>
        </w:rPr>
        <w:t> </w:t>
      </w:r>
      <w:r w:rsidRPr="00C13C75">
        <w:rPr>
          <w:noProof/>
        </w:rPr>
        <w:t>4</w:t>
      </w:r>
      <w:r w:rsidRPr="00853D04">
        <w:rPr>
          <w:noProof/>
        </w:rPr>
        <w:t>3</w:t>
      </w:r>
      <w:r w:rsidR="00C13C75" w:rsidRPr="00853D04">
        <w:rPr>
          <w:noProof/>
        </w:rPr>
        <w:t xml:space="preserve"> z</w:t>
      </w:r>
      <w:r w:rsidR="00C13C75">
        <w:rPr>
          <w:noProof/>
        </w:rPr>
        <w:t> </w:t>
      </w:r>
      <w:r w:rsidR="00C13C75" w:rsidRPr="00853D04">
        <w:rPr>
          <w:noProof/>
        </w:rPr>
        <w:t>6</w:t>
      </w:r>
      <w:r w:rsidRPr="00853D04">
        <w:rPr>
          <w:noProof/>
        </w:rPr>
        <w:t>4, należy do trzeciego sektora) opowiedziało się za „nową formą prawną dla stowarzyszeń”. 16 spośród 38 respondentów, którzy określili się jako osoby posiadające formę prawną stowarzyszenia (</w:t>
      </w:r>
      <w:r w:rsidRPr="00C13C75">
        <w:rPr>
          <w:noProof/>
        </w:rPr>
        <w:t>tj.</w:t>
      </w:r>
      <w:r w:rsidR="00C13C75" w:rsidRPr="00C13C75">
        <w:rPr>
          <w:noProof/>
        </w:rPr>
        <w:t> </w:t>
      </w:r>
      <w:r w:rsidRPr="00C13C75">
        <w:rPr>
          <w:noProof/>
        </w:rPr>
        <w:t>42</w:t>
      </w:r>
      <w:r w:rsidR="00C13C75" w:rsidRPr="00C13C75">
        <w:rPr>
          <w:noProof/>
        </w:rPr>
        <w:t> </w:t>
      </w:r>
      <w:r w:rsidRPr="00C13C75">
        <w:rPr>
          <w:noProof/>
        </w:rPr>
        <w:t>%</w:t>
      </w:r>
      <w:r w:rsidRPr="00853D04">
        <w:rPr>
          <w:noProof/>
        </w:rPr>
        <w:t xml:space="preserve"> tych respondentów) również opowiedziało się za tym rozwiązaniem. „Harmonizacja wspólnych minimalnych standardów” (wariant strategiczny 2) była preferowaną opcją </w:t>
      </w:r>
      <w:r w:rsidRPr="00C13C75">
        <w:rPr>
          <w:noProof/>
        </w:rPr>
        <w:t>dla</w:t>
      </w:r>
      <w:r w:rsidR="00C13C75" w:rsidRPr="00C13C75">
        <w:rPr>
          <w:noProof/>
        </w:rPr>
        <w:t> </w:t>
      </w:r>
      <w:r w:rsidRPr="00C13C75">
        <w:rPr>
          <w:noProof/>
        </w:rPr>
        <w:t>42</w:t>
      </w:r>
      <w:r w:rsidR="00C13C75" w:rsidRPr="00C13C75">
        <w:rPr>
          <w:noProof/>
        </w:rPr>
        <w:t> </w:t>
      </w:r>
      <w:r w:rsidRPr="00C13C75">
        <w:rPr>
          <w:noProof/>
        </w:rPr>
        <w:t>%</w:t>
      </w:r>
      <w:r w:rsidRPr="00853D04">
        <w:rPr>
          <w:noProof/>
        </w:rPr>
        <w:t xml:space="preserve"> (26 spośród 64) wszystkich respondentów</w:t>
      </w:r>
      <w:r w:rsidR="00C13C75" w:rsidRPr="00853D04">
        <w:rPr>
          <w:noProof/>
        </w:rPr>
        <w:t xml:space="preserve"> i</w:t>
      </w:r>
      <w:r w:rsidR="00C13C75">
        <w:rPr>
          <w:noProof/>
        </w:rPr>
        <w:t> </w:t>
      </w:r>
      <w:r w:rsidR="00C13C75" w:rsidRPr="00C13C75">
        <w:rPr>
          <w:noProof/>
        </w:rPr>
        <w:t>dla </w:t>
      </w:r>
      <w:r w:rsidRPr="00C13C75">
        <w:rPr>
          <w:noProof/>
        </w:rPr>
        <w:t>32</w:t>
      </w:r>
      <w:r w:rsidR="00C13C75" w:rsidRPr="00C13C75">
        <w:rPr>
          <w:noProof/>
        </w:rPr>
        <w:t> </w:t>
      </w:r>
      <w:r w:rsidRPr="00C13C75">
        <w:rPr>
          <w:noProof/>
        </w:rPr>
        <w:t>%</w:t>
      </w:r>
      <w:r w:rsidRPr="00853D04">
        <w:rPr>
          <w:noProof/>
        </w:rPr>
        <w:t xml:space="preserve"> (12 spośród 38) respondentów posiadających formę prawną stowarzyszenia.</w:t>
      </w:r>
    </w:p>
    <w:p w14:paraId="23E90CCD" w14:textId="1ACD5401" w:rsidR="00215691" w:rsidRPr="00853D04" w:rsidRDefault="00215691" w:rsidP="00701E5C">
      <w:pPr>
        <w:rPr>
          <w:noProof/>
          <w:color w:val="000000" w:themeColor="text1"/>
        </w:rPr>
      </w:pPr>
      <w:r w:rsidRPr="00853D04">
        <w:rPr>
          <w:noProof/>
        </w:rPr>
        <w:t>W kontekście ukierunkowanej ankiety (na którą otrzymano 140 odpowiedzi) stowarzyszenia niekomercyjne, które udzieliły odpowiedzi, poparły interwencje UE, potencjalnie opowiadając się za utworzeniem nowych form prawnych pod względem skuteczności</w:t>
      </w:r>
      <w:r w:rsidR="00C13C75" w:rsidRPr="00853D04">
        <w:rPr>
          <w:noProof/>
        </w:rPr>
        <w:t xml:space="preserve"> w</w:t>
      </w:r>
      <w:r w:rsidR="00C13C75">
        <w:rPr>
          <w:noProof/>
        </w:rPr>
        <w:t> </w:t>
      </w:r>
      <w:r w:rsidR="00C13C75" w:rsidRPr="00853D04">
        <w:rPr>
          <w:noProof/>
        </w:rPr>
        <w:t>zak</w:t>
      </w:r>
      <w:r w:rsidRPr="00853D04">
        <w:rPr>
          <w:noProof/>
        </w:rPr>
        <w:t>resie ułatwiania działalności stowarzyszeń</w:t>
      </w:r>
      <w:r w:rsidR="00C13C75" w:rsidRPr="00853D04">
        <w:rPr>
          <w:noProof/>
        </w:rPr>
        <w:t xml:space="preserve"> w</w:t>
      </w:r>
      <w:r w:rsidR="00C13C75">
        <w:rPr>
          <w:noProof/>
        </w:rPr>
        <w:t> </w:t>
      </w:r>
      <w:r w:rsidR="00C13C75" w:rsidRPr="00853D04">
        <w:rPr>
          <w:noProof/>
        </w:rPr>
        <w:t>inn</w:t>
      </w:r>
      <w:r w:rsidRPr="00853D04">
        <w:rPr>
          <w:noProof/>
        </w:rPr>
        <w:t>ym państwie członkowskim, chociaż inne warianty strategiczne również cieszyły się szerokim poparciem.</w:t>
      </w:r>
    </w:p>
    <w:p w14:paraId="3E9CE339" w14:textId="779BFD93" w:rsidR="00215691" w:rsidRPr="00853D04" w:rsidRDefault="00215691" w:rsidP="00701E5C">
      <w:pPr>
        <w:rPr>
          <w:noProof/>
        </w:rPr>
      </w:pPr>
      <w:r w:rsidRPr="00853D04">
        <w:rPr>
          <w:noProof/>
        </w:rPr>
        <w:t>Szczegółowe informacje na temat strategii konsultacji, wyników</w:t>
      </w:r>
      <w:r w:rsidR="00C13C75" w:rsidRPr="00853D04">
        <w:rPr>
          <w:noProof/>
        </w:rPr>
        <w:t xml:space="preserve"> i</w:t>
      </w:r>
      <w:r w:rsidR="00C13C75">
        <w:rPr>
          <w:noProof/>
        </w:rPr>
        <w:t> </w:t>
      </w:r>
      <w:r w:rsidR="00C13C75" w:rsidRPr="00853D04">
        <w:rPr>
          <w:noProof/>
        </w:rPr>
        <w:t>wni</w:t>
      </w:r>
      <w:r w:rsidRPr="00853D04">
        <w:rPr>
          <w:noProof/>
        </w:rPr>
        <w:t>osków</w:t>
      </w:r>
      <w:r w:rsidR="00C13C75" w:rsidRPr="00853D04">
        <w:rPr>
          <w:noProof/>
        </w:rPr>
        <w:t xml:space="preserve"> z</w:t>
      </w:r>
      <w:r w:rsidR="00C13C75">
        <w:rPr>
          <w:noProof/>
        </w:rPr>
        <w:t> </w:t>
      </w:r>
      <w:r w:rsidR="00C13C75" w:rsidRPr="00853D04">
        <w:rPr>
          <w:noProof/>
        </w:rPr>
        <w:t>kon</w:t>
      </w:r>
      <w:r w:rsidRPr="00853D04">
        <w:rPr>
          <w:noProof/>
        </w:rPr>
        <w:t>sultacji</w:t>
      </w:r>
      <w:r w:rsidR="00C13C75" w:rsidRPr="00853D04">
        <w:rPr>
          <w:noProof/>
        </w:rPr>
        <w:t xml:space="preserve"> z</w:t>
      </w:r>
      <w:r w:rsidR="00C13C75">
        <w:rPr>
          <w:noProof/>
        </w:rPr>
        <w:t> </w:t>
      </w:r>
      <w:r w:rsidR="00C13C75" w:rsidRPr="00853D04">
        <w:rPr>
          <w:noProof/>
        </w:rPr>
        <w:t>zai</w:t>
      </w:r>
      <w:r w:rsidRPr="00853D04">
        <w:rPr>
          <w:noProof/>
        </w:rPr>
        <w:t>nteresowanymi stronami można znaleźć</w:t>
      </w:r>
      <w:r w:rsidR="00C13C75" w:rsidRPr="00853D04">
        <w:rPr>
          <w:noProof/>
        </w:rPr>
        <w:t xml:space="preserve"> w</w:t>
      </w:r>
      <w:r w:rsidR="00C13C75">
        <w:rPr>
          <w:noProof/>
        </w:rPr>
        <w:t> </w:t>
      </w:r>
      <w:r w:rsidR="00C13C75" w:rsidRPr="00853D04">
        <w:rPr>
          <w:noProof/>
        </w:rPr>
        <w:t>zał</w:t>
      </w:r>
      <w:r w:rsidRPr="00853D04">
        <w:rPr>
          <w:noProof/>
        </w:rPr>
        <w:t>ączniku 2 do sprawozdania</w:t>
      </w:r>
      <w:r w:rsidR="00C13C75" w:rsidRPr="00853D04">
        <w:rPr>
          <w:noProof/>
        </w:rPr>
        <w:t xml:space="preserve"> z</w:t>
      </w:r>
      <w:r w:rsidR="00C13C75">
        <w:rPr>
          <w:noProof/>
        </w:rPr>
        <w:t> </w:t>
      </w:r>
      <w:r w:rsidR="00C13C75" w:rsidRPr="00853D04">
        <w:rPr>
          <w:noProof/>
        </w:rPr>
        <w:t>oce</w:t>
      </w:r>
      <w:r w:rsidRPr="00853D04">
        <w:rPr>
          <w:noProof/>
        </w:rPr>
        <w:t xml:space="preserve">ny skutków oraz na portalu </w:t>
      </w:r>
      <w:hyperlink r:id="rId13" w:tgtFrame="_blank" w:history="1">
        <w:r w:rsidRPr="00853D04">
          <w:rPr>
            <w:noProof/>
            <w:color w:val="0000FF"/>
            <w:u w:val="single"/>
            <w:shd w:val="clear" w:color="auto" w:fill="FFFFFF"/>
          </w:rPr>
          <w:t>„Wyraź swoją opinię” (europa.eu)</w:t>
        </w:r>
      </w:hyperlink>
      <w:r w:rsidRPr="00853D04">
        <w:rPr>
          <w:noProof/>
        </w:rPr>
        <w:t xml:space="preserve">. </w:t>
      </w:r>
    </w:p>
    <w:p w14:paraId="6D3E0527" w14:textId="5D1E7AB1" w:rsidR="00215691" w:rsidRPr="00853D04" w:rsidRDefault="00215691" w:rsidP="00701E5C">
      <w:pPr>
        <w:pStyle w:val="ManualHeading2"/>
        <w:rPr>
          <w:noProof/>
        </w:rPr>
      </w:pPr>
      <w:r w:rsidRPr="00853D04">
        <w:rPr>
          <w:noProof/>
        </w:rPr>
        <w:t>•</w:t>
      </w:r>
      <w:r w:rsidRPr="00853D04">
        <w:rPr>
          <w:noProof/>
        </w:rPr>
        <w:tab/>
        <w:t>Gromadzenie</w:t>
      </w:r>
      <w:r w:rsidR="00C13C75" w:rsidRPr="00853D04">
        <w:rPr>
          <w:noProof/>
        </w:rPr>
        <w:t xml:space="preserve"> i</w:t>
      </w:r>
      <w:r w:rsidR="00C13C75">
        <w:rPr>
          <w:noProof/>
        </w:rPr>
        <w:t> </w:t>
      </w:r>
      <w:r w:rsidR="00C13C75" w:rsidRPr="00853D04">
        <w:rPr>
          <w:noProof/>
        </w:rPr>
        <w:t>wyk</w:t>
      </w:r>
      <w:r w:rsidRPr="00853D04">
        <w:rPr>
          <w:noProof/>
        </w:rPr>
        <w:t>orzystanie wiedzy eksperckiej</w:t>
      </w:r>
    </w:p>
    <w:p w14:paraId="7F588B65" w14:textId="71839DE3" w:rsidR="00215691" w:rsidRPr="00853D04" w:rsidRDefault="00215691" w:rsidP="00701E5C">
      <w:pPr>
        <w:rPr>
          <w:noProof/>
        </w:rPr>
      </w:pPr>
      <w:r w:rsidRPr="00853D04">
        <w:rPr>
          <w:noProof/>
        </w:rPr>
        <w:t>Aby wesprzeć analizę stanowiącą podstawę oceny skutków, Komisja wykorzystała wyniki badania zewnętrznego zleconego</w:t>
      </w:r>
      <w:r w:rsidR="00C13C75" w:rsidRPr="00853D04">
        <w:rPr>
          <w:noProof/>
        </w:rPr>
        <w:t xml:space="preserve"> w</w:t>
      </w:r>
      <w:r w:rsidR="00C13C75">
        <w:rPr>
          <w:noProof/>
        </w:rPr>
        <w:t> </w:t>
      </w:r>
      <w:r w:rsidR="00C13C75" w:rsidRPr="00853D04">
        <w:rPr>
          <w:noProof/>
        </w:rPr>
        <w:t>cel</w:t>
      </w:r>
      <w:r w:rsidRPr="00853D04">
        <w:rPr>
          <w:noProof/>
        </w:rPr>
        <w:t>u zebrania dalszych dowodów dotyczących transgranicznej działalności stowarzyszeń. Obejmowało ono porównawczą analizę prawną przepisów</w:t>
      </w:r>
      <w:r w:rsidR="00C13C75" w:rsidRPr="00853D04">
        <w:rPr>
          <w:noProof/>
        </w:rPr>
        <w:t xml:space="preserve"> i</w:t>
      </w:r>
      <w:r w:rsidR="00C13C75">
        <w:rPr>
          <w:noProof/>
        </w:rPr>
        <w:t> </w:t>
      </w:r>
      <w:r w:rsidR="00C13C75" w:rsidRPr="00853D04">
        <w:rPr>
          <w:noProof/>
        </w:rPr>
        <w:t>sys</w:t>
      </w:r>
      <w:r w:rsidRPr="00853D04">
        <w:rPr>
          <w:noProof/>
        </w:rPr>
        <w:t>temów dotyczących stowarzyszeń w UE, ukierunkowane ankiety oraz jakościową</w:t>
      </w:r>
      <w:r w:rsidR="00C13C75" w:rsidRPr="00853D04">
        <w:rPr>
          <w:noProof/>
        </w:rPr>
        <w:t xml:space="preserve"> i</w:t>
      </w:r>
      <w:r w:rsidR="00C13C75">
        <w:rPr>
          <w:noProof/>
        </w:rPr>
        <w:t> </w:t>
      </w:r>
      <w:r w:rsidR="00C13C75" w:rsidRPr="00853D04">
        <w:rPr>
          <w:noProof/>
        </w:rPr>
        <w:t>ilo</w:t>
      </w:r>
      <w:r w:rsidRPr="00853D04">
        <w:rPr>
          <w:noProof/>
        </w:rPr>
        <w:t xml:space="preserve">ściową ocenę skutków potencjalnych środków. </w:t>
      </w:r>
    </w:p>
    <w:p w14:paraId="02E8A6FE" w14:textId="394BEF5D" w:rsidR="00215691" w:rsidRPr="00853D04" w:rsidRDefault="00215691" w:rsidP="00701E5C">
      <w:pPr>
        <w:rPr>
          <w:noProof/>
        </w:rPr>
      </w:pPr>
      <w:r w:rsidRPr="00853D04">
        <w:rPr>
          <w:noProof/>
          <w:color w:val="000000" w:themeColor="text1"/>
        </w:rPr>
        <w:t xml:space="preserve">Ocena skutków została ponadto poparta dowodami wynikającymi z </w:t>
      </w:r>
      <w:hyperlink r:id="rId14" w:tgtFrame="_blank" w:history="1">
        <w:r w:rsidRPr="00853D04">
          <w:rPr>
            <w:noProof/>
            <w:color w:val="0000FF"/>
            <w:u w:val="single"/>
          </w:rPr>
          <w:t>badania pt. „Comparative legal analysis of associations laws and regimes in the EU”</w:t>
        </w:r>
      </w:hyperlink>
      <w:r w:rsidRPr="00853D04">
        <w:rPr>
          <w:noProof/>
          <w:color w:val="000000" w:themeColor="text1"/>
        </w:rPr>
        <w:t xml:space="preserve"> [„Porównawcza analiza prawna przepisów</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sys</w:t>
      </w:r>
      <w:r w:rsidRPr="00853D04">
        <w:rPr>
          <w:noProof/>
          <w:color w:val="000000" w:themeColor="text1"/>
        </w:rPr>
        <w:t>temów dotyczących stowarzyszeń w UE”], opublikowanego we wrześniu 20</w:t>
      </w:r>
      <w:r w:rsidRPr="00C13C75">
        <w:rPr>
          <w:noProof/>
          <w:color w:val="000000" w:themeColor="text1"/>
        </w:rPr>
        <w:t>22</w:t>
      </w:r>
      <w:r w:rsidR="00C13C75" w:rsidRPr="00C13C75">
        <w:rPr>
          <w:noProof/>
          <w:color w:val="000000" w:themeColor="text1"/>
        </w:rPr>
        <w:t> </w:t>
      </w:r>
      <w:r w:rsidRPr="00C13C75">
        <w:rPr>
          <w:noProof/>
          <w:color w:val="000000" w:themeColor="text1"/>
        </w:rPr>
        <w:t>r.</w:t>
      </w:r>
      <w:r w:rsidRPr="00853D04">
        <w:rPr>
          <w:noProof/>
          <w:color w:val="000000" w:themeColor="text1"/>
        </w:rPr>
        <w:t xml:space="preserve">, oraz </w:t>
      </w:r>
      <w:hyperlink r:id="rId15" w:history="1">
        <w:r w:rsidRPr="00853D04">
          <w:rPr>
            <w:rStyle w:val="Hyperlink"/>
            <w:noProof/>
          </w:rPr>
          <w:t>badania pt. „Comparative legal analysis of merger rules concerning associations in the EU”</w:t>
        </w:r>
      </w:hyperlink>
      <w:r w:rsidRPr="00853D04">
        <w:rPr>
          <w:noProof/>
          <w:color w:val="000000" w:themeColor="text1"/>
        </w:rPr>
        <w:t xml:space="preserve"> [„Porównawcza analiza prawna przepisów dotyczących łączenia stowarzyszeń w UE”], opublikowanego</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lip</w:t>
      </w:r>
      <w:r w:rsidRPr="00853D04">
        <w:rPr>
          <w:noProof/>
          <w:color w:val="000000" w:themeColor="text1"/>
        </w:rPr>
        <w:t>cu 20</w:t>
      </w:r>
      <w:r w:rsidRPr="00C13C75">
        <w:rPr>
          <w:noProof/>
          <w:color w:val="000000" w:themeColor="text1"/>
        </w:rPr>
        <w:t>23</w:t>
      </w:r>
      <w:r w:rsidR="00C13C75" w:rsidRPr="00C13C75">
        <w:rPr>
          <w:noProof/>
          <w:color w:val="000000" w:themeColor="text1"/>
        </w:rPr>
        <w:t> </w:t>
      </w:r>
      <w:r w:rsidRPr="00C13C75">
        <w:rPr>
          <w:noProof/>
          <w:color w:val="000000" w:themeColor="text1"/>
        </w:rPr>
        <w:t>r.</w:t>
      </w:r>
      <w:r w:rsidRPr="00853D04">
        <w:rPr>
          <w:noProof/>
          <w:color w:val="000000" w:themeColor="text1"/>
        </w:rPr>
        <w:t> </w:t>
      </w:r>
    </w:p>
    <w:p w14:paraId="325B1725" w14:textId="411C0B5A" w:rsidR="00215691" w:rsidRPr="00853D04" w:rsidRDefault="00215691" w:rsidP="00701E5C">
      <w:pPr>
        <w:rPr>
          <w:noProof/>
        </w:rPr>
      </w:pPr>
      <w:r w:rsidRPr="00853D04">
        <w:rPr>
          <w:noProof/>
        </w:rPr>
        <w:t>Oprócz tych badań uzupełniających dodatkową wiedzę ekspercką czerpano</w:t>
      </w:r>
      <w:r w:rsidR="00C13C75" w:rsidRPr="00853D04">
        <w:rPr>
          <w:noProof/>
        </w:rPr>
        <w:t xml:space="preserve"> z</w:t>
      </w:r>
      <w:r w:rsidR="00C13C75">
        <w:rPr>
          <w:noProof/>
        </w:rPr>
        <w:t> </w:t>
      </w:r>
      <w:r w:rsidR="00C13C75" w:rsidRPr="00853D04">
        <w:rPr>
          <w:noProof/>
        </w:rPr>
        <w:t>prz</w:t>
      </w:r>
      <w:r w:rsidRPr="00853D04">
        <w:rPr>
          <w:noProof/>
        </w:rPr>
        <w:t>eglądu literatury</w:t>
      </w:r>
      <w:r w:rsidR="00C13C75" w:rsidRPr="00853D04">
        <w:rPr>
          <w:noProof/>
        </w:rPr>
        <w:t xml:space="preserve"> i</w:t>
      </w:r>
      <w:r w:rsidR="00C13C75">
        <w:rPr>
          <w:noProof/>
        </w:rPr>
        <w:t> </w:t>
      </w:r>
      <w:r w:rsidR="00C13C75" w:rsidRPr="00853D04">
        <w:rPr>
          <w:noProof/>
        </w:rPr>
        <w:t>odp</w:t>
      </w:r>
      <w:r w:rsidRPr="00853D04">
        <w:rPr>
          <w:noProof/>
        </w:rPr>
        <w:t>owiedzi udzielonych</w:t>
      </w:r>
      <w:r w:rsidR="00C13C75" w:rsidRPr="00853D04">
        <w:rPr>
          <w:noProof/>
        </w:rPr>
        <w:t xml:space="preserve"> w</w:t>
      </w:r>
      <w:r w:rsidR="00C13C75">
        <w:rPr>
          <w:noProof/>
        </w:rPr>
        <w:t> </w:t>
      </w:r>
      <w:r w:rsidR="00C13C75" w:rsidRPr="00853D04">
        <w:rPr>
          <w:noProof/>
        </w:rPr>
        <w:t>ram</w:t>
      </w:r>
      <w:r w:rsidRPr="00853D04">
        <w:rPr>
          <w:noProof/>
        </w:rPr>
        <w:t>ach konsultacji</w:t>
      </w:r>
      <w:r w:rsidR="00C13C75" w:rsidRPr="00853D04">
        <w:rPr>
          <w:noProof/>
        </w:rPr>
        <w:t xml:space="preserve"> z</w:t>
      </w:r>
      <w:r w:rsidR="00C13C75">
        <w:rPr>
          <w:noProof/>
        </w:rPr>
        <w:t> </w:t>
      </w:r>
      <w:r w:rsidR="00C13C75" w:rsidRPr="00853D04">
        <w:rPr>
          <w:noProof/>
        </w:rPr>
        <w:t>zai</w:t>
      </w:r>
      <w:r w:rsidRPr="00853D04">
        <w:rPr>
          <w:noProof/>
        </w:rPr>
        <w:t xml:space="preserve">nteresowanymi stronami. </w:t>
      </w:r>
    </w:p>
    <w:p w14:paraId="6B93BB1C" w14:textId="06C80665" w:rsidR="00215691" w:rsidRPr="00853D04" w:rsidRDefault="00215691" w:rsidP="00701E5C">
      <w:pPr>
        <w:rPr>
          <w:noProof/>
        </w:rPr>
      </w:pPr>
      <w:r w:rsidRPr="00853D04">
        <w:rPr>
          <w:noProof/>
          <w:shd w:val="clear" w:color="auto" w:fill="FFFFFF"/>
        </w:rPr>
        <w:t xml:space="preserve">W </w:t>
      </w:r>
      <w:r w:rsidRPr="00853D04">
        <w:rPr>
          <w:noProof/>
          <w:color w:val="000000" w:themeColor="text1"/>
        </w:rPr>
        <w:t xml:space="preserve">tym kontekście </w:t>
      </w:r>
      <w:r w:rsidRPr="00853D04">
        <w:rPr>
          <w:noProof/>
          <w:shd w:val="clear" w:color="auto" w:fill="FFFFFF"/>
        </w:rPr>
        <w:t xml:space="preserve">Komisja poinformowała </w:t>
      </w:r>
      <w:r w:rsidRPr="00853D04">
        <w:rPr>
          <w:noProof/>
        </w:rPr>
        <w:t>grupę ekspertów Komisji ds. gospodarki społecznej</w:t>
      </w:r>
      <w:r w:rsidR="00C13C75" w:rsidRPr="00853D04">
        <w:rPr>
          <w:noProof/>
        </w:rPr>
        <w:t xml:space="preserve"> i</w:t>
      </w:r>
      <w:r w:rsidR="00C13C75">
        <w:rPr>
          <w:noProof/>
        </w:rPr>
        <w:t> </w:t>
      </w:r>
      <w:r w:rsidR="00C13C75" w:rsidRPr="00853D04">
        <w:rPr>
          <w:noProof/>
        </w:rPr>
        <w:t>prz</w:t>
      </w:r>
      <w:r w:rsidRPr="00853D04">
        <w:rPr>
          <w:noProof/>
        </w:rPr>
        <w:t>edsiębiorstw społecznych (</w:t>
      </w:r>
      <w:r w:rsidRPr="00853D04">
        <w:rPr>
          <w:noProof/>
          <w:shd w:val="clear" w:color="auto" w:fill="FFFFFF"/>
        </w:rPr>
        <w:t>GECES)</w:t>
      </w:r>
      <w:r w:rsidR="00C13C75" w:rsidRPr="00853D04">
        <w:rPr>
          <w:noProof/>
          <w:shd w:val="clear" w:color="auto" w:fill="FFFFFF"/>
        </w:rPr>
        <w:t xml:space="preserve"> o</w:t>
      </w:r>
      <w:r w:rsidR="00C13C75">
        <w:rPr>
          <w:noProof/>
          <w:shd w:val="clear" w:color="auto" w:fill="FFFFFF"/>
        </w:rPr>
        <w:t> </w:t>
      </w:r>
      <w:r w:rsidR="00C13C75" w:rsidRPr="00853D04">
        <w:rPr>
          <w:noProof/>
          <w:shd w:val="clear" w:color="auto" w:fill="FFFFFF"/>
        </w:rPr>
        <w:t>ini</w:t>
      </w:r>
      <w:r w:rsidRPr="00853D04">
        <w:rPr>
          <w:noProof/>
          <w:shd w:val="clear" w:color="auto" w:fill="FFFFFF"/>
        </w:rPr>
        <w:t xml:space="preserve">cjatywie dotyczącej transgranicznej działalności stowarzyszeń </w:t>
      </w:r>
      <w:r w:rsidRPr="00853D04">
        <w:rPr>
          <w:noProof/>
        </w:rPr>
        <w:t>niekomercyjnych</w:t>
      </w:r>
      <w:r w:rsidR="00C13C75" w:rsidRPr="00853D04">
        <w:rPr>
          <w:noProof/>
          <w:shd w:val="clear" w:color="auto" w:fill="FFFFFF"/>
        </w:rPr>
        <w:t xml:space="preserve"> i</w:t>
      </w:r>
      <w:r w:rsidR="00C13C75">
        <w:rPr>
          <w:noProof/>
          <w:shd w:val="clear" w:color="auto" w:fill="FFFFFF"/>
        </w:rPr>
        <w:t> </w:t>
      </w:r>
      <w:r w:rsidR="00C13C75" w:rsidRPr="00853D04">
        <w:rPr>
          <w:noProof/>
          <w:shd w:val="clear" w:color="auto" w:fill="FFFFFF"/>
        </w:rPr>
        <w:t>omó</w:t>
      </w:r>
      <w:r w:rsidRPr="00853D04">
        <w:rPr>
          <w:noProof/>
          <w:shd w:val="clear" w:color="auto" w:fill="FFFFFF"/>
        </w:rPr>
        <w:t>wiła</w:t>
      </w:r>
      <w:r w:rsidR="00C13C75" w:rsidRPr="00853D04">
        <w:rPr>
          <w:noProof/>
          <w:shd w:val="clear" w:color="auto" w:fill="FFFFFF"/>
        </w:rPr>
        <w:t xml:space="preserve"> z</w:t>
      </w:r>
      <w:r w:rsidR="00C13C75">
        <w:rPr>
          <w:noProof/>
          <w:shd w:val="clear" w:color="auto" w:fill="FFFFFF"/>
        </w:rPr>
        <w:t> </w:t>
      </w:r>
      <w:r w:rsidR="00C13C75" w:rsidRPr="00853D04">
        <w:rPr>
          <w:noProof/>
          <w:shd w:val="clear" w:color="auto" w:fill="FFFFFF"/>
        </w:rPr>
        <w:t>nią</w:t>
      </w:r>
      <w:r w:rsidRPr="00853D04">
        <w:rPr>
          <w:noProof/>
          <w:shd w:val="clear" w:color="auto" w:fill="FFFFFF"/>
        </w:rPr>
        <w:t xml:space="preserve"> tę inicjatywę</w:t>
      </w:r>
      <w:r w:rsidR="00C13C75" w:rsidRPr="00853D04">
        <w:rPr>
          <w:noProof/>
          <w:shd w:val="clear" w:color="auto" w:fill="FFFFFF"/>
        </w:rPr>
        <w:t xml:space="preserve"> w</w:t>
      </w:r>
      <w:r w:rsidR="00C13C75">
        <w:rPr>
          <w:noProof/>
          <w:shd w:val="clear" w:color="auto" w:fill="FFFFFF"/>
        </w:rPr>
        <w:t> </w:t>
      </w:r>
      <w:r w:rsidR="00C13C75" w:rsidRPr="00853D04">
        <w:rPr>
          <w:noProof/>
          <w:shd w:val="clear" w:color="auto" w:fill="FFFFFF"/>
        </w:rPr>
        <w:t>cze</w:t>
      </w:r>
      <w:r w:rsidRPr="00853D04">
        <w:rPr>
          <w:noProof/>
          <w:shd w:val="clear" w:color="auto" w:fill="FFFFFF"/>
        </w:rPr>
        <w:t>rwcu</w:t>
      </w:r>
      <w:r w:rsidR="00C13C75" w:rsidRPr="00853D04">
        <w:rPr>
          <w:noProof/>
          <w:shd w:val="clear" w:color="auto" w:fill="FFFFFF"/>
        </w:rPr>
        <w:t xml:space="preserve"> i</w:t>
      </w:r>
      <w:r w:rsidR="00C13C75">
        <w:rPr>
          <w:noProof/>
          <w:shd w:val="clear" w:color="auto" w:fill="FFFFFF"/>
        </w:rPr>
        <w:t> </w:t>
      </w:r>
      <w:r w:rsidR="00C13C75" w:rsidRPr="00853D04">
        <w:rPr>
          <w:noProof/>
          <w:shd w:val="clear" w:color="auto" w:fill="FFFFFF"/>
        </w:rPr>
        <w:t>lis</w:t>
      </w:r>
      <w:r w:rsidRPr="00853D04">
        <w:rPr>
          <w:noProof/>
          <w:shd w:val="clear" w:color="auto" w:fill="FFFFFF"/>
        </w:rPr>
        <w:t>topadzie 20</w:t>
      </w:r>
      <w:r w:rsidRPr="00C13C75">
        <w:rPr>
          <w:noProof/>
          <w:shd w:val="clear" w:color="auto" w:fill="FFFFFF"/>
        </w:rPr>
        <w:t>22</w:t>
      </w:r>
      <w:r w:rsidR="00C13C75" w:rsidRPr="00C13C75">
        <w:rPr>
          <w:noProof/>
          <w:shd w:val="clear" w:color="auto" w:fill="FFFFFF"/>
        </w:rPr>
        <w:t> </w:t>
      </w:r>
      <w:r w:rsidRPr="00C13C75">
        <w:rPr>
          <w:noProof/>
          <w:shd w:val="clear" w:color="auto" w:fill="FFFFFF"/>
        </w:rPr>
        <w:t>r.</w:t>
      </w:r>
    </w:p>
    <w:p w14:paraId="1D7E1BC2" w14:textId="68541EF8" w:rsidR="00215691" w:rsidRPr="00853D04" w:rsidRDefault="00215691" w:rsidP="00701E5C">
      <w:pPr>
        <w:rPr>
          <w:noProof/>
        </w:rPr>
      </w:pPr>
      <w:r w:rsidRPr="00853D04">
        <w:rPr>
          <w:noProof/>
        </w:rPr>
        <w:t>Oprócz badań uzupełniających</w:t>
      </w:r>
      <w:r w:rsidR="00C13C75" w:rsidRPr="00853D04">
        <w:rPr>
          <w:noProof/>
        </w:rPr>
        <w:t xml:space="preserve"> i</w:t>
      </w:r>
      <w:r w:rsidR="00C13C75">
        <w:rPr>
          <w:noProof/>
        </w:rPr>
        <w:t> </w:t>
      </w:r>
      <w:r w:rsidR="00C13C75" w:rsidRPr="00853D04">
        <w:rPr>
          <w:noProof/>
        </w:rPr>
        <w:t>kon</w:t>
      </w:r>
      <w:r w:rsidRPr="00853D04">
        <w:rPr>
          <w:noProof/>
        </w:rPr>
        <w:t>sultacji</w:t>
      </w:r>
      <w:r w:rsidR="00C13C75" w:rsidRPr="00853D04">
        <w:rPr>
          <w:noProof/>
        </w:rPr>
        <w:t xml:space="preserve"> z</w:t>
      </w:r>
      <w:r w:rsidR="00C13C75">
        <w:rPr>
          <w:noProof/>
        </w:rPr>
        <w:t> </w:t>
      </w:r>
      <w:r w:rsidR="00C13C75" w:rsidRPr="00853D04">
        <w:rPr>
          <w:noProof/>
        </w:rPr>
        <w:t>zai</w:t>
      </w:r>
      <w:r w:rsidRPr="00853D04">
        <w:rPr>
          <w:noProof/>
        </w:rPr>
        <w:t>nteresowanymi stronami Komisja zwróciła szczególną uwagę na rezolucję Parlamentu Europejskiego</w:t>
      </w:r>
      <w:r w:rsidR="00C13C75" w:rsidRPr="00853D04">
        <w:rPr>
          <w:noProof/>
        </w:rPr>
        <w:t xml:space="preserve"> z</w:t>
      </w:r>
      <w:r w:rsidR="00C13C75">
        <w:rPr>
          <w:noProof/>
        </w:rPr>
        <w:t> </w:t>
      </w:r>
      <w:r w:rsidR="00C13C75" w:rsidRPr="00853D04">
        <w:rPr>
          <w:noProof/>
        </w:rPr>
        <w:t>1</w:t>
      </w:r>
      <w:r w:rsidRPr="00853D04">
        <w:rPr>
          <w:noProof/>
        </w:rPr>
        <w:t>7 lutego 20</w:t>
      </w:r>
      <w:r w:rsidRPr="00C13C75">
        <w:rPr>
          <w:noProof/>
        </w:rPr>
        <w:t>22</w:t>
      </w:r>
      <w:r w:rsidR="00C13C75" w:rsidRPr="00C13C75">
        <w:rPr>
          <w:noProof/>
        </w:rPr>
        <w:t> </w:t>
      </w:r>
      <w:r w:rsidRPr="00C13C75">
        <w:rPr>
          <w:noProof/>
        </w:rPr>
        <w:t>r.</w:t>
      </w:r>
      <w:r w:rsidRPr="00853D04">
        <w:rPr>
          <w:noProof/>
        </w:rPr>
        <w:t xml:space="preserve"> zawierającą zalecenia dla Komisji</w:t>
      </w:r>
      <w:r w:rsidR="00C13C75" w:rsidRPr="00853D04">
        <w:rPr>
          <w:noProof/>
        </w:rPr>
        <w:t xml:space="preserve"> w</w:t>
      </w:r>
      <w:r w:rsidR="00C13C75">
        <w:rPr>
          <w:noProof/>
        </w:rPr>
        <w:t> </w:t>
      </w:r>
      <w:r w:rsidR="00C13C75" w:rsidRPr="00853D04">
        <w:rPr>
          <w:noProof/>
        </w:rPr>
        <w:t>spr</w:t>
      </w:r>
      <w:r w:rsidRPr="00853D04">
        <w:rPr>
          <w:noProof/>
        </w:rPr>
        <w:t>awie statutu europejskich stowarzyszeń transgranicznych</w:t>
      </w:r>
      <w:r w:rsidR="00C13C75" w:rsidRPr="00853D04">
        <w:rPr>
          <w:noProof/>
        </w:rPr>
        <w:t xml:space="preserve"> i</w:t>
      </w:r>
      <w:r w:rsidR="00C13C75">
        <w:rPr>
          <w:noProof/>
        </w:rPr>
        <w:t> </w:t>
      </w:r>
      <w:r w:rsidR="00C13C75" w:rsidRPr="00853D04">
        <w:rPr>
          <w:noProof/>
        </w:rPr>
        <w:t>org</w:t>
      </w:r>
      <w:r w:rsidRPr="00853D04">
        <w:rPr>
          <w:noProof/>
        </w:rPr>
        <w:t>anizacji niekomercyjnych,</w:t>
      </w:r>
      <w:r w:rsidR="00C13C75" w:rsidRPr="00853D04">
        <w:rPr>
          <w:noProof/>
        </w:rPr>
        <w:t xml:space="preserve"> a</w:t>
      </w:r>
      <w:r w:rsidR="00C13C75">
        <w:rPr>
          <w:noProof/>
        </w:rPr>
        <w:t> </w:t>
      </w:r>
      <w:r w:rsidR="00C13C75" w:rsidRPr="00853D04">
        <w:rPr>
          <w:noProof/>
        </w:rPr>
        <w:t>tak</w:t>
      </w:r>
      <w:r w:rsidRPr="00853D04">
        <w:rPr>
          <w:noProof/>
        </w:rPr>
        <w:t>że na badanie Parlamentu Europejskiego stanowiące podstawę jego rezolucji</w:t>
      </w:r>
      <w:r w:rsidRPr="00853D04">
        <w:rPr>
          <w:rStyle w:val="FootnoteReference"/>
          <w:noProof/>
        </w:rPr>
        <w:footnoteReference w:id="29"/>
      </w:r>
      <w:r w:rsidRPr="00853D04">
        <w:rPr>
          <w:noProof/>
        </w:rPr>
        <w:t>.</w:t>
      </w:r>
    </w:p>
    <w:p w14:paraId="09FB9B40" w14:textId="77777777" w:rsidR="00215691" w:rsidRPr="00853D04" w:rsidRDefault="00215691" w:rsidP="00667328">
      <w:pPr>
        <w:pStyle w:val="ManualHeading2"/>
        <w:rPr>
          <w:noProof/>
          <w:bdr w:val="nil"/>
        </w:rPr>
      </w:pPr>
      <w:r w:rsidRPr="00853D04">
        <w:rPr>
          <w:noProof/>
          <w:bdr w:val="nil"/>
        </w:rPr>
        <w:t>•</w:t>
      </w:r>
      <w:r w:rsidRPr="00853D04">
        <w:rPr>
          <w:noProof/>
        </w:rPr>
        <w:tab/>
      </w:r>
      <w:r w:rsidRPr="00853D04">
        <w:rPr>
          <w:noProof/>
          <w:bdr w:val="nil"/>
        </w:rPr>
        <w:t>Ocena skutków</w:t>
      </w:r>
    </w:p>
    <w:p w14:paraId="147F9B74" w14:textId="20F62959" w:rsidR="00215691" w:rsidRPr="00853D04" w:rsidRDefault="00215691" w:rsidP="00667328">
      <w:pPr>
        <w:rPr>
          <w:noProof/>
        </w:rPr>
      </w:pPr>
      <w:r w:rsidRPr="00853D04">
        <w:rPr>
          <w:noProof/>
        </w:rPr>
        <w:t>Rada ds. Kontroli Regulacyjnej przeanalizowała ocenę skutków niniejszego wniosku 2 marca 20</w:t>
      </w:r>
      <w:r w:rsidRPr="00C13C75">
        <w:rPr>
          <w:noProof/>
        </w:rPr>
        <w:t>23</w:t>
      </w:r>
      <w:r w:rsidR="00C13C75" w:rsidRPr="00C13C75">
        <w:rPr>
          <w:noProof/>
        </w:rPr>
        <w:t> </w:t>
      </w:r>
      <w:r w:rsidRPr="00C13C75">
        <w:rPr>
          <w:noProof/>
        </w:rPr>
        <w:t>r.</w:t>
      </w:r>
      <w:r w:rsidRPr="00853D04">
        <w:rPr>
          <w:noProof/>
        </w:rPr>
        <w:t xml:space="preserve"> Po otrzymaniu 31 marca negatywnej opinii 8 maja 20</w:t>
      </w:r>
      <w:r w:rsidRPr="00C13C75">
        <w:rPr>
          <w:noProof/>
        </w:rPr>
        <w:t>23</w:t>
      </w:r>
      <w:r w:rsidR="00C13C75" w:rsidRPr="00C13C75">
        <w:rPr>
          <w:noProof/>
        </w:rPr>
        <w:t> </w:t>
      </w:r>
      <w:r w:rsidRPr="00C13C75">
        <w:rPr>
          <w:noProof/>
        </w:rPr>
        <w:t>r.</w:t>
      </w:r>
      <w:r w:rsidRPr="00853D04">
        <w:rPr>
          <w:noProof/>
        </w:rPr>
        <w:t xml:space="preserve"> przedłożono Radzie zmienioną ocenę skutków</w:t>
      </w:r>
      <w:r w:rsidR="00C13C75" w:rsidRPr="00853D04">
        <w:rPr>
          <w:noProof/>
        </w:rPr>
        <w:t>. W</w:t>
      </w:r>
      <w:r w:rsidR="00C13C75">
        <w:rPr>
          <w:noProof/>
        </w:rPr>
        <w:t> </w:t>
      </w:r>
      <w:r w:rsidR="00C13C75" w:rsidRPr="00853D04">
        <w:rPr>
          <w:noProof/>
        </w:rPr>
        <w:t>nas</w:t>
      </w:r>
      <w:r w:rsidRPr="00853D04">
        <w:rPr>
          <w:noProof/>
        </w:rPr>
        <w:t>tępstwie pozytywnej opinii</w:t>
      </w:r>
      <w:r w:rsidR="00C13C75" w:rsidRPr="00853D04">
        <w:rPr>
          <w:noProof/>
        </w:rPr>
        <w:t xml:space="preserve"> z</w:t>
      </w:r>
      <w:r w:rsidR="00C13C75">
        <w:rPr>
          <w:noProof/>
        </w:rPr>
        <w:t> </w:t>
      </w:r>
      <w:r w:rsidR="00C13C75" w:rsidRPr="00853D04">
        <w:rPr>
          <w:noProof/>
        </w:rPr>
        <w:t>zas</w:t>
      </w:r>
      <w:r w:rsidRPr="00853D04">
        <w:rPr>
          <w:noProof/>
        </w:rPr>
        <w:t>trzeżeniami Rady ds. Kontroli Regulacyjnej</w:t>
      </w:r>
      <w:r w:rsidR="00C13C75" w:rsidRPr="00853D04">
        <w:rPr>
          <w:noProof/>
        </w:rPr>
        <w:t xml:space="preserve"> z</w:t>
      </w:r>
      <w:r w:rsidR="00C13C75">
        <w:rPr>
          <w:noProof/>
        </w:rPr>
        <w:t> </w:t>
      </w:r>
      <w:r w:rsidR="00C13C75" w:rsidRPr="00853D04">
        <w:rPr>
          <w:noProof/>
        </w:rPr>
        <w:t>8</w:t>
      </w:r>
      <w:r w:rsidRPr="00853D04">
        <w:rPr>
          <w:noProof/>
        </w:rPr>
        <w:t xml:space="preserve"> czerwca 20</w:t>
      </w:r>
      <w:r w:rsidRPr="00C13C75">
        <w:rPr>
          <w:noProof/>
        </w:rPr>
        <w:t>23</w:t>
      </w:r>
      <w:r w:rsidR="00C13C75" w:rsidRPr="00C13C75">
        <w:rPr>
          <w:noProof/>
        </w:rPr>
        <w:t> </w:t>
      </w:r>
      <w:r w:rsidRPr="00C13C75">
        <w:rPr>
          <w:noProof/>
        </w:rPr>
        <w:t>r.</w:t>
      </w:r>
      <w:r w:rsidRPr="00853D04">
        <w:rPr>
          <w:noProof/>
        </w:rPr>
        <w:t xml:space="preserve"> ocena skutków towarzysząca niniejszemu wnioskowi została zmieniona</w:t>
      </w:r>
      <w:r w:rsidR="00C13C75" w:rsidRPr="00853D04">
        <w:rPr>
          <w:noProof/>
        </w:rPr>
        <w:t xml:space="preserve"> w</w:t>
      </w:r>
      <w:r w:rsidR="00C13C75">
        <w:rPr>
          <w:noProof/>
        </w:rPr>
        <w:t> </w:t>
      </w:r>
      <w:r w:rsidR="00C13C75" w:rsidRPr="00853D04">
        <w:rPr>
          <w:noProof/>
        </w:rPr>
        <w:t>cel</w:t>
      </w:r>
      <w:r w:rsidRPr="00853D04">
        <w:rPr>
          <w:noProof/>
        </w:rPr>
        <w:t>u należytego uwzględnienia zaleceń Rady, np. dzięki dalszym wyjaśnieniom wyboru podstawy prawnej, wyjaśnieniu poszczególnych skutków wariantów strategicznych również pod względem pomocniczości</w:t>
      </w:r>
      <w:r w:rsidR="00C13C75" w:rsidRPr="00853D04">
        <w:rPr>
          <w:noProof/>
        </w:rPr>
        <w:t xml:space="preserve"> i</w:t>
      </w:r>
      <w:r w:rsidR="00C13C75">
        <w:rPr>
          <w:noProof/>
        </w:rPr>
        <w:t> </w:t>
      </w:r>
      <w:r w:rsidR="00C13C75" w:rsidRPr="00853D04">
        <w:rPr>
          <w:noProof/>
        </w:rPr>
        <w:t>pro</w:t>
      </w:r>
      <w:r w:rsidRPr="00853D04">
        <w:rPr>
          <w:noProof/>
        </w:rPr>
        <w:t>porcjonalności oraz bardziej szczegółowemu przedstawieniu metodyki punktacji wariantów strategicznych.</w:t>
      </w:r>
    </w:p>
    <w:p w14:paraId="7E7B6344" w14:textId="1E674B62" w:rsidR="00215691" w:rsidRPr="00853D04" w:rsidRDefault="00215691" w:rsidP="00667328">
      <w:pPr>
        <w:rPr>
          <w:noProof/>
        </w:rPr>
      </w:pPr>
      <w:r w:rsidRPr="00853D04">
        <w:rPr>
          <w:noProof/>
        </w:rPr>
        <w:t>W ocenie skutków przeanalizowano warianty strategiczne</w:t>
      </w:r>
      <w:r w:rsidR="00C13C75" w:rsidRPr="00853D04">
        <w:rPr>
          <w:noProof/>
        </w:rPr>
        <w:t xml:space="preserve"> w</w:t>
      </w:r>
      <w:r w:rsidR="00C13C75">
        <w:rPr>
          <w:noProof/>
        </w:rPr>
        <w:t> </w:t>
      </w:r>
      <w:r w:rsidR="00C13C75" w:rsidRPr="00853D04">
        <w:rPr>
          <w:noProof/>
        </w:rPr>
        <w:t>opa</w:t>
      </w:r>
      <w:r w:rsidRPr="00853D04">
        <w:rPr>
          <w:noProof/>
        </w:rPr>
        <w:t>rciu</w:t>
      </w:r>
      <w:r w:rsidR="00C13C75" w:rsidRPr="00853D04">
        <w:rPr>
          <w:noProof/>
        </w:rPr>
        <w:t xml:space="preserve"> o</w:t>
      </w:r>
      <w:r w:rsidR="00C13C75">
        <w:rPr>
          <w:noProof/>
        </w:rPr>
        <w:t> </w:t>
      </w:r>
      <w:r w:rsidR="00C13C75" w:rsidRPr="00853D04">
        <w:rPr>
          <w:noProof/>
        </w:rPr>
        <w:t>ana</w:t>
      </w:r>
      <w:r w:rsidRPr="00853D04">
        <w:rPr>
          <w:noProof/>
        </w:rPr>
        <w:t>lizę przeszkód zidentyfikowanych</w:t>
      </w:r>
      <w:r w:rsidR="00C13C75" w:rsidRPr="00853D04">
        <w:rPr>
          <w:noProof/>
        </w:rPr>
        <w:t xml:space="preserve"> w</w:t>
      </w:r>
      <w:r w:rsidR="00C13C75">
        <w:rPr>
          <w:noProof/>
        </w:rPr>
        <w:t> </w:t>
      </w:r>
      <w:r w:rsidR="00C13C75" w:rsidRPr="00853D04">
        <w:rPr>
          <w:noProof/>
        </w:rPr>
        <w:t>czt</w:t>
      </w:r>
      <w:r w:rsidRPr="00853D04">
        <w:rPr>
          <w:noProof/>
        </w:rPr>
        <w:t>erech głównych obszarach rynku wewnętrznego:</w:t>
      </w:r>
      <w:r w:rsidR="00C13C75" w:rsidRPr="00853D04">
        <w:rPr>
          <w:noProof/>
        </w:rPr>
        <w:t xml:space="preserve"> w</w:t>
      </w:r>
      <w:r w:rsidR="00C13C75">
        <w:rPr>
          <w:noProof/>
        </w:rPr>
        <w:t> </w:t>
      </w:r>
      <w:r w:rsidR="00C13C75" w:rsidRPr="00853D04">
        <w:rPr>
          <w:noProof/>
        </w:rPr>
        <w:t>odn</w:t>
      </w:r>
      <w:r w:rsidRPr="00853D04">
        <w:rPr>
          <w:noProof/>
        </w:rPr>
        <w:t>iesieniu do prawa przedsiębiorczości stowarzyszeń niekomercyjnych, gdy prowadzą one działalność transgraniczną, ich zdolności do świadczenia usług</w:t>
      </w:r>
      <w:r w:rsidR="00C13C75" w:rsidRPr="00853D04">
        <w:rPr>
          <w:noProof/>
        </w:rPr>
        <w:t xml:space="preserve"> i</w:t>
      </w:r>
      <w:r w:rsidR="00C13C75">
        <w:rPr>
          <w:noProof/>
        </w:rPr>
        <w:t> </w:t>
      </w:r>
      <w:r w:rsidR="00C13C75" w:rsidRPr="00853D04">
        <w:rPr>
          <w:noProof/>
        </w:rPr>
        <w:t>dos</w:t>
      </w:r>
      <w:r w:rsidRPr="00853D04">
        <w:rPr>
          <w:noProof/>
        </w:rPr>
        <w:t>tarczania towarów oraz wysyłania</w:t>
      </w:r>
      <w:r w:rsidR="00C13C75" w:rsidRPr="00853D04">
        <w:rPr>
          <w:noProof/>
        </w:rPr>
        <w:t xml:space="preserve"> i</w:t>
      </w:r>
      <w:r w:rsidR="00C13C75">
        <w:rPr>
          <w:noProof/>
        </w:rPr>
        <w:t> </w:t>
      </w:r>
      <w:r w:rsidR="00C13C75" w:rsidRPr="00853D04">
        <w:rPr>
          <w:noProof/>
        </w:rPr>
        <w:t>otr</w:t>
      </w:r>
      <w:r w:rsidRPr="00853D04">
        <w:rPr>
          <w:noProof/>
        </w:rPr>
        <w:t>zymywania kapitału; możliwości transgranicznego członkostwa</w:t>
      </w:r>
      <w:r w:rsidR="00C13C75" w:rsidRPr="00853D04">
        <w:rPr>
          <w:noProof/>
        </w:rPr>
        <w:t xml:space="preserve"> i</w:t>
      </w:r>
      <w:r w:rsidR="00C13C75">
        <w:rPr>
          <w:noProof/>
        </w:rPr>
        <w:t> </w:t>
      </w:r>
      <w:r w:rsidR="00C13C75" w:rsidRPr="00853D04">
        <w:rPr>
          <w:noProof/>
        </w:rPr>
        <w:t>ucz</w:t>
      </w:r>
      <w:r w:rsidRPr="00853D04">
        <w:rPr>
          <w:noProof/>
        </w:rPr>
        <w:t>estnictwa</w:t>
      </w:r>
      <w:r w:rsidR="00C13C75" w:rsidRPr="00853D04">
        <w:rPr>
          <w:noProof/>
        </w:rPr>
        <w:t xml:space="preserve"> w</w:t>
      </w:r>
      <w:r w:rsidR="00C13C75">
        <w:rPr>
          <w:noProof/>
        </w:rPr>
        <w:t> </w:t>
      </w:r>
      <w:r w:rsidR="00C13C75" w:rsidRPr="00853D04">
        <w:rPr>
          <w:noProof/>
        </w:rPr>
        <w:t>org</w:t>
      </w:r>
      <w:r w:rsidRPr="00853D04">
        <w:rPr>
          <w:noProof/>
        </w:rPr>
        <w:t>anach zarządzających stowarzyszeń niekomercyjnych, gdy prowadzą one działalność transgraniczną; transgranicznej mobilności stowarzyszeń niekomercyjnych.</w:t>
      </w:r>
    </w:p>
    <w:p w14:paraId="5E9C1566" w14:textId="72391E34" w:rsidR="00215691" w:rsidRPr="00853D04" w:rsidRDefault="00215691" w:rsidP="00667328">
      <w:pPr>
        <w:rPr>
          <w:noProof/>
        </w:rPr>
      </w:pPr>
      <w:r w:rsidRPr="00853D04">
        <w:rPr>
          <w:noProof/>
        </w:rPr>
        <w:t>W scenariuszu zakładającym brak interwencji politycznej na szczeblu unijnym stowarzyszenia niekomercyjne będą nadal podlegać wyłącznie prawu krajowemu</w:t>
      </w:r>
      <w:r w:rsidR="00C13C75" w:rsidRPr="00853D04">
        <w:rPr>
          <w:noProof/>
        </w:rPr>
        <w:t>. W</w:t>
      </w:r>
      <w:r w:rsidR="00C13C75">
        <w:rPr>
          <w:noProof/>
        </w:rPr>
        <w:t> </w:t>
      </w:r>
      <w:r w:rsidR="00C13C75" w:rsidRPr="00853D04">
        <w:rPr>
          <w:noProof/>
        </w:rPr>
        <w:t>oce</w:t>
      </w:r>
      <w:r w:rsidRPr="00853D04">
        <w:rPr>
          <w:noProof/>
        </w:rPr>
        <w:t>nie skutków wykazano, że</w:t>
      </w:r>
      <w:r w:rsidR="00C13C75" w:rsidRPr="00853D04">
        <w:rPr>
          <w:noProof/>
        </w:rPr>
        <w:t xml:space="preserve"> w</w:t>
      </w:r>
      <w:r w:rsidR="00C13C75">
        <w:rPr>
          <w:noProof/>
        </w:rPr>
        <w:t> </w:t>
      </w:r>
      <w:r w:rsidR="00C13C75" w:rsidRPr="00853D04">
        <w:rPr>
          <w:noProof/>
        </w:rPr>
        <w:t>tym</w:t>
      </w:r>
      <w:r w:rsidRPr="00853D04">
        <w:rPr>
          <w:noProof/>
        </w:rPr>
        <w:t xml:space="preserve"> scenariuszu bazowym istniejące bariery najprawdopodobniej się utrzymają lub</w:t>
      </w:r>
      <w:r w:rsidR="00C13C75" w:rsidRPr="00853D04">
        <w:rPr>
          <w:noProof/>
        </w:rPr>
        <w:t xml:space="preserve"> w</w:t>
      </w:r>
      <w:r w:rsidR="00C13C75">
        <w:rPr>
          <w:noProof/>
        </w:rPr>
        <w:t> </w:t>
      </w:r>
      <w:r w:rsidR="00C13C75" w:rsidRPr="00853D04">
        <w:rPr>
          <w:noProof/>
        </w:rPr>
        <w:t>nie</w:t>
      </w:r>
      <w:r w:rsidRPr="00853D04">
        <w:rPr>
          <w:noProof/>
        </w:rPr>
        <w:t>których przypadkach pogorszą</w:t>
      </w:r>
      <w:r w:rsidR="00C13C75" w:rsidRPr="00853D04">
        <w:rPr>
          <w:noProof/>
        </w:rPr>
        <w:t xml:space="preserve"> w</w:t>
      </w:r>
      <w:r w:rsidR="00C13C75">
        <w:rPr>
          <w:noProof/>
        </w:rPr>
        <w:t> </w:t>
      </w:r>
      <w:r w:rsidR="00C13C75" w:rsidRPr="00853D04">
        <w:rPr>
          <w:noProof/>
        </w:rPr>
        <w:t>świ</w:t>
      </w:r>
      <w:r w:rsidRPr="00853D04">
        <w:rPr>
          <w:noProof/>
        </w:rPr>
        <w:t>etle wyzwań społecznych</w:t>
      </w:r>
      <w:r w:rsidR="00C13C75" w:rsidRPr="00853D04">
        <w:rPr>
          <w:noProof/>
        </w:rPr>
        <w:t xml:space="preserve"> i</w:t>
      </w:r>
      <w:r w:rsidR="00C13C75">
        <w:rPr>
          <w:noProof/>
        </w:rPr>
        <w:t> </w:t>
      </w:r>
      <w:r w:rsidR="00C13C75" w:rsidRPr="00853D04">
        <w:rPr>
          <w:noProof/>
        </w:rPr>
        <w:t>roz</w:t>
      </w:r>
      <w:r w:rsidRPr="00853D04">
        <w:rPr>
          <w:noProof/>
        </w:rPr>
        <w:t>woju rynku</w:t>
      </w:r>
      <w:r w:rsidR="00C13C75" w:rsidRPr="00853D04">
        <w:rPr>
          <w:noProof/>
        </w:rPr>
        <w:t>. W</w:t>
      </w:r>
      <w:r w:rsidR="00C13C75">
        <w:rPr>
          <w:noProof/>
        </w:rPr>
        <w:t> </w:t>
      </w:r>
      <w:r w:rsidR="00C13C75" w:rsidRPr="00853D04">
        <w:rPr>
          <w:noProof/>
        </w:rPr>
        <w:t>pań</w:t>
      </w:r>
      <w:r w:rsidRPr="00853D04">
        <w:rPr>
          <w:noProof/>
        </w:rPr>
        <w:t>stwach członkowskich –</w:t>
      </w:r>
      <w:r w:rsidR="00C13C75" w:rsidRPr="00853D04">
        <w:rPr>
          <w:noProof/>
        </w:rPr>
        <w:t xml:space="preserve"> z</w:t>
      </w:r>
      <w:r w:rsidR="00C13C75">
        <w:rPr>
          <w:noProof/>
        </w:rPr>
        <w:t> </w:t>
      </w:r>
      <w:r w:rsidR="00C13C75" w:rsidRPr="00853D04">
        <w:rPr>
          <w:noProof/>
        </w:rPr>
        <w:t>wyj</w:t>
      </w:r>
      <w:r w:rsidRPr="00853D04">
        <w:rPr>
          <w:noProof/>
        </w:rPr>
        <w:t>ątkiem kilku</w:t>
      </w:r>
      <w:r w:rsidR="00C13C75" w:rsidRPr="00853D04">
        <w:rPr>
          <w:noProof/>
        </w:rPr>
        <w:t xml:space="preserve"> z</w:t>
      </w:r>
      <w:r w:rsidR="00C13C75">
        <w:rPr>
          <w:noProof/>
        </w:rPr>
        <w:t> </w:t>
      </w:r>
      <w:r w:rsidR="00C13C75" w:rsidRPr="00853D04">
        <w:rPr>
          <w:noProof/>
        </w:rPr>
        <w:t>nic</w:t>
      </w:r>
      <w:r w:rsidRPr="00853D04">
        <w:rPr>
          <w:noProof/>
        </w:rPr>
        <w:t>h – brakuje obecnie przepisów dotyczących konkretnie działalności</w:t>
      </w:r>
      <w:r w:rsidR="00C13C75" w:rsidRPr="00853D04">
        <w:rPr>
          <w:noProof/>
        </w:rPr>
        <w:t xml:space="preserve"> i</w:t>
      </w:r>
      <w:r w:rsidR="00C13C75">
        <w:rPr>
          <w:noProof/>
        </w:rPr>
        <w:t> </w:t>
      </w:r>
      <w:r w:rsidR="00C13C75" w:rsidRPr="00853D04">
        <w:rPr>
          <w:noProof/>
        </w:rPr>
        <w:t>mob</w:t>
      </w:r>
      <w:r w:rsidRPr="00853D04">
        <w:rPr>
          <w:noProof/>
        </w:rPr>
        <w:t>ilności transgranicznej stowarzyszeń niekomercyjnych. Nic ponadto nie wskazuje, aby państwa członkowskie planowały przyjęcie przepisów</w:t>
      </w:r>
      <w:r w:rsidR="00C13C75" w:rsidRPr="00853D04">
        <w:rPr>
          <w:noProof/>
        </w:rPr>
        <w:t xml:space="preserve"> w</w:t>
      </w:r>
      <w:r w:rsidR="00C13C75">
        <w:rPr>
          <w:noProof/>
        </w:rPr>
        <w:t> </w:t>
      </w:r>
      <w:r w:rsidR="00C13C75" w:rsidRPr="00853D04">
        <w:rPr>
          <w:noProof/>
        </w:rPr>
        <w:t>tym</w:t>
      </w:r>
      <w:r w:rsidRPr="00853D04">
        <w:rPr>
          <w:noProof/>
        </w:rPr>
        <w:t xml:space="preserve"> zakresie. Bez odpowiedniego sposobu uzyskania uznania</w:t>
      </w:r>
      <w:r w:rsidR="00C13C75" w:rsidRPr="00853D04">
        <w:rPr>
          <w:noProof/>
        </w:rPr>
        <w:t xml:space="preserve"> i</w:t>
      </w:r>
      <w:r w:rsidR="00C13C75">
        <w:rPr>
          <w:noProof/>
        </w:rPr>
        <w:t> </w:t>
      </w:r>
      <w:r w:rsidR="00C13C75" w:rsidRPr="00853D04">
        <w:rPr>
          <w:noProof/>
        </w:rPr>
        <w:t>uła</w:t>
      </w:r>
      <w:r w:rsidRPr="00853D04">
        <w:rPr>
          <w:noProof/>
        </w:rPr>
        <w:t xml:space="preserve">twienia mobilności środki stosowane na szczeblu państw członkowskich przyniosłyby ograniczone korzyści. </w:t>
      </w:r>
    </w:p>
    <w:p w14:paraId="24EDC0E6" w14:textId="7B45836F" w:rsidR="00215691" w:rsidRPr="00853D04" w:rsidRDefault="00215691" w:rsidP="00667328">
      <w:pPr>
        <w:rPr>
          <w:noProof/>
        </w:rPr>
      </w:pPr>
      <w:r w:rsidRPr="00853D04">
        <w:rPr>
          <w:noProof/>
        </w:rPr>
        <w:t>W związku</w:t>
      </w:r>
      <w:r w:rsidR="00C13C75" w:rsidRPr="00853D04">
        <w:rPr>
          <w:noProof/>
        </w:rPr>
        <w:t xml:space="preserve"> z</w:t>
      </w:r>
      <w:r w:rsidR="00C13C75">
        <w:rPr>
          <w:noProof/>
        </w:rPr>
        <w:t> </w:t>
      </w:r>
      <w:r w:rsidR="00C13C75" w:rsidRPr="00853D04">
        <w:rPr>
          <w:noProof/>
        </w:rPr>
        <w:t>tym</w:t>
      </w:r>
      <w:r w:rsidRPr="00853D04">
        <w:rPr>
          <w:noProof/>
        </w:rPr>
        <w:t xml:space="preserve"> oceniono trzy warianty strategiczne mające na celu ograniczenie zidentyfikowanych barier,</w:t>
      </w:r>
      <w:r w:rsidR="00C13C75" w:rsidRPr="00853D04">
        <w:rPr>
          <w:noProof/>
        </w:rPr>
        <w:t xml:space="preserve"> z</w:t>
      </w:r>
      <w:r w:rsidR="00C13C75">
        <w:rPr>
          <w:noProof/>
        </w:rPr>
        <w:t> </w:t>
      </w:r>
      <w:r w:rsidR="00C13C75" w:rsidRPr="00853D04">
        <w:rPr>
          <w:noProof/>
        </w:rPr>
        <w:t>jak</w:t>
      </w:r>
      <w:r w:rsidRPr="00853D04">
        <w:rPr>
          <w:noProof/>
        </w:rPr>
        <w:t xml:space="preserve">imi borykają się stowarzyszenia niekomercyjne prowadzące działalność transgraniczną na rynku wewnętrznym. </w:t>
      </w:r>
    </w:p>
    <w:p w14:paraId="500DFF09" w14:textId="2AE7B723" w:rsidR="00215691" w:rsidRPr="00853D04" w:rsidRDefault="00215691" w:rsidP="00667328">
      <w:pPr>
        <w:rPr>
          <w:noProof/>
        </w:rPr>
      </w:pPr>
      <w:r w:rsidRPr="00853D04">
        <w:rPr>
          <w:noProof/>
        </w:rPr>
        <w:t>Pierwszy wariant strategiczny przeanalizowano</w:t>
      </w:r>
      <w:r w:rsidR="00C13C75" w:rsidRPr="00853D04">
        <w:rPr>
          <w:noProof/>
        </w:rPr>
        <w:t xml:space="preserve"> z</w:t>
      </w:r>
      <w:r w:rsidR="00C13C75">
        <w:rPr>
          <w:noProof/>
        </w:rPr>
        <w:t> </w:t>
      </w:r>
      <w:r w:rsidR="00C13C75" w:rsidRPr="00853D04">
        <w:rPr>
          <w:noProof/>
        </w:rPr>
        <w:t>wyk</w:t>
      </w:r>
      <w:r w:rsidRPr="00853D04">
        <w:rPr>
          <w:noProof/>
        </w:rPr>
        <w:t>orzystaniem dwóch podwariantów,</w:t>
      </w:r>
      <w:r w:rsidR="00C13C75" w:rsidRPr="00853D04">
        <w:rPr>
          <w:noProof/>
        </w:rPr>
        <w:t xml:space="preserve"> w</w:t>
      </w:r>
      <w:r w:rsidR="00C13C75">
        <w:rPr>
          <w:noProof/>
        </w:rPr>
        <w:t> </w:t>
      </w:r>
      <w:r w:rsidR="00C13C75" w:rsidRPr="00853D04">
        <w:rPr>
          <w:noProof/>
        </w:rPr>
        <w:t>któ</w:t>
      </w:r>
      <w:r w:rsidRPr="00853D04">
        <w:rPr>
          <w:noProof/>
        </w:rPr>
        <w:t>rych zaproponowano wprowadzenie: a) europejskiej formy prawnej zwanej „stowarzyszeniem europejskim”, która służyłaby regulowaniu wszystkich aspektów funkcjonowania tej nowej formy prawnej</w:t>
      </w:r>
      <w:r w:rsidR="00C13C75" w:rsidRPr="00853D04">
        <w:rPr>
          <w:noProof/>
        </w:rPr>
        <w:t xml:space="preserve"> i</w:t>
      </w:r>
      <w:r w:rsidR="00C13C75">
        <w:rPr>
          <w:noProof/>
        </w:rPr>
        <w:t> </w:t>
      </w:r>
      <w:r w:rsidR="00C13C75" w:rsidRPr="00853D04">
        <w:rPr>
          <w:noProof/>
        </w:rPr>
        <w:t>wsp</w:t>
      </w:r>
      <w:r w:rsidRPr="00853D04">
        <w:rPr>
          <w:noProof/>
        </w:rPr>
        <w:t>ółistniałaby</w:t>
      </w:r>
      <w:r w:rsidR="00C13C75" w:rsidRPr="00853D04">
        <w:rPr>
          <w:noProof/>
        </w:rPr>
        <w:t xml:space="preserve"> z</w:t>
      </w:r>
      <w:r w:rsidR="00C13C75">
        <w:rPr>
          <w:noProof/>
        </w:rPr>
        <w:t> </w:t>
      </w:r>
      <w:r w:rsidR="00C13C75" w:rsidRPr="00853D04">
        <w:rPr>
          <w:noProof/>
        </w:rPr>
        <w:t>kra</w:t>
      </w:r>
      <w:r w:rsidRPr="00853D04">
        <w:rPr>
          <w:noProof/>
        </w:rPr>
        <w:t>jowymi formami prawnymi, jednocześnie ich nie zastępując. Forma stowarzyszenia europejskiego byłaby korzystna dla stowarzyszeń niekomercyjnych zainteresowanych prowadzeniem działalności</w:t>
      </w:r>
      <w:r w:rsidR="00C13C75" w:rsidRPr="00853D04">
        <w:rPr>
          <w:noProof/>
        </w:rPr>
        <w:t xml:space="preserve"> w</w:t>
      </w:r>
      <w:r w:rsidR="00C13C75">
        <w:rPr>
          <w:noProof/>
        </w:rPr>
        <w:t> </w:t>
      </w:r>
      <w:r w:rsidR="00C13C75" w:rsidRPr="00853D04">
        <w:rPr>
          <w:noProof/>
        </w:rPr>
        <w:t>wie</w:t>
      </w:r>
      <w:r w:rsidRPr="00853D04">
        <w:rPr>
          <w:noProof/>
        </w:rPr>
        <w:t>lu państwach członkowskich, ale mogłaby być mniej odpowiednia dla małych stowarzyszeń niekomercyjnych prowadzących sporadyczną działalność transgraniczną; b) formy prawnej na szczeblu unijnym zwanej „europejskim stowarzyszeniem transgranicznym”, która uwzględniałaby</w:t>
      </w:r>
      <w:r w:rsidR="00C13C75" w:rsidRPr="00853D04">
        <w:rPr>
          <w:noProof/>
        </w:rPr>
        <w:t xml:space="preserve"> w</w:t>
      </w:r>
      <w:r w:rsidR="00C13C75">
        <w:rPr>
          <w:noProof/>
        </w:rPr>
        <w:t> </w:t>
      </w:r>
      <w:r w:rsidR="00C13C75" w:rsidRPr="00853D04">
        <w:rPr>
          <w:noProof/>
        </w:rPr>
        <w:t>szc</w:t>
      </w:r>
      <w:r w:rsidRPr="00853D04">
        <w:rPr>
          <w:noProof/>
        </w:rPr>
        <w:t>zególności aspekty transgraniczne</w:t>
      </w:r>
      <w:r w:rsidR="00C13C75" w:rsidRPr="00853D04">
        <w:rPr>
          <w:noProof/>
        </w:rPr>
        <w:t>. W</w:t>
      </w:r>
      <w:r w:rsidR="00C13C75">
        <w:rPr>
          <w:noProof/>
        </w:rPr>
        <w:t> </w:t>
      </w:r>
      <w:r w:rsidR="00C13C75" w:rsidRPr="00853D04">
        <w:rPr>
          <w:noProof/>
        </w:rPr>
        <w:t>prz</w:t>
      </w:r>
      <w:r w:rsidRPr="00853D04">
        <w:rPr>
          <w:noProof/>
        </w:rPr>
        <w:t>eciwieństwie do podwariantu opisanego</w:t>
      </w:r>
      <w:r w:rsidR="00C13C75" w:rsidRPr="00853D04">
        <w:rPr>
          <w:noProof/>
        </w:rPr>
        <w:t xml:space="preserve"> w</w:t>
      </w:r>
      <w:r w:rsidR="00C13C75">
        <w:rPr>
          <w:noProof/>
        </w:rPr>
        <w:t> </w:t>
      </w:r>
      <w:r w:rsidR="00C13C75" w:rsidRPr="00C13C75">
        <w:rPr>
          <w:noProof/>
        </w:rPr>
        <w:t>lit</w:t>
      </w:r>
      <w:r w:rsidRPr="00C13C75">
        <w:rPr>
          <w:noProof/>
        </w:rPr>
        <w:t>.</w:t>
      </w:r>
      <w:r w:rsidR="00C13C75" w:rsidRPr="00C13C75">
        <w:rPr>
          <w:noProof/>
        </w:rPr>
        <w:t> </w:t>
      </w:r>
      <w:r w:rsidRPr="00C13C75">
        <w:rPr>
          <w:noProof/>
        </w:rPr>
        <w:t>a)</w:t>
      </w:r>
      <w:r w:rsidR="00C13C75" w:rsidRPr="00853D04">
        <w:rPr>
          <w:noProof/>
        </w:rPr>
        <w:t xml:space="preserve"> w</w:t>
      </w:r>
      <w:r w:rsidR="00C13C75">
        <w:rPr>
          <w:noProof/>
        </w:rPr>
        <w:t> </w:t>
      </w:r>
      <w:r w:rsidR="00C13C75" w:rsidRPr="00853D04">
        <w:rPr>
          <w:noProof/>
        </w:rPr>
        <w:t>tym</w:t>
      </w:r>
      <w:r w:rsidRPr="00853D04">
        <w:rPr>
          <w:noProof/>
        </w:rPr>
        <w:t xml:space="preserve"> podwariancie nie określono</w:t>
      </w:r>
      <w:r w:rsidR="00C13C75" w:rsidRPr="00853D04">
        <w:rPr>
          <w:noProof/>
        </w:rPr>
        <w:t xml:space="preserve"> w</w:t>
      </w:r>
      <w:r w:rsidR="00C13C75">
        <w:rPr>
          <w:noProof/>
        </w:rPr>
        <w:t> </w:t>
      </w:r>
      <w:r w:rsidR="00C13C75" w:rsidRPr="00853D04">
        <w:rPr>
          <w:noProof/>
        </w:rPr>
        <w:t>peł</w:t>
      </w:r>
      <w:r w:rsidRPr="00853D04">
        <w:rPr>
          <w:noProof/>
        </w:rPr>
        <w:t>ni formy prawnej,</w:t>
      </w:r>
      <w:r w:rsidR="00C13C75" w:rsidRPr="00853D04">
        <w:rPr>
          <w:noProof/>
        </w:rPr>
        <w:t xml:space="preserve"> a</w:t>
      </w:r>
      <w:r w:rsidR="00C13C75">
        <w:rPr>
          <w:noProof/>
        </w:rPr>
        <w:t> </w:t>
      </w:r>
      <w:r w:rsidR="00C13C75" w:rsidRPr="00853D04">
        <w:rPr>
          <w:noProof/>
        </w:rPr>
        <w:t>jed</w:t>
      </w:r>
      <w:r w:rsidRPr="00853D04">
        <w:rPr>
          <w:noProof/>
        </w:rPr>
        <w:t xml:space="preserve">ynie wyczerpująco określono aspekty transgraniczne. Oba podwarianty opierałyby się na </w:t>
      </w:r>
      <w:r w:rsidRPr="00C13C75">
        <w:rPr>
          <w:noProof/>
        </w:rPr>
        <w:t>art.</w:t>
      </w:r>
      <w:r w:rsidR="00C13C75" w:rsidRPr="00C13C75">
        <w:rPr>
          <w:noProof/>
        </w:rPr>
        <w:t> </w:t>
      </w:r>
      <w:r w:rsidRPr="00C13C75">
        <w:rPr>
          <w:noProof/>
        </w:rPr>
        <w:t>3</w:t>
      </w:r>
      <w:r w:rsidRPr="00853D04">
        <w:rPr>
          <w:noProof/>
        </w:rPr>
        <w:t>52 TFUE,</w:t>
      </w:r>
      <w:r w:rsidR="00C13C75" w:rsidRPr="00853D04">
        <w:rPr>
          <w:noProof/>
        </w:rPr>
        <w:t xml:space="preserve"> a</w:t>
      </w:r>
      <w:r w:rsidR="00C13C75">
        <w:rPr>
          <w:noProof/>
        </w:rPr>
        <w:t> </w:t>
      </w:r>
      <w:r w:rsidR="00C13C75" w:rsidRPr="00853D04">
        <w:rPr>
          <w:noProof/>
        </w:rPr>
        <w:t>tym</w:t>
      </w:r>
      <w:r w:rsidRPr="00853D04">
        <w:rPr>
          <w:noProof/>
        </w:rPr>
        <w:t xml:space="preserve"> samym nowa forma prawna zostałaby utworzona</w:t>
      </w:r>
      <w:r w:rsidR="00C13C75" w:rsidRPr="00853D04">
        <w:rPr>
          <w:noProof/>
        </w:rPr>
        <w:t xml:space="preserve"> w</w:t>
      </w:r>
      <w:r w:rsidR="00C13C75">
        <w:rPr>
          <w:noProof/>
        </w:rPr>
        <w:t> </w:t>
      </w:r>
      <w:r w:rsidR="00C13C75" w:rsidRPr="00853D04">
        <w:rPr>
          <w:noProof/>
        </w:rPr>
        <w:t>dro</w:t>
      </w:r>
      <w:r w:rsidRPr="00853D04">
        <w:rPr>
          <w:noProof/>
        </w:rPr>
        <w:t>dze rozporządzenia.</w:t>
      </w:r>
    </w:p>
    <w:p w14:paraId="43FDE10C" w14:textId="3FFA10B1" w:rsidR="00215691" w:rsidRPr="00853D04" w:rsidRDefault="00215691" w:rsidP="00667328">
      <w:pPr>
        <w:rPr>
          <w:noProof/>
        </w:rPr>
      </w:pPr>
      <w:r w:rsidRPr="00853D04">
        <w:rPr>
          <w:noProof/>
        </w:rPr>
        <w:t>W ramach wariantu strategicznego 2 proponuje się harmonizację wspólnych minimalnych standardów dla działalności transgranicznej</w:t>
      </w:r>
      <w:r w:rsidR="00C13C75" w:rsidRPr="00853D04">
        <w:rPr>
          <w:noProof/>
        </w:rPr>
        <w:t xml:space="preserve"> i</w:t>
      </w:r>
      <w:r w:rsidR="00C13C75">
        <w:rPr>
          <w:noProof/>
        </w:rPr>
        <w:t> </w:t>
      </w:r>
      <w:r w:rsidR="00C13C75" w:rsidRPr="00853D04">
        <w:rPr>
          <w:noProof/>
        </w:rPr>
        <w:t>mob</w:t>
      </w:r>
      <w:r w:rsidRPr="00853D04">
        <w:rPr>
          <w:noProof/>
        </w:rPr>
        <w:t>ilności stowarzyszeń niekomercyjnych we wszystkich państwach członkowskich. Aby osiągnąć te cele, wariant ten wymagałby usunięcia lub zmiany istniejących przepisów</w:t>
      </w:r>
      <w:r w:rsidR="00C13C75" w:rsidRPr="00853D04">
        <w:rPr>
          <w:noProof/>
        </w:rPr>
        <w:t xml:space="preserve"> i</w:t>
      </w:r>
      <w:r w:rsidR="00C13C75">
        <w:rPr>
          <w:noProof/>
        </w:rPr>
        <w:t> </w:t>
      </w:r>
      <w:r w:rsidR="00C13C75" w:rsidRPr="00853D04">
        <w:rPr>
          <w:noProof/>
        </w:rPr>
        <w:t>wpr</w:t>
      </w:r>
      <w:r w:rsidRPr="00853D04">
        <w:rPr>
          <w:noProof/>
        </w:rPr>
        <w:t>owadzenia nowych do prawa państw członkowskich. Wariant ten stanowiłby bodziec do rejestracji</w:t>
      </w:r>
      <w:r w:rsidR="00C13C75" w:rsidRPr="00853D04">
        <w:rPr>
          <w:noProof/>
        </w:rPr>
        <w:t xml:space="preserve"> w</w:t>
      </w:r>
      <w:r w:rsidR="00C13C75">
        <w:rPr>
          <w:noProof/>
        </w:rPr>
        <w:t> </w:t>
      </w:r>
      <w:r w:rsidR="00C13C75" w:rsidRPr="00853D04">
        <w:rPr>
          <w:noProof/>
        </w:rPr>
        <w:t>peł</w:t>
      </w:r>
      <w:r w:rsidRPr="00853D04">
        <w:rPr>
          <w:noProof/>
        </w:rPr>
        <w:t>ni online, prowadzenia rejestrów cyfrowych</w:t>
      </w:r>
      <w:r w:rsidR="00C13C75" w:rsidRPr="00853D04">
        <w:rPr>
          <w:noProof/>
        </w:rPr>
        <w:t xml:space="preserve"> i</w:t>
      </w:r>
      <w:r w:rsidR="00C13C75">
        <w:rPr>
          <w:noProof/>
        </w:rPr>
        <w:t> </w:t>
      </w:r>
      <w:r w:rsidR="00C13C75" w:rsidRPr="00853D04">
        <w:rPr>
          <w:noProof/>
        </w:rPr>
        <w:t>zno</w:t>
      </w:r>
      <w:r w:rsidRPr="00853D04">
        <w:rPr>
          <w:noProof/>
        </w:rPr>
        <w:t>rmalizowanych procedur</w:t>
      </w:r>
      <w:r w:rsidR="00C13C75" w:rsidRPr="00853D04">
        <w:rPr>
          <w:noProof/>
        </w:rPr>
        <w:t xml:space="preserve"> w</w:t>
      </w:r>
      <w:r w:rsidR="00C13C75">
        <w:rPr>
          <w:noProof/>
        </w:rPr>
        <w:t> </w:t>
      </w:r>
      <w:r w:rsidR="00C13C75" w:rsidRPr="00853D04">
        <w:rPr>
          <w:noProof/>
        </w:rPr>
        <w:t>cel</w:t>
      </w:r>
      <w:r w:rsidRPr="00853D04">
        <w:rPr>
          <w:noProof/>
        </w:rPr>
        <w:t>u ułatwienia rejestracji stowarzyszeń niekomercyjnych prowadzących działalność transgraniczną oraz wymiany informacji między państwami członkowskimi i na szczeblu unijnym. Stowarzyszenia niekomercyjne automatycznie zyskałyby na tych środkach harmonizacyjnych,</w:t>
      </w:r>
      <w:r w:rsidR="00C13C75" w:rsidRPr="00853D04">
        <w:rPr>
          <w:noProof/>
        </w:rPr>
        <w:t xml:space="preserve"> a</w:t>
      </w:r>
      <w:r w:rsidR="00C13C75">
        <w:rPr>
          <w:noProof/>
        </w:rPr>
        <w:t> </w:t>
      </w:r>
      <w:r w:rsidR="00C13C75" w:rsidRPr="00853D04">
        <w:rPr>
          <w:noProof/>
        </w:rPr>
        <w:t>w</w:t>
      </w:r>
      <w:r w:rsidR="00C13C75">
        <w:rPr>
          <w:noProof/>
        </w:rPr>
        <w:t> </w:t>
      </w:r>
      <w:r w:rsidR="00C13C75" w:rsidRPr="00853D04">
        <w:rPr>
          <w:noProof/>
        </w:rPr>
        <w:t>zal</w:t>
      </w:r>
      <w:r w:rsidRPr="00853D04">
        <w:rPr>
          <w:noProof/>
        </w:rPr>
        <w:t>eżności od zakresu harmonizacji nowe przepisy mogły mieć wpływ na wszystkie stowarzyszenia niekomercyjne. Częściowa harmonizacja przepisów krajowych uprościłaby zasady mające zastosowanie do stowarzyszeń niekomercyjnych prowadzących działalność</w:t>
      </w:r>
      <w:r w:rsidR="00C13C75" w:rsidRPr="00853D04">
        <w:rPr>
          <w:noProof/>
        </w:rPr>
        <w:t xml:space="preserve"> w</w:t>
      </w:r>
      <w:r w:rsidR="00C13C75">
        <w:rPr>
          <w:noProof/>
        </w:rPr>
        <w:t> </w:t>
      </w:r>
      <w:r w:rsidR="00C13C75" w:rsidRPr="00853D04">
        <w:rPr>
          <w:noProof/>
        </w:rPr>
        <w:t>kon</w:t>
      </w:r>
      <w:r w:rsidRPr="00853D04">
        <w:rPr>
          <w:noProof/>
        </w:rPr>
        <w:t>tekście transgranicznym, zapewniając prawa</w:t>
      </w:r>
      <w:r w:rsidR="00C13C75" w:rsidRPr="00853D04">
        <w:rPr>
          <w:noProof/>
        </w:rPr>
        <w:t xml:space="preserve"> i</w:t>
      </w:r>
      <w:r w:rsidR="00C13C75">
        <w:rPr>
          <w:noProof/>
        </w:rPr>
        <w:t> </w:t>
      </w:r>
      <w:r w:rsidR="00C13C75" w:rsidRPr="00853D04">
        <w:rPr>
          <w:noProof/>
        </w:rPr>
        <w:t>zab</w:t>
      </w:r>
      <w:r w:rsidRPr="00853D04">
        <w:rPr>
          <w:noProof/>
        </w:rPr>
        <w:t>ezpieczenia dla ich transgranicznej mobilności</w:t>
      </w:r>
      <w:r w:rsidR="00C13C75" w:rsidRPr="00853D04">
        <w:rPr>
          <w:noProof/>
        </w:rPr>
        <w:t xml:space="preserve"> i</w:t>
      </w:r>
      <w:r w:rsidR="00C13C75">
        <w:rPr>
          <w:noProof/>
        </w:rPr>
        <w:t> </w:t>
      </w:r>
      <w:r w:rsidR="00C13C75" w:rsidRPr="00853D04">
        <w:rPr>
          <w:noProof/>
        </w:rPr>
        <w:t>dzi</w:t>
      </w:r>
      <w:r w:rsidRPr="00853D04">
        <w:rPr>
          <w:noProof/>
        </w:rPr>
        <w:t>ałalności. Instrumentem prawnym</w:t>
      </w:r>
      <w:r w:rsidR="00C13C75" w:rsidRPr="00853D04">
        <w:rPr>
          <w:noProof/>
        </w:rPr>
        <w:t xml:space="preserve"> w</w:t>
      </w:r>
      <w:r w:rsidR="00C13C75">
        <w:rPr>
          <w:noProof/>
        </w:rPr>
        <w:t> </w:t>
      </w:r>
      <w:r w:rsidR="00C13C75" w:rsidRPr="00853D04">
        <w:rPr>
          <w:noProof/>
        </w:rPr>
        <w:t>prz</w:t>
      </w:r>
      <w:r w:rsidRPr="00853D04">
        <w:rPr>
          <w:noProof/>
        </w:rPr>
        <w:t>ypadku tego wariantu byłaby dyrektywa,</w:t>
      </w:r>
      <w:r w:rsidR="00C13C75" w:rsidRPr="00853D04">
        <w:rPr>
          <w:noProof/>
        </w:rPr>
        <w:t xml:space="preserve"> a</w:t>
      </w:r>
      <w:r w:rsidR="00C13C75">
        <w:rPr>
          <w:noProof/>
        </w:rPr>
        <w:t> </w:t>
      </w:r>
      <w:r w:rsidR="00C13C75" w:rsidRPr="00853D04">
        <w:rPr>
          <w:noProof/>
        </w:rPr>
        <w:t>pod</w:t>
      </w:r>
      <w:r w:rsidRPr="00853D04">
        <w:rPr>
          <w:noProof/>
        </w:rPr>
        <w:t xml:space="preserve">stawę prawną stanowiłby </w:t>
      </w:r>
      <w:r w:rsidRPr="00C13C75">
        <w:rPr>
          <w:noProof/>
        </w:rPr>
        <w:t>art.</w:t>
      </w:r>
      <w:r w:rsidR="00C13C75" w:rsidRPr="00C13C75">
        <w:rPr>
          <w:noProof/>
        </w:rPr>
        <w:t> </w:t>
      </w:r>
      <w:r w:rsidRPr="00C13C75">
        <w:rPr>
          <w:noProof/>
        </w:rPr>
        <w:t>5</w:t>
      </w:r>
      <w:r w:rsidRPr="00853D04">
        <w:rPr>
          <w:noProof/>
        </w:rPr>
        <w:t xml:space="preserve">0 </w:t>
      </w:r>
      <w:r w:rsidRPr="00C13C75">
        <w:rPr>
          <w:noProof/>
        </w:rPr>
        <w:t>lub</w:t>
      </w:r>
      <w:r w:rsidR="00C13C75" w:rsidRPr="00C13C75">
        <w:rPr>
          <w:noProof/>
        </w:rPr>
        <w:t> </w:t>
      </w:r>
      <w:r w:rsidRPr="00C13C75">
        <w:rPr>
          <w:noProof/>
        </w:rPr>
        <w:t>1</w:t>
      </w:r>
      <w:r w:rsidRPr="00853D04">
        <w:rPr>
          <w:noProof/>
        </w:rPr>
        <w:t>14 TFUE lub ich połączenie, biorąc pod uwagę zakres przedmiotowy inicjatywy.</w:t>
      </w:r>
    </w:p>
    <w:p w14:paraId="7DAF6EF5" w14:textId="082DB7DA" w:rsidR="00215691" w:rsidRPr="00C13C75" w:rsidRDefault="00215691" w:rsidP="00667328">
      <w:pPr>
        <w:rPr>
          <w:noProof/>
        </w:rPr>
      </w:pPr>
      <w:r w:rsidRPr="00853D04">
        <w:rPr>
          <w:noProof/>
        </w:rPr>
        <w:t>Jako trzeci oceniono wariant strategiczny polegający na stworzeniu na szczeblu krajowym dodatkowej formy prawnej stowarzyszenia niekomercyjnego przeznaczonej do celów transgranicznych</w:t>
      </w:r>
      <w:r w:rsidR="00C13C75" w:rsidRPr="00853D04">
        <w:rPr>
          <w:noProof/>
        </w:rPr>
        <w:t xml:space="preserve"> i</w:t>
      </w:r>
      <w:r w:rsidR="00C13C75">
        <w:rPr>
          <w:noProof/>
        </w:rPr>
        <w:t> </w:t>
      </w:r>
      <w:r w:rsidR="00C13C75" w:rsidRPr="00853D04">
        <w:rPr>
          <w:noProof/>
        </w:rPr>
        <w:t>uzn</w:t>
      </w:r>
      <w:r w:rsidRPr="00853D04">
        <w:rPr>
          <w:noProof/>
        </w:rPr>
        <w:t>awanej przez państwa członkowskie. Ten wariant strategiczny wymagałby od każdego państwa członkowskiego wprowadzenia do krajowego systemu prawnego formy prawnej stowarzyszenia niekomercyjnego dostosowanej do celów transgranicznych. Na szczeblu unijnym obejmowałby on jedynie określenie wymogów</w:t>
      </w:r>
      <w:r w:rsidR="00C13C75" w:rsidRPr="00853D04">
        <w:rPr>
          <w:noProof/>
        </w:rPr>
        <w:t xml:space="preserve"> i</w:t>
      </w:r>
      <w:r w:rsidR="00C13C75">
        <w:rPr>
          <w:noProof/>
        </w:rPr>
        <w:t> </w:t>
      </w:r>
      <w:r w:rsidR="00C13C75" w:rsidRPr="00853D04">
        <w:rPr>
          <w:noProof/>
        </w:rPr>
        <w:t>zab</w:t>
      </w:r>
      <w:r w:rsidRPr="00853D04">
        <w:rPr>
          <w:noProof/>
        </w:rPr>
        <w:t>ezpieczeń niezbędnych do ułatwienia osiągnięcia wspomnianych celów transgranicznych</w:t>
      </w:r>
      <w:r w:rsidR="00C13C75" w:rsidRPr="00853D04">
        <w:rPr>
          <w:noProof/>
        </w:rPr>
        <w:t xml:space="preserve"> i</w:t>
      </w:r>
      <w:r w:rsidR="00C13C75">
        <w:rPr>
          <w:noProof/>
        </w:rPr>
        <w:t> </w:t>
      </w:r>
      <w:r w:rsidR="00C13C75" w:rsidRPr="00853D04">
        <w:rPr>
          <w:noProof/>
        </w:rPr>
        <w:t>wsp</w:t>
      </w:r>
      <w:r w:rsidRPr="00853D04">
        <w:rPr>
          <w:noProof/>
        </w:rPr>
        <w:t>ółistniałaby</w:t>
      </w:r>
      <w:r w:rsidR="00C13C75" w:rsidRPr="00853D04">
        <w:rPr>
          <w:noProof/>
        </w:rPr>
        <w:t xml:space="preserve"> z</w:t>
      </w:r>
      <w:r w:rsidR="00C13C75">
        <w:rPr>
          <w:noProof/>
        </w:rPr>
        <w:t> </w:t>
      </w:r>
      <w:r w:rsidR="00C13C75" w:rsidRPr="00853D04">
        <w:rPr>
          <w:noProof/>
        </w:rPr>
        <w:t>ist</w:t>
      </w:r>
      <w:r w:rsidRPr="00853D04">
        <w:rPr>
          <w:noProof/>
        </w:rPr>
        <w:t>niejącymi formami prawnymi stowarzyszeń niekomercyjnych</w:t>
      </w:r>
      <w:r w:rsidR="00C13C75" w:rsidRPr="00853D04">
        <w:rPr>
          <w:noProof/>
        </w:rPr>
        <w:t xml:space="preserve"> w</w:t>
      </w:r>
      <w:r w:rsidR="00C13C75">
        <w:rPr>
          <w:noProof/>
        </w:rPr>
        <w:t> </w:t>
      </w:r>
      <w:r w:rsidR="00C13C75" w:rsidRPr="00853D04">
        <w:rPr>
          <w:noProof/>
        </w:rPr>
        <w:t>pra</w:t>
      </w:r>
      <w:r w:rsidRPr="00853D04">
        <w:rPr>
          <w:noProof/>
        </w:rPr>
        <w:t>wie krajowym</w:t>
      </w:r>
      <w:r w:rsidR="00C13C75" w:rsidRPr="00853D04">
        <w:rPr>
          <w:noProof/>
        </w:rPr>
        <w:t xml:space="preserve"> z</w:t>
      </w:r>
      <w:r w:rsidR="00C13C75">
        <w:rPr>
          <w:noProof/>
        </w:rPr>
        <w:t> </w:t>
      </w:r>
      <w:r w:rsidR="00C13C75" w:rsidRPr="00853D04">
        <w:rPr>
          <w:noProof/>
        </w:rPr>
        <w:t>jed</w:t>
      </w:r>
      <w:r w:rsidRPr="00853D04">
        <w:rPr>
          <w:noProof/>
        </w:rPr>
        <w:t>noczesnym poszanowaniem różnych krajowych tradycji</w:t>
      </w:r>
      <w:r w:rsidR="00C13C75" w:rsidRPr="00853D04">
        <w:rPr>
          <w:noProof/>
        </w:rPr>
        <w:t xml:space="preserve"> w</w:t>
      </w:r>
      <w:r w:rsidR="00C13C75">
        <w:rPr>
          <w:noProof/>
        </w:rPr>
        <w:t> </w:t>
      </w:r>
      <w:r w:rsidR="00C13C75" w:rsidRPr="00853D04">
        <w:rPr>
          <w:noProof/>
        </w:rPr>
        <w:t>zak</w:t>
      </w:r>
      <w:r w:rsidRPr="00853D04">
        <w:rPr>
          <w:noProof/>
        </w:rPr>
        <w:t>resie prawa stowarzyszeń. „Stowarzyszenia transgraniczne” niekoniecznie musiałyby być rejestrowane</w:t>
      </w:r>
      <w:r w:rsidR="00C13C75" w:rsidRPr="00853D04">
        <w:rPr>
          <w:noProof/>
        </w:rPr>
        <w:t xml:space="preserve"> w</w:t>
      </w:r>
      <w:r w:rsidR="00C13C75">
        <w:rPr>
          <w:noProof/>
        </w:rPr>
        <w:t> </w:t>
      </w:r>
      <w:r w:rsidR="00C13C75" w:rsidRPr="00853D04">
        <w:rPr>
          <w:noProof/>
        </w:rPr>
        <w:t>każ</w:t>
      </w:r>
      <w:r w:rsidRPr="00853D04">
        <w:rPr>
          <w:noProof/>
        </w:rPr>
        <w:t>dym państwie członkowskim</w:t>
      </w:r>
      <w:r w:rsidR="00C13C75" w:rsidRPr="00853D04">
        <w:rPr>
          <w:noProof/>
        </w:rPr>
        <w:t xml:space="preserve"> z</w:t>
      </w:r>
      <w:r w:rsidR="00C13C75">
        <w:rPr>
          <w:noProof/>
        </w:rPr>
        <w:t> </w:t>
      </w:r>
      <w:r w:rsidR="00C13C75" w:rsidRPr="00853D04">
        <w:rPr>
          <w:noProof/>
        </w:rPr>
        <w:t>oso</w:t>
      </w:r>
      <w:r w:rsidRPr="00853D04">
        <w:rPr>
          <w:noProof/>
        </w:rPr>
        <w:t>bna, ponieważ ich osobowość prawna</w:t>
      </w:r>
      <w:r w:rsidR="00C13C75" w:rsidRPr="00853D04">
        <w:rPr>
          <w:noProof/>
        </w:rPr>
        <w:t xml:space="preserve"> i</w:t>
      </w:r>
      <w:r w:rsidR="00C13C75">
        <w:rPr>
          <w:noProof/>
        </w:rPr>
        <w:t> </w:t>
      </w:r>
      <w:r w:rsidR="00C13C75" w:rsidRPr="00853D04">
        <w:rPr>
          <w:noProof/>
        </w:rPr>
        <w:t>zdo</w:t>
      </w:r>
      <w:r w:rsidRPr="00853D04">
        <w:rPr>
          <w:noProof/>
        </w:rPr>
        <w:t>lność do czynności prawnych byłyby uznawane automatycznie,</w:t>
      </w:r>
      <w:r w:rsidR="00C13C75" w:rsidRPr="00853D04">
        <w:rPr>
          <w:noProof/>
        </w:rPr>
        <w:t xml:space="preserve"> a</w:t>
      </w:r>
      <w:r w:rsidR="00C13C75">
        <w:rPr>
          <w:noProof/>
        </w:rPr>
        <w:t> </w:t>
      </w:r>
      <w:r w:rsidR="00C13C75" w:rsidRPr="00853D04">
        <w:rPr>
          <w:noProof/>
        </w:rPr>
        <w:t>naw</w:t>
      </w:r>
      <w:r w:rsidRPr="00853D04">
        <w:rPr>
          <w:noProof/>
        </w:rPr>
        <w:t>et jeśli dodatkowe formalności są uzasadnione, „stowarzyszenia transgraniczne” nie powinny być zobowiązane do dostarczania informacji już przekazanych właściwemu organowi państwa członkowskiego. Zamiast tego informacje będą wymieniane między organami państw członkowskich drogą cyfrową</w:t>
      </w:r>
      <w:r w:rsidRPr="00C13C75">
        <w:rPr>
          <w:noProof/>
        </w:rPr>
        <w:t>.</w:t>
      </w:r>
      <w:r w:rsidR="00C13C75" w:rsidRPr="00C13C75">
        <w:rPr>
          <w:noProof/>
        </w:rPr>
        <w:t xml:space="preserve"> </w:t>
      </w:r>
    </w:p>
    <w:p w14:paraId="4E40B8E5" w14:textId="70313E54" w:rsidR="00215691" w:rsidRPr="00853D04" w:rsidRDefault="00215691" w:rsidP="00667328">
      <w:pPr>
        <w:rPr>
          <w:noProof/>
        </w:rPr>
      </w:pPr>
      <w:r w:rsidRPr="00853D04">
        <w:rPr>
          <w:noProof/>
        </w:rPr>
        <w:t>W ramach wariantu strategicznego 3 oferuje się połączenie aspektów</w:t>
      </w:r>
      <w:r w:rsidR="00C13C75" w:rsidRPr="00853D04">
        <w:rPr>
          <w:noProof/>
        </w:rPr>
        <w:t xml:space="preserve"> z</w:t>
      </w:r>
      <w:r w:rsidR="00C13C75">
        <w:rPr>
          <w:noProof/>
        </w:rPr>
        <w:t> </w:t>
      </w:r>
      <w:r w:rsidR="00C13C75" w:rsidRPr="00853D04">
        <w:rPr>
          <w:noProof/>
        </w:rPr>
        <w:t>war</w:t>
      </w:r>
      <w:r w:rsidRPr="00853D04">
        <w:rPr>
          <w:noProof/>
        </w:rPr>
        <w:t>iantów strategicznych 1</w:t>
      </w:r>
      <w:r w:rsidR="00C13C75" w:rsidRPr="00853D04">
        <w:rPr>
          <w:noProof/>
        </w:rPr>
        <w:t xml:space="preserve"> i</w:t>
      </w:r>
      <w:r w:rsidR="00C13C75">
        <w:rPr>
          <w:noProof/>
        </w:rPr>
        <w:t> </w:t>
      </w:r>
      <w:r w:rsidR="00C13C75" w:rsidRPr="00853D04">
        <w:rPr>
          <w:noProof/>
        </w:rPr>
        <w:t>2</w:t>
      </w:r>
      <w:r w:rsidRPr="00853D04">
        <w:rPr>
          <w:noProof/>
        </w:rPr>
        <w:t>, ponieważ tworzy się dodatkową nową formę prawną stowarzyszeń niekomercyjnych (podobnie jak</w:t>
      </w:r>
      <w:r w:rsidR="00C13C75" w:rsidRPr="00853D04">
        <w:rPr>
          <w:noProof/>
        </w:rPr>
        <w:t xml:space="preserve"> w</w:t>
      </w:r>
      <w:r w:rsidR="00C13C75">
        <w:rPr>
          <w:noProof/>
        </w:rPr>
        <w:t> </w:t>
      </w:r>
      <w:r w:rsidR="00C13C75" w:rsidRPr="00853D04">
        <w:rPr>
          <w:noProof/>
        </w:rPr>
        <w:t>war</w:t>
      </w:r>
      <w:r w:rsidRPr="00853D04">
        <w:rPr>
          <w:noProof/>
        </w:rPr>
        <w:t>iancie strategicznym 1), ale jedynie</w:t>
      </w:r>
      <w:r w:rsidR="00C13C75" w:rsidRPr="00853D04">
        <w:rPr>
          <w:noProof/>
        </w:rPr>
        <w:t xml:space="preserve"> z</w:t>
      </w:r>
      <w:r w:rsidR="00C13C75">
        <w:rPr>
          <w:noProof/>
        </w:rPr>
        <w:t> </w:t>
      </w:r>
      <w:r w:rsidR="00C13C75" w:rsidRPr="00853D04">
        <w:rPr>
          <w:noProof/>
        </w:rPr>
        <w:t>prz</w:t>
      </w:r>
      <w:r w:rsidRPr="00853D04">
        <w:rPr>
          <w:noProof/>
        </w:rPr>
        <w:t>episami dotyczącymi aspektów transgranicznych, które państwa członkowskie mogą dostosować do swoich krajowych warunków dzięki transpozycji (podobnie jak</w:t>
      </w:r>
      <w:r w:rsidR="00C13C75" w:rsidRPr="00853D04">
        <w:rPr>
          <w:noProof/>
        </w:rPr>
        <w:t xml:space="preserve"> w</w:t>
      </w:r>
      <w:r w:rsidR="00C13C75">
        <w:rPr>
          <w:noProof/>
        </w:rPr>
        <w:t> </w:t>
      </w:r>
      <w:r w:rsidR="00C13C75" w:rsidRPr="00853D04">
        <w:rPr>
          <w:noProof/>
        </w:rPr>
        <w:t>war</w:t>
      </w:r>
      <w:r w:rsidRPr="00853D04">
        <w:rPr>
          <w:noProof/>
        </w:rPr>
        <w:t>iancie strategicznym 2), unikając jednocześnie konieczności zmiany przepisów dotyczących istniejących form prawnych na szczeblu krajowym.</w:t>
      </w:r>
    </w:p>
    <w:p w14:paraId="240207D4" w14:textId="21AB2677" w:rsidR="00215691" w:rsidRPr="00853D04" w:rsidRDefault="00215691" w:rsidP="00667328">
      <w:pPr>
        <w:rPr>
          <w:noProof/>
        </w:rPr>
      </w:pPr>
      <w:r w:rsidRPr="00853D04">
        <w:rPr>
          <w:noProof/>
        </w:rPr>
        <w:t>Chociaż wszystkie warianty strategiczne przyczyniłyby się do osiągnięcia celów politycznych inicjatywy (choć</w:t>
      </w:r>
      <w:r w:rsidR="00C13C75" w:rsidRPr="00853D04">
        <w:rPr>
          <w:noProof/>
        </w:rPr>
        <w:t xml:space="preserve"> w</w:t>
      </w:r>
      <w:r w:rsidR="00C13C75">
        <w:rPr>
          <w:noProof/>
        </w:rPr>
        <w:t> </w:t>
      </w:r>
      <w:r w:rsidR="00C13C75" w:rsidRPr="00853D04">
        <w:rPr>
          <w:noProof/>
        </w:rPr>
        <w:t>róż</w:t>
      </w:r>
      <w:r w:rsidRPr="00853D04">
        <w:rPr>
          <w:noProof/>
        </w:rPr>
        <w:t>ny sposób</w:t>
      </w:r>
      <w:r w:rsidR="00C13C75" w:rsidRPr="00853D04">
        <w:rPr>
          <w:noProof/>
        </w:rPr>
        <w:t xml:space="preserve"> i</w:t>
      </w:r>
      <w:r w:rsidR="00C13C75">
        <w:rPr>
          <w:noProof/>
        </w:rPr>
        <w:t> </w:t>
      </w:r>
      <w:r w:rsidR="00C13C75" w:rsidRPr="00853D04">
        <w:rPr>
          <w:noProof/>
        </w:rPr>
        <w:t>w</w:t>
      </w:r>
      <w:r w:rsidR="00C13C75">
        <w:rPr>
          <w:noProof/>
        </w:rPr>
        <w:t> </w:t>
      </w:r>
      <w:r w:rsidR="00C13C75" w:rsidRPr="00853D04">
        <w:rPr>
          <w:noProof/>
        </w:rPr>
        <w:t>róż</w:t>
      </w:r>
      <w:r w:rsidRPr="00853D04">
        <w:rPr>
          <w:noProof/>
        </w:rPr>
        <w:t>nym zakresie), główne różnice między wariantami dotyczą ich poziomu zgodności</w:t>
      </w:r>
      <w:r w:rsidR="00C13C75" w:rsidRPr="00853D04">
        <w:rPr>
          <w:noProof/>
        </w:rPr>
        <w:t xml:space="preserve"> z</w:t>
      </w:r>
      <w:r w:rsidR="00C13C75">
        <w:rPr>
          <w:noProof/>
        </w:rPr>
        <w:t> </w:t>
      </w:r>
      <w:r w:rsidR="00C13C75" w:rsidRPr="00853D04">
        <w:rPr>
          <w:noProof/>
        </w:rPr>
        <w:t>zas</w:t>
      </w:r>
      <w:r w:rsidRPr="00853D04">
        <w:rPr>
          <w:noProof/>
        </w:rPr>
        <w:t>adami proporcjonalności</w:t>
      </w:r>
      <w:r w:rsidR="00C13C75" w:rsidRPr="00853D04">
        <w:rPr>
          <w:noProof/>
        </w:rPr>
        <w:t xml:space="preserve"> i</w:t>
      </w:r>
      <w:r w:rsidR="00C13C75">
        <w:rPr>
          <w:noProof/>
        </w:rPr>
        <w:t> </w:t>
      </w:r>
      <w:r w:rsidR="00C13C75" w:rsidRPr="00853D04">
        <w:rPr>
          <w:noProof/>
        </w:rPr>
        <w:t>pom</w:t>
      </w:r>
      <w:r w:rsidRPr="00853D04">
        <w:rPr>
          <w:noProof/>
        </w:rPr>
        <w:t>ocniczości oraz poziomu ich wykonalności prawnej</w:t>
      </w:r>
      <w:r w:rsidR="00C13C75" w:rsidRPr="00853D04">
        <w:rPr>
          <w:noProof/>
        </w:rPr>
        <w:t xml:space="preserve"> w</w:t>
      </w:r>
      <w:r w:rsidR="00C13C75">
        <w:rPr>
          <w:noProof/>
        </w:rPr>
        <w:t> </w:t>
      </w:r>
      <w:r w:rsidR="00C13C75" w:rsidRPr="00853D04">
        <w:rPr>
          <w:noProof/>
        </w:rPr>
        <w:t>odn</w:t>
      </w:r>
      <w:r w:rsidRPr="00853D04">
        <w:rPr>
          <w:noProof/>
        </w:rPr>
        <w:t>iesieniu do stwierdzonego problemu</w:t>
      </w:r>
      <w:r w:rsidR="00C13C75" w:rsidRPr="00853D04">
        <w:rPr>
          <w:noProof/>
        </w:rPr>
        <w:t>. W</w:t>
      </w:r>
      <w:r w:rsidR="00C13C75">
        <w:rPr>
          <w:noProof/>
        </w:rPr>
        <w:t> </w:t>
      </w:r>
      <w:r w:rsidR="00C13C75" w:rsidRPr="00853D04">
        <w:rPr>
          <w:noProof/>
        </w:rPr>
        <w:t>tym</w:t>
      </w:r>
      <w:r w:rsidRPr="00853D04">
        <w:rPr>
          <w:noProof/>
        </w:rPr>
        <w:t xml:space="preserve"> kontekście wariant 3 okazał się wariantem preferowanym, ponieważ przyczynia się do rozwiązania zidentyfikowanego problemu</w:t>
      </w:r>
      <w:r w:rsidR="00C13C75" w:rsidRPr="00853D04">
        <w:rPr>
          <w:noProof/>
        </w:rPr>
        <w:t xml:space="preserve"> i</w:t>
      </w:r>
      <w:r w:rsidR="00C13C75">
        <w:rPr>
          <w:noProof/>
        </w:rPr>
        <w:t> </w:t>
      </w:r>
      <w:r w:rsidR="00C13C75" w:rsidRPr="00853D04">
        <w:rPr>
          <w:noProof/>
        </w:rPr>
        <w:t>dot</w:t>
      </w:r>
      <w:r w:rsidRPr="00853D04">
        <w:rPr>
          <w:noProof/>
        </w:rPr>
        <w:t>yczy celów szczegółowych,</w:t>
      </w:r>
      <w:r w:rsidR="00C13C75" w:rsidRPr="00853D04">
        <w:rPr>
          <w:noProof/>
        </w:rPr>
        <w:t xml:space="preserve"> a</w:t>
      </w:r>
      <w:r w:rsidR="00C13C75">
        <w:rPr>
          <w:noProof/>
        </w:rPr>
        <w:t> </w:t>
      </w:r>
      <w:r w:rsidR="00C13C75" w:rsidRPr="00853D04">
        <w:rPr>
          <w:noProof/>
        </w:rPr>
        <w:t>jed</w:t>
      </w:r>
      <w:r w:rsidRPr="00853D04">
        <w:rPr>
          <w:noProof/>
        </w:rPr>
        <w:t>nocześnie jest ukierunkowany</w:t>
      </w:r>
      <w:r w:rsidR="00C13C75" w:rsidRPr="00853D04">
        <w:rPr>
          <w:noProof/>
        </w:rPr>
        <w:t xml:space="preserve"> i</w:t>
      </w:r>
      <w:r w:rsidR="00C13C75">
        <w:rPr>
          <w:noProof/>
        </w:rPr>
        <w:t> </w:t>
      </w:r>
      <w:r w:rsidR="00C13C75" w:rsidRPr="00853D04">
        <w:rPr>
          <w:noProof/>
        </w:rPr>
        <w:t>zró</w:t>
      </w:r>
      <w:r w:rsidRPr="00853D04">
        <w:rPr>
          <w:noProof/>
        </w:rPr>
        <w:t>wnoważony pod względem kosztów</w:t>
      </w:r>
      <w:r w:rsidR="00C13C75" w:rsidRPr="00853D04">
        <w:rPr>
          <w:noProof/>
        </w:rPr>
        <w:t xml:space="preserve"> i</w:t>
      </w:r>
      <w:r w:rsidR="00C13C75">
        <w:rPr>
          <w:noProof/>
        </w:rPr>
        <w:t> </w:t>
      </w:r>
      <w:r w:rsidR="00C13C75" w:rsidRPr="00853D04">
        <w:rPr>
          <w:noProof/>
        </w:rPr>
        <w:t>kor</w:t>
      </w:r>
      <w:r w:rsidRPr="00853D04">
        <w:rPr>
          <w:noProof/>
        </w:rPr>
        <w:t>zyści</w:t>
      </w:r>
      <w:r w:rsidRPr="00853D04">
        <w:rPr>
          <w:rStyle w:val="FootnoteReference"/>
          <w:noProof/>
        </w:rPr>
        <w:footnoteReference w:id="30"/>
      </w:r>
      <w:r w:rsidRPr="00853D04">
        <w:rPr>
          <w:noProof/>
        </w:rPr>
        <w:t>.</w:t>
      </w:r>
    </w:p>
    <w:p w14:paraId="7CF3134C" w14:textId="5192368A" w:rsidR="00215691" w:rsidRPr="00853D04" w:rsidRDefault="00215691" w:rsidP="00E420C8">
      <w:pPr>
        <w:rPr>
          <w:noProof/>
        </w:rPr>
      </w:pPr>
      <w:r w:rsidRPr="00853D04">
        <w:rPr>
          <w:noProof/>
        </w:rPr>
        <w:t>Ponadto</w:t>
      </w:r>
      <w:r w:rsidR="00C13C75" w:rsidRPr="00853D04">
        <w:rPr>
          <w:noProof/>
        </w:rPr>
        <w:t xml:space="preserve"> w</w:t>
      </w:r>
      <w:r w:rsidR="00C13C75">
        <w:rPr>
          <w:noProof/>
        </w:rPr>
        <w:t> </w:t>
      </w:r>
      <w:r w:rsidR="00C13C75" w:rsidRPr="00853D04">
        <w:rPr>
          <w:noProof/>
        </w:rPr>
        <w:t>ram</w:t>
      </w:r>
      <w:r w:rsidRPr="00853D04">
        <w:rPr>
          <w:noProof/>
        </w:rPr>
        <w:t>ach badania stanowiącego podstawę oceny skutków oceniono również skutki gospodarcze</w:t>
      </w:r>
      <w:r w:rsidR="00C13C75" w:rsidRPr="00853D04">
        <w:rPr>
          <w:noProof/>
        </w:rPr>
        <w:t xml:space="preserve"> i</w:t>
      </w:r>
      <w:r w:rsidR="00C13C75">
        <w:rPr>
          <w:noProof/>
        </w:rPr>
        <w:t> </w:t>
      </w:r>
      <w:r w:rsidR="00C13C75" w:rsidRPr="00853D04">
        <w:rPr>
          <w:noProof/>
        </w:rPr>
        <w:t>spo</w:t>
      </w:r>
      <w:r w:rsidRPr="00853D04">
        <w:rPr>
          <w:noProof/>
        </w:rPr>
        <w:t>łeczne oraz wpływ na środowisko preferowanego wariantu strategicznego</w:t>
      </w:r>
      <w:r w:rsidR="00C13C75" w:rsidRPr="00853D04">
        <w:rPr>
          <w:noProof/>
        </w:rPr>
        <w:t xml:space="preserve"> i</w:t>
      </w:r>
      <w:r w:rsidR="00C13C75">
        <w:rPr>
          <w:noProof/>
        </w:rPr>
        <w:t> </w:t>
      </w:r>
      <w:r w:rsidR="00C13C75" w:rsidRPr="00853D04">
        <w:rPr>
          <w:noProof/>
        </w:rPr>
        <w:t>stw</w:t>
      </w:r>
      <w:r w:rsidRPr="00853D04">
        <w:rPr>
          <w:noProof/>
        </w:rPr>
        <w:t xml:space="preserve">ierdzono, że </w:t>
      </w:r>
      <w:r w:rsidRPr="00853D04">
        <w:rPr>
          <w:noProof/>
          <w:color w:val="000000" w:themeColor="text1"/>
        </w:rPr>
        <w:t>ogólnie rzecz biorąc, wariant strategiczny 3 powinien wywrzeć pozytywny wpływ na właściwe organy</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per</w:t>
      </w:r>
      <w:r w:rsidRPr="00853D04">
        <w:rPr>
          <w:noProof/>
          <w:color w:val="000000" w:themeColor="text1"/>
        </w:rPr>
        <w:t>spektywie długoterminowej bez znacznych kosztów związanych</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dos</w:t>
      </w:r>
      <w:r w:rsidRPr="00853D04">
        <w:rPr>
          <w:noProof/>
          <w:color w:val="000000" w:themeColor="text1"/>
        </w:rPr>
        <w:t>tosowaniem.</w:t>
      </w:r>
    </w:p>
    <w:p w14:paraId="14384F29" w14:textId="61F9AFFA" w:rsidR="00215691" w:rsidRPr="00853D04" w:rsidRDefault="3A584FA8">
      <w:pPr>
        <w:rPr>
          <w:noProof/>
          <w:color w:val="000000" w:themeColor="text1"/>
        </w:rPr>
      </w:pPr>
      <w:r w:rsidRPr="00853D04">
        <w:rPr>
          <w:noProof/>
        </w:rPr>
        <w:t>Z ekonomicznego punktu widzenia wniosek nie wiąże się</w:t>
      </w:r>
      <w:r w:rsidR="00C13C75" w:rsidRPr="00853D04">
        <w:rPr>
          <w:noProof/>
        </w:rPr>
        <w:t xml:space="preserve"> z</w:t>
      </w:r>
      <w:r w:rsidR="00C13C75">
        <w:rPr>
          <w:noProof/>
        </w:rPr>
        <w:t> </w:t>
      </w:r>
      <w:r w:rsidR="00C13C75" w:rsidRPr="00853D04">
        <w:rPr>
          <w:noProof/>
        </w:rPr>
        <w:t>żad</w:t>
      </w:r>
      <w:r w:rsidRPr="00853D04">
        <w:rPr>
          <w:noProof/>
        </w:rPr>
        <w:t xml:space="preserve">nymi kosztami. Stowarzyszenia </w:t>
      </w:r>
      <w:r w:rsidRPr="00853D04">
        <w:rPr>
          <w:noProof/>
          <w:color w:val="000000" w:themeColor="text1"/>
        </w:rPr>
        <w:t>niekomercyjne przyjmujące tę nową formę prawną mogą być narażone na pewne koszty, które będą zależeć od zakresu,</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jak</w:t>
      </w:r>
      <w:r w:rsidRPr="00853D04">
        <w:rPr>
          <w:noProof/>
          <w:color w:val="000000" w:themeColor="text1"/>
        </w:rPr>
        <w:t>im zharmonizowane przepisy będą różnić się od przepisów krajowych, jednak koszty te nie będą znaczące. Administracje publiczne mogą ponieść nieznaczne koszty</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prz</w:t>
      </w:r>
      <w:r w:rsidRPr="00853D04">
        <w:rPr>
          <w:noProof/>
          <w:color w:val="000000" w:themeColor="text1"/>
        </w:rPr>
        <w:t>ypadku konieczności opracowania lub dostosowania rejestru internetowego</w:t>
      </w:r>
      <w:r w:rsidR="00C13C75" w:rsidRPr="00853D04">
        <w:rPr>
          <w:noProof/>
          <w:color w:val="000000" w:themeColor="text1"/>
        </w:rPr>
        <w:t>. W</w:t>
      </w:r>
      <w:r w:rsidR="00C13C75">
        <w:rPr>
          <w:noProof/>
          <w:color w:val="000000" w:themeColor="text1"/>
        </w:rPr>
        <w:t> </w:t>
      </w:r>
      <w:r w:rsidR="00C13C75" w:rsidRPr="00853D04">
        <w:rPr>
          <w:noProof/>
          <w:color w:val="000000" w:themeColor="text1"/>
        </w:rPr>
        <w:t>prz</w:t>
      </w:r>
      <w:r w:rsidRPr="00853D04">
        <w:rPr>
          <w:noProof/>
          <w:color w:val="000000" w:themeColor="text1"/>
        </w:rPr>
        <w:t>ypadku stowarzyszeń, które nie chciałyby przyjąć tej formy prawnej, nie wystąpiłyby żadne koszty dostosowania ani koszty administracyjne</w:t>
      </w:r>
      <w:r w:rsidR="00C13C75" w:rsidRPr="00853D04">
        <w:rPr>
          <w:noProof/>
          <w:color w:val="000000" w:themeColor="text1"/>
        </w:rPr>
        <w:t xml:space="preserve">. </w:t>
      </w:r>
      <w:r w:rsidR="00C13C75" w:rsidRPr="00853D04">
        <w:rPr>
          <w:noProof/>
        </w:rPr>
        <w:t>W</w:t>
      </w:r>
      <w:r w:rsidR="00C13C75">
        <w:rPr>
          <w:noProof/>
          <w:color w:val="000000" w:themeColor="text1"/>
        </w:rPr>
        <w:t> </w:t>
      </w:r>
      <w:r w:rsidR="00C13C75" w:rsidRPr="00853D04">
        <w:rPr>
          <w:noProof/>
        </w:rPr>
        <w:t>por</w:t>
      </w:r>
      <w:r w:rsidRPr="00853D04">
        <w:rPr>
          <w:noProof/>
        </w:rPr>
        <w:t>ównaniu</w:t>
      </w:r>
      <w:r w:rsidR="00C13C75" w:rsidRPr="00853D04">
        <w:rPr>
          <w:noProof/>
        </w:rPr>
        <w:t xml:space="preserve"> z</w:t>
      </w:r>
      <w:r w:rsidR="00C13C75">
        <w:rPr>
          <w:noProof/>
        </w:rPr>
        <w:t> </w:t>
      </w:r>
      <w:r w:rsidR="00C13C75" w:rsidRPr="00853D04">
        <w:rPr>
          <w:noProof/>
        </w:rPr>
        <w:t>baz</w:t>
      </w:r>
      <w:r w:rsidRPr="00853D04">
        <w:rPr>
          <w:noProof/>
        </w:rPr>
        <w:t xml:space="preserve">owym wariantem strategicznym </w:t>
      </w:r>
      <w:r w:rsidRPr="00853D04">
        <w:rPr>
          <w:noProof/>
          <w:color w:val="000000" w:themeColor="text1"/>
        </w:rPr>
        <w:t>ten</w:t>
      </w:r>
      <w:r w:rsidRPr="00853D04">
        <w:rPr>
          <w:noProof/>
        </w:rPr>
        <w:t xml:space="preserve"> wariant strategiczny przyczyni się do obniżenia zarówno jednorazowych kosztów rozpoczęcia działalności, jak</w:t>
      </w:r>
      <w:r w:rsidR="00C13C75" w:rsidRPr="00853D04">
        <w:rPr>
          <w:noProof/>
        </w:rPr>
        <w:t xml:space="preserve"> i</w:t>
      </w:r>
      <w:r w:rsidR="00C13C75">
        <w:rPr>
          <w:noProof/>
        </w:rPr>
        <w:t> </w:t>
      </w:r>
      <w:r w:rsidR="00C13C75" w:rsidRPr="00853D04">
        <w:rPr>
          <w:noProof/>
        </w:rPr>
        <w:t>sta</w:t>
      </w:r>
      <w:r w:rsidRPr="00853D04">
        <w:rPr>
          <w:noProof/>
        </w:rPr>
        <w:t xml:space="preserve">łych kosztów stowarzyszeń niekomercyjnych prowadzących działalność transgraniczną. Dokładniej rzecz ujmując, </w:t>
      </w:r>
      <w:r w:rsidRPr="00853D04">
        <w:rPr>
          <w:noProof/>
          <w:color w:val="000000" w:themeColor="text1"/>
        </w:rPr>
        <w:t>zmniejszenie nadmiernych kosztów rozpoczęcia działalności (np. kosztów informacji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opł</w:t>
      </w:r>
      <w:r w:rsidRPr="00853D04">
        <w:rPr>
          <w:noProof/>
          <w:color w:val="000000" w:themeColor="text1"/>
        </w:rPr>
        <w:t xml:space="preserve">at bezpośrednich) szacuje się </w:t>
      </w:r>
      <w:r w:rsidRPr="00C13C75">
        <w:rPr>
          <w:noProof/>
          <w:color w:val="000000" w:themeColor="text1"/>
        </w:rPr>
        <w:t>na</w:t>
      </w:r>
      <w:r w:rsidR="00C13C75" w:rsidRPr="00C13C75">
        <w:rPr>
          <w:noProof/>
          <w:color w:val="000000" w:themeColor="text1"/>
        </w:rPr>
        <w:t> </w:t>
      </w:r>
      <w:r w:rsidRPr="00C13C75">
        <w:rPr>
          <w:noProof/>
          <w:color w:val="000000" w:themeColor="text1"/>
        </w:rPr>
        <w:t>2</w:t>
      </w:r>
      <w:r w:rsidRPr="00853D04">
        <w:rPr>
          <w:noProof/>
          <w:color w:val="000000" w:themeColor="text1"/>
        </w:rPr>
        <w:t xml:space="preserve"> 150 EUR na jedno rozpoczęcie działalności.W ocenianych 15-letnich ramach czasowych redukcja nadmiernych kosztów mogłaby osiągną 338–378 mln EUR</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sce</w:t>
      </w:r>
      <w:r w:rsidRPr="00853D04">
        <w:rPr>
          <w:noProof/>
          <w:color w:val="000000" w:themeColor="text1"/>
        </w:rPr>
        <w:t>nariuszu opartym na najlepszym szacowaniu (358 mln EUR dla centralnej szacunkowej liczby 166 500 nowych stowarzyszeń transgranicznych</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oce</w:t>
      </w:r>
      <w:r w:rsidRPr="00853D04">
        <w:rPr>
          <w:noProof/>
          <w:color w:val="000000" w:themeColor="text1"/>
        </w:rPr>
        <w:t>nianych 15-letnich ramach czasowych). Zmniejszenie nadmiernych kosztów (kosztów stałych, np. kosztów administracyjnych</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kos</w:t>
      </w:r>
      <w:r w:rsidRPr="00853D04">
        <w:rPr>
          <w:noProof/>
          <w:color w:val="000000" w:themeColor="text1"/>
        </w:rPr>
        <w:t>ztów przestrzegania przepisów)</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prz</w:t>
      </w:r>
      <w:r w:rsidRPr="00853D04">
        <w:rPr>
          <w:noProof/>
          <w:color w:val="000000" w:themeColor="text1"/>
        </w:rPr>
        <w:t xml:space="preserve">ypadku stowarzyszeń niekomercyjnych prowadzących działalność transgraniczną szacuje się </w:t>
      </w:r>
      <w:r w:rsidRPr="00C13C75">
        <w:rPr>
          <w:noProof/>
          <w:color w:val="000000" w:themeColor="text1"/>
        </w:rPr>
        <w:t>na</w:t>
      </w:r>
      <w:r w:rsidR="00C13C75" w:rsidRPr="00C13C75">
        <w:rPr>
          <w:noProof/>
          <w:color w:val="000000" w:themeColor="text1"/>
        </w:rPr>
        <w:t> </w:t>
      </w:r>
      <w:r w:rsidRPr="00C13C75">
        <w:rPr>
          <w:noProof/>
          <w:color w:val="000000" w:themeColor="text1"/>
        </w:rPr>
        <w:t>7</w:t>
      </w:r>
      <w:r w:rsidRPr="00853D04">
        <w:rPr>
          <w:noProof/>
          <w:color w:val="000000" w:themeColor="text1"/>
        </w:rPr>
        <w:t>70 mln EUR rocznie</w:t>
      </w:r>
      <w:r w:rsidR="00C13C75" w:rsidRPr="00853D04">
        <w:rPr>
          <w:noProof/>
          <w:color w:val="000000" w:themeColor="text1"/>
        </w:rPr>
        <w:t>. W</w:t>
      </w:r>
      <w:r w:rsidR="00C13C75">
        <w:rPr>
          <w:noProof/>
          <w:color w:val="000000" w:themeColor="text1"/>
        </w:rPr>
        <w:t> </w:t>
      </w:r>
      <w:r w:rsidR="00C13C75" w:rsidRPr="00853D04">
        <w:rPr>
          <w:noProof/>
          <w:color w:val="000000" w:themeColor="text1"/>
        </w:rPr>
        <w:t>oce</w:t>
      </w:r>
      <w:r w:rsidRPr="00853D04">
        <w:rPr>
          <w:noProof/>
          <w:color w:val="000000" w:themeColor="text1"/>
        </w:rPr>
        <w:t>nianych 15-letnich ramach czasowych oszczędności kosztów mogłyby potencjalnie sięgać 8,5 mld EUR, co przyczyniłoby się do ogólnego zmniejszenia obciążeń regulacyjnych</w:t>
      </w:r>
      <w:r w:rsidR="00C13C75" w:rsidRPr="00853D04">
        <w:rPr>
          <w:noProof/>
          <w:color w:val="000000" w:themeColor="text1"/>
        </w:rPr>
        <w:t>. W</w:t>
      </w:r>
      <w:r w:rsidR="00C13C75">
        <w:rPr>
          <w:noProof/>
          <w:color w:val="000000" w:themeColor="text1"/>
        </w:rPr>
        <w:t> </w:t>
      </w:r>
      <w:r w:rsidR="00C13C75" w:rsidRPr="00853D04">
        <w:rPr>
          <w:noProof/>
          <w:color w:val="000000" w:themeColor="text1"/>
        </w:rPr>
        <w:t>oce</w:t>
      </w:r>
      <w:r w:rsidRPr="00853D04">
        <w:rPr>
          <w:noProof/>
          <w:color w:val="000000" w:themeColor="text1"/>
        </w:rPr>
        <w:t>nie skutków dokonano również najlepszego oszacowania potencjalnych pośrednich korzyści gospodarczych: 157 000–176 000 dodatkowych stowarzyszeń prowadzących działalność transgraniczną, tworzących 64 000–71 000 miejsc pracy</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war</w:t>
      </w:r>
      <w:r w:rsidRPr="00853D04">
        <w:rPr>
          <w:noProof/>
          <w:color w:val="000000" w:themeColor="text1"/>
        </w:rPr>
        <w:t>tość dodaną</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wys</w:t>
      </w:r>
      <w:r w:rsidRPr="00853D04">
        <w:rPr>
          <w:noProof/>
          <w:color w:val="000000" w:themeColor="text1"/>
        </w:rPr>
        <w:t>okości 3,57–4 mld EUR, co odpowiada maksymalnemu potencjalnemu wykorzystaniu</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1</w:t>
      </w:r>
      <w:r w:rsidRPr="00853D04">
        <w:rPr>
          <w:noProof/>
          <w:color w:val="000000" w:themeColor="text1"/>
        </w:rPr>
        <w:t>5-letnich ramach czasowych</w:t>
      </w:r>
      <w:r w:rsidRPr="00853D04">
        <w:rPr>
          <w:rStyle w:val="FootnoteReference"/>
          <w:noProof/>
          <w:color w:val="000000" w:themeColor="text1"/>
        </w:rPr>
        <w:footnoteReference w:id="31"/>
      </w:r>
      <w:r w:rsidRPr="00853D04">
        <w:rPr>
          <w:noProof/>
        </w:rPr>
        <w:t>.</w:t>
      </w:r>
      <w:r w:rsidRPr="00853D04">
        <w:rPr>
          <w:noProof/>
          <w:color w:val="000000" w:themeColor="text1"/>
        </w:rPr>
        <w:t xml:space="preserve"> </w:t>
      </w:r>
    </w:p>
    <w:p w14:paraId="4F4197CF" w14:textId="6C9F9A55" w:rsidR="00215691" w:rsidRPr="00853D04" w:rsidRDefault="00215691" w:rsidP="00E420C8">
      <w:pPr>
        <w:rPr>
          <w:noProof/>
        </w:rPr>
      </w:pPr>
      <w:r w:rsidRPr="00853D04">
        <w:rPr>
          <w:noProof/>
          <w:color w:val="000000" w:themeColor="text1"/>
        </w:rPr>
        <w:t>Jeśli chodzi</w:t>
      </w:r>
      <w:r w:rsidR="00C13C75" w:rsidRPr="00853D04">
        <w:rPr>
          <w:noProof/>
          <w:color w:val="000000" w:themeColor="text1"/>
        </w:rPr>
        <w:t xml:space="preserve"> o</w:t>
      </w:r>
      <w:r w:rsidR="00C13C75">
        <w:rPr>
          <w:noProof/>
          <w:color w:val="000000" w:themeColor="text1"/>
        </w:rPr>
        <w:t> </w:t>
      </w:r>
      <w:r w:rsidR="00C13C75" w:rsidRPr="00853D04">
        <w:rPr>
          <w:noProof/>
          <w:color w:val="000000" w:themeColor="text1"/>
        </w:rPr>
        <w:t>sku</w:t>
      </w:r>
      <w:r w:rsidRPr="00853D04">
        <w:rPr>
          <w:noProof/>
          <w:color w:val="000000" w:themeColor="text1"/>
        </w:rPr>
        <w:t>tki społeczne, trudno było określić związek przyczynowy między dyrektywą upraszczającą przepisy regulacyjne</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adm</w:t>
      </w:r>
      <w:r w:rsidRPr="00853D04">
        <w:rPr>
          <w:noProof/>
          <w:color w:val="000000" w:themeColor="text1"/>
        </w:rPr>
        <w:t xml:space="preserve">inistracyjne dotyczące transgranicznej działalności stowarzyszeń </w:t>
      </w:r>
      <w:r w:rsidRPr="00853D04">
        <w:rPr>
          <w:noProof/>
        </w:rPr>
        <w:t>niekomercyjnych</w:t>
      </w:r>
      <w:r w:rsidR="00C13C75" w:rsidRPr="00853D04">
        <w:rPr>
          <w:noProof/>
          <w:color w:val="000000" w:themeColor="text1"/>
        </w:rPr>
        <w:t xml:space="preserve"> a</w:t>
      </w:r>
      <w:r w:rsidR="00C13C75">
        <w:rPr>
          <w:noProof/>
          <w:color w:val="000000" w:themeColor="text1"/>
        </w:rPr>
        <w:t> </w:t>
      </w:r>
      <w:r w:rsidR="00C13C75" w:rsidRPr="00853D04">
        <w:rPr>
          <w:noProof/>
          <w:color w:val="000000" w:themeColor="text1"/>
        </w:rPr>
        <w:t>pot</w:t>
      </w:r>
      <w:r w:rsidRPr="00853D04">
        <w:rPr>
          <w:noProof/>
          <w:color w:val="000000" w:themeColor="text1"/>
        </w:rPr>
        <w:t>encjalnymi skutkami społecznymi. Niemniej</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oce</w:t>
      </w:r>
      <w:r w:rsidRPr="00853D04">
        <w:rPr>
          <w:noProof/>
          <w:color w:val="000000" w:themeColor="text1"/>
        </w:rPr>
        <w:t>nie skutków określono pośrednie, ale niemierzalne pozytywne skutki</w:t>
      </w:r>
      <w:r w:rsidR="00C13C75" w:rsidRPr="00853D04">
        <w:rPr>
          <w:noProof/>
          <w:color w:val="000000" w:themeColor="text1"/>
        </w:rPr>
        <w:t>. W</w:t>
      </w:r>
      <w:r w:rsidR="00C13C75">
        <w:rPr>
          <w:noProof/>
          <w:color w:val="000000" w:themeColor="text1"/>
        </w:rPr>
        <w:t> </w:t>
      </w:r>
      <w:r w:rsidR="00C13C75" w:rsidRPr="00853D04">
        <w:rPr>
          <w:noProof/>
          <w:color w:val="000000" w:themeColor="text1"/>
        </w:rPr>
        <w:t>szc</w:t>
      </w:r>
      <w:r w:rsidRPr="00853D04">
        <w:rPr>
          <w:noProof/>
          <w:color w:val="000000" w:themeColor="text1"/>
        </w:rPr>
        <w:t>zególności uważa się, że dyrektywa poprawi dostęp obywateli do sektorów oferujących usługi</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pań</w:t>
      </w:r>
      <w:r w:rsidRPr="00853D04">
        <w:rPr>
          <w:noProof/>
          <w:color w:val="000000" w:themeColor="text1"/>
        </w:rPr>
        <w:t>stwach członkowskich (np. opieki zdrowotnej</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usł</w:t>
      </w:r>
      <w:r w:rsidRPr="00853D04">
        <w:rPr>
          <w:noProof/>
          <w:color w:val="000000" w:themeColor="text1"/>
        </w:rPr>
        <w:t>ug społecznych, środowiskowej pracy socjalnej, kształcenia</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szk</w:t>
      </w:r>
      <w:r w:rsidRPr="00853D04">
        <w:rPr>
          <w:noProof/>
          <w:color w:val="000000" w:themeColor="text1"/>
        </w:rPr>
        <w:t>olenia, służb zatrudnienia itp.) Będzie to sprzyjać dalszej konwergencji między poszczególnymi modelami oferowanymi</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pań</w:t>
      </w:r>
      <w:r w:rsidRPr="00853D04">
        <w:rPr>
          <w:noProof/>
          <w:color w:val="000000" w:themeColor="text1"/>
        </w:rPr>
        <w:t>stwach członkowskich, prowadząc do ogólnej poprawy jakości takich usług w UE. Jeśli chodzi</w:t>
      </w:r>
      <w:r w:rsidR="00C13C75" w:rsidRPr="00853D04">
        <w:rPr>
          <w:noProof/>
          <w:color w:val="000000" w:themeColor="text1"/>
        </w:rPr>
        <w:t xml:space="preserve"> o</w:t>
      </w:r>
      <w:r w:rsidR="00C13C75">
        <w:rPr>
          <w:noProof/>
          <w:color w:val="000000" w:themeColor="text1"/>
        </w:rPr>
        <w:t> </w:t>
      </w:r>
      <w:r w:rsidR="00C13C75" w:rsidRPr="00853D04">
        <w:rPr>
          <w:noProof/>
          <w:color w:val="000000" w:themeColor="text1"/>
        </w:rPr>
        <w:t>pra</w:t>
      </w:r>
      <w:r w:rsidRPr="00853D04">
        <w:rPr>
          <w:noProof/>
          <w:color w:val="000000" w:themeColor="text1"/>
        </w:rPr>
        <w:t>wa podstawowe, niniejsza dyrektywa mogłaby również wzmocnić prawo do wolności zgromadzeń</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sto</w:t>
      </w:r>
      <w:r w:rsidRPr="00853D04">
        <w:rPr>
          <w:noProof/>
          <w:color w:val="000000" w:themeColor="text1"/>
        </w:rPr>
        <w:t>warzyszania się</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spo</w:t>
      </w:r>
      <w:r w:rsidRPr="00853D04">
        <w:rPr>
          <w:noProof/>
          <w:color w:val="000000" w:themeColor="text1"/>
        </w:rPr>
        <w:t xml:space="preserve">sób niedyskryminujący, ponieważ stowarzyszenia </w:t>
      </w:r>
      <w:r w:rsidRPr="00853D04">
        <w:rPr>
          <w:noProof/>
        </w:rPr>
        <w:t xml:space="preserve">niekomercyjne </w:t>
      </w:r>
      <w:r w:rsidRPr="00853D04">
        <w:rPr>
          <w:noProof/>
          <w:color w:val="000000" w:themeColor="text1"/>
        </w:rPr>
        <w:t>korzystające</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now</w:t>
      </w:r>
      <w:r w:rsidRPr="00853D04">
        <w:rPr>
          <w:noProof/>
          <w:color w:val="000000" w:themeColor="text1"/>
        </w:rPr>
        <w:t>ych form prawnych byłyby traktowane</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tak</w:t>
      </w:r>
      <w:r w:rsidRPr="00853D04">
        <w:rPr>
          <w:noProof/>
          <w:color w:val="000000" w:themeColor="text1"/>
        </w:rPr>
        <w:t xml:space="preserve">i sam sposób jak stowarzyszenia </w:t>
      </w:r>
      <w:r w:rsidRPr="00853D04">
        <w:rPr>
          <w:noProof/>
        </w:rPr>
        <w:t>niekomercyjne</w:t>
      </w:r>
      <w:r w:rsidRPr="00853D04">
        <w:rPr>
          <w:noProof/>
          <w:color w:val="000000" w:themeColor="text1"/>
        </w:rPr>
        <w:t>, które już istnieją</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świ</w:t>
      </w:r>
      <w:r w:rsidRPr="00853D04">
        <w:rPr>
          <w:noProof/>
          <w:color w:val="000000" w:themeColor="text1"/>
        </w:rPr>
        <w:t>etle przepisów krajowych. Zgodnie</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wyn</w:t>
      </w:r>
      <w:r w:rsidRPr="00853D04">
        <w:rPr>
          <w:noProof/>
          <w:color w:val="000000" w:themeColor="text1"/>
        </w:rPr>
        <w:t>ikami badania źródeł wtórnych</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kon</w:t>
      </w:r>
      <w:r w:rsidRPr="00853D04">
        <w:rPr>
          <w:noProof/>
          <w:color w:val="000000" w:themeColor="text1"/>
        </w:rPr>
        <w:t xml:space="preserve">sultacji publicznych uważa się, że wariant strategiczny 3 – dzięki poprawie warunków działania stowarzyszeń </w:t>
      </w:r>
      <w:r w:rsidRPr="00853D04">
        <w:rPr>
          <w:noProof/>
        </w:rPr>
        <w:t>niekomercyjnych</w:t>
      </w:r>
      <w:r w:rsidRPr="00853D04">
        <w:rPr>
          <w:noProof/>
          <w:color w:val="000000" w:themeColor="text1"/>
        </w:rPr>
        <w:t xml:space="preserve"> na rynku wewnętrznym – będzie miał silny pozytywny wpływ na ochronę praw do wolności zgromadzeń</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sto</w:t>
      </w:r>
      <w:r w:rsidRPr="00853D04">
        <w:rPr>
          <w:noProof/>
          <w:color w:val="000000" w:themeColor="text1"/>
        </w:rPr>
        <w:t>warzyszania się oraz wolność wypowiedzi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inf</w:t>
      </w:r>
      <w:r w:rsidRPr="00853D04">
        <w:rPr>
          <w:noProof/>
          <w:color w:val="000000" w:themeColor="text1"/>
        </w:rPr>
        <w:t xml:space="preserve">ormacji stowarzyszeń </w:t>
      </w:r>
      <w:r w:rsidRPr="00853D04">
        <w:rPr>
          <w:noProof/>
        </w:rPr>
        <w:t>niekomercyjnych</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ich</w:t>
      </w:r>
      <w:r w:rsidRPr="00853D04">
        <w:rPr>
          <w:noProof/>
          <w:color w:val="000000" w:themeColor="text1"/>
        </w:rPr>
        <w:t xml:space="preserve"> członków w UE.</w:t>
      </w:r>
    </w:p>
    <w:p w14:paraId="2269B7B8" w14:textId="53C0F308" w:rsidR="00215691" w:rsidRPr="00853D04" w:rsidRDefault="00215691" w:rsidP="00667328">
      <w:pPr>
        <w:rPr>
          <w:noProof/>
        </w:rPr>
      </w:pPr>
      <w:r w:rsidRPr="00853D04">
        <w:rPr>
          <w:noProof/>
          <w:color w:val="000000" w:themeColor="text1"/>
        </w:rPr>
        <w:t>Zasadniczo nie oczekuje się, że charakter</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cel</w:t>
      </w:r>
      <w:r w:rsidRPr="00853D04">
        <w:rPr>
          <w:noProof/>
          <w:color w:val="000000" w:themeColor="text1"/>
        </w:rPr>
        <w:t>e inicjatywy będą skutkować wymiernym bezpośrednim wpływem na środowisko. Patrząc na potencjalne korzyści pośrednie, oczekuje się, że preferowany wariant wywrze pozytywny wpływ dzięki poprawie pozycji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obe</w:t>
      </w:r>
      <w:r w:rsidRPr="00853D04">
        <w:rPr>
          <w:noProof/>
          <w:color w:val="000000" w:themeColor="text1"/>
        </w:rPr>
        <w:t xml:space="preserve">cności stowarzyszeń </w:t>
      </w:r>
      <w:r w:rsidRPr="00853D04">
        <w:rPr>
          <w:noProof/>
        </w:rPr>
        <w:t>niekomercyjnych</w:t>
      </w:r>
      <w:r w:rsidRPr="00853D04">
        <w:rPr>
          <w:noProof/>
          <w:color w:val="000000" w:themeColor="text1"/>
        </w:rPr>
        <w:t xml:space="preserve"> prowadzących działalność transgraniczną</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akt</w:t>
      </w:r>
      <w:r w:rsidRPr="00853D04">
        <w:rPr>
          <w:noProof/>
          <w:color w:val="000000" w:themeColor="text1"/>
        </w:rPr>
        <w:t>ywnych</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sfe</w:t>
      </w:r>
      <w:r w:rsidRPr="00853D04">
        <w:rPr>
          <w:noProof/>
          <w:color w:val="000000" w:themeColor="text1"/>
        </w:rPr>
        <w:t>rze ochrony środowiska</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zmi</w:t>
      </w:r>
      <w:r w:rsidRPr="00853D04">
        <w:rPr>
          <w:noProof/>
          <w:color w:val="000000" w:themeColor="text1"/>
        </w:rPr>
        <w:t>any klimatu, jak promowanie różnorodności biologicznej, ochrona przyrody</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wal</w:t>
      </w:r>
      <w:r w:rsidRPr="00853D04">
        <w:rPr>
          <w:noProof/>
          <w:color w:val="000000" w:themeColor="text1"/>
        </w:rPr>
        <w:t xml:space="preserve">ka ze zmianą klimatu. </w:t>
      </w:r>
    </w:p>
    <w:p w14:paraId="4CB9C750" w14:textId="3DC7ACEB" w:rsidR="00215691" w:rsidRPr="00853D04" w:rsidRDefault="00215691" w:rsidP="00667328">
      <w:pPr>
        <w:rPr>
          <w:rFonts w:eastAsiaTheme="minorEastAsia"/>
          <w:noProof/>
          <w:color w:val="000000" w:themeColor="text1"/>
        </w:rPr>
      </w:pPr>
      <w:r w:rsidRPr="00853D04">
        <w:rPr>
          <w:noProof/>
          <w:color w:val="000000" w:themeColor="text1"/>
        </w:rPr>
        <w:t>Inicjatywa miałaby również pośredni wpływ gospodarczy na innowacje</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kon</w:t>
      </w:r>
      <w:r w:rsidRPr="00853D04">
        <w:rPr>
          <w:noProof/>
          <w:color w:val="000000" w:themeColor="text1"/>
        </w:rPr>
        <w:t>kurencję</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sek</w:t>
      </w:r>
      <w:r w:rsidRPr="00853D04">
        <w:rPr>
          <w:noProof/>
          <w:color w:val="000000" w:themeColor="text1"/>
        </w:rPr>
        <w:t>torach krytycznych</w:t>
      </w:r>
      <w:r w:rsidR="00C13C75" w:rsidRPr="00853D04">
        <w:rPr>
          <w:noProof/>
          <w:color w:val="000000" w:themeColor="text1"/>
        </w:rPr>
        <w:t xml:space="preserve"> o</w:t>
      </w:r>
      <w:r w:rsidR="00C13C75">
        <w:rPr>
          <w:noProof/>
          <w:color w:val="000000" w:themeColor="text1"/>
        </w:rPr>
        <w:t> </w:t>
      </w:r>
      <w:r w:rsidR="00C13C75" w:rsidRPr="00853D04">
        <w:rPr>
          <w:noProof/>
          <w:color w:val="000000" w:themeColor="text1"/>
        </w:rPr>
        <w:t>duż</w:t>
      </w:r>
      <w:r w:rsidRPr="00853D04">
        <w:rPr>
          <w:noProof/>
          <w:color w:val="000000" w:themeColor="text1"/>
        </w:rPr>
        <w:t>ym znaczeniu społecznym (np. opieka zdrowotna</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usł</w:t>
      </w:r>
      <w:r w:rsidRPr="00853D04">
        <w:rPr>
          <w:noProof/>
          <w:color w:val="000000" w:themeColor="text1"/>
        </w:rPr>
        <w:t>ugi socjalne, praca socjalna, integracja zawodowa, usługi szkoleniowe</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edu</w:t>
      </w:r>
      <w:r w:rsidRPr="00853D04">
        <w:rPr>
          <w:noProof/>
          <w:color w:val="000000" w:themeColor="text1"/>
        </w:rPr>
        <w:t>kacyjne, służby zatrudnienia oraz badania</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roz</w:t>
      </w:r>
      <w:r w:rsidRPr="00853D04">
        <w:rPr>
          <w:noProof/>
          <w:color w:val="000000" w:themeColor="text1"/>
        </w:rPr>
        <w:t xml:space="preserve">wój). Dzięki mniejszej liczbie barier dla stowarzyszeń </w:t>
      </w:r>
      <w:r w:rsidRPr="00853D04">
        <w:rPr>
          <w:noProof/>
        </w:rPr>
        <w:t>niekomercyjnych</w:t>
      </w:r>
      <w:r w:rsidRPr="00853D04">
        <w:rPr>
          <w:noProof/>
          <w:color w:val="000000" w:themeColor="text1"/>
        </w:rPr>
        <w:t xml:space="preserve"> na rynku wewnętrznym wzrośnie liczba usług</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pro</w:t>
      </w:r>
      <w:r w:rsidRPr="00853D04">
        <w:rPr>
          <w:noProof/>
          <w:color w:val="000000" w:themeColor="text1"/>
        </w:rPr>
        <w:t>duktów oferowanych na rynkach krajowych,</w:t>
      </w:r>
      <w:r w:rsidR="00C13C75" w:rsidRPr="00853D04">
        <w:rPr>
          <w:noProof/>
          <w:color w:val="000000" w:themeColor="text1"/>
        </w:rPr>
        <w:t xml:space="preserve"> a</w:t>
      </w:r>
      <w:r w:rsidR="00C13C75">
        <w:rPr>
          <w:noProof/>
          <w:color w:val="000000" w:themeColor="text1"/>
        </w:rPr>
        <w:t> </w:t>
      </w:r>
      <w:r w:rsidR="00C13C75" w:rsidRPr="00853D04">
        <w:rPr>
          <w:noProof/>
          <w:color w:val="000000" w:themeColor="text1"/>
        </w:rPr>
        <w:t>tak</w:t>
      </w:r>
      <w:r w:rsidRPr="00853D04">
        <w:rPr>
          <w:noProof/>
          <w:color w:val="000000" w:themeColor="text1"/>
        </w:rPr>
        <w:t>że zwiększy się współpraca</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kon</w:t>
      </w:r>
      <w:r w:rsidRPr="00853D04">
        <w:rPr>
          <w:noProof/>
          <w:color w:val="000000" w:themeColor="text1"/>
        </w:rPr>
        <w:t>kurencja. Będzie to sprzyjać innowacyjności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jak</w:t>
      </w:r>
      <w:r w:rsidRPr="00853D04">
        <w:rPr>
          <w:noProof/>
          <w:color w:val="000000" w:themeColor="text1"/>
        </w:rPr>
        <w:t>ości cen usług</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tow</w:t>
      </w:r>
      <w:r w:rsidRPr="00853D04">
        <w:rPr>
          <w:noProof/>
          <w:color w:val="000000" w:themeColor="text1"/>
        </w:rPr>
        <w:t>arów.</w:t>
      </w:r>
    </w:p>
    <w:p w14:paraId="0E202E1E" w14:textId="46A9B25E" w:rsidR="00215691" w:rsidRPr="00853D04" w:rsidRDefault="00215691" w:rsidP="00667328">
      <w:pPr>
        <w:rPr>
          <w:noProof/>
        </w:rPr>
      </w:pPr>
      <w:r w:rsidRPr="00853D04">
        <w:rPr>
          <w:noProof/>
          <w:color w:val="000000" w:themeColor="text1"/>
        </w:rPr>
        <w:t>Wreszcie inicjatywa przyczynia się do osiągnięcia celów zrównoważonego rozwoju</w:t>
      </w:r>
      <w:r w:rsidRPr="00853D04">
        <w:rPr>
          <w:noProof/>
        </w:rPr>
        <w:t>,</w:t>
      </w:r>
      <w:r w:rsidR="00C13C75" w:rsidRPr="00853D04">
        <w:rPr>
          <w:noProof/>
        </w:rPr>
        <w:t xml:space="preserve"> a</w:t>
      </w:r>
      <w:r w:rsidR="00C13C75">
        <w:rPr>
          <w:noProof/>
        </w:rPr>
        <w:t> </w:t>
      </w:r>
      <w:r w:rsidR="00C13C75" w:rsidRPr="00853D04">
        <w:rPr>
          <w:noProof/>
        </w:rPr>
        <w:t>w</w:t>
      </w:r>
      <w:r w:rsidR="00C13C75">
        <w:rPr>
          <w:noProof/>
        </w:rPr>
        <w:t> </w:t>
      </w:r>
      <w:r w:rsidR="00C13C75" w:rsidRPr="00853D04">
        <w:rPr>
          <w:noProof/>
        </w:rPr>
        <w:t>szc</w:t>
      </w:r>
      <w:r w:rsidRPr="00853D04">
        <w:rPr>
          <w:noProof/>
        </w:rPr>
        <w:t>zególności wspiera cel zrównoważonego rozwoju 8 (</w:t>
      </w:r>
      <w:hyperlink r:id="rId16" w:history="1">
        <w:r w:rsidRPr="00853D04">
          <w:rPr>
            <w:noProof/>
          </w:rPr>
          <w:t>Promować stabilny, zrównoważony</w:t>
        </w:r>
        <w:r w:rsidR="00C13C75" w:rsidRPr="00853D04">
          <w:rPr>
            <w:noProof/>
          </w:rPr>
          <w:t xml:space="preserve"> i</w:t>
        </w:r>
        <w:r w:rsidR="00C13C75">
          <w:rPr>
            <w:noProof/>
          </w:rPr>
          <w:t> </w:t>
        </w:r>
        <w:r w:rsidR="00C13C75" w:rsidRPr="00853D04">
          <w:rPr>
            <w:noProof/>
          </w:rPr>
          <w:t>ink</w:t>
        </w:r>
        <w:r w:rsidRPr="00853D04">
          <w:rPr>
            <w:noProof/>
          </w:rPr>
          <w:t>luzywny wzrost gospodarczy, pełne</w:t>
        </w:r>
        <w:r w:rsidR="00C13C75" w:rsidRPr="00853D04">
          <w:rPr>
            <w:noProof/>
          </w:rPr>
          <w:t xml:space="preserve"> i</w:t>
        </w:r>
        <w:r w:rsidR="00C13C75">
          <w:rPr>
            <w:noProof/>
          </w:rPr>
          <w:t> </w:t>
        </w:r>
        <w:r w:rsidR="00C13C75" w:rsidRPr="00853D04">
          <w:rPr>
            <w:noProof/>
          </w:rPr>
          <w:t>pro</w:t>
        </w:r>
        <w:r w:rsidRPr="00853D04">
          <w:rPr>
            <w:noProof/>
          </w:rPr>
          <w:t>duktywne zatrudnienie oraz godną pracę dla wszystkich ludzi</w:t>
        </w:r>
      </w:hyperlink>
      <w:r w:rsidRPr="00853D04">
        <w:rPr>
          <w:noProof/>
        </w:rPr>
        <w:t>) dzięki promowaniu tworzenia miejsc pracy oraz poprawie dostępu do możliwości gospodarczych, który jest równy</w:t>
      </w:r>
      <w:r w:rsidR="00C13C75" w:rsidRPr="00853D04">
        <w:rPr>
          <w:noProof/>
        </w:rPr>
        <w:t xml:space="preserve"> i</w:t>
      </w:r>
      <w:r w:rsidR="00C13C75">
        <w:rPr>
          <w:noProof/>
        </w:rPr>
        <w:t> </w:t>
      </w:r>
      <w:r w:rsidR="00C13C75" w:rsidRPr="00853D04">
        <w:rPr>
          <w:noProof/>
        </w:rPr>
        <w:t>spr</w:t>
      </w:r>
      <w:r w:rsidRPr="00853D04">
        <w:rPr>
          <w:noProof/>
        </w:rPr>
        <w:t>zyja włączeniu społecznemu. Przyczynia się ponadto do osiągnięcia celu zrównoważonego rozwoju 16 (</w:t>
      </w:r>
      <w:hyperlink r:id="rId17" w:history="1">
        <w:r w:rsidRPr="00853D04">
          <w:rPr>
            <w:noProof/>
          </w:rPr>
          <w:t>Pokój, sprawiedliwość</w:t>
        </w:r>
        <w:r w:rsidR="00C13C75" w:rsidRPr="00853D04">
          <w:rPr>
            <w:noProof/>
          </w:rPr>
          <w:t xml:space="preserve"> i</w:t>
        </w:r>
        <w:r w:rsidR="00C13C75">
          <w:rPr>
            <w:noProof/>
          </w:rPr>
          <w:t> </w:t>
        </w:r>
        <w:r w:rsidR="00C13C75" w:rsidRPr="00853D04">
          <w:rPr>
            <w:noProof/>
          </w:rPr>
          <w:t>sil</w:t>
        </w:r>
        <w:r w:rsidRPr="00853D04">
          <w:rPr>
            <w:noProof/>
          </w:rPr>
          <w:t>ne instytucje</w:t>
        </w:r>
      </w:hyperlink>
      <w:r w:rsidRPr="00853D04">
        <w:rPr>
          <w:noProof/>
        </w:rPr>
        <w:t>), wzmacniając społeczeństwo obywatelskie dzięki ochronie stowarzyszeń</w:t>
      </w:r>
      <w:r w:rsidR="00C13C75" w:rsidRPr="00853D04">
        <w:rPr>
          <w:noProof/>
        </w:rPr>
        <w:t xml:space="preserve"> i</w:t>
      </w:r>
      <w:r w:rsidR="00C13C75">
        <w:rPr>
          <w:noProof/>
        </w:rPr>
        <w:t> </w:t>
      </w:r>
      <w:r w:rsidR="00C13C75" w:rsidRPr="00853D04">
        <w:rPr>
          <w:noProof/>
        </w:rPr>
        <w:t>inn</w:t>
      </w:r>
      <w:r w:rsidRPr="00853D04">
        <w:rPr>
          <w:noProof/>
        </w:rPr>
        <w:t xml:space="preserve">ych podmiotów. </w:t>
      </w:r>
    </w:p>
    <w:p w14:paraId="0395F784" w14:textId="77777777" w:rsidR="00215691" w:rsidRPr="00853D04" w:rsidRDefault="00215691" w:rsidP="00667328">
      <w:pPr>
        <w:pStyle w:val="ManualHeading2"/>
        <w:rPr>
          <w:noProof/>
          <w:bdr w:val="nil"/>
        </w:rPr>
      </w:pPr>
      <w:r w:rsidRPr="00853D04">
        <w:rPr>
          <w:noProof/>
          <w:bdr w:val="nil"/>
        </w:rPr>
        <w:t>•</w:t>
      </w:r>
      <w:r w:rsidRPr="00853D04">
        <w:rPr>
          <w:noProof/>
        </w:rPr>
        <w:tab/>
      </w:r>
      <w:r w:rsidRPr="00853D04">
        <w:rPr>
          <w:noProof/>
          <w:bdr w:val="nil"/>
        </w:rPr>
        <w:t>Prawa podstawowe</w:t>
      </w:r>
    </w:p>
    <w:p w14:paraId="2B45226D" w14:textId="337D12AC" w:rsidR="00215691" w:rsidRPr="00853D04" w:rsidRDefault="00215691" w:rsidP="00667328">
      <w:pPr>
        <w:rPr>
          <w:noProof/>
        </w:rPr>
      </w:pPr>
      <w:r w:rsidRPr="00853D04">
        <w:rPr>
          <w:noProof/>
        </w:rPr>
        <w:t>Chociaż wniosek koncentruje się na funkcjonowaniu rynku wewnętrznego stowarzyszeń niekomercyjnych prowadzących działalność transgraniczną, będzie miał również pozytywny wpływ na ochronę</w:t>
      </w:r>
      <w:r w:rsidR="00C13C75" w:rsidRPr="00853D04">
        <w:rPr>
          <w:noProof/>
        </w:rPr>
        <w:t xml:space="preserve"> i</w:t>
      </w:r>
      <w:r w:rsidR="00C13C75">
        <w:rPr>
          <w:noProof/>
        </w:rPr>
        <w:t> </w:t>
      </w:r>
      <w:r w:rsidR="00C13C75" w:rsidRPr="00853D04">
        <w:rPr>
          <w:noProof/>
        </w:rPr>
        <w:t>pro</w:t>
      </w:r>
      <w:r w:rsidRPr="00853D04">
        <w:rPr>
          <w:noProof/>
        </w:rPr>
        <w:t>pagowanie praw podstawowych. Na przykład poprawa warunków działania stowarzyszeń niekomercyjnych na rynku wewnętrznym przyczyni się do poprawy korzystania</w:t>
      </w:r>
      <w:r w:rsidR="00C13C75" w:rsidRPr="00853D04">
        <w:rPr>
          <w:noProof/>
        </w:rPr>
        <w:t xml:space="preserve"> z</w:t>
      </w:r>
      <w:r w:rsidR="00C13C75">
        <w:rPr>
          <w:noProof/>
        </w:rPr>
        <w:t> </w:t>
      </w:r>
      <w:r w:rsidR="00C13C75" w:rsidRPr="00853D04">
        <w:rPr>
          <w:noProof/>
        </w:rPr>
        <w:t>wol</w:t>
      </w:r>
      <w:r w:rsidRPr="00853D04">
        <w:rPr>
          <w:noProof/>
        </w:rPr>
        <w:t>ności wypowiedzi</w:t>
      </w:r>
      <w:r w:rsidR="00C13C75" w:rsidRPr="00853D04">
        <w:rPr>
          <w:noProof/>
        </w:rPr>
        <w:t xml:space="preserve"> i</w:t>
      </w:r>
      <w:r w:rsidR="00C13C75">
        <w:rPr>
          <w:noProof/>
        </w:rPr>
        <w:t> </w:t>
      </w:r>
      <w:r w:rsidR="00C13C75" w:rsidRPr="00853D04">
        <w:rPr>
          <w:noProof/>
        </w:rPr>
        <w:t>inf</w:t>
      </w:r>
      <w:r w:rsidRPr="00853D04">
        <w:rPr>
          <w:noProof/>
        </w:rPr>
        <w:t>ormacji (</w:t>
      </w:r>
      <w:r w:rsidRPr="00C13C75">
        <w:rPr>
          <w:noProof/>
        </w:rPr>
        <w:t>art.</w:t>
      </w:r>
      <w:r w:rsidR="00C13C75" w:rsidRPr="00C13C75">
        <w:rPr>
          <w:noProof/>
        </w:rPr>
        <w:t> </w:t>
      </w:r>
      <w:r w:rsidRPr="00C13C75">
        <w:rPr>
          <w:noProof/>
        </w:rPr>
        <w:t>1</w:t>
      </w:r>
      <w:r w:rsidRPr="00853D04">
        <w:rPr>
          <w:noProof/>
        </w:rPr>
        <w:t>1 Karty) oraz wolności zgromadzania się</w:t>
      </w:r>
      <w:r w:rsidR="00C13C75" w:rsidRPr="00853D04">
        <w:rPr>
          <w:noProof/>
        </w:rPr>
        <w:t xml:space="preserve"> i</w:t>
      </w:r>
      <w:r w:rsidR="00C13C75">
        <w:rPr>
          <w:noProof/>
        </w:rPr>
        <w:t> </w:t>
      </w:r>
      <w:r w:rsidR="00C13C75" w:rsidRPr="00853D04">
        <w:rPr>
          <w:noProof/>
        </w:rPr>
        <w:t>sto</w:t>
      </w:r>
      <w:r w:rsidRPr="00853D04">
        <w:rPr>
          <w:noProof/>
        </w:rPr>
        <w:t>warzyszania się (</w:t>
      </w:r>
      <w:r w:rsidRPr="00C13C75">
        <w:rPr>
          <w:noProof/>
        </w:rPr>
        <w:t>art.</w:t>
      </w:r>
      <w:r w:rsidR="00C13C75" w:rsidRPr="00C13C75">
        <w:rPr>
          <w:noProof/>
        </w:rPr>
        <w:t> </w:t>
      </w:r>
      <w:r w:rsidRPr="00C13C75">
        <w:rPr>
          <w:noProof/>
        </w:rPr>
        <w:t>1</w:t>
      </w:r>
      <w:r w:rsidRPr="00853D04">
        <w:rPr>
          <w:noProof/>
        </w:rPr>
        <w:t>2 Karty) w UE</w:t>
      </w:r>
      <w:r w:rsidR="00C13C75" w:rsidRPr="00853D04">
        <w:rPr>
          <w:noProof/>
        </w:rPr>
        <w:t>. W</w:t>
      </w:r>
      <w:r w:rsidR="00C13C75">
        <w:rPr>
          <w:noProof/>
        </w:rPr>
        <w:t> </w:t>
      </w:r>
      <w:r w:rsidR="00C13C75" w:rsidRPr="00853D04">
        <w:rPr>
          <w:noProof/>
        </w:rPr>
        <w:t>rze</w:t>
      </w:r>
      <w:r w:rsidRPr="00853D04">
        <w:rPr>
          <w:noProof/>
        </w:rPr>
        <w:t>czywistości pozwoli to stowarzyszeniom niekomercyjnym</w:t>
      </w:r>
      <w:r w:rsidR="00C13C75" w:rsidRPr="00853D04">
        <w:rPr>
          <w:noProof/>
        </w:rPr>
        <w:t xml:space="preserve"> o</w:t>
      </w:r>
      <w:r w:rsidR="00C13C75">
        <w:rPr>
          <w:noProof/>
        </w:rPr>
        <w:t> </w:t>
      </w:r>
      <w:r w:rsidR="00C13C75" w:rsidRPr="00853D04">
        <w:rPr>
          <w:noProof/>
        </w:rPr>
        <w:t>amb</w:t>
      </w:r>
      <w:r w:rsidRPr="00853D04">
        <w:rPr>
          <w:noProof/>
        </w:rPr>
        <w:t>icjach transgranicznych na skuteczną ekspansję, co przyczyni się również do korzystania</w:t>
      </w:r>
      <w:r w:rsidR="00C13C75" w:rsidRPr="00853D04">
        <w:rPr>
          <w:noProof/>
        </w:rPr>
        <w:t xml:space="preserve"> z</w:t>
      </w:r>
      <w:r w:rsidR="00C13C75">
        <w:rPr>
          <w:noProof/>
        </w:rPr>
        <w:t> </w:t>
      </w:r>
      <w:r w:rsidR="00C13C75" w:rsidRPr="00853D04">
        <w:rPr>
          <w:noProof/>
        </w:rPr>
        <w:t>pra</w:t>
      </w:r>
      <w:r w:rsidRPr="00853D04">
        <w:rPr>
          <w:noProof/>
        </w:rPr>
        <w:t>w podstawowych,</w:t>
      </w:r>
      <w:r w:rsidR="00C13C75" w:rsidRPr="00853D04">
        <w:rPr>
          <w:noProof/>
        </w:rPr>
        <w:t xml:space="preserve"> z</w:t>
      </w:r>
      <w:r w:rsidR="00C13C75">
        <w:rPr>
          <w:noProof/>
        </w:rPr>
        <w:t> </w:t>
      </w:r>
      <w:r w:rsidR="00C13C75" w:rsidRPr="00853D04">
        <w:rPr>
          <w:noProof/>
        </w:rPr>
        <w:t>któ</w:t>
      </w:r>
      <w:r w:rsidRPr="00853D04">
        <w:rPr>
          <w:noProof/>
        </w:rPr>
        <w:t>rymi te stowarzyszenia wiążą się</w:t>
      </w:r>
      <w:r w:rsidR="00C13C75" w:rsidRPr="00853D04">
        <w:rPr>
          <w:noProof/>
        </w:rPr>
        <w:t xml:space="preserve"> w</w:t>
      </w:r>
      <w:r w:rsidR="00C13C75">
        <w:rPr>
          <w:noProof/>
        </w:rPr>
        <w:t> </w:t>
      </w:r>
      <w:r w:rsidR="00C13C75" w:rsidRPr="00853D04">
        <w:rPr>
          <w:noProof/>
        </w:rPr>
        <w:t>sze</w:t>
      </w:r>
      <w:r w:rsidRPr="00853D04">
        <w:rPr>
          <w:noProof/>
        </w:rPr>
        <w:t>rszym zakresie, dzięki wykorzystaniu bardziej zharmonizowanych ram prawnych, które nie pomijają specyfiki krajowej.</w:t>
      </w:r>
    </w:p>
    <w:p w14:paraId="16466E2A" w14:textId="2074BF70" w:rsidR="00215691" w:rsidRPr="00C13C75" w:rsidRDefault="00215691" w:rsidP="00667328">
      <w:pPr>
        <w:rPr>
          <w:noProof/>
        </w:rPr>
      </w:pPr>
      <w:r w:rsidRPr="00853D04">
        <w:rPr>
          <w:noProof/>
        </w:rPr>
        <w:t>Z tego punktu widzenia niniejsza inicjatywa będzie miała pozytywny wpływ na umocnienie społeczeństwa obywatelskiego w UE</w:t>
      </w:r>
      <w:r w:rsidR="00C13C75" w:rsidRPr="00853D04">
        <w:rPr>
          <w:noProof/>
        </w:rPr>
        <w:t xml:space="preserve"> i</w:t>
      </w:r>
      <w:r w:rsidR="00C13C75">
        <w:rPr>
          <w:noProof/>
        </w:rPr>
        <w:t> </w:t>
      </w:r>
      <w:r w:rsidR="00C13C75" w:rsidRPr="00853D04">
        <w:rPr>
          <w:noProof/>
        </w:rPr>
        <w:t>zła</w:t>
      </w:r>
      <w:r w:rsidRPr="00853D04">
        <w:rPr>
          <w:noProof/>
        </w:rPr>
        <w:t>godzenie ogólnej tendencji do kurczenia się przestrzeni społeczeństwa obywatelskiego obserwowanej</w:t>
      </w:r>
      <w:r w:rsidR="00C13C75" w:rsidRPr="00853D04">
        <w:rPr>
          <w:noProof/>
        </w:rPr>
        <w:t xml:space="preserve"> w</w:t>
      </w:r>
      <w:r w:rsidR="00C13C75">
        <w:rPr>
          <w:noProof/>
        </w:rPr>
        <w:t> </w:t>
      </w:r>
      <w:r w:rsidR="00C13C75" w:rsidRPr="00853D04">
        <w:rPr>
          <w:noProof/>
        </w:rPr>
        <w:t>Eur</w:t>
      </w:r>
      <w:r w:rsidRPr="00853D04">
        <w:rPr>
          <w:noProof/>
        </w:rPr>
        <w:t>opie dzięki ułatwieniu transgranicznej działalności</w:t>
      </w:r>
      <w:r w:rsidR="00C13C75" w:rsidRPr="00853D04">
        <w:rPr>
          <w:noProof/>
        </w:rPr>
        <w:t xml:space="preserve"> i</w:t>
      </w:r>
      <w:r w:rsidR="00C13C75">
        <w:rPr>
          <w:noProof/>
        </w:rPr>
        <w:t> </w:t>
      </w:r>
      <w:r w:rsidR="00C13C75" w:rsidRPr="00853D04">
        <w:rPr>
          <w:noProof/>
        </w:rPr>
        <w:t>mob</w:t>
      </w:r>
      <w:r w:rsidRPr="00853D04">
        <w:rPr>
          <w:noProof/>
        </w:rPr>
        <w:t>ilności stowarzyszeń niekomercyjnych oraz umożliwieniu im mobilizowania członków, wolontariuszy</w:t>
      </w:r>
      <w:r w:rsidR="00C13C75" w:rsidRPr="00853D04">
        <w:rPr>
          <w:noProof/>
        </w:rPr>
        <w:t xml:space="preserve"> i</w:t>
      </w:r>
      <w:r w:rsidR="00C13C75">
        <w:rPr>
          <w:noProof/>
        </w:rPr>
        <w:t> </w:t>
      </w:r>
      <w:r w:rsidR="00C13C75" w:rsidRPr="00853D04">
        <w:rPr>
          <w:noProof/>
        </w:rPr>
        <w:t>gru</w:t>
      </w:r>
      <w:r w:rsidRPr="00853D04">
        <w:rPr>
          <w:noProof/>
        </w:rPr>
        <w:t>p interesu działających na rynku wewnętrznym. Inicjatywa ta ułatwiłaby stowarzyszeniom niekomercyjnym angażowanie się</w:t>
      </w:r>
      <w:r w:rsidR="00C13C75" w:rsidRPr="00853D04">
        <w:rPr>
          <w:noProof/>
        </w:rPr>
        <w:t xml:space="preserve"> w</w:t>
      </w:r>
      <w:r w:rsidR="00C13C75">
        <w:rPr>
          <w:noProof/>
        </w:rPr>
        <w:t> </w:t>
      </w:r>
      <w:r w:rsidR="00C13C75" w:rsidRPr="00853D04">
        <w:rPr>
          <w:noProof/>
        </w:rPr>
        <w:t>dzi</w:t>
      </w:r>
      <w:r w:rsidRPr="00853D04">
        <w:rPr>
          <w:noProof/>
        </w:rPr>
        <w:t>ałania</w:t>
      </w:r>
      <w:r w:rsidR="00C13C75" w:rsidRPr="00853D04">
        <w:rPr>
          <w:noProof/>
        </w:rPr>
        <w:t xml:space="preserve"> w</w:t>
      </w:r>
      <w:r w:rsidR="00C13C75">
        <w:rPr>
          <w:noProof/>
        </w:rPr>
        <w:t> </w:t>
      </w:r>
      <w:r w:rsidR="00C13C75" w:rsidRPr="00853D04">
        <w:rPr>
          <w:noProof/>
        </w:rPr>
        <w:t>pań</w:t>
      </w:r>
      <w:r w:rsidRPr="00853D04">
        <w:rPr>
          <w:noProof/>
        </w:rPr>
        <w:t>stwach członkowskich</w:t>
      </w:r>
      <w:r w:rsidR="00C13C75" w:rsidRPr="00853D04">
        <w:rPr>
          <w:noProof/>
        </w:rPr>
        <w:t xml:space="preserve"> i</w:t>
      </w:r>
      <w:r w:rsidR="00C13C75">
        <w:rPr>
          <w:noProof/>
        </w:rPr>
        <w:t> </w:t>
      </w:r>
      <w:r w:rsidR="00C13C75" w:rsidRPr="00853D04">
        <w:rPr>
          <w:noProof/>
        </w:rPr>
        <w:t>umo</w:t>
      </w:r>
      <w:r w:rsidRPr="00853D04">
        <w:rPr>
          <w:noProof/>
        </w:rPr>
        <w:t>żliwiłaby im, po pierwsze, uwolnienie ich potencjału gospodarczego, a po drugie, obniżenie progu udziału obywateli</w:t>
      </w:r>
      <w:r w:rsidR="00C13C75" w:rsidRPr="00853D04">
        <w:rPr>
          <w:noProof/>
        </w:rPr>
        <w:t xml:space="preserve"> w</w:t>
      </w:r>
      <w:r w:rsidR="00C13C75">
        <w:rPr>
          <w:noProof/>
        </w:rPr>
        <w:t> </w:t>
      </w:r>
      <w:r w:rsidR="00C13C75" w:rsidRPr="00853D04">
        <w:rPr>
          <w:noProof/>
        </w:rPr>
        <w:t>sto</w:t>
      </w:r>
      <w:r w:rsidRPr="00853D04">
        <w:rPr>
          <w:noProof/>
        </w:rPr>
        <w:t>warzyszeniach niekomercyjnych</w:t>
      </w:r>
      <w:r w:rsidR="00C13C75" w:rsidRPr="00853D04">
        <w:rPr>
          <w:noProof/>
        </w:rPr>
        <w:t xml:space="preserve"> w</w:t>
      </w:r>
      <w:r w:rsidR="00C13C75">
        <w:rPr>
          <w:noProof/>
        </w:rPr>
        <w:t> </w:t>
      </w:r>
      <w:r w:rsidR="00C13C75" w:rsidRPr="00853D04">
        <w:rPr>
          <w:noProof/>
        </w:rPr>
        <w:t>cał</w:t>
      </w:r>
      <w:r w:rsidRPr="00853D04">
        <w:rPr>
          <w:noProof/>
        </w:rPr>
        <w:t>ej Unii (jak wskazano</w:t>
      </w:r>
      <w:r w:rsidR="00C13C75" w:rsidRPr="00853D04">
        <w:rPr>
          <w:noProof/>
        </w:rPr>
        <w:t xml:space="preserve"> w</w:t>
      </w:r>
      <w:r w:rsidR="00C13C75">
        <w:rPr>
          <w:noProof/>
        </w:rPr>
        <w:t> </w:t>
      </w:r>
      <w:r w:rsidR="00C13C75" w:rsidRPr="00853D04">
        <w:rPr>
          <w:noProof/>
        </w:rPr>
        <w:t>sek</w:t>
      </w:r>
      <w:r w:rsidRPr="00853D04">
        <w:rPr>
          <w:noProof/>
        </w:rPr>
        <w:t>cji 4 sprawozdania</w:t>
      </w:r>
      <w:r w:rsidR="00C13C75" w:rsidRPr="00853D04">
        <w:rPr>
          <w:noProof/>
        </w:rPr>
        <w:t xml:space="preserve"> z</w:t>
      </w:r>
      <w:r w:rsidR="00C13C75">
        <w:rPr>
          <w:noProof/>
        </w:rPr>
        <w:t> </w:t>
      </w:r>
      <w:r w:rsidR="00C13C75" w:rsidRPr="00853D04">
        <w:rPr>
          <w:noProof/>
        </w:rPr>
        <w:t>oce</w:t>
      </w:r>
      <w:r w:rsidRPr="00853D04">
        <w:rPr>
          <w:noProof/>
        </w:rPr>
        <w:t>ny skutków dotyczącej celów ogólnych). Ostatecznie inicjatywa będzie miała pośredni pozytywny wpływ na przestrzeń demokratyczną UE</w:t>
      </w:r>
      <w:r w:rsidRPr="00C13C75">
        <w:rPr>
          <w:noProof/>
        </w:rPr>
        <w:t>.</w:t>
      </w:r>
      <w:r w:rsidR="00C13C75" w:rsidRPr="00C13C75">
        <w:rPr>
          <w:noProof/>
        </w:rPr>
        <w:t xml:space="preserve"> </w:t>
      </w:r>
    </w:p>
    <w:p w14:paraId="26FD0E70" w14:textId="77777777" w:rsidR="00215691" w:rsidRPr="00853D04" w:rsidRDefault="00215691" w:rsidP="00667328">
      <w:pPr>
        <w:pStyle w:val="ManualHeading1"/>
        <w:rPr>
          <w:noProof/>
        </w:rPr>
      </w:pPr>
      <w:r w:rsidRPr="00853D04">
        <w:rPr>
          <w:noProof/>
        </w:rPr>
        <w:t>4.</w:t>
      </w:r>
      <w:r w:rsidRPr="00853D04">
        <w:rPr>
          <w:noProof/>
        </w:rPr>
        <w:tab/>
        <w:t xml:space="preserve">WPŁYW NA BUDŻET </w:t>
      </w:r>
    </w:p>
    <w:p w14:paraId="551F959C" w14:textId="214B7427" w:rsidR="00215691" w:rsidRPr="00853D04" w:rsidRDefault="00215691" w:rsidP="00667328">
      <w:pPr>
        <w:rPr>
          <w:noProof/>
        </w:rPr>
      </w:pPr>
      <w:r w:rsidRPr="00853D04">
        <w:rPr>
          <w:noProof/>
        </w:rPr>
        <w:t>W ocenie skutków finansowych regulacji załączonej do niniejszego wniosku określono wpływ na zasoby budżetowe, ludzkie</w:t>
      </w:r>
      <w:r w:rsidR="00C13C75" w:rsidRPr="00853D04">
        <w:rPr>
          <w:noProof/>
        </w:rPr>
        <w:t xml:space="preserve"> i</w:t>
      </w:r>
      <w:r w:rsidR="00C13C75">
        <w:rPr>
          <w:noProof/>
        </w:rPr>
        <w:t> </w:t>
      </w:r>
      <w:r w:rsidR="00C13C75" w:rsidRPr="00853D04">
        <w:rPr>
          <w:noProof/>
        </w:rPr>
        <w:t>adm</w:t>
      </w:r>
      <w:r w:rsidRPr="00853D04">
        <w:rPr>
          <w:noProof/>
        </w:rPr>
        <w:t xml:space="preserve">inistracyjne. </w:t>
      </w:r>
    </w:p>
    <w:p w14:paraId="37BB60FB" w14:textId="77777777" w:rsidR="00BE7E05" w:rsidRPr="00853D04" w:rsidRDefault="00BE7E05">
      <w:pPr>
        <w:pStyle w:val="ManualHeading1"/>
        <w:rPr>
          <w:noProof/>
        </w:rPr>
      </w:pPr>
      <w:r w:rsidRPr="00853D04">
        <w:rPr>
          <w:noProof/>
        </w:rPr>
        <w:t>5.</w:t>
      </w:r>
      <w:r w:rsidRPr="00853D04">
        <w:rPr>
          <w:noProof/>
        </w:rPr>
        <w:tab/>
        <w:t>ELEMENTY FAKULTATYWNE</w:t>
      </w:r>
    </w:p>
    <w:p w14:paraId="2A8458D3" w14:textId="59184345" w:rsidR="00BE7E05" w:rsidRPr="00853D04" w:rsidRDefault="00BE7E05">
      <w:pPr>
        <w:pStyle w:val="ManualHeading2"/>
        <w:rPr>
          <w:noProof/>
          <w:bdr w:val="nil"/>
        </w:rPr>
      </w:pPr>
      <w:r w:rsidRPr="00853D04">
        <w:rPr>
          <w:noProof/>
          <w:bdr w:val="nil"/>
        </w:rPr>
        <w:t>•</w:t>
      </w:r>
      <w:r w:rsidRPr="00853D04">
        <w:rPr>
          <w:noProof/>
        </w:rPr>
        <w:tab/>
      </w:r>
      <w:r w:rsidRPr="00853D04">
        <w:rPr>
          <w:noProof/>
          <w:bdr w:val="nil"/>
        </w:rPr>
        <w:t>Plany wdrożenia</w:t>
      </w:r>
      <w:r w:rsidR="00C13C75" w:rsidRPr="00853D04">
        <w:rPr>
          <w:noProof/>
          <w:bdr w:val="nil"/>
        </w:rPr>
        <w:t xml:space="preserve"> i</w:t>
      </w:r>
      <w:r w:rsidR="00C13C75">
        <w:rPr>
          <w:noProof/>
          <w:bdr w:val="nil"/>
        </w:rPr>
        <w:t> </w:t>
      </w:r>
      <w:r w:rsidR="00C13C75" w:rsidRPr="00853D04">
        <w:rPr>
          <w:noProof/>
          <w:bdr w:val="nil"/>
        </w:rPr>
        <w:t>mon</w:t>
      </w:r>
      <w:r w:rsidRPr="00853D04">
        <w:rPr>
          <w:noProof/>
          <w:bdr w:val="nil"/>
        </w:rPr>
        <w:t>itorowanie, ocena</w:t>
      </w:r>
      <w:r w:rsidR="00C13C75" w:rsidRPr="00853D04">
        <w:rPr>
          <w:noProof/>
          <w:bdr w:val="nil"/>
        </w:rPr>
        <w:t xml:space="preserve"> i</w:t>
      </w:r>
      <w:r w:rsidR="00C13C75">
        <w:rPr>
          <w:noProof/>
          <w:bdr w:val="nil"/>
        </w:rPr>
        <w:t> </w:t>
      </w:r>
      <w:r w:rsidR="00C13C75" w:rsidRPr="00853D04">
        <w:rPr>
          <w:noProof/>
          <w:bdr w:val="nil"/>
        </w:rPr>
        <w:t>spr</w:t>
      </w:r>
      <w:r w:rsidRPr="00853D04">
        <w:rPr>
          <w:noProof/>
          <w:bdr w:val="nil"/>
        </w:rPr>
        <w:t xml:space="preserve">awozdania </w:t>
      </w:r>
    </w:p>
    <w:p w14:paraId="4E103BF6" w14:textId="31433D9E" w:rsidR="00215691" w:rsidRPr="00853D04" w:rsidRDefault="00121D20" w:rsidP="00667328">
      <w:pPr>
        <w:rPr>
          <w:rFonts w:eastAsiaTheme="minorEastAsia"/>
          <w:noProof/>
        </w:rPr>
      </w:pPr>
      <w:r w:rsidRPr="00853D04">
        <w:rPr>
          <w:noProof/>
        </w:rPr>
        <w:t>Komisja będzie monitorować wdrożenie dyrektywy i co siedem lat składać sprawozdania Radzie</w:t>
      </w:r>
      <w:r w:rsidR="00C13C75" w:rsidRPr="00853D04">
        <w:rPr>
          <w:noProof/>
        </w:rPr>
        <w:t xml:space="preserve"> i</w:t>
      </w:r>
      <w:r w:rsidR="00C13C75">
        <w:rPr>
          <w:noProof/>
        </w:rPr>
        <w:t> </w:t>
      </w:r>
      <w:r w:rsidR="00C13C75" w:rsidRPr="00853D04">
        <w:rPr>
          <w:noProof/>
        </w:rPr>
        <w:t>Par</w:t>
      </w:r>
      <w:r w:rsidRPr="00853D04">
        <w:rPr>
          <w:noProof/>
        </w:rPr>
        <w:t>lamentowi Europejskiemu. Do celów monitorowania</w:t>
      </w:r>
      <w:r w:rsidR="00C13C75" w:rsidRPr="00853D04">
        <w:rPr>
          <w:noProof/>
        </w:rPr>
        <w:t xml:space="preserve"> i</w:t>
      </w:r>
      <w:r w:rsidR="00C13C75">
        <w:rPr>
          <w:noProof/>
        </w:rPr>
        <w:t> </w:t>
      </w:r>
      <w:r w:rsidR="00C13C75" w:rsidRPr="00853D04">
        <w:rPr>
          <w:noProof/>
        </w:rPr>
        <w:t>spr</w:t>
      </w:r>
      <w:r w:rsidRPr="00853D04">
        <w:rPr>
          <w:noProof/>
        </w:rPr>
        <w:t>awozdawczości Komisja dążyć będzie do uzyskania od kluczowych zainteresowanych stron informacji zwrotnych</w:t>
      </w:r>
      <w:r w:rsidR="00C13C75" w:rsidRPr="00853D04">
        <w:rPr>
          <w:noProof/>
        </w:rPr>
        <w:t xml:space="preserve"> w</w:t>
      </w:r>
      <w:r w:rsidR="00C13C75">
        <w:rPr>
          <w:noProof/>
        </w:rPr>
        <w:t> </w:t>
      </w:r>
      <w:r w:rsidR="00C13C75" w:rsidRPr="00853D04">
        <w:rPr>
          <w:noProof/>
        </w:rPr>
        <w:t>spr</w:t>
      </w:r>
      <w:r w:rsidRPr="00853D04">
        <w:rPr>
          <w:noProof/>
        </w:rPr>
        <w:t>awie wpływu wniosku,</w:t>
      </w:r>
      <w:r w:rsidR="00C13C75" w:rsidRPr="00853D04">
        <w:rPr>
          <w:noProof/>
        </w:rPr>
        <w:t xml:space="preserve"> w</w:t>
      </w:r>
      <w:r w:rsidR="00C13C75">
        <w:rPr>
          <w:noProof/>
        </w:rPr>
        <w:t> </w:t>
      </w:r>
      <w:r w:rsidR="00C13C75" w:rsidRPr="00853D04">
        <w:rPr>
          <w:noProof/>
        </w:rPr>
        <w:t>tym</w:t>
      </w:r>
      <w:r w:rsidRPr="00853D04">
        <w:rPr>
          <w:noProof/>
        </w:rPr>
        <w:t xml:space="preserve"> zalet, wad</w:t>
      </w:r>
      <w:r w:rsidR="00C13C75" w:rsidRPr="00853D04">
        <w:rPr>
          <w:noProof/>
        </w:rPr>
        <w:t xml:space="preserve"> i</w:t>
      </w:r>
      <w:r w:rsidR="00C13C75">
        <w:rPr>
          <w:noProof/>
        </w:rPr>
        <w:t> </w:t>
      </w:r>
      <w:r w:rsidR="00C13C75" w:rsidRPr="00853D04">
        <w:rPr>
          <w:noProof/>
        </w:rPr>
        <w:t>wsz</w:t>
      </w:r>
      <w:r w:rsidRPr="00853D04">
        <w:rPr>
          <w:noProof/>
        </w:rPr>
        <w:t>elkich praktycznych wyzwań związanych</w:t>
      </w:r>
      <w:r w:rsidR="00C13C75" w:rsidRPr="00853D04">
        <w:rPr>
          <w:noProof/>
        </w:rPr>
        <w:t xml:space="preserve"> z</w:t>
      </w:r>
      <w:r w:rsidR="00C13C75">
        <w:rPr>
          <w:noProof/>
        </w:rPr>
        <w:t> </w:t>
      </w:r>
      <w:r w:rsidR="00C13C75" w:rsidRPr="00853D04">
        <w:rPr>
          <w:noProof/>
        </w:rPr>
        <w:t>wdr</w:t>
      </w:r>
      <w:r w:rsidRPr="00853D04">
        <w:rPr>
          <w:noProof/>
        </w:rPr>
        <w:t>ożeniem dla państw członkowskich</w:t>
      </w:r>
      <w:r w:rsidR="00C13C75" w:rsidRPr="00853D04">
        <w:rPr>
          <w:noProof/>
        </w:rPr>
        <w:t xml:space="preserve"> i</w:t>
      </w:r>
      <w:r w:rsidR="00C13C75">
        <w:rPr>
          <w:noProof/>
        </w:rPr>
        <w:t> </w:t>
      </w:r>
      <w:r w:rsidR="00C13C75" w:rsidRPr="00853D04">
        <w:rPr>
          <w:noProof/>
        </w:rPr>
        <w:t>sto</w:t>
      </w:r>
      <w:r w:rsidRPr="00853D04">
        <w:rPr>
          <w:noProof/>
        </w:rPr>
        <w:t xml:space="preserve">warzyszeń niekomercyjnych. Regularne przekazywanie informacji zwrotnych umożliwi również gromadzenie od państw członkowskich danych dotyczących europejskich stowarzyszeń transgranicznych zarejestrowanych na ich terytorium. </w:t>
      </w:r>
    </w:p>
    <w:p w14:paraId="5FD92395" w14:textId="77777777" w:rsidR="00215691" w:rsidRPr="00853D04" w:rsidRDefault="00215691" w:rsidP="00667328">
      <w:pPr>
        <w:pStyle w:val="ManualHeading2"/>
        <w:rPr>
          <w:noProof/>
          <w:bdr w:val="nil"/>
        </w:rPr>
      </w:pPr>
      <w:r w:rsidRPr="00853D04">
        <w:rPr>
          <w:noProof/>
          <w:bdr w:val="nil"/>
        </w:rPr>
        <w:t>•</w:t>
      </w:r>
      <w:r w:rsidRPr="00853D04">
        <w:rPr>
          <w:noProof/>
        </w:rPr>
        <w:tab/>
      </w:r>
      <w:r w:rsidRPr="00853D04">
        <w:rPr>
          <w:noProof/>
          <w:bdr w:val="nil"/>
        </w:rPr>
        <w:t>Dokumenty wyjaśniające (w przypadku dyrektyw)</w:t>
      </w:r>
    </w:p>
    <w:p w14:paraId="2836F574" w14:textId="451F8709" w:rsidR="00215691" w:rsidRPr="00853D04" w:rsidRDefault="00215691" w:rsidP="00667328">
      <w:pPr>
        <w:rPr>
          <w:rFonts w:eastAsiaTheme="minorEastAsia"/>
          <w:noProof/>
        </w:rPr>
      </w:pPr>
      <w:r w:rsidRPr="00853D04">
        <w:rPr>
          <w:noProof/>
        </w:rPr>
        <w:t>Aby zapewnić prawidłowe wdrożenie niniejszego wniosku, niezbędne są dokumenty wyjaśniające związek między jego elementami</w:t>
      </w:r>
      <w:r w:rsidR="00C13C75" w:rsidRPr="00853D04">
        <w:rPr>
          <w:noProof/>
        </w:rPr>
        <w:t xml:space="preserve"> a</w:t>
      </w:r>
      <w:r w:rsidR="00C13C75">
        <w:rPr>
          <w:noProof/>
        </w:rPr>
        <w:t> </w:t>
      </w:r>
      <w:r w:rsidR="00C13C75" w:rsidRPr="00853D04">
        <w:rPr>
          <w:noProof/>
        </w:rPr>
        <w:t>odp</w:t>
      </w:r>
      <w:r w:rsidRPr="00853D04">
        <w:rPr>
          <w:noProof/>
        </w:rPr>
        <w:t>owiednimi częściami krajowych instrumentów transpozycyjnych.</w:t>
      </w:r>
    </w:p>
    <w:p w14:paraId="5F733350" w14:textId="77777777" w:rsidR="00215691" w:rsidRPr="00853D04" w:rsidRDefault="00215691" w:rsidP="00667328">
      <w:pPr>
        <w:pStyle w:val="ManualHeading2"/>
        <w:rPr>
          <w:noProof/>
          <w:bdr w:val="nil"/>
        </w:rPr>
      </w:pPr>
      <w:r w:rsidRPr="00853D04">
        <w:rPr>
          <w:noProof/>
          <w:bdr w:val="nil"/>
        </w:rPr>
        <w:t>•</w:t>
      </w:r>
      <w:r w:rsidRPr="00853D04">
        <w:rPr>
          <w:noProof/>
        </w:rPr>
        <w:tab/>
      </w:r>
      <w:r w:rsidRPr="00853D04">
        <w:rPr>
          <w:noProof/>
          <w:bdr w:val="nil"/>
        </w:rPr>
        <w:t xml:space="preserve">Szczegółowe objaśnienia poszczególnych przepisów wniosku </w:t>
      </w:r>
    </w:p>
    <w:p w14:paraId="61846B89" w14:textId="678E3D44" w:rsidR="009F51A9" w:rsidRPr="00C13C75" w:rsidRDefault="002C485F" w:rsidP="00B5A04E">
      <w:pPr>
        <w:rPr>
          <w:noProof/>
        </w:rPr>
      </w:pPr>
      <w:r w:rsidRPr="00853D04">
        <w:rPr>
          <w:noProof/>
        </w:rPr>
        <w:t>Proponowana dyrektywa ustanawia środki koordynujące warunki zakładania</w:t>
      </w:r>
      <w:r w:rsidR="00C13C75" w:rsidRPr="00853D04">
        <w:rPr>
          <w:noProof/>
        </w:rPr>
        <w:t xml:space="preserve"> i</w:t>
      </w:r>
      <w:r w:rsidR="00C13C75">
        <w:rPr>
          <w:noProof/>
        </w:rPr>
        <w:t> </w:t>
      </w:r>
      <w:r w:rsidR="00C13C75" w:rsidRPr="00853D04">
        <w:rPr>
          <w:noProof/>
        </w:rPr>
        <w:t>pro</w:t>
      </w:r>
      <w:r w:rsidRPr="00853D04">
        <w:rPr>
          <w:noProof/>
        </w:rPr>
        <w:t>wadzenia „europejskich stowarzyszeń transgranicznych”</w:t>
      </w:r>
      <w:r w:rsidR="00C13C75" w:rsidRPr="00853D04">
        <w:rPr>
          <w:noProof/>
        </w:rPr>
        <w:t xml:space="preserve"> w</w:t>
      </w:r>
      <w:r w:rsidR="00C13C75">
        <w:rPr>
          <w:noProof/>
        </w:rPr>
        <w:t> </w:t>
      </w:r>
      <w:r w:rsidR="00C13C75" w:rsidRPr="00853D04">
        <w:rPr>
          <w:noProof/>
        </w:rPr>
        <w:t>cel</w:t>
      </w:r>
      <w:r w:rsidRPr="00853D04">
        <w:rPr>
          <w:noProof/>
        </w:rPr>
        <w:t>u ułatwienia skutecznego korzystania przez stowarzyszenia niekomercyjne</w:t>
      </w:r>
      <w:r w:rsidR="00C13C75" w:rsidRPr="00853D04">
        <w:rPr>
          <w:noProof/>
        </w:rPr>
        <w:t xml:space="preserve"> z</w:t>
      </w:r>
      <w:r w:rsidR="00C13C75">
        <w:rPr>
          <w:noProof/>
        </w:rPr>
        <w:t> </w:t>
      </w:r>
      <w:r w:rsidR="00C13C75" w:rsidRPr="00853D04">
        <w:rPr>
          <w:noProof/>
        </w:rPr>
        <w:t>ich</w:t>
      </w:r>
      <w:r w:rsidRPr="00853D04">
        <w:rPr>
          <w:noProof/>
        </w:rPr>
        <w:t xml:space="preserve"> praw związanych ze swobodą przedsiębiorczości, swobodnym przepływem kapitału, swobodą świadczenia usług</w:t>
      </w:r>
      <w:r w:rsidR="00C13C75" w:rsidRPr="00853D04">
        <w:rPr>
          <w:noProof/>
        </w:rPr>
        <w:t xml:space="preserve"> i</w:t>
      </w:r>
      <w:r w:rsidR="00C13C75">
        <w:rPr>
          <w:noProof/>
        </w:rPr>
        <w:t> </w:t>
      </w:r>
      <w:r w:rsidR="00C13C75" w:rsidRPr="00853D04">
        <w:rPr>
          <w:noProof/>
        </w:rPr>
        <w:t>kor</w:t>
      </w:r>
      <w:r w:rsidRPr="00853D04">
        <w:rPr>
          <w:noProof/>
        </w:rPr>
        <w:t>zystania</w:t>
      </w:r>
      <w:r w:rsidR="00C13C75" w:rsidRPr="00853D04">
        <w:rPr>
          <w:noProof/>
        </w:rPr>
        <w:t xml:space="preserve"> z</w:t>
      </w:r>
      <w:r w:rsidR="00C13C75">
        <w:rPr>
          <w:noProof/>
        </w:rPr>
        <w:t> </w:t>
      </w:r>
      <w:r w:rsidR="00C13C75" w:rsidRPr="00853D04">
        <w:rPr>
          <w:noProof/>
        </w:rPr>
        <w:t>nic</w:t>
      </w:r>
      <w:r w:rsidRPr="00853D04">
        <w:rPr>
          <w:noProof/>
        </w:rPr>
        <w:t>h oraz swobodnym przepływem towarów na rynku wewnętrznym</w:t>
      </w:r>
      <w:r w:rsidRPr="00C13C75">
        <w:rPr>
          <w:noProof/>
        </w:rPr>
        <w:t>.</w:t>
      </w:r>
      <w:r w:rsidR="00C13C75" w:rsidRPr="00C13C75">
        <w:rPr>
          <w:noProof/>
        </w:rPr>
        <w:t xml:space="preserve"> </w:t>
      </w:r>
    </w:p>
    <w:p w14:paraId="301E610E" w14:textId="77777777" w:rsidR="002C485F" w:rsidRPr="00853D04" w:rsidRDefault="0C691876" w:rsidP="002C485F">
      <w:pPr>
        <w:rPr>
          <w:noProof/>
        </w:rPr>
      </w:pPr>
      <w:r w:rsidRPr="00853D04">
        <w:rPr>
          <w:noProof/>
        </w:rPr>
        <w:t>Zawiera ona następujące przepisy:</w:t>
      </w:r>
    </w:p>
    <w:p w14:paraId="187E1A59" w14:textId="1B13B9CF" w:rsidR="0021129C" w:rsidRPr="00853D04" w:rsidRDefault="002C485F" w:rsidP="002C485F">
      <w:pPr>
        <w:rPr>
          <w:noProof/>
        </w:rPr>
      </w:pPr>
      <w:r w:rsidRPr="00853D04">
        <w:rPr>
          <w:noProof/>
        </w:rPr>
        <w:t>Rozdział 1 zawiera, po pierwsze, przepisy ogólne, takie jak przedmiot</w:t>
      </w:r>
      <w:r w:rsidR="00C13C75" w:rsidRPr="00853D04">
        <w:rPr>
          <w:noProof/>
        </w:rPr>
        <w:t xml:space="preserve"> i</w:t>
      </w:r>
      <w:r w:rsidR="00C13C75">
        <w:rPr>
          <w:noProof/>
        </w:rPr>
        <w:t> </w:t>
      </w:r>
      <w:r w:rsidR="00C13C75" w:rsidRPr="00853D04">
        <w:rPr>
          <w:noProof/>
        </w:rPr>
        <w:t>zak</w:t>
      </w:r>
      <w:r w:rsidRPr="00853D04">
        <w:rPr>
          <w:noProof/>
        </w:rPr>
        <w:t>res stosowania (</w:t>
      </w:r>
      <w:r w:rsidRPr="00C13C75">
        <w:rPr>
          <w:noProof/>
        </w:rPr>
        <w:t>art.</w:t>
      </w:r>
      <w:r w:rsidR="00C13C75" w:rsidRPr="00C13C75">
        <w:rPr>
          <w:noProof/>
        </w:rPr>
        <w:t> </w:t>
      </w:r>
      <w:r w:rsidRPr="00C13C75">
        <w:rPr>
          <w:noProof/>
        </w:rPr>
        <w:t>1</w:t>
      </w:r>
      <w:r w:rsidRPr="00853D04">
        <w:rPr>
          <w:noProof/>
        </w:rPr>
        <w:t>) oraz definicje (</w:t>
      </w:r>
      <w:r w:rsidRPr="00C13C75">
        <w:rPr>
          <w:noProof/>
        </w:rPr>
        <w:t>art.</w:t>
      </w:r>
      <w:r w:rsidR="00C13C75" w:rsidRPr="00C13C75">
        <w:rPr>
          <w:noProof/>
        </w:rPr>
        <w:t> </w:t>
      </w:r>
      <w:r w:rsidRPr="00C13C75">
        <w:rPr>
          <w:noProof/>
        </w:rPr>
        <w:t>2</w:t>
      </w:r>
      <w:r w:rsidRPr="00853D04">
        <w:rPr>
          <w:noProof/>
        </w:rPr>
        <w:t>). Po drugie, wyszczególnione są</w:t>
      </w:r>
      <w:r w:rsidR="00C13C75" w:rsidRPr="00853D04">
        <w:rPr>
          <w:noProof/>
        </w:rPr>
        <w:t xml:space="preserve"> w</w:t>
      </w:r>
      <w:r w:rsidR="00C13C75">
        <w:rPr>
          <w:noProof/>
        </w:rPr>
        <w:t> </w:t>
      </w:r>
      <w:r w:rsidR="00C13C75" w:rsidRPr="00853D04">
        <w:rPr>
          <w:noProof/>
        </w:rPr>
        <w:t>nim</w:t>
      </w:r>
      <w:r w:rsidRPr="00853D04">
        <w:rPr>
          <w:noProof/>
        </w:rPr>
        <w:t xml:space="preserve"> cechy charakterystyczne europejskiego stowarzyszenia transgranicznego (</w:t>
      </w:r>
      <w:r w:rsidRPr="00C13C75">
        <w:rPr>
          <w:noProof/>
        </w:rPr>
        <w:t>art.</w:t>
      </w:r>
      <w:r w:rsidR="00C13C75" w:rsidRPr="00C13C75">
        <w:rPr>
          <w:noProof/>
        </w:rPr>
        <w:t> </w:t>
      </w:r>
      <w:r w:rsidRPr="00C13C75">
        <w:rPr>
          <w:noProof/>
        </w:rPr>
        <w:t>3</w:t>
      </w:r>
      <w:r w:rsidRPr="00853D04">
        <w:rPr>
          <w:noProof/>
        </w:rPr>
        <w:t>)</w:t>
      </w:r>
      <w:r w:rsidR="00C13C75" w:rsidRPr="00853D04">
        <w:rPr>
          <w:noProof/>
        </w:rPr>
        <w:t xml:space="preserve"> i</w:t>
      </w:r>
      <w:r w:rsidR="00C13C75">
        <w:rPr>
          <w:noProof/>
        </w:rPr>
        <w:t> </w:t>
      </w:r>
      <w:r w:rsidR="00C13C75" w:rsidRPr="00853D04">
        <w:rPr>
          <w:noProof/>
        </w:rPr>
        <w:t>zas</w:t>
      </w:r>
      <w:r w:rsidRPr="00853D04">
        <w:rPr>
          <w:noProof/>
        </w:rPr>
        <w:t>ady mające do niego zastosowanie (</w:t>
      </w:r>
      <w:r w:rsidRPr="00C13C75">
        <w:rPr>
          <w:noProof/>
        </w:rPr>
        <w:t>art.</w:t>
      </w:r>
      <w:r w:rsidR="00C13C75" w:rsidRPr="00C13C75">
        <w:rPr>
          <w:noProof/>
        </w:rPr>
        <w:t> </w:t>
      </w:r>
      <w:r w:rsidRPr="00C13C75">
        <w:rPr>
          <w:noProof/>
        </w:rPr>
        <w:t>4</w:t>
      </w:r>
      <w:r w:rsidRPr="00853D04">
        <w:rPr>
          <w:noProof/>
        </w:rPr>
        <w:t>). Po trzecie, na jego podstawie europejskie stowarzyszenia transgraniczne zyskują osobowość prawną</w:t>
      </w:r>
      <w:r w:rsidR="00C13C75" w:rsidRPr="00853D04">
        <w:rPr>
          <w:noProof/>
        </w:rPr>
        <w:t xml:space="preserve"> i</w:t>
      </w:r>
      <w:r w:rsidR="00C13C75">
        <w:rPr>
          <w:noProof/>
        </w:rPr>
        <w:t> </w:t>
      </w:r>
      <w:r w:rsidR="00C13C75" w:rsidRPr="00853D04">
        <w:rPr>
          <w:noProof/>
        </w:rPr>
        <w:t>zdo</w:t>
      </w:r>
      <w:r w:rsidRPr="00853D04">
        <w:rPr>
          <w:noProof/>
        </w:rPr>
        <w:t>lność do czynności prawnych oraz automatyczne uznawanie we wszystkich państwach członkowskich (</w:t>
      </w:r>
      <w:r w:rsidRPr="00C13C75">
        <w:rPr>
          <w:noProof/>
        </w:rPr>
        <w:t>art.</w:t>
      </w:r>
      <w:r w:rsidR="00C13C75" w:rsidRPr="00C13C75">
        <w:rPr>
          <w:noProof/>
        </w:rPr>
        <w:t> </w:t>
      </w:r>
      <w:r w:rsidRPr="00C13C75">
        <w:rPr>
          <w:noProof/>
        </w:rPr>
        <w:t>5</w:t>
      </w:r>
      <w:r w:rsidRPr="00853D04">
        <w:rPr>
          <w:noProof/>
        </w:rPr>
        <w:t>). Po czwarte, ustanawia się</w:t>
      </w:r>
      <w:r w:rsidR="00C13C75" w:rsidRPr="00853D04">
        <w:rPr>
          <w:noProof/>
        </w:rPr>
        <w:t xml:space="preserve"> w</w:t>
      </w:r>
      <w:r w:rsidR="00C13C75">
        <w:rPr>
          <w:noProof/>
        </w:rPr>
        <w:t> </w:t>
      </w:r>
      <w:r w:rsidR="00C13C75" w:rsidRPr="00853D04">
        <w:rPr>
          <w:noProof/>
        </w:rPr>
        <w:t>nim</w:t>
      </w:r>
      <w:r w:rsidRPr="00853D04">
        <w:rPr>
          <w:noProof/>
        </w:rPr>
        <w:t xml:space="preserve"> wspólne zasady dotyczące europejskich stowarzyszeń transgranicznych odnośnie do ich statutów (</w:t>
      </w:r>
      <w:r w:rsidRPr="00C13C75">
        <w:rPr>
          <w:noProof/>
        </w:rPr>
        <w:t>art.</w:t>
      </w:r>
      <w:r w:rsidR="00C13C75" w:rsidRPr="00C13C75">
        <w:rPr>
          <w:noProof/>
        </w:rPr>
        <w:t> </w:t>
      </w:r>
      <w:r w:rsidRPr="00C13C75">
        <w:rPr>
          <w:noProof/>
        </w:rPr>
        <w:t>6</w:t>
      </w:r>
      <w:r w:rsidRPr="00853D04">
        <w:rPr>
          <w:noProof/>
        </w:rPr>
        <w:t>), zarządzania (</w:t>
      </w:r>
      <w:r w:rsidRPr="00C13C75">
        <w:rPr>
          <w:noProof/>
        </w:rPr>
        <w:t>art.</w:t>
      </w:r>
      <w:r w:rsidR="00C13C75" w:rsidRPr="00C13C75">
        <w:rPr>
          <w:noProof/>
        </w:rPr>
        <w:t> </w:t>
      </w:r>
      <w:r w:rsidRPr="00C13C75">
        <w:rPr>
          <w:noProof/>
        </w:rPr>
        <w:t>7</w:t>
      </w:r>
      <w:r w:rsidRPr="00853D04">
        <w:rPr>
          <w:noProof/>
        </w:rPr>
        <w:t>)</w:t>
      </w:r>
      <w:r w:rsidR="00C13C75" w:rsidRPr="00853D04">
        <w:rPr>
          <w:noProof/>
        </w:rPr>
        <w:t xml:space="preserve"> i</w:t>
      </w:r>
      <w:r w:rsidR="00C13C75">
        <w:rPr>
          <w:noProof/>
        </w:rPr>
        <w:t> </w:t>
      </w:r>
      <w:r w:rsidR="00C13C75" w:rsidRPr="00853D04">
        <w:rPr>
          <w:noProof/>
        </w:rPr>
        <w:t>czł</w:t>
      </w:r>
      <w:r w:rsidRPr="00853D04">
        <w:rPr>
          <w:noProof/>
        </w:rPr>
        <w:t>onkostwa (</w:t>
      </w:r>
      <w:r w:rsidRPr="00C13C75">
        <w:rPr>
          <w:noProof/>
        </w:rPr>
        <w:t>art.</w:t>
      </w:r>
      <w:r w:rsidR="00C13C75" w:rsidRPr="00C13C75">
        <w:rPr>
          <w:noProof/>
        </w:rPr>
        <w:t> </w:t>
      </w:r>
      <w:r w:rsidRPr="00C13C75">
        <w:rPr>
          <w:noProof/>
        </w:rPr>
        <w:t>8</w:t>
      </w:r>
      <w:r w:rsidRPr="00853D04">
        <w:rPr>
          <w:noProof/>
        </w:rPr>
        <w:t xml:space="preserve">). </w:t>
      </w:r>
    </w:p>
    <w:p w14:paraId="38C58E04" w14:textId="3AE20C21" w:rsidR="002C485F" w:rsidRPr="00853D04" w:rsidRDefault="0021129C" w:rsidP="002C485F">
      <w:pPr>
        <w:rPr>
          <w:noProof/>
        </w:rPr>
      </w:pPr>
      <w:r w:rsidRPr="00853D04">
        <w:rPr>
          <w:noProof/>
        </w:rPr>
        <w:t>W rozdziale 2 wymienione są prawa</w:t>
      </w:r>
      <w:r w:rsidR="00C13C75" w:rsidRPr="00853D04">
        <w:rPr>
          <w:noProof/>
        </w:rPr>
        <w:t xml:space="preserve"> i</w:t>
      </w:r>
      <w:r w:rsidR="00C13C75">
        <w:rPr>
          <w:noProof/>
        </w:rPr>
        <w:t> </w:t>
      </w:r>
      <w:r w:rsidR="00C13C75" w:rsidRPr="00853D04">
        <w:rPr>
          <w:noProof/>
        </w:rPr>
        <w:t>nie</w:t>
      </w:r>
      <w:r w:rsidRPr="00853D04">
        <w:rPr>
          <w:noProof/>
        </w:rPr>
        <w:t>dozwolone ograniczenia dotyczące europejskich stowarzyszeń transgranicznych. Europejskie stowarzyszenie transgraniczne korzysta</w:t>
      </w:r>
      <w:r w:rsidR="00C13C75" w:rsidRPr="00853D04">
        <w:rPr>
          <w:noProof/>
        </w:rPr>
        <w:t xml:space="preserve"> z</w:t>
      </w:r>
      <w:r w:rsidR="00C13C75">
        <w:rPr>
          <w:noProof/>
        </w:rPr>
        <w:t> </w:t>
      </w:r>
      <w:r w:rsidR="00C13C75" w:rsidRPr="00853D04">
        <w:rPr>
          <w:noProof/>
        </w:rPr>
        <w:t>zas</w:t>
      </w:r>
      <w:r w:rsidRPr="00853D04">
        <w:rPr>
          <w:noProof/>
        </w:rPr>
        <w:t>ad równego traktowania (</w:t>
      </w:r>
      <w:r w:rsidRPr="00C13C75">
        <w:rPr>
          <w:noProof/>
        </w:rPr>
        <w:t>art.</w:t>
      </w:r>
      <w:r w:rsidR="00C13C75" w:rsidRPr="00C13C75">
        <w:rPr>
          <w:noProof/>
        </w:rPr>
        <w:t> </w:t>
      </w:r>
      <w:r w:rsidRPr="00C13C75">
        <w:rPr>
          <w:noProof/>
        </w:rPr>
        <w:t>9</w:t>
      </w:r>
      <w:r w:rsidRPr="00853D04">
        <w:rPr>
          <w:noProof/>
        </w:rPr>
        <w:t>)</w:t>
      </w:r>
      <w:r w:rsidR="00C13C75" w:rsidRPr="00853D04">
        <w:rPr>
          <w:noProof/>
        </w:rPr>
        <w:t xml:space="preserve"> i</w:t>
      </w:r>
      <w:r w:rsidR="00C13C75">
        <w:rPr>
          <w:noProof/>
        </w:rPr>
        <w:t> </w:t>
      </w:r>
      <w:r w:rsidR="00C13C75" w:rsidRPr="00853D04">
        <w:rPr>
          <w:noProof/>
        </w:rPr>
        <w:t>nie</w:t>
      </w:r>
      <w:r w:rsidRPr="00853D04">
        <w:rPr>
          <w:noProof/>
        </w:rPr>
        <w:t>dyskryminacji (</w:t>
      </w:r>
      <w:r w:rsidRPr="00C13C75">
        <w:rPr>
          <w:noProof/>
        </w:rPr>
        <w:t>art.</w:t>
      </w:r>
      <w:r w:rsidR="00C13C75" w:rsidRPr="00C13C75">
        <w:rPr>
          <w:noProof/>
        </w:rPr>
        <w:t> </w:t>
      </w:r>
      <w:r w:rsidRPr="00C13C75">
        <w:rPr>
          <w:noProof/>
        </w:rPr>
        <w:t>1</w:t>
      </w:r>
      <w:r w:rsidRPr="00853D04">
        <w:rPr>
          <w:noProof/>
        </w:rPr>
        <w:t>0). Wszystkie decyzje dotyczące europejskiego stowarzyszenia transgranicznego podejmowane przez organy administracyjne</w:t>
      </w:r>
      <w:r w:rsidR="00C13C75" w:rsidRPr="00853D04">
        <w:rPr>
          <w:noProof/>
        </w:rPr>
        <w:t xml:space="preserve"> w</w:t>
      </w:r>
      <w:r w:rsidR="00C13C75">
        <w:rPr>
          <w:noProof/>
        </w:rPr>
        <w:t> </w:t>
      </w:r>
      <w:r w:rsidR="00C13C75" w:rsidRPr="00853D04">
        <w:rPr>
          <w:noProof/>
        </w:rPr>
        <w:t>pań</w:t>
      </w:r>
      <w:r w:rsidRPr="00853D04">
        <w:rPr>
          <w:noProof/>
        </w:rPr>
        <w:t>stwach członkowskich powinny podlegać kontroli sądowej (</w:t>
      </w:r>
      <w:r w:rsidRPr="00C13C75">
        <w:rPr>
          <w:noProof/>
        </w:rPr>
        <w:t>art.</w:t>
      </w:r>
      <w:r w:rsidR="00C13C75" w:rsidRPr="00C13C75">
        <w:rPr>
          <w:noProof/>
        </w:rPr>
        <w:t> </w:t>
      </w:r>
      <w:r w:rsidRPr="00C13C75">
        <w:rPr>
          <w:noProof/>
        </w:rPr>
        <w:t>1</w:t>
      </w:r>
      <w:r w:rsidRPr="00853D04">
        <w:rPr>
          <w:noProof/>
        </w:rPr>
        <w:t>1). Europejskie stowarzyszenie transgraniczne powinno zostać zarejestrowane tylko</w:t>
      </w:r>
      <w:r w:rsidR="00C13C75" w:rsidRPr="00853D04">
        <w:rPr>
          <w:noProof/>
        </w:rPr>
        <w:t xml:space="preserve"> w</w:t>
      </w:r>
      <w:r w:rsidR="00C13C75">
        <w:rPr>
          <w:noProof/>
        </w:rPr>
        <w:t> </w:t>
      </w:r>
      <w:r w:rsidR="00C13C75" w:rsidRPr="00853D04">
        <w:rPr>
          <w:noProof/>
        </w:rPr>
        <w:t>jed</w:t>
      </w:r>
      <w:r w:rsidRPr="00853D04">
        <w:rPr>
          <w:noProof/>
        </w:rPr>
        <w:t>nym państwie członkowskim, aby uzyskać osobowość prawną</w:t>
      </w:r>
      <w:r w:rsidR="00C13C75" w:rsidRPr="00853D04">
        <w:rPr>
          <w:noProof/>
        </w:rPr>
        <w:t xml:space="preserve"> i</w:t>
      </w:r>
      <w:r w:rsidR="00C13C75">
        <w:rPr>
          <w:noProof/>
        </w:rPr>
        <w:t> </w:t>
      </w:r>
      <w:r w:rsidR="00C13C75" w:rsidRPr="00853D04">
        <w:rPr>
          <w:noProof/>
        </w:rPr>
        <w:t>zdo</w:t>
      </w:r>
      <w:r w:rsidRPr="00853D04">
        <w:rPr>
          <w:noProof/>
        </w:rPr>
        <w:t>lność do czynności prawnych,</w:t>
      </w:r>
      <w:r w:rsidR="00C13C75" w:rsidRPr="00853D04">
        <w:rPr>
          <w:noProof/>
        </w:rPr>
        <w:t xml:space="preserve"> i</w:t>
      </w:r>
      <w:r w:rsidR="00C13C75">
        <w:rPr>
          <w:noProof/>
        </w:rPr>
        <w:t> </w:t>
      </w:r>
      <w:r w:rsidR="00C13C75" w:rsidRPr="00853D04">
        <w:rPr>
          <w:noProof/>
        </w:rPr>
        <w:t>zar</w:t>
      </w:r>
      <w:r w:rsidRPr="00853D04">
        <w:rPr>
          <w:noProof/>
        </w:rPr>
        <w:t>ówno państwo członkowskie pochodzenia, jak</w:t>
      </w:r>
      <w:r w:rsidR="00C13C75" w:rsidRPr="00853D04">
        <w:rPr>
          <w:noProof/>
        </w:rPr>
        <w:t xml:space="preserve"> i</w:t>
      </w:r>
      <w:r w:rsidR="00C13C75">
        <w:rPr>
          <w:noProof/>
        </w:rPr>
        <w:t> </w:t>
      </w:r>
      <w:r w:rsidR="00C13C75" w:rsidRPr="00853D04">
        <w:rPr>
          <w:noProof/>
        </w:rPr>
        <w:t>prz</w:t>
      </w:r>
      <w:r w:rsidRPr="00853D04">
        <w:rPr>
          <w:noProof/>
        </w:rPr>
        <w:t>yjmujące państwo członkowskie mogą zażądać dodatkowych formalności jedynie</w:t>
      </w:r>
      <w:r w:rsidR="00C13C75" w:rsidRPr="00853D04">
        <w:rPr>
          <w:noProof/>
        </w:rPr>
        <w:t xml:space="preserve"> z</w:t>
      </w:r>
      <w:r w:rsidR="00C13C75">
        <w:rPr>
          <w:noProof/>
        </w:rPr>
        <w:t> </w:t>
      </w:r>
      <w:r w:rsidR="00C13C75" w:rsidRPr="00853D04">
        <w:rPr>
          <w:noProof/>
        </w:rPr>
        <w:t>pow</w:t>
      </w:r>
      <w:r w:rsidRPr="00853D04">
        <w:rPr>
          <w:noProof/>
        </w:rPr>
        <w:t>odu nadrzędnych względów interesu publicznego (</w:t>
      </w:r>
      <w:r w:rsidRPr="00C13C75">
        <w:rPr>
          <w:noProof/>
        </w:rPr>
        <w:t>art.</w:t>
      </w:r>
      <w:r w:rsidR="00C13C75" w:rsidRPr="00C13C75">
        <w:rPr>
          <w:noProof/>
        </w:rPr>
        <w:t> </w:t>
      </w:r>
      <w:r w:rsidRPr="00C13C75">
        <w:rPr>
          <w:noProof/>
        </w:rPr>
        <w:t>1</w:t>
      </w:r>
      <w:r w:rsidRPr="00853D04">
        <w:rPr>
          <w:noProof/>
        </w:rPr>
        <w:t>2). Europejskie stowarzyszenie transgraniczne powinno mieć możliwość ubiegania się</w:t>
      </w:r>
      <w:r w:rsidR="00C13C75" w:rsidRPr="00853D04">
        <w:rPr>
          <w:noProof/>
        </w:rPr>
        <w:t xml:space="preserve"> o</w:t>
      </w:r>
      <w:r w:rsidR="00C13C75">
        <w:rPr>
          <w:noProof/>
        </w:rPr>
        <w:t> </w:t>
      </w:r>
      <w:r w:rsidR="00C13C75" w:rsidRPr="00853D04">
        <w:rPr>
          <w:noProof/>
        </w:rPr>
        <w:t>fin</w:t>
      </w:r>
      <w:r w:rsidRPr="00853D04">
        <w:rPr>
          <w:noProof/>
        </w:rPr>
        <w:t>ansowanie</w:t>
      </w:r>
      <w:r w:rsidR="00C13C75" w:rsidRPr="00853D04">
        <w:rPr>
          <w:noProof/>
        </w:rPr>
        <w:t xml:space="preserve"> w</w:t>
      </w:r>
      <w:r w:rsidR="00C13C75">
        <w:rPr>
          <w:noProof/>
        </w:rPr>
        <w:t> </w:t>
      </w:r>
      <w:r w:rsidR="00C13C75" w:rsidRPr="00853D04">
        <w:rPr>
          <w:noProof/>
        </w:rPr>
        <w:t>pań</w:t>
      </w:r>
      <w:r w:rsidRPr="00853D04">
        <w:rPr>
          <w:noProof/>
        </w:rPr>
        <w:t>stwie członkowskim lub państwach członkowskich,</w:t>
      </w:r>
      <w:r w:rsidR="00C13C75" w:rsidRPr="00853D04">
        <w:rPr>
          <w:noProof/>
        </w:rPr>
        <w:t xml:space="preserve"> w</w:t>
      </w:r>
      <w:r w:rsidR="00C13C75">
        <w:rPr>
          <w:noProof/>
        </w:rPr>
        <w:t> </w:t>
      </w:r>
      <w:r w:rsidR="00C13C75" w:rsidRPr="00853D04">
        <w:rPr>
          <w:noProof/>
        </w:rPr>
        <w:t>któ</w:t>
      </w:r>
      <w:r w:rsidRPr="00853D04">
        <w:rPr>
          <w:noProof/>
        </w:rPr>
        <w:t>rych prowadzi działalność,</w:t>
      </w:r>
      <w:r w:rsidR="00C13C75" w:rsidRPr="00853D04">
        <w:rPr>
          <w:noProof/>
        </w:rPr>
        <w:t xml:space="preserve"> i</w:t>
      </w:r>
      <w:r w:rsidR="00C13C75">
        <w:rPr>
          <w:noProof/>
        </w:rPr>
        <w:t> </w:t>
      </w:r>
      <w:r w:rsidR="00C13C75" w:rsidRPr="00853D04">
        <w:rPr>
          <w:noProof/>
        </w:rPr>
        <w:t>nie</w:t>
      </w:r>
      <w:r w:rsidRPr="00853D04">
        <w:rPr>
          <w:noProof/>
        </w:rPr>
        <w:t xml:space="preserve"> powinno być ograniczane co do możliwości zapewniania lub otrzymywania finansowania, chyba że ograniczenia takie są przewidziane prawem, uzasadnione względami nadrzędnego interesu publicznego, są odpowiednie do zapewnienia osiągnięcia zamierzonego celu</w:t>
      </w:r>
      <w:r w:rsidR="00C13C75" w:rsidRPr="00853D04">
        <w:rPr>
          <w:noProof/>
        </w:rPr>
        <w:t xml:space="preserve"> i</w:t>
      </w:r>
      <w:r w:rsidR="00C13C75">
        <w:rPr>
          <w:noProof/>
        </w:rPr>
        <w:t> </w:t>
      </w:r>
      <w:r w:rsidR="00C13C75" w:rsidRPr="00853D04">
        <w:rPr>
          <w:noProof/>
        </w:rPr>
        <w:t>nie</w:t>
      </w:r>
      <w:r w:rsidRPr="00853D04">
        <w:rPr>
          <w:noProof/>
        </w:rPr>
        <w:t xml:space="preserve"> wykraczają poza to, co jest konieczne do jego osiągnięcia (</w:t>
      </w:r>
      <w:r w:rsidRPr="00C13C75">
        <w:rPr>
          <w:noProof/>
        </w:rPr>
        <w:t>art.</w:t>
      </w:r>
      <w:r w:rsidR="00C13C75" w:rsidRPr="00C13C75">
        <w:rPr>
          <w:noProof/>
        </w:rPr>
        <w:t> </w:t>
      </w:r>
      <w:r w:rsidRPr="00C13C75">
        <w:rPr>
          <w:noProof/>
        </w:rPr>
        <w:t>1</w:t>
      </w:r>
      <w:r w:rsidRPr="00853D04">
        <w:rPr>
          <w:noProof/>
        </w:rPr>
        <w:t>3). Europejskie stowarzyszenie transgraniczne powinno ponadto mieć możliwość świadczenia usług</w:t>
      </w:r>
      <w:r w:rsidR="00C13C75" w:rsidRPr="00853D04">
        <w:rPr>
          <w:noProof/>
        </w:rPr>
        <w:t xml:space="preserve"> i</w:t>
      </w:r>
      <w:r w:rsidR="00C13C75">
        <w:rPr>
          <w:noProof/>
        </w:rPr>
        <w:t> </w:t>
      </w:r>
      <w:r w:rsidR="00C13C75" w:rsidRPr="00853D04">
        <w:rPr>
          <w:noProof/>
        </w:rPr>
        <w:t>kor</w:t>
      </w:r>
      <w:r w:rsidRPr="00853D04">
        <w:rPr>
          <w:noProof/>
        </w:rPr>
        <w:t>zystania</w:t>
      </w:r>
      <w:r w:rsidR="00C13C75" w:rsidRPr="00853D04">
        <w:rPr>
          <w:noProof/>
        </w:rPr>
        <w:t xml:space="preserve"> z</w:t>
      </w:r>
      <w:r w:rsidR="00C13C75">
        <w:rPr>
          <w:noProof/>
        </w:rPr>
        <w:t> </w:t>
      </w:r>
      <w:r w:rsidR="00C13C75" w:rsidRPr="00853D04">
        <w:rPr>
          <w:noProof/>
        </w:rPr>
        <w:t>nic</w:t>
      </w:r>
      <w:r w:rsidRPr="00853D04">
        <w:rPr>
          <w:noProof/>
        </w:rPr>
        <w:t>h oraz zajmowania się handlem towarami (</w:t>
      </w:r>
      <w:r w:rsidRPr="00C13C75">
        <w:rPr>
          <w:noProof/>
        </w:rPr>
        <w:t>art.</w:t>
      </w:r>
      <w:r w:rsidR="00C13C75" w:rsidRPr="00C13C75">
        <w:rPr>
          <w:noProof/>
        </w:rPr>
        <w:t> </w:t>
      </w:r>
      <w:r w:rsidRPr="00C13C75">
        <w:rPr>
          <w:noProof/>
        </w:rPr>
        <w:t>1</w:t>
      </w:r>
      <w:r w:rsidRPr="00853D04">
        <w:rPr>
          <w:noProof/>
        </w:rPr>
        <w:t>4). Europejskie stowarzyszenie transgraniczne nie powinno ponadto podlegać pewnym ograniczeniom opartym na przykład na obywatelstwie jego członków (</w:t>
      </w:r>
      <w:r w:rsidRPr="00C13C75">
        <w:rPr>
          <w:noProof/>
        </w:rPr>
        <w:t>art.</w:t>
      </w:r>
      <w:r w:rsidR="00C13C75" w:rsidRPr="00C13C75">
        <w:rPr>
          <w:noProof/>
        </w:rPr>
        <w:t> </w:t>
      </w:r>
      <w:r w:rsidRPr="00C13C75">
        <w:rPr>
          <w:noProof/>
        </w:rPr>
        <w:t>1</w:t>
      </w:r>
      <w:r w:rsidRPr="00853D04">
        <w:rPr>
          <w:noProof/>
        </w:rPr>
        <w:t>5).</w:t>
      </w:r>
    </w:p>
    <w:p w14:paraId="0DE60673" w14:textId="2B5837B8" w:rsidR="003A2195" w:rsidRPr="00853D04" w:rsidRDefault="002C485F" w:rsidP="002C485F">
      <w:pPr>
        <w:rPr>
          <w:noProof/>
        </w:rPr>
      </w:pPr>
      <w:r w:rsidRPr="00853D04">
        <w:rPr>
          <w:noProof/>
        </w:rPr>
        <w:t>Rozdział 3 dotyczy zasad tworzenia oraz rejestracji europejskiego stowarzyszenia transgranicznego</w:t>
      </w:r>
      <w:r w:rsidR="00C13C75" w:rsidRPr="00853D04">
        <w:rPr>
          <w:noProof/>
        </w:rPr>
        <w:t xml:space="preserve"> i</w:t>
      </w:r>
      <w:r w:rsidR="00C13C75">
        <w:rPr>
          <w:noProof/>
        </w:rPr>
        <w:t> </w:t>
      </w:r>
      <w:r w:rsidR="00C13C75" w:rsidRPr="00853D04">
        <w:rPr>
          <w:noProof/>
        </w:rPr>
        <w:t>skł</w:t>
      </w:r>
      <w:r w:rsidRPr="00853D04">
        <w:rPr>
          <w:noProof/>
        </w:rPr>
        <w:t>ada się</w:t>
      </w:r>
      <w:r w:rsidR="00C13C75" w:rsidRPr="00853D04">
        <w:rPr>
          <w:noProof/>
        </w:rPr>
        <w:t xml:space="preserve"> z</w:t>
      </w:r>
      <w:r w:rsidR="00C13C75">
        <w:rPr>
          <w:noProof/>
        </w:rPr>
        <w:t> </w:t>
      </w:r>
      <w:r w:rsidR="00C13C75" w:rsidRPr="00853D04">
        <w:rPr>
          <w:noProof/>
        </w:rPr>
        <w:t>dwó</w:t>
      </w:r>
      <w:r w:rsidRPr="00853D04">
        <w:rPr>
          <w:noProof/>
        </w:rPr>
        <w:t>ch części. Państwa członkowskie powinny zapewnić, aby europejskie stowarzyszenie transgraniczne było tworzone</w:t>
      </w:r>
      <w:r w:rsidR="00C13C75" w:rsidRPr="00853D04">
        <w:rPr>
          <w:noProof/>
        </w:rPr>
        <w:t xml:space="preserve"> w</w:t>
      </w:r>
      <w:r w:rsidR="00C13C75">
        <w:rPr>
          <w:noProof/>
        </w:rPr>
        <w:t> </w:t>
      </w:r>
      <w:r w:rsidR="00C13C75" w:rsidRPr="00853D04">
        <w:rPr>
          <w:noProof/>
        </w:rPr>
        <w:t>dro</w:t>
      </w:r>
      <w:r w:rsidRPr="00853D04">
        <w:rPr>
          <w:noProof/>
        </w:rPr>
        <w:t>dze rejestracji oraz aby posiadało co najmniej trzech członków założycieli (</w:t>
      </w:r>
      <w:r w:rsidRPr="00C13C75">
        <w:rPr>
          <w:noProof/>
        </w:rPr>
        <w:t>art.</w:t>
      </w:r>
      <w:r w:rsidR="00C13C75" w:rsidRPr="00C13C75">
        <w:rPr>
          <w:noProof/>
        </w:rPr>
        <w:t> </w:t>
      </w:r>
      <w:r w:rsidRPr="00C13C75">
        <w:rPr>
          <w:noProof/>
        </w:rPr>
        <w:t>1</w:t>
      </w:r>
      <w:r w:rsidRPr="00853D04">
        <w:rPr>
          <w:noProof/>
        </w:rPr>
        <w:t>6). Rozdział ten zawiera również przepisy dotyczące krajowego przekształcania stowarzyszenia niekomercyjnego</w:t>
      </w:r>
      <w:r w:rsidR="00C13C75" w:rsidRPr="00853D04">
        <w:rPr>
          <w:noProof/>
        </w:rPr>
        <w:t xml:space="preserve"> w</w:t>
      </w:r>
      <w:r w:rsidR="00C13C75">
        <w:rPr>
          <w:noProof/>
        </w:rPr>
        <w:t> </w:t>
      </w:r>
      <w:r w:rsidR="00C13C75" w:rsidRPr="00853D04">
        <w:rPr>
          <w:noProof/>
        </w:rPr>
        <w:t>eur</w:t>
      </w:r>
      <w:r w:rsidRPr="00853D04">
        <w:rPr>
          <w:noProof/>
        </w:rPr>
        <w:t>opejskie stowarzyszenie transgraniczne (</w:t>
      </w:r>
      <w:r w:rsidRPr="00C13C75">
        <w:rPr>
          <w:noProof/>
        </w:rPr>
        <w:t>art.</w:t>
      </w:r>
      <w:r w:rsidR="00C13C75" w:rsidRPr="00C13C75">
        <w:rPr>
          <w:noProof/>
        </w:rPr>
        <w:t> </w:t>
      </w:r>
      <w:r w:rsidRPr="00C13C75">
        <w:rPr>
          <w:noProof/>
        </w:rPr>
        <w:t>1</w:t>
      </w:r>
      <w:r w:rsidRPr="00853D04">
        <w:rPr>
          <w:noProof/>
        </w:rPr>
        <w:t>7)</w:t>
      </w:r>
      <w:r w:rsidRPr="00C13C75">
        <w:rPr>
          <w:noProof/>
        </w:rPr>
        <w:t>.</w:t>
      </w:r>
      <w:r w:rsidR="00C13C75" w:rsidRPr="00C13C75">
        <w:rPr>
          <w:noProof/>
        </w:rPr>
        <w:t xml:space="preserve"> </w:t>
      </w:r>
      <w:r w:rsidRPr="00C13C75">
        <w:rPr>
          <w:noProof/>
        </w:rPr>
        <w:t>O</w:t>
      </w:r>
      <w:r w:rsidRPr="00853D04">
        <w:rPr>
          <w:noProof/>
        </w:rPr>
        <w:t>kreślone są</w:t>
      </w:r>
      <w:r w:rsidR="00C13C75" w:rsidRPr="00853D04">
        <w:rPr>
          <w:noProof/>
        </w:rPr>
        <w:t xml:space="preserve"> w</w:t>
      </w:r>
      <w:r w:rsidR="00C13C75">
        <w:rPr>
          <w:noProof/>
        </w:rPr>
        <w:t> </w:t>
      </w:r>
      <w:r w:rsidR="00C13C75" w:rsidRPr="00853D04">
        <w:rPr>
          <w:noProof/>
        </w:rPr>
        <w:t>nim</w:t>
      </w:r>
      <w:r w:rsidRPr="00853D04">
        <w:rPr>
          <w:noProof/>
        </w:rPr>
        <w:t xml:space="preserve"> zasady składania wniosków</w:t>
      </w:r>
      <w:r w:rsidR="00C13C75" w:rsidRPr="00853D04">
        <w:rPr>
          <w:noProof/>
        </w:rPr>
        <w:t xml:space="preserve"> o</w:t>
      </w:r>
      <w:r w:rsidR="00C13C75">
        <w:rPr>
          <w:noProof/>
        </w:rPr>
        <w:t> </w:t>
      </w:r>
      <w:r w:rsidR="00C13C75" w:rsidRPr="00853D04">
        <w:rPr>
          <w:noProof/>
        </w:rPr>
        <w:t>rej</w:t>
      </w:r>
      <w:r w:rsidRPr="00853D04">
        <w:rPr>
          <w:noProof/>
        </w:rPr>
        <w:t>estrację (</w:t>
      </w:r>
      <w:r w:rsidRPr="00C13C75">
        <w:rPr>
          <w:noProof/>
        </w:rPr>
        <w:t>art.</w:t>
      </w:r>
      <w:r w:rsidR="00C13C75" w:rsidRPr="00C13C75">
        <w:rPr>
          <w:noProof/>
        </w:rPr>
        <w:t> </w:t>
      </w:r>
      <w:r w:rsidRPr="00C13C75">
        <w:rPr>
          <w:noProof/>
        </w:rPr>
        <w:t>1</w:t>
      </w:r>
      <w:r w:rsidRPr="00853D04">
        <w:rPr>
          <w:noProof/>
        </w:rPr>
        <w:t>8),</w:t>
      </w:r>
      <w:r w:rsidR="00C13C75" w:rsidRPr="00853D04">
        <w:rPr>
          <w:noProof/>
        </w:rPr>
        <w:t xml:space="preserve"> a</w:t>
      </w:r>
      <w:r w:rsidR="00C13C75">
        <w:rPr>
          <w:noProof/>
        </w:rPr>
        <w:t> </w:t>
      </w:r>
      <w:r w:rsidR="00C13C75" w:rsidRPr="00853D04">
        <w:rPr>
          <w:noProof/>
        </w:rPr>
        <w:t>tak</w:t>
      </w:r>
      <w:r w:rsidRPr="00853D04">
        <w:rPr>
          <w:noProof/>
        </w:rPr>
        <w:t>że procedura rejestracji (</w:t>
      </w:r>
      <w:r w:rsidRPr="00C13C75">
        <w:rPr>
          <w:noProof/>
        </w:rPr>
        <w:t>art.</w:t>
      </w:r>
      <w:r w:rsidR="00C13C75" w:rsidRPr="00C13C75">
        <w:rPr>
          <w:noProof/>
        </w:rPr>
        <w:t> </w:t>
      </w:r>
      <w:r w:rsidRPr="00C13C75">
        <w:rPr>
          <w:noProof/>
        </w:rPr>
        <w:t>1</w:t>
      </w:r>
      <w:r w:rsidRPr="00853D04">
        <w:rPr>
          <w:noProof/>
        </w:rPr>
        <w:t>9). Przewiduje się</w:t>
      </w:r>
      <w:r w:rsidR="00C13C75" w:rsidRPr="00853D04">
        <w:rPr>
          <w:noProof/>
        </w:rPr>
        <w:t xml:space="preserve"> w</w:t>
      </w:r>
      <w:r w:rsidR="00C13C75">
        <w:rPr>
          <w:noProof/>
        </w:rPr>
        <w:t> </w:t>
      </w:r>
      <w:r w:rsidR="00C13C75" w:rsidRPr="00853D04">
        <w:rPr>
          <w:noProof/>
        </w:rPr>
        <w:t>nim</w:t>
      </w:r>
      <w:r w:rsidRPr="00853D04">
        <w:rPr>
          <w:noProof/>
        </w:rPr>
        <w:t>, że państwa członkowskie powinny ustanowić rejestr do celów rejestracji europejskich stowarzyszeń transgranicznych (</w:t>
      </w:r>
      <w:r w:rsidRPr="00C13C75">
        <w:rPr>
          <w:noProof/>
        </w:rPr>
        <w:t>art.</w:t>
      </w:r>
      <w:r w:rsidR="00C13C75" w:rsidRPr="00C13C75">
        <w:rPr>
          <w:noProof/>
        </w:rPr>
        <w:t> </w:t>
      </w:r>
      <w:r w:rsidRPr="00C13C75">
        <w:rPr>
          <w:noProof/>
        </w:rPr>
        <w:t>2</w:t>
      </w:r>
      <w:r w:rsidRPr="00853D04">
        <w:rPr>
          <w:noProof/>
        </w:rPr>
        <w:t>0), oraz treść certyfikatu europejskiego stowarzyszenia transgranicznego (</w:t>
      </w:r>
      <w:r w:rsidRPr="00C13C75">
        <w:rPr>
          <w:noProof/>
        </w:rPr>
        <w:t>art.</w:t>
      </w:r>
      <w:r w:rsidR="00C13C75" w:rsidRPr="00C13C75">
        <w:rPr>
          <w:noProof/>
        </w:rPr>
        <w:t> </w:t>
      </w:r>
      <w:r w:rsidRPr="00C13C75">
        <w:rPr>
          <w:noProof/>
        </w:rPr>
        <w:t>2</w:t>
      </w:r>
      <w:r w:rsidRPr="00853D04">
        <w:rPr>
          <w:noProof/>
        </w:rPr>
        <w:t xml:space="preserve">1). </w:t>
      </w:r>
    </w:p>
    <w:p w14:paraId="4C9218D5" w14:textId="302FE570" w:rsidR="002C485F" w:rsidRPr="00853D04" w:rsidRDefault="002C485F" w:rsidP="002C485F">
      <w:pPr>
        <w:rPr>
          <w:noProof/>
        </w:rPr>
      </w:pPr>
      <w:r w:rsidRPr="00853D04">
        <w:rPr>
          <w:noProof/>
        </w:rPr>
        <w:t>Rozdział 4 określa zasady dotyczące praw europejskiego stowarzyszenia transgranicznego do mobilności. Dotyczy to</w:t>
      </w:r>
      <w:r w:rsidR="00C13C75" w:rsidRPr="00853D04">
        <w:rPr>
          <w:noProof/>
        </w:rPr>
        <w:t xml:space="preserve"> w</w:t>
      </w:r>
      <w:r w:rsidR="00C13C75">
        <w:rPr>
          <w:noProof/>
        </w:rPr>
        <w:t> </w:t>
      </w:r>
      <w:r w:rsidR="00C13C75" w:rsidRPr="00853D04">
        <w:rPr>
          <w:noProof/>
        </w:rPr>
        <w:t>szc</w:t>
      </w:r>
      <w:r w:rsidRPr="00853D04">
        <w:rPr>
          <w:noProof/>
        </w:rPr>
        <w:t>zególności możliwości przeniesienia przez europejskie stowarzyszenie transgraniczne siedziby statutowej bez skutku</w:t>
      </w:r>
      <w:r w:rsidR="00C13C75" w:rsidRPr="00853D04">
        <w:rPr>
          <w:noProof/>
        </w:rPr>
        <w:t xml:space="preserve"> w</w:t>
      </w:r>
      <w:r w:rsidR="00C13C75">
        <w:rPr>
          <w:noProof/>
        </w:rPr>
        <w:t> </w:t>
      </w:r>
      <w:r w:rsidR="00C13C75" w:rsidRPr="00853D04">
        <w:rPr>
          <w:noProof/>
        </w:rPr>
        <w:t>pos</w:t>
      </w:r>
      <w:r w:rsidRPr="00853D04">
        <w:rPr>
          <w:noProof/>
        </w:rPr>
        <w:t>taci rozwiązania danego europejskiego stowarzyszenia transgranicznego (</w:t>
      </w:r>
      <w:r w:rsidRPr="00C13C75">
        <w:rPr>
          <w:noProof/>
        </w:rPr>
        <w:t>art.</w:t>
      </w:r>
      <w:r w:rsidR="00C13C75" w:rsidRPr="00C13C75">
        <w:rPr>
          <w:noProof/>
        </w:rPr>
        <w:t> </w:t>
      </w:r>
      <w:r w:rsidRPr="00C13C75">
        <w:rPr>
          <w:noProof/>
        </w:rPr>
        <w:t>2</w:t>
      </w:r>
      <w:r w:rsidRPr="00853D04">
        <w:rPr>
          <w:noProof/>
        </w:rPr>
        <w:t>2) oraz procedury przeniesienia siedziby statutowej stowarzyszenia (</w:t>
      </w:r>
      <w:r w:rsidRPr="00C13C75">
        <w:rPr>
          <w:noProof/>
        </w:rPr>
        <w:t>art.</w:t>
      </w:r>
      <w:r w:rsidR="00C13C75" w:rsidRPr="00C13C75">
        <w:rPr>
          <w:noProof/>
        </w:rPr>
        <w:t> </w:t>
      </w:r>
      <w:r w:rsidRPr="00C13C75">
        <w:rPr>
          <w:noProof/>
        </w:rPr>
        <w:t>2</w:t>
      </w:r>
      <w:r w:rsidRPr="00853D04">
        <w:rPr>
          <w:noProof/>
        </w:rPr>
        <w:t xml:space="preserve">3). </w:t>
      </w:r>
    </w:p>
    <w:p w14:paraId="1BCF7FEB" w14:textId="05B5B84A" w:rsidR="003A2195" w:rsidRPr="00853D04" w:rsidRDefault="0058465F" w:rsidP="002C485F">
      <w:pPr>
        <w:rPr>
          <w:rStyle w:val="normaltextrun"/>
          <w:noProof/>
          <w:color w:val="000000" w:themeColor="text1"/>
        </w:rPr>
      </w:pPr>
      <w:r w:rsidRPr="00853D04">
        <w:rPr>
          <w:rStyle w:val="normaltextrun"/>
          <w:noProof/>
          <w:shd w:val="clear" w:color="auto" w:fill="FFFFFF"/>
        </w:rPr>
        <w:t xml:space="preserve">Rozdział </w:t>
      </w:r>
      <w:r w:rsidRPr="00853D04">
        <w:rPr>
          <w:rStyle w:val="normaltextrun"/>
          <w:noProof/>
          <w:color w:val="000000" w:themeColor="text1"/>
        </w:rPr>
        <w:t>5</w:t>
      </w:r>
      <w:r w:rsidRPr="00853D04">
        <w:rPr>
          <w:rStyle w:val="normaltextrun"/>
          <w:noProof/>
          <w:shd w:val="clear" w:color="auto" w:fill="FFFFFF"/>
        </w:rPr>
        <w:t xml:space="preserve"> zawiera przepisy dotyczące rozwiązania europejskiego stowarzyszenia transgranicznego. Dokładniej rzecz ujmując, </w:t>
      </w:r>
      <w:r w:rsidRPr="00853D04">
        <w:rPr>
          <w:rStyle w:val="normaltextrun"/>
          <w:noProof/>
          <w:color w:val="000000" w:themeColor="text1"/>
        </w:rPr>
        <w:t>określone są</w:t>
      </w:r>
      <w:r w:rsidR="00C13C75" w:rsidRPr="00853D04">
        <w:rPr>
          <w:rStyle w:val="normaltextrun"/>
          <w:noProof/>
          <w:color w:val="000000" w:themeColor="text1"/>
        </w:rPr>
        <w:t xml:space="preserve"> w</w:t>
      </w:r>
      <w:r w:rsidR="00C13C75">
        <w:rPr>
          <w:rStyle w:val="normaltextrun"/>
          <w:noProof/>
          <w:color w:val="000000" w:themeColor="text1"/>
        </w:rPr>
        <w:t> </w:t>
      </w:r>
      <w:r w:rsidR="00C13C75" w:rsidRPr="00853D04">
        <w:rPr>
          <w:rStyle w:val="normaltextrun"/>
          <w:noProof/>
          <w:color w:val="000000" w:themeColor="text1"/>
        </w:rPr>
        <w:t>nim</w:t>
      </w:r>
      <w:r w:rsidRPr="00853D04">
        <w:rPr>
          <w:rStyle w:val="normaltextrun"/>
          <w:noProof/>
          <w:color w:val="000000" w:themeColor="text1"/>
        </w:rPr>
        <w:t xml:space="preserve"> zasady dotyczące rozwiązania dobrowolnego (</w:t>
      </w:r>
      <w:r w:rsidRPr="00C13C75">
        <w:rPr>
          <w:rStyle w:val="normaltextrun"/>
          <w:noProof/>
          <w:color w:val="000000" w:themeColor="text1"/>
        </w:rPr>
        <w:t>art.</w:t>
      </w:r>
      <w:r w:rsidR="00C13C75" w:rsidRPr="00C13C75">
        <w:rPr>
          <w:rStyle w:val="normaltextrun"/>
          <w:noProof/>
          <w:color w:val="000000" w:themeColor="text1"/>
        </w:rPr>
        <w:t> </w:t>
      </w:r>
      <w:r w:rsidRPr="00C13C75">
        <w:rPr>
          <w:rStyle w:val="normaltextrun"/>
          <w:noProof/>
          <w:color w:val="000000" w:themeColor="text1"/>
        </w:rPr>
        <w:t>2</w:t>
      </w:r>
      <w:r w:rsidRPr="00853D04">
        <w:rPr>
          <w:rStyle w:val="normaltextrun"/>
          <w:noProof/>
          <w:color w:val="000000" w:themeColor="text1"/>
        </w:rPr>
        <w:t>4)</w:t>
      </w:r>
      <w:r w:rsidR="00C13C75" w:rsidRPr="00853D04">
        <w:rPr>
          <w:rStyle w:val="normaltextrun"/>
          <w:noProof/>
          <w:color w:val="000000" w:themeColor="text1"/>
        </w:rPr>
        <w:t xml:space="preserve"> i</w:t>
      </w:r>
      <w:r w:rsidR="00C13C75">
        <w:rPr>
          <w:rStyle w:val="normaltextrun"/>
          <w:noProof/>
          <w:color w:val="000000" w:themeColor="text1"/>
        </w:rPr>
        <w:t> </w:t>
      </w:r>
      <w:r w:rsidR="00C13C75" w:rsidRPr="00853D04">
        <w:rPr>
          <w:rStyle w:val="normaltextrun"/>
          <w:noProof/>
          <w:color w:val="000000" w:themeColor="text1"/>
        </w:rPr>
        <w:t>roz</w:t>
      </w:r>
      <w:r w:rsidRPr="00853D04">
        <w:rPr>
          <w:rStyle w:val="normaltextrun"/>
          <w:noProof/>
          <w:color w:val="000000" w:themeColor="text1"/>
        </w:rPr>
        <w:t>wiązania przymusowego (</w:t>
      </w:r>
      <w:r w:rsidRPr="00C13C75">
        <w:rPr>
          <w:rStyle w:val="normaltextrun"/>
          <w:noProof/>
          <w:color w:val="000000" w:themeColor="text1"/>
        </w:rPr>
        <w:t>art.</w:t>
      </w:r>
      <w:r w:rsidR="00C13C75" w:rsidRPr="00C13C75">
        <w:rPr>
          <w:rStyle w:val="normaltextrun"/>
          <w:noProof/>
          <w:color w:val="000000" w:themeColor="text1"/>
        </w:rPr>
        <w:t> </w:t>
      </w:r>
      <w:r w:rsidRPr="00C13C75">
        <w:rPr>
          <w:rStyle w:val="normaltextrun"/>
          <w:noProof/>
          <w:color w:val="000000" w:themeColor="text1"/>
        </w:rPr>
        <w:t>2</w:t>
      </w:r>
      <w:r w:rsidRPr="00853D04">
        <w:rPr>
          <w:rStyle w:val="normaltextrun"/>
          <w:noProof/>
          <w:color w:val="000000" w:themeColor="text1"/>
        </w:rPr>
        <w:t>7). Zapewniono</w:t>
      </w:r>
      <w:r w:rsidR="00C13C75" w:rsidRPr="00853D04">
        <w:rPr>
          <w:rStyle w:val="normaltextrun"/>
          <w:noProof/>
          <w:color w:val="000000" w:themeColor="text1"/>
        </w:rPr>
        <w:t xml:space="preserve"> w</w:t>
      </w:r>
      <w:r w:rsidR="00C13C75">
        <w:rPr>
          <w:rStyle w:val="normaltextrun"/>
          <w:noProof/>
          <w:color w:val="000000" w:themeColor="text1"/>
        </w:rPr>
        <w:t> </w:t>
      </w:r>
      <w:r w:rsidR="00C13C75" w:rsidRPr="00853D04">
        <w:rPr>
          <w:rStyle w:val="normaltextrun"/>
          <w:noProof/>
          <w:color w:val="000000" w:themeColor="text1"/>
        </w:rPr>
        <w:t>nim</w:t>
      </w:r>
      <w:r w:rsidRPr="00853D04">
        <w:rPr>
          <w:rStyle w:val="normaltextrun"/>
          <w:noProof/>
          <w:color w:val="000000" w:themeColor="text1"/>
        </w:rPr>
        <w:t xml:space="preserve"> ponadto, że rozwiązanie europejskiego stowarzyszenia transgranicznego pociąga za sobą jego likwidację, która musi być zgodna</w:t>
      </w:r>
      <w:r w:rsidR="00C13C75" w:rsidRPr="00853D04">
        <w:rPr>
          <w:rStyle w:val="normaltextrun"/>
          <w:noProof/>
          <w:color w:val="000000" w:themeColor="text1"/>
        </w:rPr>
        <w:t xml:space="preserve"> z</w:t>
      </w:r>
      <w:r w:rsidR="00C13C75">
        <w:rPr>
          <w:rStyle w:val="normaltextrun"/>
          <w:noProof/>
          <w:color w:val="000000" w:themeColor="text1"/>
        </w:rPr>
        <w:t> </w:t>
      </w:r>
      <w:r w:rsidR="00C13C75" w:rsidRPr="00853D04">
        <w:rPr>
          <w:rStyle w:val="normaltextrun"/>
          <w:noProof/>
          <w:color w:val="000000" w:themeColor="text1"/>
        </w:rPr>
        <w:t>ogr</w:t>
      </w:r>
      <w:r w:rsidRPr="00853D04">
        <w:rPr>
          <w:rStyle w:val="normaltextrun"/>
          <w:noProof/>
          <w:color w:val="000000" w:themeColor="text1"/>
        </w:rPr>
        <w:t>aniczeniem braku podziału związanym</w:t>
      </w:r>
      <w:r w:rsidR="00C13C75" w:rsidRPr="00853D04">
        <w:rPr>
          <w:rStyle w:val="normaltextrun"/>
          <w:noProof/>
          <w:color w:val="000000" w:themeColor="text1"/>
        </w:rPr>
        <w:t xml:space="preserve"> z</w:t>
      </w:r>
      <w:r w:rsidR="00C13C75">
        <w:rPr>
          <w:rStyle w:val="normaltextrun"/>
          <w:noProof/>
          <w:color w:val="000000" w:themeColor="text1"/>
        </w:rPr>
        <w:t> </w:t>
      </w:r>
      <w:r w:rsidR="00C13C75" w:rsidRPr="00853D04">
        <w:rPr>
          <w:rStyle w:val="normaltextrun"/>
          <w:noProof/>
          <w:color w:val="000000" w:themeColor="text1"/>
        </w:rPr>
        <w:t>nie</w:t>
      </w:r>
      <w:r w:rsidRPr="00853D04">
        <w:rPr>
          <w:rStyle w:val="normaltextrun"/>
          <w:noProof/>
          <w:color w:val="000000" w:themeColor="text1"/>
        </w:rPr>
        <w:t>dochodowym celem (</w:t>
      </w:r>
      <w:r w:rsidRPr="00C13C75">
        <w:rPr>
          <w:rStyle w:val="normaltextrun"/>
          <w:noProof/>
          <w:color w:val="000000" w:themeColor="text1"/>
        </w:rPr>
        <w:t>art.</w:t>
      </w:r>
      <w:r w:rsidR="00C13C75" w:rsidRPr="00C13C75">
        <w:rPr>
          <w:rStyle w:val="normaltextrun"/>
          <w:noProof/>
          <w:color w:val="000000" w:themeColor="text1"/>
        </w:rPr>
        <w:t> </w:t>
      </w:r>
      <w:r w:rsidRPr="00C13C75">
        <w:rPr>
          <w:rStyle w:val="normaltextrun"/>
          <w:noProof/>
          <w:color w:val="000000" w:themeColor="text1"/>
        </w:rPr>
        <w:t>2</w:t>
      </w:r>
      <w:r w:rsidRPr="00853D04">
        <w:rPr>
          <w:rStyle w:val="normaltextrun"/>
          <w:noProof/>
          <w:color w:val="000000" w:themeColor="text1"/>
        </w:rPr>
        <w:t xml:space="preserve">5). </w:t>
      </w:r>
    </w:p>
    <w:p w14:paraId="026B1A5D" w14:textId="1F240869" w:rsidR="00BD389C" w:rsidRPr="00853D04" w:rsidRDefault="002C485F" w:rsidP="002C485F">
      <w:pPr>
        <w:rPr>
          <w:noProof/>
        </w:rPr>
      </w:pPr>
      <w:r w:rsidRPr="00853D04">
        <w:rPr>
          <w:noProof/>
        </w:rPr>
        <w:t>Rozdział 6 zawiera przepisy dotyczące egzekwowania, współpracy</w:t>
      </w:r>
      <w:r w:rsidR="00C13C75" w:rsidRPr="00853D04">
        <w:rPr>
          <w:noProof/>
        </w:rPr>
        <w:t xml:space="preserve"> i</w:t>
      </w:r>
      <w:r w:rsidR="00C13C75">
        <w:rPr>
          <w:noProof/>
        </w:rPr>
        <w:t> </w:t>
      </w:r>
      <w:r w:rsidR="00C13C75" w:rsidRPr="00853D04">
        <w:rPr>
          <w:noProof/>
        </w:rPr>
        <w:t>mon</w:t>
      </w:r>
      <w:r w:rsidRPr="00853D04">
        <w:rPr>
          <w:noProof/>
        </w:rPr>
        <w:t>itorowania przepisów zawartych we wniosku. Dotyczy to wyznaczenia właściwego organu odpowiedzialnego za wykonywanie obowiązków wynikających</w:t>
      </w:r>
      <w:r w:rsidR="00C13C75" w:rsidRPr="00853D04">
        <w:rPr>
          <w:noProof/>
        </w:rPr>
        <w:t xml:space="preserve"> z</w:t>
      </w:r>
      <w:r w:rsidR="00C13C75">
        <w:rPr>
          <w:noProof/>
        </w:rPr>
        <w:t> </w:t>
      </w:r>
      <w:r w:rsidR="00C13C75" w:rsidRPr="00853D04">
        <w:rPr>
          <w:noProof/>
        </w:rPr>
        <w:t>nin</w:t>
      </w:r>
      <w:r w:rsidRPr="00853D04">
        <w:rPr>
          <w:noProof/>
        </w:rPr>
        <w:t>iejszego wniosku (</w:t>
      </w:r>
      <w:r w:rsidRPr="00C13C75">
        <w:rPr>
          <w:noProof/>
        </w:rPr>
        <w:t>art.</w:t>
      </w:r>
      <w:r w:rsidR="00C13C75" w:rsidRPr="00C13C75">
        <w:rPr>
          <w:noProof/>
        </w:rPr>
        <w:t> </w:t>
      </w:r>
      <w:r w:rsidRPr="00C13C75">
        <w:rPr>
          <w:noProof/>
        </w:rPr>
        <w:t>2</w:t>
      </w:r>
      <w:r w:rsidRPr="00853D04">
        <w:rPr>
          <w:noProof/>
        </w:rPr>
        <w:t>7); współpracy administracyjnej między właściwymi organami państw członkowskich oraz monitorowania przez Komisję korzystania</w:t>
      </w:r>
      <w:r w:rsidR="00C13C75" w:rsidRPr="00853D04">
        <w:rPr>
          <w:noProof/>
        </w:rPr>
        <w:t xml:space="preserve"> z</w:t>
      </w:r>
      <w:r w:rsidR="00C13C75">
        <w:rPr>
          <w:noProof/>
        </w:rPr>
        <w:t> </w:t>
      </w:r>
      <w:r w:rsidR="00C13C75" w:rsidRPr="00853D04">
        <w:rPr>
          <w:noProof/>
        </w:rPr>
        <w:t>sys</w:t>
      </w:r>
      <w:r w:rsidRPr="00853D04">
        <w:rPr>
          <w:noProof/>
        </w:rPr>
        <w:t>temu wymiany informacji na rynku wewnętrznym (IMI)</w:t>
      </w:r>
      <w:r w:rsidR="00C13C75" w:rsidRPr="00853D04">
        <w:rPr>
          <w:noProof/>
        </w:rPr>
        <w:t xml:space="preserve"> w</w:t>
      </w:r>
      <w:r w:rsidR="00C13C75">
        <w:rPr>
          <w:noProof/>
        </w:rPr>
        <w:t> </w:t>
      </w:r>
      <w:r w:rsidR="00C13C75" w:rsidRPr="00853D04">
        <w:rPr>
          <w:noProof/>
        </w:rPr>
        <w:t>kon</w:t>
      </w:r>
      <w:r w:rsidRPr="00853D04">
        <w:rPr>
          <w:noProof/>
        </w:rPr>
        <w:t>tekście tej współpracy (</w:t>
      </w:r>
      <w:r w:rsidRPr="00C13C75">
        <w:rPr>
          <w:noProof/>
        </w:rPr>
        <w:t>art.</w:t>
      </w:r>
      <w:r w:rsidR="00C13C75" w:rsidRPr="00C13C75">
        <w:rPr>
          <w:noProof/>
        </w:rPr>
        <w:t> </w:t>
      </w:r>
      <w:r w:rsidRPr="00C13C75">
        <w:rPr>
          <w:noProof/>
        </w:rPr>
        <w:t>2</w:t>
      </w:r>
      <w:r w:rsidRPr="00853D04">
        <w:rPr>
          <w:noProof/>
        </w:rPr>
        <w:t>8); przepisów dotyczących monitorowania</w:t>
      </w:r>
      <w:r w:rsidR="00C13C75" w:rsidRPr="00853D04">
        <w:rPr>
          <w:noProof/>
        </w:rPr>
        <w:t xml:space="preserve"> i</w:t>
      </w:r>
      <w:r w:rsidR="00C13C75">
        <w:rPr>
          <w:noProof/>
        </w:rPr>
        <w:t> </w:t>
      </w:r>
      <w:r w:rsidR="00C13C75" w:rsidRPr="00853D04">
        <w:rPr>
          <w:noProof/>
        </w:rPr>
        <w:t>spr</w:t>
      </w:r>
      <w:r w:rsidRPr="00853D04">
        <w:rPr>
          <w:noProof/>
        </w:rPr>
        <w:t>awozdawczości</w:t>
      </w:r>
      <w:r w:rsidR="00C13C75" w:rsidRPr="00853D04">
        <w:rPr>
          <w:noProof/>
        </w:rPr>
        <w:t xml:space="preserve"> w</w:t>
      </w:r>
      <w:r w:rsidR="00C13C75">
        <w:rPr>
          <w:noProof/>
        </w:rPr>
        <w:t> </w:t>
      </w:r>
      <w:r w:rsidR="00C13C75" w:rsidRPr="00853D04">
        <w:rPr>
          <w:noProof/>
        </w:rPr>
        <w:t>zak</w:t>
      </w:r>
      <w:r w:rsidRPr="00853D04">
        <w:rPr>
          <w:noProof/>
        </w:rPr>
        <w:t>resie tej proponowanej dyrektywy (</w:t>
      </w:r>
      <w:r w:rsidRPr="00C13C75">
        <w:rPr>
          <w:noProof/>
        </w:rPr>
        <w:t>art.</w:t>
      </w:r>
      <w:r w:rsidR="00C13C75" w:rsidRPr="00C13C75">
        <w:rPr>
          <w:noProof/>
        </w:rPr>
        <w:t> </w:t>
      </w:r>
      <w:r w:rsidRPr="00C13C75">
        <w:rPr>
          <w:noProof/>
        </w:rPr>
        <w:t>2</w:t>
      </w:r>
      <w:r w:rsidRPr="00853D04">
        <w:rPr>
          <w:noProof/>
        </w:rPr>
        <w:t xml:space="preserve">9). </w:t>
      </w:r>
    </w:p>
    <w:p w14:paraId="61DF19E8" w14:textId="4D1F0251" w:rsidR="002C485F" w:rsidRPr="00853D04" w:rsidRDefault="002C485F" w:rsidP="002C485F">
      <w:pPr>
        <w:rPr>
          <w:noProof/>
        </w:rPr>
      </w:pPr>
      <w:r w:rsidRPr="00853D04">
        <w:rPr>
          <w:noProof/>
        </w:rPr>
        <w:t>W rozdziale 7 określone są przepisy końcowe umożliwiające Komisji przyjmowanie aktów wykonawczych (</w:t>
      </w:r>
      <w:r w:rsidRPr="00C13C75">
        <w:rPr>
          <w:noProof/>
        </w:rPr>
        <w:t>art.</w:t>
      </w:r>
      <w:r w:rsidR="00C13C75" w:rsidRPr="00C13C75">
        <w:rPr>
          <w:noProof/>
        </w:rPr>
        <w:t> </w:t>
      </w:r>
      <w:r w:rsidRPr="00C13C75">
        <w:rPr>
          <w:noProof/>
        </w:rPr>
        <w:t>3</w:t>
      </w:r>
      <w:r w:rsidRPr="00853D04">
        <w:rPr>
          <w:noProof/>
        </w:rPr>
        <w:t>0), dotyczące transpozycji niniejszego wniosku (</w:t>
      </w:r>
      <w:r w:rsidRPr="00C13C75">
        <w:rPr>
          <w:noProof/>
        </w:rPr>
        <w:t>art.</w:t>
      </w:r>
      <w:r w:rsidR="00C13C75" w:rsidRPr="00C13C75">
        <w:rPr>
          <w:noProof/>
        </w:rPr>
        <w:t> </w:t>
      </w:r>
      <w:r w:rsidRPr="00C13C75">
        <w:rPr>
          <w:noProof/>
        </w:rPr>
        <w:t>3</w:t>
      </w:r>
      <w:r w:rsidRPr="00853D04">
        <w:rPr>
          <w:noProof/>
        </w:rPr>
        <w:t>1)</w:t>
      </w:r>
      <w:r w:rsidR="00C13C75" w:rsidRPr="00853D04">
        <w:rPr>
          <w:noProof/>
        </w:rPr>
        <w:t xml:space="preserve"> i</w:t>
      </w:r>
      <w:r w:rsidR="00C13C75">
        <w:rPr>
          <w:noProof/>
        </w:rPr>
        <w:t> </w:t>
      </w:r>
      <w:r w:rsidR="00C13C75" w:rsidRPr="00853D04">
        <w:rPr>
          <w:noProof/>
        </w:rPr>
        <w:t>jeg</w:t>
      </w:r>
      <w:r w:rsidRPr="00853D04">
        <w:rPr>
          <w:noProof/>
        </w:rPr>
        <w:t>o wejścia</w:t>
      </w:r>
      <w:r w:rsidR="00C13C75" w:rsidRPr="00853D04">
        <w:rPr>
          <w:noProof/>
        </w:rPr>
        <w:t xml:space="preserve"> w</w:t>
      </w:r>
      <w:r w:rsidR="00C13C75">
        <w:rPr>
          <w:noProof/>
        </w:rPr>
        <w:t> </w:t>
      </w:r>
      <w:r w:rsidR="00C13C75" w:rsidRPr="00853D04">
        <w:rPr>
          <w:noProof/>
        </w:rPr>
        <w:t>życ</w:t>
      </w:r>
      <w:r w:rsidRPr="00853D04">
        <w:rPr>
          <w:noProof/>
        </w:rPr>
        <w:t>ie (</w:t>
      </w:r>
      <w:r w:rsidRPr="00C13C75">
        <w:rPr>
          <w:noProof/>
        </w:rPr>
        <w:t>art.</w:t>
      </w:r>
      <w:r w:rsidR="00C13C75" w:rsidRPr="00C13C75">
        <w:rPr>
          <w:noProof/>
        </w:rPr>
        <w:t> </w:t>
      </w:r>
      <w:r w:rsidRPr="00C13C75">
        <w:rPr>
          <w:noProof/>
        </w:rPr>
        <w:t>3</w:t>
      </w:r>
      <w:r w:rsidRPr="00853D04">
        <w:rPr>
          <w:noProof/>
        </w:rPr>
        <w:t>2),</w:t>
      </w:r>
      <w:r w:rsidR="00C13C75" w:rsidRPr="00853D04">
        <w:rPr>
          <w:noProof/>
        </w:rPr>
        <w:t xml:space="preserve"> a</w:t>
      </w:r>
      <w:r w:rsidR="00C13C75">
        <w:rPr>
          <w:noProof/>
        </w:rPr>
        <w:t> </w:t>
      </w:r>
      <w:r w:rsidR="00C13C75" w:rsidRPr="00853D04">
        <w:rPr>
          <w:noProof/>
        </w:rPr>
        <w:t>tak</w:t>
      </w:r>
      <w:r w:rsidRPr="00853D04">
        <w:rPr>
          <w:noProof/>
        </w:rPr>
        <w:t>że adresatów wniosku (</w:t>
      </w:r>
      <w:r w:rsidRPr="00C13C75">
        <w:rPr>
          <w:noProof/>
        </w:rPr>
        <w:t>art.</w:t>
      </w:r>
      <w:r w:rsidR="00C13C75" w:rsidRPr="00C13C75">
        <w:rPr>
          <w:noProof/>
        </w:rPr>
        <w:t> </w:t>
      </w:r>
      <w:r w:rsidRPr="00C13C75">
        <w:rPr>
          <w:noProof/>
        </w:rPr>
        <w:t>3</w:t>
      </w:r>
      <w:r w:rsidRPr="00853D04">
        <w:rPr>
          <w:noProof/>
        </w:rPr>
        <w:t>3).</w:t>
      </w:r>
    </w:p>
    <w:p w14:paraId="46F1B4FF" w14:textId="3E8968AC" w:rsidR="00F04C59" w:rsidRPr="00853D04" w:rsidDel="00637008" w:rsidRDefault="002C485F" w:rsidP="1F3A2EE7">
      <w:pPr>
        <w:rPr>
          <w:noProof/>
        </w:rPr>
      </w:pPr>
      <w:r w:rsidRPr="00853D04">
        <w:rPr>
          <w:noProof/>
        </w:rPr>
        <w:t>Dyrektywie towarzyszy rozporządzenie, które ma charakter techniczny</w:t>
      </w:r>
      <w:r w:rsidR="00C13C75" w:rsidRPr="00853D04">
        <w:rPr>
          <w:noProof/>
        </w:rPr>
        <w:t xml:space="preserve"> i</w:t>
      </w:r>
      <w:r w:rsidR="00C13C75">
        <w:rPr>
          <w:noProof/>
        </w:rPr>
        <w:t> </w:t>
      </w:r>
      <w:r w:rsidR="00C13C75" w:rsidRPr="00853D04">
        <w:rPr>
          <w:noProof/>
        </w:rPr>
        <w:t>zmi</w:t>
      </w:r>
      <w:r w:rsidRPr="00853D04">
        <w:rPr>
          <w:noProof/>
        </w:rPr>
        <w:t xml:space="preserve">enia rozporządzenie (UE) </w:t>
      </w:r>
      <w:r w:rsidRPr="00C13C75">
        <w:rPr>
          <w:noProof/>
        </w:rPr>
        <w:t>nr</w:t>
      </w:r>
      <w:r w:rsidR="00C13C75" w:rsidRPr="00C13C75">
        <w:rPr>
          <w:noProof/>
        </w:rPr>
        <w:t> </w:t>
      </w:r>
      <w:r w:rsidRPr="00C13C75">
        <w:rPr>
          <w:noProof/>
        </w:rPr>
        <w:t>1</w:t>
      </w:r>
      <w:r w:rsidRPr="00853D04">
        <w:rPr>
          <w:noProof/>
        </w:rPr>
        <w:t>024/2012, którym ustanowiono system wymiany informacji na rynku wewnętrznym (IMI),</w:t>
      </w:r>
      <w:r w:rsidR="00C13C75" w:rsidRPr="00853D04">
        <w:rPr>
          <w:noProof/>
        </w:rPr>
        <w:t xml:space="preserve"> w</w:t>
      </w:r>
      <w:r w:rsidR="00C13C75">
        <w:rPr>
          <w:noProof/>
        </w:rPr>
        <w:t> </w:t>
      </w:r>
      <w:r w:rsidR="00C13C75" w:rsidRPr="00853D04">
        <w:rPr>
          <w:noProof/>
        </w:rPr>
        <w:t>cel</w:t>
      </w:r>
      <w:r w:rsidRPr="00853D04">
        <w:rPr>
          <w:noProof/>
        </w:rPr>
        <w:t>u zapewnienia, aby właściwe organy państw członkowskich współpracowały</w:t>
      </w:r>
      <w:r w:rsidR="00C13C75" w:rsidRPr="00853D04">
        <w:rPr>
          <w:noProof/>
        </w:rPr>
        <w:t xml:space="preserve"> i</w:t>
      </w:r>
      <w:r w:rsidR="00C13C75">
        <w:rPr>
          <w:noProof/>
        </w:rPr>
        <w:t> </w:t>
      </w:r>
      <w:r w:rsidR="00C13C75" w:rsidRPr="00853D04">
        <w:rPr>
          <w:noProof/>
        </w:rPr>
        <w:t>wym</w:t>
      </w:r>
      <w:r w:rsidRPr="00853D04">
        <w:rPr>
          <w:noProof/>
        </w:rPr>
        <w:t>ieniały informacje za pośrednictwem IMI, gdy stosują przepisy krajowe wdrożone zgodnie</w:t>
      </w:r>
      <w:r w:rsidR="00C13C75" w:rsidRPr="00853D04">
        <w:rPr>
          <w:noProof/>
        </w:rPr>
        <w:t xml:space="preserve"> z</w:t>
      </w:r>
      <w:r w:rsidR="00C13C75">
        <w:rPr>
          <w:noProof/>
        </w:rPr>
        <w:t> </w:t>
      </w:r>
      <w:r w:rsidR="00C13C75" w:rsidRPr="00853D04">
        <w:rPr>
          <w:noProof/>
        </w:rPr>
        <w:t>prz</w:t>
      </w:r>
      <w:r w:rsidRPr="00853D04">
        <w:rPr>
          <w:noProof/>
        </w:rPr>
        <w:t>episami wniosku (</w:t>
      </w:r>
      <w:r w:rsidRPr="00C13C75">
        <w:rPr>
          <w:noProof/>
        </w:rPr>
        <w:t>art.</w:t>
      </w:r>
      <w:r w:rsidR="00C13C75" w:rsidRPr="00C13C75">
        <w:rPr>
          <w:noProof/>
        </w:rPr>
        <w:t> </w:t>
      </w:r>
      <w:r w:rsidRPr="00C13C75">
        <w:rPr>
          <w:noProof/>
        </w:rPr>
        <w:t>1</w:t>
      </w:r>
      <w:r w:rsidRPr="00853D04">
        <w:rPr>
          <w:noProof/>
        </w:rPr>
        <w:t>). Zmienia ono również rozporządzenie (UE) 2018/1724</w:t>
      </w:r>
      <w:r w:rsidRPr="00853D04">
        <w:rPr>
          <w:rStyle w:val="FootnoteReference"/>
          <w:noProof/>
        </w:rPr>
        <w:footnoteReference w:id="32"/>
      </w:r>
      <w:r w:rsidRPr="00853D04">
        <w:rPr>
          <w:noProof/>
        </w:rPr>
        <w:t>, którym ustanowiono jednolity portal cyfrowy,</w:t>
      </w:r>
      <w:r w:rsidR="00C13C75" w:rsidRPr="00853D04">
        <w:rPr>
          <w:noProof/>
        </w:rPr>
        <w:t xml:space="preserve"> w</w:t>
      </w:r>
      <w:r w:rsidR="00C13C75">
        <w:rPr>
          <w:noProof/>
        </w:rPr>
        <w:t> </w:t>
      </w:r>
      <w:r w:rsidR="00C13C75" w:rsidRPr="00853D04">
        <w:rPr>
          <w:noProof/>
        </w:rPr>
        <w:t>cel</w:t>
      </w:r>
      <w:r w:rsidRPr="00853D04">
        <w:rPr>
          <w:noProof/>
        </w:rPr>
        <w:t>u zapewnienia, aby państwa członkowskie udostępniły online informacje istotne dla europejskich stowarzyszeń transgranicznych</w:t>
      </w:r>
      <w:r w:rsidR="00C13C75" w:rsidRPr="00853D04">
        <w:rPr>
          <w:noProof/>
        </w:rPr>
        <w:t xml:space="preserve"> i</w:t>
      </w:r>
      <w:r w:rsidR="00C13C75">
        <w:rPr>
          <w:noProof/>
        </w:rPr>
        <w:t> </w:t>
      </w:r>
      <w:r w:rsidR="00C13C75" w:rsidRPr="00853D04">
        <w:rPr>
          <w:noProof/>
        </w:rPr>
        <w:t>sto</w:t>
      </w:r>
      <w:r w:rsidRPr="00853D04">
        <w:rPr>
          <w:noProof/>
        </w:rPr>
        <w:t>warzyszeń niekomercyjnych oraz</w:t>
      </w:r>
      <w:r w:rsidR="00C13C75" w:rsidRPr="00853D04">
        <w:rPr>
          <w:noProof/>
        </w:rPr>
        <w:t xml:space="preserve"> w</w:t>
      </w:r>
      <w:r w:rsidR="00C13C75">
        <w:rPr>
          <w:noProof/>
        </w:rPr>
        <w:t> </w:t>
      </w:r>
      <w:r w:rsidR="00C13C75" w:rsidRPr="00853D04">
        <w:rPr>
          <w:noProof/>
        </w:rPr>
        <w:t>cel</w:t>
      </w:r>
      <w:r w:rsidRPr="00853D04">
        <w:rPr>
          <w:noProof/>
        </w:rPr>
        <w:t>u ułatwienia wymiany dowodów między właściwymi organami</w:t>
      </w:r>
      <w:r w:rsidR="00C13C75" w:rsidRPr="00853D04">
        <w:rPr>
          <w:noProof/>
        </w:rPr>
        <w:t xml:space="preserve"> w</w:t>
      </w:r>
      <w:r w:rsidR="00C13C75">
        <w:rPr>
          <w:noProof/>
        </w:rPr>
        <w:t> </w:t>
      </w:r>
      <w:r w:rsidR="00C13C75" w:rsidRPr="00853D04">
        <w:rPr>
          <w:noProof/>
        </w:rPr>
        <w:t>tra</w:t>
      </w:r>
      <w:r w:rsidRPr="00853D04">
        <w:rPr>
          <w:noProof/>
        </w:rPr>
        <w:t>kcie procedur dotyczących europejskich stowarzyszeń transgranicznych, jak określono</w:t>
      </w:r>
      <w:r w:rsidR="00C13C75" w:rsidRPr="00853D04">
        <w:rPr>
          <w:noProof/>
        </w:rPr>
        <w:t xml:space="preserve"> w</w:t>
      </w:r>
      <w:r w:rsidR="00C13C75">
        <w:rPr>
          <w:noProof/>
        </w:rPr>
        <w:t> </w:t>
      </w:r>
      <w:r w:rsidR="00C13C75" w:rsidRPr="00853D04">
        <w:rPr>
          <w:noProof/>
        </w:rPr>
        <w:t>pro</w:t>
      </w:r>
      <w:r w:rsidRPr="00853D04">
        <w:rPr>
          <w:noProof/>
        </w:rPr>
        <w:t>ponowanej dyrektywie (</w:t>
      </w:r>
      <w:r w:rsidRPr="00C13C75">
        <w:rPr>
          <w:noProof/>
        </w:rPr>
        <w:t>art.</w:t>
      </w:r>
      <w:r w:rsidR="00C13C75" w:rsidRPr="00C13C75">
        <w:rPr>
          <w:noProof/>
        </w:rPr>
        <w:t> </w:t>
      </w:r>
      <w:r w:rsidRPr="00C13C75">
        <w:rPr>
          <w:noProof/>
        </w:rPr>
        <w:t>2</w:t>
      </w:r>
      <w:r w:rsidRPr="00853D04">
        <w:rPr>
          <w:noProof/>
        </w:rPr>
        <w:t xml:space="preserve">). </w:t>
      </w:r>
    </w:p>
    <w:p w14:paraId="41B971B4" w14:textId="77777777" w:rsidR="00BE7E05" w:rsidRPr="00853D04" w:rsidRDefault="002C485F" w:rsidP="002478FD">
      <w:pPr>
        <w:rPr>
          <w:noProof/>
        </w:rPr>
        <w:sectPr w:rsidR="00BE7E05" w:rsidRPr="00853D04" w:rsidSect="002D57EB">
          <w:footerReference w:type="default" r:id="rId18"/>
          <w:footerReference w:type="first" r:id="rId19"/>
          <w:pgSz w:w="11907" w:h="16839"/>
          <w:pgMar w:top="1134" w:right="1417" w:bottom="1134" w:left="1417" w:header="709" w:footer="709" w:gutter="0"/>
          <w:cols w:space="708"/>
          <w:docGrid w:linePitch="360"/>
        </w:sectPr>
      </w:pPr>
      <w:r w:rsidRPr="00853D04">
        <w:rPr>
          <w:noProof/>
        </w:rPr>
        <w:t xml:space="preserve"> </w:t>
      </w:r>
      <w:r w:rsidRPr="00853D04">
        <w:rPr>
          <w:noProof/>
        </w:rPr>
        <w:br/>
        <w:t xml:space="preserve"> </w:t>
      </w:r>
      <w:r w:rsidRPr="00853D04">
        <w:rPr>
          <w:noProof/>
        </w:rPr>
        <w:br/>
      </w:r>
    </w:p>
    <w:p w14:paraId="024BE2C8" w14:textId="77777777" w:rsidR="000F57D8" w:rsidRPr="00853D04" w:rsidRDefault="000F57D8">
      <w:pPr>
        <w:spacing w:before="0" w:after="200" w:line="276" w:lineRule="auto"/>
        <w:jc w:val="left"/>
        <w:rPr>
          <w:noProof/>
        </w:rPr>
      </w:pPr>
    </w:p>
    <w:p w14:paraId="51BD53DE" w14:textId="0C6676AC" w:rsidR="00FA65C8" w:rsidRDefault="00FA65C8" w:rsidP="00FA65C8">
      <w:pPr>
        <w:pStyle w:val="Rfrenceinterinstitutionnelle"/>
        <w:rPr>
          <w:noProof/>
        </w:rPr>
      </w:pPr>
      <w:r w:rsidRPr="00FA65C8">
        <w:t>2023/0315 (COD)</w:t>
      </w:r>
    </w:p>
    <w:p w14:paraId="3447C4B6" w14:textId="79FF49C0" w:rsidR="00BE7E05" w:rsidRPr="00853D04" w:rsidRDefault="00C13C75" w:rsidP="00C13C75">
      <w:pPr>
        <w:pStyle w:val="Statut"/>
        <w:rPr>
          <w:noProof/>
        </w:rPr>
      </w:pPr>
      <w:r w:rsidRPr="00C13C75">
        <w:rPr>
          <w:noProof/>
        </w:rPr>
        <w:t>Wniosek</w:t>
      </w:r>
    </w:p>
    <w:p w14:paraId="40523A7C" w14:textId="06DFABF4" w:rsidR="00BE7E05" w:rsidRPr="00853D04" w:rsidRDefault="00C13C75" w:rsidP="00C13C75">
      <w:pPr>
        <w:pStyle w:val="Typedudocument"/>
        <w:rPr>
          <w:noProof/>
        </w:rPr>
      </w:pPr>
      <w:r w:rsidRPr="00C13C75">
        <w:rPr>
          <w:noProof/>
        </w:rPr>
        <w:t>DYREKTYWA PARLAMENTU EUROPEJSKIEGO I RADY</w:t>
      </w:r>
    </w:p>
    <w:p w14:paraId="2D9A72A7" w14:textId="6866E202" w:rsidR="00BE7E05" w:rsidRPr="00853D04" w:rsidRDefault="00C13C75" w:rsidP="00C13C75">
      <w:pPr>
        <w:pStyle w:val="Titreobjet"/>
        <w:rPr>
          <w:noProof/>
        </w:rPr>
      </w:pPr>
      <w:r w:rsidRPr="00C13C75">
        <w:rPr>
          <w:noProof/>
        </w:rPr>
        <w:t>w sprawie europejskich stowarzyszeń transgranicznych</w:t>
      </w:r>
    </w:p>
    <w:p w14:paraId="192D2EB6" w14:textId="704E13E7" w:rsidR="00BE7E05" w:rsidRPr="00853D04" w:rsidRDefault="00C13C75" w:rsidP="00C13C75">
      <w:pPr>
        <w:pStyle w:val="IntrtEEE"/>
        <w:rPr>
          <w:noProof/>
        </w:rPr>
      </w:pPr>
      <w:r w:rsidRPr="00C13C75">
        <w:rPr>
          <w:noProof/>
        </w:rPr>
        <w:t>(Tekst mający znaczenie dla EOG)</w:t>
      </w:r>
    </w:p>
    <w:p w14:paraId="7565BEE0" w14:textId="77777777" w:rsidR="00BE7E05" w:rsidRPr="00853D04" w:rsidRDefault="00BE7E05">
      <w:pPr>
        <w:pStyle w:val="Institutionquiagit"/>
        <w:rPr>
          <w:noProof/>
        </w:rPr>
      </w:pPr>
      <w:r w:rsidRPr="00853D04">
        <w:rPr>
          <w:noProof/>
        </w:rPr>
        <w:t>PARLAMENT EUROPEJSKI I RADA UNII EUROPEJSKIEJ,</w:t>
      </w:r>
    </w:p>
    <w:p w14:paraId="5B589182" w14:textId="601FEE1B" w:rsidR="00141B35" w:rsidRPr="00853D04" w:rsidRDefault="00141B35" w:rsidP="00141B35">
      <w:pPr>
        <w:rPr>
          <w:noProof/>
        </w:rPr>
      </w:pPr>
      <w:r w:rsidRPr="00853D04">
        <w:rPr>
          <w:noProof/>
        </w:rPr>
        <w:t>uwzględniając Traktat</w:t>
      </w:r>
      <w:r w:rsidR="00C13C75" w:rsidRPr="00853D04">
        <w:rPr>
          <w:noProof/>
        </w:rPr>
        <w:t xml:space="preserve"> o</w:t>
      </w:r>
      <w:r w:rsidR="00C13C75">
        <w:rPr>
          <w:noProof/>
        </w:rPr>
        <w:t> </w:t>
      </w:r>
      <w:r w:rsidR="00C13C75" w:rsidRPr="00853D04">
        <w:rPr>
          <w:noProof/>
        </w:rPr>
        <w:t>fun</w:t>
      </w:r>
      <w:r w:rsidRPr="00853D04">
        <w:rPr>
          <w:noProof/>
        </w:rPr>
        <w:t>kcjonowaniu Unii Europejskiej,</w:t>
      </w:r>
      <w:r w:rsidR="00C13C75" w:rsidRPr="00853D04">
        <w:rPr>
          <w:noProof/>
        </w:rPr>
        <w:t xml:space="preserve"> w</w:t>
      </w:r>
      <w:r w:rsidR="00C13C75">
        <w:rPr>
          <w:noProof/>
        </w:rPr>
        <w:t> </w:t>
      </w:r>
      <w:r w:rsidR="00C13C75" w:rsidRPr="00853D04">
        <w:rPr>
          <w:noProof/>
        </w:rPr>
        <w:t>szc</w:t>
      </w:r>
      <w:r w:rsidRPr="00853D04">
        <w:rPr>
          <w:noProof/>
        </w:rPr>
        <w:t xml:space="preserve">zególności jego </w:t>
      </w:r>
      <w:r w:rsidRPr="00C13C75">
        <w:rPr>
          <w:noProof/>
        </w:rPr>
        <w:t>art.</w:t>
      </w:r>
      <w:r w:rsidR="00C13C75" w:rsidRPr="00C13C75">
        <w:rPr>
          <w:noProof/>
        </w:rPr>
        <w:t> </w:t>
      </w:r>
      <w:r w:rsidRPr="00C13C75">
        <w:rPr>
          <w:noProof/>
        </w:rPr>
        <w:t>5</w:t>
      </w:r>
      <w:r w:rsidRPr="00853D04">
        <w:rPr>
          <w:noProof/>
        </w:rPr>
        <w:t>0</w:t>
      </w:r>
      <w:r w:rsidR="00C13C75" w:rsidRPr="00853D04">
        <w:rPr>
          <w:noProof/>
        </w:rPr>
        <w:t xml:space="preserve"> i</w:t>
      </w:r>
      <w:r w:rsidR="00C13C75">
        <w:rPr>
          <w:noProof/>
        </w:rPr>
        <w:t> </w:t>
      </w:r>
      <w:r w:rsidR="00C13C75" w:rsidRPr="00853D04">
        <w:rPr>
          <w:noProof/>
        </w:rPr>
        <w:t>1</w:t>
      </w:r>
      <w:r w:rsidRPr="00853D04">
        <w:rPr>
          <w:noProof/>
        </w:rPr>
        <w:t>14,</w:t>
      </w:r>
    </w:p>
    <w:p w14:paraId="6FD3050F" w14:textId="77777777" w:rsidR="00BE7E05" w:rsidRPr="00853D04" w:rsidRDefault="00BE7E05">
      <w:pPr>
        <w:rPr>
          <w:noProof/>
        </w:rPr>
      </w:pPr>
      <w:r w:rsidRPr="00853D04">
        <w:rPr>
          <w:noProof/>
        </w:rPr>
        <w:t>uwzględniając wniosek Komisji Europejskiej,</w:t>
      </w:r>
    </w:p>
    <w:p w14:paraId="0D7612AE" w14:textId="77777777" w:rsidR="00BE7E05" w:rsidRPr="00853D04" w:rsidRDefault="00BE7E05">
      <w:pPr>
        <w:rPr>
          <w:noProof/>
        </w:rPr>
      </w:pPr>
      <w:r w:rsidRPr="00853D04">
        <w:rPr>
          <w:noProof/>
        </w:rPr>
        <w:t>po przekazaniu projektu aktu ustawodawczego parlamentom narodowym,</w:t>
      </w:r>
    </w:p>
    <w:p w14:paraId="05B74500" w14:textId="77777777" w:rsidR="00BE7E05" w:rsidRPr="00853D04" w:rsidRDefault="00BE7E05">
      <w:pPr>
        <w:rPr>
          <w:noProof/>
        </w:rPr>
      </w:pPr>
      <w:r w:rsidRPr="00853D04">
        <w:rPr>
          <w:noProof/>
        </w:rPr>
        <w:t>uwzględniając opinię Europejskiego Komitetu Ekonomiczno-Społecznego</w:t>
      </w:r>
      <w:r w:rsidRPr="00853D04">
        <w:rPr>
          <w:rStyle w:val="FootnoteReference"/>
          <w:noProof/>
        </w:rPr>
        <w:footnoteReference w:id="33"/>
      </w:r>
      <w:r w:rsidRPr="00853D04">
        <w:rPr>
          <w:noProof/>
        </w:rPr>
        <w:t>,</w:t>
      </w:r>
    </w:p>
    <w:p w14:paraId="62DED5C8" w14:textId="77777777" w:rsidR="00BE7E05" w:rsidRPr="00853D04" w:rsidRDefault="00BE7E05">
      <w:pPr>
        <w:rPr>
          <w:noProof/>
        </w:rPr>
      </w:pPr>
      <w:r w:rsidRPr="00853D04">
        <w:rPr>
          <w:noProof/>
        </w:rPr>
        <w:t>stanowiąc zgodnie ze zwykłą procedurą ustawodawczą,</w:t>
      </w:r>
    </w:p>
    <w:p w14:paraId="19BC501F" w14:textId="77777777" w:rsidR="007042AD" w:rsidRPr="00853D04" w:rsidRDefault="00BE7E05" w:rsidP="007042AD">
      <w:pPr>
        <w:rPr>
          <w:noProof/>
        </w:rPr>
      </w:pPr>
      <w:r w:rsidRPr="00853D04">
        <w:rPr>
          <w:noProof/>
        </w:rPr>
        <w:t xml:space="preserve">a także mając na uwadze, co następuje: </w:t>
      </w:r>
    </w:p>
    <w:p w14:paraId="685A6F67" w14:textId="482338DA" w:rsidR="001E4FDC" w:rsidRPr="00853D04" w:rsidRDefault="008D78F5" w:rsidP="008D78F5">
      <w:pPr>
        <w:pStyle w:val="ManualConsidrant"/>
        <w:rPr>
          <w:noProof/>
        </w:rPr>
      </w:pPr>
      <w:r w:rsidRPr="008D78F5">
        <w:t>(1)</w:t>
      </w:r>
      <w:r w:rsidRPr="008D78F5">
        <w:tab/>
      </w:r>
      <w:r w:rsidR="001E4FDC" w:rsidRPr="00853D04">
        <w:rPr>
          <w:noProof/>
        </w:rPr>
        <w:t>Zgodnie</w:t>
      </w:r>
      <w:r w:rsidR="00C13C75" w:rsidRPr="00853D04">
        <w:rPr>
          <w:noProof/>
        </w:rPr>
        <w:t xml:space="preserve"> z</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2</w:t>
      </w:r>
      <w:r w:rsidR="001E4FDC" w:rsidRPr="00853D04">
        <w:rPr>
          <w:noProof/>
        </w:rPr>
        <w:t xml:space="preserve">6 </w:t>
      </w:r>
      <w:r w:rsidR="001E4FDC" w:rsidRPr="00C13C75">
        <w:rPr>
          <w:noProof/>
        </w:rPr>
        <w:t>ust.</w:t>
      </w:r>
      <w:r w:rsidR="00C13C75" w:rsidRPr="00C13C75">
        <w:rPr>
          <w:noProof/>
        </w:rPr>
        <w:t> </w:t>
      </w:r>
      <w:r w:rsidR="001E4FDC" w:rsidRPr="00C13C75">
        <w:rPr>
          <w:noProof/>
        </w:rPr>
        <w:t>2</w:t>
      </w:r>
      <w:r w:rsidR="001E4FDC" w:rsidRPr="00853D04">
        <w:rPr>
          <w:noProof/>
        </w:rPr>
        <w:t xml:space="preserve"> Traktatu</w:t>
      </w:r>
      <w:r w:rsidR="00C13C75" w:rsidRPr="00853D04">
        <w:rPr>
          <w:noProof/>
        </w:rPr>
        <w:t xml:space="preserve"> o</w:t>
      </w:r>
      <w:r w:rsidR="00C13C75">
        <w:rPr>
          <w:noProof/>
        </w:rPr>
        <w:t> </w:t>
      </w:r>
      <w:r w:rsidR="00C13C75" w:rsidRPr="00853D04">
        <w:rPr>
          <w:noProof/>
        </w:rPr>
        <w:t>fun</w:t>
      </w:r>
      <w:r w:rsidR="001E4FDC" w:rsidRPr="00853D04">
        <w:rPr>
          <w:noProof/>
        </w:rPr>
        <w:t>kcjonowaniu Unii Europejskiej rynek wewnętrzny obejmuje obszar bez granic wewnętrznych,</w:t>
      </w:r>
      <w:r w:rsidR="00C13C75" w:rsidRPr="00853D04">
        <w:rPr>
          <w:noProof/>
        </w:rPr>
        <w:t xml:space="preserve"> w</w:t>
      </w:r>
      <w:r w:rsidR="00C13C75">
        <w:rPr>
          <w:noProof/>
        </w:rPr>
        <w:t> </w:t>
      </w:r>
      <w:r w:rsidR="00C13C75" w:rsidRPr="00853D04">
        <w:rPr>
          <w:noProof/>
        </w:rPr>
        <w:t>któ</w:t>
      </w:r>
      <w:r w:rsidR="001E4FDC" w:rsidRPr="00853D04">
        <w:rPr>
          <w:noProof/>
        </w:rPr>
        <w:t>rym jest zapewniony swobodny przepływ towarów, osób, usług</w:t>
      </w:r>
      <w:r w:rsidR="00C13C75" w:rsidRPr="00853D04">
        <w:rPr>
          <w:noProof/>
        </w:rPr>
        <w:t xml:space="preserve"> i</w:t>
      </w:r>
      <w:r w:rsidR="00C13C75">
        <w:rPr>
          <w:noProof/>
        </w:rPr>
        <w:t> </w:t>
      </w:r>
      <w:r w:rsidR="00C13C75" w:rsidRPr="00853D04">
        <w:rPr>
          <w:noProof/>
        </w:rPr>
        <w:t>kap</w:t>
      </w:r>
      <w:r w:rsidR="001E4FDC" w:rsidRPr="00853D04">
        <w:rPr>
          <w:noProof/>
        </w:rPr>
        <w:t>itału. Aby osiągnąć ten cel,</w:t>
      </w:r>
      <w:r w:rsidR="00C13C75" w:rsidRPr="00853D04">
        <w:rPr>
          <w:noProof/>
        </w:rPr>
        <w:t xml:space="preserve"> w</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5</w:t>
      </w:r>
      <w:r w:rsidR="001E4FDC" w:rsidRPr="00853D04">
        <w:rPr>
          <w:noProof/>
        </w:rPr>
        <w:t>0 TFUE stanowi, że Parlament Europejski</w:t>
      </w:r>
      <w:r w:rsidR="00C13C75" w:rsidRPr="00853D04">
        <w:rPr>
          <w:noProof/>
        </w:rPr>
        <w:t xml:space="preserve"> i</w:t>
      </w:r>
      <w:r w:rsidR="00C13C75">
        <w:rPr>
          <w:noProof/>
        </w:rPr>
        <w:t> </w:t>
      </w:r>
      <w:r w:rsidR="00C13C75" w:rsidRPr="00853D04">
        <w:rPr>
          <w:noProof/>
        </w:rPr>
        <w:t>Rad</w:t>
      </w:r>
      <w:r w:rsidR="001E4FDC" w:rsidRPr="00853D04">
        <w:rPr>
          <w:noProof/>
        </w:rPr>
        <w:t>a uchwalają dyrektywy, aby zapewnić swobodę przedsiębiorczości</w:t>
      </w:r>
      <w:r w:rsidR="00C13C75" w:rsidRPr="00853D04">
        <w:rPr>
          <w:noProof/>
        </w:rPr>
        <w:t xml:space="preserve"> w</w:t>
      </w:r>
      <w:r w:rsidR="00C13C75">
        <w:rPr>
          <w:noProof/>
        </w:rPr>
        <w:t> </w:t>
      </w:r>
      <w:r w:rsidR="00C13C75" w:rsidRPr="00853D04">
        <w:rPr>
          <w:noProof/>
        </w:rPr>
        <w:t>odn</w:t>
      </w:r>
      <w:r w:rsidR="001E4FDC" w:rsidRPr="00853D04">
        <w:rPr>
          <w:noProof/>
        </w:rPr>
        <w:t>iesieniu do konkretnego rodzaju działalności. Art. 114 TFUE stanowi ponadto, że Parlament Europejski</w:t>
      </w:r>
      <w:r w:rsidR="00C13C75" w:rsidRPr="00853D04">
        <w:rPr>
          <w:noProof/>
        </w:rPr>
        <w:t xml:space="preserve"> i</w:t>
      </w:r>
      <w:r w:rsidR="00C13C75">
        <w:rPr>
          <w:noProof/>
        </w:rPr>
        <w:t> </w:t>
      </w:r>
      <w:r w:rsidR="00C13C75" w:rsidRPr="00853D04">
        <w:rPr>
          <w:noProof/>
        </w:rPr>
        <w:t>Rad</w:t>
      </w:r>
      <w:r w:rsidR="001E4FDC" w:rsidRPr="00853D04">
        <w:rPr>
          <w:noProof/>
        </w:rPr>
        <w:t>a przyjmują środki dotyczące zbliżenia przepisów ustawowych, wykonawczych</w:t>
      </w:r>
      <w:r w:rsidR="00C13C75" w:rsidRPr="00853D04">
        <w:rPr>
          <w:noProof/>
        </w:rPr>
        <w:t xml:space="preserve"> i</w:t>
      </w:r>
      <w:r w:rsidR="00C13C75">
        <w:rPr>
          <w:noProof/>
        </w:rPr>
        <w:t> </w:t>
      </w:r>
      <w:r w:rsidR="00C13C75" w:rsidRPr="00853D04">
        <w:rPr>
          <w:noProof/>
        </w:rPr>
        <w:t>adm</w:t>
      </w:r>
      <w:r w:rsidR="001E4FDC" w:rsidRPr="00853D04">
        <w:rPr>
          <w:noProof/>
        </w:rPr>
        <w:t>inistracyjnych państw członkowskich, które mają na celu ustanowienie</w:t>
      </w:r>
      <w:r w:rsidR="00C13C75" w:rsidRPr="00853D04">
        <w:rPr>
          <w:noProof/>
        </w:rPr>
        <w:t xml:space="preserve"> i</w:t>
      </w:r>
      <w:r w:rsidR="00C13C75">
        <w:rPr>
          <w:noProof/>
        </w:rPr>
        <w:t> </w:t>
      </w:r>
      <w:r w:rsidR="00C13C75" w:rsidRPr="00853D04">
        <w:rPr>
          <w:noProof/>
        </w:rPr>
        <w:t>fun</w:t>
      </w:r>
      <w:r w:rsidR="001E4FDC" w:rsidRPr="00853D04">
        <w:rPr>
          <w:noProof/>
        </w:rPr>
        <w:t xml:space="preserve">kcjonowanie rynku wewnętrznego. </w:t>
      </w:r>
    </w:p>
    <w:p w14:paraId="7070C0D2" w14:textId="7DD6F674" w:rsidR="001E4FDC" w:rsidRPr="00853D04" w:rsidRDefault="008D78F5" w:rsidP="008D78F5">
      <w:pPr>
        <w:pStyle w:val="ManualConsidrant"/>
        <w:rPr>
          <w:noProof/>
        </w:rPr>
      </w:pPr>
      <w:r w:rsidRPr="008D78F5">
        <w:t>(2)</w:t>
      </w:r>
      <w:r w:rsidRPr="008D78F5">
        <w:tab/>
      </w:r>
      <w:r w:rsidR="001E4FDC" w:rsidRPr="00853D04">
        <w:rPr>
          <w:noProof/>
        </w:rPr>
        <w:t>Zniesienie barier</w:t>
      </w:r>
      <w:r w:rsidR="00C13C75" w:rsidRPr="00853D04">
        <w:rPr>
          <w:noProof/>
        </w:rPr>
        <w:t xml:space="preserve"> w</w:t>
      </w:r>
      <w:r w:rsidR="00C13C75">
        <w:rPr>
          <w:noProof/>
        </w:rPr>
        <w:t> </w:t>
      </w:r>
      <w:r w:rsidR="00C13C75" w:rsidRPr="00853D04">
        <w:rPr>
          <w:noProof/>
        </w:rPr>
        <w:t>roz</w:t>
      </w:r>
      <w:r w:rsidR="001E4FDC" w:rsidRPr="00853D04">
        <w:rPr>
          <w:noProof/>
        </w:rPr>
        <w:t>woju działalności stowarzyszeń niekomercyjnych we wszystkich państwach członkowskich ma zasadnicze znaczenie dla korzystania przez te stowarzyszenia ze swobody przedsiębiorczości, jak również</w:t>
      </w:r>
      <w:r w:rsidR="00C13C75" w:rsidRPr="00853D04">
        <w:rPr>
          <w:noProof/>
        </w:rPr>
        <w:t xml:space="preserve"> z</w:t>
      </w:r>
      <w:r w:rsidR="00C13C75">
        <w:rPr>
          <w:noProof/>
        </w:rPr>
        <w:t> </w:t>
      </w:r>
      <w:r w:rsidR="00C13C75" w:rsidRPr="00853D04">
        <w:rPr>
          <w:noProof/>
        </w:rPr>
        <w:t>inn</w:t>
      </w:r>
      <w:r w:rsidR="001E4FDC" w:rsidRPr="00853D04">
        <w:rPr>
          <w:noProof/>
        </w:rPr>
        <w:t>ych podstawowych wolności, takich jak swoboda dostarczania</w:t>
      </w:r>
      <w:r w:rsidR="00C13C75" w:rsidRPr="00853D04">
        <w:rPr>
          <w:noProof/>
        </w:rPr>
        <w:t xml:space="preserve"> i</w:t>
      </w:r>
      <w:r w:rsidR="00C13C75">
        <w:rPr>
          <w:noProof/>
        </w:rPr>
        <w:t> </w:t>
      </w:r>
      <w:r w:rsidR="00C13C75" w:rsidRPr="00853D04">
        <w:rPr>
          <w:noProof/>
        </w:rPr>
        <w:t>otr</w:t>
      </w:r>
      <w:r w:rsidR="001E4FDC" w:rsidRPr="00853D04">
        <w:rPr>
          <w:noProof/>
        </w:rPr>
        <w:t>zymywania kapitału oraz swoboda świadczenia usług</w:t>
      </w:r>
      <w:r w:rsidR="00C13C75" w:rsidRPr="00853D04">
        <w:rPr>
          <w:noProof/>
        </w:rPr>
        <w:t xml:space="preserve"> i</w:t>
      </w:r>
      <w:r w:rsidR="00C13C75">
        <w:rPr>
          <w:noProof/>
        </w:rPr>
        <w:t> </w:t>
      </w:r>
      <w:r w:rsidR="00C13C75" w:rsidRPr="00853D04">
        <w:rPr>
          <w:noProof/>
        </w:rPr>
        <w:t>kor</w:t>
      </w:r>
      <w:r w:rsidR="001E4FDC" w:rsidRPr="00853D04">
        <w:rPr>
          <w:noProof/>
        </w:rPr>
        <w:t>zystania</w:t>
      </w:r>
      <w:r w:rsidR="00C13C75" w:rsidRPr="00853D04">
        <w:rPr>
          <w:noProof/>
        </w:rPr>
        <w:t xml:space="preserve"> z</w:t>
      </w:r>
      <w:r w:rsidR="00C13C75">
        <w:rPr>
          <w:noProof/>
        </w:rPr>
        <w:t> </w:t>
      </w:r>
      <w:r w:rsidR="00C13C75" w:rsidRPr="00853D04">
        <w:rPr>
          <w:noProof/>
        </w:rPr>
        <w:t>nic</w:t>
      </w:r>
      <w:r w:rsidR="001E4FDC" w:rsidRPr="00853D04">
        <w:rPr>
          <w:noProof/>
        </w:rPr>
        <w:t>h na rynku wewnętrznym. Poprzez zbliżenie przepisów prawa krajowego, które mają wpływ na korzystanie</w:t>
      </w:r>
      <w:r w:rsidR="00C13C75" w:rsidRPr="00853D04">
        <w:rPr>
          <w:noProof/>
        </w:rPr>
        <w:t xml:space="preserve"> z</w:t>
      </w:r>
      <w:r w:rsidR="00C13C75">
        <w:rPr>
          <w:noProof/>
        </w:rPr>
        <w:t> </w:t>
      </w:r>
      <w:r w:rsidR="00C13C75" w:rsidRPr="00853D04">
        <w:rPr>
          <w:noProof/>
        </w:rPr>
        <w:t>tyc</w:t>
      </w:r>
      <w:r w:rsidR="001E4FDC" w:rsidRPr="00853D04">
        <w:rPr>
          <w:noProof/>
        </w:rPr>
        <w:t>h swobód, niniejsza dyrektywa służy osiągnięciu celu, jakim jest poprawa funkcjonowania rynku wewnętrznego</w:t>
      </w:r>
      <w:r w:rsidR="00C13C75" w:rsidRPr="00853D04">
        <w:rPr>
          <w:noProof/>
        </w:rPr>
        <w:t>. W</w:t>
      </w:r>
      <w:r w:rsidR="00C13C75">
        <w:rPr>
          <w:noProof/>
        </w:rPr>
        <w:t> </w:t>
      </w:r>
      <w:r w:rsidR="00C13C75" w:rsidRPr="00853D04">
        <w:rPr>
          <w:noProof/>
        </w:rPr>
        <w:t>ten</w:t>
      </w:r>
      <w:r w:rsidR="001E4FDC" w:rsidRPr="00853D04">
        <w:rPr>
          <w:noProof/>
        </w:rPr>
        <w:t xml:space="preserve"> sposób niniejsza dyrektywa będzie również służyć celom poprawy integracji europejskiej, promowania sprawiedliwości społecznej</w:t>
      </w:r>
      <w:r w:rsidR="00C13C75" w:rsidRPr="00853D04">
        <w:rPr>
          <w:noProof/>
        </w:rPr>
        <w:t xml:space="preserve"> i</w:t>
      </w:r>
      <w:r w:rsidR="00C13C75">
        <w:rPr>
          <w:noProof/>
        </w:rPr>
        <w:t> </w:t>
      </w:r>
      <w:r w:rsidR="00C13C75" w:rsidRPr="00853D04">
        <w:rPr>
          <w:noProof/>
        </w:rPr>
        <w:t>dob</w:t>
      </w:r>
      <w:r w:rsidR="001E4FDC" w:rsidRPr="00853D04">
        <w:rPr>
          <w:noProof/>
        </w:rPr>
        <w:t>robytu obywateli UE oraz ułatwienia skutecznego korzystania</w:t>
      </w:r>
      <w:r w:rsidR="00C13C75" w:rsidRPr="00853D04">
        <w:rPr>
          <w:noProof/>
        </w:rPr>
        <w:t xml:space="preserve"> z</w:t>
      </w:r>
      <w:r w:rsidR="00C13C75">
        <w:rPr>
          <w:noProof/>
        </w:rPr>
        <w:t> </w:t>
      </w:r>
      <w:r w:rsidR="00C13C75" w:rsidRPr="00853D04">
        <w:rPr>
          <w:noProof/>
        </w:rPr>
        <w:t>wol</w:t>
      </w:r>
      <w:r w:rsidR="001E4FDC" w:rsidRPr="00853D04">
        <w:rPr>
          <w:noProof/>
        </w:rPr>
        <w:t>ności zgromadzania się</w:t>
      </w:r>
      <w:r w:rsidR="00C13C75" w:rsidRPr="00853D04">
        <w:rPr>
          <w:noProof/>
        </w:rPr>
        <w:t xml:space="preserve"> i</w:t>
      </w:r>
      <w:r w:rsidR="00C13C75">
        <w:rPr>
          <w:noProof/>
        </w:rPr>
        <w:t> </w:t>
      </w:r>
      <w:r w:rsidR="00C13C75" w:rsidRPr="00853D04">
        <w:rPr>
          <w:noProof/>
        </w:rPr>
        <w:t>sto</w:t>
      </w:r>
      <w:r w:rsidR="001E4FDC" w:rsidRPr="00853D04">
        <w:rPr>
          <w:noProof/>
        </w:rPr>
        <w:t>warzyszania się</w:t>
      </w:r>
      <w:r w:rsidR="00C13C75" w:rsidRPr="00853D04">
        <w:rPr>
          <w:noProof/>
        </w:rPr>
        <w:t xml:space="preserve"> w</w:t>
      </w:r>
      <w:r w:rsidR="00C13C75">
        <w:rPr>
          <w:noProof/>
        </w:rPr>
        <w:t> </w:t>
      </w:r>
      <w:r w:rsidR="00C13C75" w:rsidRPr="00853D04">
        <w:rPr>
          <w:noProof/>
        </w:rPr>
        <w:t>cał</w:t>
      </w:r>
      <w:r w:rsidR="001E4FDC" w:rsidRPr="00853D04">
        <w:rPr>
          <w:noProof/>
        </w:rPr>
        <w:t>ej Unii.</w:t>
      </w:r>
    </w:p>
    <w:p w14:paraId="30A2228A" w14:textId="1DF5E821" w:rsidR="001E4FDC" w:rsidRPr="00853D04" w:rsidRDefault="008D78F5" w:rsidP="008D78F5">
      <w:pPr>
        <w:pStyle w:val="ManualConsidrant"/>
        <w:rPr>
          <w:noProof/>
        </w:rPr>
      </w:pPr>
      <w:r w:rsidRPr="008D78F5">
        <w:t>(3)</w:t>
      </w:r>
      <w:r w:rsidRPr="008D78F5">
        <w:tab/>
      </w:r>
      <w:r w:rsidR="001E4FDC" w:rsidRPr="00853D04">
        <w:rPr>
          <w:noProof/>
        </w:rPr>
        <w:t>W dniu 17 lutego 20</w:t>
      </w:r>
      <w:r w:rsidR="001E4FDC" w:rsidRPr="00C13C75">
        <w:rPr>
          <w:noProof/>
        </w:rPr>
        <w:t>22</w:t>
      </w:r>
      <w:r w:rsidR="00C13C75" w:rsidRPr="00C13C75">
        <w:rPr>
          <w:noProof/>
        </w:rPr>
        <w:t> </w:t>
      </w:r>
      <w:r w:rsidR="001E4FDC" w:rsidRPr="00C13C75">
        <w:rPr>
          <w:noProof/>
        </w:rPr>
        <w:t>r.</w:t>
      </w:r>
      <w:r w:rsidR="001E4FDC" w:rsidRPr="00853D04">
        <w:rPr>
          <w:noProof/>
        </w:rPr>
        <w:t xml:space="preserve"> Parlament Europejski przyjął rezolucję zawierającą zalecenia dla Komisji</w:t>
      </w:r>
      <w:r w:rsidR="00C13C75" w:rsidRPr="00853D04">
        <w:rPr>
          <w:noProof/>
        </w:rPr>
        <w:t xml:space="preserve"> w</w:t>
      </w:r>
      <w:r w:rsidR="00C13C75">
        <w:rPr>
          <w:noProof/>
        </w:rPr>
        <w:t> </w:t>
      </w:r>
      <w:r w:rsidR="00C13C75" w:rsidRPr="00853D04">
        <w:rPr>
          <w:noProof/>
        </w:rPr>
        <w:t>spr</w:t>
      </w:r>
      <w:r w:rsidR="001E4FDC" w:rsidRPr="00853D04">
        <w:rPr>
          <w:noProof/>
        </w:rPr>
        <w:t>awie statutu europejskich stowarzyszeń transgranicznych</w:t>
      </w:r>
      <w:r w:rsidR="00C13C75" w:rsidRPr="00853D04">
        <w:rPr>
          <w:noProof/>
        </w:rPr>
        <w:t xml:space="preserve"> i</w:t>
      </w:r>
      <w:r w:rsidR="00C13C75">
        <w:rPr>
          <w:noProof/>
        </w:rPr>
        <w:t> </w:t>
      </w:r>
      <w:r w:rsidR="00C13C75" w:rsidRPr="00853D04">
        <w:rPr>
          <w:noProof/>
        </w:rPr>
        <w:t>org</w:t>
      </w:r>
      <w:r w:rsidR="001E4FDC" w:rsidRPr="00853D04">
        <w:rPr>
          <w:noProof/>
        </w:rPr>
        <w:t>anizacji niekomercyjnych</w:t>
      </w:r>
      <w:r w:rsidR="001E4FDC" w:rsidRPr="00853D04">
        <w:rPr>
          <w:rStyle w:val="FootnoteReference"/>
          <w:noProof/>
        </w:rPr>
        <w:footnoteReference w:id="34"/>
      </w:r>
      <w:r w:rsidR="001E4FDC" w:rsidRPr="00853D04">
        <w:rPr>
          <w:noProof/>
        </w:rPr>
        <w:t>.</w:t>
      </w:r>
    </w:p>
    <w:p w14:paraId="5713D17D" w14:textId="280D36A4" w:rsidR="001E4FDC" w:rsidRPr="00853D04" w:rsidRDefault="008D78F5" w:rsidP="008D78F5">
      <w:pPr>
        <w:pStyle w:val="ManualConsidrant"/>
        <w:rPr>
          <w:noProof/>
        </w:rPr>
      </w:pPr>
      <w:r w:rsidRPr="008D78F5">
        <w:t>(4)</w:t>
      </w:r>
      <w:r w:rsidRPr="008D78F5">
        <w:tab/>
      </w:r>
      <w:r w:rsidR="001E4FDC" w:rsidRPr="00853D04">
        <w:rPr>
          <w:noProof/>
        </w:rPr>
        <w:t>W dniu 9 grudnia 20</w:t>
      </w:r>
      <w:r w:rsidR="001E4FDC" w:rsidRPr="00C13C75">
        <w:rPr>
          <w:noProof/>
        </w:rPr>
        <w:t>21</w:t>
      </w:r>
      <w:r w:rsidR="00C13C75" w:rsidRPr="00C13C75">
        <w:rPr>
          <w:noProof/>
        </w:rPr>
        <w:t> </w:t>
      </w:r>
      <w:r w:rsidR="001E4FDC" w:rsidRPr="00C13C75">
        <w:rPr>
          <w:noProof/>
        </w:rPr>
        <w:t>r.</w:t>
      </w:r>
      <w:r w:rsidR="001E4FDC" w:rsidRPr="00853D04">
        <w:rPr>
          <w:noProof/>
        </w:rPr>
        <w:t xml:space="preserve"> Komisja Europejska przyjęła plan działania na rzecz gospodarki społecznej</w:t>
      </w:r>
      <w:r w:rsidR="001E4FDC" w:rsidRPr="00853D04">
        <w:rPr>
          <w:rStyle w:val="FootnoteReference"/>
          <w:noProof/>
        </w:rPr>
        <w:footnoteReference w:id="35"/>
      </w:r>
      <w:r w:rsidR="00C13C75" w:rsidRPr="00853D04">
        <w:rPr>
          <w:noProof/>
        </w:rPr>
        <w:t>. W</w:t>
      </w:r>
      <w:r w:rsidR="00C13C75">
        <w:rPr>
          <w:noProof/>
        </w:rPr>
        <w:t> </w:t>
      </w:r>
      <w:r w:rsidR="00C13C75" w:rsidRPr="00853D04">
        <w:rPr>
          <w:noProof/>
        </w:rPr>
        <w:t>pla</w:t>
      </w:r>
      <w:r w:rsidR="001E4FDC" w:rsidRPr="00853D04">
        <w:rPr>
          <w:noProof/>
        </w:rPr>
        <w:t>nie działania Komisja przedstawiła konkretne środki mające na celu umożliwienie podmiotom gospodarki społecznej rozpoczęcia działalności</w:t>
      </w:r>
      <w:r w:rsidR="00C13C75" w:rsidRPr="00853D04">
        <w:rPr>
          <w:noProof/>
        </w:rPr>
        <w:t xml:space="preserve"> i</w:t>
      </w:r>
      <w:r w:rsidR="00C13C75">
        <w:rPr>
          <w:noProof/>
        </w:rPr>
        <w:t> </w:t>
      </w:r>
      <w:r w:rsidR="00C13C75" w:rsidRPr="00853D04">
        <w:rPr>
          <w:noProof/>
        </w:rPr>
        <w:t>zwi</w:t>
      </w:r>
      <w:r w:rsidR="001E4FDC" w:rsidRPr="00853D04">
        <w:rPr>
          <w:noProof/>
        </w:rPr>
        <w:t>ększenia skali działalności oraz zapewnienie większej widoczności gospodarki społecznej</w:t>
      </w:r>
      <w:r w:rsidR="00C13C75" w:rsidRPr="00853D04">
        <w:rPr>
          <w:noProof/>
        </w:rPr>
        <w:t xml:space="preserve"> i</w:t>
      </w:r>
      <w:r w:rsidR="00C13C75">
        <w:rPr>
          <w:noProof/>
        </w:rPr>
        <w:t> </w:t>
      </w:r>
      <w:r w:rsidR="00C13C75" w:rsidRPr="00853D04">
        <w:rPr>
          <w:noProof/>
        </w:rPr>
        <w:t>jej</w:t>
      </w:r>
      <w:r w:rsidR="001E4FDC" w:rsidRPr="00853D04">
        <w:rPr>
          <w:noProof/>
        </w:rPr>
        <w:t xml:space="preserve"> potencjału. Parlament Europejski</w:t>
      </w:r>
      <w:r w:rsidR="00C13C75" w:rsidRPr="00853D04">
        <w:rPr>
          <w:noProof/>
        </w:rPr>
        <w:t xml:space="preserve"> z</w:t>
      </w:r>
      <w:r w:rsidR="00C13C75">
        <w:rPr>
          <w:noProof/>
        </w:rPr>
        <w:t> </w:t>
      </w:r>
      <w:r w:rsidR="00C13C75" w:rsidRPr="00853D04">
        <w:rPr>
          <w:noProof/>
        </w:rPr>
        <w:t>zad</w:t>
      </w:r>
      <w:r w:rsidR="001E4FDC" w:rsidRPr="00853D04">
        <w:rPr>
          <w:noProof/>
        </w:rPr>
        <w:t>owoleniem przyjął plan działania</w:t>
      </w:r>
      <w:r w:rsidR="00C13C75" w:rsidRPr="00853D04">
        <w:rPr>
          <w:noProof/>
        </w:rPr>
        <w:t xml:space="preserve"> w</w:t>
      </w:r>
      <w:r w:rsidR="00C13C75">
        <w:rPr>
          <w:noProof/>
        </w:rPr>
        <w:t> </w:t>
      </w:r>
      <w:r w:rsidR="00C13C75" w:rsidRPr="00853D04">
        <w:rPr>
          <w:noProof/>
        </w:rPr>
        <w:t>rez</w:t>
      </w:r>
      <w:r w:rsidR="001E4FDC" w:rsidRPr="00853D04">
        <w:rPr>
          <w:noProof/>
        </w:rPr>
        <w:t>olucji wydanej</w:t>
      </w:r>
      <w:r w:rsidR="00C13C75" w:rsidRPr="00853D04">
        <w:rPr>
          <w:noProof/>
        </w:rPr>
        <w:t xml:space="preserve"> w</w:t>
      </w:r>
      <w:r w:rsidR="00C13C75">
        <w:rPr>
          <w:noProof/>
        </w:rPr>
        <w:t> </w:t>
      </w:r>
      <w:r w:rsidR="00C13C75" w:rsidRPr="00853D04">
        <w:rPr>
          <w:noProof/>
        </w:rPr>
        <w:t>dni</w:t>
      </w:r>
      <w:r w:rsidR="001E4FDC" w:rsidRPr="00853D04">
        <w:rPr>
          <w:noProof/>
        </w:rPr>
        <w:t>u 6 lipca 20</w:t>
      </w:r>
      <w:r w:rsidR="001E4FDC" w:rsidRPr="00C13C75">
        <w:rPr>
          <w:noProof/>
        </w:rPr>
        <w:t>22</w:t>
      </w:r>
      <w:r w:rsidR="00C13C75" w:rsidRPr="00C13C75">
        <w:rPr>
          <w:noProof/>
        </w:rPr>
        <w:t> </w:t>
      </w:r>
      <w:r w:rsidR="001E4FDC" w:rsidRPr="00C13C75">
        <w:rPr>
          <w:noProof/>
        </w:rPr>
        <w:t>r.</w:t>
      </w:r>
      <w:r w:rsidR="001E4FDC" w:rsidRPr="00853D04">
        <w:rPr>
          <w:rStyle w:val="FootnoteReference"/>
          <w:noProof/>
        </w:rPr>
        <w:footnoteReference w:id="36"/>
      </w:r>
    </w:p>
    <w:p w14:paraId="2E587B95" w14:textId="0F541744" w:rsidR="001E4FDC" w:rsidRPr="00853D04" w:rsidRDefault="008D78F5" w:rsidP="008D78F5">
      <w:pPr>
        <w:pStyle w:val="ManualConsidrant"/>
        <w:rPr>
          <w:noProof/>
        </w:rPr>
      </w:pPr>
      <w:r w:rsidRPr="008D78F5">
        <w:t>(5)</w:t>
      </w:r>
      <w:r w:rsidRPr="008D78F5">
        <w:tab/>
      </w:r>
      <w:r w:rsidR="001E4FDC" w:rsidRPr="00853D04">
        <w:rPr>
          <w:noProof/>
        </w:rPr>
        <w:t>W następstwie planu działania na rzecz gospodarki społecznej Komisja zaleciła konkretne środki wspierające gospodarkę społeczną,</w:t>
      </w:r>
      <w:r w:rsidR="00C13C75" w:rsidRPr="00853D04">
        <w:rPr>
          <w:noProof/>
        </w:rPr>
        <w:t xml:space="preserve"> w</w:t>
      </w:r>
      <w:r w:rsidR="00C13C75">
        <w:rPr>
          <w:noProof/>
        </w:rPr>
        <w:t> </w:t>
      </w:r>
      <w:r w:rsidR="00C13C75" w:rsidRPr="00853D04">
        <w:rPr>
          <w:noProof/>
        </w:rPr>
        <w:t>któ</w:t>
      </w:r>
      <w:r w:rsidR="001E4FDC" w:rsidRPr="00853D04">
        <w:rPr>
          <w:noProof/>
        </w:rPr>
        <w:t>rej nad zysk przedkłada się ludzi, cele społeczne</w:t>
      </w:r>
      <w:r w:rsidR="00C13C75" w:rsidRPr="00853D04">
        <w:rPr>
          <w:noProof/>
        </w:rPr>
        <w:t xml:space="preserve"> i</w:t>
      </w:r>
      <w:r w:rsidR="00C13C75">
        <w:rPr>
          <w:noProof/>
        </w:rPr>
        <w:t> </w:t>
      </w:r>
      <w:r w:rsidR="00C13C75" w:rsidRPr="00853D04">
        <w:rPr>
          <w:noProof/>
        </w:rPr>
        <w:t>śro</w:t>
      </w:r>
      <w:r w:rsidR="001E4FDC" w:rsidRPr="00853D04">
        <w:rPr>
          <w:noProof/>
        </w:rPr>
        <w:t>dowiskowe. Wniosek dotyczący zalecenia Rady</w:t>
      </w:r>
      <w:r w:rsidR="00C13C75" w:rsidRPr="00853D04">
        <w:rPr>
          <w:noProof/>
        </w:rPr>
        <w:t xml:space="preserve"> w</w:t>
      </w:r>
      <w:r w:rsidR="00C13C75">
        <w:rPr>
          <w:noProof/>
        </w:rPr>
        <w:t> </w:t>
      </w:r>
      <w:r w:rsidR="00C13C75" w:rsidRPr="00853D04">
        <w:rPr>
          <w:noProof/>
        </w:rPr>
        <w:t>spr</w:t>
      </w:r>
      <w:r w:rsidR="001E4FDC" w:rsidRPr="00853D04">
        <w:rPr>
          <w:noProof/>
        </w:rPr>
        <w:t>awie opracowania warunków ramowych gospodarki społecznej</w:t>
      </w:r>
      <w:r w:rsidR="00C13C75" w:rsidRPr="00853D04">
        <w:rPr>
          <w:noProof/>
        </w:rPr>
        <w:t xml:space="preserve"> z</w:t>
      </w:r>
      <w:r w:rsidR="00C13C75">
        <w:rPr>
          <w:noProof/>
        </w:rPr>
        <w:t> </w:t>
      </w:r>
      <w:r w:rsidR="00C13C75" w:rsidRPr="00853D04">
        <w:rPr>
          <w:noProof/>
        </w:rPr>
        <w:t>dni</w:t>
      </w:r>
      <w:r w:rsidR="001E4FDC" w:rsidRPr="00853D04">
        <w:rPr>
          <w:noProof/>
        </w:rPr>
        <w:t>a 13 czerwca 20</w:t>
      </w:r>
      <w:r w:rsidR="001E4FDC" w:rsidRPr="00C13C75">
        <w:rPr>
          <w:noProof/>
        </w:rPr>
        <w:t>23</w:t>
      </w:r>
      <w:r w:rsidR="00C13C75" w:rsidRPr="00C13C75">
        <w:rPr>
          <w:noProof/>
        </w:rPr>
        <w:t> </w:t>
      </w:r>
      <w:r w:rsidR="001E4FDC" w:rsidRPr="00C13C75">
        <w:rPr>
          <w:noProof/>
        </w:rPr>
        <w:t>r.</w:t>
      </w:r>
      <w:r w:rsidR="001E4FDC" w:rsidRPr="00853D04">
        <w:rPr>
          <w:rStyle w:val="FootnoteReference"/>
          <w:noProof/>
        </w:rPr>
        <w:footnoteReference w:id="37"/>
      </w:r>
      <w:r w:rsidR="001E4FDC" w:rsidRPr="00853D04">
        <w:rPr>
          <w:noProof/>
        </w:rPr>
        <w:t xml:space="preserve"> zawiera zalecenia dla państw członkowskich dotyczące opracowania</w:t>
      </w:r>
      <w:r w:rsidR="00C13C75" w:rsidRPr="00853D04">
        <w:rPr>
          <w:noProof/>
        </w:rPr>
        <w:t xml:space="preserve"> i</w:t>
      </w:r>
      <w:r w:rsidR="00C13C75">
        <w:rPr>
          <w:noProof/>
        </w:rPr>
        <w:t> </w:t>
      </w:r>
      <w:r w:rsidR="00C13C75" w:rsidRPr="00853D04">
        <w:rPr>
          <w:noProof/>
        </w:rPr>
        <w:t>wdr</w:t>
      </w:r>
      <w:r w:rsidR="001E4FDC" w:rsidRPr="00853D04">
        <w:rPr>
          <w:noProof/>
        </w:rPr>
        <w:t>ożenia strategii gospodarki społecznej. Tego samego dnia Komisja opublikowała również dwa dokumenty robocze służb Komisji, aby polepszyć zrozumienie odpowiednich przepisów podatkowych dotyczących podmiotów gospodarki społecznej</w:t>
      </w:r>
      <w:r w:rsidR="001E4FDC" w:rsidRPr="00853D04">
        <w:rPr>
          <w:rStyle w:val="FootnoteReference"/>
          <w:noProof/>
        </w:rPr>
        <w:footnoteReference w:id="38"/>
      </w:r>
      <w:r w:rsidR="00C13C75" w:rsidRPr="00853D04">
        <w:rPr>
          <w:noProof/>
        </w:rPr>
        <w:t xml:space="preserve"> i</w:t>
      </w:r>
      <w:r w:rsidR="00C13C75">
        <w:rPr>
          <w:noProof/>
        </w:rPr>
        <w:t> </w:t>
      </w:r>
      <w:r w:rsidR="00C13C75" w:rsidRPr="00853D04">
        <w:rPr>
          <w:noProof/>
        </w:rPr>
        <w:t>tra</w:t>
      </w:r>
      <w:r w:rsidR="001E4FDC" w:rsidRPr="00853D04">
        <w:rPr>
          <w:noProof/>
        </w:rPr>
        <w:t>nsgranicznych darowizn na rzecz pożytku publicznego</w:t>
      </w:r>
      <w:r w:rsidR="001E4FDC" w:rsidRPr="00853D04">
        <w:rPr>
          <w:rStyle w:val="FootnoteReference"/>
          <w:noProof/>
        </w:rPr>
        <w:footnoteReference w:id="39"/>
      </w:r>
      <w:r w:rsidR="001E4FDC" w:rsidRPr="00853D04">
        <w:rPr>
          <w:noProof/>
        </w:rPr>
        <w:t>.</w:t>
      </w:r>
    </w:p>
    <w:p w14:paraId="1389CE6F" w14:textId="184E4FB2" w:rsidR="00D451A4" w:rsidRPr="00853D04" w:rsidRDefault="008D78F5" w:rsidP="008D78F5">
      <w:pPr>
        <w:pStyle w:val="ManualConsidrant"/>
        <w:rPr>
          <w:noProof/>
        </w:rPr>
      </w:pPr>
      <w:r w:rsidRPr="008D78F5">
        <w:t>(6)</w:t>
      </w:r>
      <w:r w:rsidRPr="008D78F5">
        <w:tab/>
      </w:r>
      <w:r w:rsidR="1D58CEE7" w:rsidRPr="00853D04">
        <w:rPr>
          <w:noProof/>
        </w:rPr>
        <w:t>Spośród form prawnych dostępnych</w:t>
      </w:r>
      <w:r w:rsidR="00C13C75" w:rsidRPr="00853D04">
        <w:rPr>
          <w:noProof/>
        </w:rPr>
        <w:t xml:space="preserve"> w</w:t>
      </w:r>
      <w:r w:rsidR="00C13C75">
        <w:rPr>
          <w:noProof/>
        </w:rPr>
        <w:t> </w:t>
      </w:r>
      <w:r w:rsidR="00C13C75" w:rsidRPr="00853D04">
        <w:rPr>
          <w:noProof/>
        </w:rPr>
        <w:t>trz</w:t>
      </w:r>
      <w:r w:rsidR="1D58CEE7" w:rsidRPr="00853D04">
        <w:rPr>
          <w:noProof/>
        </w:rPr>
        <w:t>ecim sektorze</w:t>
      </w:r>
      <w:r w:rsidR="00C13C75" w:rsidRPr="00853D04">
        <w:rPr>
          <w:noProof/>
        </w:rPr>
        <w:t xml:space="preserve"> i</w:t>
      </w:r>
      <w:r w:rsidR="00C13C75">
        <w:rPr>
          <w:noProof/>
        </w:rPr>
        <w:t> </w:t>
      </w:r>
      <w:r w:rsidR="00C13C75" w:rsidRPr="00853D04">
        <w:rPr>
          <w:noProof/>
        </w:rPr>
        <w:t>w</w:t>
      </w:r>
      <w:r w:rsidR="00C13C75">
        <w:rPr>
          <w:noProof/>
        </w:rPr>
        <w:t> </w:t>
      </w:r>
      <w:r w:rsidR="00C13C75" w:rsidRPr="00853D04">
        <w:rPr>
          <w:noProof/>
        </w:rPr>
        <w:t>gos</w:t>
      </w:r>
      <w:r w:rsidR="1D58CEE7" w:rsidRPr="00853D04">
        <w:rPr>
          <w:noProof/>
        </w:rPr>
        <w:t>podarce społecznej zdecydowana większość wybiera formę prawną stowarzyszenia niekomercyjnego. Oprócz przyczyniania się do realizacji celów Unii</w:t>
      </w:r>
      <w:r w:rsidR="00C13C75" w:rsidRPr="00853D04">
        <w:rPr>
          <w:noProof/>
        </w:rPr>
        <w:t xml:space="preserve"> i</w:t>
      </w:r>
      <w:r w:rsidR="00C13C75">
        <w:rPr>
          <w:noProof/>
        </w:rPr>
        <w:t> </w:t>
      </w:r>
      <w:r w:rsidR="00C13C75" w:rsidRPr="00853D04">
        <w:rPr>
          <w:noProof/>
        </w:rPr>
        <w:t>osi</w:t>
      </w:r>
      <w:r w:rsidR="1D58CEE7" w:rsidRPr="00853D04">
        <w:rPr>
          <w:noProof/>
        </w:rPr>
        <w:t>ągania celów leżących</w:t>
      </w:r>
      <w:r w:rsidR="00C13C75" w:rsidRPr="00853D04">
        <w:rPr>
          <w:noProof/>
        </w:rPr>
        <w:t xml:space="preserve"> w</w:t>
      </w:r>
      <w:r w:rsidR="00C13C75">
        <w:rPr>
          <w:noProof/>
        </w:rPr>
        <w:t> </w:t>
      </w:r>
      <w:r w:rsidR="00C13C75" w:rsidRPr="00853D04">
        <w:rPr>
          <w:noProof/>
        </w:rPr>
        <w:t>int</w:t>
      </w:r>
      <w:r w:rsidR="1D58CEE7" w:rsidRPr="00853D04">
        <w:rPr>
          <w:noProof/>
        </w:rPr>
        <w:t>eresie publicznym, stowarzyszenia niekomercyjne wnoszą istotny wkład</w:t>
      </w:r>
      <w:r w:rsidR="00C13C75" w:rsidRPr="00853D04">
        <w:rPr>
          <w:noProof/>
        </w:rPr>
        <w:t xml:space="preserve"> w</w:t>
      </w:r>
      <w:r w:rsidR="00C13C75">
        <w:rPr>
          <w:noProof/>
        </w:rPr>
        <w:t> </w:t>
      </w:r>
      <w:r w:rsidR="00C13C75" w:rsidRPr="00853D04">
        <w:rPr>
          <w:noProof/>
        </w:rPr>
        <w:t>ryn</w:t>
      </w:r>
      <w:r w:rsidR="1D58CEE7" w:rsidRPr="00853D04">
        <w:rPr>
          <w:noProof/>
        </w:rPr>
        <w:t>ek wewnętrzny, angażując się regularnie</w:t>
      </w:r>
      <w:r w:rsidR="00C13C75" w:rsidRPr="00853D04">
        <w:rPr>
          <w:noProof/>
        </w:rPr>
        <w:t xml:space="preserve"> w</w:t>
      </w:r>
      <w:r w:rsidR="00C13C75">
        <w:rPr>
          <w:noProof/>
        </w:rPr>
        <w:t> </w:t>
      </w:r>
      <w:r w:rsidR="00C13C75" w:rsidRPr="00853D04">
        <w:rPr>
          <w:noProof/>
        </w:rPr>
        <w:t>sze</w:t>
      </w:r>
      <w:r w:rsidR="1D58CEE7" w:rsidRPr="00853D04">
        <w:rPr>
          <w:noProof/>
        </w:rPr>
        <w:t>roki zakres działań gospodarczych, na przykład oferując usługi</w:t>
      </w:r>
      <w:r w:rsidR="00C13C75" w:rsidRPr="00853D04">
        <w:rPr>
          <w:noProof/>
        </w:rPr>
        <w:t xml:space="preserve"> w</w:t>
      </w:r>
      <w:r w:rsidR="00C13C75">
        <w:rPr>
          <w:noProof/>
        </w:rPr>
        <w:t> </w:t>
      </w:r>
      <w:r w:rsidR="00C13C75" w:rsidRPr="00853D04">
        <w:rPr>
          <w:noProof/>
        </w:rPr>
        <w:t>sek</w:t>
      </w:r>
      <w:r w:rsidR="1D58CEE7" w:rsidRPr="00853D04">
        <w:rPr>
          <w:noProof/>
        </w:rPr>
        <w:t>torach takich jak usługi socjalne</w:t>
      </w:r>
      <w:r w:rsidR="00C13C75" w:rsidRPr="00853D04">
        <w:rPr>
          <w:noProof/>
        </w:rPr>
        <w:t xml:space="preserve"> i</w:t>
      </w:r>
      <w:r w:rsidR="00C13C75">
        <w:rPr>
          <w:noProof/>
        </w:rPr>
        <w:t> </w:t>
      </w:r>
      <w:r w:rsidR="00C13C75" w:rsidRPr="00853D04">
        <w:rPr>
          <w:noProof/>
        </w:rPr>
        <w:t>zdr</w:t>
      </w:r>
      <w:r w:rsidR="1D58CEE7" w:rsidRPr="00853D04">
        <w:rPr>
          <w:noProof/>
        </w:rPr>
        <w:t>owotne, komunikacja</w:t>
      </w:r>
      <w:r w:rsidR="00C13C75" w:rsidRPr="00853D04">
        <w:rPr>
          <w:noProof/>
        </w:rPr>
        <w:t xml:space="preserve"> i</w:t>
      </w:r>
      <w:r w:rsidR="00C13C75">
        <w:rPr>
          <w:noProof/>
        </w:rPr>
        <w:t> </w:t>
      </w:r>
      <w:r w:rsidR="00C13C75" w:rsidRPr="00853D04">
        <w:rPr>
          <w:noProof/>
        </w:rPr>
        <w:t>inf</w:t>
      </w:r>
      <w:r w:rsidR="1D58CEE7" w:rsidRPr="00853D04">
        <w:rPr>
          <w:noProof/>
        </w:rPr>
        <w:t>ormacja, rzecznictwo, kultura, ochrona środowiska, kształcenie, rekreacja, sport oraz wspieranie postępu naukowego</w:t>
      </w:r>
      <w:r w:rsidR="00C13C75" w:rsidRPr="00853D04">
        <w:rPr>
          <w:noProof/>
        </w:rPr>
        <w:t xml:space="preserve"> i</w:t>
      </w:r>
      <w:r w:rsidR="00C13C75">
        <w:rPr>
          <w:noProof/>
        </w:rPr>
        <w:t> </w:t>
      </w:r>
      <w:r w:rsidR="00C13C75" w:rsidRPr="00853D04">
        <w:rPr>
          <w:noProof/>
        </w:rPr>
        <w:t>tec</w:t>
      </w:r>
      <w:r w:rsidR="1D58CEE7" w:rsidRPr="00853D04">
        <w:rPr>
          <w:noProof/>
        </w:rPr>
        <w:t>hnologicznego. Jest tak</w:t>
      </w:r>
      <w:r w:rsidR="00C13C75" w:rsidRPr="00853D04">
        <w:rPr>
          <w:noProof/>
        </w:rPr>
        <w:t xml:space="preserve"> w</w:t>
      </w:r>
      <w:r w:rsidR="00C13C75">
        <w:rPr>
          <w:noProof/>
        </w:rPr>
        <w:t> </w:t>
      </w:r>
      <w:r w:rsidR="00C13C75" w:rsidRPr="00853D04">
        <w:rPr>
          <w:noProof/>
        </w:rPr>
        <w:t>prz</w:t>
      </w:r>
      <w:r w:rsidR="1D58CEE7" w:rsidRPr="00853D04">
        <w:rPr>
          <w:noProof/>
        </w:rPr>
        <w:t>ypadku, gdy prowadzenie działalności gospodarczej jest główną działalnością lub celem stowarzyszenia niekomercyjnego, jak również</w:t>
      </w:r>
      <w:r w:rsidR="00C13C75" w:rsidRPr="00853D04">
        <w:rPr>
          <w:noProof/>
        </w:rPr>
        <w:t xml:space="preserve"> w</w:t>
      </w:r>
      <w:r w:rsidR="00C13C75">
        <w:rPr>
          <w:noProof/>
        </w:rPr>
        <w:t> </w:t>
      </w:r>
      <w:r w:rsidR="00C13C75" w:rsidRPr="00853D04">
        <w:rPr>
          <w:noProof/>
        </w:rPr>
        <w:t>inn</w:t>
      </w:r>
      <w:r w:rsidR="1D58CEE7" w:rsidRPr="00853D04">
        <w:rPr>
          <w:noProof/>
        </w:rPr>
        <w:t xml:space="preserve">ych przypadkach. </w:t>
      </w:r>
    </w:p>
    <w:p w14:paraId="18E1E4CE" w14:textId="2BDB54BB" w:rsidR="00B70E77" w:rsidRPr="00853D04" w:rsidRDefault="008D78F5" w:rsidP="008D78F5">
      <w:pPr>
        <w:pStyle w:val="ManualConsidrant"/>
        <w:rPr>
          <w:noProof/>
        </w:rPr>
      </w:pPr>
      <w:r w:rsidRPr="008D78F5">
        <w:t>(7)</w:t>
      </w:r>
      <w:r w:rsidRPr="008D78F5">
        <w:tab/>
      </w:r>
      <w:r w:rsidR="00B70E77" w:rsidRPr="00853D04">
        <w:rPr>
          <w:noProof/>
        </w:rPr>
        <w:t>W pełni funkcjonujący rynek wewnętrzny dla działalności stowarzyszeń niekomercyjnych jest niezbędny do wspierania wzrostu gospodarczego</w:t>
      </w:r>
      <w:r w:rsidR="00C13C75" w:rsidRPr="00853D04">
        <w:rPr>
          <w:noProof/>
        </w:rPr>
        <w:t xml:space="preserve"> i</w:t>
      </w:r>
      <w:r w:rsidR="00C13C75">
        <w:rPr>
          <w:noProof/>
        </w:rPr>
        <w:t> </w:t>
      </w:r>
      <w:r w:rsidR="00C13C75" w:rsidRPr="00853D04">
        <w:rPr>
          <w:noProof/>
        </w:rPr>
        <w:t>spo</w:t>
      </w:r>
      <w:r w:rsidR="00B70E77" w:rsidRPr="00853D04">
        <w:rPr>
          <w:noProof/>
        </w:rPr>
        <w:t>łecznego we wszystkich państwach członkowskich. Obecnie bariery na rynku wewnętrznym uniemożliwiają stowarzyszeniom niekomercyjnym rozszerzenie działalności poza granice kraju, utrudniając tym samym skuteczne funkcjonowanie rynku wewnętrznego. Działanie na rzecz</w:t>
      </w:r>
      <w:r w:rsidR="00C13C75" w:rsidRPr="00853D04">
        <w:rPr>
          <w:noProof/>
        </w:rPr>
        <w:t xml:space="preserve"> w</w:t>
      </w:r>
      <w:r w:rsidR="00C13C75">
        <w:rPr>
          <w:noProof/>
        </w:rPr>
        <w:t> </w:t>
      </w:r>
      <w:r w:rsidR="00C13C75" w:rsidRPr="00853D04">
        <w:rPr>
          <w:noProof/>
        </w:rPr>
        <w:t>peł</w:t>
      </w:r>
      <w:r w:rsidR="00B70E77" w:rsidRPr="00853D04">
        <w:rPr>
          <w:noProof/>
        </w:rPr>
        <w:t>ni efektywnego rynku wewnętrznego wymaga pełnej swobody przedsiębiorczości</w:t>
      </w:r>
      <w:r w:rsidR="00C13C75" w:rsidRPr="00853D04">
        <w:rPr>
          <w:noProof/>
        </w:rPr>
        <w:t xml:space="preserve"> w</w:t>
      </w:r>
      <w:r w:rsidR="00C13C75">
        <w:rPr>
          <w:noProof/>
        </w:rPr>
        <w:t> </w:t>
      </w:r>
      <w:r w:rsidR="00C13C75" w:rsidRPr="00853D04">
        <w:rPr>
          <w:noProof/>
        </w:rPr>
        <w:t>odn</w:t>
      </w:r>
      <w:r w:rsidR="00B70E77" w:rsidRPr="00853D04">
        <w:rPr>
          <w:noProof/>
        </w:rPr>
        <w:t>iesieniu do wszystkich rodzajów działalności, które przyczyniają się do osiągnięcia celów Unii.</w:t>
      </w:r>
    </w:p>
    <w:p w14:paraId="2D13851C" w14:textId="6D09CBC6" w:rsidR="001E4FDC" w:rsidRPr="00853D04" w:rsidRDefault="008D78F5" w:rsidP="008D78F5">
      <w:pPr>
        <w:pStyle w:val="ManualConsidrant"/>
        <w:rPr>
          <w:noProof/>
        </w:rPr>
      </w:pPr>
      <w:r w:rsidRPr="008D78F5">
        <w:t>(8)</w:t>
      </w:r>
      <w:r w:rsidRPr="008D78F5">
        <w:tab/>
      </w:r>
      <w:r w:rsidR="001E4FDC" w:rsidRPr="00853D04">
        <w:rPr>
          <w:noProof/>
        </w:rPr>
        <w:t>Aby ustanowić prawdziwy rynek wewnętrzny dla działalności gospodarczej stowarzyszeń niekomercyjnych, należy znieść wszelkie nieuzasadnione ograniczenia swobody przedsiębiorczości, swobodnego przepływu usług, swobodnego przepływu towarów</w:t>
      </w:r>
      <w:r w:rsidR="00C13C75" w:rsidRPr="00853D04">
        <w:rPr>
          <w:noProof/>
        </w:rPr>
        <w:t xml:space="preserve"> i</w:t>
      </w:r>
      <w:r w:rsidR="00C13C75">
        <w:rPr>
          <w:noProof/>
        </w:rPr>
        <w:t> </w:t>
      </w:r>
      <w:r w:rsidR="00C13C75" w:rsidRPr="00853D04">
        <w:rPr>
          <w:noProof/>
        </w:rPr>
        <w:t>swo</w:t>
      </w:r>
      <w:r w:rsidR="001E4FDC" w:rsidRPr="00853D04">
        <w:rPr>
          <w:noProof/>
        </w:rPr>
        <w:t>bodnego przepływu kapitału, które nadal obowiązują</w:t>
      </w:r>
      <w:r w:rsidR="00C13C75" w:rsidRPr="00853D04">
        <w:rPr>
          <w:noProof/>
        </w:rPr>
        <w:t xml:space="preserve"> w</w:t>
      </w:r>
      <w:r w:rsidR="00C13C75">
        <w:rPr>
          <w:noProof/>
        </w:rPr>
        <w:t> </w:t>
      </w:r>
      <w:r w:rsidR="00C13C75" w:rsidRPr="00853D04">
        <w:rPr>
          <w:noProof/>
        </w:rPr>
        <w:t>pra</w:t>
      </w:r>
      <w:r w:rsidR="001E4FDC" w:rsidRPr="00853D04">
        <w:rPr>
          <w:noProof/>
        </w:rPr>
        <w:t>wie niektórych państw członkowskich. Ograniczenia te utrudniają stowarzyszeniom niekomercyjnym prowadzenie działalności transgranicznej, między innymi dlatego, że narzucają im szczególną konieczność przeznaczania zasobów na niepotrzebne działania administracyjne lub związane</w:t>
      </w:r>
      <w:r w:rsidR="00C13C75" w:rsidRPr="00853D04">
        <w:rPr>
          <w:noProof/>
        </w:rPr>
        <w:t xml:space="preserve"> z</w:t>
      </w:r>
      <w:r w:rsidR="00C13C75">
        <w:rPr>
          <w:noProof/>
        </w:rPr>
        <w:t> </w:t>
      </w:r>
      <w:r w:rsidR="00C13C75" w:rsidRPr="00853D04">
        <w:rPr>
          <w:noProof/>
        </w:rPr>
        <w:t>prz</w:t>
      </w:r>
      <w:r w:rsidR="001E4FDC" w:rsidRPr="00853D04">
        <w:rPr>
          <w:noProof/>
        </w:rPr>
        <w:t xml:space="preserve">estrzeganiem przepisów, co ma szczególnie zniechęcający wpływ ze względu na ich charakter niekomercyjny. </w:t>
      </w:r>
    </w:p>
    <w:p w14:paraId="60E64794" w14:textId="2EBEE952" w:rsidR="001E4FDC" w:rsidRPr="00853D04" w:rsidRDefault="008D78F5" w:rsidP="008D78F5">
      <w:pPr>
        <w:pStyle w:val="ManualConsidrant"/>
        <w:rPr>
          <w:noProof/>
        </w:rPr>
      </w:pPr>
      <w:r w:rsidRPr="008D78F5">
        <w:t>(9)</w:t>
      </w:r>
      <w:r w:rsidRPr="008D78F5">
        <w:tab/>
      </w:r>
      <w:r w:rsidR="001E4FDC" w:rsidRPr="00853D04">
        <w:rPr>
          <w:noProof/>
        </w:rPr>
        <w:t>Bariery te wynikają</w:t>
      </w:r>
      <w:r w:rsidR="00C13C75" w:rsidRPr="00853D04">
        <w:rPr>
          <w:noProof/>
        </w:rPr>
        <w:t xml:space="preserve"> z</w:t>
      </w:r>
      <w:r w:rsidR="00C13C75">
        <w:rPr>
          <w:noProof/>
        </w:rPr>
        <w:t> </w:t>
      </w:r>
      <w:r w:rsidR="00C13C75" w:rsidRPr="00853D04">
        <w:rPr>
          <w:noProof/>
        </w:rPr>
        <w:t>nie</w:t>
      </w:r>
      <w:r w:rsidR="001E4FDC" w:rsidRPr="00853D04">
        <w:rPr>
          <w:noProof/>
        </w:rPr>
        <w:t>spójności</w:t>
      </w:r>
      <w:r w:rsidR="00C13C75" w:rsidRPr="00853D04">
        <w:rPr>
          <w:noProof/>
        </w:rPr>
        <w:t xml:space="preserve"> w</w:t>
      </w:r>
      <w:r w:rsidR="00C13C75">
        <w:rPr>
          <w:noProof/>
        </w:rPr>
        <w:t> </w:t>
      </w:r>
      <w:r w:rsidR="00C13C75" w:rsidRPr="00853D04">
        <w:rPr>
          <w:noProof/>
        </w:rPr>
        <w:t>kra</w:t>
      </w:r>
      <w:r w:rsidR="001E4FDC" w:rsidRPr="00853D04">
        <w:rPr>
          <w:noProof/>
        </w:rPr>
        <w:t>jowych ramach prawnych państw członkowskich. Ramy prawne,</w:t>
      </w:r>
      <w:r w:rsidR="00C13C75" w:rsidRPr="00853D04">
        <w:rPr>
          <w:noProof/>
        </w:rPr>
        <w:t xml:space="preserve"> w</w:t>
      </w:r>
      <w:r w:rsidR="00C13C75">
        <w:rPr>
          <w:noProof/>
        </w:rPr>
        <w:t> </w:t>
      </w:r>
      <w:r w:rsidR="00C13C75" w:rsidRPr="00853D04">
        <w:rPr>
          <w:noProof/>
        </w:rPr>
        <w:t>któ</w:t>
      </w:r>
      <w:r w:rsidR="001E4FDC" w:rsidRPr="00853D04">
        <w:rPr>
          <w:noProof/>
        </w:rPr>
        <w:t>rych stowarzyszenia niekomercyjne prowadzą swoją działalność</w:t>
      </w:r>
      <w:r w:rsidR="00C13C75" w:rsidRPr="00853D04">
        <w:rPr>
          <w:noProof/>
        </w:rPr>
        <w:t xml:space="preserve"> w</w:t>
      </w:r>
      <w:r w:rsidR="00C13C75">
        <w:rPr>
          <w:noProof/>
        </w:rPr>
        <w:t> </w:t>
      </w:r>
      <w:r w:rsidR="00C13C75" w:rsidRPr="00853D04">
        <w:rPr>
          <w:noProof/>
        </w:rPr>
        <w:t>Uni</w:t>
      </w:r>
      <w:r w:rsidR="001E4FDC" w:rsidRPr="00853D04">
        <w:rPr>
          <w:noProof/>
        </w:rPr>
        <w:t>i, opierają się na prawie krajowym, bez harmonizacji na szczeblu unijnym. Obecnie osobowość prawna</w:t>
      </w:r>
      <w:r w:rsidR="00C13C75" w:rsidRPr="00853D04">
        <w:rPr>
          <w:noProof/>
        </w:rPr>
        <w:t xml:space="preserve"> i</w:t>
      </w:r>
      <w:r w:rsidR="00C13C75">
        <w:rPr>
          <w:noProof/>
        </w:rPr>
        <w:t> </w:t>
      </w:r>
      <w:r w:rsidR="00C13C75" w:rsidRPr="00853D04">
        <w:rPr>
          <w:noProof/>
        </w:rPr>
        <w:t>zdo</w:t>
      </w:r>
      <w:r w:rsidR="001E4FDC" w:rsidRPr="00853D04">
        <w:rPr>
          <w:noProof/>
        </w:rPr>
        <w:t>lność do czynności prawnych stowarzyszeń niekomercyjnych nie są uznawane</w:t>
      </w:r>
      <w:r w:rsidR="00C13C75" w:rsidRPr="00853D04">
        <w:rPr>
          <w:noProof/>
        </w:rPr>
        <w:t xml:space="preserve"> w</w:t>
      </w:r>
      <w:r w:rsidR="00C13C75">
        <w:rPr>
          <w:noProof/>
        </w:rPr>
        <w:t> </w:t>
      </w:r>
      <w:r w:rsidR="00C13C75" w:rsidRPr="00853D04">
        <w:rPr>
          <w:noProof/>
        </w:rPr>
        <w:t>spo</w:t>
      </w:r>
      <w:r w:rsidR="001E4FDC" w:rsidRPr="00853D04">
        <w:rPr>
          <w:noProof/>
        </w:rPr>
        <w:t>sób jednolity</w:t>
      </w:r>
      <w:r w:rsidR="00C13C75" w:rsidRPr="00853D04">
        <w:rPr>
          <w:noProof/>
        </w:rPr>
        <w:t xml:space="preserve"> w</w:t>
      </w:r>
      <w:r w:rsidR="00C13C75">
        <w:rPr>
          <w:noProof/>
        </w:rPr>
        <w:t> </w:t>
      </w:r>
      <w:r w:rsidR="00C13C75" w:rsidRPr="00853D04">
        <w:rPr>
          <w:noProof/>
        </w:rPr>
        <w:t>cał</w:t>
      </w:r>
      <w:r w:rsidR="001E4FDC" w:rsidRPr="00853D04">
        <w:rPr>
          <w:noProof/>
        </w:rPr>
        <w:t>ej Unii</w:t>
      </w:r>
      <w:r w:rsidR="00C13C75" w:rsidRPr="00853D04">
        <w:rPr>
          <w:noProof/>
        </w:rPr>
        <w:t xml:space="preserve"> i</w:t>
      </w:r>
      <w:r w:rsidR="00C13C75">
        <w:rPr>
          <w:noProof/>
        </w:rPr>
        <w:t> </w:t>
      </w:r>
      <w:r w:rsidR="00C13C75" w:rsidRPr="00853D04">
        <w:rPr>
          <w:noProof/>
        </w:rPr>
        <w:t>czę</w:t>
      </w:r>
      <w:r w:rsidR="001E4FDC" w:rsidRPr="00853D04">
        <w:rPr>
          <w:noProof/>
        </w:rPr>
        <w:t>sto muszą rejestrować się one po raz drugi lub nawet tworzyć nowy podmiot prawny</w:t>
      </w:r>
      <w:r w:rsidR="00C13C75" w:rsidRPr="00853D04">
        <w:rPr>
          <w:noProof/>
        </w:rPr>
        <w:t xml:space="preserve"> w</w:t>
      </w:r>
      <w:r w:rsidR="00C13C75">
        <w:rPr>
          <w:noProof/>
        </w:rPr>
        <w:t> </w:t>
      </w:r>
      <w:r w:rsidR="00C13C75" w:rsidRPr="00853D04">
        <w:rPr>
          <w:noProof/>
        </w:rPr>
        <w:t>cel</w:t>
      </w:r>
      <w:r w:rsidR="001E4FDC" w:rsidRPr="00853D04">
        <w:rPr>
          <w:noProof/>
        </w:rPr>
        <w:t>u prowadzenia działalności</w:t>
      </w:r>
      <w:r w:rsidR="00C13C75" w:rsidRPr="00853D04">
        <w:rPr>
          <w:noProof/>
        </w:rPr>
        <w:t xml:space="preserve"> w</w:t>
      </w:r>
      <w:r w:rsidR="00C13C75">
        <w:rPr>
          <w:noProof/>
        </w:rPr>
        <w:t> </w:t>
      </w:r>
      <w:r w:rsidR="00C13C75" w:rsidRPr="00853D04">
        <w:rPr>
          <w:noProof/>
        </w:rPr>
        <w:t>pań</w:t>
      </w:r>
      <w:r w:rsidR="001E4FDC" w:rsidRPr="00853D04">
        <w:rPr>
          <w:noProof/>
        </w:rPr>
        <w:t>stwie członkowskim innym niż to,</w:t>
      </w:r>
      <w:r w:rsidR="00C13C75" w:rsidRPr="00853D04">
        <w:rPr>
          <w:noProof/>
        </w:rPr>
        <w:t xml:space="preserve"> w</w:t>
      </w:r>
      <w:r w:rsidR="00C13C75">
        <w:rPr>
          <w:noProof/>
        </w:rPr>
        <w:t> </w:t>
      </w:r>
      <w:r w:rsidR="00C13C75" w:rsidRPr="00853D04">
        <w:rPr>
          <w:noProof/>
        </w:rPr>
        <w:t>któ</w:t>
      </w:r>
      <w:r w:rsidR="001E4FDC" w:rsidRPr="00853D04">
        <w:rPr>
          <w:noProof/>
        </w:rPr>
        <w:t>rym mają siedzibę. Podstawowe elementy dotyczące mobilności stowarzyszeń niekomercyjnych</w:t>
      </w:r>
      <w:r w:rsidR="00C13C75" w:rsidRPr="00853D04">
        <w:rPr>
          <w:noProof/>
        </w:rPr>
        <w:t xml:space="preserve"> w</w:t>
      </w:r>
      <w:r w:rsidR="00C13C75">
        <w:rPr>
          <w:noProof/>
        </w:rPr>
        <w:t> </w:t>
      </w:r>
      <w:r w:rsidR="00C13C75" w:rsidRPr="00853D04">
        <w:rPr>
          <w:noProof/>
        </w:rPr>
        <w:t>Uni</w:t>
      </w:r>
      <w:r w:rsidR="001E4FDC" w:rsidRPr="00853D04">
        <w:rPr>
          <w:noProof/>
        </w:rPr>
        <w:t>i pozostają nieodpowiednio uregulowane, co skutkuje niejednoznacznością prawną</w:t>
      </w:r>
      <w:r w:rsidR="00C13C75" w:rsidRPr="00853D04">
        <w:rPr>
          <w:noProof/>
        </w:rPr>
        <w:t xml:space="preserve"> w</w:t>
      </w:r>
      <w:r w:rsidR="00C13C75">
        <w:rPr>
          <w:noProof/>
        </w:rPr>
        <w:t> </w:t>
      </w:r>
      <w:r w:rsidR="00C13C75" w:rsidRPr="00853D04">
        <w:rPr>
          <w:noProof/>
        </w:rPr>
        <w:t>odn</w:t>
      </w:r>
      <w:r w:rsidR="001E4FDC" w:rsidRPr="00853D04">
        <w:rPr>
          <w:noProof/>
        </w:rPr>
        <w:t>iesieniu do wszystkich stowarzyszeń niekomercyjnych prowadzących działalność transgraniczną. Na przykład gdy stowarzyszenia niekomercyjne zamierzają przenieść swoją siedzibę statutową do nowego państwa członkowskiego, utrzymuje się niepewność co do przeniesienia siedziby</w:t>
      </w:r>
      <w:r w:rsidR="00C13C75" w:rsidRPr="00853D04">
        <w:rPr>
          <w:noProof/>
        </w:rPr>
        <w:t>. W</w:t>
      </w:r>
      <w:r w:rsidR="00C13C75">
        <w:rPr>
          <w:noProof/>
        </w:rPr>
        <w:t> </w:t>
      </w:r>
      <w:r w:rsidR="00C13C75" w:rsidRPr="00853D04">
        <w:rPr>
          <w:noProof/>
        </w:rPr>
        <w:t>szc</w:t>
      </w:r>
      <w:r w:rsidR="001E4FDC" w:rsidRPr="00853D04">
        <w:rPr>
          <w:noProof/>
        </w:rPr>
        <w:t>zególności brak możliwości przeniesienia siedziby statutowej bez przeprowadzenia likwidacji utrudnia stowarzyszeniom niekomercyjnym transgraniczne działanie, przenoszenie</w:t>
      </w:r>
      <w:r w:rsidR="00C13C75" w:rsidRPr="00853D04">
        <w:rPr>
          <w:noProof/>
        </w:rPr>
        <w:t xml:space="preserve"> i</w:t>
      </w:r>
      <w:r w:rsidR="00C13C75">
        <w:rPr>
          <w:noProof/>
        </w:rPr>
        <w:t> </w:t>
      </w:r>
      <w:r w:rsidR="00C13C75" w:rsidRPr="00853D04">
        <w:rPr>
          <w:noProof/>
        </w:rPr>
        <w:t>res</w:t>
      </w:r>
      <w:r w:rsidR="001E4FDC" w:rsidRPr="00853D04">
        <w:rPr>
          <w:noProof/>
        </w:rPr>
        <w:t>trukturyzację ponad granicami Unii. Przepisy krajowe są rozbieżne</w:t>
      </w:r>
      <w:r w:rsidR="00C13C75" w:rsidRPr="00853D04">
        <w:rPr>
          <w:noProof/>
        </w:rPr>
        <w:t xml:space="preserve"> i</w:t>
      </w:r>
      <w:r w:rsidR="00C13C75">
        <w:rPr>
          <w:noProof/>
        </w:rPr>
        <w:t> </w:t>
      </w:r>
      <w:r w:rsidR="00C13C75" w:rsidRPr="00853D04">
        <w:rPr>
          <w:noProof/>
        </w:rPr>
        <w:t>czę</w:t>
      </w:r>
      <w:r w:rsidR="001E4FDC" w:rsidRPr="00853D04">
        <w:rPr>
          <w:noProof/>
        </w:rPr>
        <w:t>sto nie zapewniają jasnych rozwiązań</w:t>
      </w:r>
      <w:r w:rsidR="00C13C75" w:rsidRPr="00853D04">
        <w:rPr>
          <w:noProof/>
        </w:rPr>
        <w:t xml:space="preserve"> i</w:t>
      </w:r>
      <w:r w:rsidR="00C13C75">
        <w:rPr>
          <w:noProof/>
        </w:rPr>
        <w:t> </w:t>
      </w:r>
      <w:r w:rsidR="00C13C75" w:rsidRPr="00853D04">
        <w:rPr>
          <w:noProof/>
        </w:rPr>
        <w:t>pro</w:t>
      </w:r>
      <w:r w:rsidR="001E4FDC" w:rsidRPr="00853D04">
        <w:rPr>
          <w:noProof/>
        </w:rPr>
        <w:t>cedur</w:t>
      </w:r>
      <w:r w:rsidR="00C13C75" w:rsidRPr="00853D04">
        <w:rPr>
          <w:noProof/>
        </w:rPr>
        <w:t xml:space="preserve"> w</w:t>
      </w:r>
      <w:r w:rsidR="00C13C75">
        <w:rPr>
          <w:noProof/>
        </w:rPr>
        <w:t> </w:t>
      </w:r>
      <w:r w:rsidR="00C13C75" w:rsidRPr="00853D04">
        <w:rPr>
          <w:noProof/>
        </w:rPr>
        <w:t>zak</w:t>
      </w:r>
      <w:r w:rsidR="001E4FDC" w:rsidRPr="00853D04">
        <w:rPr>
          <w:noProof/>
        </w:rPr>
        <w:t>resie transgranicznej mobilności</w:t>
      </w:r>
      <w:r w:rsidR="00C13C75" w:rsidRPr="00853D04">
        <w:rPr>
          <w:noProof/>
        </w:rPr>
        <w:t xml:space="preserve"> i</w:t>
      </w:r>
      <w:r w:rsidR="00C13C75">
        <w:rPr>
          <w:noProof/>
        </w:rPr>
        <w:t> </w:t>
      </w:r>
      <w:r w:rsidR="00C13C75" w:rsidRPr="00853D04">
        <w:rPr>
          <w:noProof/>
        </w:rPr>
        <w:t>dzi</w:t>
      </w:r>
      <w:r w:rsidR="001E4FDC" w:rsidRPr="00853D04">
        <w:rPr>
          <w:noProof/>
        </w:rPr>
        <w:t xml:space="preserve">ałalności gospodarczej stowarzyszeń niekomercyjnych. </w:t>
      </w:r>
    </w:p>
    <w:p w14:paraId="7D54F2BF" w14:textId="7C283D27" w:rsidR="001E4FDC" w:rsidRPr="00853D04" w:rsidRDefault="008D78F5" w:rsidP="008D78F5">
      <w:pPr>
        <w:pStyle w:val="ManualConsidrant"/>
        <w:rPr>
          <w:noProof/>
        </w:rPr>
      </w:pPr>
      <w:r w:rsidRPr="008D78F5">
        <w:t>(10)</w:t>
      </w:r>
      <w:r w:rsidRPr="008D78F5">
        <w:tab/>
      </w:r>
      <w:r w:rsidR="001E4FDC" w:rsidRPr="00853D04">
        <w:rPr>
          <w:noProof/>
        </w:rPr>
        <w:t>Możliwość skutecznego transgranicznego dostępu</w:t>
      </w:r>
      <w:r w:rsidR="00C13C75" w:rsidRPr="00853D04">
        <w:rPr>
          <w:noProof/>
        </w:rPr>
        <w:t xml:space="preserve"> i</w:t>
      </w:r>
      <w:r w:rsidR="00C13C75">
        <w:rPr>
          <w:noProof/>
        </w:rPr>
        <w:t> </w:t>
      </w:r>
      <w:r w:rsidR="00C13C75" w:rsidRPr="00853D04">
        <w:rPr>
          <w:noProof/>
        </w:rPr>
        <w:t>prz</w:t>
      </w:r>
      <w:r w:rsidR="001E4FDC" w:rsidRPr="00853D04">
        <w:rPr>
          <w:noProof/>
        </w:rPr>
        <w:t>ekazywania funduszy</w:t>
      </w:r>
      <w:r w:rsidR="00C13C75" w:rsidRPr="00853D04">
        <w:rPr>
          <w:noProof/>
        </w:rPr>
        <w:t xml:space="preserve"> i</w:t>
      </w:r>
      <w:r w:rsidR="00C13C75">
        <w:rPr>
          <w:noProof/>
        </w:rPr>
        <w:t> </w:t>
      </w:r>
      <w:r w:rsidR="00C13C75" w:rsidRPr="00853D04">
        <w:rPr>
          <w:noProof/>
        </w:rPr>
        <w:t>kap</w:t>
      </w:r>
      <w:r w:rsidR="001E4FDC" w:rsidRPr="00853D04">
        <w:rPr>
          <w:noProof/>
        </w:rPr>
        <w:t>itału jest niezbędna</w:t>
      </w:r>
      <w:r w:rsidR="00C13C75" w:rsidRPr="00853D04">
        <w:rPr>
          <w:noProof/>
        </w:rPr>
        <w:t xml:space="preserve"> w</w:t>
      </w:r>
      <w:r w:rsidR="00C13C75">
        <w:rPr>
          <w:noProof/>
        </w:rPr>
        <w:t> </w:t>
      </w:r>
      <w:r w:rsidR="00C13C75" w:rsidRPr="00853D04">
        <w:rPr>
          <w:noProof/>
        </w:rPr>
        <w:t>cel</w:t>
      </w:r>
      <w:r w:rsidR="001E4FDC" w:rsidRPr="00853D04">
        <w:rPr>
          <w:noProof/>
        </w:rPr>
        <w:t>u ułatwienia działalności stowarzyszeń niekomercyjnych na rynku wewnętrznym. Obejmuje to wynagrodzenie za działalność gospodarczą, ale także darowizny, spadki lub inne formy finansowania. Różne ramy regulacyjne</w:t>
      </w:r>
      <w:r w:rsidR="00C13C75" w:rsidRPr="00853D04">
        <w:rPr>
          <w:noProof/>
        </w:rPr>
        <w:t xml:space="preserve"> i</w:t>
      </w:r>
      <w:r w:rsidR="00C13C75">
        <w:rPr>
          <w:noProof/>
        </w:rPr>
        <w:t> </w:t>
      </w:r>
      <w:r w:rsidR="00C13C75" w:rsidRPr="00853D04">
        <w:rPr>
          <w:noProof/>
        </w:rPr>
        <w:t>ist</w:t>
      </w:r>
      <w:r w:rsidR="001E4FDC" w:rsidRPr="00853D04">
        <w:rPr>
          <w:noProof/>
        </w:rPr>
        <w:t>niejące</w:t>
      </w:r>
      <w:r w:rsidR="00C13C75" w:rsidRPr="00853D04">
        <w:rPr>
          <w:noProof/>
        </w:rPr>
        <w:t xml:space="preserve"> w</w:t>
      </w:r>
      <w:r w:rsidR="00C13C75">
        <w:rPr>
          <w:noProof/>
        </w:rPr>
        <w:t> </w:t>
      </w:r>
      <w:r w:rsidR="00C13C75" w:rsidRPr="00853D04">
        <w:rPr>
          <w:noProof/>
        </w:rPr>
        <w:t>pań</w:t>
      </w:r>
      <w:r w:rsidR="001E4FDC" w:rsidRPr="00853D04">
        <w:rPr>
          <w:noProof/>
        </w:rPr>
        <w:t>stwach członkowskich ograniczenia dotyczące przyjmowania, pozyskiwania</w:t>
      </w:r>
      <w:r w:rsidR="00C13C75" w:rsidRPr="00853D04">
        <w:rPr>
          <w:noProof/>
        </w:rPr>
        <w:t xml:space="preserve"> i</w:t>
      </w:r>
      <w:r w:rsidR="00C13C75">
        <w:rPr>
          <w:noProof/>
        </w:rPr>
        <w:t> </w:t>
      </w:r>
      <w:r w:rsidR="00C13C75" w:rsidRPr="00853D04">
        <w:rPr>
          <w:noProof/>
        </w:rPr>
        <w:t>otr</w:t>
      </w:r>
      <w:r w:rsidR="001E4FDC" w:rsidRPr="00853D04">
        <w:rPr>
          <w:noProof/>
        </w:rPr>
        <w:t>zymywania darowizn oraz podobnych wkładów</w:t>
      </w:r>
      <w:r w:rsidR="00C13C75" w:rsidRPr="00853D04">
        <w:rPr>
          <w:noProof/>
        </w:rPr>
        <w:t xml:space="preserve"> w</w:t>
      </w:r>
      <w:r w:rsidR="00C13C75">
        <w:rPr>
          <w:noProof/>
        </w:rPr>
        <w:t> </w:t>
      </w:r>
      <w:r w:rsidR="00C13C75" w:rsidRPr="00853D04">
        <w:rPr>
          <w:noProof/>
        </w:rPr>
        <w:t>dow</w:t>
      </w:r>
      <w:r w:rsidR="001E4FDC" w:rsidRPr="00853D04">
        <w:rPr>
          <w:noProof/>
        </w:rPr>
        <w:t>olnej formie powodują rozdrobnienie rynku wewnętrznego</w:t>
      </w:r>
      <w:r w:rsidR="00C13C75" w:rsidRPr="00853D04">
        <w:rPr>
          <w:noProof/>
        </w:rPr>
        <w:t xml:space="preserve"> i</w:t>
      </w:r>
      <w:r w:rsidR="00C13C75">
        <w:rPr>
          <w:noProof/>
        </w:rPr>
        <w:t> </w:t>
      </w:r>
      <w:r w:rsidR="00C13C75" w:rsidRPr="00853D04">
        <w:rPr>
          <w:noProof/>
        </w:rPr>
        <w:t>sta</w:t>
      </w:r>
      <w:r w:rsidR="001E4FDC" w:rsidRPr="00853D04">
        <w:rPr>
          <w:noProof/>
        </w:rPr>
        <w:t>nowią barierę</w:t>
      </w:r>
      <w:r w:rsidR="00C13C75" w:rsidRPr="00853D04">
        <w:rPr>
          <w:noProof/>
        </w:rPr>
        <w:t xml:space="preserve"> w</w:t>
      </w:r>
      <w:r w:rsidR="00C13C75">
        <w:rPr>
          <w:noProof/>
        </w:rPr>
        <w:t> </w:t>
      </w:r>
      <w:r w:rsidR="00C13C75" w:rsidRPr="00853D04">
        <w:rPr>
          <w:noProof/>
        </w:rPr>
        <w:t>jeg</w:t>
      </w:r>
      <w:r w:rsidR="001E4FDC" w:rsidRPr="00853D04">
        <w:rPr>
          <w:noProof/>
        </w:rPr>
        <w:t>o funkcjonowaniu.</w:t>
      </w:r>
    </w:p>
    <w:p w14:paraId="3EF17E80" w14:textId="0268739F" w:rsidR="008D7377" w:rsidRPr="00853D04" w:rsidRDefault="008D78F5" w:rsidP="008D78F5">
      <w:pPr>
        <w:pStyle w:val="ManualConsidrant"/>
        <w:rPr>
          <w:noProof/>
        </w:rPr>
      </w:pPr>
      <w:r w:rsidRPr="008D78F5">
        <w:t>(11)</w:t>
      </w:r>
      <w:r w:rsidRPr="008D78F5">
        <w:tab/>
      </w:r>
      <w:r w:rsidR="008D7377" w:rsidRPr="00853D04">
        <w:rPr>
          <w:noProof/>
        </w:rPr>
        <w:t>Przepisy niektórych państw członkowskich nakładają ponadto wymogi dotyczące obywatelstwa lub legalnego pobytu na członków stowarzyszeń niekomercyjnych lub członków organów wykonawczych takich stowarzyszeń niekomercyjnych. Takie wymogi należy wyeliminować</w:t>
      </w:r>
      <w:r w:rsidR="00C13C75" w:rsidRPr="00853D04">
        <w:rPr>
          <w:noProof/>
        </w:rPr>
        <w:t xml:space="preserve"> w</w:t>
      </w:r>
      <w:r w:rsidR="00C13C75">
        <w:rPr>
          <w:noProof/>
        </w:rPr>
        <w:t> </w:t>
      </w:r>
      <w:r w:rsidR="00C13C75" w:rsidRPr="00853D04">
        <w:rPr>
          <w:noProof/>
        </w:rPr>
        <w:t>cel</w:t>
      </w:r>
      <w:r w:rsidR="008D7377" w:rsidRPr="00853D04">
        <w:rPr>
          <w:noProof/>
        </w:rPr>
        <w:t>u ochrony swobody przedsiębiorczości</w:t>
      </w:r>
      <w:r w:rsidR="00C13C75" w:rsidRPr="00853D04">
        <w:rPr>
          <w:noProof/>
        </w:rPr>
        <w:t xml:space="preserve"> i</w:t>
      </w:r>
      <w:r w:rsidR="00C13C75">
        <w:rPr>
          <w:noProof/>
        </w:rPr>
        <w:t> </w:t>
      </w:r>
      <w:r w:rsidR="00C13C75" w:rsidRPr="00853D04">
        <w:rPr>
          <w:noProof/>
        </w:rPr>
        <w:t>wol</w:t>
      </w:r>
      <w:r w:rsidR="008D7377" w:rsidRPr="00853D04">
        <w:rPr>
          <w:noProof/>
        </w:rPr>
        <w:t xml:space="preserve">ności zrzeszania się obywateli UE. </w:t>
      </w:r>
    </w:p>
    <w:p w14:paraId="518ECABE" w14:textId="52D2F75C" w:rsidR="001E4FDC" w:rsidRPr="00853D04" w:rsidRDefault="008D78F5" w:rsidP="008D78F5">
      <w:pPr>
        <w:pStyle w:val="ManualConsidrant"/>
        <w:rPr>
          <w:rStyle w:val="normaltextrun"/>
          <w:noProof/>
        </w:rPr>
      </w:pPr>
      <w:r w:rsidRPr="008D78F5">
        <w:rPr>
          <w:rStyle w:val="normaltextrun"/>
        </w:rPr>
        <w:t>(12)</w:t>
      </w:r>
      <w:r w:rsidRPr="008D78F5">
        <w:rPr>
          <w:rStyle w:val="normaltextrun"/>
        </w:rPr>
        <w:tab/>
      </w:r>
      <w:r w:rsidR="00CF38D3" w:rsidRPr="00853D04">
        <w:rPr>
          <w:noProof/>
        </w:rPr>
        <w:t>Wolność zrzeszania się ma kluczowe znaczenie dla funkcjonowania demokracji, ponieważ stanowi niezbędny warunek korzystania przez jednostki</w:t>
      </w:r>
      <w:r w:rsidR="00C13C75" w:rsidRPr="00853D04">
        <w:rPr>
          <w:noProof/>
        </w:rPr>
        <w:t xml:space="preserve"> z</w:t>
      </w:r>
      <w:r w:rsidR="00C13C75">
        <w:rPr>
          <w:noProof/>
        </w:rPr>
        <w:t> </w:t>
      </w:r>
      <w:r w:rsidR="00C13C75" w:rsidRPr="00853D04">
        <w:rPr>
          <w:noProof/>
        </w:rPr>
        <w:t>inn</w:t>
      </w:r>
      <w:r w:rsidR="00CF38D3" w:rsidRPr="00853D04">
        <w:rPr>
          <w:noProof/>
        </w:rPr>
        <w:t>ych praw podstawowych,</w:t>
      </w:r>
      <w:r w:rsidR="00C13C75" w:rsidRPr="00853D04">
        <w:rPr>
          <w:noProof/>
        </w:rPr>
        <w:t xml:space="preserve"> w</w:t>
      </w:r>
      <w:r w:rsidR="00C13C75">
        <w:rPr>
          <w:noProof/>
        </w:rPr>
        <w:t> </w:t>
      </w:r>
      <w:r w:rsidR="00C13C75" w:rsidRPr="00853D04">
        <w:rPr>
          <w:noProof/>
        </w:rPr>
        <w:t>tym</w:t>
      </w:r>
      <w:r w:rsidR="00CF38D3" w:rsidRPr="00853D04">
        <w:rPr>
          <w:noProof/>
        </w:rPr>
        <w:t xml:space="preserve"> prawa do wolności wypowiedzi</w:t>
      </w:r>
      <w:r w:rsidR="00C13C75" w:rsidRPr="00853D04">
        <w:rPr>
          <w:noProof/>
        </w:rPr>
        <w:t xml:space="preserve"> i</w:t>
      </w:r>
      <w:r w:rsidR="00C13C75">
        <w:rPr>
          <w:noProof/>
        </w:rPr>
        <w:t> </w:t>
      </w:r>
      <w:r w:rsidR="00C13C75" w:rsidRPr="00853D04">
        <w:rPr>
          <w:noProof/>
        </w:rPr>
        <w:t>inf</w:t>
      </w:r>
      <w:r w:rsidR="00CF38D3" w:rsidRPr="00853D04">
        <w:rPr>
          <w:noProof/>
        </w:rPr>
        <w:t>ormacji. Jak uznano</w:t>
      </w:r>
      <w:r w:rsidR="00C13C75" w:rsidRPr="00853D04">
        <w:rPr>
          <w:noProof/>
        </w:rPr>
        <w:t xml:space="preserve"> w</w:t>
      </w:r>
      <w:r w:rsidR="00C13C75">
        <w:rPr>
          <w:noProof/>
        </w:rPr>
        <w:t> </w:t>
      </w:r>
      <w:r w:rsidR="00C13C75" w:rsidRPr="00853D04">
        <w:rPr>
          <w:noProof/>
        </w:rPr>
        <w:t>Kar</w:t>
      </w:r>
      <w:r w:rsidR="00CF38D3" w:rsidRPr="00853D04">
        <w:rPr>
          <w:noProof/>
        </w:rPr>
        <w:t>cie praw podstawowych Unii Europejskiej</w:t>
      </w:r>
      <w:r w:rsidR="00C13C75" w:rsidRPr="00853D04">
        <w:rPr>
          <w:noProof/>
        </w:rPr>
        <w:t xml:space="preserve"> i</w:t>
      </w:r>
      <w:r w:rsidR="00C13C75">
        <w:rPr>
          <w:noProof/>
        </w:rPr>
        <w:t> </w:t>
      </w:r>
      <w:r w:rsidR="00C13C75" w:rsidRPr="00853D04">
        <w:rPr>
          <w:noProof/>
        </w:rPr>
        <w:t>w</w:t>
      </w:r>
      <w:r w:rsidR="00C13C75">
        <w:rPr>
          <w:noProof/>
        </w:rPr>
        <w:t> </w:t>
      </w:r>
      <w:r w:rsidR="00C13C75" w:rsidRPr="00853D04">
        <w:rPr>
          <w:noProof/>
        </w:rPr>
        <w:t>Kon</w:t>
      </w:r>
      <w:r w:rsidR="00CF38D3" w:rsidRPr="00853D04">
        <w:rPr>
          <w:noProof/>
        </w:rPr>
        <w:t>wencji</w:t>
      </w:r>
      <w:r w:rsidR="00C13C75" w:rsidRPr="00853D04">
        <w:rPr>
          <w:noProof/>
        </w:rPr>
        <w:t xml:space="preserve"> o</w:t>
      </w:r>
      <w:r w:rsidR="00C13C75">
        <w:rPr>
          <w:noProof/>
        </w:rPr>
        <w:t> </w:t>
      </w:r>
      <w:r w:rsidR="00C13C75" w:rsidRPr="00853D04">
        <w:rPr>
          <w:noProof/>
        </w:rPr>
        <w:t>och</w:t>
      </w:r>
      <w:r w:rsidR="00CF38D3" w:rsidRPr="00853D04">
        <w:rPr>
          <w:noProof/>
        </w:rPr>
        <w:t>ronie praw człowieka</w:t>
      </w:r>
      <w:r w:rsidR="00C13C75" w:rsidRPr="00853D04">
        <w:rPr>
          <w:noProof/>
        </w:rPr>
        <w:t xml:space="preserve"> i</w:t>
      </w:r>
      <w:r w:rsidR="00C13C75">
        <w:rPr>
          <w:noProof/>
        </w:rPr>
        <w:t> </w:t>
      </w:r>
      <w:r w:rsidR="00C13C75" w:rsidRPr="00853D04">
        <w:rPr>
          <w:noProof/>
        </w:rPr>
        <w:t>pod</w:t>
      </w:r>
      <w:r w:rsidR="00CF38D3" w:rsidRPr="00853D04">
        <w:rPr>
          <w:noProof/>
        </w:rPr>
        <w:t xml:space="preserve">stawowych wolności (EKPC), wolność zrzeszania się jest prawem podstawowym. </w:t>
      </w:r>
    </w:p>
    <w:p w14:paraId="6E04B77C" w14:textId="1787E117" w:rsidR="001E4FDC" w:rsidRPr="00853D04" w:rsidRDefault="008D78F5" w:rsidP="008D78F5">
      <w:pPr>
        <w:pStyle w:val="ManualConsidrant"/>
        <w:rPr>
          <w:noProof/>
        </w:rPr>
      </w:pPr>
      <w:r w:rsidRPr="008D78F5">
        <w:t>(13)</w:t>
      </w:r>
      <w:r w:rsidRPr="008D78F5">
        <w:tab/>
      </w:r>
      <w:r w:rsidR="003E5122" w:rsidRPr="00853D04">
        <w:rPr>
          <w:noProof/>
        </w:rPr>
        <w:t>Konieczne jest zatem wprowadzenie zharmonizowanych przepisów ułatwiających prowadzenie transgranicznej działalności stowarzyszeń niekomercyjnych. Istniejące przepisy krajowe dotyczące stowarzyszeń transgranicznych powinny zostać zharmonizowane, tak aby umożliwić tym stowarzyszeniom niekomercyjnym przyjęcie formy prawnej mającej na celu konkretnie ułatwienie prowadzenia działalności</w:t>
      </w:r>
      <w:r w:rsidR="00C13C75" w:rsidRPr="00853D04">
        <w:rPr>
          <w:noProof/>
        </w:rPr>
        <w:t xml:space="preserve"> w</w:t>
      </w:r>
      <w:r w:rsidR="00C13C75">
        <w:rPr>
          <w:noProof/>
        </w:rPr>
        <w:t> </w:t>
      </w:r>
      <w:r w:rsidR="00C13C75" w:rsidRPr="00853D04">
        <w:rPr>
          <w:noProof/>
        </w:rPr>
        <w:t>wym</w:t>
      </w:r>
      <w:r w:rsidR="003E5122" w:rsidRPr="00853D04">
        <w:rPr>
          <w:noProof/>
        </w:rPr>
        <w:t>iarze transgranicznym. Ta forma prawna powinna być przewidziana</w:t>
      </w:r>
      <w:r w:rsidR="00C13C75" w:rsidRPr="00853D04">
        <w:rPr>
          <w:noProof/>
        </w:rPr>
        <w:t xml:space="preserve"> w</w:t>
      </w:r>
      <w:r w:rsidR="00C13C75">
        <w:rPr>
          <w:noProof/>
        </w:rPr>
        <w:t> </w:t>
      </w:r>
      <w:r w:rsidR="00C13C75" w:rsidRPr="00853D04">
        <w:rPr>
          <w:noProof/>
        </w:rPr>
        <w:t>kra</w:t>
      </w:r>
      <w:r w:rsidR="003E5122" w:rsidRPr="00853D04">
        <w:rPr>
          <w:noProof/>
        </w:rPr>
        <w:t>jowych porządkach prawnych państw członkowskich przez dostosowanie ich odpowiednich przepisów dotyczących stowarzyszeń niekomercyjnych. Ta forma prawna, określana jako „europejskie stowarzyszenie transgraniczne”, powinna być automatycznie uznawana przez wszystkie państwa członkowskie</w:t>
      </w:r>
      <w:r w:rsidR="00C13C75" w:rsidRPr="00853D04">
        <w:rPr>
          <w:noProof/>
        </w:rPr>
        <w:t xml:space="preserve"> i</w:t>
      </w:r>
      <w:r w:rsidR="00C13C75">
        <w:rPr>
          <w:noProof/>
        </w:rPr>
        <w:t> </w:t>
      </w:r>
      <w:r w:rsidR="00C13C75" w:rsidRPr="00853D04">
        <w:rPr>
          <w:noProof/>
        </w:rPr>
        <w:t>umo</w:t>
      </w:r>
      <w:r w:rsidR="003E5122" w:rsidRPr="00853D04">
        <w:rPr>
          <w:noProof/>
        </w:rPr>
        <w:t>żliwi stowarzyszeniom niekomercyjnym przezwyciężenie przeszkód,</w:t>
      </w:r>
      <w:r w:rsidR="00C13C75" w:rsidRPr="00853D04">
        <w:rPr>
          <w:noProof/>
        </w:rPr>
        <w:t xml:space="preserve"> z</w:t>
      </w:r>
      <w:r w:rsidR="00C13C75">
        <w:rPr>
          <w:noProof/>
        </w:rPr>
        <w:t> </w:t>
      </w:r>
      <w:r w:rsidR="00C13C75" w:rsidRPr="00853D04">
        <w:rPr>
          <w:noProof/>
        </w:rPr>
        <w:t>któ</w:t>
      </w:r>
      <w:r w:rsidR="003E5122" w:rsidRPr="00853D04">
        <w:rPr>
          <w:noProof/>
        </w:rPr>
        <w:t>rymi borykają się na rynku wewnętrznym, przy jednoczesnym poszanowaniu tradycji państw członkowskich</w:t>
      </w:r>
      <w:r w:rsidR="00C13C75" w:rsidRPr="00853D04">
        <w:rPr>
          <w:noProof/>
        </w:rPr>
        <w:t xml:space="preserve"> w</w:t>
      </w:r>
      <w:r w:rsidR="00C13C75">
        <w:rPr>
          <w:noProof/>
        </w:rPr>
        <w:t> </w:t>
      </w:r>
      <w:r w:rsidR="00C13C75" w:rsidRPr="00853D04">
        <w:rPr>
          <w:noProof/>
        </w:rPr>
        <w:t>zak</w:t>
      </w:r>
      <w:r w:rsidR="003E5122" w:rsidRPr="00853D04">
        <w:rPr>
          <w:noProof/>
        </w:rPr>
        <w:t>resie stowarzyszeń niekomercyjnych.</w:t>
      </w:r>
    </w:p>
    <w:p w14:paraId="45FFEF6E" w14:textId="3E1DC7D4" w:rsidR="00313C65" w:rsidRPr="00853D04" w:rsidRDefault="008D78F5" w:rsidP="008D78F5">
      <w:pPr>
        <w:pStyle w:val="ManualConsidrant"/>
        <w:rPr>
          <w:noProof/>
        </w:rPr>
      </w:pPr>
      <w:r w:rsidRPr="008D78F5">
        <w:t>(14)</w:t>
      </w:r>
      <w:r w:rsidRPr="008D78F5">
        <w:tab/>
      </w:r>
      <w:r w:rsidR="00313C65" w:rsidRPr="00853D04">
        <w:rPr>
          <w:noProof/>
        </w:rPr>
        <w:t>Umożliwienie stowarzyszeniom niekomercyjnym korzystanie</w:t>
      </w:r>
      <w:r w:rsidR="00C13C75" w:rsidRPr="00853D04">
        <w:rPr>
          <w:noProof/>
        </w:rPr>
        <w:t xml:space="preserve"> w</w:t>
      </w:r>
      <w:r w:rsidR="00C13C75">
        <w:rPr>
          <w:noProof/>
        </w:rPr>
        <w:t> </w:t>
      </w:r>
      <w:r w:rsidR="00C13C75" w:rsidRPr="00853D04">
        <w:rPr>
          <w:noProof/>
        </w:rPr>
        <w:t>peł</w:t>
      </w:r>
      <w:r w:rsidR="00313C65" w:rsidRPr="00853D04">
        <w:rPr>
          <w:noProof/>
        </w:rPr>
        <w:t>ni ze swobody przedsiębiorczości</w:t>
      </w:r>
      <w:r w:rsidR="00C13C75" w:rsidRPr="00853D04">
        <w:rPr>
          <w:noProof/>
        </w:rPr>
        <w:t xml:space="preserve"> w</w:t>
      </w:r>
      <w:r w:rsidR="00C13C75">
        <w:rPr>
          <w:noProof/>
        </w:rPr>
        <w:t> </w:t>
      </w:r>
      <w:r w:rsidR="00C13C75" w:rsidRPr="00853D04">
        <w:rPr>
          <w:noProof/>
        </w:rPr>
        <w:t>Uni</w:t>
      </w:r>
      <w:r w:rsidR="00313C65" w:rsidRPr="00853D04">
        <w:rPr>
          <w:noProof/>
        </w:rPr>
        <w:t>i dzięki jednolitej rejestracji ważnej</w:t>
      </w:r>
      <w:r w:rsidR="00C13C75" w:rsidRPr="00853D04">
        <w:rPr>
          <w:noProof/>
        </w:rPr>
        <w:t xml:space="preserve"> w</w:t>
      </w:r>
      <w:r w:rsidR="00C13C75">
        <w:rPr>
          <w:noProof/>
        </w:rPr>
        <w:t> </w:t>
      </w:r>
      <w:r w:rsidR="00C13C75" w:rsidRPr="00853D04">
        <w:rPr>
          <w:noProof/>
        </w:rPr>
        <w:t>cał</w:t>
      </w:r>
      <w:r w:rsidR="00313C65" w:rsidRPr="00853D04">
        <w:rPr>
          <w:noProof/>
        </w:rPr>
        <w:t>ej Unii</w:t>
      </w:r>
      <w:r w:rsidR="00C13C75" w:rsidRPr="00853D04">
        <w:rPr>
          <w:noProof/>
        </w:rPr>
        <w:t xml:space="preserve"> i</w:t>
      </w:r>
      <w:r w:rsidR="00C13C75">
        <w:rPr>
          <w:noProof/>
        </w:rPr>
        <w:t> </w:t>
      </w:r>
      <w:r w:rsidR="00C13C75" w:rsidRPr="00853D04">
        <w:rPr>
          <w:noProof/>
        </w:rPr>
        <w:t>aut</w:t>
      </w:r>
      <w:r w:rsidR="00313C65" w:rsidRPr="00853D04">
        <w:rPr>
          <w:noProof/>
        </w:rPr>
        <w:t>omatycznemu uznaniu ich osobowości prawnej jest ponadto bezpośrednio związane</w:t>
      </w:r>
      <w:r w:rsidR="00C13C75" w:rsidRPr="00853D04">
        <w:rPr>
          <w:noProof/>
        </w:rPr>
        <w:t xml:space="preserve"> z</w:t>
      </w:r>
      <w:r w:rsidR="00C13C75">
        <w:rPr>
          <w:noProof/>
        </w:rPr>
        <w:t> </w:t>
      </w:r>
      <w:r w:rsidR="00C13C75" w:rsidRPr="00853D04">
        <w:rPr>
          <w:noProof/>
        </w:rPr>
        <w:t>fun</w:t>
      </w:r>
      <w:r w:rsidR="00313C65" w:rsidRPr="00853D04">
        <w:rPr>
          <w:noProof/>
        </w:rPr>
        <w:t>kcjonowaniem rynku wewnętrznego</w:t>
      </w:r>
      <w:r w:rsidR="00C13C75" w:rsidRPr="00853D04">
        <w:rPr>
          <w:noProof/>
        </w:rPr>
        <w:t xml:space="preserve"> i</w:t>
      </w:r>
      <w:r w:rsidR="00C13C75">
        <w:rPr>
          <w:noProof/>
        </w:rPr>
        <w:t> </w:t>
      </w:r>
      <w:r w:rsidR="00C13C75" w:rsidRPr="00853D04">
        <w:rPr>
          <w:noProof/>
        </w:rPr>
        <w:t>moż</w:t>
      </w:r>
      <w:r w:rsidR="00313C65" w:rsidRPr="00853D04">
        <w:rPr>
          <w:noProof/>
        </w:rPr>
        <w:t>liwościami pełnego korzystania</w:t>
      </w:r>
      <w:r w:rsidR="00C13C75" w:rsidRPr="00853D04">
        <w:rPr>
          <w:noProof/>
        </w:rPr>
        <w:t xml:space="preserve"> z</w:t>
      </w:r>
      <w:r w:rsidR="00C13C75">
        <w:rPr>
          <w:noProof/>
        </w:rPr>
        <w:t> </w:t>
      </w:r>
      <w:r w:rsidR="00C13C75" w:rsidRPr="00853D04">
        <w:rPr>
          <w:noProof/>
        </w:rPr>
        <w:t>pra</w:t>
      </w:r>
      <w:r w:rsidR="00313C65" w:rsidRPr="00853D04">
        <w:rPr>
          <w:noProof/>
        </w:rPr>
        <w:t>w wynikających</w:t>
      </w:r>
      <w:r w:rsidR="00C13C75" w:rsidRPr="00853D04">
        <w:rPr>
          <w:noProof/>
        </w:rPr>
        <w:t xml:space="preserve"> z</w:t>
      </w:r>
      <w:r w:rsidR="00C13C75">
        <w:rPr>
          <w:noProof/>
        </w:rPr>
        <w:t> </w:t>
      </w:r>
      <w:r w:rsidR="00C13C75" w:rsidRPr="00853D04">
        <w:rPr>
          <w:noProof/>
        </w:rPr>
        <w:t>tej</w:t>
      </w:r>
      <w:r w:rsidR="00313C65" w:rsidRPr="00853D04">
        <w:rPr>
          <w:noProof/>
        </w:rPr>
        <w:t xml:space="preserve"> swobody oraz do tego niezbędne.</w:t>
      </w:r>
    </w:p>
    <w:p w14:paraId="069131A5" w14:textId="45B4A4A9" w:rsidR="001E4FDC" w:rsidRPr="00853D04" w:rsidRDefault="008D78F5" w:rsidP="008D78F5">
      <w:pPr>
        <w:pStyle w:val="ManualConsidrant"/>
        <w:rPr>
          <w:noProof/>
        </w:rPr>
      </w:pPr>
      <w:r w:rsidRPr="008D78F5">
        <w:t>(15)</w:t>
      </w:r>
      <w:r w:rsidRPr="008D78F5">
        <w:tab/>
      </w:r>
      <w:r w:rsidR="001E4FDC" w:rsidRPr="00853D04">
        <w:rPr>
          <w:noProof/>
        </w:rPr>
        <w:t>Związkom zawodowym</w:t>
      </w:r>
      <w:r w:rsidR="00C13C75" w:rsidRPr="00853D04">
        <w:rPr>
          <w:noProof/>
        </w:rPr>
        <w:t xml:space="preserve"> i</w:t>
      </w:r>
      <w:r w:rsidR="00C13C75">
        <w:rPr>
          <w:noProof/>
        </w:rPr>
        <w:t> </w:t>
      </w:r>
      <w:r w:rsidR="00C13C75" w:rsidRPr="00853D04">
        <w:rPr>
          <w:noProof/>
        </w:rPr>
        <w:t>ich</w:t>
      </w:r>
      <w:r w:rsidR="001E4FDC" w:rsidRPr="00853D04">
        <w:rPr>
          <w:noProof/>
        </w:rPr>
        <w:t xml:space="preserve"> stowarzyszeniom nie należy zezwalać na ustanawianie europejskich stowarzyszeń transgranicznych, ponieważ związki te mają szczególny status</w:t>
      </w:r>
      <w:r w:rsidR="00C13C75" w:rsidRPr="00853D04">
        <w:rPr>
          <w:noProof/>
        </w:rPr>
        <w:t xml:space="preserve"> w</w:t>
      </w:r>
      <w:r w:rsidR="00C13C75">
        <w:rPr>
          <w:noProof/>
        </w:rPr>
        <w:t> </w:t>
      </w:r>
      <w:r w:rsidR="00C13C75" w:rsidRPr="00853D04">
        <w:rPr>
          <w:noProof/>
        </w:rPr>
        <w:t>pra</w:t>
      </w:r>
      <w:r w:rsidR="001E4FDC" w:rsidRPr="00853D04">
        <w:rPr>
          <w:noProof/>
        </w:rPr>
        <w:t xml:space="preserve">wie krajowym. </w:t>
      </w:r>
    </w:p>
    <w:p w14:paraId="0B2A42E3" w14:textId="1484CCE2" w:rsidR="001E4FDC" w:rsidRPr="00853D04" w:rsidRDefault="008D78F5" w:rsidP="008D78F5">
      <w:pPr>
        <w:pStyle w:val="ManualConsidrant"/>
        <w:rPr>
          <w:noProof/>
        </w:rPr>
      </w:pPr>
      <w:r w:rsidRPr="008D78F5">
        <w:t>(16)</w:t>
      </w:r>
      <w:r w:rsidRPr="008D78F5">
        <w:tab/>
      </w:r>
      <w:r w:rsidR="00416261" w:rsidRPr="00853D04">
        <w:rPr>
          <w:noProof/>
        </w:rPr>
        <w:t>Partiom politycznym</w:t>
      </w:r>
      <w:r w:rsidR="00C13C75" w:rsidRPr="00853D04">
        <w:rPr>
          <w:noProof/>
        </w:rPr>
        <w:t xml:space="preserve"> i</w:t>
      </w:r>
      <w:r w:rsidR="00C13C75">
        <w:rPr>
          <w:noProof/>
        </w:rPr>
        <w:t> </w:t>
      </w:r>
      <w:r w:rsidR="00C13C75" w:rsidRPr="00853D04">
        <w:rPr>
          <w:noProof/>
        </w:rPr>
        <w:t>sto</w:t>
      </w:r>
      <w:r w:rsidR="00416261" w:rsidRPr="00853D04">
        <w:rPr>
          <w:noProof/>
        </w:rPr>
        <w:t>warzyszeniom partii politycznych również nie należy zezwalać na tworzenie europejskich stowarzyszeń transgranicznych, ponieważ mają one szczególny status</w:t>
      </w:r>
      <w:r w:rsidR="00C13C75" w:rsidRPr="00853D04">
        <w:rPr>
          <w:noProof/>
        </w:rPr>
        <w:t xml:space="preserve"> w</w:t>
      </w:r>
      <w:r w:rsidR="00C13C75">
        <w:rPr>
          <w:noProof/>
        </w:rPr>
        <w:t> </w:t>
      </w:r>
      <w:r w:rsidR="00C13C75" w:rsidRPr="00853D04">
        <w:rPr>
          <w:noProof/>
        </w:rPr>
        <w:t>pra</w:t>
      </w:r>
      <w:r w:rsidR="00416261" w:rsidRPr="00853D04">
        <w:rPr>
          <w:noProof/>
        </w:rPr>
        <w:t>wie krajowym</w:t>
      </w:r>
      <w:r w:rsidR="00C13C75" w:rsidRPr="00853D04">
        <w:rPr>
          <w:noProof/>
        </w:rPr>
        <w:t xml:space="preserve"> i</w:t>
      </w:r>
      <w:r w:rsidR="00C13C75">
        <w:rPr>
          <w:noProof/>
        </w:rPr>
        <w:t> </w:t>
      </w:r>
      <w:r w:rsidR="00C13C75" w:rsidRPr="00853D04">
        <w:rPr>
          <w:noProof/>
        </w:rPr>
        <w:t>pra</w:t>
      </w:r>
      <w:r w:rsidR="00416261" w:rsidRPr="00853D04">
        <w:rPr>
          <w:noProof/>
        </w:rPr>
        <w:t>wie Unii, jak określono</w:t>
      </w:r>
      <w:r w:rsidR="00C13C75" w:rsidRPr="00853D04">
        <w:rPr>
          <w:noProof/>
        </w:rPr>
        <w:t xml:space="preserve"> w</w:t>
      </w:r>
      <w:r w:rsidR="00C13C75">
        <w:rPr>
          <w:noProof/>
        </w:rPr>
        <w:t> </w:t>
      </w:r>
      <w:r w:rsidR="00C13C75" w:rsidRPr="00853D04">
        <w:rPr>
          <w:noProof/>
        </w:rPr>
        <w:t>roz</w:t>
      </w:r>
      <w:r w:rsidR="00416261" w:rsidRPr="00853D04">
        <w:rPr>
          <w:noProof/>
        </w:rPr>
        <w:t>porządzeniu Parlamentu Europejskiego</w:t>
      </w:r>
      <w:r w:rsidR="00C13C75" w:rsidRPr="00853D04">
        <w:rPr>
          <w:noProof/>
        </w:rPr>
        <w:t xml:space="preserve"> i</w:t>
      </w:r>
      <w:r w:rsidR="00C13C75">
        <w:rPr>
          <w:noProof/>
        </w:rPr>
        <w:t> </w:t>
      </w:r>
      <w:r w:rsidR="00C13C75" w:rsidRPr="00853D04">
        <w:rPr>
          <w:noProof/>
        </w:rPr>
        <w:t>Rad</w:t>
      </w:r>
      <w:r w:rsidR="00416261" w:rsidRPr="00853D04">
        <w:rPr>
          <w:noProof/>
        </w:rPr>
        <w:t xml:space="preserve">y (UE, Euratom) </w:t>
      </w:r>
      <w:r w:rsidR="00416261" w:rsidRPr="00C13C75">
        <w:rPr>
          <w:noProof/>
        </w:rPr>
        <w:t>nr</w:t>
      </w:r>
      <w:r w:rsidR="00C13C75" w:rsidRPr="00C13C75">
        <w:rPr>
          <w:noProof/>
        </w:rPr>
        <w:t> </w:t>
      </w:r>
      <w:r w:rsidR="00416261" w:rsidRPr="00C13C75">
        <w:rPr>
          <w:noProof/>
        </w:rPr>
        <w:t>1</w:t>
      </w:r>
      <w:r w:rsidR="00416261" w:rsidRPr="00853D04">
        <w:rPr>
          <w:noProof/>
        </w:rPr>
        <w:t>141/2014</w:t>
      </w:r>
      <w:r w:rsidR="00416261" w:rsidRPr="00853D04">
        <w:rPr>
          <w:rStyle w:val="FootnoteReference"/>
          <w:noProof/>
        </w:rPr>
        <w:footnoteReference w:id="40"/>
      </w:r>
      <w:r w:rsidR="00416261" w:rsidRPr="00853D04">
        <w:rPr>
          <w:noProof/>
        </w:rPr>
        <w:t>.</w:t>
      </w:r>
    </w:p>
    <w:p w14:paraId="6F54BDED" w14:textId="46C1D13C" w:rsidR="001E4FDC" w:rsidRPr="00853D04" w:rsidRDefault="008D78F5" w:rsidP="008D78F5">
      <w:pPr>
        <w:pStyle w:val="ManualConsidrant"/>
        <w:rPr>
          <w:noProof/>
        </w:rPr>
      </w:pPr>
      <w:r w:rsidRPr="008D78F5">
        <w:t>(17)</w:t>
      </w:r>
      <w:r w:rsidRPr="008D78F5">
        <w:tab/>
      </w:r>
      <w:r w:rsidR="0062006C" w:rsidRPr="00853D04">
        <w:rPr>
          <w:noProof/>
        </w:rPr>
        <w:t>Kościoły</w:t>
      </w:r>
      <w:r w:rsidR="00C13C75" w:rsidRPr="00853D04">
        <w:rPr>
          <w:noProof/>
        </w:rPr>
        <w:t xml:space="preserve"> i</w:t>
      </w:r>
      <w:r w:rsidR="00C13C75">
        <w:rPr>
          <w:noProof/>
        </w:rPr>
        <w:t> </w:t>
      </w:r>
      <w:r w:rsidR="00C13C75" w:rsidRPr="00853D04">
        <w:rPr>
          <w:noProof/>
        </w:rPr>
        <w:t>inn</w:t>
      </w:r>
      <w:r w:rsidR="0062006C" w:rsidRPr="00853D04">
        <w:rPr>
          <w:noProof/>
        </w:rPr>
        <w:t>e organizacje religijne oraz organizacje światopoglądowe lub niewyznaniowe</w:t>
      </w:r>
      <w:r w:rsidR="00C13C75" w:rsidRPr="00853D04">
        <w:rPr>
          <w:noProof/>
        </w:rPr>
        <w:t xml:space="preserve"> w</w:t>
      </w:r>
      <w:r w:rsidR="00C13C75">
        <w:rPr>
          <w:noProof/>
        </w:rPr>
        <w:t> </w:t>
      </w:r>
      <w:r w:rsidR="00C13C75" w:rsidRPr="00853D04">
        <w:rPr>
          <w:noProof/>
        </w:rPr>
        <w:t>roz</w:t>
      </w:r>
      <w:r w:rsidR="0062006C" w:rsidRPr="00853D04">
        <w:rPr>
          <w:noProof/>
        </w:rPr>
        <w:t xml:space="preserve">umieniu </w:t>
      </w:r>
      <w:r w:rsidR="0062006C" w:rsidRPr="00C13C75">
        <w:rPr>
          <w:noProof/>
        </w:rPr>
        <w:t>art.</w:t>
      </w:r>
      <w:r w:rsidR="00C13C75" w:rsidRPr="00C13C75">
        <w:rPr>
          <w:noProof/>
        </w:rPr>
        <w:t> </w:t>
      </w:r>
      <w:r w:rsidR="0062006C" w:rsidRPr="00C13C75">
        <w:rPr>
          <w:noProof/>
        </w:rPr>
        <w:t>1</w:t>
      </w:r>
      <w:r w:rsidR="0062006C" w:rsidRPr="00853D04">
        <w:rPr>
          <w:noProof/>
        </w:rPr>
        <w:t>7 TFUE,</w:t>
      </w:r>
      <w:r w:rsidR="00C13C75" w:rsidRPr="00853D04">
        <w:rPr>
          <w:noProof/>
        </w:rPr>
        <w:t xml:space="preserve"> a</w:t>
      </w:r>
      <w:r w:rsidR="00C13C75">
        <w:rPr>
          <w:noProof/>
        </w:rPr>
        <w:t> </w:t>
      </w:r>
      <w:r w:rsidR="00C13C75" w:rsidRPr="00853D04">
        <w:rPr>
          <w:noProof/>
        </w:rPr>
        <w:t>tak</w:t>
      </w:r>
      <w:r w:rsidR="0062006C" w:rsidRPr="00853D04">
        <w:rPr>
          <w:noProof/>
        </w:rPr>
        <w:t>że stowarzyszenia tych podmiotów, również nie powinny mieć możliwości ustanowienia europejskiego stowarzyszenia transgranicznego ze względu na brak kompetencji Unii</w:t>
      </w:r>
      <w:r w:rsidR="00C13C75" w:rsidRPr="00853D04">
        <w:rPr>
          <w:noProof/>
        </w:rPr>
        <w:t xml:space="preserve"> w</w:t>
      </w:r>
      <w:r w:rsidR="00C13C75">
        <w:rPr>
          <w:noProof/>
        </w:rPr>
        <w:t> </w:t>
      </w:r>
      <w:r w:rsidR="00C13C75" w:rsidRPr="00853D04">
        <w:rPr>
          <w:noProof/>
        </w:rPr>
        <w:t>zak</w:t>
      </w:r>
      <w:r w:rsidR="0062006C" w:rsidRPr="00853D04">
        <w:rPr>
          <w:noProof/>
        </w:rPr>
        <w:t>resie regulowania ich statusu oraz ze względu na ich szczególny status</w:t>
      </w:r>
      <w:r w:rsidR="00C13C75" w:rsidRPr="00853D04">
        <w:rPr>
          <w:noProof/>
        </w:rPr>
        <w:t xml:space="preserve"> w</w:t>
      </w:r>
      <w:r w:rsidR="00C13C75">
        <w:rPr>
          <w:noProof/>
        </w:rPr>
        <w:t> </w:t>
      </w:r>
      <w:r w:rsidR="00C13C75" w:rsidRPr="00853D04">
        <w:rPr>
          <w:noProof/>
        </w:rPr>
        <w:t>pra</w:t>
      </w:r>
      <w:r w:rsidR="0062006C" w:rsidRPr="00853D04">
        <w:rPr>
          <w:noProof/>
        </w:rPr>
        <w:t>wie krajowym.</w:t>
      </w:r>
    </w:p>
    <w:p w14:paraId="21072788" w14:textId="51691119" w:rsidR="001E4FDC" w:rsidRPr="00853D04" w:rsidRDefault="008D78F5" w:rsidP="008D78F5">
      <w:pPr>
        <w:pStyle w:val="ManualConsidrant"/>
        <w:rPr>
          <w:noProof/>
        </w:rPr>
      </w:pPr>
      <w:r w:rsidRPr="008D78F5">
        <w:t>(18)</w:t>
      </w:r>
      <w:r w:rsidRPr="008D78F5">
        <w:tab/>
      </w:r>
      <w:r w:rsidR="001E4FDC" w:rsidRPr="00853D04">
        <w:rPr>
          <w:noProof/>
        </w:rPr>
        <w:t>Ustanowienie europejskiego stowarzyszenia transgranicznego powinno być wynikiem porozumienia między osobami fizycznymi będącymi obywatelami Unii lub legalnie przebywającymi obywatelami państw trzecich lub podmiotami prawnymi mającymi siedzibę</w:t>
      </w:r>
      <w:r w:rsidR="00C13C75" w:rsidRPr="00853D04">
        <w:rPr>
          <w:noProof/>
        </w:rPr>
        <w:t xml:space="preserve"> w</w:t>
      </w:r>
      <w:r w:rsidR="00C13C75">
        <w:rPr>
          <w:noProof/>
        </w:rPr>
        <w:t> </w:t>
      </w:r>
      <w:r w:rsidR="00C13C75" w:rsidRPr="00853D04">
        <w:rPr>
          <w:noProof/>
        </w:rPr>
        <w:t>Uni</w:t>
      </w:r>
      <w:r w:rsidR="001E4FDC" w:rsidRPr="00853D04">
        <w:rPr>
          <w:noProof/>
        </w:rPr>
        <w:t>i,</w:t>
      </w:r>
      <w:r w:rsidR="00C13C75" w:rsidRPr="00853D04">
        <w:rPr>
          <w:noProof/>
        </w:rPr>
        <w:t xml:space="preserve"> z</w:t>
      </w:r>
      <w:r w:rsidR="00C13C75">
        <w:rPr>
          <w:noProof/>
        </w:rPr>
        <w:t> </w:t>
      </w:r>
      <w:r w:rsidR="00C13C75" w:rsidRPr="00853D04">
        <w:rPr>
          <w:noProof/>
        </w:rPr>
        <w:t>wyj</w:t>
      </w:r>
      <w:r w:rsidR="001E4FDC" w:rsidRPr="00853D04">
        <w:rPr>
          <w:noProof/>
        </w:rPr>
        <w:t>ątkiem osób, które zostały skazane za przestępstwa związane</w:t>
      </w:r>
      <w:r w:rsidR="00C13C75" w:rsidRPr="00853D04">
        <w:rPr>
          <w:noProof/>
        </w:rPr>
        <w:t xml:space="preserve"> z</w:t>
      </w:r>
      <w:r w:rsidR="00C13C75">
        <w:rPr>
          <w:noProof/>
        </w:rPr>
        <w:t> </w:t>
      </w:r>
      <w:r w:rsidR="00C13C75" w:rsidRPr="00853D04">
        <w:rPr>
          <w:noProof/>
        </w:rPr>
        <w:t>pra</w:t>
      </w:r>
      <w:r w:rsidR="001E4FDC" w:rsidRPr="00853D04">
        <w:rPr>
          <w:noProof/>
        </w:rPr>
        <w:t>niem pieniędzy, powiązane przestępstwa źródłowe</w:t>
      </w:r>
      <w:r w:rsidR="001E4FDC" w:rsidRPr="00853D04">
        <w:rPr>
          <w:rStyle w:val="FootnoteReference"/>
          <w:noProof/>
        </w:rPr>
        <w:footnoteReference w:id="41"/>
      </w:r>
      <w:r w:rsidR="001E4FDC" w:rsidRPr="00853D04">
        <w:rPr>
          <w:noProof/>
        </w:rPr>
        <w:t xml:space="preserve"> lub finansowanie terroryzmu lub podlegają środkom zakazującym im działalności</w:t>
      </w:r>
      <w:r w:rsidR="00C13C75" w:rsidRPr="00853D04">
        <w:rPr>
          <w:noProof/>
        </w:rPr>
        <w:t xml:space="preserve"> w</w:t>
      </w:r>
      <w:r w:rsidR="00C13C75">
        <w:rPr>
          <w:noProof/>
        </w:rPr>
        <w:t> </w:t>
      </w:r>
      <w:r w:rsidR="00C13C75" w:rsidRPr="00853D04">
        <w:rPr>
          <w:noProof/>
        </w:rPr>
        <w:t>pań</w:t>
      </w:r>
      <w:r w:rsidR="001E4FDC" w:rsidRPr="00853D04">
        <w:rPr>
          <w:noProof/>
        </w:rPr>
        <w:t>stwie członkowskim</w:t>
      </w:r>
      <w:r w:rsidR="00C13C75" w:rsidRPr="00853D04">
        <w:rPr>
          <w:noProof/>
        </w:rPr>
        <w:t xml:space="preserve"> z</w:t>
      </w:r>
      <w:r w:rsidR="00C13C75">
        <w:rPr>
          <w:noProof/>
        </w:rPr>
        <w:t> </w:t>
      </w:r>
      <w:r w:rsidR="00C13C75" w:rsidRPr="00853D04">
        <w:rPr>
          <w:noProof/>
        </w:rPr>
        <w:t>tyc</w:t>
      </w:r>
      <w:r w:rsidR="001E4FDC" w:rsidRPr="00853D04">
        <w:rPr>
          <w:noProof/>
        </w:rPr>
        <w:t>h samych powodów</w:t>
      </w:r>
      <w:r w:rsidR="00C13C75" w:rsidRPr="00853D04">
        <w:rPr>
          <w:noProof/>
        </w:rPr>
        <w:t>. Z</w:t>
      </w:r>
      <w:r w:rsidR="00C13C75">
        <w:rPr>
          <w:noProof/>
        </w:rPr>
        <w:t> </w:t>
      </w:r>
      <w:r w:rsidR="00C13C75" w:rsidRPr="00853D04">
        <w:rPr>
          <w:noProof/>
        </w:rPr>
        <w:t>uwa</w:t>
      </w:r>
      <w:r w:rsidR="001E4FDC" w:rsidRPr="00853D04">
        <w:rPr>
          <w:noProof/>
        </w:rPr>
        <w:t xml:space="preserve">gi na niedochodowy cel europejskiego stowarzyszenia transgranicznego, jeżeli stowarzyszenie to tworzą osoby prawne, cel działalności tych osób również powinien być niedochodowy. </w:t>
      </w:r>
    </w:p>
    <w:p w14:paraId="2A845EC1" w14:textId="4F8F8EE0" w:rsidR="001E4FDC" w:rsidRPr="00853D04" w:rsidRDefault="008D78F5" w:rsidP="008D78F5">
      <w:pPr>
        <w:pStyle w:val="ManualConsidrant"/>
        <w:rPr>
          <w:noProof/>
        </w:rPr>
      </w:pPr>
      <w:r w:rsidRPr="008D78F5">
        <w:t>(19)</w:t>
      </w:r>
      <w:r w:rsidRPr="008D78F5">
        <w:tab/>
      </w:r>
      <w:r w:rsidR="001E4FDC" w:rsidRPr="00853D04">
        <w:rPr>
          <w:noProof/>
        </w:rPr>
        <w:t>Niedochodowy cel europejskiego stowarzyszenia transgranicznego powinien oznaczać, że gdy zysk jest generowany</w:t>
      </w:r>
      <w:r w:rsidR="00C13C75" w:rsidRPr="00853D04">
        <w:rPr>
          <w:noProof/>
        </w:rPr>
        <w:t xml:space="preserve"> w</w:t>
      </w:r>
      <w:r w:rsidR="00C13C75">
        <w:rPr>
          <w:noProof/>
        </w:rPr>
        <w:t> </w:t>
      </w:r>
      <w:r w:rsidR="00C13C75" w:rsidRPr="00853D04">
        <w:rPr>
          <w:noProof/>
        </w:rPr>
        <w:t>ram</w:t>
      </w:r>
      <w:r w:rsidR="001E4FDC" w:rsidRPr="00853D04">
        <w:rPr>
          <w:noProof/>
        </w:rPr>
        <w:t>ach działalności gospodarczej, powinien być wykorzystywany wyłącznie do osiągnięcia celów stowarzyszenia określonych</w:t>
      </w:r>
      <w:r w:rsidR="00C13C75" w:rsidRPr="00853D04">
        <w:rPr>
          <w:noProof/>
        </w:rPr>
        <w:t xml:space="preserve"> w</w:t>
      </w:r>
      <w:r w:rsidR="00C13C75">
        <w:rPr>
          <w:noProof/>
        </w:rPr>
        <w:t> </w:t>
      </w:r>
      <w:r w:rsidR="00C13C75" w:rsidRPr="00853D04">
        <w:rPr>
          <w:noProof/>
        </w:rPr>
        <w:t>jeg</w:t>
      </w:r>
      <w:r w:rsidR="001E4FDC" w:rsidRPr="00853D04">
        <w:rPr>
          <w:noProof/>
        </w:rPr>
        <w:t>o statucie</w:t>
      </w:r>
      <w:r w:rsidR="00C13C75" w:rsidRPr="00853D04">
        <w:rPr>
          <w:noProof/>
        </w:rPr>
        <w:t xml:space="preserve"> i</w:t>
      </w:r>
      <w:r w:rsidR="00C13C75">
        <w:rPr>
          <w:noProof/>
        </w:rPr>
        <w:t> </w:t>
      </w:r>
      <w:r w:rsidR="00C13C75" w:rsidRPr="00853D04">
        <w:rPr>
          <w:noProof/>
        </w:rPr>
        <w:t>nie</w:t>
      </w:r>
      <w:r w:rsidR="001E4FDC" w:rsidRPr="00853D04">
        <w:rPr>
          <w:noProof/>
        </w:rPr>
        <w:t xml:space="preserve"> może być rozdzielany</w:t>
      </w:r>
      <w:r w:rsidR="00C13C75" w:rsidRPr="00853D04">
        <w:rPr>
          <w:noProof/>
        </w:rPr>
        <w:t>. W</w:t>
      </w:r>
      <w:r w:rsidR="00C13C75">
        <w:rPr>
          <w:noProof/>
        </w:rPr>
        <w:t> </w:t>
      </w:r>
      <w:r w:rsidR="00C13C75" w:rsidRPr="00853D04">
        <w:rPr>
          <w:noProof/>
        </w:rPr>
        <w:t>zwi</w:t>
      </w:r>
      <w:r w:rsidR="001E4FDC" w:rsidRPr="00853D04">
        <w:rPr>
          <w:noProof/>
        </w:rPr>
        <w:t>ązku</w:t>
      </w:r>
      <w:r w:rsidR="00C13C75" w:rsidRPr="00853D04">
        <w:rPr>
          <w:noProof/>
        </w:rPr>
        <w:t xml:space="preserve"> z</w:t>
      </w:r>
      <w:r w:rsidR="00C13C75">
        <w:rPr>
          <w:noProof/>
        </w:rPr>
        <w:t> </w:t>
      </w:r>
      <w:r w:rsidR="00C13C75" w:rsidRPr="00853D04">
        <w:rPr>
          <w:noProof/>
        </w:rPr>
        <w:t>tym</w:t>
      </w:r>
      <w:r w:rsidR="001E4FDC" w:rsidRPr="00853D04">
        <w:rPr>
          <w:noProof/>
        </w:rPr>
        <w:t xml:space="preserve"> powinna istnieć blokada aktywów, co oznacza, że nie może mieć miejsca żadna dystrybucja aktywów na rzecz członków, nawet</w:t>
      </w:r>
      <w:r w:rsidR="00C13C75" w:rsidRPr="00853D04">
        <w:rPr>
          <w:noProof/>
        </w:rPr>
        <w:t xml:space="preserve"> w</w:t>
      </w:r>
      <w:r w:rsidR="00C13C75">
        <w:rPr>
          <w:noProof/>
        </w:rPr>
        <w:t> </w:t>
      </w:r>
      <w:r w:rsidR="00C13C75" w:rsidRPr="00853D04">
        <w:rPr>
          <w:noProof/>
        </w:rPr>
        <w:t>prz</w:t>
      </w:r>
      <w:r w:rsidR="001E4FDC" w:rsidRPr="00853D04">
        <w:rPr>
          <w:noProof/>
        </w:rPr>
        <w:t>ypadku rozwiązania</w:t>
      </w:r>
      <w:r w:rsidR="00C13C75" w:rsidRPr="00853D04">
        <w:rPr>
          <w:noProof/>
        </w:rPr>
        <w:t>. W</w:t>
      </w:r>
      <w:r w:rsidR="00C13C75">
        <w:rPr>
          <w:noProof/>
        </w:rPr>
        <w:t> </w:t>
      </w:r>
      <w:r w:rsidR="00C13C75" w:rsidRPr="00853D04">
        <w:rPr>
          <w:noProof/>
        </w:rPr>
        <w:t>tym</w:t>
      </w:r>
      <w:r w:rsidR="001E4FDC" w:rsidRPr="00853D04">
        <w:rPr>
          <w:noProof/>
        </w:rPr>
        <w:t xml:space="preserve"> ostatnim przypadku pozostałe aktywa powinny zostać przeniesione</w:t>
      </w:r>
      <w:r w:rsidR="00C13C75" w:rsidRPr="00853D04">
        <w:rPr>
          <w:noProof/>
        </w:rPr>
        <w:t xml:space="preserve"> w</w:t>
      </w:r>
      <w:r w:rsidR="00C13C75">
        <w:rPr>
          <w:noProof/>
        </w:rPr>
        <w:t> </w:t>
      </w:r>
      <w:r w:rsidR="00C13C75" w:rsidRPr="00853D04">
        <w:rPr>
          <w:noProof/>
        </w:rPr>
        <w:t>spo</w:t>
      </w:r>
      <w:r w:rsidR="001E4FDC" w:rsidRPr="00853D04">
        <w:rPr>
          <w:noProof/>
        </w:rPr>
        <w:t>sób bezinteresowny, np. na inne stowarzyszenia niekomercyjne, które mają ten sam cel.</w:t>
      </w:r>
    </w:p>
    <w:p w14:paraId="3333DD7E" w14:textId="708C4066" w:rsidR="006B7C81" w:rsidRPr="00853D04" w:rsidRDefault="008D78F5" w:rsidP="008D78F5">
      <w:pPr>
        <w:pStyle w:val="ManualConsidrant"/>
        <w:rPr>
          <w:noProof/>
        </w:rPr>
      </w:pPr>
      <w:r w:rsidRPr="008D78F5">
        <w:t>(20)</w:t>
      </w:r>
      <w:r w:rsidRPr="008D78F5">
        <w:tab/>
      </w:r>
      <w:r w:rsidR="00127D1C" w:rsidRPr="00853D04">
        <w:rPr>
          <w:noProof/>
        </w:rPr>
        <w:t>W społeczeństwie opartym na pluralizmie, niedyskryminacji, tolerancji, sprawiedliwości, solidarności oraz równości kobiet</w:t>
      </w:r>
      <w:r w:rsidR="00C13C75" w:rsidRPr="00853D04">
        <w:rPr>
          <w:noProof/>
        </w:rPr>
        <w:t xml:space="preserve"> i</w:t>
      </w:r>
      <w:r w:rsidR="00C13C75">
        <w:rPr>
          <w:noProof/>
        </w:rPr>
        <w:t> </w:t>
      </w:r>
      <w:r w:rsidR="00C13C75" w:rsidRPr="00853D04">
        <w:rPr>
          <w:noProof/>
        </w:rPr>
        <w:t>męż</w:t>
      </w:r>
      <w:r w:rsidR="00127D1C" w:rsidRPr="00853D04">
        <w:rPr>
          <w:noProof/>
        </w:rPr>
        <w:t>czyzn europejskie stowarzyszenia transgraniczne powinny dążyć do osiągnięcia celów zgodnych</w:t>
      </w:r>
      <w:r w:rsidR="00C13C75" w:rsidRPr="00853D04">
        <w:rPr>
          <w:noProof/>
        </w:rPr>
        <w:t xml:space="preserve"> z</w:t>
      </w:r>
      <w:r w:rsidR="00C13C75">
        <w:rPr>
          <w:noProof/>
        </w:rPr>
        <w:t> </w:t>
      </w:r>
      <w:r w:rsidR="00C13C75" w:rsidRPr="00853D04">
        <w:rPr>
          <w:noProof/>
        </w:rPr>
        <w:t>war</w:t>
      </w:r>
      <w:r w:rsidR="00127D1C" w:rsidRPr="00853D04">
        <w:rPr>
          <w:noProof/>
        </w:rPr>
        <w:t>tościami zapisanymi</w:t>
      </w:r>
      <w:r w:rsidR="00C13C75" w:rsidRPr="00853D04">
        <w:rPr>
          <w:noProof/>
        </w:rPr>
        <w:t xml:space="preserve"> w</w:t>
      </w:r>
      <w:r w:rsidR="00C13C75">
        <w:rPr>
          <w:noProof/>
        </w:rPr>
        <w:t> </w:t>
      </w:r>
      <w:r w:rsidR="00C13C75" w:rsidRPr="00C13C75">
        <w:rPr>
          <w:noProof/>
        </w:rPr>
        <w:t>art</w:t>
      </w:r>
      <w:r w:rsidR="00127D1C" w:rsidRPr="00C13C75">
        <w:rPr>
          <w:noProof/>
        </w:rPr>
        <w:t>.</w:t>
      </w:r>
      <w:r w:rsidR="00C13C75" w:rsidRPr="00C13C75">
        <w:rPr>
          <w:noProof/>
        </w:rPr>
        <w:t> </w:t>
      </w:r>
      <w:r w:rsidR="00127D1C" w:rsidRPr="00C13C75">
        <w:rPr>
          <w:noProof/>
        </w:rPr>
        <w:t>2</w:t>
      </w:r>
      <w:r w:rsidR="00127D1C" w:rsidRPr="00853D04">
        <w:rPr>
          <w:noProof/>
        </w:rPr>
        <w:t xml:space="preserve"> Traktatu</w:t>
      </w:r>
      <w:r w:rsidR="00C13C75" w:rsidRPr="00853D04">
        <w:rPr>
          <w:noProof/>
        </w:rPr>
        <w:t xml:space="preserve"> o</w:t>
      </w:r>
      <w:r w:rsidR="00C13C75">
        <w:rPr>
          <w:noProof/>
        </w:rPr>
        <w:t> </w:t>
      </w:r>
      <w:r w:rsidR="00C13C75" w:rsidRPr="00853D04">
        <w:rPr>
          <w:noProof/>
        </w:rPr>
        <w:t>Uni</w:t>
      </w:r>
      <w:r w:rsidR="00127D1C" w:rsidRPr="00853D04">
        <w:rPr>
          <w:noProof/>
        </w:rPr>
        <w:t>i Europejskiej („Traktat UE”), takimi jak poszanowanie godności osoby ludzkiej, wolności, demokracji, równości, państwa prawnego, jak również poszanowania praw człowieka,</w:t>
      </w:r>
      <w:r w:rsidR="00C13C75" w:rsidRPr="00853D04">
        <w:rPr>
          <w:noProof/>
        </w:rPr>
        <w:t xml:space="preserve"> w</w:t>
      </w:r>
      <w:r w:rsidR="00C13C75">
        <w:rPr>
          <w:noProof/>
        </w:rPr>
        <w:t> </w:t>
      </w:r>
      <w:r w:rsidR="00C13C75" w:rsidRPr="00853D04">
        <w:rPr>
          <w:noProof/>
        </w:rPr>
        <w:t>tym</w:t>
      </w:r>
      <w:r w:rsidR="00127D1C" w:rsidRPr="00853D04">
        <w:rPr>
          <w:noProof/>
        </w:rPr>
        <w:t xml:space="preserve"> praw osób należących do mniejszości. Nie powinno być możliwe ponadto wykorzystywanie europejskich stowarzyszeń transgranicznych do finansowania terroryzmu, uchylania się od opodatkowania, unikania opodatkowania, prania pieniędzy lub jakichkolwiek przestępstw lub do celów niezgodnych</w:t>
      </w:r>
      <w:r w:rsidR="00C13C75" w:rsidRPr="00853D04">
        <w:rPr>
          <w:noProof/>
        </w:rPr>
        <w:t xml:space="preserve"> z</w:t>
      </w:r>
      <w:r w:rsidR="00C13C75">
        <w:rPr>
          <w:noProof/>
        </w:rPr>
        <w:t> </w:t>
      </w:r>
      <w:r w:rsidR="00C13C75" w:rsidRPr="00853D04">
        <w:rPr>
          <w:noProof/>
        </w:rPr>
        <w:t>pra</w:t>
      </w:r>
      <w:r w:rsidR="00127D1C" w:rsidRPr="00853D04">
        <w:rPr>
          <w:noProof/>
        </w:rPr>
        <w:t xml:space="preserve">wem. </w:t>
      </w:r>
    </w:p>
    <w:p w14:paraId="67C4FA45" w14:textId="692CA393" w:rsidR="001E4FDC" w:rsidRPr="00853D04" w:rsidRDefault="008D78F5" w:rsidP="008D78F5">
      <w:pPr>
        <w:pStyle w:val="ManualConsidrant"/>
        <w:rPr>
          <w:noProof/>
        </w:rPr>
      </w:pPr>
      <w:r w:rsidRPr="008D78F5">
        <w:t>(21)</w:t>
      </w:r>
      <w:r w:rsidRPr="008D78F5">
        <w:tab/>
      </w:r>
      <w:r w:rsidR="00641A5B" w:rsidRPr="00853D04">
        <w:rPr>
          <w:noProof/>
        </w:rPr>
        <w:t>Transgraniczny element europejskiego stowarzyszenia transgranicznego ma kluczowe znaczenie</w:t>
      </w:r>
      <w:r w:rsidR="00C13C75" w:rsidRPr="00853D04">
        <w:rPr>
          <w:noProof/>
        </w:rPr>
        <w:t>. W</w:t>
      </w:r>
      <w:r w:rsidR="00C13C75">
        <w:rPr>
          <w:noProof/>
        </w:rPr>
        <w:t> </w:t>
      </w:r>
      <w:r w:rsidR="00C13C75" w:rsidRPr="00853D04">
        <w:rPr>
          <w:noProof/>
        </w:rPr>
        <w:t>zwi</w:t>
      </w:r>
      <w:r w:rsidR="00641A5B" w:rsidRPr="00853D04">
        <w:rPr>
          <w:noProof/>
        </w:rPr>
        <w:t>ązku</w:t>
      </w:r>
      <w:r w:rsidR="00C13C75" w:rsidRPr="00853D04">
        <w:rPr>
          <w:noProof/>
        </w:rPr>
        <w:t xml:space="preserve"> z</w:t>
      </w:r>
      <w:r w:rsidR="00C13C75">
        <w:rPr>
          <w:noProof/>
        </w:rPr>
        <w:t> </w:t>
      </w:r>
      <w:r w:rsidR="00C13C75" w:rsidRPr="00853D04">
        <w:rPr>
          <w:noProof/>
        </w:rPr>
        <w:t>tym</w:t>
      </w:r>
      <w:r w:rsidR="00641A5B" w:rsidRPr="00853D04">
        <w:rPr>
          <w:noProof/>
        </w:rPr>
        <w:t xml:space="preserve"> europejskie stowarzyszenie transgraniczne powinno prowadzić co najmniej część swojej działalności transgranicznej</w:t>
      </w:r>
      <w:r w:rsidR="00C13C75" w:rsidRPr="00853D04">
        <w:rPr>
          <w:noProof/>
        </w:rPr>
        <w:t xml:space="preserve"> w</w:t>
      </w:r>
      <w:r w:rsidR="00C13C75">
        <w:rPr>
          <w:noProof/>
        </w:rPr>
        <w:t> </w:t>
      </w:r>
      <w:r w:rsidR="00C13C75" w:rsidRPr="00853D04">
        <w:rPr>
          <w:noProof/>
        </w:rPr>
        <w:t>Uni</w:t>
      </w:r>
      <w:r w:rsidR="00641A5B" w:rsidRPr="00853D04">
        <w:rPr>
          <w:noProof/>
        </w:rPr>
        <w:t>i, w co najmniej dwóch państwach członkowskich, oraz mieć członków założycieli mających powiązania z co najmniej dwoma państwami członkowskimi na podstawie obywatelstwa lub miejsca pobytu</w:t>
      </w:r>
      <w:r w:rsidR="00C13C75" w:rsidRPr="00853D04">
        <w:rPr>
          <w:noProof/>
        </w:rPr>
        <w:t xml:space="preserve"> w</w:t>
      </w:r>
      <w:r w:rsidR="00C13C75">
        <w:rPr>
          <w:noProof/>
        </w:rPr>
        <w:t> </w:t>
      </w:r>
      <w:r w:rsidR="00C13C75" w:rsidRPr="00853D04">
        <w:rPr>
          <w:noProof/>
        </w:rPr>
        <w:t>prz</w:t>
      </w:r>
      <w:r w:rsidR="00641A5B" w:rsidRPr="00853D04">
        <w:rPr>
          <w:noProof/>
        </w:rPr>
        <w:t>ypadku osób fizycznych lub na podstawie lokalizacji ich siedziby statutowej</w:t>
      </w:r>
      <w:r w:rsidR="00C13C75" w:rsidRPr="00853D04">
        <w:rPr>
          <w:noProof/>
        </w:rPr>
        <w:t xml:space="preserve"> w</w:t>
      </w:r>
      <w:r w:rsidR="00C13C75">
        <w:rPr>
          <w:noProof/>
        </w:rPr>
        <w:t> </w:t>
      </w:r>
      <w:r w:rsidR="00C13C75" w:rsidRPr="00853D04">
        <w:rPr>
          <w:noProof/>
        </w:rPr>
        <w:t>prz</w:t>
      </w:r>
      <w:r w:rsidR="00641A5B" w:rsidRPr="00853D04">
        <w:rPr>
          <w:noProof/>
        </w:rPr>
        <w:t>ypadku podmiotów prawnych, lub mieć taki cel zapisany</w:t>
      </w:r>
      <w:r w:rsidR="00C13C75" w:rsidRPr="00853D04">
        <w:rPr>
          <w:noProof/>
        </w:rPr>
        <w:t xml:space="preserve"> w</w:t>
      </w:r>
      <w:r w:rsidR="00C13C75">
        <w:rPr>
          <w:noProof/>
        </w:rPr>
        <w:t> </w:t>
      </w:r>
      <w:r w:rsidR="00C13C75" w:rsidRPr="00853D04">
        <w:rPr>
          <w:noProof/>
        </w:rPr>
        <w:t>swo</w:t>
      </w:r>
      <w:r w:rsidR="00641A5B" w:rsidRPr="00853D04">
        <w:rPr>
          <w:noProof/>
        </w:rPr>
        <w:t>im statucie.</w:t>
      </w:r>
    </w:p>
    <w:p w14:paraId="0AC21E8F" w14:textId="107B670A" w:rsidR="00D45983" w:rsidRPr="00853D04" w:rsidRDefault="008D78F5" w:rsidP="008D78F5">
      <w:pPr>
        <w:pStyle w:val="ManualConsidrant"/>
        <w:rPr>
          <w:noProof/>
        </w:rPr>
      </w:pPr>
      <w:r w:rsidRPr="008D78F5">
        <w:t>(22)</w:t>
      </w:r>
      <w:r w:rsidRPr="008D78F5">
        <w:tab/>
      </w:r>
      <w:r w:rsidR="001E4FDC" w:rsidRPr="00853D04">
        <w:rPr>
          <w:noProof/>
        </w:rPr>
        <w:t>Aby zapewnić spełnianie przez europejskie stowarzyszenie transgraniczne celów leżących</w:t>
      </w:r>
      <w:r w:rsidR="00C13C75" w:rsidRPr="00853D04">
        <w:rPr>
          <w:noProof/>
        </w:rPr>
        <w:t xml:space="preserve"> u</w:t>
      </w:r>
      <w:r w:rsidR="00C13C75">
        <w:rPr>
          <w:noProof/>
        </w:rPr>
        <w:t> </w:t>
      </w:r>
      <w:r w:rsidR="00C13C75" w:rsidRPr="00853D04">
        <w:rPr>
          <w:noProof/>
        </w:rPr>
        <w:t>pod</w:t>
      </w:r>
      <w:r w:rsidR="001E4FDC" w:rsidRPr="00853D04">
        <w:rPr>
          <w:noProof/>
        </w:rPr>
        <w:t>staw ich utworzenia, stopień harmonizacji cech</w:t>
      </w:r>
      <w:r w:rsidR="00C13C75" w:rsidRPr="00853D04">
        <w:rPr>
          <w:noProof/>
        </w:rPr>
        <w:t xml:space="preserve"> i</w:t>
      </w:r>
      <w:r w:rsidR="00C13C75">
        <w:rPr>
          <w:noProof/>
        </w:rPr>
        <w:t> </w:t>
      </w:r>
      <w:r w:rsidR="00C13C75" w:rsidRPr="00853D04">
        <w:rPr>
          <w:noProof/>
        </w:rPr>
        <w:t>pra</w:t>
      </w:r>
      <w:r w:rsidR="001E4FDC" w:rsidRPr="00853D04">
        <w:rPr>
          <w:noProof/>
        </w:rPr>
        <w:t>w europejskiego stowarzyszenia transgranicznego powinien być proporcjonalny do skali</w:t>
      </w:r>
      <w:r w:rsidR="00C13C75" w:rsidRPr="00853D04">
        <w:rPr>
          <w:noProof/>
        </w:rPr>
        <w:t xml:space="preserve"> i</w:t>
      </w:r>
      <w:r w:rsidR="00C13C75">
        <w:rPr>
          <w:noProof/>
        </w:rPr>
        <w:t> </w:t>
      </w:r>
      <w:r w:rsidR="00C13C75" w:rsidRPr="00853D04">
        <w:rPr>
          <w:noProof/>
        </w:rPr>
        <w:t>zak</w:t>
      </w:r>
      <w:r w:rsidR="001E4FDC" w:rsidRPr="00853D04">
        <w:rPr>
          <w:noProof/>
        </w:rPr>
        <w:t>resu zidentyfikowanych problemów,</w:t>
      </w:r>
      <w:r w:rsidR="00C13C75" w:rsidRPr="00853D04">
        <w:rPr>
          <w:noProof/>
        </w:rPr>
        <w:t xml:space="preserve"> z</w:t>
      </w:r>
      <w:r w:rsidR="00C13C75">
        <w:rPr>
          <w:noProof/>
        </w:rPr>
        <w:t> </w:t>
      </w:r>
      <w:r w:rsidR="00C13C75" w:rsidRPr="00853D04">
        <w:rPr>
          <w:noProof/>
        </w:rPr>
        <w:t>któ</w:t>
      </w:r>
      <w:r w:rsidR="001E4FDC" w:rsidRPr="00853D04">
        <w:rPr>
          <w:noProof/>
        </w:rPr>
        <w:t xml:space="preserve">rymi borykają się stowarzyszenia niekomercyjne podczas prowadzenia działalności transgranicznej. </w:t>
      </w:r>
    </w:p>
    <w:p w14:paraId="541B003B" w14:textId="217494C1" w:rsidR="001E4FDC" w:rsidRPr="00853D04" w:rsidRDefault="008D78F5" w:rsidP="008D78F5">
      <w:pPr>
        <w:pStyle w:val="ManualConsidrant"/>
        <w:rPr>
          <w:noProof/>
        </w:rPr>
      </w:pPr>
      <w:r w:rsidRPr="008D78F5">
        <w:t>(23)</w:t>
      </w:r>
      <w:r w:rsidRPr="008D78F5">
        <w:tab/>
      </w:r>
      <w:r w:rsidR="001E4FDC" w:rsidRPr="00853D04">
        <w:rPr>
          <w:noProof/>
        </w:rPr>
        <w:t>Harmonizacja</w:t>
      </w:r>
      <w:r w:rsidR="00C13C75" w:rsidRPr="00853D04">
        <w:rPr>
          <w:noProof/>
        </w:rPr>
        <w:t xml:space="preserve"> w</w:t>
      </w:r>
      <w:r w:rsidR="00C13C75">
        <w:rPr>
          <w:noProof/>
        </w:rPr>
        <w:t> </w:t>
      </w:r>
      <w:r w:rsidR="00C13C75" w:rsidRPr="00853D04">
        <w:rPr>
          <w:noProof/>
        </w:rPr>
        <w:t>cał</w:t>
      </w:r>
      <w:r w:rsidR="001E4FDC" w:rsidRPr="00853D04">
        <w:rPr>
          <w:noProof/>
        </w:rPr>
        <w:t>ej Unii kluczowych cech osobowości prawnej</w:t>
      </w:r>
      <w:r w:rsidR="00C13C75" w:rsidRPr="00853D04">
        <w:rPr>
          <w:noProof/>
        </w:rPr>
        <w:t xml:space="preserve"> i</w:t>
      </w:r>
      <w:r w:rsidR="00C13C75">
        <w:rPr>
          <w:noProof/>
        </w:rPr>
        <w:t> </w:t>
      </w:r>
      <w:r w:rsidR="00C13C75" w:rsidRPr="00853D04">
        <w:rPr>
          <w:noProof/>
        </w:rPr>
        <w:t>zdo</w:t>
      </w:r>
      <w:r w:rsidR="001E4FDC" w:rsidRPr="00853D04">
        <w:rPr>
          <w:noProof/>
        </w:rPr>
        <w:t>lności prawnej europejskich stowarzyszeń transgranicznych oraz ich automatycznego uznawania we wszystkich państwach członkowskich,</w:t>
      </w:r>
      <w:r w:rsidR="00C13C75" w:rsidRPr="00853D04">
        <w:rPr>
          <w:noProof/>
        </w:rPr>
        <w:t xml:space="preserve"> a</w:t>
      </w:r>
      <w:r w:rsidR="00C13C75">
        <w:rPr>
          <w:noProof/>
        </w:rPr>
        <w:t> </w:t>
      </w:r>
      <w:r w:rsidR="00C13C75" w:rsidRPr="00853D04">
        <w:rPr>
          <w:noProof/>
        </w:rPr>
        <w:t>tak</w:t>
      </w:r>
      <w:r w:rsidR="001E4FDC" w:rsidRPr="00853D04">
        <w:rPr>
          <w:noProof/>
        </w:rPr>
        <w:t>że procedury rejestracji, bez ustanawiania przez państwa członkowskie rozbieżnych przepisów dotyczących tych kwestii, jest podstawą zapewnienia równych warunków działania wszystkim europejskim stowarzyszeniom transgranicznym. Aspekty działalności europejskich stowarzyszeń transgranicznych, które nie są zharmonizowane niniejszą dyrektywą, powinny być regulowane przepisami krajowymi mającymi zastosowanie do najbardziej podobnego rodzaju stowarzyszenia niekomercyjnego</w:t>
      </w:r>
      <w:r w:rsidR="00C13C75" w:rsidRPr="00853D04">
        <w:rPr>
          <w:noProof/>
        </w:rPr>
        <w:t xml:space="preserve"> w</w:t>
      </w:r>
      <w:r w:rsidR="00C13C75">
        <w:rPr>
          <w:noProof/>
        </w:rPr>
        <w:t> </w:t>
      </w:r>
      <w:r w:rsidR="00C13C75" w:rsidRPr="00853D04">
        <w:rPr>
          <w:noProof/>
        </w:rPr>
        <w:t>pra</w:t>
      </w:r>
      <w:r w:rsidR="001E4FDC" w:rsidRPr="00853D04">
        <w:rPr>
          <w:noProof/>
        </w:rPr>
        <w:t>wie krajowym. Podmioty takie, niezależnie od ich nazwy</w:t>
      </w:r>
      <w:r w:rsidR="00C13C75" w:rsidRPr="00853D04">
        <w:rPr>
          <w:noProof/>
        </w:rPr>
        <w:t xml:space="preserve"> w</w:t>
      </w:r>
      <w:r w:rsidR="00C13C75">
        <w:rPr>
          <w:noProof/>
        </w:rPr>
        <w:t> </w:t>
      </w:r>
      <w:r w:rsidR="00C13C75" w:rsidRPr="00853D04">
        <w:rPr>
          <w:noProof/>
        </w:rPr>
        <w:t>kra</w:t>
      </w:r>
      <w:r w:rsidR="001E4FDC" w:rsidRPr="00853D04">
        <w:rPr>
          <w:noProof/>
        </w:rPr>
        <w:t>jowym porządku prawnym, powinny</w:t>
      </w:r>
      <w:r w:rsidR="00C13C75" w:rsidRPr="00853D04">
        <w:rPr>
          <w:noProof/>
        </w:rPr>
        <w:t xml:space="preserve"> w</w:t>
      </w:r>
      <w:r w:rsidR="00C13C75">
        <w:rPr>
          <w:noProof/>
        </w:rPr>
        <w:t> </w:t>
      </w:r>
      <w:r w:rsidR="00C13C75" w:rsidRPr="00853D04">
        <w:rPr>
          <w:noProof/>
        </w:rPr>
        <w:t>każ</w:t>
      </w:r>
      <w:r w:rsidR="001E4FDC" w:rsidRPr="00853D04">
        <w:rPr>
          <w:noProof/>
        </w:rPr>
        <w:t>dym przypadku opierać się na członkostwie, mieć niedochodowy cel</w:t>
      </w:r>
      <w:r w:rsidR="00C13C75" w:rsidRPr="00853D04">
        <w:rPr>
          <w:noProof/>
        </w:rPr>
        <w:t xml:space="preserve"> i</w:t>
      </w:r>
      <w:r w:rsidR="00C13C75">
        <w:rPr>
          <w:noProof/>
        </w:rPr>
        <w:t> </w:t>
      </w:r>
      <w:r w:rsidR="00C13C75" w:rsidRPr="00853D04">
        <w:rPr>
          <w:noProof/>
        </w:rPr>
        <w:t>mie</w:t>
      </w:r>
      <w:r w:rsidR="001E4FDC" w:rsidRPr="00853D04">
        <w:rPr>
          <w:noProof/>
        </w:rPr>
        <w:t>ć osobowość prawną. Aby zapewnić przejrzystość</w:t>
      </w:r>
      <w:r w:rsidR="00C13C75" w:rsidRPr="00853D04">
        <w:rPr>
          <w:noProof/>
        </w:rPr>
        <w:t xml:space="preserve"> i</w:t>
      </w:r>
      <w:r w:rsidR="00C13C75">
        <w:rPr>
          <w:noProof/>
        </w:rPr>
        <w:t> </w:t>
      </w:r>
      <w:r w:rsidR="00C13C75" w:rsidRPr="00853D04">
        <w:rPr>
          <w:noProof/>
        </w:rPr>
        <w:t>pew</w:t>
      </w:r>
      <w:r w:rsidR="001E4FDC" w:rsidRPr="00853D04">
        <w:rPr>
          <w:noProof/>
        </w:rPr>
        <w:t>ność prawa, państwa członkowskie powinny powiadomić Komisję</w:t>
      </w:r>
      <w:r w:rsidR="00C13C75" w:rsidRPr="00853D04">
        <w:rPr>
          <w:noProof/>
        </w:rPr>
        <w:t xml:space="preserve"> o</w:t>
      </w:r>
      <w:r w:rsidR="00C13C75">
        <w:rPr>
          <w:noProof/>
        </w:rPr>
        <w:t> </w:t>
      </w:r>
      <w:r w:rsidR="00C13C75" w:rsidRPr="00853D04">
        <w:rPr>
          <w:noProof/>
        </w:rPr>
        <w:t>tyc</w:t>
      </w:r>
      <w:r w:rsidR="001E4FDC" w:rsidRPr="00853D04">
        <w:rPr>
          <w:noProof/>
        </w:rPr>
        <w:t xml:space="preserve">h przepisach. </w:t>
      </w:r>
    </w:p>
    <w:p w14:paraId="2AE4BEB0" w14:textId="49CEE6AF" w:rsidR="009C39E8" w:rsidRPr="00853D04" w:rsidRDefault="008D78F5" w:rsidP="008D78F5">
      <w:pPr>
        <w:pStyle w:val="ManualConsidrant"/>
        <w:rPr>
          <w:noProof/>
        </w:rPr>
      </w:pPr>
      <w:r w:rsidRPr="008D78F5">
        <w:t>(24)</w:t>
      </w:r>
      <w:r w:rsidRPr="008D78F5">
        <w:tab/>
      </w:r>
      <w:r w:rsidR="009C39E8" w:rsidRPr="00853D04">
        <w:rPr>
          <w:noProof/>
        </w:rPr>
        <w:t>Aby zapewnić państwom członkowskim odpowiednie narzędzia do zwalczania finansowania terroryzmu</w:t>
      </w:r>
      <w:r w:rsidR="00C13C75" w:rsidRPr="00853D04">
        <w:rPr>
          <w:noProof/>
        </w:rPr>
        <w:t xml:space="preserve"> i</w:t>
      </w:r>
      <w:r w:rsidR="00C13C75">
        <w:rPr>
          <w:noProof/>
        </w:rPr>
        <w:t> </w:t>
      </w:r>
      <w:r w:rsidR="00C13C75" w:rsidRPr="00853D04">
        <w:rPr>
          <w:noProof/>
        </w:rPr>
        <w:t>zap</w:t>
      </w:r>
      <w:r w:rsidR="009C39E8" w:rsidRPr="00853D04">
        <w:rPr>
          <w:noProof/>
        </w:rPr>
        <w:t>ewnić przejrzystość niektórych przepływów kapitału, przepisy mające zastosowanie do europejskich stowarzyszeń transgranicznych na mocy niniejszej dyrektywy powinny pozostawać bez uszczerbku dla przyjmowanych przez państwa członkowskie środków służących zapobieganiu niewłaściwemu wykorzystywaniu stowarzyszeń niekomercyjnych do celów porządku publicznego</w:t>
      </w:r>
      <w:r w:rsidR="00C13C75" w:rsidRPr="00853D04">
        <w:rPr>
          <w:noProof/>
        </w:rPr>
        <w:t xml:space="preserve"> i</w:t>
      </w:r>
      <w:r w:rsidR="00C13C75">
        <w:rPr>
          <w:noProof/>
        </w:rPr>
        <w:t> </w:t>
      </w:r>
      <w:r w:rsidR="00C13C75" w:rsidRPr="00853D04">
        <w:rPr>
          <w:noProof/>
        </w:rPr>
        <w:t>bez</w:t>
      </w:r>
      <w:r w:rsidR="009C39E8" w:rsidRPr="00853D04">
        <w:rPr>
          <w:noProof/>
        </w:rPr>
        <w:t>pieczeństwa publicznego oraz zapewnienia przejrzystości niektórych przepływów kapitału, gdy wymaga tego prawo Unii lub prawo krajowe zgodne</w:t>
      </w:r>
      <w:r w:rsidR="00C13C75" w:rsidRPr="00853D04">
        <w:rPr>
          <w:noProof/>
        </w:rPr>
        <w:t xml:space="preserve"> z</w:t>
      </w:r>
      <w:r w:rsidR="00C13C75">
        <w:rPr>
          <w:noProof/>
        </w:rPr>
        <w:t> </w:t>
      </w:r>
      <w:r w:rsidR="00C13C75" w:rsidRPr="00853D04">
        <w:rPr>
          <w:noProof/>
        </w:rPr>
        <w:t>pra</w:t>
      </w:r>
      <w:r w:rsidR="009C39E8" w:rsidRPr="00853D04">
        <w:rPr>
          <w:noProof/>
        </w:rPr>
        <w:t>wem Unii.</w:t>
      </w:r>
    </w:p>
    <w:p w14:paraId="247424F4" w14:textId="58D04AB5" w:rsidR="001E4FDC" w:rsidRPr="00853D04" w:rsidRDefault="008D78F5" w:rsidP="008D78F5">
      <w:pPr>
        <w:pStyle w:val="ManualConsidrant"/>
        <w:rPr>
          <w:noProof/>
        </w:rPr>
      </w:pPr>
      <w:r w:rsidRPr="008D78F5">
        <w:t>(25)</w:t>
      </w:r>
      <w:r w:rsidRPr="008D78F5">
        <w:tab/>
      </w:r>
      <w:r w:rsidR="00286B20" w:rsidRPr="00853D04">
        <w:rPr>
          <w:noProof/>
        </w:rPr>
        <w:t>Aby usunąć bariery prawne</w:t>
      </w:r>
      <w:r w:rsidR="00C13C75" w:rsidRPr="00853D04">
        <w:rPr>
          <w:noProof/>
        </w:rPr>
        <w:t xml:space="preserve"> i</w:t>
      </w:r>
      <w:r w:rsidR="00C13C75">
        <w:rPr>
          <w:noProof/>
        </w:rPr>
        <w:t> </w:t>
      </w:r>
      <w:r w:rsidR="00C13C75" w:rsidRPr="00853D04">
        <w:rPr>
          <w:noProof/>
        </w:rPr>
        <w:t>adm</w:t>
      </w:r>
      <w:r w:rsidR="00286B20" w:rsidRPr="00853D04">
        <w:rPr>
          <w:noProof/>
        </w:rPr>
        <w:t>inistracyjne dla stowarzyszeń niekomercyjnych działających</w:t>
      </w:r>
      <w:r w:rsidR="00C13C75" w:rsidRPr="00853D04">
        <w:rPr>
          <w:noProof/>
        </w:rPr>
        <w:t xml:space="preserve"> w</w:t>
      </w:r>
      <w:r w:rsidR="00C13C75">
        <w:rPr>
          <w:noProof/>
        </w:rPr>
        <w:t> </w:t>
      </w:r>
      <w:r w:rsidR="00C13C75" w:rsidRPr="00853D04">
        <w:rPr>
          <w:noProof/>
        </w:rPr>
        <w:t>wię</w:t>
      </w:r>
      <w:r w:rsidR="00286B20" w:rsidRPr="00853D04">
        <w:rPr>
          <w:noProof/>
        </w:rPr>
        <w:t>cej niż jednym państwie członkowskim oraz zapewnić funkcjonowanie rynku wewnętrznego, wszystkie państwa członkowskie powinny automatycznie uznawać osobowość prawną</w:t>
      </w:r>
      <w:r w:rsidR="00C13C75" w:rsidRPr="00853D04">
        <w:rPr>
          <w:noProof/>
        </w:rPr>
        <w:t xml:space="preserve"> i</w:t>
      </w:r>
      <w:r w:rsidR="00C13C75">
        <w:rPr>
          <w:noProof/>
        </w:rPr>
        <w:t> </w:t>
      </w:r>
      <w:r w:rsidR="00C13C75" w:rsidRPr="00853D04">
        <w:rPr>
          <w:noProof/>
        </w:rPr>
        <w:t>zdo</w:t>
      </w:r>
      <w:r w:rsidR="00286B20" w:rsidRPr="00853D04">
        <w:rPr>
          <w:noProof/>
        </w:rPr>
        <w:t>lność do czynności prawnych europejskiego stowarzyszenia transgranicznego. Ta osobowość prawna</w:t>
      </w:r>
      <w:r w:rsidR="00C13C75" w:rsidRPr="00853D04">
        <w:rPr>
          <w:noProof/>
        </w:rPr>
        <w:t xml:space="preserve"> i</w:t>
      </w:r>
      <w:r w:rsidR="00C13C75">
        <w:rPr>
          <w:noProof/>
        </w:rPr>
        <w:t> </w:t>
      </w:r>
      <w:r w:rsidR="00C13C75" w:rsidRPr="00853D04">
        <w:rPr>
          <w:noProof/>
        </w:rPr>
        <w:t>zdo</w:t>
      </w:r>
      <w:r w:rsidR="00286B20" w:rsidRPr="00853D04">
        <w:rPr>
          <w:noProof/>
        </w:rPr>
        <w:t>lność do czynności prawnych powinny zostać przyznane po rejestracji europejskiego stowarzyszenia transgranicznego</w:t>
      </w:r>
      <w:r w:rsidR="00C13C75" w:rsidRPr="00853D04">
        <w:rPr>
          <w:noProof/>
        </w:rPr>
        <w:t xml:space="preserve"> w</w:t>
      </w:r>
      <w:r w:rsidR="00C13C75">
        <w:rPr>
          <w:noProof/>
        </w:rPr>
        <w:t> </w:t>
      </w:r>
      <w:r w:rsidR="00C13C75" w:rsidRPr="00853D04">
        <w:rPr>
          <w:noProof/>
        </w:rPr>
        <w:t>pań</w:t>
      </w:r>
      <w:r w:rsidR="00286B20" w:rsidRPr="00853D04">
        <w:rPr>
          <w:noProof/>
        </w:rPr>
        <w:t xml:space="preserve">stwie członkowskim. </w:t>
      </w:r>
    </w:p>
    <w:p w14:paraId="16BA7544" w14:textId="4EB38A5F" w:rsidR="001E4FDC" w:rsidRPr="00853D04" w:rsidRDefault="008D78F5" w:rsidP="008D78F5">
      <w:pPr>
        <w:pStyle w:val="ManualConsidrant"/>
        <w:rPr>
          <w:noProof/>
        </w:rPr>
      </w:pPr>
      <w:r w:rsidRPr="008D78F5">
        <w:t>(26)</w:t>
      </w:r>
      <w:r w:rsidRPr="008D78F5">
        <w:tab/>
      </w:r>
      <w:r w:rsidR="001E4FDC" w:rsidRPr="00853D04">
        <w:rPr>
          <w:noProof/>
        </w:rPr>
        <w:t>Europejskie stowarzyszenia transgraniczne powinny mieć możliwość swobodnego decydowania</w:t>
      </w:r>
      <w:r w:rsidR="00C13C75" w:rsidRPr="00853D04">
        <w:rPr>
          <w:noProof/>
        </w:rPr>
        <w:t xml:space="preserve"> o</w:t>
      </w:r>
      <w:r w:rsidR="00C13C75">
        <w:rPr>
          <w:noProof/>
        </w:rPr>
        <w:t> </w:t>
      </w:r>
      <w:r w:rsidR="00C13C75" w:rsidRPr="00853D04">
        <w:rPr>
          <w:noProof/>
        </w:rPr>
        <w:t>swo</w:t>
      </w:r>
      <w:r w:rsidR="001E4FDC" w:rsidRPr="00853D04">
        <w:rPr>
          <w:noProof/>
        </w:rPr>
        <w:t>ich zasadach działania. Wszelkie ograniczenia tej swobody nałożone przez państwo członkowskie powinny być stosowane</w:t>
      </w:r>
      <w:r w:rsidR="00C13C75" w:rsidRPr="00853D04">
        <w:rPr>
          <w:noProof/>
        </w:rPr>
        <w:t xml:space="preserve"> w</w:t>
      </w:r>
      <w:r w:rsidR="00C13C75">
        <w:rPr>
          <w:noProof/>
        </w:rPr>
        <w:t> </w:t>
      </w:r>
      <w:r w:rsidR="00C13C75" w:rsidRPr="00853D04">
        <w:rPr>
          <w:noProof/>
        </w:rPr>
        <w:t>spo</w:t>
      </w:r>
      <w:r w:rsidR="001E4FDC" w:rsidRPr="00853D04">
        <w:rPr>
          <w:noProof/>
        </w:rPr>
        <w:t>sób ogólny</w:t>
      </w:r>
      <w:r w:rsidR="00C13C75" w:rsidRPr="00853D04">
        <w:rPr>
          <w:noProof/>
        </w:rPr>
        <w:t xml:space="preserve"> i</w:t>
      </w:r>
      <w:r w:rsidR="00C13C75">
        <w:rPr>
          <w:noProof/>
        </w:rPr>
        <w:t> </w:t>
      </w:r>
      <w:r w:rsidR="00C13C75" w:rsidRPr="00853D04">
        <w:rPr>
          <w:noProof/>
        </w:rPr>
        <w:t>nie</w:t>
      </w:r>
      <w:r w:rsidR="001E4FDC" w:rsidRPr="00853D04">
        <w:rPr>
          <w:noProof/>
        </w:rPr>
        <w:t>dyskryminacyjny, przewidziany prawem, uzasadniony nadrzędnymi względami interesu publicznego oraz być odpowiednie do zapewnienia osiągnięcia zamierzonego celu</w:t>
      </w:r>
      <w:r w:rsidR="00C13C75" w:rsidRPr="00853D04">
        <w:rPr>
          <w:noProof/>
        </w:rPr>
        <w:t xml:space="preserve"> i</w:t>
      </w:r>
      <w:r w:rsidR="00C13C75">
        <w:rPr>
          <w:noProof/>
        </w:rPr>
        <w:t> </w:t>
      </w:r>
      <w:r w:rsidR="00C13C75" w:rsidRPr="00853D04">
        <w:rPr>
          <w:noProof/>
        </w:rPr>
        <w:t>nie</w:t>
      </w:r>
      <w:r w:rsidR="001E4FDC" w:rsidRPr="00853D04">
        <w:rPr>
          <w:noProof/>
        </w:rPr>
        <w:t xml:space="preserve"> wykraczać poza to, co jest konieczne do jego osiągnięcia.</w:t>
      </w:r>
    </w:p>
    <w:p w14:paraId="0A317644" w14:textId="3473849F" w:rsidR="001E4FDC" w:rsidRPr="00853D04" w:rsidRDefault="008D78F5" w:rsidP="008D78F5">
      <w:pPr>
        <w:pStyle w:val="ManualConsidrant"/>
        <w:rPr>
          <w:noProof/>
        </w:rPr>
      </w:pPr>
      <w:r w:rsidRPr="008D78F5">
        <w:t>(27)</w:t>
      </w:r>
      <w:r w:rsidRPr="008D78F5">
        <w:tab/>
      </w:r>
      <w:r w:rsidR="001E4FDC" w:rsidRPr="00853D04">
        <w:rPr>
          <w:noProof/>
        </w:rPr>
        <w:t>Art. 52, 62</w:t>
      </w:r>
      <w:r w:rsidR="00C13C75" w:rsidRPr="00853D04">
        <w:rPr>
          <w:noProof/>
        </w:rPr>
        <w:t xml:space="preserve"> i</w:t>
      </w:r>
      <w:r w:rsidR="00C13C75">
        <w:rPr>
          <w:noProof/>
        </w:rPr>
        <w:t> </w:t>
      </w:r>
      <w:r w:rsidR="00C13C75" w:rsidRPr="00853D04">
        <w:rPr>
          <w:noProof/>
        </w:rPr>
        <w:t>6</w:t>
      </w:r>
      <w:r w:rsidR="001E4FDC" w:rsidRPr="00853D04">
        <w:rPr>
          <w:noProof/>
        </w:rPr>
        <w:t>5 TFUE oraz odpowiednie orzecznictwo mają również zastosowanie do europejskich stowarzyszeń transgranicznych. Artykuły te przewidują uzasadnienie środków ograniczających swobodę przedsiębiorczości, swobodę świadczenia usług</w:t>
      </w:r>
      <w:r w:rsidR="00C13C75" w:rsidRPr="00853D04">
        <w:rPr>
          <w:noProof/>
        </w:rPr>
        <w:t xml:space="preserve"> i</w:t>
      </w:r>
      <w:r w:rsidR="00C13C75">
        <w:rPr>
          <w:noProof/>
        </w:rPr>
        <w:t> </w:t>
      </w:r>
      <w:r w:rsidR="00C13C75" w:rsidRPr="00853D04">
        <w:rPr>
          <w:noProof/>
        </w:rPr>
        <w:t>swo</w:t>
      </w:r>
      <w:r w:rsidR="001E4FDC" w:rsidRPr="00853D04">
        <w:rPr>
          <w:noProof/>
        </w:rPr>
        <w:t>bodny przepływ kapitału względami porządku publicznego, bezpieczeństwa publicznego</w:t>
      </w:r>
      <w:r w:rsidR="00C13C75" w:rsidRPr="00853D04">
        <w:rPr>
          <w:noProof/>
        </w:rPr>
        <w:t xml:space="preserve"> i</w:t>
      </w:r>
      <w:r w:rsidR="00C13C75">
        <w:rPr>
          <w:noProof/>
        </w:rPr>
        <w:t> </w:t>
      </w:r>
      <w:r w:rsidR="00C13C75" w:rsidRPr="00853D04">
        <w:rPr>
          <w:noProof/>
        </w:rPr>
        <w:t>zdr</w:t>
      </w:r>
      <w:r w:rsidR="001E4FDC" w:rsidRPr="00853D04">
        <w:rPr>
          <w:noProof/>
        </w:rPr>
        <w:t>owia publicznego. Pojęcie „nadrzędnych względów interesu publicznego”, do którego odwołują się niektóre przepisy niniejszej dyrektywy, zostało ponadto rozwinięte przez Trybunał Sprawiedliwości</w:t>
      </w:r>
      <w:r w:rsidR="00C13C75" w:rsidRPr="00853D04">
        <w:rPr>
          <w:noProof/>
        </w:rPr>
        <w:t xml:space="preserve"> w</w:t>
      </w:r>
      <w:r w:rsidR="00C13C75">
        <w:rPr>
          <w:noProof/>
        </w:rPr>
        <w:t> </w:t>
      </w:r>
      <w:r w:rsidR="00C13C75" w:rsidRPr="00853D04">
        <w:rPr>
          <w:noProof/>
        </w:rPr>
        <w:t>jeg</w:t>
      </w:r>
      <w:r w:rsidR="001E4FDC" w:rsidRPr="00853D04">
        <w:rPr>
          <w:noProof/>
        </w:rPr>
        <w:t>o orzecznictwie. Środki wdrażane przez państwa członkowskie, które mogą utrudnić lub uczynić mniej atrakcyjnym korzystanie</w:t>
      </w:r>
      <w:r w:rsidR="00C13C75" w:rsidRPr="00853D04">
        <w:rPr>
          <w:noProof/>
        </w:rPr>
        <w:t xml:space="preserve"> z</w:t>
      </w:r>
      <w:r w:rsidR="00C13C75">
        <w:rPr>
          <w:noProof/>
        </w:rPr>
        <w:t> </w:t>
      </w:r>
      <w:r w:rsidR="00C13C75" w:rsidRPr="00853D04">
        <w:rPr>
          <w:noProof/>
        </w:rPr>
        <w:t>tyc</w:t>
      </w:r>
      <w:r w:rsidR="001E4FDC" w:rsidRPr="00853D04">
        <w:rPr>
          <w:noProof/>
        </w:rPr>
        <w:t>h swobód wynikających</w:t>
      </w:r>
      <w:r w:rsidR="00C13C75" w:rsidRPr="00853D04">
        <w:rPr>
          <w:noProof/>
        </w:rPr>
        <w:t xml:space="preserve"> z</w:t>
      </w:r>
      <w:r w:rsidR="00C13C75">
        <w:rPr>
          <w:noProof/>
        </w:rPr>
        <w:t> </w:t>
      </w:r>
      <w:r w:rsidR="00C13C75" w:rsidRPr="00853D04">
        <w:rPr>
          <w:noProof/>
        </w:rPr>
        <w:t>Tra</w:t>
      </w:r>
      <w:r w:rsidR="001E4FDC" w:rsidRPr="00853D04">
        <w:rPr>
          <w:noProof/>
        </w:rPr>
        <w:t>ktatu, powinny być dozwolone tylko wtedy, gdy mogą być uzasadnione celami wymienionymi</w:t>
      </w:r>
      <w:r w:rsidR="00C13C75" w:rsidRPr="00853D04">
        <w:rPr>
          <w:noProof/>
        </w:rPr>
        <w:t xml:space="preserve"> w</w:t>
      </w:r>
      <w:r w:rsidR="00C13C75">
        <w:rPr>
          <w:noProof/>
        </w:rPr>
        <w:t> </w:t>
      </w:r>
      <w:r w:rsidR="00C13C75" w:rsidRPr="00853D04">
        <w:rPr>
          <w:noProof/>
        </w:rPr>
        <w:t>Tra</w:t>
      </w:r>
      <w:r w:rsidR="001E4FDC" w:rsidRPr="00853D04">
        <w:rPr>
          <w:noProof/>
        </w:rPr>
        <w:t>ktacie lub nadrzędnymi względami interesu publicznego uznanymi</w:t>
      </w:r>
      <w:r w:rsidR="00C13C75" w:rsidRPr="00853D04">
        <w:rPr>
          <w:noProof/>
        </w:rPr>
        <w:t xml:space="preserve"> w</w:t>
      </w:r>
      <w:r w:rsidR="00C13C75">
        <w:rPr>
          <w:noProof/>
        </w:rPr>
        <w:t> </w:t>
      </w:r>
      <w:r w:rsidR="00C13C75" w:rsidRPr="00853D04">
        <w:rPr>
          <w:noProof/>
        </w:rPr>
        <w:t>pra</w:t>
      </w:r>
      <w:r w:rsidR="001E4FDC" w:rsidRPr="00853D04">
        <w:rPr>
          <w:noProof/>
        </w:rPr>
        <w:t>wie Unii. Chociaż nie istnieje wyczerpująca definicja, Trybunał Sprawiedliwości uznał, że uzasadnienie to jest możliwe</w:t>
      </w:r>
      <w:r w:rsidR="00C13C75" w:rsidRPr="00853D04">
        <w:rPr>
          <w:noProof/>
        </w:rPr>
        <w:t xml:space="preserve"> z</w:t>
      </w:r>
      <w:r w:rsidR="00C13C75">
        <w:rPr>
          <w:noProof/>
        </w:rPr>
        <w:t> </w:t>
      </w:r>
      <w:r w:rsidR="00C13C75" w:rsidRPr="00853D04">
        <w:rPr>
          <w:noProof/>
        </w:rPr>
        <w:t>róż</w:t>
      </w:r>
      <w:r w:rsidR="001E4FDC" w:rsidRPr="00853D04">
        <w:rPr>
          <w:noProof/>
        </w:rPr>
        <w:t>nych względów, takich jak porządek publiczny, bezpieczeństwo publiczne</w:t>
      </w:r>
      <w:r w:rsidR="00C13C75" w:rsidRPr="00853D04">
        <w:rPr>
          <w:noProof/>
        </w:rPr>
        <w:t xml:space="preserve"> i</w:t>
      </w:r>
      <w:r w:rsidR="00C13C75">
        <w:rPr>
          <w:noProof/>
        </w:rPr>
        <w:t> </w:t>
      </w:r>
      <w:r w:rsidR="00C13C75" w:rsidRPr="00853D04">
        <w:rPr>
          <w:noProof/>
        </w:rPr>
        <w:t>zdr</w:t>
      </w:r>
      <w:r w:rsidR="001E4FDC" w:rsidRPr="00853D04">
        <w:rPr>
          <w:noProof/>
        </w:rPr>
        <w:t>owie publiczne, utrzymanie porządku</w:t>
      </w:r>
      <w:r w:rsidR="00C13C75" w:rsidRPr="00853D04">
        <w:rPr>
          <w:noProof/>
        </w:rPr>
        <w:t xml:space="preserve"> w</w:t>
      </w:r>
      <w:r w:rsidR="00C13C75">
        <w:rPr>
          <w:noProof/>
        </w:rPr>
        <w:t> </w:t>
      </w:r>
      <w:r w:rsidR="00C13C75" w:rsidRPr="00853D04">
        <w:rPr>
          <w:noProof/>
        </w:rPr>
        <w:t>spo</w:t>
      </w:r>
      <w:r w:rsidR="001E4FDC" w:rsidRPr="00853D04">
        <w:rPr>
          <w:noProof/>
        </w:rPr>
        <w:t>łeczeństwie, cele polityki społecznej, ochrona usługobiorców, ochrona konsumentów, ochrona pracowników,</w:t>
      </w:r>
      <w:r w:rsidR="00C13C75" w:rsidRPr="00853D04">
        <w:rPr>
          <w:noProof/>
        </w:rPr>
        <w:t xml:space="preserve"> o</w:t>
      </w:r>
      <w:r w:rsidR="00C13C75">
        <w:rPr>
          <w:noProof/>
        </w:rPr>
        <w:t> </w:t>
      </w:r>
      <w:r w:rsidR="00C13C75" w:rsidRPr="00853D04">
        <w:rPr>
          <w:noProof/>
        </w:rPr>
        <w:t>ile</w:t>
      </w:r>
      <w:r w:rsidR="001E4FDC" w:rsidRPr="00853D04">
        <w:rPr>
          <w:noProof/>
        </w:rPr>
        <w:t xml:space="preserve"> spełnione są pozostałe warunki</w:t>
      </w:r>
      <w:r w:rsidR="00C13C75" w:rsidRPr="00853D04">
        <w:rPr>
          <w:noProof/>
        </w:rPr>
        <w:t>. W</w:t>
      </w:r>
      <w:r w:rsidR="00C13C75">
        <w:rPr>
          <w:noProof/>
        </w:rPr>
        <w:t> </w:t>
      </w:r>
      <w:r w:rsidR="00C13C75" w:rsidRPr="00853D04">
        <w:rPr>
          <w:noProof/>
        </w:rPr>
        <w:t>każ</w:t>
      </w:r>
      <w:r w:rsidR="001E4FDC" w:rsidRPr="00853D04">
        <w:rPr>
          <w:noProof/>
        </w:rPr>
        <w:t>dym razie takie środki muszą być odpowiednie do zapewnienia osiągnięcia danego celu</w:t>
      </w:r>
      <w:r w:rsidR="00C13C75" w:rsidRPr="00853D04">
        <w:rPr>
          <w:noProof/>
        </w:rPr>
        <w:t xml:space="preserve"> i</w:t>
      </w:r>
      <w:r w:rsidR="00C13C75">
        <w:rPr>
          <w:noProof/>
        </w:rPr>
        <w:t> </w:t>
      </w:r>
      <w:r w:rsidR="00C13C75" w:rsidRPr="00853D04">
        <w:rPr>
          <w:noProof/>
        </w:rPr>
        <w:t>nie</w:t>
      </w:r>
      <w:r w:rsidR="001E4FDC" w:rsidRPr="00853D04">
        <w:rPr>
          <w:noProof/>
        </w:rPr>
        <w:t xml:space="preserve"> mogą wykraczać poza to, co jest konieczne do jego osiągnięcia.</w:t>
      </w:r>
    </w:p>
    <w:p w14:paraId="2692C9E6" w14:textId="4689EDC5" w:rsidR="004F7862" w:rsidRPr="00853D04" w:rsidRDefault="008D78F5" w:rsidP="008D78F5">
      <w:pPr>
        <w:pStyle w:val="ManualConsidrant"/>
        <w:rPr>
          <w:noProof/>
        </w:rPr>
      </w:pPr>
      <w:r w:rsidRPr="008D78F5">
        <w:t>(28)</w:t>
      </w:r>
      <w:r w:rsidRPr="008D78F5">
        <w:tab/>
      </w:r>
      <w:r w:rsidR="001E4FDC" w:rsidRPr="00853D04">
        <w:rPr>
          <w:noProof/>
        </w:rPr>
        <w:t>Aby zapewnić wspólne</w:t>
      </w:r>
      <w:r w:rsidR="00C13C75" w:rsidRPr="00853D04">
        <w:rPr>
          <w:noProof/>
        </w:rPr>
        <w:t xml:space="preserve"> i</w:t>
      </w:r>
      <w:r w:rsidR="00C13C75">
        <w:rPr>
          <w:noProof/>
        </w:rPr>
        <w:t> </w:t>
      </w:r>
      <w:r w:rsidR="00C13C75" w:rsidRPr="00853D04">
        <w:rPr>
          <w:noProof/>
        </w:rPr>
        <w:t>odp</w:t>
      </w:r>
      <w:r w:rsidR="001E4FDC" w:rsidRPr="00853D04">
        <w:rPr>
          <w:noProof/>
        </w:rPr>
        <w:t>owiednie podejście do zarządzania</w:t>
      </w:r>
      <w:r w:rsidR="00C13C75" w:rsidRPr="00853D04">
        <w:rPr>
          <w:noProof/>
        </w:rPr>
        <w:t xml:space="preserve"> w</w:t>
      </w:r>
      <w:r w:rsidR="00C13C75">
        <w:rPr>
          <w:noProof/>
        </w:rPr>
        <w:t> </w:t>
      </w:r>
      <w:r w:rsidR="00C13C75" w:rsidRPr="00853D04">
        <w:rPr>
          <w:noProof/>
        </w:rPr>
        <w:t>cał</w:t>
      </w:r>
      <w:r w:rsidR="001E4FDC" w:rsidRPr="00853D04">
        <w:rPr>
          <w:noProof/>
        </w:rPr>
        <w:t>ej Unii, europejskie stowarzyszenia transgraniczne powinny obejmować organ decyzyjny oznaczający organ, który zrzesza wszystkich członków,</w:t>
      </w:r>
      <w:r w:rsidR="00C13C75" w:rsidRPr="00853D04">
        <w:rPr>
          <w:noProof/>
        </w:rPr>
        <w:t xml:space="preserve"> w</w:t>
      </w:r>
      <w:r w:rsidR="00C13C75">
        <w:rPr>
          <w:noProof/>
        </w:rPr>
        <w:t> </w:t>
      </w:r>
      <w:r w:rsidR="00C13C75" w:rsidRPr="00853D04">
        <w:rPr>
          <w:noProof/>
        </w:rPr>
        <w:t>nie</w:t>
      </w:r>
      <w:r w:rsidR="001E4FDC" w:rsidRPr="00853D04">
        <w:rPr>
          <w:noProof/>
        </w:rPr>
        <w:t>których państwach członkowskich tradycyjnie określany jako zgromadzenie ogólne lub walne zgromadzenie. Europejskie stowarzyszenia transgraniczne powinny również obejmować organ wykonawczy, który</w:t>
      </w:r>
      <w:r w:rsidR="00C13C75" w:rsidRPr="00853D04">
        <w:rPr>
          <w:noProof/>
        </w:rPr>
        <w:t xml:space="preserve"> w</w:t>
      </w:r>
      <w:r w:rsidR="00C13C75">
        <w:rPr>
          <w:noProof/>
        </w:rPr>
        <w:t> </w:t>
      </w:r>
      <w:r w:rsidR="00C13C75" w:rsidRPr="00853D04">
        <w:rPr>
          <w:noProof/>
        </w:rPr>
        <w:t>nie</w:t>
      </w:r>
      <w:r w:rsidR="001E4FDC" w:rsidRPr="00853D04">
        <w:rPr>
          <w:noProof/>
        </w:rPr>
        <w:t>których państwach członkowskich jest tradycyjnie określany jako komitet wykonawczy lub zarząd; organ wykonawczy powinien być odpowiedzialny za administrowanie, zarządzanie</w:t>
      </w:r>
      <w:r w:rsidR="00C13C75" w:rsidRPr="00853D04">
        <w:rPr>
          <w:noProof/>
        </w:rPr>
        <w:t xml:space="preserve"> i</w:t>
      </w:r>
      <w:r w:rsidR="00C13C75">
        <w:rPr>
          <w:noProof/>
        </w:rPr>
        <w:t> </w:t>
      </w:r>
      <w:r w:rsidR="00C13C75" w:rsidRPr="00853D04">
        <w:rPr>
          <w:noProof/>
        </w:rPr>
        <w:t>pro</w:t>
      </w:r>
      <w:r w:rsidR="001E4FDC" w:rsidRPr="00853D04">
        <w:rPr>
          <w:noProof/>
        </w:rPr>
        <w:t>wadzenie europejskiego stowarzyszenia transgranicznego. Powinien on również zapewniać zgodność ze statutem europejskiego stowarzyszenia transgranicznego</w:t>
      </w:r>
      <w:r w:rsidR="00C13C75" w:rsidRPr="00853D04">
        <w:rPr>
          <w:noProof/>
        </w:rPr>
        <w:t xml:space="preserve"> i</w:t>
      </w:r>
      <w:r w:rsidR="00C13C75">
        <w:rPr>
          <w:noProof/>
        </w:rPr>
        <w:t> </w:t>
      </w:r>
      <w:r w:rsidR="00C13C75" w:rsidRPr="00853D04">
        <w:rPr>
          <w:noProof/>
        </w:rPr>
        <w:t>zob</w:t>
      </w:r>
      <w:r w:rsidR="001E4FDC" w:rsidRPr="00853D04">
        <w:rPr>
          <w:noProof/>
        </w:rPr>
        <w:t>owiązaniami prawnymi,</w:t>
      </w:r>
      <w:r w:rsidR="00C13C75" w:rsidRPr="00853D04">
        <w:rPr>
          <w:noProof/>
        </w:rPr>
        <w:t xml:space="preserve"> a</w:t>
      </w:r>
      <w:r w:rsidR="00C13C75">
        <w:rPr>
          <w:noProof/>
        </w:rPr>
        <w:t> </w:t>
      </w:r>
      <w:r w:rsidR="00C13C75" w:rsidRPr="00853D04">
        <w:rPr>
          <w:noProof/>
        </w:rPr>
        <w:t>tak</w:t>
      </w:r>
      <w:r w:rsidR="001E4FDC" w:rsidRPr="00853D04">
        <w:rPr>
          <w:noProof/>
        </w:rPr>
        <w:t>że reprezentować stowarzyszenie</w:t>
      </w:r>
      <w:r w:rsidR="00C13C75" w:rsidRPr="00853D04">
        <w:rPr>
          <w:noProof/>
        </w:rPr>
        <w:t xml:space="preserve"> w</w:t>
      </w:r>
      <w:r w:rsidR="00C13C75">
        <w:rPr>
          <w:noProof/>
        </w:rPr>
        <w:t> </w:t>
      </w:r>
      <w:r w:rsidR="00C13C75" w:rsidRPr="00853D04">
        <w:rPr>
          <w:noProof/>
        </w:rPr>
        <w:t>kon</w:t>
      </w:r>
      <w:r w:rsidR="001E4FDC" w:rsidRPr="00853D04">
        <w:rPr>
          <w:noProof/>
        </w:rPr>
        <w:t>taktach</w:t>
      </w:r>
      <w:r w:rsidR="00C13C75" w:rsidRPr="00853D04">
        <w:rPr>
          <w:noProof/>
        </w:rPr>
        <w:t xml:space="preserve"> z</w:t>
      </w:r>
      <w:r w:rsidR="00C13C75">
        <w:rPr>
          <w:noProof/>
        </w:rPr>
        <w:t> </w:t>
      </w:r>
      <w:r w:rsidR="00C13C75" w:rsidRPr="00853D04">
        <w:rPr>
          <w:noProof/>
        </w:rPr>
        <w:t>oso</w:t>
      </w:r>
      <w:r w:rsidR="001E4FDC" w:rsidRPr="00853D04">
        <w:rPr>
          <w:noProof/>
        </w:rPr>
        <w:t>bami trzecimi</w:t>
      </w:r>
      <w:r w:rsidR="00C13C75" w:rsidRPr="00853D04">
        <w:rPr>
          <w:noProof/>
        </w:rPr>
        <w:t xml:space="preserve"> i</w:t>
      </w:r>
      <w:r w:rsidR="00C13C75">
        <w:rPr>
          <w:noProof/>
        </w:rPr>
        <w:t> </w:t>
      </w:r>
      <w:r w:rsidR="00C13C75" w:rsidRPr="00853D04">
        <w:rPr>
          <w:noProof/>
        </w:rPr>
        <w:t>w</w:t>
      </w:r>
      <w:r w:rsidR="00C13C75">
        <w:rPr>
          <w:noProof/>
        </w:rPr>
        <w:t> </w:t>
      </w:r>
      <w:r w:rsidR="00C13C75" w:rsidRPr="00853D04">
        <w:rPr>
          <w:noProof/>
        </w:rPr>
        <w:t>pos</w:t>
      </w:r>
      <w:r w:rsidR="001E4FDC" w:rsidRPr="00853D04">
        <w:rPr>
          <w:noProof/>
        </w:rPr>
        <w:t>tępowaniach sądowych</w:t>
      </w:r>
      <w:r w:rsidR="00C13C75" w:rsidRPr="00853D04">
        <w:rPr>
          <w:noProof/>
        </w:rPr>
        <w:t>. W</w:t>
      </w:r>
      <w:r w:rsidR="00C13C75">
        <w:rPr>
          <w:noProof/>
        </w:rPr>
        <w:t> </w:t>
      </w:r>
      <w:r w:rsidR="00C13C75" w:rsidRPr="00853D04">
        <w:rPr>
          <w:noProof/>
        </w:rPr>
        <w:t>skł</w:t>
      </w:r>
      <w:r w:rsidR="001E4FDC" w:rsidRPr="00853D04">
        <w:rPr>
          <w:noProof/>
        </w:rPr>
        <w:t>ad organu wykonawczego europejskiego stowarzyszenia transgranicznego powinny wchodzić co najmniej trzy osoby, czy to osoby fizyczne, czy prawne, za pośrednictwem ich przedstawicieli.</w:t>
      </w:r>
    </w:p>
    <w:p w14:paraId="6858430F" w14:textId="23A686B1" w:rsidR="001E4FDC" w:rsidRPr="00853D04" w:rsidRDefault="008D78F5" w:rsidP="008D78F5">
      <w:pPr>
        <w:pStyle w:val="ManualConsidrant"/>
        <w:rPr>
          <w:noProof/>
        </w:rPr>
      </w:pPr>
      <w:r w:rsidRPr="008D78F5">
        <w:t>(29)</w:t>
      </w:r>
      <w:r w:rsidRPr="008D78F5">
        <w:tab/>
      </w:r>
      <w:r w:rsidR="001E4FDC" w:rsidRPr="00853D04">
        <w:rPr>
          <w:noProof/>
        </w:rPr>
        <w:t>W celu zapewnienia, aby europejskie stowarzyszenia transgraniczne były</w:t>
      </w:r>
      <w:r w:rsidR="00C13C75" w:rsidRPr="00853D04">
        <w:rPr>
          <w:noProof/>
        </w:rPr>
        <w:t xml:space="preserve"> w</w:t>
      </w:r>
      <w:r w:rsidR="00C13C75">
        <w:rPr>
          <w:noProof/>
        </w:rPr>
        <w:t> </w:t>
      </w:r>
      <w:r w:rsidR="00C13C75" w:rsidRPr="00853D04">
        <w:rPr>
          <w:noProof/>
        </w:rPr>
        <w:t>sta</w:t>
      </w:r>
      <w:r w:rsidR="001E4FDC" w:rsidRPr="00853D04">
        <w:rPr>
          <w:noProof/>
        </w:rPr>
        <w:t>nie skutecznie wykonywać swoją działalność, oraz</w:t>
      </w:r>
      <w:r w:rsidR="00C13C75" w:rsidRPr="00853D04">
        <w:rPr>
          <w:noProof/>
        </w:rPr>
        <w:t xml:space="preserve"> w</w:t>
      </w:r>
      <w:r w:rsidR="00C13C75">
        <w:rPr>
          <w:noProof/>
        </w:rPr>
        <w:t> </w:t>
      </w:r>
      <w:r w:rsidR="00C13C75" w:rsidRPr="00853D04">
        <w:rPr>
          <w:noProof/>
        </w:rPr>
        <w:t>cel</w:t>
      </w:r>
      <w:r w:rsidR="001E4FDC" w:rsidRPr="00853D04">
        <w:rPr>
          <w:noProof/>
        </w:rPr>
        <w:t>u zapewnienia równego traktowania stowarzyszeń niekomercyjnych</w:t>
      </w:r>
      <w:r w:rsidR="00C13C75" w:rsidRPr="00853D04">
        <w:rPr>
          <w:noProof/>
        </w:rPr>
        <w:t xml:space="preserve"> w</w:t>
      </w:r>
      <w:r w:rsidR="00C13C75">
        <w:rPr>
          <w:noProof/>
        </w:rPr>
        <w:t> </w:t>
      </w:r>
      <w:r w:rsidR="00C13C75" w:rsidRPr="00853D04">
        <w:rPr>
          <w:noProof/>
        </w:rPr>
        <w:t>pra</w:t>
      </w:r>
      <w:r w:rsidR="001E4FDC" w:rsidRPr="00853D04">
        <w:rPr>
          <w:noProof/>
        </w:rPr>
        <w:t>wie krajowym, europejskie stowarzyszenia transgraniczne nie powinny być traktowane mniej przychylnie niż najbardziej podobne stowarzyszenia niekomercyjne</w:t>
      </w:r>
      <w:r w:rsidR="00C13C75" w:rsidRPr="00853D04">
        <w:rPr>
          <w:noProof/>
        </w:rPr>
        <w:t xml:space="preserve"> w</w:t>
      </w:r>
      <w:r w:rsidR="00C13C75">
        <w:rPr>
          <w:noProof/>
        </w:rPr>
        <w:t> </w:t>
      </w:r>
      <w:r w:rsidR="00C13C75" w:rsidRPr="00853D04">
        <w:rPr>
          <w:noProof/>
        </w:rPr>
        <w:t>kra</w:t>
      </w:r>
      <w:r w:rsidR="001E4FDC" w:rsidRPr="00853D04">
        <w:rPr>
          <w:noProof/>
        </w:rPr>
        <w:t>jowym porządku prawnym państwa członkowskiego pochodzenia,</w:t>
      </w:r>
      <w:r w:rsidR="00C13C75" w:rsidRPr="00853D04">
        <w:rPr>
          <w:noProof/>
        </w:rPr>
        <w:t xml:space="preserve"> w</w:t>
      </w:r>
      <w:r w:rsidR="00C13C75">
        <w:rPr>
          <w:noProof/>
        </w:rPr>
        <w:t> </w:t>
      </w:r>
      <w:r w:rsidR="00C13C75" w:rsidRPr="00853D04">
        <w:rPr>
          <w:noProof/>
        </w:rPr>
        <w:t>któ</w:t>
      </w:r>
      <w:r w:rsidR="001E4FDC" w:rsidRPr="00853D04">
        <w:rPr>
          <w:noProof/>
        </w:rPr>
        <w:t xml:space="preserve">rym to stowarzyszenie działa. </w:t>
      </w:r>
    </w:p>
    <w:p w14:paraId="1D1193BB" w14:textId="7DCFB02C" w:rsidR="001E4FDC" w:rsidRPr="00853D04" w:rsidRDefault="008D78F5" w:rsidP="008D78F5">
      <w:pPr>
        <w:pStyle w:val="ManualConsidrant"/>
        <w:rPr>
          <w:noProof/>
        </w:rPr>
      </w:pPr>
      <w:r w:rsidRPr="008D78F5">
        <w:t>(30)</w:t>
      </w:r>
      <w:r w:rsidRPr="008D78F5">
        <w:tab/>
      </w:r>
      <w:r w:rsidR="001E4FDC" w:rsidRPr="00853D04">
        <w:rPr>
          <w:noProof/>
        </w:rPr>
        <w:t>Zgodnie</w:t>
      </w:r>
      <w:r w:rsidR="00C13C75" w:rsidRPr="00853D04">
        <w:rPr>
          <w:noProof/>
        </w:rPr>
        <w:t xml:space="preserve"> z</w:t>
      </w:r>
      <w:r w:rsidR="00C13C75">
        <w:rPr>
          <w:noProof/>
        </w:rPr>
        <w:t> </w:t>
      </w:r>
      <w:r w:rsidR="00C13C75" w:rsidRPr="00853D04">
        <w:rPr>
          <w:noProof/>
        </w:rPr>
        <w:t>zas</w:t>
      </w:r>
      <w:r w:rsidR="001E4FDC" w:rsidRPr="00853D04">
        <w:rPr>
          <w:noProof/>
        </w:rPr>
        <w:t>adą niedyskryminacji</w:t>
      </w:r>
      <w:r w:rsidR="00C13C75" w:rsidRPr="00853D04">
        <w:rPr>
          <w:noProof/>
        </w:rPr>
        <w:t xml:space="preserve"> i</w:t>
      </w:r>
      <w:r w:rsidR="00C13C75">
        <w:rPr>
          <w:noProof/>
        </w:rPr>
        <w:t> </w:t>
      </w:r>
      <w:r w:rsidR="00C13C75" w:rsidRPr="00853D04">
        <w:rPr>
          <w:noProof/>
        </w:rPr>
        <w:t>w</w:t>
      </w:r>
      <w:r w:rsidR="00C13C75">
        <w:rPr>
          <w:noProof/>
        </w:rPr>
        <w:t> </w:t>
      </w:r>
      <w:r w:rsidR="00C13C75" w:rsidRPr="00853D04">
        <w:rPr>
          <w:noProof/>
        </w:rPr>
        <w:t>cel</w:t>
      </w:r>
      <w:r w:rsidR="001E4FDC" w:rsidRPr="00853D04">
        <w:rPr>
          <w:noProof/>
        </w:rPr>
        <w:t>u zapewnienia wolności zrzeszania się, przy wdrażaniu</w:t>
      </w:r>
      <w:r w:rsidR="00C13C75" w:rsidRPr="00853D04">
        <w:rPr>
          <w:noProof/>
        </w:rPr>
        <w:t xml:space="preserve"> i</w:t>
      </w:r>
      <w:r w:rsidR="00C13C75">
        <w:rPr>
          <w:noProof/>
        </w:rPr>
        <w:t> </w:t>
      </w:r>
      <w:r w:rsidR="00C13C75" w:rsidRPr="00853D04">
        <w:rPr>
          <w:noProof/>
        </w:rPr>
        <w:t>sto</w:t>
      </w:r>
      <w:r w:rsidR="001E4FDC" w:rsidRPr="00853D04">
        <w:rPr>
          <w:noProof/>
        </w:rPr>
        <w:t>sowaniu niniejszej dyrektywy nie powinna mieć miejsca dyskryminacja jakiejkolwiek grupy lub osoby</w:t>
      </w:r>
      <w:r w:rsidR="00C13C75" w:rsidRPr="00853D04">
        <w:rPr>
          <w:noProof/>
        </w:rPr>
        <w:t xml:space="preserve"> z</w:t>
      </w:r>
      <w:r w:rsidR="00C13C75">
        <w:rPr>
          <w:noProof/>
        </w:rPr>
        <w:t> </w:t>
      </w:r>
      <w:r w:rsidR="00C13C75" w:rsidRPr="00853D04">
        <w:rPr>
          <w:noProof/>
        </w:rPr>
        <w:t>jak</w:t>
      </w:r>
      <w:r w:rsidR="001E4FDC" w:rsidRPr="00853D04">
        <w:rPr>
          <w:noProof/>
        </w:rPr>
        <w:t>iegokolwiek względu, takiego jak: urodzenie, wiek, kolor skóry, płeć</w:t>
      </w:r>
      <w:r w:rsidR="00C13C75" w:rsidRPr="00853D04">
        <w:rPr>
          <w:noProof/>
        </w:rPr>
        <w:t xml:space="preserve"> i</w:t>
      </w:r>
      <w:r w:rsidR="00C13C75">
        <w:rPr>
          <w:noProof/>
        </w:rPr>
        <w:t> </w:t>
      </w:r>
      <w:r w:rsidR="00C13C75" w:rsidRPr="00853D04">
        <w:rPr>
          <w:noProof/>
        </w:rPr>
        <w:t>płe</w:t>
      </w:r>
      <w:r w:rsidR="001E4FDC" w:rsidRPr="00853D04">
        <w:rPr>
          <w:noProof/>
        </w:rPr>
        <w:t>ć społeczno-kulturowa, orientacja seksualna, tożsamość płciowa, stan zdrowia, status imigranta lub rezydenta, cechy genetyczne, język, pochodzenie narodowe, etniczne lub społeczne, poglądy polityczne lub inne, przynależność do mniejszości narodowej, niepełnosprawność ruchowa lub zaburzenie psychiczne, majątek, rasa, religia lub światopogląd czy inny status.</w:t>
      </w:r>
    </w:p>
    <w:p w14:paraId="465D3B62" w14:textId="61D9DBBC" w:rsidR="005B7682" w:rsidRPr="00853D04" w:rsidRDefault="008D78F5" w:rsidP="008D78F5">
      <w:pPr>
        <w:pStyle w:val="ManualConsidrant"/>
        <w:rPr>
          <w:noProof/>
        </w:rPr>
      </w:pPr>
      <w:r w:rsidRPr="008D78F5">
        <w:t>(31)</w:t>
      </w:r>
      <w:r w:rsidRPr="008D78F5">
        <w:tab/>
      </w:r>
      <w:r w:rsidR="001E4FDC" w:rsidRPr="00853D04">
        <w:rPr>
          <w:noProof/>
        </w:rPr>
        <w:t>Aby ułatwić współpracę między państwami członkowskimi oraz między państwami członkowskimi</w:t>
      </w:r>
      <w:r w:rsidR="00C13C75" w:rsidRPr="00853D04">
        <w:rPr>
          <w:noProof/>
        </w:rPr>
        <w:t xml:space="preserve"> a</w:t>
      </w:r>
      <w:r w:rsidR="00C13C75">
        <w:rPr>
          <w:noProof/>
        </w:rPr>
        <w:t> </w:t>
      </w:r>
      <w:r w:rsidR="00C13C75" w:rsidRPr="00853D04">
        <w:rPr>
          <w:noProof/>
        </w:rPr>
        <w:t>Kom</w:t>
      </w:r>
      <w:r w:rsidR="001E4FDC" w:rsidRPr="00853D04">
        <w:rPr>
          <w:noProof/>
        </w:rPr>
        <w:t>isją, państwa członkowskie powinny wyznaczyć właściwy organ odpowiedzialny za stosowanie przepisu transponującego niniejszą dyrektywę („właściwy organ”). Komisja powinna opublikować wykaz właściwych organów. Aby uzyskać wyczerpujące informacje dotyczące prawnej kwalifikacji europejskich stowarzyszeń transgranicznych</w:t>
      </w:r>
      <w:r w:rsidR="00C13C75" w:rsidRPr="00853D04">
        <w:rPr>
          <w:noProof/>
        </w:rPr>
        <w:t xml:space="preserve"> w</w:t>
      </w:r>
      <w:r w:rsidR="00C13C75">
        <w:rPr>
          <w:noProof/>
        </w:rPr>
        <w:t> </w:t>
      </w:r>
      <w:r w:rsidR="00C13C75" w:rsidRPr="00853D04">
        <w:rPr>
          <w:noProof/>
        </w:rPr>
        <w:t>pań</w:t>
      </w:r>
      <w:r w:rsidR="001E4FDC" w:rsidRPr="00853D04">
        <w:rPr>
          <w:noProof/>
        </w:rPr>
        <w:t>stwach członkowskich, państwa członkowskie powinny –</w:t>
      </w:r>
      <w:r w:rsidR="00C13C75" w:rsidRPr="00853D04">
        <w:rPr>
          <w:noProof/>
        </w:rPr>
        <w:t xml:space="preserve"> w</w:t>
      </w:r>
      <w:r w:rsidR="00C13C75">
        <w:rPr>
          <w:noProof/>
        </w:rPr>
        <w:t> </w:t>
      </w:r>
      <w:r w:rsidR="00C13C75" w:rsidRPr="00853D04">
        <w:rPr>
          <w:noProof/>
        </w:rPr>
        <w:t>sto</w:t>
      </w:r>
      <w:r w:rsidR="001E4FDC" w:rsidRPr="00853D04">
        <w:rPr>
          <w:noProof/>
        </w:rPr>
        <w:t>sownych przypadkach – powiadomić Komisję</w:t>
      </w:r>
      <w:r w:rsidR="00C13C75" w:rsidRPr="00853D04">
        <w:rPr>
          <w:noProof/>
        </w:rPr>
        <w:t xml:space="preserve"> o</w:t>
      </w:r>
      <w:r w:rsidR="00C13C75">
        <w:rPr>
          <w:noProof/>
        </w:rPr>
        <w:t> </w:t>
      </w:r>
      <w:r w:rsidR="00C13C75" w:rsidRPr="00853D04">
        <w:rPr>
          <w:noProof/>
        </w:rPr>
        <w:t>naz</w:t>
      </w:r>
      <w:r w:rsidR="001E4FDC" w:rsidRPr="00853D04">
        <w:rPr>
          <w:noProof/>
        </w:rPr>
        <w:t>wach</w:t>
      </w:r>
      <w:r w:rsidR="00C13C75" w:rsidRPr="00853D04">
        <w:rPr>
          <w:noProof/>
        </w:rPr>
        <w:t xml:space="preserve"> i</w:t>
      </w:r>
      <w:r w:rsidR="00C13C75">
        <w:rPr>
          <w:noProof/>
        </w:rPr>
        <w:t> </w:t>
      </w:r>
      <w:r w:rsidR="00C13C75" w:rsidRPr="00853D04">
        <w:rPr>
          <w:noProof/>
        </w:rPr>
        <w:t>zad</w:t>
      </w:r>
      <w:r w:rsidR="001E4FDC" w:rsidRPr="00853D04">
        <w:rPr>
          <w:noProof/>
        </w:rPr>
        <w:t>aniach odpowiednich organów, innych niż właściwe organy, ustanowionych lub wyznaczonych do celów przepisów krajowych mających zastosowanie do najbardziej podobnego stowarzyszenia niekomercyjnego</w:t>
      </w:r>
      <w:r w:rsidR="00C13C75" w:rsidRPr="00853D04">
        <w:rPr>
          <w:noProof/>
        </w:rPr>
        <w:t xml:space="preserve"> w</w:t>
      </w:r>
      <w:r w:rsidR="00C13C75">
        <w:rPr>
          <w:noProof/>
        </w:rPr>
        <w:t> </w:t>
      </w:r>
      <w:r w:rsidR="00C13C75" w:rsidRPr="00853D04">
        <w:rPr>
          <w:noProof/>
        </w:rPr>
        <w:t>pra</w:t>
      </w:r>
      <w:r w:rsidR="001E4FDC" w:rsidRPr="00853D04">
        <w:rPr>
          <w:noProof/>
        </w:rPr>
        <w:t>wie krajowym.</w:t>
      </w:r>
    </w:p>
    <w:p w14:paraId="01BBFF43" w14:textId="09CEE953" w:rsidR="001E4FDC" w:rsidRPr="00853D04" w:rsidRDefault="008D78F5" w:rsidP="008D78F5">
      <w:pPr>
        <w:pStyle w:val="ManualConsidrant"/>
        <w:rPr>
          <w:noProof/>
        </w:rPr>
      </w:pPr>
      <w:r w:rsidRPr="008D78F5">
        <w:t>(32)</w:t>
      </w:r>
      <w:r w:rsidRPr="008D78F5">
        <w:tab/>
      </w:r>
      <w:r w:rsidR="001E4FDC" w:rsidRPr="00853D04">
        <w:rPr>
          <w:noProof/>
        </w:rPr>
        <w:t>Zgodnie</w:t>
      </w:r>
      <w:r w:rsidR="00C13C75" w:rsidRPr="00853D04">
        <w:rPr>
          <w:noProof/>
        </w:rPr>
        <w:t xml:space="preserve"> z</w:t>
      </w:r>
      <w:r w:rsidR="00C13C75">
        <w:rPr>
          <w:noProof/>
        </w:rPr>
        <w:t> </w:t>
      </w:r>
      <w:r w:rsidR="00C13C75" w:rsidRPr="00853D04">
        <w:rPr>
          <w:noProof/>
        </w:rPr>
        <w:t>pra</w:t>
      </w:r>
      <w:r w:rsidR="001E4FDC" w:rsidRPr="00853D04">
        <w:rPr>
          <w:noProof/>
        </w:rPr>
        <w:t>wem do skutecznego środka prawnego</w:t>
      </w:r>
      <w:r w:rsidR="00C13C75" w:rsidRPr="00853D04">
        <w:rPr>
          <w:noProof/>
        </w:rPr>
        <w:t xml:space="preserve"> i</w:t>
      </w:r>
      <w:r w:rsidR="00C13C75">
        <w:rPr>
          <w:noProof/>
        </w:rPr>
        <w:t> </w:t>
      </w:r>
      <w:r w:rsidR="00C13C75" w:rsidRPr="00853D04">
        <w:rPr>
          <w:noProof/>
        </w:rPr>
        <w:t>dos</w:t>
      </w:r>
      <w:r w:rsidR="001E4FDC" w:rsidRPr="00853D04">
        <w:rPr>
          <w:noProof/>
        </w:rPr>
        <w:t>tępu do bezstronnego sądu, określonym</w:t>
      </w:r>
      <w:r w:rsidR="00C13C75" w:rsidRPr="00853D04">
        <w:rPr>
          <w:noProof/>
        </w:rPr>
        <w:t xml:space="preserve"> w</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4</w:t>
      </w:r>
      <w:r w:rsidR="001E4FDC" w:rsidRPr="00853D04">
        <w:rPr>
          <w:noProof/>
        </w:rPr>
        <w:t>7 Karty praw podstawowych</w:t>
      </w:r>
      <w:r w:rsidR="00C13C75" w:rsidRPr="00853D04">
        <w:rPr>
          <w:noProof/>
        </w:rPr>
        <w:t xml:space="preserve"> i</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1</w:t>
      </w:r>
      <w:r w:rsidR="001E4FDC" w:rsidRPr="00853D04">
        <w:rPr>
          <w:noProof/>
        </w:rPr>
        <w:t>3 EKPC, decyzje podejmowane przez właściwe organy</w:t>
      </w:r>
      <w:r w:rsidR="00C13C75" w:rsidRPr="00853D04">
        <w:rPr>
          <w:noProof/>
        </w:rPr>
        <w:t xml:space="preserve"> w</w:t>
      </w:r>
      <w:r w:rsidR="00C13C75">
        <w:rPr>
          <w:noProof/>
        </w:rPr>
        <w:t> </w:t>
      </w:r>
      <w:r w:rsidR="00C13C75" w:rsidRPr="00853D04">
        <w:rPr>
          <w:noProof/>
        </w:rPr>
        <w:t>ram</w:t>
      </w:r>
      <w:r w:rsidR="001E4FDC" w:rsidRPr="00853D04">
        <w:rPr>
          <w:noProof/>
        </w:rPr>
        <w:t>ach stosowania przepisów krajowych wdrażających niniejszą dyrektywę powinny podlegać kontroli sądowej. Taka kontrola sądowa powinna być dostępna dla europejskich stowarzyszeń transgranicznych, jak również dla wszelkich innych osób fizycznych lub prawnych</w:t>
      </w:r>
      <w:r w:rsidR="00C13C75" w:rsidRPr="00853D04">
        <w:rPr>
          <w:noProof/>
        </w:rPr>
        <w:t xml:space="preserve"> w</w:t>
      </w:r>
      <w:r w:rsidR="00C13C75">
        <w:rPr>
          <w:noProof/>
        </w:rPr>
        <w:t> </w:t>
      </w:r>
      <w:r w:rsidR="00C13C75" w:rsidRPr="00853D04">
        <w:rPr>
          <w:noProof/>
        </w:rPr>
        <w:t>odn</w:t>
      </w:r>
      <w:r w:rsidR="001E4FDC" w:rsidRPr="00853D04">
        <w:rPr>
          <w:noProof/>
        </w:rPr>
        <w:t>iesieniu do podejmowanych przez właściwe organy decyzji dotyczących europejskich stowarzyszeń transgranicznych,</w:t>
      </w:r>
      <w:r w:rsidR="00C13C75" w:rsidRPr="00853D04">
        <w:rPr>
          <w:noProof/>
        </w:rPr>
        <w:t xml:space="preserve"> w</w:t>
      </w:r>
      <w:r w:rsidR="00C13C75">
        <w:rPr>
          <w:noProof/>
        </w:rPr>
        <w:t> </w:t>
      </w:r>
      <w:r w:rsidR="00C13C75" w:rsidRPr="00853D04">
        <w:rPr>
          <w:noProof/>
        </w:rPr>
        <w:t>tym w</w:t>
      </w:r>
      <w:r w:rsidR="00C13C75">
        <w:rPr>
          <w:noProof/>
        </w:rPr>
        <w:t> </w:t>
      </w:r>
      <w:r w:rsidR="00C13C75" w:rsidRPr="00853D04">
        <w:rPr>
          <w:noProof/>
        </w:rPr>
        <w:t>prz</w:t>
      </w:r>
      <w:r w:rsidR="001E4FDC" w:rsidRPr="00853D04">
        <w:rPr>
          <w:noProof/>
        </w:rPr>
        <w:t>ypadku zaniechania działania. Prawo do kontroli sądowej obejmuje prawo do sprawiedliwego</w:t>
      </w:r>
      <w:r w:rsidR="00C13C75" w:rsidRPr="00853D04">
        <w:rPr>
          <w:noProof/>
        </w:rPr>
        <w:t xml:space="preserve"> i</w:t>
      </w:r>
      <w:r w:rsidR="00C13C75">
        <w:rPr>
          <w:noProof/>
        </w:rPr>
        <w:t> </w:t>
      </w:r>
      <w:r w:rsidR="00C13C75" w:rsidRPr="00853D04">
        <w:rPr>
          <w:noProof/>
        </w:rPr>
        <w:t>jaw</w:t>
      </w:r>
      <w:r w:rsidR="001E4FDC" w:rsidRPr="00853D04">
        <w:rPr>
          <w:noProof/>
        </w:rPr>
        <w:t>nego rozpatrzenia sprawy</w:t>
      </w:r>
      <w:r w:rsidR="00C13C75" w:rsidRPr="00853D04">
        <w:rPr>
          <w:noProof/>
        </w:rPr>
        <w:t xml:space="preserve"> w</w:t>
      </w:r>
      <w:r w:rsidR="00C13C75">
        <w:rPr>
          <w:noProof/>
        </w:rPr>
        <w:t> </w:t>
      </w:r>
      <w:r w:rsidR="00C13C75" w:rsidRPr="00853D04">
        <w:rPr>
          <w:noProof/>
        </w:rPr>
        <w:t>roz</w:t>
      </w:r>
      <w:r w:rsidR="001E4FDC" w:rsidRPr="00853D04">
        <w:rPr>
          <w:noProof/>
        </w:rPr>
        <w:t>sądnym terminie przez niezawisły</w:t>
      </w:r>
      <w:r w:rsidR="00C13C75" w:rsidRPr="00853D04">
        <w:rPr>
          <w:noProof/>
        </w:rPr>
        <w:t xml:space="preserve"> i</w:t>
      </w:r>
      <w:r w:rsidR="00C13C75">
        <w:rPr>
          <w:noProof/>
        </w:rPr>
        <w:t> </w:t>
      </w:r>
      <w:r w:rsidR="00C13C75" w:rsidRPr="00853D04">
        <w:rPr>
          <w:noProof/>
        </w:rPr>
        <w:t>bez</w:t>
      </w:r>
      <w:r w:rsidR="001E4FDC" w:rsidRPr="00853D04">
        <w:rPr>
          <w:noProof/>
        </w:rPr>
        <w:t>stronny sąd ustanowiony uprzednio na mocy ustawy zgodnie</w:t>
      </w:r>
      <w:r w:rsidR="00C13C75" w:rsidRPr="00853D04">
        <w:rPr>
          <w:noProof/>
        </w:rPr>
        <w:t xml:space="preserve"> z</w:t>
      </w:r>
      <w:r w:rsidR="00C13C75">
        <w:rPr>
          <w:noProof/>
        </w:rPr>
        <w:t> </w:t>
      </w:r>
      <w:r w:rsidR="00C13C75" w:rsidRPr="00853D04">
        <w:rPr>
          <w:noProof/>
        </w:rPr>
        <w:t>pra</w:t>
      </w:r>
      <w:r w:rsidR="001E4FDC" w:rsidRPr="00853D04">
        <w:rPr>
          <w:noProof/>
        </w:rPr>
        <w:t>wem krajowym danego państwa członkowskiego zgodnie</w:t>
      </w:r>
      <w:r w:rsidR="00C13C75" w:rsidRPr="00853D04">
        <w:rPr>
          <w:noProof/>
        </w:rPr>
        <w:t xml:space="preserve"> z</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4</w:t>
      </w:r>
      <w:r w:rsidR="001E4FDC" w:rsidRPr="00853D04">
        <w:rPr>
          <w:noProof/>
        </w:rPr>
        <w:t>7 Karty praw podstawowych Unii Europejskiej.</w:t>
      </w:r>
    </w:p>
    <w:p w14:paraId="243C6CF5" w14:textId="02D39384" w:rsidR="00F10381" w:rsidRPr="00853D04" w:rsidRDefault="008D78F5" w:rsidP="008D78F5">
      <w:pPr>
        <w:pStyle w:val="ManualConsidrant"/>
        <w:rPr>
          <w:noProof/>
        </w:rPr>
      </w:pPr>
      <w:r w:rsidRPr="008D78F5">
        <w:t>(33)</w:t>
      </w:r>
      <w:r w:rsidRPr="008D78F5">
        <w:tab/>
      </w:r>
      <w:r w:rsidR="001E4FDC" w:rsidRPr="00853D04">
        <w:rPr>
          <w:noProof/>
        </w:rPr>
        <w:t>Ze względu na niedochodowy cel europejskie stowarzyszenia transgraniczne powinny mieć możliwość ubiegania się</w:t>
      </w:r>
      <w:r w:rsidR="00C13C75" w:rsidRPr="00853D04">
        <w:rPr>
          <w:noProof/>
        </w:rPr>
        <w:t xml:space="preserve"> o</w:t>
      </w:r>
      <w:r w:rsidR="00C13C75">
        <w:rPr>
          <w:noProof/>
        </w:rPr>
        <w:t> </w:t>
      </w:r>
      <w:r w:rsidR="00C13C75" w:rsidRPr="00853D04">
        <w:rPr>
          <w:noProof/>
        </w:rPr>
        <w:t>fin</w:t>
      </w:r>
      <w:r w:rsidR="001E4FDC" w:rsidRPr="00853D04">
        <w:rPr>
          <w:noProof/>
        </w:rPr>
        <w:t>ansowanie ze źródeł publicznych lub prywatnych</w:t>
      </w:r>
      <w:r w:rsidR="00C13C75" w:rsidRPr="00853D04">
        <w:rPr>
          <w:noProof/>
        </w:rPr>
        <w:t xml:space="preserve"> w</w:t>
      </w:r>
      <w:r w:rsidR="00C13C75">
        <w:rPr>
          <w:noProof/>
        </w:rPr>
        <w:t> </w:t>
      </w:r>
      <w:r w:rsidR="00C13C75" w:rsidRPr="00853D04">
        <w:rPr>
          <w:noProof/>
        </w:rPr>
        <w:t>pań</w:t>
      </w:r>
      <w:r w:rsidR="001E4FDC" w:rsidRPr="00853D04">
        <w:rPr>
          <w:noProof/>
        </w:rPr>
        <w:t>stwie członkowskim lub państwach członkowskich,</w:t>
      </w:r>
      <w:r w:rsidR="00C13C75" w:rsidRPr="00853D04">
        <w:rPr>
          <w:noProof/>
        </w:rPr>
        <w:t xml:space="preserve"> w</w:t>
      </w:r>
      <w:r w:rsidR="00C13C75">
        <w:rPr>
          <w:noProof/>
        </w:rPr>
        <w:t> </w:t>
      </w:r>
      <w:r w:rsidR="00C13C75" w:rsidRPr="00853D04">
        <w:rPr>
          <w:noProof/>
        </w:rPr>
        <w:t>któ</w:t>
      </w:r>
      <w:r w:rsidR="001E4FDC" w:rsidRPr="00853D04">
        <w:rPr>
          <w:noProof/>
        </w:rPr>
        <w:t>rych prowadzą działalność, na niedyskryminujących zasadach. Nie należy ograniczać prawa europejskiego stowarzyszenia transgranicznego do otrzymywania</w:t>
      </w:r>
      <w:r w:rsidR="00C13C75" w:rsidRPr="00853D04">
        <w:rPr>
          <w:noProof/>
        </w:rPr>
        <w:t xml:space="preserve"> i</w:t>
      </w:r>
      <w:r w:rsidR="00C13C75">
        <w:rPr>
          <w:noProof/>
        </w:rPr>
        <w:t> </w:t>
      </w:r>
      <w:r w:rsidR="00C13C75" w:rsidRPr="00853D04">
        <w:rPr>
          <w:noProof/>
        </w:rPr>
        <w:t>zap</w:t>
      </w:r>
      <w:r w:rsidR="001E4FDC" w:rsidRPr="00853D04">
        <w:rPr>
          <w:noProof/>
        </w:rPr>
        <w:t>ewniania finansowania, chyba że ograniczenie jest określone przez prawo, uzasadnione nadrzędnymi względami interesu publicznego</w:t>
      </w:r>
      <w:r w:rsidR="00C13C75" w:rsidRPr="00853D04">
        <w:rPr>
          <w:noProof/>
        </w:rPr>
        <w:t xml:space="preserve"> i</w:t>
      </w:r>
      <w:r w:rsidR="00C13C75">
        <w:rPr>
          <w:noProof/>
        </w:rPr>
        <w:t> </w:t>
      </w:r>
      <w:r w:rsidR="00C13C75" w:rsidRPr="00853D04">
        <w:rPr>
          <w:noProof/>
        </w:rPr>
        <w:t>odp</w:t>
      </w:r>
      <w:r w:rsidR="001E4FDC" w:rsidRPr="00853D04">
        <w:rPr>
          <w:noProof/>
        </w:rPr>
        <w:t>owiednie do zapewnienia osiągnięcia zamierzonego celu, nie wykracza poza to, co jest konieczne do osiągnięcia tego celu, oraz jest zgodne</w:t>
      </w:r>
      <w:r w:rsidR="00C13C75" w:rsidRPr="00853D04">
        <w:rPr>
          <w:noProof/>
        </w:rPr>
        <w:t xml:space="preserve"> z</w:t>
      </w:r>
      <w:r w:rsidR="00C13C75">
        <w:rPr>
          <w:noProof/>
        </w:rPr>
        <w:t> </w:t>
      </w:r>
      <w:r w:rsidR="00C13C75" w:rsidRPr="00853D04">
        <w:rPr>
          <w:noProof/>
        </w:rPr>
        <w:t>pra</w:t>
      </w:r>
      <w:r w:rsidR="001E4FDC" w:rsidRPr="00853D04">
        <w:rPr>
          <w:noProof/>
        </w:rPr>
        <w:t>wem Unii.</w:t>
      </w:r>
    </w:p>
    <w:p w14:paraId="3D2CAEA6" w14:textId="6F93593E" w:rsidR="00393C7C" w:rsidRPr="00853D04" w:rsidRDefault="008D78F5" w:rsidP="008D78F5">
      <w:pPr>
        <w:pStyle w:val="ManualConsidrant"/>
        <w:rPr>
          <w:noProof/>
        </w:rPr>
      </w:pPr>
      <w:r w:rsidRPr="008D78F5">
        <w:t>(34)</w:t>
      </w:r>
      <w:r w:rsidRPr="008D78F5">
        <w:tab/>
      </w:r>
      <w:r w:rsidR="00DC3362" w:rsidRPr="00853D04">
        <w:rPr>
          <w:noProof/>
        </w:rPr>
        <w:t>W celu zapewnienia, aby europejskie stowarzyszenia transgraniczne</w:t>
      </w:r>
      <w:r w:rsidR="00C13C75" w:rsidRPr="00853D04">
        <w:rPr>
          <w:noProof/>
        </w:rPr>
        <w:t xml:space="preserve"> w</w:t>
      </w:r>
      <w:r w:rsidR="00C13C75">
        <w:rPr>
          <w:noProof/>
        </w:rPr>
        <w:t> </w:t>
      </w:r>
      <w:r w:rsidR="00C13C75" w:rsidRPr="00853D04">
        <w:rPr>
          <w:noProof/>
        </w:rPr>
        <w:t>peł</w:t>
      </w:r>
      <w:r w:rsidR="00DC3362" w:rsidRPr="00853D04">
        <w:rPr>
          <w:noProof/>
        </w:rPr>
        <w:t>ni korzystały</w:t>
      </w:r>
      <w:r w:rsidR="00C13C75" w:rsidRPr="00853D04">
        <w:rPr>
          <w:noProof/>
        </w:rPr>
        <w:t xml:space="preserve"> z</w:t>
      </w:r>
      <w:r w:rsidR="00C13C75">
        <w:rPr>
          <w:noProof/>
        </w:rPr>
        <w:t> </w:t>
      </w:r>
      <w:r w:rsidR="00C13C75" w:rsidRPr="00853D04">
        <w:rPr>
          <w:noProof/>
        </w:rPr>
        <w:t>ryn</w:t>
      </w:r>
      <w:r w:rsidR="00DC3362" w:rsidRPr="00853D04">
        <w:rPr>
          <w:noProof/>
        </w:rPr>
        <w:t>ku wewnętrznego, europejskie stowarzyszenia transgraniczne powinny mieć możliwość świadczenia usług</w:t>
      </w:r>
      <w:r w:rsidR="00C13C75" w:rsidRPr="00853D04">
        <w:rPr>
          <w:noProof/>
        </w:rPr>
        <w:t xml:space="preserve"> i</w:t>
      </w:r>
      <w:r w:rsidR="00C13C75">
        <w:rPr>
          <w:noProof/>
        </w:rPr>
        <w:t> </w:t>
      </w:r>
      <w:r w:rsidR="00C13C75" w:rsidRPr="00853D04">
        <w:rPr>
          <w:noProof/>
        </w:rPr>
        <w:t>kor</w:t>
      </w:r>
      <w:r w:rsidR="00DC3362" w:rsidRPr="00853D04">
        <w:rPr>
          <w:noProof/>
        </w:rPr>
        <w:t>zystania</w:t>
      </w:r>
      <w:r w:rsidR="00C13C75" w:rsidRPr="00853D04">
        <w:rPr>
          <w:noProof/>
        </w:rPr>
        <w:t xml:space="preserve"> z</w:t>
      </w:r>
      <w:r w:rsidR="00C13C75">
        <w:rPr>
          <w:noProof/>
        </w:rPr>
        <w:t> </w:t>
      </w:r>
      <w:r w:rsidR="00C13C75" w:rsidRPr="00853D04">
        <w:rPr>
          <w:noProof/>
        </w:rPr>
        <w:t>nic</w:t>
      </w:r>
      <w:r w:rsidR="00DC3362" w:rsidRPr="00853D04">
        <w:rPr>
          <w:noProof/>
        </w:rPr>
        <w:t>h,</w:t>
      </w:r>
      <w:r w:rsidR="00C13C75" w:rsidRPr="00853D04">
        <w:rPr>
          <w:noProof/>
        </w:rPr>
        <w:t xml:space="preserve"> a</w:t>
      </w:r>
      <w:r w:rsidR="00C13C75">
        <w:rPr>
          <w:noProof/>
        </w:rPr>
        <w:t> </w:t>
      </w:r>
      <w:r w:rsidR="00C13C75" w:rsidRPr="00853D04">
        <w:rPr>
          <w:noProof/>
        </w:rPr>
        <w:t>tak</w:t>
      </w:r>
      <w:r w:rsidR="00DC3362" w:rsidRPr="00853D04">
        <w:rPr>
          <w:noProof/>
        </w:rPr>
        <w:t>że angażowania się</w:t>
      </w:r>
      <w:r w:rsidR="00C13C75" w:rsidRPr="00853D04">
        <w:rPr>
          <w:noProof/>
        </w:rPr>
        <w:t xml:space="preserve"> w</w:t>
      </w:r>
      <w:r w:rsidR="00C13C75">
        <w:rPr>
          <w:noProof/>
        </w:rPr>
        <w:t> </w:t>
      </w:r>
      <w:r w:rsidR="00C13C75" w:rsidRPr="00853D04">
        <w:rPr>
          <w:noProof/>
        </w:rPr>
        <w:t>han</w:t>
      </w:r>
      <w:r w:rsidR="00DC3362" w:rsidRPr="00853D04">
        <w:rPr>
          <w:noProof/>
        </w:rPr>
        <w:t>del towarami bez ingerencji ze strony państw członkowskich. Ograniczenia powinny być dozwolone tylko wtedy, gdy są przewidziane prawem, uzasadnione nadrzędnymi względami interesu ogólnego, odpowiednie do zapewnienia osiągnięcia zamierzonego celu</w:t>
      </w:r>
      <w:r w:rsidR="00C13C75" w:rsidRPr="00853D04">
        <w:rPr>
          <w:noProof/>
        </w:rPr>
        <w:t xml:space="preserve"> i</w:t>
      </w:r>
      <w:r w:rsidR="00C13C75">
        <w:rPr>
          <w:noProof/>
        </w:rPr>
        <w:t> </w:t>
      </w:r>
      <w:r w:rsidR="00C13C75" w:rsidRPr="00853D04">
        <w:rPr>
          <w:noProof/>
        </w:rPr>
        <w:t>nie</w:t>
      </w:r>
      <w:r w:rsidR="00DC3362" w:rsidRPr="00853D04">
        <w:rPr>
          <w:noProof/>
        </w:rPr>
        <w:t xml:space="preserve"> wykraczają poza to, co jest konieczne do jego osiągnięcia. Nie powinno to mieć wpływu na przepisy innych aktów Unii. Powinno to obejmować przepisy aktów Unii wzmacniających podstawowe wolności, takie jak przepisy określone</w:t>
      </w:r>
      <w:r w:rsidR="00C13C75" w:rsidRPr="00853D04">
        <w:rPr>
          <w:noProof/>
        </w:rPr>
        <w:t xml:space="preserve"> w</w:t>
      </w:r>
      <w:r w:rsidR="00C13C75">
        <w:rPr>
          <w:noProof/>
        </w:rPr>
        <w:t> </w:t>
      </w:r>
      <w:r w:rsidR="00C13C75" w:rsidRPr="00853D04">
        <w:rPr>
          <w:noProof/>
        </w:rPr>
        <w:t>dyr</w:t>
      </w:r>
      <w:r w:rsidR="00DC3362" w:rsidRPr="00853D04">
        <w:rPr>
          <w:noProof/>
        </w:rPr>
        <w:t>ektywie 2006/123/WE Parlamentu Europejskiego</w:t>
      </w:r>
      <w:r w:rsidR="00C13C75" w:rsidRPr="00853D04">
        <w:rPr>
          <w:noProof/>
        </w:rPr>
        <w:t xml:space="preserve"> i</w:t>
      </w:r>
      <w:r w:rsidR="00C13C75">
        <w:rPr>
          <w:noProof/>
        </w:rPr>
        <w:t> </w:t>
      </w:r>
      <w:r w:rsidR="00C13C75" w:rsidRPr="00853D04">
        <w:rPr>
          <w:noProof/>
        </w:rPr>
        <w:t>Rad</w:t>
      </w:r>
      <w:r w:rsidR="00DC3362" w:rsidRPr="00853D04">
        <w:rPr>
          <w:noProof/>
        </w:rPr>
        <w:t>y</w:t>
      </w:r>
      <w:r w:rsidR="00DC3362" w:rsidRPr="00853D04">
        <w:rPr>
          <w:rStyle w:val="FootnoteReference"/>
          <w:noProof/>
        </w:rPr>
        <w:footnoteReference w:id="42"/>
      </w:r>
      <w:r w:rsidR="00DC3362" w:rsidRPr="00853D04">
        <w:rPr>
          <w:noProof/>
        </w:rPr>
        <w:t>, która gwarantuje swobodę przedsiębiorczości</w:t>
      </w:r>
      <w:r w:rsidR="00C13C75" w:rsidRPr="00853D04">
        <w:rPr>
          <w:noProof/>
        </w:rPr>
        <w:t xml:space="preserve"> i</w:t>
      </w:r>
      <w:r w:rsidR="00C13C75">
        <w:rPr>
          <w:noProof/>
        </w:rPr>
        <w:t> </w:t>
      </w:r>
      <w:r w:rsidR="00C13C75" w:rsidRPr="00853D04">
        <w:rPr>
          <w:noProof/>
        </w:rPr>
        <w:t>swo</w:t>
      </w:r>
      <w:r w:rsidR="00DC3362" w:rsidRPr="00853D04">
        <w:rPr>
          <w:noProof/>
        </w:rPr>
        <w:t>bodę świadczenia usług,</w:t>
      </w:r>
      <w:r w:rsidR="00C13C75" w:rsidRPr="00853D04">
        <w:rPr>
          <w:noProof/>
        </w:rPr>
        <w:t xml:space="preserve"> a</w:t>
      </w:r>
      <w:r w:rsidR="00C13C75">
        <w:rPr>
          <w:noProof/>
        </w:rPr>
        <w:t> </w:t>
      </w:r>
      <w:r w:rsidR="00C13C75" w:rsidRPr="00853D04">
        <w:rPr>
          <w:noProof/>
        </w:rPr>
        <w:t>tak</w:t>
      </w:r>
      <w:r w:rsidR="00DC3362" w:rsidRPr="00853D04">
        <w:rPr>
          <w:noProof/>
        </w:rPr>
        <w:t xml:space="preserve">że przepisy innych aktów Unii regulujących określoną działalność gospodarczą prowadzoną przez europejskie stowarzyszenia transgraniczne. </w:t>
      </w:r>
    </w:p>
    <w:p w14:paraId="7634F742" w14:textId="4843E41F" w:rsidR="001E4FDC" w:rsidRPr="00853D04" w:rsidRDefault="008D78F5" w:rsidP="008D78F5">
      <w:pPr>
        <w:pStyle w:val="ManualConsidrant"/>
        <w:rPr>
          <w:noProof/>
        </w:rPr>
      </w:pPr>
      <w:r w:rsidRPr="008D78F5">
        <w:t>(35)</w:t>
      </w:r>
      <w:r w:rsidRPr="008D78F5">
        <w:tab/>
      </w:r>
      <w:r w:rsidR="001E4FDC" w:rsidRPr="00853D04">
        <w:rPr>
          <w:noProof/>
        </w:rPr>
        <w:t>Aby ustanowić prawdziwy rynek wewnętrzny dla stowarzyszeń niekomercyjnych, konieczne jest zniesienie pewnych ograniczeń swobody przedsiębiorczości, swobodnego przepływu usług</w:t>
      </w:r>
      <w:r w:rsidR="00C13C75" w:rsidRPr="00853D04">
        <w:rPr>
          <w:noProof/>
        </w:rPr>
        <w:t xml:space="preserve"> i</w:t>
      </w:r>
      <w:r w:rsidR="00C13C75">
        <w:rPr>
          <w:noProof/>
        </w:rPr>
        <w:t> </w:t>
      </w:r>
      <w:r w:rsidR="00C13C75" w:rsidRPr="00853D04">
        <w:rPr>
          <w:noProof/>
        </w:rPr>
        <w:t>swo</w:t>
      </w:r>
      <w:r w:rsidR="001E4FDC" w:rsidRPr="00853D04">
        <w:rPr>
          <w:noProof/>
        </w:rPr>
        <w:t>bodnego przepływu kapitału, które nadal obowiązują</w:t>
      </w:r>
      <w:r w:rsidR="00C13C75" w:rsidRPr="00853D04">
        <w:rPr>
          <w:noProof/>
        </w:rPr>
        <w:t xml:space="preserve"> w</w:t>
      </w:r>
      <w:r w:rsidR="00C13C75">
        <w:rPr>
          <w:noProof/>
        </w:rPr>
        <w:t> </w:t>
      </w:r>
      <w:r w:rsidR="00C13C75" w:rsidRPr="00853D04">
        <w:rPr>
          <w:noProof/>
        </w:rPr>
        <w:t>pra</w:t>
      </w:r>
      <w:r w:rsidR="001E4FDC" w:rsidRPr="00853D04">
        <w:rPr>
          <w:noProof/>
        </w:rPr>
        <w:t>wie niektórych państw członkowskich</w:t>
      </w:r>
      <w:r w:rsidR="00C13C75" w:rsidRPr="00853D04">
        <w:rPr>
          <w:noProof/>
        </w:rPr>
        <w:t>. W</w:t>
      </w:r>
      <w:r w:rsidR="00C13C75">
        <w:rPr>
          <w:noProof/>
        </w:rPr>
        <w:t> </w:t>
      </w:r>
      <w:r w:rsidR="00C13C75" w:rsidRPr="00853D04">
        <w:rPr>
          <w:noProof/>
        </w:rPr>
        <w:t>zwi</w:t>
      </w:r>
      <w:r w:rsidR="001E4FDC" w:rsidRPr="00853D04">
        <w:rPr>
          <w:noProof/>
        </w:rPr>
        <w:t>ązku</w:t>
      </w:r>
      <w:r w:rsidR="00C13C75" w:rsidRPr="00853D04">
        <w:rPr>
          <w:noProof/>
        </w:rPr>
        <w:t xml:space="preserve"> z</w:t>
      </w:r>
      <w:r w:rsidR="00C13C75">
        <w:rPr>
          <w:noProof/>
        </w:rPr>
        <w:t> </w:t>
      </w:r>
      <w:r w:rsidR="00C13C75" w:rsidRPr="00853D04">
        <w:rPr>
          <w:noProof/>
        </w:rPr>
        <w:t>tym</w:t>
      </w:r>
      <w:r w:rsidR="001E4FDC" w:rsidRPr="00853D04">
        <w:rPr>
          <w:noProof/>
        </w:rPr>
        <w:t xml:space="preserve"> państwa członkowskie nie powinny nakładać żadnych wymogów dyskryminujących ze względu na obywatelstwo członków europejskiego stowarzyszenia transgranicznego lub jego organu wykonawczego,</w:t>
      </w:r>
      <w:r w:rsidR="00C13C75" w:rsidRPr="00853D04">
        <w:rPr>
          <w:noProof/>
        </w:rPr>
        <w:t xml:space="preserve"> z</w:t>
      </w:r>
      <w:r w:rsidR="00C13C75">
        <w:rPr>
          <w:noProof/>
        </w:rPr>
        <w:t> </w:t>
      </w:r>
      <w:r w:rsidR="00C13C75" w:rsidRPr="00853D04">
        <w:rPr>
          <w:noProof/>
        </w:rPr>
        <w:t>wyj</w:t>
      </w:r>
      <w:r w:rsidR="001E4FDC" w:rsidRPr="00853D04">
        <w:rPr>
          <w:noProof/>
        </w:rPr>
        <w:t>ątkiem przypadków przewidzianych</w:t>
      </w:r>
      <w:r w:rsidR="00C13C75" w:rsidRPr="00853D04">
        <w:rPr>
          <w:noProof/>
        </w:rPr>
        <w:t xml:space="preserve"> w</w:t>
      </w:r>
      <w:r w:rsidR="00C13C75">
        <w:rPr>
          <w:noProof/>
        </w:rPr>
        <w:t> </w:t>
      </w:r>
      <w:r w:rsidR="00C13C75" w:rsidRPr="00853D04">
        <w:rPr>
          <w:noProof/>
        </w:rPr>
        <w:t>nin</w:t>
      </w:r>
      <w:r w:rsidR="001E4FDC" w:rsidRPr="00853D04">
        <w:rPr>
          <w:noProof/>
        </w:rPr>
        <w:t>iejszej dyrektywie. Państwa członkowskie nie powinny również przewidywać żadnego wymogu fizycznej obecności członków do celów ważności posiedzenia. Aby umożliwić europejskim stowarzyszeniom transgranicznym korzystanie</w:t>
      </w:r>
      <w:r w:rsidR="00C13C75" w:rsidRPr="00853D04">
        <w:rPr>
          <w:noProof/>
        </w:rPr>
        <w:t xml:space="preserve"> w</w:t>
      </w:r>
      <w:r w:rsidR="00C13C75">
        <w:rPr>
          <w:noProof/>
        </w:rPr>
        <w:t> </w:t>
      </w:r>
      <w:r w:rsidR="00C13C75" w:rsidRPr="00853D04">
        <w:rPr>
          <w:noProof/>
        </w:rPr>
        <w:t>peł</w:t>
      </w:r>
      <w:r w:rsidR="001E4FDC" w:rsidRPr="00853D04">
        <w:rPr>
          <w:noProof/>
        </w:rPr>
        <w:t>ni</w:t>
      </w:r>
      <w:r w:rsidR="00C13C75" w:rsidRPr="00853D04">
        <w:rPr>
          <w:noProof/>
        </w:rPr>
        <w:t xml:space="preserve"> z</w:t>
      </w:r>
      <w:r w:rsidR="00C13C75">
        <w:rPr>
          <w:noProof/>
        </w:rPr>
        <w:t> </w:t>
      </w:r>
      <w:r w:rsidR="00C13C75" w:rsidRPr="00853D04">
        <w:rPr>
          <w:noProof/>
        </w:rPr>
        <w:t>dob</w:t>
      </w:r>
      <w:r w:rsidR="001E4FDC" w:rsidRPr="00853D04">
        <w:rPr>
          <w:noProof/>
        </w:rPr>
        <w:t>rodziejstw rynku wewnętrznego, państwa członkowskie nie powinny wymagać, aby siedziba statutowa europejskiego stowarzyszenia transgranicznego znajdowała się</w:t>
      </w:r>
      <w:r w:rsidR="00C13C75" w:rsidRPr="00853D04">
        <w:rPr>
          <w:noProof/>
        </w:rPr>
        <w:t xml:space="preserve"> w</w:t>
      </w:r>
      <w:r w:rsidR="00C13C75">
        <w:rPr>
          <w:noProof/>
        </w:rPr>
        <w:t> </w:t>
      </w:r>
      <w:r w:rsidR="00C13C75" w:rsidRPr="00853D04">
        <w:rPr>
          <w:noProof/>
        </w:rPr>
        <w:t>tym</w:t>
      </w:r>
      <w:r w:rsidR="001E4FDC" w:rsidRPr="00853D04">
        <w:rPr>
          <w:noProof/>
        </w:rPr>
        <w:t xml:space="preserve"> samym państwie członkowskim, co jego zarząd lub główne miejsce prowadzenia działalności. Państwa członkowskie nie powinny również nakładać ogólnego zakazu prowadzenia działalności gospodarczej przez europejskie stowarzyszenia transgraniczne ani zezwalać im na prowadzenie działalności gospodarczej wyłącznie wówczas, gdy jest ona związana</w:t>
      </w:r>
      <w:r w:rsidR="00C13C75" w:rsidRPr="00853D04">
        <w:rPr>
          <w:noProof/>
        </w:rPr>
        <w:t xml:space="preserve"> z</w:t>
      </w:r>
      <w:r w:rsidR="00C13C75">
        <w:rPr>
          <w:noProof/>
        </w:rPr>
        <w:t> </w:t>
      </w:r>
      <w:r w:rsidR="00C13C75" w:rsidRPr="00853D04">
        <w:rPr>
          <w:noProof/>
        </w:rPr>
        <w:t>cel</w:t>
      </w:r>
      <w:r w:rsidR="001E4FDC" w:rsidRPr="00853D04">
        <w:rPr>
          <w:noProof/>
        </w:rPr>
        <w:t>em określonym</w:t>
      </w:r>
      <w:r w:rsidR="00C13C75" w:rsidRPr="00853D04">
        <w:rPr>
          <w:noProof/>
        </w:rPr>
        <w:t xml:space="preserve"> w</w:t>
      </w:r>
      <w:r w:rsidR="00C13C75">
        <w:rPr>
          <w:noProof/>
        </w:rPr>
        <w:t> </w:t>
      </w:r>
      <w:r w:rsidR="00C13C75" w:rsidRPr="00853D04">
        <w:rPr>
          <w:noProof/>
        </w:rPr>
        <w:t>sta</w:t>
      </w:r>
      <w:r w:rsidR="001E4FDC" w:rsidRPr="00853D04">
        <w:rPr>
          <w:noProof/>
        </w:rPr>
        <w:t xml:space="preserve">tucie stowarzyszenia. </w:t>
      </w:r>
    </w:p>
    <w:p w14:paraId="68FEA0D3" w14:textId="671FC134" w:rsidR="001E4FDC" w:rsidRPr="00853D04" w:rsidRDefault="008D78F5" w:rsidP="008D78F5">
      <w:pPr>
        <w:pStyle w:val="ManualConsidrant"/>
        <w:rPr>
          <w:noProof/>
        </w:rPr>
      </w:pPr>
      <w:r w:rsidRPr="008D78F5">
        <w:t>(36)</w:t>
      </w:r>
      <w:r w:rsidRPr="008D78F5">
        <w:tab/>
      </w:r>
      <w:r w:rsidR="00057008" w:rsidRPr="00853D04">
        <w:rPr>
          <w:noProof/>
        </w:rPr>
        <w:t>Rejestracja europejskiego stowarzyszenia transgranicznego powinna mieć charakter konstytutywny dla tego stowarzyszenia. Aby zarejestrować europejskie stowarzyszenie transgraniczne, powinno mieć ono co najmniej trzech członków założycieli. Zarówno podmioty prawne</w:t>
      </w:r>
      <w:r w:rsidR="00C13C75" w:rsidRPr="00853D04">
        <w:rPr>
          <w:noProof/>
        </w:rPr>
        <w:t xml:space="preserve"> o</w:t>
      </w:r>
      <w:r w:rsidR="00C13C75">
        <w:rPr>
          <w:noProof/>
        </w:rPr>
        <w:t> </w:t>
      </w:r>
      <w:r w:rsidR="00C13C75" w:rsidRPr="00853D04">
        <w:rPr>
          <w:noProof/>
        </w:rPr>
        <w:t>nie</w:t>
      </w:r>
      <w:r w:rsidR="00057008" w:rsidRPr="00853D04">
        <w:rPr>
          <w:noProof/>
        </w:rPr>
        <w:t>dochodowym celu mające siedzibę</w:t>
      </w:r>
      <w:r w:rsidR="00C13C75" w:rsidRPr="00853D04">
        <w:rPr>
          <w:noProof/>
        </w:rPr>
        <w:t xml:space="preserve"> w</w:t>
      </w:r>
      <w:r w:rsidR="00C13C75">
        <w:rPr>
          <w:noProof/>
        </w:rPr>
        <w:t> </w:t>
      </w:r>
      <w:r w:rsidR="00C13C75" w:rsidRPr="00853D04">
        <w:rPr>
          <w:noProof/>
        </w:rPr>
        <w:t>Uni</w:t>
      </w:r>
      <w:r w:rsidR="00057008" w:rsidRPr="00853D04">
        <w:rPr>
          <w:noProof/>
        </w:rPr>
        <w:t>i, jak</w:t>
      </w:r>
      <w:r w:rsidR="00C13C75" w:rsidRPr="00853D04">
        <w:rPr>
          <w:noProof/>
        </w:rPr>
        <w:t xml:space="preserve"> i</w:t>
      </w:r>
      <w:r w:rsidR="00C13C75">
        <w:rPr>
          <w:noProof/>
        </w:rPr>
        <w:t> </w:t>
      </w:r>
      <w:r w:rsidR="00C13C75" w:rsidRPr="00853D04">
        <w:rPr>
          <w:noProof/>
        </w:rPr>
        <w:t>oso</w:t>
      </w:r>
      <w:r w:rsidR="00057008" w:rsidRPr="00853D04">
        <w:rPr>
          <w:noProof/>
        </w:rPr>
        <w:t>by fizyczne będące obywatelami Unii lub legalnie przebywające na terytorium Unii powinny mieć możliwość bycia członkami założycielami europejskiego stowarzyszenia transgranicznego. Stowarzyszenia niekomercyjne powinny mieć również możliwość przekształcenia się</w:t>
      </w:r>
      <w:r w:rsidR="00C13C75" w:rsidRPr="00853D04">
        <w:rPr>
          <w:noProof/>
        </w:rPr>
        <w:t xml:space="preserve"> w</w:t>
      </w:r>
      <w:r w:rsidR="00C13C75">
        <w:rPr>
          <w:noProof/>
        </w:rPr>
        <w:t> </w:t>
      </w:r>
      <w:r w:rsidR="00C13C75" w:rsidRPr="00853D04">
        <w:rPr>
          <w:noProof/>
        </w:rPr>
        <w:t>eur</w:t>
      </w:r>
      <w:r w:rsidR="00057008" w:rsidRPr="00853D04">
        <w:rPr>
          <w:noProof/>
        </w:rPr>
        <w:t>opejskie stowarzyszenie transgraniczne</w:t>
      </w:r>
      <w:r w:rsidR="00C13C75" w:rsidRPr="00853D04">
        <w:rPr>
          <w:noProof/>
        </w:rPr>
        <w:t xml:space="preserve"> w</w:t>
      </w:r>
      <w:r w:rsidR="00C13C75">
        <w:rPr>
          <w:noProof/>
        </w:rPr>
        <w:t> </w:t>
      </w:r>
      <w:r w:rsidR="00C13C75" w:rsidRPr="00853D04">
        <w:rPr>
          <w:noProof/>
        </w:rPr>
        <w:t>tym</w:t>
      </w:r>
      <w:r w:rsidR="00057008" w:rsidRPr="00853D04">
        <w:rPr>
          <w:noProof/>
        </w:rPr>
        <w:t xml:space="preserve"> samym państwie członkowskim. </w:t>
      </w:r>
    </w:p>
    <w:p w14:paraId="0B6CB69E" w14:textId="249E473D" w:rsidR="001E4FDC" w:rsidRPr="00853D04" w:rsidRDefault="008D78F5" w:rsidP="008D78F5">
      <w:pPr>
        <w:pStyle w:val="ManualConsidrant"/>
        <w:rPr>
          <w:noProof/>
        </w:rPr>
      </w:pPr>
      <w:r w:rsidRPr="008D78F5">
        <w:t>(37)</w:t>
      </w:r>
      <w:r w:rsidRPr="008D78F5">
        <w:tab/>
      </w:r>
      <w:r w:rsidR="001E4FDC" w:rsidRPr="00853D04">
        <w:rPr>
          <w:noProof/>
        </w:rPr>
        <w:t>W celu zapewnienia, aby europejskie stowarzyszenia transgraniczne miały możliwość prowadzenia działalności transgranicznej zgodnie</w:t>
      </w:r>
      <w:r w:rsidR="00C13C75" w:rsidRPr="00853D04">
        <w:rPr>
          <w:noProof/>
        </w:rPr>
        <w:t xml:space="preserve"> z</w:t>
      </w:r>
      <w:r w:rsidR="00C13C75">
        <w:rPr>
          <w:noProof/>
        </w:rPr>
        <w:t> </w:t>
      </w:r>
      <w:r w:rsidR="00C13C75" w:rsidRPr="00853D04">
        <w:rPr>
          <w:noProof/>
        </w:rPr>
        <w:t>zas</w:t>
      </w:r>
      <w:r w:rsidR="001E4FDC" w:rsidRPr="00853D04">
        <w:rPr>
          <w:noProof/>
        </w:rPr>
        <w:t>adą proporcjonalności, powinny one być zobowiązane do zarejestrowania się tylko raz</w:t>
      </w:r>
      <w:r w:rsidR="00C13C75" w:rsidRPr="00853D04">
        <w:rPr>
          <w:noProof/>
        </w:rPr>
        <w:t xml:space="preserve"> w</w:t>
      </w:r>
      <w:r w:rsidR="00C13C75">
        <w:rPr>
          <w:noProof/>
        </w:rPr>
        <w:t> </w:t>
      </w:r>
      <w:r w:rsidR="00C13C75" w:rsidRPr="00853D04">
        <w:rPr>
          <w:noProof/>
        </w:rPr>
        <w:t>pań</w:t>
      </w:r>
      <w:r w:rsidR="001E4FDC" w:rsidRPr="00853D04">
        <w:rPr>
          <w:noProof/>
        </w:rPr>
        <w:t>stwie członkowskim pochodzenia</w:t>
      </w:r>
      <w:r w:rsidR="00C13C75" w:rsidRPr="00853D04">
        <w:rPr>
          <w:noProof/>
        </w:rPr>
        <w:t xml:space="preserve"> w</w:t>
      </w:r>
      <w:r w:rsidR="00C13C75">
        <w:rPr>
          <w:noProof/>
        </w:rPr>
        <w:t> </w:t>
      </w:r>
      <w:r w:rsidR="00C13C75" w:rsidRPr="00853D04">
        <w:rPr>
          <w:noProof/>
        </w:rPr>
        <w:t>cel</w:t>
      </w:r>
      <w:r w:rsidR="001E4FDC" w:rsidRPr="00853D04">
        <w:rPr>
          <w:noProof/>
        </w:rPr>
        <w:t>u uzyskania osobowości prawnej</w:t>
      </w:r>
      <w:r w:rsidR="00C13C75" w:rsidRPr="00853D04">
        <w:rPr>
          <w:noProof/>
        </w:rPr>
        <w:t xml:space="preserve"> i</w:t>
      </w:r>
      <w:r w:rsidR="00C13C75">
        <w:rPr>
          <w:noProof/>
        </w:rPr>
        <w:t> </w:t>
      </w:r>
      <w:r w:rsidR="00C13C75" w:rsidRPr="00853D04">
        <w:rPr>
          <w:noProof/>
        </w:rPr>
        <w:t>zdo</w:t>
      </w:r>
      <w:r w:rsidR="001E4FDC" w:rsidRPr="00853D04">
        <w:rPr>
          <w:noProof/>
        </w:rPr>
        <w:t>lności do czynności prawnych. Aby zapewnić automatyczne uznawanie tej rejestracji</w:t>
      </w:r>
      <w:r w:rsidR="00C13C75" w:rsidRPr="00853D04">
        <w:rPr>
          <w:noProof/>
        </w:rPr>
        <w:t xml:space="preserve"> w</w:t>
      </w:r>
      <w:r w:rsidR="00C13C75">
        <w:rPr>
          <w:noProof/>
        </w:rPr>
        <w:t> </w:t>
      </w:r>
      <w:r w:rsidR="00C13C75" w:rsidRPr="00853D04">
        <w:rPr>
          <w:noProof/>
        </w:rPr>
        <w:t>cał</w:t>
      </w:r>
      <w:r w:rsidR="001E4FDC" w:rsidRPr="00853D04">
        <w:rPr>
          <w:noProof/>
        </w:rPr>
        <w:t>ej Unii, konieczna jest harmonizacja procedury rejestracji. Dotyczy to</w:t>
      </w:r>
      <w:r w:rsidR="00C13C75" w:rsidRPr="00853D04">
        <w:rPr>
          <w:noProof/>
        </w:rPr>
        <w:t xml:space="preserve"> w</w:t>
      </w:r>
      <w:r w:rsidR="00C13C75">
        <w:rPr>
          <w:noProof/>
        </w:rPr>
        <w:t> </w:t>
      </w:r>
      <w:r w:rsidR="00C13C75" w:rsidRPr="00853D04">
        <w:rPr>
          <w:noProof/>
        </w:rPr>
        <w:t>szc</w:t>
      </w:r>
      <w:r w:rsidR="001E4FDC" w:rsidRPr="00853D04">
        <w:rPr>
          <w:noProof/>
        </w:rPr>
        <w:t>zególności dokumentów</w:t>
      </w:r>
      <w:r w:rsidR="00C13C75" w:rsidRPr="00853D04">
        <w:rPr>
          <w:noProof/>
        </w:rPr>
        <w:t xml:space="preserve"> i</w:t>
      </w:r>
      <w:r w:rsidR="00C13C75">
        <w:rPr>
          <w:noProof/>
        </w:rPr>
        <w:t> </w:t>
      </w:r>
      <w:r w:rsidR="00C13C75" w:rsidRPr="00853D04">
        <w:rPr>
          <w:noProof/>
        </w:rPr>
        <w:t>inf</w:t>
      </w:r>
      <w:r w:rsidR="001E4FDC" w:rsidRPr="00853D04">
        <w:rPr>
          <w:noProof/>
        </w:rPr>
        <w:t>ormacji wymaganych do złożenia wniosku</w:t>
      </w:r>
      <w:r w:rsidR="00C13C75" w:rsidRPr="00853D04">
        <w:rPr>
          <w:noProof/>
        </w:rPr>
        <w:t xml:space="preserve"> o</w:t>
      </w:r>
      <w:r w:rsidR="00C13C75">
        <w:rPr>
          <w:noProof/>
        </w:rPr>
        <w:t> </w:t>
      </w:r>
      <w:r w:rsidR="00C13C75" w:rsidRPr="00853D04">
        <w:rPr>
          <w:noProof/>
        </w:rPr>
        <w:t>rej</w:t>
      </w:r>
      <w:r w:rsidR="001E4FDC" w:rsidRPr="00853D04">
        <w:rPr>
          <w:noProof/>
        </w:rPr>
        <w:t>estrację europejskiego stowarzyszenia transgranicznego,</w:t>
      </w:r>
      <w:r w:rsidR="00C13C75" w:rsidRPr="00853D04">
        <w:rPr>
          <w:noProof/>
        </w:rPr>
        <w:t xml:space="preserve"> a</w:t>
      </w:r>
      <w:r w:rsidR="00C13C75">
        <w:rPr>
          <w:noProof/>
        </w:rPr>
        <w:t> </w:t>
      </w:r>
      <w:r w:rsidR="00C13C75" w:rsidRPr="00853D04">
        <w:rPr>
          <w:noProof/>
        </w:rPr>
        <w:t>tak</w:t>
      </w:r>
      <w:r w:rsidR="001E4FDC" w:rsidRPr="00853D04">
        <w:rPr>
          <w:noProof/>
        </w:rPr>
        <w:t xml:space="preserve">że kontroli, które należy przeprowadzić. </w:t>
      </w:r>
    </w:p>
    <w:p w14:paraId="64A67774" w14:textId="78EC8459" w:rsidR="001E4FDC" w:rsidRPr="00853D04" w:rsidRDefault="008D78F5" w:rsidP="008D78F5">
      <w:pPr>
        <w:pStyle w:val="ManualConsidrant"/>
        <w:rPr>
          <w:noProof/>
        </w:rPr>
      </w:pPr>
      <w:r w:rsidRPr="008D78F5">
        <w:t>(38)</w:t>
      </w:r>
      <w:r w:rsidRPr="008D78F5">
        <w:tab/>
      </w:r>
      <w:r w:rsidR="001E4FDC" w:rsidRPr="00853D04">
        <w:rPr>
          <w:noProof/>
        </w:rPr>
        <w:t>Państwa członkowskie powinny być uprawnione do wymagania od zarejestrowanego europejskiego stowarzyszenia transgranicznego złożenia oświadczenia, dostarczenia informacji, wystąpienia</w:t>
      </w:r>
      <w:r w:rsidR="00C13C75" w:rsidRPr="00853D04">
        <w:rPr>
          <w:noProof/>
        </w:rPr>
        <w:t xml:space="preserve"> z</w:t>
      </w:r>
      <w:r w:rsidR="00C13C75">
        <w:rPr>
          <w:noProof/>
        </w:rPr>
        <w:t> </w:t>
      </w:r>
      <w:r w:rsidR="00C13C75" w:rsidRPr="00853D04">
        <w:rPr>
          <w:noProof/>
        </w:rPr>
        <w:t>wni</w:t>
      </w:r>
      <w:r w:rsidR="001E4FDC" w:rsidRPr="00853D04">
        <w:rPr>
          <w:noProof/>
        </w:rPr>
        <w:t>oskiem</w:t>
      </w:r>
      <w:r w:rsidR="00C13C75" w:rsidRPr="00853D04">
        <w:rPr>
          <w:noProof/>
        </w:rPr>
        <w:t xml:space="preserve"> o</w:t>
      </w:r>
      <w:r w:rsidR="00C13C75">
        <w:rPr>
          <w:noProof/>
        </w:rPr>
        <w:t> </w:t>
      </w:r>
      <w:r w:rsidR="00C13C75" w:rsidRPr="00853D04">
        <w:rPr>
          <w:noProof/>
        </w:rPr>
        <w:t>zez</w:t>
      </w:r>
      <w:r w:rsidR="001E4FDC" w:rsidRPr="00853D04">
        <w:rPr>
          <w:noProof/>
        </w:rPr>
        <w:t>wolenie lub uzyskania takiego zezwolenia na prowadzenie określonej działalności tylko wtedy, gdy takie wymogi są (i) stosowane</w:t>
      </w:r>
      <w:r w:rsidR="00C13C75" w:rsidRPr="00853D04">
        <w:rPr>
          <w:noProof/>
        </w:rPr>
        <w:t xml:space="preserve"> w</w:t>
      </w:r>
      <w:r w:rsidR="00C13C75">
        <w:rPr>
          <w:noProof/>
        </w:rPr>
        <w:t> </w:t>
      </w:r>
      <w:r w:rsidR="00C13C75" w:rsidRPr="00853D04">
        <w:rPr>
          <w:noProof/>
        </w:rPr>
        <w:t>spo</w:t>
      </w:r>
      <w:r w:rsidR="001E4FDC" w:rsidRPr="00853D04">
        <w:rPr>
          <w:noProof/>
        </w:rPr>
        <w:t>sób ogólny</w:t>
      </w:r>
      <w:r w:rsidR="00C13C75" w:rsidRPr="00853D04">
        <w:rPr>
          <w:noProof/>
        </w:rPr>
        <w:t xml:space="preserve"> i</w:t>
      </w:r>
      <w:r w:rsidR="00C13C75">
        <w:rPr>
          <w:noProof/>
        </w:rPr>
        <w:t> </w:t>
      </w:r>
      <w:r w:rsidR="00C13C75" w:rsidRPr="00853D04">
        <w:rPr>
          <w:noProof/>
        </w:rPr>
        <w:t>nie</w:t>
      </w:r>
      <w:r w:rsidR="001E4FDC" w:rsidRPr="00853D04">
        <w:rPr>
          <w:noProof/>
        </w:rPr>
        <w:t>dyskryminacyjny, (ii) przewidziane prawem, (iii) uzasadnione nadrzędnymi względami interesu publicznego, (iv) odpowiednie do zapewnienia osiągnięcia zamierzonego celu</w:t>
      </w:r>
      <w:r w:rsidR="00C13C75" w:rsidRPr="00853D04">
        <w:rPr>
          <w:noProof/>
        </w:rPr>
        <w:t xml:space="preserve"> i</w:t>
      </w:r>
      <w:r w:rsidR="00C13C75">
        <w:rPr>
          <w:noProof/>
        </w:rPr>
        <w:t> </w:t>
      </w:r>
      <w:r w:rsidR="00C13C75" w:rsidRPr="00853D04">
        <w:rPr>
          <w:noProof/>
        </w:rPr>
        <w:t>nie</w:t>
      </w:r>
      <w:r w:rsidR="001E4FDC" w:rsidRPr="00853D04">
        <w:rPr>
          <w:noProof/>
        </w:rPr>
        <w:t xml:space="preserve"> wykraczają poza to, co jest konieczne do jego osiągnięcia. Takie wymogi mogą być związane na przykład ze specyfiką niektórych sektorów takich jak opieka zdrowotna</w:t>
      </w:r>
      <w:r w:rsidR="00C13C75" w:rsidRPr="00853D04">
        <w:rPr>
          <w:noProof/>
        </w:rPr>
        <w:t>. W</w:t>
      </w:r>
      <w:r w:rsidR="00C13C75">
        <w:rPr>
          <w:noProof/>
        </w:rPr>
        <w:t> </w:t>
      </w:r>
      <w:r w:rsidR="00C13C75" w:rsidRPr="00853D04">
        <w:rPr>
          <w:noProof/>
        </w:rPr>
        <w:t>prz</w:t>
      </w:r>
      <w:r w:rsidR="001E4FDC" w:rsidRPr="00853D04">
        <w:rPr>
          <w:noProof/>
        </w:rPr>
        <w:t>ypadku gdy państwa członkowskie przewidują takie dodatkowe procedury, informacje te powinny być podawane do wiadomości publicznej, aby zapewnić europejskiemu stowarzyszeniu transgranicznemu możliwość spełnienia tych wymogów.</w:t>
      </w:r>
    </w:p>
    <w:p w14:paraId="614195D9" w14:textId="310A730D" w:rsidR="001E4FDC" w:rsidRPr="00853D04" w:rsidRDefault="008D78F5" w:rsidP="008D78F5">
      <w:pPr>
        <w:pStyle w:val="ManualConsidrant"/>
        <w:rPr>
          <w:noProof/>
        </w:rPr>
      </w:pPr>
      <w:r w:rsidRPr="008D78F5">
        <w:t>(39)</w:t>
      </w:r>
      <w:r w:rsidRPr="008D78F5">
        <w:tab/>
      </w:r>
      <w:r w:rsidR="001E4FDC" w:rsidRPr="00853D04">
        <w:rPr>
          <w:noProof/>
        </w:rPr>
        <w:t>Aby zapobiec oszustwom, ważne jest, aby państwa członkowskie weryfikowały tożsamość członków założycieli</w:t>
      </w:r>
      <w:r w:rsidR="00C13C75" w:rsidRPr="00853D04">
        <w:rPr>
          <w:noProof/>
        </w:rPr>
        <w:t xml:space="preserve"> i</w:t>
      </w:r>
      <w:r w:rsidR="00C13C75">
        <w:rPr>
          <w:noProof/>
        </w:rPr>
        <w:t> </w:t>
      </w:r>
      <w:r w:rsidR="00C13C75" w:rsidRPr="00853D04">
        <w:rPr>
          <w:noProof/>
        </w:rPr>
        <w:t>prz</w:t>
      </w:r>
      <w:r w:rsidR="001E4FDC" w:rsidRPr="00853D04">
        <w:rPr>
          <w:noProof/>
        </w:rPr>
        <w:t>edstawicieli prawnych europejskiego stowarzyszenia transgranicznego. Weryfikacja tożsamości jest szczególnie istotna, jeżeli wniosek</w:t>
      </w:r>
      <w:r w:rsidR="00C13C75" w:rsidRPr="00853D04">
        <w:rPr>
          <w:noProof/>
        </w:rPr>
        <w:t xml:space="preserve"> o</w:t>
      </w:r>
      <w:r w:rsidR="00C13C75">
        <w:rPr>
          <w:noProof/>
        </w:rPr>
        <w:t> </w:t>
      </w:r>
      <w:r w:rsidR="00C13C75" w:rsidRPr="00853D04">
        <w:rPr>
          <w:noProof/>
        </w:rPr>
        <w:t>rej</w:t>
      </w:r>
      <w:r w:rsidR="001E4FDC" w:rsidRPr="00853D04">
        <w:rPr>
          <w:noProof/>
        </w:rPr>
        <w:t>estrację jest składany drogą elektroniczną. Ze względu na różnorodność praktyk</w:t>
      </w:r>
      <w:r w:rsidR="00C13C75" w:rsidRPr="00853D04">
        <w:rPr>
          <w:noProof/>
        </w:rPr>
        <w:t xml:space="preserve"> w</w:t>
      </w:r>
      <w:r w:rsidR="00C13C75">
        <w:rPr>
          <w:noProof/>
        </w:rPr>
        <w:t> </w:t>
      </w:r>
      <w:r w:rsidR="00C13C75" w:rsidRPr="00853D04">
        <w:rPr>
          <w:noProof/>
        </w:rPr>
        <w:t>pań</w:t>
      </w:r>
      <w:r w:rsidR="001E4FDC" w:rsidRPr="00853D04">
        <w:rPr>
          <w:noProof/>
        </w:rPr>
        <w:t>stwach członkowskich konkretne metody weryfikacji tożsamości powinny pozostać</w:t>
      </w:r>
      <w:r w:rsidR="00C13C75" w:rsidRPr="00853D04">
        <w:rPr>
          <w:noProof/>
        </w:rPr>
        <w:t xml:space="preserve"> w</w:t>
      </w:r>
      <w:r w:rsidR="00C13C75">
        <w:rPr>
          <w:noProof/>
        </w:rPr>
        <w:t> </w:t>
      </w:r>
      <w:r w:rsidR="00C13C75" w:rsidRPr="00853D04">
        <w:rPr>
          <w:noProof/>
        </w:rPr>
        <w:t>ges</w:t>
      </w:r>
      <w:r w:rsidR="001E4FDC" w:rsidRPr="00853D04">
        <w:rPr>
          <w:noProof/>
        </w:rPr>
        <w:t xml:space="preserve">tii danego państwa członkowskiego. </w:t>
      </w:r>
    </w:p>
    <w:p w14:paraId="2C1E9793" w14:textId="3A06C6EE" w:rsidR="001E4FDC" w:rsidRPr="00853D04" w:rsidRDefault="008D78F5" w:rsidP="008D78F5">
      <w:pPr>
        <w:pStyle w:val="ManualConsidrant"/>
        <w:rPr>
          <w:noProof/>
        </w:rPr>
      </w:pPr>
      <w:r w:rsidRPr="008D78F5">
        <w:t>(40)</w:t>
      </w:r>
      <w:r w:rsidRPr="008D78F5">
        <w:tab/>
      </w:r>
      <w:r w:rsidR="003433AC" w:rsidRPr="00853D04">
        <w:rPr>
          <w:noProof/>
        </w:rPr>
        <w:t>W kontekście poszanowania swobody przedsiębiorczości</w:t>
      </w:r>
      <w:r w:rsidR="00C13C75" w:rsidRPr="00853D04">
        <w:rPr>
          <w:noProof/>
        </w:rPr>
        <w:t xml:space="preserve"> i</w:t>
      </w:r>
      <w:r w:rsidR="00C13C75">
        <w:rPr>
          <w:noProof/>
        </w:rPr>
        <w:t> </w:t>
      </w:r>
      <w:r w:rsidR="00C13C75" w:rsidRPr="00853D04">
        <w:rPr>
          <w:noProof/>
        </w:rPr>
        <w:t>zrz</w:t>
      </w:r>
      <w:r w:rsidR="003433AC" w:rsidRPr="00853D04">
        <w:rPr>
          <w:noProof/>
        </w:rPr>
        <w:t>eszania się należy odmówić rejestracji europejskiego stowarzyszenia transgranicznego</w:t>
      </w:r>
      <w:r w:rsidR="00C13C75" w:rsidRPr="00853D04">
        <w:rPr>
          <w:noProof/>
        </w:rPr>
        <w:t xml:space="preserve"> w</w:t>
      </w:r>
      <w:r w:rsidR="00C13C75">
        <w:rPr>
          <w:noProof/>
        </w:rPr>
        <w:t> </w:t>
      </w:r>
      <w:r w:rsidR="00C13C75" w:rsidRPr="00853D04">
        <w:rPr>
          <w:noProof/>
        </w:rPr>
        <w:t>prz</w:t>
      </w:r>
      <w:r w:rsidR="003433AC" w:rsidRPr="00853D04">
        <w:rPr>
          <w:noProof/>
        </w:rPr>
        <w:t>ypadku niespełnienia formalnych wymogów rejestracji określonych</w:t>
      </w:r>
      <w:r w:rsidR="00C13C75" w:rsidRPr="00853D04">
        <w:rPr>
          <w:noProof/>
        </w:rPr>
        <w:t xml:space="preserve"> w</w:t>
      </w:r>
      <w:r w:rsidR="00C13C75">
        <w:rPr>
          <w:noProof/>
        </w:rPr>
        <w:t> </w:t>
      </w:r>
      <w:r w:rsidR="00C13C75" w:rsidRPr="00853D04">
        <w:rPr>
          <w:noProof/>
        </w:rPr>
        <w:t>nin</w:t>
      </w:r>
      <w:r w:rsidR="003433AC" w:rsidRPr="00853D04">
        <w:rPr>
          <w:noProof/>
        </w:rPr>
        <w:t>iejszej dyrektywie, jeżeli wniosek nie jest kompletny lub jeżeli cele opisane</w:t>
      </w:r>
      <w:r w:rsidR="00C13C75" w:rsidRPr="00853D04">
        <w:rPr>
          <w:noProof/>
        </w:rPr>
        <w:t xml:space="preserve"> w</w:t>
      </w:r>
      <w:r w:rsidR="00C13C75">
        <w:rPr>
          <w:noProof/>
        </w:rPr>
        <w:t> </w:t>
      </w:r>
      <w:r w:rsidR="00C13C75" w:rsidRPr="00853D04">
        <w:rPr>
          <w:noProof/>
        </w:rPr>
        <w:t>sta</w:t>
      </w:r>
      <w:r w:rsidR="003433AC" w:rsidRPr="00853D04">
        <w:rPr>
          <w:noProof/>
        </w:rPr>
        <w:t>tucie są sprzeczne</w:t>
      </w:r>
      <w:r w:rsidR="00C13C75" w:rsidRPr="00853D04">
        <w:rPr>
          <w:noProof/>
        </w:rPr>
        <w:t xml:space="preserve"> z</w:t>
      </w:r>
      <w:r w:rsidR="00C13C75">
        <w:rPr>
          <w:noProof/>
        </w:rPr>
        <w:t> </w:t>
      </w:r>
      <w:r w:rsidR="00C13C75" w:rsidRPr="00853D04">
        <w:rPr>
          <w:noProof/>
        </w:rPr>
        <w:t>pra</w:t>
      </w:r>
      <w:r w:rsidR="003433AC" w:rsidRPr="00853D04">
        <w:rPr>
          <w:noProof/>
        </w:rPr>
        <w:t>wem Unii lub prawem krajowym zgodnym</w:t>
      </w:r>
      <w:r w:rsidR="00C13C75" w:rsidRPr="00853D04">
        <w:rPr>
          <w:noProof/>
        </w:rPr>
        <w:t xml:space="preserve"> z</w:t>
      </w:r>
      <w:r w:rsidR="00C13C75">
        <w:rPr>
          <w:noProof/>
        </w:rPr>
        <w:t> </w:t>
      </w:r>
      <w:r w:rsidR="00C13C75" w:rsidRPr="00853D04">
        <w:rPr>
          <w:noProof/>
        </w:rPr>
        <w:t>pra</w:t>
      </w:r>
      <w:r w:rsidR="003433AC" w:rsidRPr="00853D04">
        <w:rPr>
          <w:noProof/>
        </w:rPr>
        <w:t>wem Unii. Rejestrację należy ponadto odrzucić, jeżeli wniosek nie spełnia podstawowych wymogów określonych</w:t>
      </w:r>
      <w:r w:rsidR="00C13C75" w:rsidRPr="00853D04">
        <w:rPr>
          <w:noProof/>
        </w:rPr>
        <w:t xml:space="preserve"> w</w:t>
      </w:r>
      <w:r w:rsidR="00C13C75">
        <w:rPr>
          <w:noProof/>
        </w:rPr>
        <w:t> </w:t>
      </w:r>
      <w:r w:rsidR="00C13C75" w:rsidRPr="00853D04">
        <w:rPr>
          <w:noProof/>
        </w:rPr>
        <w:t>nin</w:t>
      </w:r>
      <w:r w:rsidR="003433AC" w:rsidRPr="00853D04">
        <w:rPr>
          <w:noProof/>
        </w:rPr>
        <w:t>iejszej dyrektywie</w:t>
      </w:r>
      <w:r w:rsidR="00C13C75" w:rsidRPr="00853D04">
        <w:rPr>
          <w:noProof/>
        </w:rPr>
        <w:t xml:space="preserve"> w</w:t>
      </w:r>
      <w:r w:rsidR="00C13C75">
        <w:rPr>
          <w:noProof/>
        </w:rPr>
        <w:t> </w:t>
      </w:r>
      <w:r w:rsidR="00C13C75" w:rsidRPr="00853D04">
        <w:rPr>
          <w:noProof/>
        </w:rPr>
        <w:t>odn</w:t>
      </w:r>
      <w:r w:rsidR="003433AC" w:rsidRPr="00853D04">
        <w:rPr>
          <w:noProof/>
        </w:rPr>
        <w:t>iesieniu do europejskiego stowarzyszenia transgranicznego, mianowicie niedochodowego celu, minimalnej liczby członków założycieli</w:t>
      </w:r>
      <w:r w:rsidR="00C13C75" w:rsidRPr="00853D04">
        <w:rPr>
          <w:noProof/>
        </w:rPr>
        <w:t xml:space="preserve"> i</w:t>
      </w:r>
      <w:r w:rsidR="00C13C75">
        <w:rPr>
          <w:noProof/>
        </w:rPr>
        <w:t> </w:t>
      </w:r>
      <w:r w:rsidR="00C13C75" w:rsidRPr="00853D04">
        <w:rPr>
          <w:noProof/>
        </w:rPr>
        <w:t>ele</w:t>
      </w:r>
      <w:r w:rsidR="003433AC" w:rsidRPr="00853D04">
        <w:rPr>
          <w:noProof/>
        </w:rPr>
        <w:t>mentu transgranicznego pod względem działalności w co najmniej dwóch państwach członkowskich oraz członków założycieli powiązanych z co najmniej dwoma państwami członkowskimi. Wszelkie odmowy rejestracji europejskiego stowarzyszenia transgranicznego powinny być sporządzone na piśmie</w:t>
      </w:r>
      <w:r w:rsidR="00C13C75" w:rsidRPr="00853D04">
        <w:rPr>
          <w:noProof/>
        </w:rPr>
        <w:t xml:space="preserve"> i</w:t>
      </w:r>
      <w:r w:rsidR="00C13C75">
        <w:rPr>
          <w:noProof/>
        </w:rPr>
        <w:t> </w:t>
      </w:r>
      <w:r w:rsidR="00C13C75" w:rsidRPr="00853D04">
        <w:rPr>
          <w:noProof/>
        </w:rPr>
        <w:t>nal</w:t>
      </w:r>
      <w:r w:rsidR="003433AC" w:rsidRPr="00853D04">
        <w:rPr>
          <w:noProof/>
        </w:rPr>
        <w:t xml:space="preserve">eżycie uzasadnione przez właściwy organ. </w:t>
      </w:r>
    </w:p>
    <w:p w14:paraId="2CA9B1E7" w14:textId="1592C11A" w:rsidR="001E4FDC" w:rsidRPr="00853D04" w:rsidRDefault="008D78F5" w:rsidP="008D78F5">
      <w:pPr>
        <w:pStyle w:val="ManualConsidrant"/>
        <w:rPr>
          <w:noProof/>
        </w:rPr>
      </w:pPr>
      <w:r w:rsidRPr="008D78F5">
        <w:t>(41)</w:t>
      </w:r>
      <w:r w:rsidRPr="008D78F5">
        <w:tab/>
      </w:r>
      <w:r w:rsidR="001E4FDC" w:rsidRPr="00853D04">
        <w:rPr>
          <w:noProof/>
        </w:rPr>
        <w:t>Państwa członkowskie powinny być zobowiązane do ustanowienia rejestru do celów rejestracji oraz prowadzenia</w:t>
      </w:r>
      <w:r w:rsidR="00C13C75" w:rsidRPr="00853D04">
        <w:rPr>
          <w:noProof/>
        </w:rPr>
        <w:t xml:space="preserve"> i</w:t>
      </w:r>
      <w:r w:rsidR="00C13C75">
        <w:rPr>
          <w:noProof/>
        </w:rPr>
        <w:t> </w:t>
      </w:r>
      <w:r w:rsidR="00C13C75" w:rsidRPr="00853D04">
        <w:rPr>
          <w:noProof/>
        </w:rPr>
        <w:t>pub</w:t>
      </w:r>
      <w:r w:rsidR="001E4FDC" w:rsidRPr="00853D04">
        <w:rPr>
          <w:noProof/>
        </w:rPr>
        <w:t>likowania informacji dotyczących europejskich stowarzyszeń transgranicznych. Rejestr ten powinien zawierać informacje dotyczące europejskich stowarzyszeń transgranicznych</w:t>
      </w:r>
      <w:r w:rsidR="00C13C75" w:rsidRPr="00853D04">
        <w:rPr>
          <w:noProof/>
        </w:rPr>
        <w:t xml:space="preserve"> i</w:t>
      </w:r>
      <w:r w:rsidR="00C13C75">
        <w:rPr>
          <w:noProof/>
        </w:rPr>
        <w:t> </w:t>
      </w:r>
      <w:r w:rsidR="00C13C75" w:rsidRPr="00853D04">
        <w:rPr>
          <w:noProof/>
        </w:rPr>
        <w:t>prz</w:t>
      </w:r>
      <w:r w:rsidR="001E4FDC" w:rsidRPr="00853D04">
        <w:rPr>
          <w:noProof/>
        </w:rPr>
        <w:t>edłożonych dokumentów. Ponieważ informacje przechowywane</w:t>
      </w:r>
      <w:r w:rsidR="00C13C75" w:rsidRPr="00853D04">
        <w:rPr>
          <w:noProof/>
        </w:rPr>
        <w:t xml:space="preserve"> w</w:t>
      </w:r>
      <w:r w:rsidR="00C13C75">
        <w:rPr>
          <w:noProof/>
        </w:rPr>
        <w:t> </w:t>
      </w:r>
      <w:r w:rsidR="00C13C75" w:rsidRPr="00853D04">
        <w:rPr>
          <w:noProof/>
        </w:rPr>
        <w:t>rej</w:t>
      </w:r>
      <w:r w:rsidR="001E4FDC" w:rsidRPr="00853D04">
        <w:rPr>
          <w:noProof/>
        </w:rPr>
        <w:t>estrze mogą ulec dezaktualizacji, państwa członkowskie powinny zapewnić, aby europejskie stowarzyszenie transgraniczne powiadamiało właściwy organ</w:t>
      </w:r>
      <w:r w:rsidR="00C13C75" w:rsidRPr="00853D04">
        <w:rPr>
          <w:noProof/>
        </w:rPr>
        <w:t xml:space="preserve"> o</w:t>
      </w:r>
      <w:r w:rsidR="00C13C75">
        <w:rPr>
          <w:noProof/>
        </w:rPr>
        <w:t> </w:t>
      </w:r>
      <w:r w:rsidR="00C13C75" w:rsidRPr="00853D04">
        <w:rPr>
          <w:noProof/>
        </w:rPr>
        <w:t>wsz</w:t>
      </w:r>
      <w:r w:rsidR="001E4FDC" w:rsidRPr="00853D04">
        <w:rPr>
          <w:noProof/>
        </w:rPr>
        <w:t>elkich zmianach informacji dotyczących europejskich stowarzyszeń transgranicznych oraz aby informacje przechowywane</w:t>
      </w:r>
      <w:r w:rsidR="00C13C75" w:rsidRPr="00853D04">
        <w:rPr>
          <w:noProof/>
        </w:rPr>
        <w:t xml:space="preserve"> w</w:t>
      </w:r>
      <w:r w:rsidR="00C13C75">
        <w:rPr>
          <w:noProof/>
        </w:rPr>
        <w:t> </w:t>
      </w:r>
      <w:r w:rsidR="00C13C75" w:rsidRPr="00853D04">
        <w:rPr>
          <w:noProof/>
        </w:rPr>
        <w:t>rej</w:t>
      </w:r>
      <w:r w:rsidR="001E4FDC" w:rsidRPr="00853D04">
        <w:rPr>
          <w:noProof/>
        </w:rPr>
        <w:t>estrze były aktualizowane. Państwa członkowskie powinny mieć możliwość korzystania</w:t>
      </w:r>
      <w:r w:rsidR="00C13C75" w:rsidRPr="00853D04">
        <w:rPr>
          <w:noProof/>
        </w:rPr>
        <w:t xml:space="preserve"> z</w:t>
      </w:r>
      <w:r w:rsidR="00C13C75">
        <w:rPr>
          <w:noProof/>
        </w:rPr>
        <w:t> </w:t>
      </w:r>
      <w:r w:rsidR="00C13C75" w:rsidRPr="00853D04">
        <w:rPr>
          <w:noProof/>
        </w:rPr>
        <w:t>ist</w:t>
      </w:r>
      <w:r w:rsidR="001E4FDC" w:rsidRPr="00853D04">
        <w:rPr>
          <w:noProof/>
        </w:rPr>
        <w:t>niejących rejestrów krajowych do celów niniejszej dyrektywy</w:t>
      </w:r>
      <w:r w:rsidR="00C13C75" w:rsidRPr="00853D04">
        <w:rPr>
          <w:noProof/>
        </w:rPr>
        <w:t>. W</w:t>
      </w:r>
      <w:r w:rsidR="00C13C75">
        <w:rPr>
          <w:noProof/>
        </w:rPr>
        <w:t> </w:t>
      </w:r>
      <w:r w:rsidR="00C13C75" w:rsidRPr="00853D04">
        <w:rPr>
          <w:noProof/>
        </w:rPr>
        <w:t>cel</w:t>
      </w:r>
      <w:r w:rsidR="001E4FDC" w:rsidRPr="00853D04">
        <w:rPr>
          <w:noProof/>
        </w:rPr>
        <w:t>u zapewnienia przejrzystości, zwłaszcza dla członków europejskiego stowarzyszenia transgranicznego</w:t>
      </w:r>
      <w:r w:rsidR="00C13C75" w:rsidRPr="00853D04">
        <w:rPr>
          <w:noProof/>
        </w:rPr>
        <w:t xml:space="preserve"> i</w:t>
      </w:r>
      <w:r w:rsidR="00C13C75">
        <w:rPr>
          <w:noProof/>
        </w:rPr>
        <w:t> </w:t>
      </w:r>
      <w:r w:rsidR="00C13C75" w:rsidRPr="00853D04">
        <w:rPr>
          <w:noProof/>
        </w:rPr>
        <w:t>jeg</w:t>
      </w:r>
      <w:r w:rsidR="001E4FDC" w:rsidRPr="00853D04">
        <w:rPr>
          <w:noProof/>
        </w:rPr>
        <w:t>o wierzycieli,</w:t>
      </w:r>
      <w:r w:rsidR="00C13C75" w:rsidRPr="00853D04">
        <w:rPr>
          <w:noProof/>
        </w:rPr>
        <w:t xml:space="preserve"> w</w:t>
      </w:r>
      <w:r w:rsidR="00C13C75">
        <w:rPr>
          <w:noProof/>
        </w:rPr>
        <w:t> </w:t>
      </w:r>
      <w:r w:rsidR="00C13C75" w:rsidRPr="00853D04">
        <w:rPr>
          <w:noProof/>
        </w:rPr>
        <w:t>sto</w:t>
      </w:r>
      <w:r w:rsidR="001E4FDC" w:rsidRPr="00853D04">
        <w:rPr>
          <w:noProof/>
        </w:rPr>
        <w:t>sownych przypadkach certyfikat, likwidacja</w:t>
      </w:r>
      <w:r w:rsidR="00C13C75" w:rsidRPr="00853D04">
        <w:rPr>
          <w:noProof/>
        </w:rPr>
        <w:t xml:space="preserve"> i</w:t>
      </w:r>
      <w:r w:rsidR="00C13C75">
        <w:rPr>
          <w:noProof/>
        </w:rPr>
        <w:t> </w:t>
      </w:r>
      <w:r w:rsidR="00C13C75" w:rsidRPr="00853D04">
        <w:rPr>
          <w:noProof/>
        </w:rPr>
        <w:t>roz</w:t>
      </w:r>
      <w:r w:rsidR="001E4FDC" w:rsidRPr="00853D04">
        <w:rPr>
          <w:noProof/>
        </w:rPr>
        <w:t>wiązanie europejskiego stowarzyszenia transgranicznego są informacjami, które powinny być podawane do wiadomości publicznej przez okres nie dłuższy niż sześć miesięcy po rozwiązaniu europejskiego stowarzyszenia transgranicznego. Rozwiązania interoperacyjne opracowane</w:t>
      </w:r>
      <w:r w:rsidR="00C13C75" w:rsidRPr="00853D04">
        <w:rPr>
          <w:noProof/>
        </w:rPr>
        <w:t xml:space="preserve"> w</w:t>
      </w:r>
      <w:r w:rsidR="00C13C75">
        <w:rPr>
          <w:noProof/>
        </w:rPr>
        <w:t> </w:t>
      </w:r>
      <w:r w:rsidR="00C13C75" w:rsidRPr="00853D04">
        <w:rPr>
          <w:noProof/>
        </w:rPr>
        <w:t>ram</w:t>
      </w:r>
      <w:r w:rsidR="001E4FDC" w:rsidRPr="00853D04">
        <w:rPr>
          <w:noProof/>
        </w:rPr>
        <w:t>ach wdrażania wniosku dotyczącego rozporządzenia Parlamentu Europejskiego</w:t>
      </w:r>
      <w:r w:rsidR="00C13C75" w:rsidRPr="00853D04">
        <w:rPr>
          <w:noProof/>
        </w:rPr>
        <w:t xml:space="preserve"> i</w:t>
      </w:r>
      <w:r w:rsidR="00C13C75">
        <w:rPr>
          <w:noProof/>
        </w:rPr>
        <w:t> </w:t>
      </w:r>
      <w:r w:rsidR="00C13C75" w:rsidRPr="00853D04">
        <w:rPr>
          <w:noProof/>
        </w:rPr>
        <w:t>Rad</w:t>
      </w:r>
      <w:r w:rsidR="001E4FDC" w:rsidRPr="00853D04">
        <w:rPr>
          <w:noProof/>
        </w:rPr>
        <w:t>y ustanawiającego środki na rzecz zapewnienia wysokiego poziomu interoperacyjności sektora publicznego</w:t>
      </w:r>
      <w:r w:rsidR="00C13C75" w:rsidRPr="00853D04">
        <w:rPr>
          <w:noProof/>
        </w:rPr>
        <w:t xml:space="preserve"> w</w:t>
      </w:r>
      <w:r w:rsidR="00C13C75">
        <w:rPr>
          <w:noProof/>
        </w:rPr>
        <w:t> </w:t>
      </w:r>
      <w:r w:rsidR="00C13C75" w:rsidRPr="00853D04">
        <w:rPr>
          <w:noProof/>
        </w:rPr>
        <w:t>cał</w:t>
      </w:r>
      <w:r w:rsidR="001E4FDC" w:rsidRPr="00853D04">
        <w:rPr>
          <w:noProof/>
        </w:rPr>
        <w:t>ej Unii</w:t>
      </w:r>
      <w:r w:rsidR="001E4FDC" w:rsidRPr="00853D04">
        <w:rPr>
          <w:rStyle w:val="FootnoteReference"/>
          <w:noProof/>
        </w:rPr>
        <w:footnoteReference w:id="43"/>
      </w:r>
      <w:r w:rsidR="001E4FDC" w:rsidRPr="00853D04">
        <w:rPr>
          <w:noProof/>
        </w:rPr>
        <w:t xml:space="preserve"> mogą dodatkowo wspierać państwa członkowskie</w:t>
      </w:r>
      <w:r w:rsidR="00C13C75" w:rsidRPr="00853D04">
        <w:rPr>
          <w:noProof/>
        </w:rPr>
        <w:t xml:space="preserve"> w</w:t>
      </w:r>
      <w:r w:rsidR="00C13C75">
        <w:rPr>
          <w:noProof/>
        </w:rPr>
        <w:t> </w:t>
      </w:r>
      <w:r w:rsidR="00C13C75" w:rsidRPr="00853D04">
        <w:rPr>
          <w:noProof/>
        </w:rPr>
        <w:t>dąż</w:t>
      </w:r>
      <w:r w:rsidR="001E4FDC" w:rsidRPr="00853D04">
        <w:rPr>
          <w:noProof/>
        </w:rPr>
        <w:t>eniu do transgranicznej interoperacyjności ich rejestrów. Aby zapewnić dostępność informacji</w:t>
      </w:r>
      <w:r w:rsidR="00C13C75" w:rsidRPr="00853D04">
        <w:rPr>
          <w:noProof/>
        </w:rPr>
        <w:t xml:space="preserve"> o</w:t>
      </w:r>
      <w:r w:rsidR="00C13C75">
        <w:rPr>
          <w:noProof/>
        </w:rPr>
        <w:t> </w:t>
      </w:r>
      <w:r w:rsidR="00C13C75" w:rsidRPr="00853D04">
        <w:rPr>
          <w:noProof/>
        </w:rPr>
        <w:t>ist</w:t>
      </w:r>
      <w:r w:rsidR="001E4FDC" w:rsidRPr="00853D04">
        <w:rPr>
          <w:noProof/>
        </w:rPr>
        <w:t>nieniu europejskiego stowarzyszenia transgranicznego nawet po jego rozwiązaniu, wszystkie dane zatrzymywane</w:t>
      </w:r>
      <w:r w:rsidR="00C13C75" w:rsidRPr="00853D04">
        <w:rPr>
          <w:noProof/>
        </w:rPr>
        <w:t xml:space="preserve"> i</w:t>
      </w:r>
      <w:r w:rsidR="00C13C75">
        <w:rPr>
          <w:noProof/>
        </w:rPr>
        <w:t> </w:t>
      </w:r>
      <w:r w:rsidR="00C13C75" w:rsidRPr="00853D04">
        <w:rPr>
          <w:noProof/>
        </w:rPr>
        <w:t>prz</w:t>
      </w:r>
      <w:r w:rsidR="001E4FDC" w:rsidRPr="00853D04">
        <w:rPr>
          <w:noProof/>
        </w:rPr>
        <w:t>echowywane</w:t>
      </w:r>
      <w:r w:rsidR="00C13C75" w:rsidRPr="00853D04">
        <w:rPr>
          <w:noProof/>
        </w:rPr>
        <w:t xml:space="preserve"> w</w:t>
      </w:r>
      <w:r w:rsidR="00C13C75">
        <w:rPr>
          <w:noProof/>
        </w:rPr>
        <w:t> </w:t>
      </w:r>
      <w:r w:rsidR="00C13C75" w:rsidRPr="00853D04">
        <w:rPr>
          <w:noProof/>
        </w:rPr>
        <w:t>rej</w:t>
      </w:r>
      <w:r w:rsidR="001E4FDC" w:rsidRPr="00853D04">
        <w:rPr>
          <w:noProof/>
        </w:rPr>
        <w:t xml:space="preserve">estrze powinny być przechowywane przez dwa lata po rozwiązaniu. </w:t>
      </w:r>
    </w:p>
    <w:p w14:paraId="051ABA0C" w14:textId="28D885D3" w:rsidR="001E4FDC" w:rsidRPr="00853D04" w:rsidRDefault="008D78F5" w:rsidP="008D78F5">
      <w:pPr>
        <w:pStyle w:val="ManualConsidrant"/>
        <w:rPr>
          <w:noProof/>
        </w:rPr>
      </w:pPr>
      <w:r w:rsidRPr="008D78F5">
        <w:t>(42)</w:t>
      </w:r>
      <w:r w:rsidRPr="008D78F5">
        <w:tab/>
      </w:r>
      <w:r w:rsidR="001E4FDC" w:rsidRPr="00853D04">
        <w:rPr>
          <w:noProof/>
        </w:rPr>
        <w:t>Rozporządzenia Parlamentu Europejskiego</w:t>
      </w:r>
      <w:r w:rsidR="00C13C75" w:rsidRPr="00853D04">
        <w:rPr>
          <w:noProof/>
        </w:rPr>
        <w:t xml:space="preserve"> i</w:t>
      </w:r>
      <w:r w:rsidR="00C13C75">
        <w:rPr>
          <w:noProof/>
        </w:rPr>
        <w:t> </w:t>
      </w:r>
      <w:r w:rsidR="00C13C75" w:rsidRPr="00853D04">
        <w:rPr>
          <w:noProof/>
        </w:rPr>
        <w:t>Rad</w:t>
      </w:r>
      <w:r w:rsidR="001E4FDC" w:rsidRPr="00853D04">
        <w:rPr>
          <w:noProof/>
        </w:rPr>
        <w:t>y (UE) 2016/679</w:t>
      </w:r>
      <w:r w:rsidR="001E4FDC" w:rsidRPr="00853D04">
        <w:rPr>
          <w:rStyle w:val="FootnoteReference"/>
          <w:noProof/>
        </w:rPr>
        <w:footnoteReference w:id="44"/>
      </w:r>
      <w:r w:rsidR="001E4FDC" w:rsidRPr="00853D04">
        <w:rPr>
          <w:noProof/>
        </w:rPr>
        <w:t xml:space="preserve"> i (UE) 2018/1725</w:t>
      </w:r>
      <w:r w:rsidR="001E4FDC" w:rsidRPr="00853D04">
        <w:rPr>
          <w:rStyle w:val="FootnoteReference"/>
          <w:noProof/>
        </w:rPr>
        <w:footnoteReference w:id="45"/>
      </w:r>
      <w:r w:rsidR="001E4FDC" w:rsidRPr="00853D04">
        <w:rPr>
          <w:noProof/>
        </w:rPr>
        <w:t xml:space="preserve"> mają zastosowanie do przetwarzania danych osobowych prowadzonego</w:t>
      </w:r>
      <w:r w:rsidR="00C13C75" w:rsidRPr="00853D04">
        <w:rPr>
          <w:noProof/>
        </w:rPr>
        <w:t xml:space="preserve"> w</w:t>
      </w:r>
      <w:r w:rsidR="00C13C75">
        <w:rPr>
          <w:noProof/>
        </w:rPr>
        <w:t> </w:t>
      </w:r>
      <w:r w:rsidR="00C13C75" w:rsidRPr="00853D04">
        <w:rPr>
          <w:noProof/>
        </w:rPr>
        <w:t>ram</w:t>
      </w:r>
      <w:r w:rsidR="001E4FDC" w:rsidRPr="00853D04">
        <w:rPr>
          <w:noProof/>
        </w:rPr>
        <w:t>ach niniejszej dyrektywy,</w:t>
      </w:r>
      <w:r w:rsidR="00C13C75" w:rsidRPr="00853D04">
        <w:rPr>
          <w:noProof/>
        </w:rPr>
        <w:t xml:space="preserve"> w</w:t>
      </w:r>
      <w:r w:rsidR="00C13C75">
        <w:rPr>
          <w:noProof/>
        </w:rPr>
        <w:t> </w:t>
      </w:r>
      <w:r w:rsidR="00C13C75" w:rsidRPr="00853D04">
        <w:rPr>
          <w:noProof/>
        </w:rPr>
        <w:t>tym</w:t>
      </w:r>
      <w:r w:rsidR="001E4FDC" w:rsidRPr="00853D04">
        <w:rPr>
          <w:noProof/>
        </w:rPr>
        <w:t xml:space="preserve"> do przetwarzania danych osobowych</w:t>
      </w:r>
      <w:r w:rsidR="00C13C75" w:rsidRPr="00853D04">
        <w:rPr>
          <w:noProof/>
        </w:rPr>
        <w:t xml:space="preserve"> w</w:t>
      </w:r>
      <w:r w:rsidR="00C13C75">
        <w:rPr>
          <w:noProof/>
        </w:rPr>
        <w:t> </w:t>
      </w:r>
      <w:r w:rsidR="00C13C75" w:rsidRPr="00853D04">
        <w:rPr>
          <w:noProof/>
        </w:rPr>
        <w:t>cel</w:t>
      </w:r>
      <w:r w:rsidR="001E4FDC" w:rsidRPr="00853D04">
        <w:rPr>
          <w:noProof/>
        </w:rPr>
        <w:t>u prowadzenia krajowego rejestru lub rejestrów dotyczących europejskich stowarzyszeń transgranicznych</w:t>
      </w:r>
      <w:r w:rsidR="00C13C75" w:rsidRPr="00853D04">
        <w:rPr>
          <w:noProof/>
        </w:rPr>
        <w:t xml:space="preserve"> i</w:t>
      </w:r>
      <w:r w:rsidR="00C13C75">
        <w:rPr>
          <w:noProof/>
        </w:rPr>
        <w:t> </w:t>
      </w:r>
      <w:r w:rsidR="00C13C75" w:rsidRPr="00853D04">
        <w:rPr>
          <w:noProof/>
        </w:rPr>
        <w:t>ich</w:t>
      </w:r>
      <w:r w:rsidR="001E4FDC" w:rsidRPr="00853D04">
        <w:rPr>
          <w:noProof/>
        </w:rPr>
        <w:t xml:space="preserve"> przedstawicieli prawnych, dostępu do danych osobowych</w:t>
      </w:r>
      <w:r w:rsidR="00C13C75" w:rsidRPr="00853D04">
        <w:rPr>
          <w:noProof/>
        </w:rPr>
        <w:t xml:space="preserve"> w</w:t>
      </w:r>
      <w:r w:rsidR="00C13C75">
        <w:rPr>
          <w:noProof/>
        </w:rPr>
        <w:t> </w:t>
      </w:r>
      <w:r w:rsidR="00C13C75" w:rsidRPr="00853D04">
        <w:rPr>
          <w:noProof/>
        </w:rPr>
        <w:t>tak</w:t>
      </w:r>
      <w:r w:rsidR="001E4FDC" w:rsidRPr="00853D04">
        <w:rPr>
          <w:noProof/>
        </w:rPr>
        <w:t>ich rejestrach</w:t>
      </w:r>
      <w:r w:rsidR="00C13C75" w:rsidRPr="00853D04">
        <w:rPr>
          <w:noProof/>
        </w:rPr>
        <w:t xml:space="preserve"> i</w:t>
      </w:r>
      <w:r w:rsidR="00C13C75">
        <w:rPr>
          <w:noProof/>
        </w:rPr>
        <w:t> </w:t>
      </w:r>
      <w:r w:rsidR="00C13C75" w:rsidRPr="00853D04">
        <w:rPr>
          <w:noProof/>
        </w:rPr>
        <w:t>wym</w:t>
      </w:r>
      <w:r w:rsidR="001E4FDC" w:rsidRPr="00853D04">
        <w:rPr>
          <w:noProof/>
        </w:rPr>
        <w:t>iany danych osobowych</w:t>
      </w:r>
      <w:r w:rsidR="00C13C75" w:rsidRPr="00853D04">
        <w:rPr>
          <w:noProof/>
        </w:rPr>
        <w:t xml:space="preserve"> w</w:t>
      </w:r>
      <w:r w:rsidR="00C13C75">
        <w:rPr>
          <w:noProof/>
        </w:rPr>
        <w:t> </w:t>
      </w:r>
      <w:r w:rsidR="00C13C75" w:rsidRPr="00853D04">
        <w:rPr>
          <w:noProof/>
        </w:rPr>
        <w:t>kon</w:t>
      </w:r>
      <w:r w:rsidR="001E4FDC" w:rsidRPr="00853D04">
        <w:rPr>
          <w:noProof/>
        </w:rPr>
        <w:t>tekście współpracy administracyjnej</w:t>
      </w:r>
      <w:r w:rsidR="00C13C75" w:rsidRPr="00853D04">
        <w:rPr>
          <w:noProof/>
        </w:rPr>
        <w:t xml:space="preserve"> i</w:t>
      </w:r>
      <w:r w:rsidR="00C13C75">
        <w:rPr>
          <w:noProof/>
        </w:rPr>
        <w:t> </w:t>
      </w:r>
      <w:r w:rsidR="00C13C75" w:rsidRPr="00853D04">
        <w:rPr>
          <w:noProof/>
        </w:rPr>
        <w:t>wza</w:t>
      </w:r>
      <w:r w:rsidR="001E4FDC" w:rsidRPr="00853D04">
        <w:rPr>
          <w:noProof/>
        </w:rPr>
        <w:t>jemnej pomocy między państwami członkowskimi na mocy niniejszej dyrektywy,</w:t>
      </w:r>
      <w:r w:rsidR="00C13C75" w:rsidRPr="00853D04">
        <w:rPr>
          <w:noProof/>
        </w:rPr>
        <w:t xml:space="preserve"> w</w:t>
      </w:r>
      <w:r w:rsidR="00C13C75">
        <w:rPr>
          <w:noProof/>
        </w:rPr>
        <w:t> </w:t>
      </w:r>
      <w:r w:rsidR="00C13C75" w:rsidRPr="00853D04">
        <w:rPr>
          <w:noProof/>
        </w:rPr>
        <w:t>sto</w:t>
      </w:r>
      <w:r w:rsidR="001E4FDC" w:rsidRPr="00853D04">
        <w:rPr>
          <w:noProof/>
        </w:rPr>
        <w:t>sownych przypadkach za pośrednictwem systemu wymiany informacji na rynku wewnętrznym (IMI) ustanowionego rozporządzeniem Parlamentu Europejskiego</w:t>
      </w:r>
      <w:r w:rsidR="00C13C75" w:rsidRPr="00853D04">
        <w:rPr>
          <w:noProof/>
        </w:rPr>
        <w:t xml:space="preserve"> i</w:t>
      </w:r>
      <w:r w:rsidR="00C13C75">
        <w:rPr>
          <w:noProof/>
        </w:rPr>
        <w:t> </w:t>
      </w:r>
      <w:r w:rsidR="00C13C75" w:rsidRPr="00853D04">
        <w:rPr>
          <w:noProof/>
        </w:rPr>
        <w:t>Rad</w:t>
      </w:r>
      <w:r w:rsidR="001E4FDC" w:rsidRPr="00853D04">
        <w:rPr>
          <w:noProof/>
        </w:rPr>
        <w:t xml:space="preserve">y (UE) </w:t>
      </w:r>
      <w:r w:rsidR="001E4FDC" w:rsidRPr="00C13C75">
        <w:rPr>
          <w:noProof/>
        </w:rPr>
        <w:t>nr</w:t>
      </w:r>
      <w:r w:rsidR="00C13C75" w:rsidRPr="00C13C75">
        <w:rPr>
          <w:noProof/>
        </w:rPr>
        <w:t> </w:t>
      </w:r>
      <w:r w:rsidR="001E4FDC" w:rsidRPr="00C13C75">
        <w:rPr>
          <w:noProof/>
        </w:rPr>
        <w:t>1</w:t>
      </w:r>
      <w:r w:rsidR="001E4FDC" w:rsidRPr="00853D04">
        <w:rPr>
          <w:noProof/>
        </w:rPr>
        <w:t>024/2012</w:t>
      </w:r>
      <w:r w:rsidR="001E4FDC" w:rsidRPr="00853D04">
        <w:rPr>
          <w:rStyle w:val="FootnoteReference"/>
          <w:noProof/>
        </w:rPr>
        <w:footnoteReference w:id="46"/>
      </w:r>
      <w:r w:rsidR="001E4FDC" w:rsidRPr="00853D04">
        <w:rPr>
          <w:noProof/>
        </w:rPr>
        <w:t>,</w:t>
      </w:r>
      <w:r w:rsidR="00C13C75" w:rsidRPr="00853D04">
        <w:rPr>
          <w:noProof/>
        </w:rPr>
        <w:t xml:space="preserve"> a</w:t>
      </w:r>
      <w:r w:rsidR="00C13C75">
        <w:rPr>
          <w:noProof/>
        </w:rPr>
        <w:t> </w:t>
      </w:r>
      <w:r w:rsidR="00C13C75" w:rsidRPr="00853D04">
        <w:rPr>
          <w:noProof/>
        </w:rPr>
        <w:t>tak</w:t>
      </w:r>
      <w:r w:rsidR="001E4FDC" w:rsidRPr="00853D04">
        <w:rPr>
          <w:noProof/>
        </w:rPr>
        <w:t>że prowadzenia rejestrów zgodnie</w:t>
      </w:r>
      <w:r w:rsidR="00C13C75" w:rsidRPr="00853D04">
        <w:rPr>
          <w:noProof/>
        </w:rPr>
        <w:t xml:space="preserve"> z</w:t>
      </w:r>
      <w:r w:rsidR="00C13C75">
        <w:rPr>
          <w:noProof/>
        </w:rPr>
        <w:t> </w:t>
      </w:r>
      <w:r w:rsidR="00C13C75" w:rsidRPr="00853D04">
        <w:rPr>
          <w:noProof/>
        </w:rPr>
        <w:t>nin</w:t>
      </w:r>
      <w:r w:rsidR="001E4FDC" w:rsidRPr="00853D04">
        <w:rPr>
          <w:noProof/>
        </w:rPr>
        <w:t xml:space="preserve">iejszą dyrektywą. </w:t>
      </w:r>
    </w:p>
    <w:p w14:paraId="0591E894" w14:textId="7A62515E" w:rsidR="005208BC" w:rsidRPr="00853D04" w:rsidRDefault="008D78F5" w:rsidP="008D78F5">
      <w:pPr>
        <w:pStyle w:val="ManualConsidrant"/>
        <w:rPr>
          <w:noProof/>
        </w:rPr>
      </w:pPr>
      <w:r w:rsidRPr="008D78F5">
        <w:t>(43)</w:t>
      </w:r>
      <w:r w:rsidRPr="008D78F5">
        <w:tab/>
      </w:r>
      <w:r w:rsidR="001E4FDC" w:rsidRPr="00853D04">
        <w:rPr>
          <w:noProof/>
        </w:rPr>
        <w:t>Aby umożliwić europejskim stowarzyszeniom transgranicznym czerpanie pełnych korzyści</w:t>
      </w:r>
      <w:r w:rsidR="00C13C75" w:rsidRPr="00853D04">
        <w:rPr>
          <w:noProof/>
        </w:rPr>
        <w:t xml:space="preserve"> z</w:t>
      </w:r>
      <w:r w:rsidR="00C13C75">
        <w:rPr>
          <w:noProof/>
        </w:rPr>
        <w:t> </w:t>
      </w:r>
      <w:r w:rsidR="00C13C75" w:rsidRPr="00853D04">
        <w:rPr>
          <w:noProof/>
        </w:rPr>
        <w:t>ryn</w:t>
      </w:r>
      <w:r w:rsidR="001E4FDC" w:rsidRPr="00853D04">
        <w:rPr>
          <w:noProof/>
        </w:rPr>
        <w:t>ku wewnętrznego oraz biorąc pod uwagę, że prawa do mobilności są bezpośrednio związane</w:t>
      </w:r>
      <w:r w:rsidR="00C13C75" w:rsidRPr="00853D04">
        <w:rPr>
          <w:noProof/>
        </w:rPr>
        <w:t xml:space="preserve"> z</w:t>
      </w:r>
      <w:r w:rsidR="00C13C75">
        <w:rPr>
          <w:noProof/>
        </w:rPr>
        <w:t> </w:t>
      </w:r>
      <w:r w:rsidR="00C13C75" w:rsidRPr="00853D04">
        <w:rPr>
          <w:noProof/>
        </w:rPr>
        <w:t>fun</w:t>
      </w:r>
      <w:r w:rsidR="001E4FDC" w:rsidRPr="00853D04">
        <w:rPr>
          <w:noProof/>
        </w:rPr>
        <w:t>kcjonowaniem rynku wewnętrznego</w:t>
      </w:r>
      <w:r w:rsidR="00C13C75" w:rsidRPr="00853D04">
        <w:rPr>
          <w:noProof/>
        </w:rPr>
        <w:t xml:space="preserve"> i</w:t>
      </w:r>
      <w:r w:rsidR="00C13C75">
        <w:rPr>
          <w:noProof/>
        </w:rPr>
        <w:t> </w:t>
      </w:r>
      <w:r w:rsidR="00C13C75" w:rsidRPr="00853D04">
        <w:rPr>
          <w:noProof/>
        </w:rPr>
        <w:t>nie</w:t>
      </w:r>
      <w:r w:rsidR="001E4FDC" w:rsidRPr="00853D04">
        <w:rPr>
          <w:noProof/>
        </w:rPr>
        <w:t>zbędne do jego funkcjonowania, stowarzyszenia te powinny mieć możliwość przeniesienia siedziby statutowej</w:t>
      </w:r>
      <w:r w:rsidR="00C13C75" w:rsidRPr="00853D04">
        <w:rPr>
          <w:noProof/>
        </w:rPr>
        <w:t xml:space="preserve"> z</w:t>
      </w:r>
      <w:r w:rsidR="00C13C75">
        <w:rPr>
          <w:noProof/>
        </w:rPr>
        <w:t> </w:t>
      </w:r>
      <w:r w:rsidR="00C13C75" w:rsidRPr="00853D04">
        <w:rPr>
          <w:noProof/>
        </w:rPr>
        <w:t>jed</w:t>
      </w:r>
      <w:r w:rsidR="001E4FDC" w:rsidRPr="00853D04">
        <w:rPr>
          <w:noProof/>
        </w:rPr>
        <w:t>nego państwa członkowskiego do innego. Takie przeniesienie siedziby statutowej nie powinno skutkować rozwiązaniem europejskiego stowarzyszenia transgranicznego</w:t>
      </w:r>
      <w:r w:rsidR="00C13C75" w:rsidRPr="00853D04">
        <w:rPr>
          <w:noProof/>
        </w:rPr>
        <w:t xml:space="preserve"> w</w:t>
      </w:r>
      <w:r w:rsidR="00C13C75">
        <w:rPr>
          <w:noProof/>
        </w:rPr>
        <w:t> </w:t>
      </w:r>
      <w:r w:rsidR="00C13C75" w:rsidRPr="00853D04">
        <w:rPr>
          <w:noProof/>
        </w:rPr>
        <w:t>pań</w:t>
      </w:r>
      <w:r w:rsidR="001E4FDC" w:rsidRPr="00853D04">
        <w:rPr>
          <w:noProof/>
        </w:rPr>
        <w:t>stwie członkowskim pochodzenia ani utworzeniem nowego podmiotu prawnego</w:t>
      </w:r>
      <w:r w:rsidR="00C13C75" w:rsidRPr="00853D04">
        <w:rPr>
          <w:noProof/>
        </w:rPr>
        <w:t xml:space="preserve"> w</w:t>
      </w:r>
      <w:r w:rsidR="00C13C75">
        <w:rPr>
          <w:noProof/>
        </w:rPr>
        <w:t> </w:t>
      </w:r>
      <w:r w:rsidR="00C13C75" w:rsidRPr="00853D04">
        <w:rPr>
          <w:noProof/>
        </w:rPr>
        <w:t>now</w:t>
      </w:r>
      <w:r w:rsidR="001E4FDC" w:rsidRPr="00853D04">
        <w:rPr>
          <w:noProof/>
        </w:rPr>
        <w:t>ym państwie członkowskim pochodzenia ani wpływać na aktywa lub zobowiązania,</w:t>
      </w:r>
      <w:r w:rsidR="00C13C75" w:rsidRPr="00853D04">
        <w:rPr>
          <w:noProof/>
        </w:rPr>
        <w:t xml:space="preserve"> w</w:t>
      </w:r>
      <w:r w:rsidR="00C13C75">
        <w:rPr>
          <w:noProof/>
        </w:rPr>
        <w:t> </w:t>
      </w:r>
      <w:r w:rsidR="00C13C75" w:rsidRPr="00853D04">
        <w:rPr>
          <w:noProof/>
        </w:rPr>
        <w:t>tym</w:t>
      </w:r>
      <w:r w:rsidR="001E4FDC" w:rsidRPr="00853D04">
        <w:rPr>
          <w:noProof/>
        </w:rPr>
        <w:t xml:space="preserve"> postanowienia zawarte</w:t>
      </w:r>
      <w:r w:rsidR="00C13C75" w:rsidRPr="00853D04">
        <w:rPr>
          <w:noProof/>
        </w:rPr>
        <w:t xml:space="preserve"> w</w:t>
      </w:r>
      <w:r w:rsidR="00C13C75">
        <w:rPr>
          <w:noProof/>
        </w:rPr>
        <w:t> </w:t>
      </w:r>
      <w:r w:rsidR="00C13C75" w:rsidRPr="00853D04">
        <w:rPr>
          <w:noProof/>
        </w:rPr>
        <w:t>umo</w:t>
      </w:r>
      <w:r w:rsidR="001E4FDC" w:rsidRPr="00853D04">
        <w:rPr>
          <w:noProof/>
        </w:rPr>
        <w:t>wach, lub kredyty, prawa lub obowiązki europejskiego stowarzyszenia transgranicznego istniejące przed przeniesieniem</w:t>
      </w:r>
      <w:r w:rsidR="00C13C75" w:rsidRPr="00C13C75">
        <w:rPr>
          <w:noProof/>
        </w:rPr>
        <w:t>. W</w:t>
      </w:r>
      <w:r w:rsidR="00C13C75">
        <w:rPr>
          <w:noProof/>
        </w:rPr>
        <w:t> </w:t>
      </w:r>
      <w:r w:rsidR="00C13C75" w:rsidRPr="00853D04">
        <w:rPr>
          <w:noProof/>
        </w:rPr>
        <w:t>prz</w:t>
      </w:r>
      <w:r w:rsidR="001E4FDC" w:rsidRPr="00853D04">
        <w:rPr>
          <w:noProof/>
        </w:rPr>
        <w:t>ypadku mobilności państwa członkowskie powinny zapewnić ochronę ewentualnych interesów wierzycieli europejskiego stowarzyszenia transgranicznego. Aby zapewnić ochronę pracowników europejskich stowarzyszeń transgranicznych, stowarzyszenia te powinny być zobowiązane do informowania pracowników</w:t>
      </w:r>
      <w:r w:rsidR="00C13C75" w:rsidRPr="00853D04">
        <w:rPr>
          <w:noProof/>
        </w:rPr>
        <w:t xml:space="preserve"> o</w:t>
      </w:r>
      <w:r w:rsidR="00C13C75">
        <w:rPr>
          <w:noProof/>
        </w:rPr>
        <w:t> </w:t>
      </w:r>
      <w:r w:rsidR="00C13C75" w:rsidRPr="00853D04">
        <w:rPr>
          <w:noProof/>
        </w:rPr>
        <w:t>każ</w:t>
      </w:r>
      <w:r w:rsidR="001E4FDC" w:rsidRPr="00853D04">
        <w:rPr>
          <w:noProof/>
        </w:rPr>
        <w:t>dym proponowanym przeniesieniu</w:t>
      </w:r>
      <w:r w:rsidR="00C13C75" w:rsidRPr="00853D04">
        <w:rPr>
          <w:noProof/>
        </w:rPr>
        <w:t xml:space="preserve"> w</w:t>
      </w:r>
      <w:r w:rsidR="00C13C75">
        <w:rPr>
          <w:noProof/>
        </w:rPr>
        <w:t> </w:t>
      </w:r>
      <w:r w:rsidR="00C13C75" w:rsidRPr="00853D04">
        <w:rPr>
          <w:noProof/>
        </w:rPr>
        <w:t>odp</w:t>
      </w:r>
      <w:r w:rsidR="001E4FDC" w:rsidRPr="00853D04">
        <w:rPr>
          <w:noProof/>
        </w:rPr>
        <w:t>owiednim czasie i do umożliwienia im przeanalizowania planu takiego przeniesienia. Zastosowanie mogą mieć również inne przepisy prawa unijnego</w:t>
      </w:r>
      <w:r w:rsidR="00C13C75" w:rsidRPr="00853D04">
        <w:rPr>
          <w:noProof/>
        </w:rPr>
        <w:t xml:space="preserve"> i</w:t>
      </w:r>
      <w:r w:rsidR="00C13C75">
        <w:rPr>
          <w:noProof/>
        </w:rPr>
        <w:t> </w:t>
      </w:r>
      <w:r w:rsidR="00C13C75" w:rsidRPr="00853D04">
        <w:rPr>
          <w:noProof/>
        </w:rPr>
        <w:t>kra</w:t>
      </w:r>
      <w:r w:rsidR="001E4FDC" w:rsidRPr="00853D04">
        <w:rPr>
          <w:noProof/>
        </w:rPr>
        <w:t>jowego dotyczące ochrony pracowników, takie jak dyrektywa 2002/14/WE Parlamentu Europejskiego</w:t>
      </w:r>
      <w:r w:rsidR="00C13C75" w:rsidRPr="00853D04">
        <w:rPr>
          <w:noProof/>
        </w:rPr>
        <w:t xml:space="preserve"> i</w:t>
      </w:r>
      <w:r w:rsidR="00C13C75">
        <w:rPr>
          <w:noProof/>
        </w:rPr>
        <w:t> </w:t>
      </w:r>
      <w:r w:rsidR="00C13C75" w:rsidRPr="00853D04">
        <w:rPr>
          <w:noProof/>
        </w:rPr>
        <w:t>Rad</w:t>
      </w:r>
      <w:r w:rsidR="001E4FDC" w:rsidRPr="00853D04">
        <w:rPr>
          <w:noProof/>
        </w:rPr>
        <w:t>y</w:t>
      </w:r>
      <w:r w:rsidR="001E4FDC" w:rsidRPr="00853D04">
        <w:rPr>
          <w:rStyle w:val="FootnoteReference"/>
          <w:noProof/>
        </w:rPr>
        <w:footnoteReference w:id="47"/>
      </w:r>
      <w:r w:rsidR="001E4FDC" w:rsidRPr="00853D04">
        <w:rPr>
          <w:noProof/>
        </w:rPr>
        <w:t>.</w:t>
      </w:r>
    </w:p>
    <w:p w14:paraId="18851CD5" w14:textId="2CC771B7" w:rsidR="001E4FDC" w:rsidRPr="00853D04" w:rsidRDefault="008D78F5" w:rsidP="008D78F5">
      <w:pPr>
        <w:pStyle w:val="ManualConsidrant"/>
        <w:rPr>
          <w:noProof/>
        </w:rPr>
      </w:pPr>
      <w:r w:rsidRPr="008D78F5">
        <w:t>(44)</w:t>
      </w:r>
      <w:r w:rsidRPr="008D78F5">
        <w:tab/>
      </w:r>
      <w:r w:rsidR="001E4FDC" w:rsidRPr="00853D04">
        <w:rPr>
          <w:noProof/>
        </w:rPr>
        <w:t>W celu zharmonizowania procedury przenoszenia siedziby statutowej europejskiego stowarzyszenia transgranicznego państwa członkowskie powinny zapewnić, aby decyzja</w:t>
      </w:r>
      <w:r w:rsidR="00C13C75" w:rsidRPr="00853D04">
        <w:rPr>
          <w:noProof/>
        </w:rPr>
        <w:t xml:space="preserve"> o</w:t>
      </w:r>
      <w:r w:rsidR="00C13C75">
        <w:rPr>
          <w:noProof/>
        </w:rPr>
        <w:t> </w:t>
      </w:r>
      <w:r w:rsidR="00C13C75" w:rsidRPr="00853D04">
        <w:rPr>
          <w:noProof/>
        </w:rPr>
        <w:t>prz</w:t>
      </w:r>
      <w:r w:rsidR="001E4FDC" w:rsidRPr="00853D04">
        <w:rPr>
          <w:noProof/>
        </w:rPr>
        <w:t>eniesieniu siedziby statutowej była podejmowana przez organ decyzyjny danego stowarzyszenia. Europejskie stowarzyszenie transgraniczne powinno przedłożyć wniosek wraz</w:t>
      </w:r>
      <w:r w:rsidR="00C13C75" w:rsidRPr="00853D04">
        <w:rPr>
          <w:noProof/>
        </w:rPr>
        <w:t xml:space="preserve"> z</w:t>
      </w:r>
      <w:r w:rsidR="00C13C75">
        <w:rPr>
          <w:noProof/>
        </w:rPr>
        <w:t> </w:t>
      </w:r>
      <w:r w:rsidR="00C13C75" w:rsidRPr="00853D04">
        <w:rPr>
          <w:noProof/>
        </w:rPr>
        <w:t>odp</w:t>
      </w:r>
      <w:r w:rsidR="001E4FDC" w:rsidRPr="00853D04">
        <w:rPr>
          <w:noProof/>
        </w:rPr>
        <w:t>owiednimi dokumentami właściwemu organowi państwa członkowskiego, do którego ma nastąpić przeniesienie,</w:t>
      </w:r>
      <w:r w:rsidR="00C13C75" w:rsidRPr="00853D04">
        <w:rPr>
          <w:noProof/>
        </w:rPr>
        <w:t xml:space="preserve"> i</w:t>
      </w:r>
      <w:r w:rsidR="00C13C75">
        <w:rPr>
          <w:noProof/>
        </w:rPr>
        <w:t> </w:t>
      </w:r>
      <w:r w:rsidR="00C13C75" w:rsidRPr="00853D04">
        <w:rPr>
          <w:noProof/>
        </w:rPr>
        <w:t>jed</w:t>
      </w:r>
      <w:r w:rsidR="001E4FDC" w:rsidRPr="00853D04">
        <w:rPr>
          <w:noProof/>
        </w:rPr>
        <w:t>nocześnie poinformować</w:t>
      </w:r>
      <w:r w:rsidR="00C13C75" w:rsidRPr="00853D04">
        <w:rPr>
          <w:noProof/>
        </w:rPr>
        <w:t xml:space="preserve"> o</w:t>
      </w:r>
      <w:r w:rsidR="00C13C75">
        <w:rPr>
          <w:noProof/>
        </w:rPr>
        <w:t> </w:t>
      </w:r>
      <w:r w:rsidR="00C13C75" w:rsidRPr="00853D04">
        <w:rPr>
          <w:noProof/>
        </w:rPr>
        <w:t>tym</w:t>
      </w:r>
      <w:r w:rsidR="001E4FDC" w:rsidRPr="00853D04">
        <w:rPr>
          <w:noProof/>
        </w:rPr>
        <w:t xml:space="preserve"> właściwy organ swojego państwa członkowskiego pochodzenia przy składaniu wniosku</w:t>
      </w:r>
      <w:r w:rsidR="00C13C75" w:rsidRPr="00853D04">
        <w:rPr>
          <w:noProof/>
        </w:rPr>
        <w:t xml:space="preserve"> o</w:t>
      </w:r>
      <w:r w:rsidR="00C13C75">
        <w:rPr>
          <w:noProof/>
        </w:rPr>
        <w:t> </w:t>
      </w:r>
      <w:r w:rsidR="00C13C75" w:rsidRPr="00853D04">
        <w:rPr>
          <w:noProof/>
        </w:rPr>
        <w:t>prz</w:t>
      </w:r>
      <w:r w:rsidR="001E4FDC" w:rsidRPr="00853D04">
        <w:rPr>
          <w:noProof/>
        </w:rPr>
        <w:t>eniesienie</w:t>
      </w:r>
      <w:r w:rsidR="00C13C75" w:rsidRPr="00853D04">
        <w:rPr>
          <w:noProof/>
        </w:rPr>
        <w:t>. W</w:t>
      </w:r>
      <w:r w:rsidR="00C13C75">
        <w:rPr>
          <w:noProof/>
        </w:rPr>
        <w:t> </w:t>
      </w:r>
      <w:r w:rsidR="00C13C75" w:rsidRPr="00853D04">
        <w:rPr>
          <w:noProof/>
        </w:rPr>
        <w:t>sto</w:t>
      </w:r>
      <w:r w:rsidR="001E4FDC" w:rsidRPr="00853D04">
        <w:rPr>
          <w:noProof/>
        </w:rPr>
        <w:t>sownych przypadkach proponowany statut europejskiego stowarzyszenia transgranicznego powinien zostać zmieniony zgodnie</w:t>
      </w:r>
      <w:r w:rsidR="00C13C75" w:rsidRPr="00853D04">
        <w:rPr>
          <w:noProof/>
        </w:rPr>
        <w:t xml:space="preserve"> z</w:t>
      </w:r>
      <w:r w:rsidR="00C13C75">
        <w:rPr>
          <w:noProof/>
        </w:rPr>
        <w:t> </w:t>
      </w:r>
      <w:r w:rsidR="00C13C75" w:rsidRPr="00853D04">
        <w:rPr>
          <w:noProof/>
        </w:rPr>
        <w:t>wym</w:t>
      </w:r>
      <w:r w:rsidR="001E4FDC" w:rsidRPr="00853D04">
        <w:rPr>
          <w:noProof/>
        </w:rPr>
        <w:t>ogami prawa krajowego państwa członkowskiego, do którego stowarzyszenie zamierza się przenieść</w:t>
      </w:r>
      <w:r w:rsidR="001E4FDC" w:rsidRPr="00C13C75">
        <w:rPr>
          <w:noProof/>
        </w:rPr>
        <w:t>.</w:t>
      </w:r>
      <w:r w:rsidR="00C13C75" w:rsidRPr="00C13C75">
        <w:rPr>
          <w:noProof/>
        </w:rPr>
        <w:t xml:space="preserve"> </w:t>
      </w:r>
      <w:r w:rsidR="001E4FDC" w:rsidRPr="00C13C75">
        <w:rPr>
          <w:noProof/>
        </w:rPr>
        <w:t>P</w:t>
      </w:r>
      <w:r w:rsidR="001E4FDC" w:rsidRPr="00853D04">
        <w:rPr>
          <w:noProof/>
        </w:rPr>
        <w:t>o przeniesieniu siedziby statutowej europejskie stowarzyszenie transgraniczne staje się europejskim stowarzyszeniem transgranicznym na mocy prawa krajowego nowego państwa członkowskiego pochodzenia. Ta zmiana prawa właściwego wynikająca</w:t>
      </w:r>
      <w:r w:rsidR="00C13C75" w:rsidRPr="00853D04">
        <w:rPr>
          <w:noProof/>
        </w:rPr>
        <w:t xml:space="preserve"> z</w:t>
      </w:r>
      <w:r w:rsidR="00C13C75">
        <w:rPr>
          <w:noProof/>
        </w:rPr>
        <w:t> </w:t>
      </w:r>
      <w:r w:rsidR="00C13C75" w:rsidRPr="00853D04">
        <w:rPr>
          <w:noProof/>
        </w:rPr>
        <w:t>prz</w:t>
      </w:r>
      <w:r w:rsidR="001E4FDC" w:rsidRPr="00853D04">
        <w:rPr>
          <w:noProof/>
        </w:rPr>
        <w:t>eniesienia siedziby statutowej nie powinna,</w:t>
      </w:r>
      <w:r w:rsidR="00C13C75" w:rsidRPr="00853D04">
        <w:rPr>
          <w:noProof/>
        </w:rPr>
        <w:t xml:space="preserve"> w</w:t>
      </w:r>
      <w:r w:rsidR="00C13C75">
        <w:rPr>
          <w:noProof/>
        </w:rPr>
        <w:t> </w:t>
      </w:r>
      <w:r w:rsidR="00C13C75" w:rsidRPr="00853D04">
        <w:rPr>
          <w:noProof/>
        </w:rPr>
        <w:t>cel</w:t>
      </w:r>
      <w:r w:rsidR="001E4FDC" w:rsidRPr="00853D04">
        <w:rPr>
          <w:noProof/>
        </w:rPr>
        <w:t>u uniknięcia powielania, prowadzić do weryfikacji przez właściwy organ nowego państwa członkowskiego pochodzenia jakichkolwiek elementów już zweryfikowanych podczas rejestracji</w:t>
      </w:r>
      <w:r w:rsidR="00C13C75" w:rsidRPr="00853D04">
        <w:rPr>
          <w:noProof/>
        </w:rPr>
        <w:t xml:space="preserve"> w</w:t>
      </w:r>
      <w:r w:rsidR="00C13C75">
        <w:rPr>
          <w:noProof/>
        </w:rPr>
        <w:t> </w:t>
      </w:r>
      <w:r w:rsidR="00C13C75" w:rsidRPr="00853D04">
        <w:rPr>
          <w:noProof/>
        </w:rPr>
        <w:t>pop</w:t>
      </w:r>
      <w:r w:rsidR="001E4FDC" w:rsidRPr="00853D04">
        <w:rPr>
          <w:noProof/>
        </w:rPr>
        <w:t>rzednim państwie członkowskim</w:t>
      </w:r>
      <w:r w:rsidR="00C13C75" w:rsidRPr="00853D04">
        <w:rPr>
          <w:noProof/>
        </w:rPr>
        <w:t xml:space="preserve"> i</w:t>
      </w:r>
      <w:r w:rsidR="00C13C75">
        <w:rPr>
          <w:noProof/>
        </w:rPr>
        <w:t> </w:t>
      </w:r>
      <w:r w:rsidR="00C13C75" w:rsidRPr="00853D04">
        <w:rPr>
          <w:noProof/>
        </w:rPr>
        <w:t>zha</w:t>
      </w:r>
      <w:r w:rsidR="001E4FDC" w:rsidRPr="00853D04">
        <w:rPr>
          <w:noProof/>
        </w:rPr>
        <w:t>rmonizowanych niniejszą dyrektywą. Właściwy organ państwa członkowskiego, do którego europejskie stowarzyszenie transgraniczne zamierza przenieść siedzibę statutową, powinien odrzucić wniosek</w:t>
      </w:r>
      <w:r w:rsidR="00C13C75" w:rsidRPr="00853D04">
        <w:rPr>
          <w:noProof/>
        </w:rPr>
        <w:t xml:space="preserve"> o</w:t>
      </w:r>
      <w:r w:rsidR="00C13C75">
        <w:rPr>
          <w:noProof/>
        </w:rPr>
        <w:t> </w:t>
      </w:r>
      <w:r w:rsidR="00C13C75" w:rsidRPr="00853D04">
        <w:rPr>
          <w:noProof/>
        </w:rPr>
        <w:t>prz</w:t>
      </w:r>
      <w:r w:rsidR="001E4FDC" w:rsidRPr="00853D04">
        <w:rPr>
          <w:noProof/>
        </w:rPr>
        <w:t>eniesienie jedynie</w:t>
      </w:r>
      <w:r w:rsidR="00C13C75" w:rsidRPr="00853D04">
        <w:rPr>
          <w:noProof/>
        </w:rPr>
        <w:t xml:space="preserve"> w</w:t>
      </w:r>
      <w:r w:rsidR="00C13C75">
        <w:rPr>
          <w:noProof/>
        </w:rPr>
        <w:t> </w:t>
      </w:r>
      <w:r w:rsidR="00C13C75" w:rsidRPr="00853D04">
        <w:rPr>
          <w:noProof/>
        </w:rPr>
        <w:t>prz</w:t>
      </w:r>
      <w:r w:rsidR="001E4FDC" w:rsidRPr="00853D04">
        <w:rPr>
          <w:noProof/>
        </w:rPr>
        <w:t>ypadku, gdy nie są spełnione wymogi określone</w:t>
      </w:r>
      <w:r w:rsidR="00C13C75" w:rsidRPr="00853D04">
        <w:rPr>
          <w:noProof/>
        </w:rPr>
        <w:t xml:space="preserve"> w</w:t>
      </w:r>
      <w:r w:rsidR="00C13C75">
        <w:rPr>
          <w:noProof/>
        </w:rPr>
        <w:t> </w:t>
      </w:r>
      <w:r w:rsidR="00C13C75" w:rsidRPr="00853D04">
        <w:rPr>
          <w:noProof/>
        </w:rPr>
        <w:t>pra</w:t>
      </w:r>
      <w:r w:rsidR="001E4FDC" w:rsidRPr="00853D04">
        <w:rPr>
          <w:noProof/>
        </w:rPr>
        <w:t>wie krajowym transponującym niniejszą dyrektywę,</w:t>
      </w:r>
      <w:r w:rsidR="00C13C75" w:rsidRPr="00853D04">
        <w:rPr>
          <w:noProof/>
        </w:rPr>
        <w:t xml:space="preserve"> i</w:t>
      </w:r>
      <w:r w:rsidR="00C13C75">
        <w:rPr>
          <w:noProof/>
        </w:rPr>
        <w:t> </w:t>
      </w:r>
      <w:r w:rsidR="00C13C75" w:rsidRPr="00853D04">
        <w:rPr>
          <w:noProof/>
        </w:rPr>
        <w:t>nie</w:t>
      </w:r>
      <w:r w:rsidR="001E4FDC" w:rsidRPr="00853D04">
        <w:rPr>
          <w:noProof/>
        </w:rPr>
        <w:t xml:space="preserve"> powinien odrzucać go</w:t>
      </w:r>
      <w:r w:rsidR="00C13C75" w:rsidRPr="00853D04">
        <w:rPr>
          <w:noProof/>
        </w:rPr>
        <w:t xml:space="preserve"> z</w:t>
      </w:r>
      <w:r w:rsidR="00C13C75">
        <w:rPr>
          <w:noProof/>
        </w:rPr>
        <w:t> </w:t>
      </w:r>
      <w:r w:rsidR="00C13C75" w:rsidRPr="00853D04">
        <w:rPr>
          <w:noProof/>
        </w:rPr>
        <w:t>inn</w:t>
      </w:r>
      <w:r w:rsidR="001E4FDC" w:rsidRPr="00853D04">
        <w:rPr>
          <w:noProof/>
        </w:rPr>
        <w:t>ych powodów</w:t>
      </w:r>
      <w:r w:rsidR="00C13C75" w:rsidRPr="00853D04">
        <w:rPr>
          <w:noProof/>
        </w:rPr>
        <w:t>. W</w:t>
      </w:r>
      <w:r w:rsidR="00C13C75">
        <w:rPr>
          <w:noProof/>
        </w:rPr>
        <w:t> </w:t>
      </w:r>
      <w:r w:rsidR="00C13C75" w:rsidRPr="00853D04">
        <w:rPr>
          <w:noProof/>
        </w:rPr>
        <w:t>szc</w:t>
      </w:r>
      <w:r w:rsidR="001E4FDC" w:rsidRPr="00853D04">
        <w:rPr>
          <w:noProof/>
        </w:rPr>
        <w:t>zególności właściwy organ nie powinien odrzucić wniosku ze względu na niespełnienie wymogów przewidzianych</w:t>
      </w:r>
      <w:r w:rsidR="00C13C75" w:rsidRPr="00853D04">
        <w:rPr>
          <w:noProof/>
        </w:rPr>
        <w:t xml:space="preserve"> w</w:t>
      </w:r>
      <w:r w:rsidR="00C13C75">
        <w:rPr>
          <w:noProof/>
        </w:rPr>
        <w:t> </w:t>
      </w:r>
      <w:r w:rsidR="00C13C75" w:rsidRPr="00853D04">
        <w:rPr>
          <w:noProof/>
        </w:rPr>
        <w:t>jeg</w:t>
      </w:r>
      <w:r w:rsidR="001E4FDC" w:rsidRPr="00853D04">
        <w:rPr>
          <w:noProof/>
        </w:rPr>
        <w:t>o prawie krajowym, które nie mogło stanowić podstawy do odrzucenia rejestracji zgodnie</w:t>
      </w:r>
      <w:r w:rsidR="00C13C75" w:rsidRPr="00853D04">
        <w:rPr>
          <w:noProof/>
        </w:rPr>
        <w:t xml:space="preserve"> z</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1</w:t>
      </w:r>
      <w:r w:rsidR="001E4FDC" w:rsidRPr="00853D04">
        <w:rPr>
          <w:noProof/>
        </w:rPr>
        <w:t>9. Aby ułatwić przeniesienie statutowej siedziby europejskiego stowarzyszenia transgranicznego na rynku wewnętrznym, właściwy organ nowego państwa członkowskiego pochodzenia powinien wydać zaktualizowany certyfikat zgodnie</w:t>
      </w:r>
      <w:r w:rsidR="00C13C75" w:rsidRPr="00853D04">
        <w:rPr>
          <w:noProof/>
        </w:rPr>
        <w:t xml:space="preserve"> z</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2</w:t>
      </w:r>
      <w:r w:rsidR="001E4FDC" w:rsidRPr="00853D04">
        <w:rPr>
          <w:noProof/>
        </w:rPr>
        <w:t xml:space="preserve">1 </w:t>
      </w:r>
      <w:r w:rsidR="001E4FDC" w:rsidRPr="00C13C75">
        <w:rPr>
          <w:noProof/>
        </w:rPr>
        <w:t>ust.</w:t>
      </w:r>
      <w:r w:rsidR="00C13C75" w:rsidRPr="00C13C75">
        <w:rPr>
          <w:noProof/>
        </w:rPr>
        <w:t> </w:t>
      </w:r>
      <w:r w:rsidR="001E4FDC" w:rsidRPr="00C13C75">
        <w:rPr>
          <w:noProof/>
        </w:rPr>
        <w:t>2</w:t>
      </w:r>
      <w:r w:rsidR="001E4FDC" w:rsidRPr="00853D04">
        <w:rPr>
          <w:noProof/>
        </w:rPr>
        <w:t>, dostosowując niepowtarzalny numer rejestracyjny</w:t>
      </w:r>
      <w:r w:rsidR="00C13C75" w:rsidRPr="00853D04">
        <w:rPr>
          <w:noProof/>
        </w:rPr>
        <w:t xml:space="preserve"> i</w:t>
      </w:r>
      <w:r w:rsidR="00C13C75">
        <w:rPr>
          <w:noProof/>
        </w:rPr>
        <w:t> </w:t>
      </w:r>
      <w:r w:rsidR="00C13C75" w:rsidRPr="00853D04">
        <w:rPr>
          <w:noProof/>
        </w:rPr>
        <w:t>dwu</w:t>
      </w:r>
      <w:r w:rsidR="001E4FDC" w:rsidRPr="00853D04">
        <w:rPr>
          <w:noProof/>
        </w:rPr>
        <w:t>literowy kod kraju państwa członkowskiego, do którego przeniesiono siedzibę europejskiego stowarzyszenia transgranicznego, oraz adres pocztowy siedziby statutowej,</w:t>
      </w:r>
      <w:r w:rsidR="00C13C75" w:rsidRPr="00853D04">
        <w:rPr>
          <w:noProof/>
        </w:rPr>
        <w:t xml:space="preserve"> a</w:t>
      </w:r>
      <w:r w:rsidR="00C13C75">
        <w:rPr>
          <w:noProof/>
        </w:rPr>
        <w:t> </w:t>
      </w:r>
      <w:r w:rsidR="00C13C75" w:rsidRPr="00853D04">
        <w:rPr>
          <w:noProof/>
        </w:rPr>
        <w:t>tak</w:t>
      </w:r>
      <w:r w:rsidR="001E4FDC" w:rsidRPr="00853D04">
        <w:rPr>
          <w:noProof/>
        </w:rPr>
        <w:t>że,</w:t>
      </w:r>
      <w:r w:rsidR="00C13C75" w:rsidRPr="00853D04">
        <w:rPr>
          <w:noProof/>
        </w:rPr>
        <w:t xml:space="preserve"> w</w:t>
      </w:r>
      <w:r w:rsidR="00C13C75">
        <w:rPr>
          <w:noProof/>
        </w:rPr>
        <w:t> </w:t>
      </w:r>
      <w:r w:rsidR="00C13C75" w:rsidRPr="00853D04">
        <w:rPr>
          <w:noProof/>
        </w:rPr>
        <w:t>sto</w:t>
      </w:r>
      <w:r w:rsidR="001E4FDC" w:rsidRPr="00853D04">
        <w:rPr>
          <w:noProof/>
        </w:rPr>
        <w:t>sownych przypadkach, wszelkie inne elementy.</w:t>
      </w:r>
    </w:p>
    <w:p w14:paraId="45AFD68B" w14:textId="0F28D6DC" w:rsidR="002903A9" w:rsidRPr="00853D04" w:rsidRDefault="008D78F5" w:rsidP="008D78F5">
      <w:pPr>
        <w:pStyle w:val="ManualConsidrant"/>
        <w:rPr>
          <w:noProof/>
        </w:rPr>
      </w:pPr>
      <w:r w:rsidRPr="008D78F5">
        <w:t>(45)</w:t>
      </w:r>
      <w:r w:rsidRPr="008D78F5">
        <w:tab/>
      </w:r>
      <w:r w:rsidR="00746644" w:rsidRPr="00853D04">
        <w:rPr>
          <w:noProof/>
        </w:rPr>
        <w:t>Zgodnie</w:t>
      </w:r>
      <w:r w:rsidR="00C13C75" w:rsidRPr="00853D04">
        <w:rPr>
          <w:noProof/>
        </w:rPr>
        <w:t xml:space="preserve"> z</w:t>
      </w:r>
      <w:r w:rsidR="00C13C75">
        <w:rPr>
          <w:noProof/>
        </w:rPr>
        <w:t> </w:t>
      </w:r>
      <w:r w:rsidR="00C13C75" w:rsidRPr="00853D04">
        <w:rPr>
          <w:noProof/>
        </w:rPr>
        <w:t>wol</w:t>
      </w:r>
      <w:r w:rsidR="00746644" w:rsidRPr="00853D04">
        <w:rPr>
          <w:noProof/>
        </w:rPr>
        <w:t>nością zgromadzania się</w:t>
      </w:r>
      <w:r w:rsidR="00C13C75" w:rsidRPr="00853D04">
        <w:rPr>
          <w:noProof/>
        </w:rPr>
        <w:t xml:space="preserve"> i</w:t>
      </w:r>
      <w:r w:rsidR="00C13C75">
        <w:rPr>
          <w:noProof/>
        </w:rPr>
        <w:t> </w:t>
      </w:r>
      <w:r w:rsidR="00C13C75" w:rsidRPr="00853D04">
        <w:rPr>
          <w:noProof/>
        </w:rPr>
        <w:t>sto</w:t>
      </w:r>
      <w:r w:rsidR="00746644" w:rsidRPr="00853D04">
        <w:rPr>
          <w:noProof/>
        </w:rPr>
        <w:t>warzyszania się europejskie stowarzyszenie transgraniczne należy rozwiązać wyłącznie na mocy decyzji jej członków lub</w:t>
      </w:r>
      <w:r w:rsidR="00C13C75" w:rsidRPr="00853D04">
        <w:rPr>
          <w:noProof/>
        </w:rPr>
        <w:t xml:space="preserve"> w</w:t>
      </w:r>
      <w:r w:rsidR="00C13C75">
        <w:rPr>
          <w:noProof/>
        </w:rPr>
        <w:t> </w:t>
      </w:r>
      <w:r w:rsidR="00C13C75" w:rsidRPr="00853D04">
        <w:rPr>
          <w:noProof/>
        </w:rPr>
        <w:t>dro</w:t>
      </w:r>
      <w:r w:rsidR="00746644" w:rsidRPr="00853D04">
        <w:rPr>
          <w:noProof/>
        </w:rPr>
        <w:t>dze decyzji właściwego organu państwa członkowskiego pochodzenia</w:t>
      </w:r>
      <w:r w:rsidR="00C13C75" w:rsidRPr="00853D04">
        <w:rPr>
          <w:noProof/>
        </w:rPr>
        <w:t>. W</w:t>
      </w:r>
      <w:r w:rsidR="00C13C75">
        <w:rPr>
          <w:noProof/>
        </w:rPr>
        <w:t> </w:t>
      </w:r>
      <w:r w:rsidR="00C13C75" w:rsidRPr="00853D04">
        <w:rPr>
          <w:noProof/>
        </w:rPr>
        <w:t>prz</w:t>
      </w:r>
      <w:r w:rsidR="00746644" w:rsidRPr="00853D04">
        <w:rPr>
          <w:noProof/>
        </w:rPr>
        <w:t>ypadku gdy rozwiązanie europejskiego stowarzyszenia transgranicznego jest następstwem decyzji jego członków, decyzja ta powinna zostać podjęta większością dwóch trzecich oddanych głosów, reprezentujących co najmniej połowę wszystkich członków podczas nadzwyczajnego posiedzenia. Rozwiązanie europejskiego stowarzyszenia transgranicznego może mieć charakter przymusowy</w:t>
      </w:r>
      <w:r w:rsidR="00C13C75" w:rsidRPr="00853D04">
        <w:rPr>
          <w:noProof/>
        </w:rPr>
        <w:t xml:space="preserve"> i</w:t>
      </w:r>
      <w:r w:rsidR="00C13C75">
        <w:rPr>
          <w:noProof/>
        </w:rPr>
        <w:t> </w:t>
      </w:r>
      <w:r w:rsidR="00C13C75" w:rsidRPr="00853D04">
        <w:rPr>
          <w:noProof/>
        </w:rPr>
        <w:t>nas</w:t>
      </w:r>
      <w:r w:rsidR="00746644" w:rsidRPr="00853D04">
        <w:rPr>
          <w:noProof/>
        </w:rPr>
        <w:t>tąpić na mocy decyzji właściwego organu państwa członkowskiego pochodzenia europejskiego stowarzyszenia transgranicznego</w:t>
      </w:r>
      <w:r w:rsidR="00C13C75" w:rsidRPr="00853D04">
        <w:rPr>
          <w:noProof/>
        </w:rPr>
        <w:t xml:space="preserve"> w</w:t>
      </w:r>
      <w:r w:rsidR="00C13C75">
        <w:rPr>
          <w:noProof/>
        </w:rPr>
        <w:t> </w:t>
      </w:r>
      <w:r w:rsidR="00C13C75" w:rsidRPr="00853D04">
        <w:rPr>
          <w:noProof/>
        </w:rPr>
        <w:t>ost</w:t>
      </w:r>
      <w:r w:rsidR="00746644" w:rsidRPr="00853D04">
        <w:rPr>
          <w:noProof/>
        </w:rPr>
        <w:t>ateczności, tylko wtedy, gdy stowarzyszenie to nie respektuje swojego niedochodowego celu, gdy jego działalność stanowi zagrożenie dla porządku publicznego lub gdy członkowie organu wykonawczego stowarzyszenia zostali skazani za szczególnie poważne przestępstwo lub samo europejskie stowarzyszenie transgraniczne zostało skazane za przestępstwo, jeżeli prawo krajowe dopuszcza taką możliwość</w:t>
      </w:r>
      <w:r w:rsidR="00C13C75" w:rsidRPr="00853D04">
        <w:rPr>
          <w:noProof/>
        </w:rPr>
        <w:t>. W</w:t>
      </w:r>
      <w:r w:rsidR="00C13C75">
        <w:rPr>
          <w:noProof/>
        </w:rPr>
        <w:t> </w:t>
      </w:r>
      <w:r w:rsidR="00C13C75" w:rsidRPr="00853D04">
        <w:rPr>
          <w:noProof/>
        </w:rPr>
        <w:t>tak</w:t>
      </w:r>
      <w:r w:rsidR="00746644" w:rsidRPr="00853D04">
        <w:rPr>
          <w:noProof/>
        </w:rPr>
        <w:t>im przypadku właściwy organ powinien powiadomić europejskie stowarzyszenie transgraniczne</w:t>
      </w:r>
      <w:r w:rsidR="00C13C75" w:rsidRPr="00853D04">
        <w:rPr>
          <w:noProof/>
        </w:rPr>
        <w:t xml:space="preserve"> o</w:t>
      </w:r>
      <w:r w:rsidR="00C13C75">
        <w:rPr>
          <w:noProof/>
        </w:rPr>
        <w:t> </w:t>
      </w:r>
      <w:r w:rsidR="00C13C75" w:rsidRPr="00853D04">
        <w:rPr>
          <w:noProof/>
        </w:rPr>
        <w:t>swo</w:t>
      </w:r>
      <w:r w:rsidR="00746644" w:rsidRPr="00853D04">
        <w:rPr>
          <w:noProof/>
        </w:rPr>
        <w:t>ich zastrzeżeniach</w:t>
      </w:r>
      <w:r w:rsidR="00C13C75" w:rsidRPr="00853D04">
        <w:rPr>
          <w:noProof/>
        </w:rPr>
        <w:t xml:space="preserve"> i</w:t>
      </w:r>
      <w:r w:rsidR="00C13C75">
        <w:rPr>
          <w:noProof/>
        </w:rPr>
        <w:t> </w:t>
      </w:r>
      <w:r w:rsidR="00C13C75" w:rsidRPr="00853D04">
        <w:rPr>
          <w:noProof/>
        </w:rPr>
        <w:t>wys</w:t>
      </w:r>
      <w:r w:rsidR="00746644" w:rsidRPr="00853D04">
        <w:rPr>
          <w:noProof/>
        </w:rPr>
        <w:t>łuchać je, aby umożliwić mu udzielenie odpowiedzi.</w:t>
      </w:r>
    </w:p>
    <w:p w14:paraId="05C6710F" w14:textId="2CC4A634" w:rsidR="001E4FDC" w:rsidRPr="00853D04" w:rsidRDefault="008D78F5" w:rsidP="008D78F5">
      <w:pPr>
        <w:pStyle w:val="ManualConsidrant"/>
        <w:rPr>
          <w:noProof/>
        </w:rPr>
      </w:pPr>
      <w:r w:rsidRPr="008D78F5">
        <w:t>(46)</w:t>
      </w:r>
      <w:r w:rsidRPr="008D78F5">
        <w:tab/>
      </w:r>
      <w:r w:rsidR="00B70E77" w:rsidRPr="00853D04">
        <w:rPr>
          <w:noProof/>
        </w:rPr>
        <w:t>Rozwiązanie europejskiego stowarzyszenia transgranicznego powinno pociągać za sobą jego likwidację. Likwidacja europejskiego stowarzyszenia transgranicznego powinna być zgodna</w:t>
      </w:r>
      <w:r w:rsidR="00C13C75" w:rsidRPr="00853D04">
        <w:rPr>
          <w:noProof/>
        </w:rPr>
        <w:t xml:space="preserve"> z</w:t>
      </w:r>
      <w:r w:rsidR="00C13C75">
        <w:rPr>
          <w:noProof/>
        </w:rPr>
        <w:t> </w:t>
      </w:r>
      <w:r w:rsidR="00C13C75" w:rsidRPr="00853D04">
        <w:rPr>
          <w:noProof/>
        </w:rPr>
        <w:t>roz</w:t>
      </w:r>
      <w:r w:rsidR="00B70E77" w:rsidRPr="00853D04">
        <w:rPr>
          <w:noProof/>
        </w:rPr>
        <w:t>porządzeniem Parlamentu Europejskiego</w:t>
      </w:r>
      <w:r w:rsidR="00C13C75" w:rsidRPr="00853D04">
        <w:rPr>
          <w:noProof/>
        </w:rPr>
        <w:t xml:space="preserve"> i</w:t>
      </w:r>
      <w:r w:rsidR="00C13C75">
        <w:rPr>
          <w:noProof/>
        </w:rPr>
        <w:t> </w:t>
      </w:r>
      <w:r w:rsidR="00C13C75" w:rsidRPr="00853D04">
        <w:rPr>
          <w:noProof/>
        </w:rPr>
        <w:t>Rad</w:t>
      </w:r>
      <w:r w:rsidR="00B70E77" w:rsidRPr="00853D04">
        <w:rPr>
          <w:noProof/>
        </w:rPr>
        <w:t>y (UE) 2015/848</w:t>
      </w:r>
      <w:r w:rsidR="00C13C75" w:rsidRPr="00853D04">
        <w:rPr>
          <w:noProof/>
        </w:rPr>
        <w:t xml:space="preserve"> z</w:t>
      </w:r>
      <w:r w:rsidR="00C13C75">
        <w:rPr>
          <w:noProof/>
        </w:rPr>
        <w:t> </w:t>
      </w:r>
      <w:r w:rsidR="00C13C75" w:rsidRPr="00853D04">
        <w:rPr>
          <w:noProof/>
        </w:rPr>
        <w:t>dni</w:t>
      </w:r>
      <w:r w:rsidR="00B70E77" w:rsidRPr="00853D04">
        <w:rPr>
          <w:noProof/>
        </w:rPr>
        <w:t>a 20 maja 20</w:t>
      </w:r>
      <w:r w:rsidR="00B70E77" w:rsidRPr="00C13C75">
        <w:rPr>
          <w:noProof/>
        </w:rPr>
        <w:t>15</w:t>
      </w:r>
      <w:r w:rsidR="00C13C75" w:rsidRPr="00C13C75">
        <w:rPr>
          <w:noProof/>
        </w:rPr>
        <w:t> </w:t>
      </w:r>
      <w:r w:rsidR="00B70E77" w:rsidRPr="00C13C75">
        <w:rPr>
          <w:noProof/>
        </w:rPr>
        <w:t>r.</w:t>
      </w:r>
      <w:r w:rsidR="00C13C75" w:rsidRPr="00853D04">
        <w:rPr>
          <w:noProof/>
        </w:rPr>
        <w:t xml:space="preserve"> w</w:t>
      </w:r>
      <w:r w:rsidR="00C13C75">
        <w:rPr>
          <w:noProof/>
        </w:rPr>
        <w:t> </w:t>
      </w:r>
      <w:r w:rsidR="00C13C75" w:rsidRPr="00853D04">
        <w:rPr>
          <w:noProof/>
        </w:rPr>
        <w:t>spr</w:t>
      </w:r>
      <w:r w:rsidR="00B70E77" w:rsidRPr="00853D04">
        <w:rPr>
          <w:noProof/>
        </w:rPr>
        <w:t>awie postępowania upadłościowego (EIR 2105)</w:t>
      </w:r>
      <w:r w:rsidR="00B70E77" w:rsidRPr="00853D04">
        <w:rPr>
          <w:rStyle w:val="FootnoteReference"/>
          <w:noProof/>
        </w:rPr>
        <w:footnoteReference w:id="48"/>
      </w:r>
      <w:r w:rsidR="00B70E77" w:rsidRPr="00853D04">
        <w:rPr>
          <w:noProof/>
        </w:rPr>
        <w:t>, które wymaga, aby prawem właściwym dla postępowania upadłościowego</w:t>
      </w:r>
      <w:r w:rsidR="00C13C75" w:rsidRPr="00853D04">
        <w:rPr>
          <w:noProof/>
        </w:rPr>
        <w:t xml:space="preserve"> i</w:t>
      </w:r>
      <w:r w:rsidR="00C13C75">
        <w:rPr>
          <w:noProof/>
        </w:rPr>
        <w:t> </w:t>
      </w:r>
      <w:r w:rsidR="00C13C75" w:rsidRPr="00853D04">
        <w:rPr>
          <w:noProof/>
        </w:rPr>
        <w:t>jeg</w:t>
      </w:r>
      <w:r w:rsidR="00B70E77" w:rsidRPr="00853D04">
        <w:rPr>
          <w:noProof/>
        </w:rPr>
        <w:t>o skutków było prawo państwa członkowskiego, na którego terytorium takie postępowanie zostało wszczęte. Zgodnie</w:t>
      </w:r>
      <w:r w:rsidR="00C13C75" w:rsidRPr="00853D04">
        <w:rPr>
          <w:noProof/>
        </w:rPr>
        <w:t xml:space="preserve"> z</w:t>
      </w:r>
      <w:r w:rsidR="00C13C75">
        <w:rPr>
          <w:noProof/>
        </w:rPr>
        <w:t> </w:t>
      </w:r>
      <w:r w:rsidR="00C13C75" w:rsidRPr="00853D04">
        <w:rPr>
          <w:noProof/>
        </w:rPr>
        <w:t>nie</w:t>
      </w:r>
      <w:r w:rsidR="00B70E77" w:rsidRPr="00853D04">
        <w:rPr>
          <w:noProof/>
        </w:rPr>
        <w:t xml:space="preserve">dochodowym celem europejskiego stowarzyszenia transgranicznego wszelkie aktywa rozwiązanego europejskiego stowarzyszenia transgranicznego należy przekazać nienastawionemu na zysk podmiotowi prowadzącemu działalność podobną do działalności rozwiązanego europejskiego stowarzyszenia transgranicznego lub przekazać władzom lokalnym, które powinny wykorzystać je do celów działalności podobnej do działalności prowadzonej przez rozwiązane europejskie stowarzyszenie transgraniczne. </w:t>
      </w:r>
    </w:p>
    <w:p w14:paraId="28EC08C5" w14:textId="44F9587E" w:rsidR="006365A3" w:rsidRPr="00853D04" w:rsidRDefault="008D78F5" w:rsidP="008D78F5">
      <w:pPr>
        <w:pStyle w:val="ManualConsidrant"/>
        <w:rPr>
          <w:noProof/>
        </w:rPr>
      </w:pPr>
      <w:r w:rsidRPr="008D78F5">
        <w:t>(47)</w:t>
      </w:r>
      <w:r w:rsidRPr="008D78F5">
        <w:tab/>
      </w:r>
      <w:r w:rsidR="006365A3" w:rsidRPr="00853D04">
        <w:rPr>
          <w:noProof/>
        </w:rPr>
        <w:t>Aby umożliwić europejskiemu stowarzyszeniu transgranicznemu udowodnienie, że zarejestrowało się ono</w:t>
      </w:r>
      <w:r w:rsidR="00C13C75" w:rsidRPr="00853D04">
        <w:rPr>
          <w:noProof/>
        </w:rPr>
        <w:t xml:space="preserve"> w</w:t>
      </w:r>
      <w:r w:rsidR="00C13C75">
        <w:rPr>
          <w:noProof/>
        </w:rPr>
        <w:t> </w:t>
      </w:r>
      <w:r w:rsidR="00C13C75" w:rsidRPr="00853D04">
        <w:rPr>
          <w:noProof/>
        </w:rPr>
        <w:t>dan</w:t>
      </w:r>
      <w:r w:rsidR="006365A3" w:rsidRPr="00853D04">
        <w:rPr>
          <w:noProof/>
        </w:rPr>
        <w:t>ym państwie członkowskim,</w:t>
      </w:r>
      <w:r w:rsidR="00C13C75" w:rsidRPr="00853D04">
        <w:rPr>
          <w:noProof/>
        </w:rPr>
        <w:t xml:space="preserve"> a</w:t>
      </w:r>
      <w:r w:rsidR="00C13C75">
        <w:rPr>
          <w:noProof/>
        </w:rPr>
        <w:t> </w:t>
      </w:r>
      <w:r w:rsidR="00C13C75" w:rsidRPr="00853D04">
        <w:rPr>
          <w:noProof/>
        </w:rPr>
        <w:t>tak</w:t>
      </w:r>
      <w:r w:rsidR="006365A3" w:rsidRPr="00853D04">
        <w:rPr>
          <w:noProof/>
        </w:rPr>
        <w:t>że aby jeszcze bardziej ułatwić procedury transgraniczne oraz uprościć</w:t>
      </w:r>
      <w:r w:rsidR="00C13C75" w:rsidRPr="00853D04">
        <w:rPr>
          <w:noProof/>
        </w:rPr>
        <w:t xml:space="preserve"> i</w:t>
      </w:r>
      <w:r w:rsidR="00C13C75">
        <w:rPr>
          <w:noProof/>
        </w:rPr>
        <w:t> </w:t>
      </w:r>
      <w:r w:rsidR="00C13C75" w:rsidRPr="00853D04">
        <w:rPr>
          <w:noProof/>
        </w:rPr>
        <w:t>ogr</w:t>
      </w:r>
      <w:r w:rsidR="006365A3" w:rsidRPr="00853D04">
        <w:rPr>
          <w:noProof/>
        </w:rPr>
        <w:t>aniczyć formalności, właściwe organy powinny, jako ostatni etap procesu rejestracji, wydać certyfikat („certyfikat europejskiego stowarzyszenia transgranicznego”), który zawiera podstawowe informacje dotyczące rejestracji,</w:t>
      </w:r>
      <w:r w:rsidR="00C13C75" w:rsidRPr="00853D04">
        <w:rPr>
          <w:noProof/>
        </w:rPr>
        <w:t xml:space="preserve"> w</w:t>
      </w:r>
      <w:r w:rsidR="00C13C75">
        <w:rPr>
          <w:noProof/>
        </w:rPr>
        <w:t> </w:t>
      </w:r>
      <w:r w:rsidR="00C13C75" w:rsidRPr="00853D04">
        <w:rPr>
          <w:noProof/>
        </w:rPr>
        <w:t>tym</w:t>
      </w:r>
      <w:r w:rsidR="006365A3" w:rsidRPr="00853D04">
        <w:rPr>
          <w:noProof/>
        </w:rPr>
        <w:t xml:space="preserve"> nazwę europejskiego stowarzyszenia transgranicznego, adres jego siedziby statutowej oraz imiona</w:t>
      </w:r>
      <w:r w:rsidR="00C13C75" w:rsidRPr="00853D04">
        <w:rPr>
          <w:noProof/>
        </w:rPr>
        <w:t xml:space="preserve"> i</w:t>
      </w:r>
      <w:r w:rsidR="00C13C75">
        <w:rPr>
          <w:noProof/>
        </w:rPr>
        <w:t> </w:t>
      </w:r>
      <w:r w:rsidR="00C13C75" w:rsidRPr="00853D04">
        <w:rPr>
          <w:noProof/>
        </w:rPr>
        <w:t>naz</w:t>
      </w:r>
      <w:r w:rsidR="006365A3" w:rsidRPr="00853D04">
        <w:rPr>
          <w:noProof/>
        </w:rPr>
        <w:t>wiska przedstawicieli prawnych. Aby ułatwić korzystanie</w:t>
      </w:r>
      <w:r w:rsidR="00C13C75" w:rsidRPr="00853D04">
        <w:rPr>
          <w:noProof/>
        </w:rPr>
        <w:t xml:space="preserve"> z</w:t>
      </w:r>
      <w:r w:rsidR="00C13C75">
        <w:rPr>
          <w:noProof/>
        </w:rPr>
        <w:t> </w:t>
      </w:r>
      <w:r w:rsidR="00C13C75" w:rsidRPr="00853D04">
        <w:rPr>
          <w:noProof/>
        </w:rPr>
        <w:t>teg</w:t>
      </w:r>
      <w:r w:rsidR="006365A3" w:rsidRPr="00853D04">
        <w:rPr>
          <w:noProof/>
        </w:rPr>
        <w:t>o certyfikatu</w:t>
      </w:r>
      <w:r w:rsidR="00C13C75" w:rsidRPr="00853D04">
        <w:rPr>
          <w:noProof/>
        </w:rPr>
        <w:t xml:space="preserve"> w</w:t>
      </w:r>
      <w:r w:rsidR="00C13C75">
        <w:rPr>
          <w:noProof/>
        </w:rPr>
        <w:t> </w:t>
      </w:r>
      <w:r w:rsidR="00C13C75" w:rsidRPr="00853D04">
        <w:rPr>
          <w:noProof/>
        </w:rPr>
        <w:t>róż</w:t>
      </w:r>
      <w:r w:rsidR="006365A3" w:rsidRPr="00853D04">
        <w:rPr>
          <w:noProof/>
        </w:rPr>
        <w:t>nych państwach członkowskich bez dodatkowych dostosowań lub kosztów przestrzegania przepisów, Komisja powinna ustanowić standardowy wzór dostępny we wszystkich językach Unii</w:t>
      </w:r>
      <w:r w:rsidR="00C13C75" w:rsidRPr="00853D04">
        <w:rPr>
          <w:noProof/>
        </w:rPr>
        <w:t>. W</w:t>
      </w:r>
      <w:r w:rsidR="00C13C75">
        <w:rPr>
          <w:noProof/>
        </w:rPr>
        <w:t> </w:t>
      </w:r>
      <w:r w:rsidR="00C13C75" w:rsidRPr="00853D04">
        <w:rPr>
          <w:noProof/>
        </w:rPr>
        <w:t>zwi</w:t>
      </w:r>
      <w:r w:rsidR="006365A3" w:rsidRPr="00853D04">
        <w:rPr>
          <w:noProof/>
        </w:rPr>
        <w:t>ązku</w:t>
      </w:r>
      <w:r w:rsidR="00C13C75" w:rsidRPr="00853D04">
        <w:rPr>
          <w:noProof/>
        </w:rPr>
        <w:t xml:space="preserve"> z</w:t>
      </w:r>
      <w:r w:rsidR="00C13C75">
        <w:rPr>
          <w:noProof/>
        </w:rPr>
        <w:t> </w:t>
      </w:r>
      <w:r w:rsidR="00C13C75" w:rsidRPr="00853D04">
        <w:rPr>
          <w:noProof/>
        </w:rPr>
        <w:t>tym</w:t>
      </w:r>
      <w:r w:rsidR="006365A3" w:rsidRPr="00853D04">
        <w:rPr>
          <w:noProof/>
        </w:rPr>
        <w:t>,</w:t>
      </w:r>
      <w:r w:rsidR="00C13C75" w:rsidRPr="00853D04">
        <w:rPr>
          <w:noProof/>
        </w:rPr>
        <w:t xml:space="preserve"> w</w:t>
      </w:r>
      <w:r w:rsidR="00C13C75">
        <w:rPr>
          <w:noProof/>
        </w:rPr>
        <w:t> </w:t>
      </w:r>
      <w:r w:rsidR="00C13C75" w:rsidRPr="00853D04">
        <w:rPr>
          <w:noProof/>
        </w:rPr>
        <w:t>cel</w:t>
      </w:r>
      <w:r w:rsidR="006365A3" w:rsidRPr="00853D04">
        <w:rPr>
          <w:noProof/>
        </w:rPr>
        <w:t>u zapewnienia jednolitych warunków wykonywania niniejszego aktu, należy powierzyć Komisji uprawnienia wykonawcze do opracowania standardowego wzoru,</w:t>
      </w:r>
      <w:r w:rsidR="00C13C75" w:rsidRPr="00853D04">
        <w:rPr>
          <w:noProof/>
        </w:rPr>
        <w:t xml:space="preserve"> w</w:t>
      </w:r>
      <w:r w:rsidR="00C13C75">
        <w:rPr>
          <w:noProof/>
        </w:rPr>
        <w:t> </w:t>
      </w:r>
      <w:r w:rsidR="00C13C75" w:rsidRPr="00853D04">
        <w:rPr>
          <w:noProof/>
        </w:rPr>
        <w:t>tym w</w:t>
      </w:r>
      <w:r w:rsidR="00C13C75">
        <w:rPr>
          <w:noProof/>
        </w:rPr>
        <w:t> </w:t>
      </w:r>
      <w:r w:rsidR="00C13C75" w:rsidRPr="00853D04">
        <w:rPr>
          <w:noProof/>
        </w:rPr>
        <w:t>odn</w:t>
      </w:r>
      <w:r w:rsidR="006365A3" w:rsidRPr="00853D04">
        <w:rPr>
          <w:noProof/>
        </w:rPr>
        <w:t>iesieniu do specyfikacji technicznych wzoru. Uprawnienia te powinny być wykonywane zgodnie</w:t>
      </w:r>
      <w:r w:rsidR="00C13C75" w:rsidRPr="00853D04">
        <w:rPr>
          <w:noProof/>
        </w:rPr>
        <w:t xml:space="preserve"> z</w:t>
      </w:r>
      <w:r w:rsidR="00C13C75">
        <w:rPr>
          <w:noProof/>
        </w:rPr>
        <w:t> </w:t>
      </w:r>
      <w:r w:rsidR="00C13C75" w:rsidRPr="00853D04">
        <w:rPr>
          <w:noProof/>
        </w:rPr>
        <w:t>roz</w:t>
      </w:r>
      <w:r w:rsidR="006365A3" w:rsidRPr="00853D04">
        <w:rPr>
          <w:noProof/>
        </w:rPr>
        <w:t>porządzeniem Parlamentu Europejskiego</w:t>
      </w:r>
      <w:r w:rsidR="00C13C75" w:rsidRPr="00853D04">
        <w:rPr>
          <w:noProof/>
        </w:rPr>
        <w:t xml:space="preserve"> i</w:t>
      </w:r>
      <w:r w:rsidR="00C13C75">
        <w:rPr>
          <w:noProof/>
        </w:rPr>
        <w:t> </w:t>
      </w:r>
      <w:r w:rsidR="00C13C75" w:rsidRPr="00853D04">
        <w:rPr>
          <w:noProof/>
        </w:rPr>
        <w:t>Rad</w:t>
      </w:r>
      <w:r w:rsidR="006365A3" w:rsidRPr="00853D04">
        <w:rPr>
          <w:noProof/>
        </w:rPr>
        <w:t xml:space="preserve">y (UE) </w:t>
      </w:r>
      <w:r w:rsidR="006365A3" w:rsidRPr="00C13C75">
        <w:rPr>
          <w:noProof/>
        </w:rPr>
        <w:t>nr</w:t>
      </w:r>
      <w:r w:rsidR="00C13C75" w:rsidRPr="00C13C75">
        <w:rPr>
          <w:noProof/>
        </w:rPr>
        <w:t> </w:t>
      </w:r>
      <w:r w:rsidR="006365A3" w:rsidRPr="00C13C75">
        <w:rPr>
          <w:noProof/>
        </w:rPr>
        <w:t>1</w:t>
      </w:r>
      <w:r w:rsidR="006365A3" w:rsidRPr="00853D04">
        <w:rPr>
          <w:noProof/>
        </w:rPr>
        <w:t>82/2011</w:t>
      </w:r>
      <w:r w:rsidR="006365A3" w:rsidRPr="00853D04">
        <w:rPr>
          <w:rStyle w:val="FootnoteReference"/>
          <w:noProof/>
        </w:rPr>
        <w:footnoteReference w:id="49"/>
      </w:r>
      <w:r w:rsidR="006365A3" w:rsidRPr="00853D04">
        <w:rPr>
          <w:noProof/>
        </w:rPr>
        <w:t>. Te akty wykonawcze powinny być przyjmowane zgodnie</w:t>
      </w:r>
      <w:r w:rsidR="00C13C75" w:rsidRPr="00853D04">
        <w:rPr>
          <w:noProof/>
        </w:rPr>
        <w:t xml:space="preserve"> z</w:t>
      </w:r>
      <w:r w:rsidR="00C13C75">
        <w:rPr>
          <w:noProof/>
        </w:rPr>
        <w:t> </w:t>
      </w:r>
      <w:r w:rsidR="00C13C75" w:rsidRPr="00853D04">
        <w:rPr>
          <w:noProof/>
        </w:rPr>
        <w:t>pro</w:t>
      </w:r>
      <w:r w:rsidR="006365A3" w:rsidRPr="00853D04">
        <w:rPr>
          <w:noProof/>
        </w:rPr>
        <w:t>cedurą sprawdzającą,</w:t>
      </w:r>
      <w:r w:rsidR="00C13C75" w:rsidRPr="00853D04">
        <w:rPr>
          <w:noProof/>
        </w:rPr>
        <w:t xml:space="preserve"> o</w:t>
      </w:r>
      <w:r w:rsidR="00C13C75">
        <w:rPr>
          <w:noProof/>
        </w:rPr>
        <w:t> </w:t>
      </w:r>
      <w:r w:rsidR="00C13C75" w:rsidRPr="00853D04">
        <w:rPr>
          <w:noProof/>
        </w:rPr>
        <w:t>któ</w:t>
      </w:r>
      <w:r w:rsidR="006365A3" w:rsidRPr="00853D04">
        <w:rPr>
          <w:noProof/>
        </w:rPr>
        <w:t>rej mowa</w:t>
      </w:r>
      <w:r w:rsidR="00C13C75" w:rsidRPr="00853D04">
        <w:rPr>
          <w:noProof/>
        </w:rPr>
        <w:t xml:space="preserve"> w</w:t>
      </w:r>
      <w:r w:rsidR="00C13C75">
        <w:rPr>
          <w:noProof/>
        </w:rPr>
        <w:t> </w:t>
      </w:r>
      <w:r w:rsidR="00C13C75" w:rsidRPr="00C13C75">
        <w:rPr>
          <w:noProof/>
        </w:rPr>
        <w:t>art</w:t>
      </w:r>
      <w:r w:rsidR="006365A3" w:rsidRPr="00C13C75">
        <w:rPr>
          <w:noProof/>
        </w:rPr>
        <w:t>.</w:t>
      </w:r>
      <w:r w:rsidR="00C13C75" w:rsidRPr="00C13C75">
        <w:rPr>
          <w:noProof/>
        </w:rPr>
        <w:t> </w:t>
      </w:r>
      <w:r w:rsidR="006365A3" w:rsidRPr="00C13C75">
        <w:rPr>
          <w:noProof/>
        </w:rPr>
        <w:t>5</w:t>
      </w:r>
      <w:r w:rsidR="006365A3" w:rsidRPr="00853D04">
        <w:rPr>
          <w:noProof/>
        </w:rPr>
        <w:t xml:space="preserve"> rozporządzenia Parlamentu Europejskiego</w:t>
      </w:r>
      <w:r w:rsidR="00C13C75" w:rsidRPr="00853D04">
        <w:rPr>
          <w:noProof/>
        </w:rPr>
        <w:t xml:space="preserve"> i</w:t>
      </w:r>
      <w:r w:rsidR="00C13C75">
        <w:rPr>
          <w:noProof/>
        </w:rPr>
        <w:t> </w:t>
      </w:r>
      <w:r w:rsidR="00C13C75" w:rsidRPr="00853D04">
        <w:rPr>
          <w:noProof/>
        </w:rPr>
        <w:t>Rad</w:t>
      </w:r>
      <w:r w:rsidR="006365A3" w:rsidRPr="00853D04">
        <w:rPr>
          <w:noProof/>
        </w:rPr>
        <w:t xml:space="preserve">y (UE) </w:t>
      </w:r>
      <w:r w:rsidR="006365A3" w:rsidRPr="00C13C75">
        <w:rPr>
          <w:noProof/>
        </w:rPr>
        <w:t>nr</w:t>
      </w:r>
      <w:r w:rsidR="00C13C75" w:rsidRPr="00C13C75">
        <w:rPr>
          <w:noProof/>
        </w:rPr>
        <w:t> </w:t>
      </w:r>
      <w:r w:rsidR="006365A3" w:rsidRPr="00C13C75">
        <w:rPr>
          <w:noProof/>
        </w:rPr>
        <w:t>1</w:t>
      </w:r>
      <w:r w:rsidR="006365A3" w:rsidRPr="00853D04">
        <w:rPr>
          <w:noProof/>
        </w:rPr>
        <w:t>82/2011.</w:t>
      </w:r>
    </w:p>
    <w:p w14:paraId="02192983" w14:textId="20FA7F7B" w:rsidR="006D15B6" w:rsidRPr="00853D04" w:rsidRDefault="008D78F5" w:rsidP="008D78F5">
      <w:pPr>
        <w:pStyle w:val="ManualConsidrant"/>
        <w:rPr>
          <w:noProof/>
        </w:rPr>
      </w:pPr>
      <w:r w:rsidRPr="008D78F5">
        <w:t>(48)</w:t>
      </w:r>
      <w:r w:rsidRPr="008D78F5">
        <w:tab/>
      </w:r>
      <w:r w:rsidR="006D15B6" w:rsidRPr="00853D04">
        <w:rPr>
          <w:noProof/>
        </w:rPr>
        <w:t>Pojęcie „szczególnie poważnej przestępczości” powinno być zdefiniowane przez państwa członkowskie</w:t>
      </w:r>
      <w:r w:rsidR="00C13C75" w:rsidRPr="00853D04">
        <w:rPr>
          <w:noProof/>
        </w:rPr>
        <w:t xml:space="preserve"> i</w:t>
      </w:r>
      <w:r w:rsidR="00C13C75">
        <w:rPr>
          <w:noProof/>
        </w:rPr>
        <w:t> </w:t>
      </w:r>
      <w:r w:rsidR="00C13C75" w:rsidRPr="00853D04">
        <w:rPr>
          <w:noProof/>
        </w:rPr>
        <w:t>moż</w:t>
      </w:r>
      <w:r w:rsidR="006D15B6" w:rsidRPr="00853D04">
        <w:rPr>
          <w:noProof/>
        </w:rPr>
        <w:t>e obejmować terroryzm, handel ludźmi oraz seksualne wykorzystywanie kobiet</w:t>
      </w:r>
      <w:r w:rsidR="00C13C75" w:rsidRPr="00853D04">
        <w:rPr>
          <w:noProof/>
        </w:rPr>
        <w:t xml:space="preserve"> i</w:t>
      </w:r>
      <w:r w:rsidR="00C13C75">
        <w:rPr>
          <w:noProof/>
        </w:rPr>
        <w:t> </w:t>
      </w:r>
      <w:r w:rsidR="00C13C75" w:rsidRPr="00853D04">
        <w:rPr>
          <w:noProof/>
        </w:rPr>
        <w:t>dzi</w:t>
      </w:r>
      <w:r w:rsidR="006D15B6" w:rsidRPr="00853D04">
        <w:rPr>
          <w:noProof/>
        </w:rPr>
        <w:t>eci, nielegalny obrót środkami odurzającymi, nielegalny handel bronią, pranie pieniędzy, korupcję, fałszowanie środków płatniczych, przestępczość komputerową</w:t>
      </w:r>
      <w:r w:rsidR="00C13C75" w:rsidRPr="00853D04">
        <w:rPr>
          <w:noProof/>
        </w:rPr>
        <w:t xml:space="preserve"> i</w:t>
      </w:r>
      <w:r w:rsidR="00C13C75">
        <w:rPr>
          <w:noProof/>
        </w:rPr>
        <w:t> </w:t>
      </w:r>
      <w:r w:rsidR="00C13C75" w:rsidRPr="00853D04">
        <w:rPr>
          <w:noProof/>
        </w:rPr>
        <w:t>prz</w:t>
      </w:r>
      <w:r w:rsidR="006D15B6" w:rsidRPr="00853D04">
        <w:rPr>
          <w:noProof/>
        </w:rPr>
        <w:t>estępczość zorganizowaną.</w:t>
      </w:r>
    </w:p>
    <w:p w14:paraId="1A5A460F" w14:textId="2AD0A299" w:rsidR="002D6102" w:rsidRPr="00853D04" w:rsidRDefault="008D78F5" w:rsidP="008D78F5">
      <w:pPr>
        <w:pStyle w:val="ManualConsidrant"/>
        <w:rPr>
          <w:noProof/>
        </w:rPr>
      </w:pPr>
      <w:r w:rsidRPr="008D78F5">
        <w:t>(49)</w:t>
      </w:r>
      <w:r w:rsidRPr="008D78F5">
        <w:tab/>
      </w:r>
      <w:r w:rsidR="00277CCE" w:rsidRPr="00853D04">
        <w:rPr>
          <w:noProof/>
        </w:rPr>
        <w:t>Aby umożliwić państwom członkowskim skuteczne wdrożenie przepisów prawnych niniejszej dyrektywy dotyczących współpracy administracyjnej</w:t>
      </w:r>
      <w:r w:rsidR="00C13C75" w:rsidRPr="00853D04">
        <w:rPr>
          <w:noProof/>
        </w:rPr>
        <w:t xml:space="preserve"> i</w:t>
      </w:r>
      <w:r w:rsidR="00C13C75">
        <w:rPr>
          <w:noProof/>
        </w:rPr>
        <w:t> </w:t>
      </w:r>
      <w:r w:rsidR="00C13C75" w:rsidRPr="00853D04">
        <w:rPr>
          <w:noProof/>
        </w:rPr>
        <w:t>uła</w:t>
      </w:r>
      <w:r w:rsidR="00277CCE" w:rsidRPr="00853D04">
        <w:rPr>
          <w:noProof/>
        </w:rPr>
        <w:t>twić współpracę, państwa członkowskie powinny korzystać</w:t>
      </w:r>
      <w:r w:rsidR="00C13C75" w:rsidRPr="00853D04">
        <w:rPr>
          <w:noProof/>
        </w:rPr>
        <w:t xml:space="preserve"> z</w:t>
      </w:r>
      <w:r w:rsidR="00C13C75">
        <w:rPr>
          <w:noProof/>
        </w:rPr>
        <w:t> </w:t>
      </w:r>
      <w:r w:rsidR="00C13C75" w:rsidRPr="00853D04">
        <w:rPr>
          <w:noProof/>
        </w:rPr>
        <w:t>sys</w:t>
      </w:r>
      <w:r w:rsidR="00277CCE" w:rsidRPr="00853D04">
        <w:rPr>
          <w:noProof/>
        </w:rPr>
        <w:t>temu wymiany informacji na rynku wewnętrznym (IMI)</w:t>
      </w:r>
      <w:r w:rsidR="00C13C75" w:rsidRPr="00853D04">
        <w:rPr>
          <w:noProof/>
        </w:rPr>
        <w:t>. W</w:t>
      </w:r>
      <w:r w:rsidR="00C13C75">
        <w:rPr>
          <w:noProof/>
        </w:rPr>
        <w:t> </w:t>
      </w:r>
      <w:r w:rsidR="00C13C75" w:rsidRPr="00853D04">
        <w:rPr>
          <w:noProof/>
        </w:rPr>
        <w:t>szc</w:t>
      </w:r>
      <w:r w:rsidR="00277CCE" w:rsidRPr="00853D04">
        <w:rPr>
          <w:noProof/>
        </w:rPr>
        <w:t>zególności właściwe organy powinny korzystać</w:t>
      </w:r>
      <w:r w:rsidR="00C13C75" w:rsidRPr="00853D04">
        <w:rPr>
          <w:noProof/>
        </w:rPr>
        <w:t xml:space="preserve"> z</w:t>
      </w:r>
      <w:r w:rsidR="00C13C75">
        <w:rPr>
          <w:noProof/>
        </w:rPr>
        <w:t> </w:t>
      </w:r>
      <w:r w:rsidR="00C13C75" w:rsidRPr="00853D04">
        <w:rPr>
          <w:noProof/>
        </w:rPr>
        <w:t>sys</w:t>
      </w:r>
      <w:r w:rsidR="00277CCE" w:rsidRPr="00853D04">
        <w:rPr>
          <w:noProof/>
        </w:rPr>
        <w:t>temu IMI</w:t>
      </w:r>
      <w:r w:rsidR="00C13C75" w:rsidRPr="00853D04">
        <w:rPr>
          <w:noProof/>
        </w:rPr>
        <w:t xml:space="preserve"> w</w:t>
      </w:r>
      <w:r w:rsidR="00C13C75">
        <w:rPr>
          <w:noProof/>
        </w:rPr>
        <w:t> </w:t>
      </w:r>
      <w:r w:rsidR="00C13C75" w:rsidRPr="00853D04">
        <w:rPr>
          <w:noProof/>
        </w:rPr>
        <w:t>cel</w:t>
      </w:r>
      <w:r w:rsidR="00277CCE" w:rsidRPr="00853D04">
        <w:rPr>
          <w:noProof/>
        </w:rPr>
        <w:t>u powiadamiania właściwych organów pozostałych państw członkowskich</w:t>
      </w:r>
      <w:r w:rsidR="00C13C75" w:rsidRPr="00853D04">
        <w:rPr>
          <w:noProof/>
        </w:rPr>
        <w:t xml:space="preserve"> o</w:t>
      </w:r>
      <w:r w:rsidR="00C13C75">
        <w:rPr>
          <w:noProof/>
        </w:rPr>
        <w:t> </w:t>
      </w:r>
      <w:r w:rsidR="00C13C75" w:rsidRPr="00853D04">
        <w:rPr>
          <w:noProof/>
        </w:rPr>
        <w:t>utw</w:t>
      </w:r>
      <w:r w:rsidR="00277CCE" w:rsidRPr="00853D04">
        <w:rPr>
          <w:noProof/>
        </w:rPr>
        <w:t>orzeniu nowego europejskiego stowarzyszenia transgranicznego,</w:t>
      </w:r>
      <w:r w:rsidR="00C13C75" w:rsidRPr="00853D04">
        <w:rPr>
          <w:noProof/>
        </w:rPr>
        <w:t xml:space="preserve"> w</w:t>
      </w:r>
      <w:r w:rsidR="00C13C75">
        <w:rPr>
          <w:noProof/>
        </w:rPr>
        <w:t> </w:t>
      </w:r>
      <w:r w:rsidR="00C13C75" w:rsidRPr="00853D04">
        <w:rPr>
          <w:noProof/>
        </w:rPr>
        <w:t>tym w</w:t>
      </w:r>
      <w:r w:rsidR="00C13C75">
        <w:rPr>
          <w:noProof/>
        </w:rPr>
        <w:t> </w:t>
      </w:r>
      <w:r w:rsidR="00C13C75" w:rsidRPr="00853D04">
        <w:rPr>
          <w:noProof/>
        </w:rPr>
        <w:t>prz</w:t>
      </w:r>
      <w:r w:rsidR="00277CCE" w:rsidRPr="00853D04">
        <w:rPr>
          <w:noProof/>
        </w:rPr>
        <w:t>ypadku przekształcenia stowarzyszenia niekomercyjnego</w:t>
      </w:r>
      <w:r w:rsidR="00C13C75" w:rsidRPr="00853D04">
        <w:rPr>
          <w:noProof/>
        </w:rPr>
        <w:t xml:space="preserve"> w</w:t>
      </w:r>
      <w:r w:rsidR="00C13C75">
        <w:rPr>
          <w:noProof/>
        </w:rPr>
        <w:t> </w:t>
      </w:r>
      <w:r w:rsidR="00C13C75" w:rsidRPr="00853D04">
        <w:rPr>
          <w:noProof/>
        </w:rPr>
        <w:t>eur</w:t>
      </w:r>
      <w:r w:rsidR="00277CCE" w:rsidRPr="00853D04">
        <w:rPr>
          <w:noProof/>
        </w:rPr>
        <w:t>opejskie stowarzyszenie transgraniczne</w:t>
      </w:r>
      <w:r w:rsidR="00C13C75" w:rsidRPr="00853D04">
        <w:rPr>
          <w:noProof/>
        </w:rPr>
        <w:t>. W</w:t>
      </w:r>
      <w:r w:rsidR="00C13C75">
        <w:rPr>
          <w:noProof/>
        </w:rPr>
        <w:t> </w:t>
      </w:r>
      <w:r w:rsidR="00C13C75" w:rsidRPr="00853D04">
        <w:rPr>
          <w:noProof/>
        </w:rPr>
        <w:t>prz</w:t>
      </w:r>
      <w:r w:rsidR="00277CCE" w:rsidRPr="00853D04">
        <w:rPr>
          <w:noProof/>
        </w:rPr>
        <w:t>ypadku gdy właściwy organ otrzyma wniosek</w:t>
      </w:r>
      <w:r w:rsidR="00C13C75" w:rsidRPr="00853D04">
        <w:rPr>
          <w:noProof/>
        </w:rPr>
        <w:t xml:space="preserve"> o</w:t>
      </w:r>
      <w:r w:rsidR="00C13C75">
        <w:rPr>
          <w:noProof/>
        </w:rPr>
        <w:t> </w:t>
      </w:r>
      <w:r w:rsidR="00C13C75" w:rsidRPr="00853D04">
        <w:rPr>
          <w:noProof/>
        </w:rPr>
        <w:t>rej</w:t>
      </w:r>
      <w:r w:rsidR="00277CCE" w:rsidRPr="00853D04">
        <w:rPr>
          <w:noProof/>
        </w:rPr>
        <w:t>estrację, powinien skontaktować się za pośrednictwem systemu IMI</w:t>
      </w:r>
      <w:r w:rsidR="00C13C75" w:rsidRPr="00853D04">
        <w:rPr>
          <w:noProof/>
        </w:rPr>
        <w:t xml:space="preserve"> z</w:t>
      </w:r>
      <w:r w:rsidR="00C13C75">
        <w:rPr>
          <w:noProof/>
        </w:rPr>
        <w:t> </w:t>
      </w:r>
      <w:r w:rsidR="00C13C75" w:rsidRPr="00853D04">
        <w:rPr>
          <w:noProof/>
        </w:rPr>
        <w:t>wła</w:t>
      </w:r>
      <w:r w:rsidR="00277CCE" w:rsidRPr="00853D04">
        <w:rPr>
          <w:noProof/>
        </w:rPr>
        <w:t>ściwymi organami państw członkowskich,</w:t>
      </w:r>
      <w:r w:rsidR="00C13C75" w:rsidRPr="00853D04">
        <w:rPr>
          <w:noProof/>
        </w:rPr>
        <w:t xml:space="preserve"> w</w:t>
      </w:r>
      <w:r w:rsidR="00C13C75">
        <w:rPr>
          <w:noProof/>
        </w:rPr>
        <w:t> </w:t>
      </w:r>
      <w:r w:rsidR="00C13C75" w:rsidRPr="00853D04">
        <w:rPr>
          <w:noProof/>
        </w:rPr>
        <w:t>któ</w:t>
      </w:r>
      <w:r w:rsidR="00277CCE" w:rsidRPr="00853D04">
        <w:rPr>
          <w:noProof/>
        </w:rPr>
        <w:t>rych wydano te dokumenty,</w:t>
      </w:r>
      <w:r w:rsidR="00C13C75" w:rsidRPr="00853D04">
        <w:rPr>
          <w:noProof/>
        </w:rPr>
        <w:t xml:space="preserve"> w</w:t>
      </w:r>
      <w:r w:rsidR="00C13C75">
        <w:rPr>
          <w:noProof/>
        </w:rPr>
        <w:t> </w:t>
      </w:r>
      <w:r w:rsidR="00C13C75" w:rsidRPr="00853D04">
        <w:rPr>
          <w:noProof/>
        </w:rPr>
        <w:t>cel</w:t>
      </w:r>
      <w:r w:rsidR="00277CCE" w:rsidRPr="00853D04">
        <w:rPr>
          <w:noProof/>
        </w:rPr>
        <w:t>u sprawdzenia na przykład zgodności tych dokumentów</w:t>
      </w:r>
      <w:r w:rsidR="00C13C75" w:rsidRPr="00853D04">
        <w:rPr>
          <w:noProof/>
        </w:rPr>
        <w:t xml:space="preserve"> z</w:t>
      </w:r>
      <w:r w:rsidR="00C13C75">
        <w:rPr>
          <w:noProof/>
        </w:rPr>
        <w:t> </w:t>
      </w:r>
      <w:r w:rsidR="00C13C75" w:rsidRPr="00853D04">
        <w:rPr>
          <w:noProof/>
        </w:rPr>
        <w:t>pra</w:t>
      </w:r>
      <w:r w:rsidR="00277CCE" w:rsidRPr="00853D04">
        <w:rPr>
          <w:noProof/>
        </w:rPr>
        <w:t>wem</w:t>
      </w:r>
      <w:r w:rsidR="00C13C75" w:rsidRPr="00853D04">
        <w:rPr>
          <w:noProof/>
        </w:rPr>
        <w:t>. W</w:t>
      </w:r>
      <w:r w:rsidR="00C13C75">
        <w:rPr>
          <w:noProof/>
        </w:rPr>
        <w:t> </w:t>
      </w:r>
      <w:r w:rsidR="00C13C75" w:rsidRPr="00853D04">
        <w:rPr>
          <w:noProof/>
        </w:rPr>
        <w:t>prz</w:t>
      </w:r>
      <w:r w:rsidR="00277CCE" w:rsidRPr="00853D04">
        <w:rPr>
          <w:noProof/>
        </w:rPr>
        <w:t>ypadku przeniesienia siedziby statutowej europejskiego stowarzyszenia transgranicznego właściwy organ nowego państwa członkowskiego pochodzenia powinien powiadomić właściwe organy pozostałych państw członkowskich</w:t>
      </w:r>
      <w:r w:rsidR="00C13C75" w:rsidRPr="00853D04">
        <w:rPr>
          <w:noProof/>
        </w:rPr>
        <w:t xml:space="preserve"> o</w:t>
      </w:r>
      <w:r w:rsidR="00C13C75">
        <w:rPr>
          <w:noProof/>
        </w:rPr>
        <w:t> </w:t>
      </w:r>
      <w:r w:rsidR="00C13C75" w:rsidRPr="00853D04">
        <w:rPr>
          <w:noProof/>
        </w:rPr>
        <w:t>tym</w:t>
      </w:r>
      <w:r w:rsidR="00277CCE" w:rsidRPr="00853D04">
        <w:rPr>
          <w:noProof/>
        </w:rPr>
        <w:t xml:space="preserve"> przeniesieniu</w:t>
      </w:r>
      <w:r w:rsidR="00C13C75" w:rsidRPr="00853D04">
        <w:rPr>
          <w:noProof/>
        </w:rPr>
        <w:t xml:space="preserve"> i</w:t>
      </w:r>
      <w:r w:rsidR="00C13C75">
        <w:rPr>
          <w:noProof/>
        </w:rPr>
        <w:t> </w:t>
      </w:r>
      <w:r w:rsidR="00C13C75" w:rsidRPr="00853D04">
        <w:rPr>
          <w:noProof/>
        </w:rPr>
        <w:t>zak</w:t>
      </w:r>
      <w:r w:rsidR="00277CCE" w:rsidRPr="00853D04">
        <w:rPr>
          <w:noProof/>
        </w:rPr>
        <w:t>tualizować</w:t>
      </w:r>
      <w:r w:rsidR="00C13C75" w:rsidRPr="00853D04">
        <w:rPr>
          <w:noProof/>
        </w:rPr>
        <w:t xml:space="preserve"> w</w:t>
      </w:r>
      <w:r w:rsidR="00C13C75">
        <w:rPr>
          <w:noProof/>
        </w:rPr>
        <w:t> </w:t>
      </w:r>
      <w:r w:rsidR="00C13C75" w:rsidRPr="00853D04">
        <w:rPr>
          <w:noProof/>
        </w:rPr>
        <w:t>sys</w:t>
      </w:r>
      <w:r w:rsidR="00277CCE" w:rsidRPr="00853D04">
        <w:rPr>
          <w:noProof/>
        </w:rPr>
        <w:t>temie IMI odpowiednie informacje</w:t>
      </w:r>
      <w:r w:rsidR="00C13C75" w:rsidRPr="00853D04">
        <w:rPr>
          <w:noProof/>
        </w:rPr>
        <w:t>. W</w:t>
      </w:r>
      <w:r w:rsidR="00C13C75">
        <w:rPr>
          <w:noProof/>
        </w:rPr>
        <w:t> </w:t>
      </w:r>
      <w:r w:rsidR="00C13C75" w:rsidRPr="00853D04">
        <w:rPr>
          <w:noProof/>
        </w:rPr>
        <w:t>prz</w:t>
      </w:r>
      <w:r w:rsidR="00277CCE" w:rsidRPr="00853D04">
        <w:rPr>
          <w:noProof/>
        </w:rPr>
        <w:t>ypadku rozwiązania, zarówno dobrowolnego, jak</w:t>
      </w:r>
      <w:r w:rsidR="00C13C75" w:rsidRPr="00853D04">
        <w:rPr>
          <w:noProof/>
        </w:rPr>
        <w:t xml:space="preserve"> i</w:t>
      </w:r>
      <w:r w:rsidR="00C13C75">
        <w:rPr>
          <w:noProof/>
        </w:rPr>
        <w:t> </w:t>
      </w:r>
      <w:r w:rsidR="00C13C75" w:rsidRPr="00853D04">
        <w:rPr>
          <w:noProof/>
        </w:rPr>
        <w:t>prz</w:t>
      </w:r>
      <w:r w:rsidR="00277CCE" w:rsidRPr="00853D04">
        <w:rPr>
          <w:noProof/>
        </w:rPr>
        <w:t>ymusowego, właściwy organ powinien również powiadomić właściwe organy pozostałych państw członkowskich, aby poinformować je</w:t>
      </w:r>
      <w:r w:rsidR="00C13C75" w:rsidRPr="00853D04">
        <w:rPr>
          <w:noProof/>
        </w:rPr>
        <w:t xml:space="preserve"> o</w:t>
      </w:r>
      <w:r w:rsidR="00C13C75">
        <w:rPr>
          <w:noProof/>
        </w:rPr>
        <w:t> </w:t>
      </w:r>
      <w:r w:rsidR="00C13C75" w:rsidRPr="00853D04">
        <w:rPr>
          <w:noProof/>
        </w:rPr>
        <w:t>roz</w:t>
      </w:r>
      <w:r w:rsidR="00277CCE" w:rsidRPr="00853D04">
        <w:rPr>
          <w:noProof/>
        </w:rPr>
        <w:t>wiązaniu</w:t>
      </w:r>
      <w:r w:rsidR="00C13C75" w:rsidRPr="00853D04">
        <w:rPr>
          <w:noProof/>
        </w:rPr>
        <w:t xml:space="preserve"> i</w:t>
      </w:r>
      <w:r w:rsidR="00C13C75">
        <w:rPr>
          <w:noProof/>
        </w:rPr>
        <w:t> </w:t>
      </w:r>
      <w:r w:rsidR="00C13C75" w:rsidRPr="00853D04">
        <w:rPr>
          <w:noProof/>
        </w:rPr>
        <w:t>zak</w:t>
      </w:r>
      <w:r w:rsidR="00277CCE" w:rsidRPr="00853D04">
        <w:rPr>
          <w:noProof/>
        </w:rPr>
        <w:t>tualizować</w:t>
      </w:r>
      <w:r w:rsidR="00C13C75" w:rsidRPr="00853D04">
        <w:rPr>
          <w:noProof/>
        </w:rPr>
        <w:t xml:space="preserve"> w</w:t>
      </w:r>
      <w:r w:rsidR="00C13C75">
        <w:rPr>
          <w:noProof/>
        </w:rPr>
        <w:t> </w:t>
      </w:r>
      <w:r w:rsidR="00C13C75" w:rsidRPr="00853D04">
        <w:rPr>
          <w:noProof/>
        </w:rPr>
        <w:t>sys</w:t>
      </w:r>
      <w:r w:rsidR="00277CCE" w:rsidRPr="00853D04">
        <w:rPr>
          <w:noProof/>
        </w:rPr>
        <w:t xml:space="preserve">temie IMI odpowiednie informacje. </w:t>
      </w:r>
    </w:p>
    <w:p w14:paraId="143E5B29" w14:textId="32D4DA8A" w:rsidR="001E4FDC" w:rsidRPr="00853D04" w:rsidRDefault="008D78F5" w:rsidP="008D78F5">
      <w:pPr>
        <w:pStyle w:val="ManualConsidrant"/>
        <w:rPr>
          <w:noProof/>
        </w:rPr>
      </w:pPr>
      <w:r w:rsidRPr="008D78F5">
        <w:t>(50)</w:t>
      </w:r>
      <w:r w:rsidRPr="008D78F5">
        <w:tab/>
      </w:r>
      <w:r w:rsidR="001E4FDC" w:rsidRPr="00853D04">
        <w:rPr>
          <w:noProof/>
        </w:rPr>
        <w:t>Ponieważ cele niniejszej dyrektywy,</w:t>
      </w:r>
      <w:r w:rsidR="00C13C75" w:rsidRPr="00853D04">
        <w:rPr>
          <w:noProof/>
        </w:rPr>
        <w:t xml:space="preserve"> a</w:t>
      </w:r>
      <w:r w:rsidR="00C13C75">
        <w:rPr>
          <w:noProof/>
        </w:rPr>
        <w:t> </w:t>
      </w:r>
      <w:r w:rsidR="00C13C75" w:rsidRPr="00853D04">
        <w:rPr>
          <w:noProof/>
        </w:rPr>
        <w:t>mia</w:t>
      </w:r>
      <w:r w:rsidR="001E4FDC" w:rsidRPr="00853D04">
        <w:rPr>
          <w:noProof/>
        </w:rPr>
        <w:t>nowicie poprawa funkcjonowania rynku wewnętrznego dzięki usunięciu barier prawnych</w:t>
      </w:r>
      <w:r w:rsidR="00C13C75" w:rsidRPr="00853D04">
        <w:rPr>
          <w:noProof/>
        </w:rPr>
        <w:t xml:space="preserve"> i</w:t>
      </w:r>
      <w:r w:rsidR="00C13C75">
        <w:rPr>
          <w:noProof/>
        </w:rPr>
        <w:t> </w:t>
      </w:r>
      <w:r w:rsidR="00C13C75" w:rsidRPr="00853D04">
        <w:rPr>
          <w:noProof/>
        </w:rPr>
        <w:t>adm</w:t>
      </w:r>
      <w:r w:rsidR="001E4FDC" w:rsidRPr="00853D04">
        <w:rPr>
          <w:noProof/>
        </w:rPr>
        <w:t>inistracyjnych dla stowarzyszeń niekomercyjnych prowadzących działalność</w:t>
      </w:r>
      <w:r w:rsidR="00C13C75" w:rsidRPr="00853D04">
        <w:rPr>
          <w:noProof/>
        </w:rPr>
        <w:t xml:space="preserve"> w</w:t>
      </w:r>
      <w:r w:rsidR="00C13C75">
        <w:rPr>
          <w:noProof/>
        </w:rPr>
        <w:t> </w:t>
      </w:r>
      <w:r w:rsidR="00C13C75" w:rsidRPr="00853D04">
        <w:rPr>
          <w:noProof/>
        </w:rPr>
        <w:t>wię</w:t>
      </w:r>
      <w:r w:rsidR="001E4FDC" w:rsidRPr="00853D04">
        <w:rPr>
          <w:noProof/>
        </w:rPr>
        <w:t>cej niż jednym państwie członkowskim, nie mogą zostać osiągnięte</w:t>
      </w:r>
      <w:r w:rsidR="00C13C75" w:rsidRPr="00853D04">
        <w:rPr>
          <w:noProof/>
        </w:rPr>
        <w:t xml:space="preserve"> w</w:t>
      </w:r>
      <w:r w:rsidR="00C13C75">
        <w:rPr>
          <w:noProof/>
        </w:rPr>
        <w:t> </w:t>
      </w:r>
      <w:r w:rsidR="00C13C75" w:rsidRPr="00853D04">
        <w:rPr>
          <w:noProof/>
        </w:rPr>
        <w:t>spo</w:t>
      </w:r>
      <w:r w:rsidR="001E4FDC" w:rsidRPr="00853D04">
        <w:rPr>
          <w:noProof/>
        </w:rPr>
        <w:t>sób wystarczający przez same państwa członkowskie, natomiast możliwe jest ich lepsze osiągnięcie na poziomie Unii, może ona podjąć działania zgodnie</w:t>
      </w:r>
      <w:r w:rsidR="00C13C75" w:rsidRPr="00853D04">
        <w:rPr>
          <w:noProof/>
        </w:rPr>
        <w:t xml:space="preserve"> z</w:t>
      </w:r>
      <w:r w:rsidR="00C13C75">
        <w:rPr>
          <w:noProof/>
        </w:rPr>
        <w:t> </w:t>
      </w:r>
      <w:r w:rsidR="00C13C75" w:rsidRPr="00853D04">
        <w:rPr>
          <w:noProof/>
        </w:rPr>
        <w:t>zas</w:t>
      </w:r>
      <w:r w:rsidR="001E4FDC" w:rsidRPr="00853D04">
        <w:rPr>
          <w:noProof/>
        </w:rPr>
        <w:t>adą pomocniczości określoną</w:t>
      </w:r>
      <w:r w:rsidR="00C13C75" w:rsidRPr="00853D04">
        <w:rPr>
          <w:noProof/>
        </w:rPr>
        <w:t xml:space="preserve"> w</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5</w:t>
      </w:r>
      <w:r w:rsidR="001E4FDC" w:rsidRPr="00853D04">
        <w:rPr>
          <w:noProof/>
        </w:rPr>
        <w:t xml:space="preserve"> Traktatu</w:t>
      </w:r>
      <w:r w:rsidR="00C13C75" w:rsidRPr="00853D04">
        <w:rPr>
          <w:noProof/>
        </w:rPr>
        <w:t xml:space="preserve"> o</w:t>
      </w:r>
      <w:r w:rsidR="00C13C75">
        <w:rPr>
          <w:noProof/>
        </w:rPr>
        <w:t> </w:t>
      </w:r>
      <w:r w:rsidR="00C13C75" w:rsidRPr="00853D04">
        <w:rPr>
          <w:noProof/>
        </w:rPr>
        <w:t>Uni</w:t>
      </w:r>
      <w:r w:rsidR="001E4FDC" w:rsidRPr="00853D04">
        <w:rPr>
          <w:noProof/>
        </w:rPr>
        <w:t>i Europejskiej. Zgodnie</w:t>
      </w:r>
      <w:r w:rsidR="00C13C75" w:rsidRPr="00853D04">
        <w:rPr>
          <w:noProof/>
        </w:rPr>
        <w:t xml:space="preserve"> z</w:t>
      </w:r>
      <w:r w:rsidR="00C13C75">
        <w:rPr>
          <w:noProof/>
        </w:rPr>
        <w:t> </w:t>
      </w:r>
      <w:r w:rsidR="00C13C75" w:rsidRPr="00853D04">
        <w:rPr>
          <w:noProof/>
        </w:rPr>
        <w:t>zas</w:t>
      </w:r>
      <w:r w:rsidR="001E4FDC" w:rsidRPr="00853D04">
        <w:rPr>
          <w:noProof/>
        </w:rPr>
        <w:t>adą proporcjonalności określoną</w:t>
      </w:r>
      <w:r w:rsidR="00C13C75" w:rsidRPr="00853D04">
        <w:rPr>
          <w:noProof/>
        </w:rPr>
        <w:t xml:space="preserve"> w</w:t>
      </w:r>
      <w:r w:rsidR="00C13C75">
        <w:rPr>
          <w:noProof/>
        </w:rPr>
        <w:t> </w:t>
      </w:r>
      <w:r w:rsidR="00C13C75" w:rsidRPr="00853D04">
        <w:rPr>
          <w:noProof/>
        </w:rPr>
        <w:t>tym</w:t>
      </w:r>
      <w:r w:rsidR="001E4FDC" w:rsidRPr="00853D04">
        <w:rPr>
          <w:noProof/>
        </w:rPr>
        <w:t xml:space="preserve"> artykule niniejsza dyrektywa nie wykracza poza to, co jest konieczne do osiągnięcia tych celów.</w:t>
      </w:r>
    </w:p>
    <w:p w14:paraId="373BF6BB" w14:textId="2F1424CF" w:rsidR="001E4FDC" w:rsidRPr="00853D04" w:rsidRDefault="008D78F5" w:rsidP="008D78F5">
      <w:pPr>
        <w:pStyle w:val="ManualConsidrant"/>
        <w:rPr>
          <w:noProof/>
        </w:rPr>
      </w:pPr>
      <w:r w:rsidRPr="008D78F5">
        <w:t>(51)</w:t>
      </w:r>
      <w:r w:rsidRPr="008D78F5">
        <w:tab/>
      </w:r>
      <w:r w:rsidR="001E4FDC" w:rsidRPr="00853D04">
        <w:rPr>
          <w:noProof/>
        </w:rPr>
        <w:t>Zgodnie</w:t>
      </w:r>
      <w:r w:rsidR="00C13C75" w:rsidRPr="00853D04">
        <w:rPr>
          <w:noProof/>
        </w:rPr>
        <w:t xml:space="preserve"> z</w:t>
      </w:r>
      <w:r w:rsidR="00C13C75">
        <w:rPr>
          <w:noProof/>
        </w:rPr>
        <w:t> </w:t>
      </w:r>
      <w:r w:rsidR="00C13C75" w:rsidRPr="00C13C75">
        <w:rPr>
          <w:noProof/>
        </w:rPr>
        <w:t>art</w:t>
      </w:r>
      <w:r w:rsidR="001E4FDC" w:rsidRPr="00C13C75">
        <w:rPr>
          <w:noProof/>
        </w:rPr>
        <w:t>.</w:t>
      </w:r>
      <w:r w:rsidR="00C13C75" w:rsidRPr="00C13C75">
        <w:rPr>
          <w:noProof/>
        </w:rPr>
        <w:t> </w:t>
      </w:r>
      <w:r w:rsidR="001E4FDC" w:rsidRPr="00C13C75">
        <w:rPr>
          <w:noProof/>
        </w:rPr>
        <w:t>4</w:t>
      </w:r>
      <w:r w:rsidR="001E4FDC" w:rsidRPr="00853D04">
        <w:rPr>
          <w:noProof/>
        </w:rPr>
        <w:t xml:space="preserve">2 </w:t>
      </w:r>
      <w:r w:rsidR="001E4FDC" w:rsidRPr="00C13C75">
        <w:rPr>
          <w:noProof/>
        </w:rPr>
        <w:t>ust.</w:t>
      </w:r>
      <w:r w:rsidR="00C13C75" w:rsidRPr="00C13C75">
        <w:rPr>
          <w:noProof/>
        </w:rPr>
        <w:t> </w:t>
      </w:r>
      <w:r w:rsidR="001E4FDC" w:rsidRPr="00C13C75">
        <w:rPr>
          <w:noProof/>
        </w:rPr>
        <w:t>1</w:t>
      </w:r>
      <w:r w:rsidR="001E4FDC" w:rsidRPr="00853D04">
        <w:rPr>
          <w:noProof/>
        </w:rPr>
        <w:t xml:space="preserve"> rozporządzenia (UE) 2018/1725 skonsultowano się</w:t>
      </w:r>
      <w:r w:rsidR="00C13C75" w:rsidRPr="00853D04">
        <w:rPr>
          <w:noProof/>
        </w:rPr>
        <w:t xml:space="preserve"> z</w:t>
      </w:r>
      <w:r w:rsidR="00C13C75">
        <w:rPr>
          <w:noProof/>
        </w:rPr>
        <w:t> </w:t>
      </w:r>
      <w:r w:rsidR="00C13C75" w:rsidRPr="00853D04">
        <w:rPr>
          <w:noProof/>
        </w:rPr>
        <w:t>Eur</w:t>
      </w:r>
      <w:r w:rsidR="001E4FDC" w:rsidRPr="00853D04">
        <w:rPr>
          <w:noProof/>
        </w:rPr>
        <w:t>opejskim Inspektorem Ochrony Danych, który wydał opinię</w:t>
      </w:r>
      <w:r w:rsidR="00C13C75" w:rsidRPr="00853D04">
        <w:rPr>
          <w:noProof/>
        </w:rPr>
        <w:t xml:space="preserve"> w</w:t>
      </w:r>
      <w:r w:rsidR="00C13C75">
        <w:rPr>
          <w:noProof/>
        </w:rPr>
        <w:t> </w:t>
      </w:r>
      <w:r w:rsidR="00C13C75" w:rsidRPr="00853D04">
        <w:rPr>
          <w:noProof/>
        </w:rPr>
        <w:t>dni</w:t>
      </w:r>
      <w:r w:rsidR="001E4FDC" w:rsidRPr="00853D04">
        <w:rPr>
          <w:noProof/>
        </w:rPr>
        <w:t>u 27 czerwca 20</w:t>
      </w:r>
      <w:r w:rsidR="001E4FDC" w:rsidRPr="00C13C75">
        <w:rPr>
          <w:noProof/>
        </w:rPr>
        <w:t>23</w:t>
      </w:r>
      <w:r w:rsidR="00C13C75" w:rsidRPr="00C13C75">
        <w:rPr>
          <w:noProof/>
        </w:rPr>
        <w:t> </w:t>
      </w:r>
      <w:r w:rsidR="001E4FDC" w:rsidRPr="00C13C75">
        <w:rPr>
          <w:noProof/>
        </w:rPr>
        <w:t>r.</w:t>
      </w:r>
      <w:r w:rsidR="001E4FDC" w:rsidRPr="00853D04">
        <w:rPr>
          <w:noProof/>
        </w:rPr>
        <w:t>,</w:t>
      </w:r>
    </w:p>
    <w:p w14:paraId="12753EAD" w14:textId="77777777" w:rsidR="00141B35" w:rsidRPr="00853D04" w:rsidRDefault="00141B35" w:rsidP="00141B35">
      <w:pPr>
        <w:pStyle w:val="Formuledadoption"/>
        <w:rPr>
          <w:noProof/>
        </w:rPr>
      </w:pPr>
      <w:r w:rsidRPr="00853D04">
        <w:rPr>
          <w:noProof/>
        </w:rPr>
        <w:t>PRZYJMUJĄ NINIEJSZĄ DYREKTYWĘ:</w:t>
      </w:r>
    </w:p>
    <w:p w14:paraId="36F2250D" w14:textId="77777777" w:rsidR="00141B35" w:rsidRPr="00853D04" w:rsidRDefault="00141B35" w:rsidP="00141B35">
      <w:pPr>
        <w:pStyle w:val="ChapterTitle"/>
        <w:rPr>
          <w:noProof/>
        </w:rPr>
      </w:pPr>
      <w:r w:rsidRPr="00853D04">
        <w:rPr>
          <w:noProof/>
        </w:rPr>
        <w:t xml:space="preserve">Rozdział 1 </w:t>
      </w:r>
    </w:p>
    <w:p w14:paraId="02843207" w14:textId="77777777" w:rsidR="00141B35" w:rsidRPr="00853D04" w:rsidRDefault="00141B35" w:rsidP="00141B35">
      <w:pPr>
        <w:pStyle w:val="ChapterTitle"/>
        <w:rPr>
          <w:noProof/>
        </w:rPr>
      </w:pPr>
      <w:r w:rsidRPr="00853D04">
        <w:rPr>
          <w:noProof/>
        </w:rPr>
        <w:t>Przepisy ogólne</w:t>
      </w:r>
    </w:p>
    <w:p w14:paraId="247FE2E7" w14:textId="77777777" w:rsidR="00141B35" w:rsidRPr="00853D04" w:rsidRDefault="00141B35" w:rsidP="00141B35">
      <w:pPr>
        <w:pStyle w:val="Titrearticle"/>
        <w:rPr>
          <w:noProof/>
        </w:rPr>
      </w:pPr>
      <w:r w:rsidRPr="00853D04">
        <w:rPr>
          <w:noProof/>
        </w:rPr>
        <w:t>Artykuł 1</w:t>
      </w:r>
    </w:p>
    <w:p w14:paraId="59307FC6" w14:textId="77777777" w:rsidR="00141B35" w:rsidRPr="00853D04" w:rsidRDefault="00141B35" w:rsidP="00141B35">
      <w:pPr>
        <w:pStyle w:val="Titrearticle"/>
        <w:rPr>
          <w:noProof/>
        </w:rPr>
      </w:pPr>
      <w:r w:rsidRPr="00853D04">
        <w:rPr>
          <w:noProof/>
        </w:rPr>
        <w:t xml:space="preserve">Przedmiot </w:t>
      </w:r>
    </w:p>
    <w:p w14:paraId="34A2C731" w14:textId="6DD81FDB" w:rsidR="00141B35" w:rsidRPr="00C13C75" w:rsidRDefault="00141B35" w:rsidP="005851FD">
      <w:pPr>
        <w:rPr>
          <w:noProof/>
        </w:rPr>
      </w:pPr>
      <w:r w:rsidRPr="00853D04">
        <w:rPr>
          <w:noProof/>
        </w:rPr>
        <w:t>W niniejszej dyrektywie określono środki koordynujące warunki zakładania</w:t>
      </w:r>
      <w:r w:rsidR="00C13C75" w:rsidRPr="00853D04">
        <w:rPr>
          <w:noProof/>
        </w:rPr>
        <w:t xml:space="preserve"> i</w:t>
      </w:r>
      <w:r w:rsidR="00C13C75">
        <w:rPr>
          <w:noProof/>
        </w:rPr>
        <w:t> </w:t>
      </w:r>
      <w:r w:rsidR="00C13C75" w:rsidRPr="00853D04">
        <w:rPr>
          <w:noProof/>
        </w:rPr>
        <w:t>pro</w:t>
      </w:r>
      <w:r w:rsidRPr="00853D04">
        <w:rPr>
          <w:noProof/>
        </w:rPr>
        <w:t>wadzenia „europejskich stowarzyszeń transgranicznych”</w:t>
      </w:r>
      <w:r w:rsidR="00C13C75" w:rsidRPr="00853D04">
        <w:rPr>
          <w:noProof/>
        </w:rPr>
        <w:t xml:space="preserve"> w</w:t>
      </w:r>
      <w:r w:rsidR="00C13C75">
        <w:rPr>
          <w:noProof/>
        </w:rPr>
        <w:t> </w:t>
      </w:r>
      <w:r w:rsidR="00C13C75" w:rsidRPr="00853D04">
        <w:rPr>
          <w:noProof/>
        </w:rPr>
        <w:t>cel</w:t>
      </w:r>
      <w:r w:rsidRPr="00853D04">
        <w:rPr>
          <w:noProof/>
        </w:rPr>
        <w:t>u ułatwienia skutecznego korzystania przez stowarzyszenia niekomercyjne</w:t>
      </w:r>
      <w:r w:rsidR="00C13C75" w:rsidRPr="00853D04">
        <w:rPr>
          <w:noProof/>
        </w:rPr>
        <w:t xml:space="preserve"> z</w:t>
      </w:r>
      <w:r w:rsidR="00C13C75">
        <w:rPr>
          <w:noProof/>
        </w:rPr>
        <w:t> </w:t>
      </w:r>
      <w:r w:rsidR="00C13C75" w:rsidRPr="00853D04">
        <w:rPr>
          <w:noProof/>
        </w:rPr>
        <w:t>ich</w:t>
      </w:r>
      <w:r w:rsidRPr="00853D04">
        <w:rPr>
          <w:noProof/>
        </w:rPr>
        <w:t xml:space="preserve"> praw związanych ze swobodą przedsiębiorczości, swobodnym przepływem kapitału, swobodą świadczenia usług</w:t>
      </w:r>
      <w:r w:rsidR="00C13C75" w:rsidRPr="00853D04">
        <w:rPr>
          <w:noProof/>
        </w:rPr>
        <w:t xml:space="preserve"> i</w:t>
      </w:r>
      <w:r w:rsidR="00C13C75">
        <w:rPr>
          <w:noProof/>
        </w:rPr>
        <w:t> </w:t>
      </w:r>
      <w:r w:rsidR="00C13C75" w:rsidRPr="00853D04">
        <w:rPr>
          <w:noProof/>
        </w:rPr>
        <w:t>kor</w:t>
      </w:r>
      <w:r w:rsidRPr="00853D04">
        <w:rPr>
          <w:noProof/>
        </w:rPr>
        <w:t>zystania</w:t>
      </w:r>
      <w:r w:rsidR="00C13C75" w:rsidRPr="00853D04">
        <w:rPr>
          <w:noProof/>
        </w:rPr>
        <w:t xml:space="preserve"> z</w:t>
      </w:r>
      <w:r w:rsidR="00C13C75">
        <w:rPr>
          <w:noProof/>
        </w:rPr>
        <w:t> </w:t>
      </w:r>
      <w:r w:rsidR="00C13C75" w:rsidRPr="00853D04">
        <w:rPr>
          <w:noProof/>
        </w:rPr>
        <w:t>nic</w:t>
      </w:r>
      <w:r w:rsidRPr="00853D04">
        <w:rPr>
          <w:noProof/>
        </w:rPr>
        <w:t>h oraz swobodnym przepływem towarów na rynku wewnętrznym</w:t>
      </w:r>
      <w:r w:rsidRPr="00C13C75">
        <w:rPr>
          <w:noProof/>
        </w:rPr>
        <w:t>.</w:t>
      </w:r>
      <w:r w:rsidR="00C13C75" w:rsidRPr="00C13C75">
        <w:rPr>
          <w:noProof/>
        </w:rPr>
        <w:t xml:space="preserve"> </w:t>
      </w:r>
    </w:p>
    <w:p w14:paraId="63C06ABB" w14:textId="77777777" w:rsidR="00141B35" w:rsidRPr="00853D04" w:rsidRDefault="00141B35" w:rsidP="00141B35">
      <w:pPr>
        <w:pStyle w:val="Titrearticle"/>
        <w:rPr>
          <w:noProof/>
        </w:rPr>
      </w:pPr>
      <w:r w:rsidRPr="00853D04">
        <w:rPr>
          <w:noProof/>
        </w:rPr>
        <w:t>Artykuł 2</w:t>
      </w:r>
    </w:p>
    <w:p w14:paraId="67CB7028" w14:textId="77777777" w:rsidR="00141B35" w:rsidRPr="00853D04" w:rsidRDefault="00141B35" w:rsidP="00141B35">
      <w:pPr>
        <w:pStyle w:val="Titrearticle"/>
        <w:rPr>
          <w:noProof/>
        </w:rPr>
      </w:pPr>
      <w:r w:rsidRPr="00853D04">
        <w:rPr>
          <w:noProof/>
        </w:rPr>
        <w:t xml:space="preserve">Definicje </w:t>
      </w:r>
    </w:p>
    <w:p w14:paraId="029AA1C6" w14:textId="77777777" w:rsidR="00141B35" w:rsidRPr="00853D04" w:rsidRDefault="00141B35" w:rsidP="00141B35">
      <w:pPr>
        <w:rPr>
          <w:noProof/>
        </w:rPr>
      </w:pPr>
      <w:r w:rsidRPr="00853D04">
        <w:rPr>
          <w:noProof/>
        </w:rPr>
        <w:t>Do celów niniejszej dyrektywy stosuje się następujące definicje:</w:t>
      </w:r>
    </w:p>
    <w:p w14:paraId="013CEA59" w14:textId="6980AA8D" w:rsidR="00141B35" w:rsidRPr="00853D04" w:rsidRDefault="00C13C75" w:rsidP="00C13C75">
      <w:pPr>
        <w:pStyle w:val="Point0"/>
        <w:rPr>
          <w:noProof/>
        </w:rPr>
      </w:pPr>
      <w:r>
        <w:rPr>
          <w:noProof/>
        </w:rPr>
        <w:t>a)</w:t>
      </w:r>
      <w:r>
        <w:rPr>
          <w:noProof/>
        </w:rPr>
        <w:tab/>
      </w:r>
      <w:r w:rsidR="00141B35" w:rsidRPr="00853D04">
        <w:rPr>
          <w:noProof/>
        </w:rPr>
        <w:t>„państwo członkowskie pochodzenia” oznacza państwo członkowskie,</w:t>
      </w:r>
      <w:r w:rsidRPr="00853D04">
        <w:rPr>
          <w:noProof/>
        </w:rPr>
        <w:t xml:space="preserve"> w</w:t>
      </w:r>
      <w:r>
        <w:rPr>
          <w:noProof/>
        </w:rPr>
        <w:t> </w:t>
      </w:r>
      <w:r w:rsidRPr="00853D04">
        <w:rPr>
          <w:noProof/>
        </w:rPr>
        <w:t>któ</w:t>
      </w:r>
      <w:r w:rsidR="00141B35" w:rsidRPr="00853D04">
        <w:rPr>
          <w:noProof/>
        </w:rPr>
        <w:t>rym europejskie stowarzyszenie transgraniczne ustanawia swoją siedzibę statutową lub do którego ją przenosi;</w:t>
      </w:r>
    </w:p>
    <w:p w14:paraId="18F6FB67" w14:textId="2BB78945" w:rsidR="00141B35" w:rsidRPr="00853D04" w:rsidRDefault="00C13C75" w:rsidP="00C13C75">
      <w:pPr>
        <w:pStyle w:val="Point0"/>
        <w:rPr>
          <w:noProof/>
        </w:rPr>
      </w:pPr>
      <w:r>
        <w:rPr>
          <w:noProof/>
        </w:rPr>
        <w:t>b)</w:t>
      </w:r>
      <w:r>
        <w:rPr>
          <w:noProof/>
        </w:rPr>
        <w:tab/>
      </w:r>
      <w:r w:rsidR="00141B35" w:rsidRPr="00853D04">
        <w:rPr>
          <w:noProof/>
        </w:rPr>
        <w:t>„przyjmujące państwo członkowskie” oznacza państwo członkowskie inne niż państwo członkowskie pochodzenia,</w:t>
      </w:r>
      <w:r w:rsidRPr="00853D04">
        <w:rPr>
          <w:noProof/>
        </w:rPr>
        <w:t xml:space="preserve"> w</w:t>
      </w:r>
      <w:r>
        <w:rPr>
          <w:noProof/>
        </w:rPr>
        <w:t> </w:t>
      </w:r>
      <w:r w:rsidRPr="00853D04">
        <w:rPr>
          <w:noProof/>
        </w:rPr>
        <w:t>któ</w:t>
      </w:r>
      <w:r w:rsidR="00141B35" w:rsidRPr="00853D04">
        <w:rPr>
          <w:noProof/>
        </w:rPr>
        <w:t xml:space="preserve">rym europejskie stowarzyszenie transgraniczne prowadzi działalność; </w:t>
      </w:r>
    </w:p>
    <w:p w14:paraId="56176931" w14:textId="3F55930B" w:rsidR="00133063" w:rsidRPr="00853D04" w:rsidRDefault="00C13C75" w:rsidP="00C13C75">
      <w:pPr>
        <w:pStyle w:val="Point0"/>
        <w:rPr>
          <w:noProof/>
        </w:rPr>
      </w:pPr>
      <w:r>
        <w:rPr>
          <w:noProof/>
        </w:rPr>
        <w:t>c)</w:t>
      </w:r>
      <w:r>
        <w:rPr>
          <w:noProof/>
        </w:rPr>
        <w:tab/>
      </w:r>
      <w:r w:rsidR="00133063" w:rsidRPr="00853D04">
        <w:rPr>
          <w:noProof/>
        </w:rPr>
        <w:t>„niedochodowy cel” oznacza, że niezależnie od tego, czy działalność stowarzyszenia ma charakter gospodarczy, wszelkie osiągnięte zyski są wykorzystywane wyłącznie do realizacji celów europejskiego stowarzyszenia transgranicznego określonych</w:t>
      </w:r>
      <w:r w:rsidRPr="00853D04">
        <w:rPr>
          <w:noProof/>
        </w:rPr>
        <w:t xml:space="preserve"> w</w:t>
      </w:r>
      <w:r>
        <w:rPr>
          <w:noProof/>
        </w:rPr>
        <w:t> </w:t>
      </w:r>
      <w:r w:rsidRPr="00853D04">
        <w:rPr>
          <w:noProof/>
        </w:rPr>
        <w:t>jeg</w:t>
      </w:r>
      <w:r w:rsidR="00133063" w:rsidRPr="00853D04">
        <w:rPr>
          <w:noProof/>
        </w:rPr>
        <w:t>o statucie</w:t>
      </w:r>
      <w:r w:rsidRPr="00853D04">
        <w:rPr>
          <w:noProof/>
        </w:rPr>
        <w:t xml:space="preserve"> i</w:t>
      </w:r>
      <w:r>
        <w:rPr>
          <w:noProof/>
        </w:rPr>
        <w:t> </w:t>
      </w:r>
      <w:r w:rsidRPr="00853D04">
        <w:rPr>
          <w:noProof/>
        </w:rPr>
        <w:t>nie</w:t>
      </w:r>
      <w:r w:rsidR="00133063" w:rsidRPr="00853D04">
        <w:rPr>
          <w:noProof/>
        </w:rPr>
        <w:t xml:space="preserve"> mogą być rozdzielane między jego członków;</w:t>
      </w:r>
    </w:p>
    <w:p w14:paraId="5B2B4E27" w14:textId="21D00503" w:rsidR="00BF077B" w:rsidRPr="00853D04" w:rsidRDefault="00C13C75" w:rsidP="00C13C75">
      <w:pPr>
        <w:pStyle w:val="Point0"/>
        <w:rPr>
          <w:noProof/>
        </w:rPr>
      </w:pPr>
      <w:r>
        <w:rPr>
          <w:noProof/>
        </w:rPr>
        <w:t>d)</w:t>
      </w:r>
      <w:r>
        <w:rPr>
          <w:noProof/>
        </w:rPr>
        <w:tab/>
      </w:r>
      <w:r w:rsidR="00141B35" w:rsidRPr="00853D04">
        <w:rPr>
          <w:noProof/>
        </w:rPr>
        <w:t>„stowarzyszenie niekomercyjne” oznacza podmiot prawny działający na podstawie prawa krajowego, który jest oparty na członkostwie, ma niedochodowy cel</w:t>
      </w:r>
      <w:r w:rsidRPr="00853D04">
        <w:rPr>
          <w:noProof/>
        </w:rPr>
        <w:t xml:space="preserve"> i</w:t>
      </w:r>
      <w:r>
        <w:rPr>
          <w:noProof/>
        </w:rPr>
        <w:t> </w:t>
      </w:r>
      <w:r w:rsidRPr="00853D04">
        <w:rPr>
          <w:noProof/>
        </w:rPr>
        <w:t>oso</w:t>
      </w:r>
      <w:r w:rsidR="00141B35" w:rsidRPr="00853D04">
        <w:rPr>
          <w:noProof/>
        </w:rPr>
        <w:t>bowość prawną;</w:t>
      </w:r>
    </w:p>
    <w:p w14:paraId="276219EB" w14:textId="7439973C" w:rsidR="00A45D63" w:rsidRPr="00853D04" w:rsidRDefault="00C13C75" w:rsidP="00C13C75">
      <w:pPr>
        <w:pStyle w:val="Point0"/>
        <w:rPr>
          <w:noProof/>
        </w:rPr>
      </w:pPr>
      <w:r>
        <w:rPr>
          <w:noProof/>
        </w:rPr>
        <w:t>e)</w:t>
      </w:r>
      <w:r>
        <w:rPr>
          <w:noProof/>
        </w:rPr>
        <w:tab/>
      </w:r>
      <w:r w:rsidR="00A45D63" w:rsidRPr="00853D04">
        <w:rPr>
          <w:noProof/>
        </w:rPr>
        <w:t>„certyfikat europejskiego stowarzyszenia transgranicznego” oznacza certyfikat wydany przez właściwy organ państwa członkowskiego pochodzenia, służący jako dowód rejestracji europejskiego stowarzyszenia transgranicznego.</w:t>
      </w:r>
    </w:p>
    <w:p w14:paraId="7989077D" w14:textId="77777777" w:rsidR="00141B35" w:rsidRPr="00853D04" w:rsidRDefault="00141B35" w:rsidP="00141B35">
      <w:pPr>
        <w:pStyle w:val="Titrearticle"/>
        <w:rPr>
          <w:noProof/>
        </w:rPr>
      </w:pPr>
      <w:bookmarkStart w:id="1" w:name="_Hlk143508500"/>
      <w:r w:rsidRPr="00853D04">
        <w:rPr>
          <w:noProof/>
        </w:rPr>
        <w:t>Artykuł 3</w:t>
      </w:r>
    </w:p>
    <w:p w14:paraId="18F12C51" w14:textId="77777777" w:rsidR="00141B35" w:rsidRPr="00853D04" w:rsidRDefault="00141B35" w:rsidP="00141B35">
      <w:pPr>
        <w:pStyle w:val="Titrearticle"/>
        <w:rPr>
          <w:noProof/>
        </w:rPr>
      </w:pPr>
      <w:r w:rsidRPr="00853D04">
        <w:rPr>
          <w:noProof/>
        </w:rPr>
        <w:t>Europejskie stowarzyszenie transgraniczne</w:t>
      </w:r>
    </w:p>
    <w:p w14:paraId="773DD419" w14:textId="50F3ABD7" w:rsidR="00394A0C" w:rsidRPr="00853D04" w:rsidRDefault="008D78F5" w:rsidP="008D78F5">
      <w:pPr>
        <w:pStyle w:val="ManualNumPar1"/>
        <w:rPr>
          <w:noProof/>
        </w:rPr>
      </w:pPr>
      <w:r w:rsidRPr="008D78F5">
        <w:t>1.</w:t>
      </w:r>
      <w:r w:rsidRPr="008D78F5">
        <w:tab/>
      </w:r>
      <w:r w:rsidR="003A7B42" w:rsidRPr="00853D04">
        <w:rPr>
          <w:noProof/>
        </w:rPr>
        <w:t>Każde państwo członkowskie ustanawia</w:t>
      </w:r>
      <w:r w:rsidR="00C13C75" w:rsidRPr="00853D04">
        <w:rPr>
          <w:noProof/>
        </w:rPr>
        <w:t xml:space="preserve"> w</w:t>
      </w:r>
      <w:r w:rsidR="00C13C75">
        <w:rPr>
          <w:noProof/>
        </w:rPr>
        <w:t> </w:t>
      </w:r>
      <w:r w:rsidR="00C13C75" w:rsidRPr="00853D04">
        <w:rPr>
          <w:noProof/>
        </w:rPr>
        <w:t>swo</w:t>
      </w:r>
      <w:r w:rsidR="003A7B42" w:rsidRPr="00853D04">
        <w:rPr>
          <w:noProof/>
        </w:rPr>
        <w:t>im systemie prawnym formę prawną europejskiego stowarzyszenia transgranicznego. Państwa członkowskie zapewniają, aby europejskie stowarzyszenie transgraniczne było podmiotem prawnym opartym na członkostwie, utworzonym</w:t>
      </w:r>
      <w:r w:rsidR="00C13C75" w:rsidRPr="00853D04">
        <w:rPr>
          <w:noProof/>
        </w:rPr>
        <w:t xml:space="preserve"> w</w:t>
      </w:r>
      <w:r w:rsidR="00C13C75">
        <w:rPr>
          <w:noProof/>
        </w:rPr>
        <w:t> </w:t>
      </w:r>
      <w:r w:rsidR="00C13C75" w:rsidRPr="00853D04">
        <w:rPr>
          <w:noProof/>
        </w:rPr>
        <w:t>dro</w:t>
      </w:r>
      <w:r w:rsidR="003A7B42" w:rsidRPr="00853D04">
        <w:rPr>
          <w:noProof/>
        </w:rPr>
        <w:t>dze dobrowolnego porozumienia przez osoby fizyczne będące obywatelami Unii lub legalnie przebywające w UE lub podmioty prawne</w:t>
      </w:r>
      <w:r w:rsidR="00C13C75" w:rsidRPr="00853D04">
        <w:rPr>
          <w:noProof/>
        </w:rPr>
        <w:t xml:space="preserve"> o</w:t>
      </w:r>
      <w:r w:rsidR="00C13C75">
        <w:rPr>
          <w:noProof/>
        </w:rPr>
        <w:t> </w:t>
      </w:r>
      <w:r w:rsidR="00C13C75" w:rsidRPr="00853D04">
        <w:rPr>
          <w:noProof/>
        </w:rPr>
        <w:t>nie</w:t>
      </w:r>
      <w:r w:rsidR="003A7B42" w:rsidRPr="00853D04">
        <w:rPr>
          <w:noProof/>
        </w:rPr>
        <w:t>dochodowym celu, zgodnie</w:t>
      </w:r>
      <w:r w:rsidR="00C13C75" w:rsidRPr="00853D04">
        <w:rPr>
          <w:noProof/>
        </w:rPr>
        <w:t xml:space="preserve"> z</w:t>
      </w:r>
      <w:r w:rsidR="00C13C75">
        <w:rPr>
          <w:noProof/>
        </w:rPr>
        <w:t> </w:t>
      </w:r>
      <w:r w:rsidR="00C13C75" w:rsidRPr="00853D04">
        <w:rPr>
          <w:noProof/>
        </w:rPr>
        <w:t>pra</w:t>
      </w:r>
      <w:r w:rsidR="003A7B42" w:rsidRPr="00853D04">
        <w:rPr>
          <w:noProof/>
        </w:rPr>
        <w:t>wem mające siedzibę</w:t>
      </w:r>
      <w:r w:rsidR="00C13C75" w:rsidRPr="00853D04">
        <w:rPr>
          <w:noProof/>
        </w:rPr>
        <w:t xml:space="preserve"> w</w:t>
      </w:r>
      <w:r w:rsidR="00C13C75">
        <w:rPr>
          <w:noProof/>
        </w:rPr>
        <w:t> </w:t>
      </w:r>
      <w:r w:rsidR="00C13C75" w:rsidRPr="00853D04">
        <w:rPr>
          <w:noProof/>
        </w:rPr>
        <w:t>Uni</w:t>
      </w:r>
      <w:r w:rsidR="003A7B42" w:rsidRPr="00853D04">
        <w:rPr>
          <w:noProof/>
        </w:rPr>
        <w:t>i,</w:t>
      </w:r>
      <w:r w:rsidR="00C13C75" w:rsidRPr="00853D04">
        <w:rPr>
          <w:noProof/>
        </w:rPr>
        <w:t xml:space="preserve"> z</w:t>
      </w:r>
      <w:r w:rsidR="00C13C75">
        <w:rPr>
          <w:noProof/>
        </w:rPr>
        <w:t> </w:t>
      </w:r>
      <w:r w:rsidR="00C13C75" w:rsidRPr="00853D04">
        <w:rPr>
          <w:noProof/>
        </w:rPr>
        <w:t>wyj</w:t>
      </w:r>
      <w:r w:rsidR="003A7B42" w:rsidRPr="00853D04">
        <w:rPr>
          <w:noProof/>
        </w:rPr>
        <w:t>ątkiem:</w:t>
      </w:r>
    </w:p>
    <w:p w14:paraId="19FEB786" w14:textId="5508FA78" w:rsidR="00394A0C" w:rsidRPr="00853D04" w:rsidRDefault="00C13C75" w:rsidP="00C13C75">
      <w:pPr>
        <w:pStyle w:val="Point1"/>
        <w:rPr>
          <w:noProof/>
        </w:rPr>
      </w:pPr>
      <w:r>
        <w:rPr>
          <w:noProof/>
        </w:rPr>
        <w:t>a)</w:t>
      </w:r>
      <w:r>
        <w:rPr>
          <w:noProof/>
        </w:rPr>
        <w:tab/>
      </w:r>
      <w:r w:rsidR="00394A0C" w:rsidRPr="00853D04">
        <w:rPr>
          <w:noProof/>
        </w:rPr>
        <w:t>związków zawodowych, partii politycznych, organizacji religijnych</w:t>
      </w:r>
      <w:r w:rsidRPr="00853D04">
        <w:rPr>
          <w:noProof/>
        </w:rPr>
        <w:t xml:space="preserve"> i</w:t>
      </w:r>
      <w:r>
        <w:rPr>
          <w:noProof/>
        </w:rPr>
        <w:t> </w:t>
      </w:r>
      <w:r w:rsidRPr="00853D04">
        <w:rPr>
          <w:noProof/>
        </w:rPr>
        <w:t>zrz</w:t>
      </w:r>
      <w:r w:rsidR="00394A0C" w:rsidRPr="00853D04">
        <w:rPr>
          <w:noProof/>
        </w:rPr>
        <w:t>eszeń takich podmiotów;</w:t>
      </w:r>
    </w:p>
    <w:p w14:paraId="5BD34DA5" w14:textId="0914A039" w:rsidR="00DE0DA5" w:rsidRPr="00853D04" w:rsidRDefault="00C13C75" w:rsidP="00C13C75">
      <w:pPr>
        <w:pStyle w:val="Point1"/>
        <w:rPr>
          <w:noProof/>
        </w:rPr>
      </w:pPr>
      <w:r>
        <w:rPr>
          <w:noProof/>
        </w:rPr>
        <w:t>b)</w:t>
      </w:r>
      <w:r>
        <w:rPr>
          <w:noProof/>
        </w:rPr>
        <w:tab/>
      </w:r>
      <w:r w:rsidR="00394A0C" w:rsidRPr="00853D04">
        <w:rPr>
          <w:noProof/>
        </w:rPr>
        <w:t>osób, które zostały skazane za przestępstwa polegające na praniu pieniędzy, powiązane przestępstwa źródłowe lub finansowanie terroryzmu;</w:t>
      </w:r>
    </w:p>
    <w:p w14:paraId="54569519" w14:textId="073848BF" w:rsidR="00394A0C" w:rsidRPr="00853D04" w:rsidRDefault="00C13C75" w:rsidP="00C13C75">
      <w:pPr>
        <w:pStyle w:val="Point1"/>
        <w:rPr>
          <w:noProof/>
        </w:rPr>
      </w:pPr>
      <w:r>
        <w:rPr>
          <w:noProof/>
        </w:rPr>
        <w:t>c)</w:t>
      </w:r>
      <w:r>
        <w:rPr>
          <w:noProof/>
        </w:rPr>
        <w:tab/>
      </w:r>
      <w:r w:rsidR="00DE0DA5" w:rsidRPr="00853D04">
        <w:rPr>
          <w:noProof/>
        </w:rPr>
        <w:t>osób, które podlegają środkom zakazującym ich działalności</w:t>
      </w:r>
      <w:r w:rsidRPr="00853D04">
        <w:rPr>
          <w:noProof/>
        </w:rPr>
        <w:t xml:space="preserve"> w</w:t>
      </w:r>
      <w:r>
        <w:rPr>
          <w:noProof/>
        </w:rPr>
        <w:t> </w:t>
      </w:r>
      <w:r w:rsidRPr="00853D04">
        <w:rPr>
          <w:noProof/>
        </w:rPr>
        <w:t>pań</w:t>
      </w:r>
      <w:r w:rsidR="00DE0DA5" w:rsidRPr="00853D04">
        <w:rPr>
          <w:noProof/>
        </w:rPr>
        <w:t>stwie członkowskim</w:t>
      </w:r>
      <w:r w:rsidRPr="00853D04">
        <w:rPr>
          <w:noProof/>
        </w:rPr>
        <w:t xml:space="preserve"> w</w:t>
      </w:r>
      <w:r>
        <w:rPr>
          <w:noProof/>
        </w:rPr>
        <w:t> </w:t>
      </w:r>
      <w:r w:rsidRPr="00853D04">
        <w:rPr>
          <w:noProof/>
        </w:rPr>
        <w:t>zwi</w:t>
      </w:r>
      <w:r w:rsidR="00DE0DA5" w:rsidRPr="00853D04">
        <w:rPr>
          <w:noProof/>
        </w:rPr>
        <w:t>ązku</w:t>
      </w:r>
      <w:r w:rsidRPr="00853D04">
        <w:rPr>
          <w:noProof/>
        </w:rPr>
        <w:t xml:space="preserve"> z</w:t>
      </w:r>
      <w:r>
        <w:rPr>
          <w:noProof/>
        </w:rPr>
        <w:t> </w:t>
      </w:r>
      <w:r w:rsidRPr="00853D04">
        <w:rPr>
          <w:noProof/>
        </w:rPr>
        <w:t>pra</w:t>
      </w:r>
      <w:r w:rsidR="00DE0DA5" w:rsidRPr="00853D04">
        <w:rPr>
          <w:noProof/>
        </w:rPr>
        <w:t>niem pieniędzy, powiązanymi przestępstwami źródłowymi lub finansowaniem terroryzmu.</w:t>
      </w:r>
    </w:p>
    <w:p w14:paraId="18A2B7FA" w14:textId="23821887" w:rsidR="00141B35" w:rsidRPr="00853D04" w:rsidRDefault="008D78F5" w:rsidP="008D78F5">
      <w:pPr>
        <w:pStyle w:val="ManualNumPar1"/>
        <w:rPr>
          <w:noProof/>
        </w:rPr>
      </w:pPr>
      <w:r w:rsidRPr="008D78F5">
        <w:t>2.</w:t>
      </w:r>
      <w:r w:rsidRPr="008D78F5">
        <w:tab/>
      </w:r>
      <w:r w:rsidR="003A7B42" w:rsidRPr="00853D04">
        <w:rPr>
          <w:noProof/>
        </w:rPr>
        <w:t>Państwa członkowskie zapewniają, aby europejskie stowarzyszenie transgraniczne miało niedochodowy cel,</w:t>
      </w:r>
      <w:r w:rsidR="00C13C75" w:rsidRPr="00853D04">
        <w:rPr>
          <w:noProof/>
        </w:rPr>
        <w:t xml:space="preserve"> a</w:t>
      </w:r>
      <w:r w:rsidR="00C13C75">
        <w:rPr>
          <w:noProof/>
        </w:rPr>
        <w:t> </w:t>
      </w:r>
      <w:r w:rsidR="00C13C75" w:rsidRPr="00853D04">
        <w:rPr>
          <w:noProof/>
        </w:rPr>
        <w:t>wsz</w:t>
      </w:r>
      <w:r w:rsidR="003A7B42" w:rsidRPr="00853D04">
        <w:rPr>
          <w:noProof/>
        </w:rPr>
        <w:t>elkie zyski europejskiego stowarzyszenia transgranicznego były wykorzystywane wyłącznie do realizacji jego celów określonych</w:t>
      </w:r>
      <w:r w:rsidR="00C13C75" w:rsidRPr="00853D04">
        <w:rPr>
          <w:noProof/>
        </w:rPr>
        <w:t xml:space="preserve"> w</w:t>
      </w:r>
      <w:r w:rsidR="00C13C75">
        <w:rPr>
          <w:noProof/>
        </w:rPr>
        <w:t> </w:t>
      </w:r>
      <w:r w:rsidR="00C13C75" w:rsidRPr="00853D04">
        <w:rPr>
          <w:noProof/>
        </w:rPr>
        <w:t>jeg</w:t>
      </w:r>
      <w:r w:rsidR="003A7B42" w:rsidRPr="00853D04">
        <w:rPr>
          <w:noProof/>
        </w:rPr>
        <w:t xml:space="preserve">o statucie, bez rozdzielania między jego członków. </w:t>
      </w:r>
    </w:p>
    <w:p w14:paraId="3578A7C5" w14:textId="3ADCF46F" w:rsidR="00141B35" w:rsidRPr="00853D04" w:rsidRDefault="008D78F5" w:rsidP="008D78F5">
      <w:pPr>
        <w:pStyle w:val="ManualNumPar1"/>
        <w:rPr>
          <w:noProof/>
        </w:rPr>
      </w:pPr>
      <w:r w:rsidRPr="008D78F5">
        <w:t>3.</w:t>
      </w:r>
      <w:r w:rsidRPr="008D78F5">
        <w:tab/>
      </w:r>
      <w:r w:rsidR="003A7B42" w:rsidRPr="00853D04">
        <w:rPr>
          <w:noProof/>
        </w:rPr>
        <w:t xml:space="preserve">Państwa członkowskie zapewniają, aby europejskie stowarzyszenie transgraniczne prowadziło działalność lub posiadało cel statutowy polegający na prowadzeniu działalności w co najmniej dwóch państwach członkowskich </w:t>
      </w:r>
      <w:bookmarkStart w:id="2" w:name="_Hlk137570856"/>
      <w:r w:rsidR="003A7B42" w:rsidRPr="00853D04">
        <w:rPr>
          <w:noProof/>
        </w:rPr>
        <w:t>jego członkowie założyciele byli powiązani z co najmniej dwoma państwami członkowskimi na podstawie obywatelstwa lub miejsca legalnego pobytu</w:t>
      </w:r>
      <w:r w:rsidR="00C13C75" w:rsidRPr="00853D04">
        <w:rPr>
          <w:noProof/>
        </w:rPr>
        <w:t xml:space="preserve"> w</w:t>
      </w:r>
      <w:r w:rsidR="00C13C75">
        <w:rPr>
          <w:noProof/>
        </w:rPr>
        <w:t> </w:t>
      </w:r>
      <w:r w:rsidR="00C13C75" w:rsidRPr="00853D04">
        <w:rPr>
          <w:noProof/>
        </w:rPr>
        <w:t>prz</w:t>
      </w:r>
      <w:r w:rsidR="003A7B42" w:rsidRPr="00853D04">
        <w:rPr>
          <w:noProof/>
        </w:rPr>
        <w:t>ypadku osób fizycznych lub na podstawie lokalizacji ich siedziby statutowej</w:t>
      </w:r>
      <w:r w:rsidR="00C13C75" w:rsidRPr="00853D04">
        <w:rPr>
          <w:noProof/>
        </w:rPr>
        <w:t xml:space="preserve"> w</w:t>
      </w:r>
      <w:r w:rsidR="00C13C75">
        <w:rPr>
          <w:noProof/>
        </w:rPr>
        <w:t> </w:t>
      </w:r>
      <w:r w:rsidR="00C13C75" w:rsidRPr="00853D04">
        <w:rPr>
          <w:noProof/>
        </w:rPr>
        <w:t>prz</w:t>
      </w:r>
      <w:r w:rsidR="003A7B42" w:rsidRPr="00853D04">
        <w:rPr>
          <w:noProof/>
        </w:rPr>
        <w:t>ypadku osób prawnych.</w:t>
      </w:r>
    </w:p>
    <w:p w14:paraId="70C90203" w14:textId="0FA1523F" w:rsidR="001F5B57" w:rsidRPr="00853D04" w:rsidRDefault="008D78F5" w:rsidP="008D78F5">
      <w:pPr>
        <w:pStyle w:val="ManualNumPar1"/>
        <w:rPr>
          <w:noProof/>
        </w:rPr>
      </w:pPr>
      <w:r w:rsidRPr="008D78F5">
        <w:t>4.</w:t>
      </w:r>
      <w:r w:rsidRPr="008D78F5">
        <w:tab/>
      </w:r>
      <w:r w:rsidR="003A7B42" w:rsidRPr="00853D04">
        <w:rPr>
          <w:noProof/>
        </w:rPr>
        <w:t>Państwa członkowskie zapewniają, aby nazwa europejskiego stowarzyszenia transgranicznego była poprzedzona akronimem „EST” lub aby następował on po niej.</w:t>
      </w:r>
    </w:p>
    <w:bookmarkEnd w:id="2"/>
    <w:p w14:paraId="6A5F17EF" w14:textId="0EAFF6F2" w:rsidR="0044257B" w:rsidRPr="00853D04" w:rsidRDefault="008D78F5" w:rsidP="008D78F5">
      <w:pPr>
        <w:pStyle w:val="ManualNumPar1"/>
        <w:rPr>
          <w:noProof/>
        </w:rPr>
      </w:pPr>
      <w:r w:rsidRPr="008D78F5">
        <w:t>5.</w:t>
      </w:r>
      <w:r w:rsidRPr="008D78F5">
        <w:tab/>
      </w:r>
      <w:r w:rsidR="003A7B42" w:rsidRPr="00853D04">
        <w:rPr>
          <w:noProof/>
        </w:rPr>
        <w:t>Państwa członkowskie zapewniają, aby siedziba statutowa europejskiego stowarzyszenia transgranicznego znajdowała się</w:t>
      </w:r>
      <w:r w:rsidR="00C13C75" w:rsidRPr="00853D04">
        <w:rPr>
          <w:noProof/>
        </w:rPr>
        <w:t xml:space="preserve"> w</w:t>
      </w:r>
      <w:r w:rsidR="00C13C75">
        <w:rPr>
          <w:noProof/>
        </w:rPr>
        <w:t> </w:t>
      </w:r>
      <w:r w:rsidR="00C13C75" w:rsidRPr="00853D04">
        <w:rPr>
          <w:noProof/>
        </w:rPr>
        <w:t>Uni</w:t>
      </w:r>
      <w:r w:rsidR="003A7B42" w:rsidRPr="00853D04">
        <w:rPr>
          <w:noProof/>
        </w:rPr>
        <w:t>i.</w:t>
      </w:r>
    </w:p>
    <w:bookmarkEnd w:id="1"/>
    <w:p w14:paraId="5D262CED" w14:textId="77777777" w:rsidR="00141B35" w:rsidRPr="00853D04" w:rsidRDefault="00141B35" w:rsidP="00141B35">
      <w:pPr>
        <w:pStyle w:val="Titrearticle"/>
        <w:rPr>
          <w:noProof/>
        </w:rPr>
      </w:pPr>
      <w:r w:rsidRPr="00853D04">
        <w:rPr>
          <w:noProof/>
        </w:rPr>
        <w:t>Artykuł 4</w:t>
      </w:r>
    </w:p>
    <w:p w14:paraId="1C9658AA" w14:textId="77777777" w:rsidR="00141B35" w:rsidRPr="00853D04" w:rsidRDefault="00141B35" w:rsidP="00141B35">
      <w:pPr>
        <w:pStyle w:val="Titrearticle"/>
        <w:rPr>
          <w:noProof/>
        </w:rPr>
      </w:pPr>
      <w:r w:rsidRPr="00853D04">
        <w:rPr>
          <w:noProof/>
        </w:rPr>
        <w:t>Zasady mające zastosowanie do europejskich stowarzyszeń transgranicznych</w:t>
      </w:r>
    </w:p>
    <w:p w14:paraId="4ED4400F" w14:textId="310E5A6E" w:rsidR="00141B35" w:rsidRPr="00853D04" w:rsidRDefault="008D78F5" w:rsidP="008D78F5">
      <w:pPr>
        <w:pStyle w:val="ManualNumPar1"/>
        <w:rPr>
          <w:noProof/>
        </w:rPr>
      </w:pPr>
      <w:r w:rsidRPr="008D78F5">
        <w:t>1.</w:t>
      </w:r>
      <w:r w:rsidRPr="008D78F5">
        <w:tab/>
      </w:r>
      <w:r w:rsidR="00141B35" w:rsidRPr="00853D04">
        <w:rPr>
          <w:noProof/>
        </w:rPr>
        <w:t>We wszystkich kwestiach zharmonizowanych niniejszą dyrektywą państwa członkowskie zapewniają, aby europejskie stowarzyszenie transgraniczne podlegało środkom transponującym niniejszą dyrektywę</w:t>
      </w:r>
      <w:r w:rsidR="00C13C75" w:rsidRPr="00853D04">
        <w:rPr>
          <w:noProof/>
        </w:rPr>
        <w:t xml:space="preserve"> w</w:t>
      </w:r>
      <w:r w:rsidR="00C13C75">
        <w:rPr>
          <w:noProof/>
        </w:rPr>
        <w:t> </w:t>
      </w:r>
      <w:r w:rsidR="00C13C75" w:rsidRPr="00853D04">
        <w:rPr>
          <w:noProof/>
        </w:rPr>
        <w:t>pań</w:t>
      </w:r>
      <w:r w:rsidR="00141B35" w:rsidRPr="00853D04">
        <w:rPr>
          <w:noProof/>
        </w:rPr>
        <w:t>stwie członkowskim,</w:t>
      </w:r>
      <w:r w:rsidR="00C13C75" w:rsidRPr="00853D04">
        <w:rPr>
          <w:noProof/>
        </w:rPr>
        <w:t xml:space="preserve"> w</w:t>
      </w:r>
      <w:r w:rsidR="00C13C75">
        <w:rPr>
          <w:noProof/>
        </w:rPr>
        <w:t> </w:t>
      </w:r>
      <w:r w:rsidR="00C13C75" w:rsidRPr="00853D04">
        <w:rPr>
          <w:noProof/>
        </w:rPr>
        <w:t>któ</w:t>
      </w:r>
      <w:r w:rsidR="00141B35" w:rsidRPr="00853D04">
        <w:rPr>
          <w:noProof/>
        </w:rPr>
        <w:t>rym jest ono zarejestrowane lub prowadzi działalność.</w:t>
      </w:r>
    </w:p>
    <w:p w14:paraId="3FAA522C" w14:textId="549346C2" w:rsidR="000803C9" w:rsidRPr="00853D04" w:rsidRDefault="008D78F5" w:rsidP="008D78F5">
      <w:pPr>
        <w:pStyle w:val="ManualNumPar1"/>
        <w:rPr>
          <w:noProof/>
        </w:rPr>
      </w:pPr>
      <w:r w:rsidRPr="008D78F5">
        <w:t>2.</w:t>
      </w:r>
      <w:r w:rsidRPr="008D78F5">
        <w:tab/>
      </w:r>
      <w:r w:rsidR="00141B35" w:rsidRPr="00853D04">
        <w:rPr>
          <w:noProof/>
        </w:rPr>
        <w:t>W dalszych kwestiach, które dotyczą ustanowienia lub funkcjonowania europejskich stowarzyszeń transgranicznych, każde państwo członkowskie zapewnia, aby przepisy krajowe mające zastosowanie</w:t>
      </w:r>
      <w:r w:rsidR="00C13C75" w:rsidRPr="00853D04">
        <w:rPr>
          <w:noProof/>
        </w:rPr>
        <w:t xml:space="preserve"> w</w:t>
      </w:r>
      <w:r w:rsidR="00C13C75">
        <w:rPr>
          <w:noProof/>
        </w:rPr>
        <w:t> </w:t>
      </w:r>
      <w:r w:rsidR="00C13C75" w:rsidRPr="00853D04">
        <w:rPr>
          <w:noProof/>
        </w:rPr>
        <w:t>pra</w:t>
      </w:r>
      <w:r w:rsidR="00141B35" w:rsidRPr="00853D04">
        <w:rPr>
          <w:noProof/>
        </w:rPr>
        <w:t>wie krajowym do najbardziej podobnego stowarzyszenia niekomercyjnego miały zastosowanie do europejskich stowarzyszeń transgranicznych.</w:t>
      </w:r>
    </w:p>
    <w:p w14:paraId="041F29D8" w14:textId="32D29B0E" w:rsidR="003C5EDC" w:rsidRPr="00853D04" w:rsidRDefault="008D78F5" w:rsidP="008D78F5">
      <w:pPr>
        <w:pStyle w:val="ManualNumPar1"/>
        <w:rPr>
          <w:noProof/>
        </w:rPr>
      </w:pPr>
      <w:r w:rsidRPr="008D78F5">
        <w:t>3.</w:t>
      </w:r>
      <w:r w:rsidRPr="008D78F5">
        <w:tab/>
      </w:r>
      <w:r w:rsidR="00850B89" w:rsidRPr="00853D04">
        <w:rPr>
          <w:noProof/>
        </w:rPr>
        <w:t>Przepisy mające zastosowanie do europejskich stowarzyszeń transgranicznych na podstawie niniejszej dyrektywy nie mają wpływu na środki przyjęte przez państwa członkowskie ze względów porządku publicznego</w:t>
      </w:r>
      <w:r w:rsidR="00C13C75" w:rsidRPr="00853D04">
        <w:rPr>
          <w:noProof/>
        </w:rPr>
        <w:t xml:space="preserve"> i</w:t>
      </w:r>
      <w:r w:rsidR="00C13C75">
        <w:rPr>
          <w:noProof/>
        </w:rPr>
        <w:t> </w:t>
      </w:r>
      <w:r w:rsidR="00C13C75" w:rsidRPr="00853D04">
        <w:rPr>
          <w:noProof/>
        </w:rPr>
        <w:t>bez</w:t>
      </w:r>
      <w:r w:rsidR="00850B89" w:rsidRPr="00853D04">
        <w:rPr>
          <w:noProof/>
        </w:rPr>
        <w:t>pieczeństwa publicznego</w:t>
      </w:r>
      <w:r w:rsidR="00C13C75" w:rsidRPr="00853D04">
        <w:rPr>
          <w:noProof/>
        </w:rPr>
        <w:t xml:space="preserve"> w</w:t>
      </w:r>
      <w:r w:rsidR="00C13C75">
        <w:rPr>
          <w:noProof/>
        </w:rPr>
        <w:t> </w:t>
      </w:r>
      <w:r w:rsidR="00C13C75" w:rsidRPr="00853D04">
        <w:rPr>
          <w:noProof/>
        </w:rPr>
        <w:t>cel</w:t>
      </w:r>
      <w:r w:rsidR="00850B89" w:rsidRPr="00853D04">
        <w:rPr>
          <w:noProof/>
        </w:rPr>
        <w:t>u zapobiegania ryzyku niewłaściwego wykorzystywania stowarzyszeń niekomercyjnych oraz</w:t>
      </w:r>
      <w:r w:rsidR="00C13C75" w:rsidRPr="00853D04">
        <w:rPr>
          <w:noProof/>
        </w:rPr>
        <w:t xml:space="preserve"> w</w:t>
      </w:r>
      <w:r w:rsidR="00C13C75">
        <w:rPr>
          <w:noProof/>
        </w:rPr>
        <w:t> </w:t>
      </w:r>
      <w:r w:rsidR="00C13C75" w:rsidRPr="00853D04">
        <w:rPr>
          <w:noProof/>
        </w:rPr>
        <w:t>cel</w:t>
      </w:r>
      <w:r w:rsidR="00850B89" w:rsidRPr="00853D04">
        <w:rPr>
          <w:noProof/>
        </w:rPr>
        <w:t>u zapewnienia przejrzystości</w:t>
      </w:r>
      <w:r w:rsidR="00C13C75" w:rsidRPr="00853D04">
        <w:rPr>
          <w:noProof/>
        </w:rPr>
        <w:t xml:space="preserve"> w</w:t>
      </w:r>
      <w:r w:rsidR="00C13C75">
        <w:rPr>
          <w:noProof/>
        </w:rPr>
        <w:t> </w:t>
      </w:r>
      <w:r w:rsidR="00C13C75" w:rsidRPr="00853D04">
        <w:rPr>
          <w:noProof/>
        </w:rPr>
        <w:t>zak</w:t>
      </w:r>
      <w:r w:rsidR="00850B89" w:rsidRPr="00853D04">
        <w:rPr>
          <w:noProof/>
        </w:rPr>
        <w:t>resie niektórych przepływów kapitałowych, gdy wymaga tego prawo Unii lub prawo krajowe zgodne</w:t>
      </w:r>
      <w:r w:rsidR="00C13C75" w:rsidRPr="00853D04">
        <w:rPr>
          <w:noProof/>
        </w:rPr>
        <w:t xml:space="preserve"> z</w:t>
      </w:r>
      <w:r w:rsidR="00C13C75">
        <w:rPr>
          <w:noProof/>
        </w:rPr>
        <w:t> </w:t>
      </w:r>
      <w:r w:rsidR="00C13C75" w:rsidRPr="00853D04">
        <w:rPr>
          <w:noProof/>
        </w:rPr>
        <w:t>pra</w:t>
      </w:r>
      <w:r w:rsidR="00850B89" w:rsidRPr="00853D04">
        <w:rPr>
          <w:noProof/>
        </w:rPr>
        <w:t>wem Unii.</w:t>
      </w:r>
    </w:p>
    <w:p w14:paraId="3A94FE5D" w14:textId="0EECF07D" w:rsidR="00141B35" w:rsidRPr="00C13C75" w:rsidRDefault="008D78F5" w:rsidP="008D78F5">
      <w:pPr>
        <w:pStyle w:val="ManualNumPar1"/>
        <w:rPr>
          <w:noProof/>
        </w:rPr>
      </w:pPr>
      <w:r w:rsidRPr="008D78F5">
        <w:t>4.</w:t>
      </w:r>
      <w:r w:rsidRPr="008D78F5">
        <w:tab/>
      </w:r>
      <w:r w:rsidR="009E4F1C" w:rsidRPr="00853D04">
        <w:rPr>
          <w:noProof/>
        </w:rPr>
        <w:t>Do dnia [dwa lata po wejściu</w:t>
      </w:r>
      <w:r w:rsidR="00C13C75" w:rsidRPr="00853D04">
        <w:rPr>
          <w:noProof/>
        </w:rPr>
        <w:t xml:space="preserve"> w</w:t>
      </w:r>
      <w:r w:rsidR="00C13C75">
        <w:rPr>
          <w:noProof/>
        </w:rPr>
        <w:t> </w:t>
      </w:r>
      <w:r w:rsidR="00C13C75" w:rsidRPr="00853D04">
        <w:rPr>
          <w:noProof/>
        </w:rPr>
        <w:t>życ</w:t>
      </w:r>
      <w:r w:rsidR="009E4F1C" w:rsidRPr="00853D04">
        <w:rPr>
          <w:noProof/>
        </w:rPr>
        <w:t>ie niniejszej dyrektywy] każde państwo członkowskie wskazuje najbardziej podobną formę prawną stowarzyszenia niekomercyjnego</w:t>
      </w:r>
      <w:r w:rsidR="00C13C75" w:rsidRPr="00853D04">
        <w:rPr>
          <w:noProof/>
        </w:rPr>
        <w:t xml:space="preserve"> w</w:t>
      </w:r>
      <w:r w:rsidR="00C13C75">
        <w:rPr>
          <w:noProof/>
        </w:rPr>
        <w:t> </w:t>
      </w:r>
      <w:r w:rsidR="00C13C75" w:rsidRPr="00853D04">
        <w:rPr>
          <w:noProof/>
        </w:rPr>
        <w:t>swo</w:t>
      </w:r>
      <w:r w:rsidR="009E4F1C" w:rsidRPr="00853D04">
        <w:rPr>
          <w:noProof/>
        </w:rPr>
        <w:t>im krajowym porządku prawnym,</w:t>
      </w:r>
      <w:r w:rsidR="00C13C75" w:rsidRPr="00853D04">
        <w:rPr>
          <w:noProof/>
        </w:rPr>
        <w:t xml:space="preserve"> o</w:t>
      </w:r>
      <w:r w:rsidR="00C13C75">
        <w:rPr>
          <w:noProof/>
        </w:rPr>
        <w:t> </w:t>
      </w:r>
      <w:r w:rsidR="00C13C75" w:rsidRPr="00853D04">
        <w:rPr>
          <w:noProof/>
        </w:rPr>
        <w:t>któ</w:t>
      </w:r>
      <w:r w:rsidR="009E4F1C" w:rsidRPr="00853D04">
        <w:rPr>
          <w:noProof/>
        </w:rPr>
        <w:t>rym to stowarzyszeniu mowa</w:t>
      </w:r>
      <w:r w:rsidR="00C13C75" w:rsidRPr="00853D04">
        <w:rPr>
          <w:noProof/>
        </w:rPr>
        <w:t xml:space="preserve"> w</w:t>
      </w:r>
      <w:r w:rsidR="00C13C75">
        <w:rPr>
          <w:noProof/>
        </w:rPr>
        <w:t> </w:t>
      </w:r>
      <w:r w:rsidR="00C13C75" w:rsidRPr="00C13C75">
        <w:rPr>
          <w:noProof/>
        </w:rPr>
        <w:t>ust</w:t>
      </w:r>
      <w:r w:rsidR="009E4F1C" w:rsidRPr="00C13C75">
        <w:rPr>
          <w:noProof/>
        </w:rPr>
        <w:t>.</w:t>
      </w:r>
      <w:r w:rsidR="00C13C75" w:rsidRPr="00C13C75">
        <w:rPr>
          <w:noProof/>
        </w:rPr>
        <w:t> </w:t>
      </w:r>
      <w:r w:rsidR="009E4F1C" w:rsidRPr="00C13C75">
        <w:rPr>
          <w:noProof/>
        </w:rPr>
        <w:t>2</w:t>
      </w:r>
      <w:r w:rsidR="009E4F1C" w:rsidRPr="00853D04">
        <w:rPr>
          <w:noProof/>
        </w:rPr>
        <w:t>,</w:t>
      </w:r>
      <w:r w:rsidR="00C13C75" w:rsidRPr="00853D04">
        <w:rPr>
          <w:noProof/>
        </w:rPr>
        <w:t xml:space="preserve"> i</w:t>
      </w:r>
      <w:r w:rsidR="00C13C75">
        <w:rPr>
          <w:noProof/>
        </w:rPr>
        <w:t> </w:t>
      </w:r>
      <w:r w:rsidR="00C13C75" w:rsidRPr="00853D04">
        <w:rPr>
          <w:noProof/>
        </w:rPr>
        <w:t>pow</w:t>
      </w:r>
      <w:r w:rsidR="009E4F1C" w:rsidRPr="00853D04">
        <w:rPr>
          <w:noProof/>
        </w:rPr>
        <w:t>iadamia Komisję</w:t>
      </w:r>
      <w:r w:rsidR="00C13C75" w:rsidRPr="00853D04">
        <w:rPr>
          <w:noProof/>
        </w:rPr>
        <w:t xml:space="preserve"> o</w:t>
      </w:r>
      <w:r w:rsidR="00C13C75">
        <w:rPr>
          <w:noProof/>
        </w:rPr>
        <w:t> </w:t>
      </w:r>
      <w:r w:rsidR="00C13C75" w:rsidRPr="00853D04">
        <w:rPr>
          <w:noProof/>
        </w:rPr>
        <w:t>tej</w:t>
      </w:r>
      <w:r w:rsidR="009E4F1C" w:rsidRPr="00853D04">
        <w:rPr>
          <w:noProof/>
        </w:rPr>
        <w:t xml:space="preserve"> formie prawnej oraz</w:t>
      </w:r>
      <w:r w:rsidR="00C13C75" w:rsidRPr="00853D04">
        <w:rPr>
          <w:noProof/>
        </w:rPr>
        <w:t xml:space="preserve"> o</w:t>
      </w:r>
      <w:r w:rsidR="00C13C75">
        <w:rPr>
          <w:noProof/>
        </w:rPr>
        <w:t> </w:t>
      </w:r>
      <w:r w:rsidR="00C13C75" w:rsidRPr="00853D04">
        <w:rPr>
          <w:noProof/>
        </w:rPr>
        <w:t>prz</w:t>
      </w:r>
      <w:r w:rsidR="009E4F1C" w:rsidRPr="00853D04">
        <w:rPr>
          <w:noProof/>
        </w:rPr>
        <w:t>episach krajowych, które mają zastosowanie do tej formy prawnej. Państwa członkowskie niezwłocznie powiadamiają Komisję</w:t>
      </w:r>
      <w:r w:rsidR="00C13C75" w:rsidRPr="00853D04">
        <w:rPr>
          <w:noProof/>
        </w:rPr>
        <w:t xml:space="preserve"> o</w:t>
      </w:r>
      <w:r w:rsidR="00C13C75">
        <w:rPr>
          <w:noProof/>
        </w:rPr>
        <w:t> </w:t>
      </w:r>
      <w:r w:rsidR="00C13C75" w:rsidRPr="00853D04">
        <w:rPr>
          <w:noProof/>
        </w:rPr>
        <w:t>wsz</w:t>
      </w:r>
      <w:r w:rsidR="009E4F1C" w:rsidRPr="00853D04">
        <w:rPr>
          <w:noProof/>
        </w:rPr>
        <w:t>elkich zmianach dotyczących wskazanych form prawnych oraz</w:t>
      </w:r>
      <w:r w:rsidR="00C13C75" w:rsidRPr="00853D04">
        <w:rPr>
          <w:noProof/>
        </w:rPr>
        <w:t xml:space="preserve"> o</w:t>
      </w:r>
      <w:r w:rsidR="00C13C75">
        <w:rPr>
          <w:noProof/>
        </w:rPr>
        <w:t> </w:t>
      </w:r>
      <w:r w:rsidR="00C13C75" w:rsidRPr="00853D04">
        <w:rPr>
          <w:noProof/>
        </w:rPr>
        <w:t>wsz</w:t>
      </w:r>
      <w:r w:rsidR="009E4F1C" w:rsidRPr="00853D04">
        <w:rPr>
          <w:noProof/>
        </w:rPr>
        <w:t>elkich zmianach przepisów mających zastosowanie do tych form. Państwa członkowskie</w:t>
      </w:r>
      <w:r w:rsidR="00C13C75" w:rsidRPr="00853D04">
        <w:rPr>
          <w:noProof/>
        </w:rPr>
        <w:t xml:space="preserve"> i</w:t>
      </w:r>
      <w:r w:rsidR="00C13C75">
        <w:rPr>
          <w:noProof/>
        </w:rPr>
        <w:t> </w:t>
      </w:r>
      <w:r w:rsidR="00C13C75" w:rsidRPr="00853D04">
        <w:rPr>
          <w:noProof/>
        </w:rPr>
        <w:t>Kom</w:t>
      </w:r>
      <w:r w:rsidR="009E4F1C" w:rsidRPr="00853D04">
        <w:rPr>
          <w:noProof/>
        </w:rPr>
        <w:t>isja podają do wiadomości publicznej zgłoszone informacje,</w:t>
      </w:r>
      <w:r w:rsidR="00C13C75" w:rsidRPr="00853D04">
        <w:rPr>
          <w:noProof/>
        </w:rPr>
        <w:t xml:space="preserve"> o</w:t>
      </w:r>
      <w:r w:rsidR="00C13C75">
        <w:rPr>
          <w:noProof/>
        </w:rPr>
        <w:t> </w:t>
      </w:r>
      <w:r w:rsidR="00C13C75" w:rsidRPr="00853D04">
        <w:rPr>
          <w:noProof/>
        </w:rPr>
        <w:t>któ</w:t>
      </w:r>
      <w:r w:rsidR="009E4F1C" w:rsidRPr="00853D04">
        <w:rPr>
          <w:noProof/>
        </w:rPr>
        <w:t>rych mowa</w:t>
      </w:r>
      <w:r w:rsidR="00C13C75" w:rsidRPr="00853D04">
        <w:rPr>
          <w:noProof/>
        </w:rPr>
        <w:t xml:space="preserve"> w</w:t>
      </w:r>
      <w:r w:rsidR="00C13C75">
        <w:rPr>
          <w:noProof/>
        </w:rPr>
        <w:t> </w:t>
      </w:r>
      <w:r w:rsidR="00C13C75" w:rsidRPr="00853D04">
        <w:rPr>
          <w:noProof/>
        </w:rPr>
        <w:t>nin</w:t>
      </w:r>
      <w:r w:rsidR="009E4F1C" w:rsidRPr="00853D04">
        <w:rPr>
          <w:noProof/>
        </w:rPr>
        <w:t>iejszym ustępie.</w:t>
      </w:r>
    </w:p>
    <w:p w14:paraId="00EF06C9" w14:textId="423C4A9D" w:rsidR="00141B35" w:rsidRPr="00853D04" w:rsidRDefault="001F123D" w:rsidP="00C75A65">
      <w:pPr>
        <w:pStyle w:val="Titrearticle"/>
        <w:rPr>
          <w:noProof/>
        </w:rPr>
      </w:pPr>
      <w:r w:rsidRPr="00C13C75">
        <w:rPr>
          <w:noProof/>
        </w:rPr>
        <w:t>A</w:t>
      </w:r>
      <w:r w:rsidRPr="00853D04">
        <w:rPr>
          <w:noProof/>
        </w:rPr>
        <w:t>rtykuł 5</w:t>
      </w:r>
    </w:p>
    <w:p w14:paraId="6CE40E0E" w14:textId="2D265ADE" w:rsidR="00141B35" w:rsidRPr="00853D04" w:rsidRDefault="00141B35" w:rsidP="00141B35">
      <w:pPr>
        <w:pStyle w:val="Titrearticle"/>
        <w:rPr>
          <w:noProof/>
        </w:rPr>
      </w:pPr>
      <w:r w:rsidRPr="00853D04">
        <w:rPr>
          <w:noProof/>
        </w:rPr>
        <w:t>Osobowość prawna</w:t>
      </w:r>
      <w:r w:rsidR="00C13C75" w:rsidRPr="00853D04">
        <w:rPr>
          <w:noProof/>
        </w:rPr>
        <w:t xml:space="preserve"> i</w:t>
      </w:r>
      <w:r w:rsidR="00C13C75">
        <w:rPr>
          <w:noProof/>
        </w:rPr>
        <w:t> </w:t>
      </w:r>
      <w:r w:rsidR="00C13C75" w:rsidRPr="00853D04">
        <w:rPr>
          <w:noProof/>
        </w:rPr>
        <w:t>zdo</w:t>
      </w:r>
      <w:r w:rsidRPr="00853D04">
        <w:rPr>
          <w:noProof/>
        </w:rPr>
        <w:t>lność do czynności prawnych</w:t>
      </w:r>
    </w:p>
    <w:p w14:paraId="03FC2268" w14:textId="0B3BC478" w:rsidR="00141B35" w:rsidRPr="00853D04" w:rsidRDefault="008D78F5" w:rsidP="008D78F5">
      <w:pPr>
        <w:pStyle w:val="ManualNumPar1"/>
        <w:rPr>
          <w:noProof/>
        </w:rPr>
      </w:pPr>
      <w:r w:rsidRPr="008D78F5">
        <w:t>1.</w:t>
      </w:r>
      <w:r w:rsidRPr="008D78F5">
        <w:tab/>
      </w:r>
      <w:r w:rsidR="00141B35" w:rsidRPr="00853D04">
        <w:rPr>
          <w:noProof/>
        </w:rPr>
        <w:t>Państwa członkowskie zapewniają, aby europejskie stowarzyszenie transgraniczne uzyskało osobowość prawną</w:t>
      </w:r>
      <w:r w:rsidR="00C13C75" w:rsidRPr="00853D04">
        <w:rPr>
          <w:noProof/>
        </w:rPr>
        <w:t xml:space="preserve"> i</w:t>
      </w:r>
      <w:r w:rsidR="00C13C75">
        <w:rPr>
          <w:noProof/>
        </w:rPr>
        <w:t> </w:t>
      </w:r>
      <w:r w:rsidR="00C13C75" w:rsidRPr="00853D04">
        <w:rPr>
          <w:noProof/>
        </w:rPr>
        <w:t>zdo</w:t>
      </w:r>
      <w:r w:rsidR="00141B35" w:rsidRPr="00853D04">
        <w:rPr>
          <w:noProof/>
        </w:rPr>
        <w:t>lność do czynności prawnych</w:t>
      </w:r>
      <w:r w:rsidR="00C13C75" w:rsidRPr="00853D04">
        <w:rPr>
          <w:noProof/>
        </w:rPr>
        <w:t xml:space="preserve"> z</w:t>
      </w:r>
      <w:r w:rsidR="00C13C75">
        <w:rPr>
          <w:noProof/>
        </w:rPr>
        <w:t> </w:t>
      </w:r>
      <w:r w:rsidR="00C13C75" w:rsidRPr="00853D04">
        <w:rPr>
          <w:noProof/>
        </w:rPr>
        <w:t>chw</w:t>
      </w:r>
      <w:r w:rsidR="00141B35" w:rsidRPr="00853D04">
        <w:rPr>
          <w:noProof/>
        </w:rPr>
        <w:t>ilą rejestracji zgodnie</w:t>
      </w:r>
      <w:r w:rsidR="00C13C75" w:rsidRPr="00853D04">
        <w:rPr>
          <w:noProof/>
        </w:rPr>
        <w:t xml:space="preserve"> z</w:t>
      </w:r>
      <w:r w:rsidR="00C13C75">
        <w:rPr>
          <w:noProof/>
        </w:rPr>
        <w:t> </w:t>
      </w:r>
      <w:r w:rsidR="00C13C75" w:rsidRPr="00C13C75">
        <w:rPr>
          <w:noProof/>
        </w:rPr>
        <w:t>art</w:t>
      </w:r>
      <w:r w:rsidR="00141B35" w:rsidRPr="00C13C75">
        <w:rPr>
          <w:noProof/>
        </w:rPr>
        <w:t>.</w:t>
      </w:r>
      <w:r w:rsidR="00C13C75" w:rsidRPr="00C13C75">
        <w:rPr>
          <w:noProof/>
        </w:rPr>
        <w:t> </w:t>
      </w:r>
      <w:r w:rsidR="00141B35" w:rsidRPr="00C13C75">
        <w:rPr>
          <w:noProof/>
        </w:rPr>
        <w:t>1</w:t>
      </w:r>
      <w:r w:rsidR="00141B35" w:rsidRPr="00853D04">
        <w:rPr>
          <w:noProof/>
        </w:rPr>
        <w:t>9. Państwa członkowskie uznają osobowość prawną</w:t>
      </w:r>
      <w:r w:rsidR="00C13C75" w:rsidRPr="00853D04">
        <w:rPr>
          <w:noProof/>
        </w:rPr>
        <w:t xml:space="preserve"> i</w:t>
      </w:r>
      <w:r w:rsidR="00C13C75">
        <w:rPr>
          <w:noProof/>
        </w:rPr>
        <w:t> </w:t>
      </w:r>
      <w:r w:rsidR="00C13C75" w:rsidRPr="00853D04">
        <w:rPr>
          <w:noProof/>
        </w:rPr>
        <w:t>zdo</w:t>
      </w:r>
      <w:r w:rsidR="00141B35" w:rsidRPr="00853D04">
        <w:rPr>
          <w:noProof/>
        </w:rPr>
        <w:t>lność do czynności prawnych europejskich stowarzyszeń transgranicznych zarejestrowanych</w:t>
      </w:r>
      <w:r w:rsidR="00C13C75" w:rsidRPr="00853D04">
        <w:rPr>
          <w:noProof/>
        </w:rPr>
        <w:t xml:space="preserve"> w</w:t>
      </w:r>
      <w:r w:rsidR="00C13C75">
        <w:rPr>
          <w:noProof/>
        </w:rPr>
        <w:t> </w:t>
      </w:r>
      <w:r w:rsidR="00C13C75" w:rsidRPr="00853D04">
        <w:rPr>
          <w:noProof/>
        </w:rPr>
        <w:t>inn</w:t>
      </w:r>
      <w:r w:rsidR="00141B35" w:rsidRPr="00853D04">
        <w:rPr>
          <w:noProof/>
        </w:rPr>
        <w:t>ym państwie członkowskim</w:t>
      </w:r>
      <w:r w:rsidR="00C13C75" w:rsidRPr="00853D04">
        <w:rPr>
          <w:noProof/>
        </w:rPr>
        <w:t xml:space="preserve"> i</w:t>
      </w:r>
      <w:r w:rsidR="00C13C75">
        <w:rPr>
          <w:noProof/>
        </w:rPr>
        <w:t> </w:t>
      </w:r>
      <w:r w:rsidR="00C13C75" w:rsidRPr="00853D04">
        <w:rPr>
          <w:noProof/>
        </w:rPr>
        <w:t>nie</w:t>
      </w:r>
      <w:r w:rsidR="00141B35" w:rsidRPr="00853D04">
        <w:rPr>
          <w:noProof/>
        </w:rPr>
        <w:t xml:space="preserve"> wymagają dalszej rejestracji.</w:t>
      </w:r>
    </w:p>
    <w:p w14:paraId="7AC09D69" w14:textId="0341B7FB" w:rsidR="00141B35" w:rsidRPr="00853D04" w:rsidRDefault="008D78F5" w:rsidP="008D78F5">
      <w:pPr>
        <w:pStyle w:val="ManualNumPar1"/>
        <w:rPr>
          <w:noProof/>
        </w:rPr>
      </w:pPr>
      <w:r w:rsidRPr="008D78F5">
        <w:t>2.</w:t>
      </w:r>
      <w:r w:rsidRPr="008D78F5">
        <w:tab/>
      </w:r>
      <w:r w:rsidR="00141B35" w:rsidRPr="00853D04">
        <w:rPr>
          <w:rStyle w:val="normaltextrun"/>
          <w:noProof/>
        </w:rPr>
        <w:t xml:space="preserve">Państwa członkowskie zapewniają, aby europejskiemu stowarzyszeniu transgranicznemu przysługiwało prawo do </w:t>
      </w:r>
      <w:r w:rsidR="00141B35" w:rsidRPr="00853D04">
        <w:rPr>
          <w:noProof/>
        </w:rPr>
        <w:t>zawierania umów</w:t>
      </w:r>
      <w:r w:rsidR="00C13C75" w:rsidRPr="00853D04">
        <w:rPr>
          <w:noProof/>
        </w:rPr>
        <w:t xml:space="preserve"> i</w:t>
      </w:r>
      <w:r w:rsidR="00C13C75">
        <w:rPr>
          <w:noProof/>
        </w:rPr>
        <w:t> </w:t>
      </w:r>
      <w:r w:rsidR="00C13C75" w:rsidRPr="00853D04">
        <w:rPr>
          <w:noProof/>
        </w:rPr>
        <w:t>dok</w:t>
      </w:r>
      <w:r w:rsidR="00141B35" w:rsidRPr="00853D04">
        <w:rPr>
          <w:noProof/>
        </w:rPr>
        <w:t>onywania czynności prawnych, posiadania statusu strony</w:t>
      </w:r>
      <w:r w:rsidR="00C13C75" w:rsidRPr="00853D04">
        <w:rPr>
          <w:noProof/>
        </w:rPr>
        <w:t xml:space="preserve"> w</w:t>
      </w:r>
      <w:r w:rsidR="00C13C75">
        <w:rPr>
          <w:noProof/>
        </w:rPr>
        <w:t> </w:t>
      </w:r>
      <w:r w:rsidR="00C13C75" w:rsidRPr="00853D04">
        <w:rPr>
          <w:noProof/>
        </w:rPr>
        <w:t>pos</w:t>
      </w:r>
      <w:r w:rsidR="00141B35" w:rsidRPr="00853D04">
        <w:rPr>
          <w:noProof/>
        </w:rPr>
        <w:t>tępowaniach sądowych, posiadania majątku ruchomego</w:t>
      </w:r>
      <w:r w:rsidR="00C13C75" w:rsidRPr="00853D04">
        <w:rPr>
          <w:noProof/>
        </w:rPr>
        <w:t xml:space="preserve"> i</w:t>
      </w:r>
      <w:r w:rsidR="00C13C75">
        <w:rPr>
          <w:noProof/>
        </w:rPr>
        <w:t> </w:t>
      </w:r>
      <w:r w:rsidR="00C13C75" w:rsidRPr="00853D04">
        <w:rPr>
          <w:noProof/>
        </w:rPr>
        <w:t>nie</w:t>
      </w:r>
      <w:r w:rsidR="00141B35" w:rsidRPr="00853D04">
        <w:rPr>
          <w:noProof/>
        </w:rPr>
        <w:t>ruchomego, prowadzenia działalności gospodarczej, zatrudniania pracowników, otrzymywania, pozyskiwania</w:t>
      </w:r>
      <w:r w:rsidR="00C13C75" w:rsidRPr="00853D04">
        <w:rPr>
          <w:noProof/>
        </w:rPr>
        <w:t xml:space="preserve"> i</w:t>
      </w:r>
      <w:r w:rsidR="00C13C75">
        <w:rPr>
          <w:noProof/>
        </w:rPr>
        <w:t> </w:t>
      </w:r>
      <w:r w:rsidR="00C13C75" w:rsidRPr="00853D04">
        <w:rPr>
          <w:noProof/>
        </w:rPr>
        <w:t>zby</w:t>
      </w:r>
      <w:r w:rsidR="00141B35" w:rsidRPr="00853D04">
        <w:rPr>
          <w:noProof/>
        </w:rPr>
        <w:t>wania darowizn</w:t>
      </w:r>
      <w:r w:rsidR="00C13C75" w:rsidRPr="00853D04">
        <w:rPr>
          <w:noProof/>
        </w:rPr>
        <w:t xml:space="preserve"> i</w:t>
      </w:r>
      <w:r w:rsidR="00C13C75">
        <w:rPr>
          <w:noProof/>
        </w:rPr>
        <w:t> </w:t>
      </w:r>
      <w:r w:rsidR="00C13C75" w:rsidRPr="00853D04">
        <w:rPr>
          <w:noProof/>
        </w:rPr>
        <w:t>inn</w:t>
      </w:r>
      <w:r w:rsidR="00141B35" w:rsidRPr="00853D04">
        <w:rPr>
          <w:noProof/>
        </w:rPr>
        <w:t>ych wszelkiego rodzaju środków finansowych pochodzących</w:t>
      </w:r>
      <w:r w:rsidR="00C13C75" w:rsidRPr="00853D04">
        <w:rPr>
          <w:noProof/>
        </w:rPr>
        <w:t xml:space="preserve"> z</w:t>
      </w:r>
      <w:r w:rsidR="00C13C75">
        <w:rPr>
          <w:noProof/>
        </w:rPr>
        <w:t> </w:t>
      </w:r>
      <w:r w:rsidR="00C13C75" w:rsidRPr="00853D04">
        <w:rPr>
          <w:noProof/>
        </w:rPr>
        <w:t>dow</w:t>
      </w:r>
      <w:r w:rsidR="00141B35" w:rsidRPr="00853D04">
        <w:rPr>
          <w:noProof/>
        </w:rPr>
        <w:t>olnego legalnego źródła, uczestniczenia</w:t>
      </w:r>
      <w:r w:rsidR="00C13C75" w:rsidRPr="00853D04">
        <w:rPr>
          <w:noProof/>
        </w:rPr>
        <w:t xml:space="preserve"> w</w:t>
      </w:r>
      <w:r w:rsidR="00C13C75">
        <w:rPr>
          <w:noProof/>
        </w:rPr>
        <w:t> </w:t>
      </w:r>
      <w:r w:rsidR="00C13C75" w:rsidRPr="00853D04">
        <w:rPr>
          <w:noProof/>
        </w:rPr>
        <w:t>pro</w:t>
      </w:r>
      <w:r w:rsidR="00141B35" w:rsidRPr="00853D04">
        <w:rPr>
          <w:noProof/>
        </w:rPr>
        <w:t>cedurach</w:t>
      </w:r>
      <w:r w:rsidR="00C13C75" w:rsidRPr="00853D04">
        <w:rPr>
          <w:noProof/>
        </w:rPr>
        <w:t xml:space="preserve"> o</w:t>
      </w:r>
      <w:r w:rsidR="00C13C75">
        <w:rPr>
          <w:noProof/>
        </w:rPr>
        <w:t> </w:t>
      </w:r>
      <w:r w:rsidR="00C13C75" w:rsidRPr="00853D04">
        <w:rPr>
          <w:noProof/>
        </w:rPr>
        <w:t>udz</w:t>
      </w:r>
      <w:r w:rsidR="00141B35" w:rsidRPr="00853D04">
        <w:rPr>
          <w:noProof/>
        </w:rPr>
        <w:t>ielenie zamówienia</w:t>
      </w:r>
      <w:r w:rsidR="00C13C75" w:rsidRPr="00853D04">
        <w:rPr>
          <w:noProof/>
        </w:rPr>
        <w:t xml:space="preserve"> i</w:t>
      </w:r>
      <w:r w:rsidR="00C13C75">
        <w:rPr>
          <w:noProof/>
        </w:rPr>
        <w:t> </w:t>
      </w:r>
      <w:r w:rsidR="00C13C75" w:rsidRPr="00853D04">
        <w:rPr>
          <w:noProof/>
        </w:rPr>
        <w:t>ubi</w:t>
      </w:r>
      <w:r w:rsidR="00141B35" w:rsidRPr="00853D04">
        <w:rPr>
          <w:noProof/>
        </w:rPr>
        <w:t>egania się</w:t>
      </w:r>
      <w:r w:rsidR="00C13C75" w:rsidRPr="00853D04">
        <w:rPr>
          <w:noProof/>
        </w:rPr>
        <w:t xml:space="preserve"> o</w:t>
      </w:r>
      <w:r w:rsidR="00C13C75">
        <w:rPr>
          <w:noProof/>
        </w:rPr>
        <w:t> </w:t>
      </w:r>
      <w:r w:rsidR="00C13C75" w:rsidRPr="00853D04">
        <w:rPr>
          <w:noProof/>
        </w:rPr>
        <w:t>fin</w:t>
      </w:r>
      <w:r w:rsidR="00141B35" w:rsidRPr="00853D04">
        <w:rPr>
          <w:noProof/>
        </w:rPr>
        <w:t>ansowanie publiczne.</w:t>
      </w:r>
    </w:p>
    <w:p w14:paraId="4A63B6BC" w14:textId="77777777" w:rsidR="00B370A1" w:rsidRPr="00853D04" w:rsidRDefault="00B370A1" w:rsidP="00141B35">
      <w:pPr>
        <w:pStyle w:val="Titrearticle"/>
        <w:rPr>
          <w:noProof/>
        </w:rPr>
      </w:pPr>
      <w:r w:rsidRPr="00853D04">
        <w:rPr>
          <w:noProof/>
        </w:rPr>
        <w:t>Artykuł 6</w:t>
      </w:r>
    </w:p>
    <w:p w14:paraId="6E663238" w14:textId="77777777" w:rsidR="00141B35" w:rsidRPr="00853D04" w:rsidRDefault="00141B35" w:rsidP="00141B35">
      <w:pPr>
        <w:pStyle w:val="Titrearticle"/>
        <w:rPr>
          <w:noProof/>
        </w:rPr>
      </w:pPr>
      <w:r w:rsidRPr="00853D04">
        <w:rPr>
          <w:noProof/>
        </w:rPr>
        <w:t>Statut</w:t>
      </w:r>
    </w:p>
    <w:p w14:paraId="61A18C12" w14:textId="76ED28C3" w:rsidR="00A25C32" w:rsidRPr="00853D04" w:rsidRDefault="008D78F5" w:rsidP="008D78F5">
      <w:pPr>
        <w:pStyle w:val="ManualNumPar1"/>
        <w:rPr>
          <w:noProof/>
        </w:rPr>
      </w:pPr>
      <w:r w:rsidRPr="008D78F5">
        <w:t>1.</w:t>
      </w:r>
      <w:r w:rsidRPr="008D78F5">
        <w:tab/>
      </w:r>
      <w:r w:rsidR="00141B35" w:rsidRPr="00853D04">
        <w:rPr>
          <w:noProof/>
        </w:rPr>
        <w:t>Z wyjątkiem przepisów określonych</w:t>
      </w:r>
      <w:r w:rsidR="00C13C75" w:rsidRPr="00853D04">
        <w:rPr>
          <w:noProof/>
        </w:rPr>
        <w:t xml:space="preserve"> w</w:t>
      </w:r>
      <w:r w:rsidR="00C13C75">
        <w:rPr>
          <w:noProof/>
        </w:rPr>
        <w:t> </w:t>
      </w:r>
      <w:r w:rsidR="00C13C75" w:rsidRPr="00C13C75">
        <w:rPr>
          <w:noProof/>
        </w:rPr>
        <w:t>ust</w:t>
      </w:r>
      <w:r w:rsidR="00141B35" w:rsidRPr="00C13C75">
        <w:rPr>
          <w:noProof/>
        </w:rPr>
        <w:t>.</w:t>
      </w:r>
      <w:r w:rsidR="00C13C75" w:rsidRPr="00C13C75">
        <w:rPr>
          <w:noProof/>
        </w:rPr>
        <w:t> </w:t>
      </w:r>
      <w:r w:rsidR="00141B35" w:rsidRPr="00C13C75">
        <w:rPr>
          <w:noProof/>
        </w:rPr>
        <w:t>2</w:t>
      </w:r>
      <w:r w:rsidR="00141B35" w:rsidRPr="00853D04">
        <w:rPr>
          <w:noProof/>
        </w:rPr>
        <w:t xml:space="preserve"> niniejszego artykułu oraz</w:t>
      </w:r>
      <w:r w:rsidR="00C13C75" w:rsidRPr="00853D04">
        <w:rPr>
          <w:noProof/>
        </w:rPr>
        <w:t xml:space="preserve"> w</w:t>
      </w:r>
      <w:r w:rsidR="00C13C75">
        <w:rPr>
          <w:noProof/>
        </w:rPr>
        <w:t> </w:t>
      </w:r>
      <w:r w:rsidR="00C13C75" w:rsidRPr="00C13C75">
        <w:rPr>
          <w:noProof/>
        </w:rPr>
        <w:t>art</w:t>
      </w:r>
      <w:r w:rsidR="00141B35" w:rsidRPr="00C13C75">
        <w:rPr>
          <w:noProof/>
        </w:rPr>
        <w:t>.</w:t>
      </w:r>
      <w:r w:rsidR="00C13C75" w:rsidRPr="00C13C75">
        <w:rPr>
          <w:noProof/>
        </w:rPr>
        <w:t> </w:t>
      </w:r>
      <w:r w:rsidR="00141B35" w:rsidRPr="00C13C75">
        <w:rPr>
          <w:noProof/>
        </w:rPr>
        <w:t>3</w:t>
      </w:r>
      <w:r w:rsidR="00141B35" w:rsidRPr="00853D04">
        <w:rPr>
          <w:noProof/>
        </w:rPr>
        <w:t>, 7</w:t>
      </w:r>
      <w:r w:rsidR="00C13C75" w:rsidRPr="00853D04">
        <w:rPr>
          <w:noProof/>
        </w:rPr>
        <w:t xml:space="preserve"> i</w:t>
      </w:r>
      <w:r w:rsidR="00C13C75">
        <w:rPr>
          <w:noProof/>
        </w:rPr>
        <w:t> </w:t>
      </w:r>
      <w:r w:rsidR="00C13C75" w:rsidRPr="00853D04">
        <w:rPr>
          <w:noProof/>
        </w:rPr>
        <w:t>8</w:t>
      </w:r>
      <w:r w:rsidR="00141B35" w:rsidRPr="00853D04">
        <w:rPr>
          <w:noProof/>
        </w:rPr>
        <w:t xml:space="preserve"> państwo członkowskie pochodzenia nie może ustanawiać przepisów ograniczających prawo europejskiego stowarzyszenia transgranicznego do określania swoich zasad działania,</w:t>
      </w:r>
      <w:r w:rsidR="00C13C75" w:rsidRPr="00853D04">
        <w:rPr>
          <w:noProof/>
        </w:rPr>
        <w:t xml:space="preserve"> w</w:t>
      </w:r>
      <w:r w:rsidR="00C13C75">
        <w:rPr>
          <w:noProof/>
        </w:rPr>
        <w:t> </w:t>
      </w:r>
      <w:r w:rsidR="00C13C75" w:rsidRPr="00853D04">
        <w:rPr>
          <w:noProof/>
        </w:rPr>
        <w:t>tym</w:t>
      </w:r>
      <w:r w:rsidR="00141B35" w:rsidRPr="00853D04">
        <w:rPr>
          <w:noProof/>
        </w:rPr>
        <w:t xml:space="preserve"> zasad dotyczących wewnętrznych struktur zarządzania, chyba że te przepisy ograniczające są: </w:t>
      </w:r>
    </w:p>
    <w:p w14:paraId="0D8786F4" w14:textId="6927CC71" w:rsidR="00B06FBA" w:rsidRPr="00853D04" w:rsidRDefault="00C13C75" w:rsidP="00C13C75">
      <w:pPr>
        <w:pStyle w:val="Point1"/>
        <w:rPr>
          <w:noProof/>
        </w:rPr>
      </w:pPr>
      <w:r>
        <w:rPr>
          <w:noProof/>
        </w:rPr>
        <w:t>a)</w:t>
      </w:r>
      <w:r>
        <w:rPr>
          <w:noProof/>
        </w:rPr>
        <w:tab/>
      </w:r>
      <w:r w:rsidR="00B06FBA" w:rsidRPr="00853D04">
        <w:rPr>
          <w:noProof/>
        </w:rPr>
        <w:t xml:space="preserve">przewidziane prawem; </w:t>
      </w:r>
    </w:p>
    <w:p w14:paraId="2350EE26" w14:textId="084885D7" w:rsidR="00B06FBA" w:rsidRPr="00853D04" w:rsidRDefault="00C13C75" w:rsidP="00C13C75">
      <w:pPr>
        <w:pStyle w:val="Point1"/>
        <w:rPr>
          <w:noProof/>
        </w:rPr>
      </w:pPr>
      <w:r>
        <w:rPr>
          <w:noProof/>
        </w:rPr>
        <w:t>b)</w:t>
      </w:r>
      <w:r>
        <w:rPr>
          <w:noProof/>
        </w:rPr>
        <w:tab/>
      </w:r>
      <w:r w:rsidR="00B06FBA" w:rsidRPr="00853D04">
        <w:rPr>
          <w:noProof/>
        </w:rPr>
        <w:t xml:space="preserve">uzasadnione nadrzędnymi względami interesu publicznego; </w:t>
      </w:r>
    </w:p>
    <w:p w14:paraId="72CCE16C" w14:textId="697A45B7" w:rsidR="00B06FBA" w:rsidRPr="00853D04" w:rsidRDefault="00C13C75" w:rsidP="00C13C75">
      <w:pPr>
        <w:pStyle w:val="Point1"/>
        <w:rPr>
          <w:noProof/>
        </w:rPr>
      </w:pPr>
      <w:r>
        <w:rPr>
          <w:noProof/>
        </w:rPr>
        <w:t>c)</w:t>
      </w:r>
      <w:r>
        <w:rPr>
          <w:noProof/>
        </w:rPr>
        <w:tab/>
      </w:r>
      <w:r w:rsidR="00B06FBA" w:rsidRPr="00853D04">
        <w:rPr>
          <w:noProof/>
        </w:rPr>
        <w:t>odpowiednie do zapewnienia osiągnięcia zamierzonego celu</w:t>
      </w:r>
      <w:r w:rsidRPr="00853D04">
        <w:rPr>
          <w:noProof/>
        </w:rPr>
        <w:t xml:space="preserve"> i</w:t>
      </w:r>
      <w:r>
        <w:rPr>
          <w:noProof/>
        </w:rPr>
        <w:t> </w:t>
      </w:r>
      <w:r w:rsidRPr="00853D04">
        <w:rPr>
          <w:noProof/>
        </w:rPr>
        <w:t>nie</w:t>
      </w:r>
      <w:r w:rsidR="00B06FBA" w:rsidRPr="00853D04">
        <w:rPr>
          <w:noProof/>
        </w:rPr>
        <w:t xml:space="preserve"> wykraczają poza to, co jest konieczne do jego osiągnięcia. </w:t>
      </w:r>
    </w:p>
    <w:p w14:paraId="38F0E039" w14:textId="2123D69E" w:rsidR="00251870" w:rsidRPr="00853D04" w:rsidRDefault="008D78F5" w:rsidP="008D78F5">
      <w:pPr>
        <w:pStyle w:val="ManualNumPar1"/>
        <w:rPr>
          <w:noProof/>
        </w:rPr>
      </w:pPr>
      <w:r w:rsidRPr="008D78F5">
        <w:t>2.</w:t>
      </w:r>
      <w:r w:rsidRPr="008D78F5">
        <w:tab/>
      </w:r>
      <w:r w:rsidR="00141B35" w:rsidRPr="00853D04">
        <w:rPr>
          <w:noProof/>
        </w:rPr>
        <w:t>Państwa członkowskie zapewniają, aby statut europejskiego stowarzyszenia transgranicznego zawierał następujące informacje:</w:t>
      </w:r>
    </w:p>
    <w:p w14:paraId="0BD6CB71" w14:textId="74AB7067" w:rsidR="00251870" w:rsidRPr="00853D04" w:rsidRDefault="00C13C75" w:rsidP="00C13C75">
      <w:pPr>
        <w:pStyle w:val="Point1"/>
        <w:rPr>
          <w:noProof/>
        </w:rPr>
      </w:pPr>
      <w:r>
        <w:rPr>
          <w:noProof/>
        </w:rPr>
        <w:t>a)</w:t>
      </w:r>
      <w:r>
        <w:rPr>
          <w:noProof/>
        </w:rPr>
        <w:tab/>
      </w:r>
      <w:r w:rsidR="00141B35" w:rsidRPr="00853D04">
        <w:rPr>
          <w:noProof/>
        </w:rPr>
        <w:t xml:space="preserve">nazwę europejskiego stowarzyszenia transgranicznego; </w:t>
      </w:r>
    </w:p>
    <w:p w14:paraId="4A4774A2" w14:textId="45942C91" w:rsidR="00251870" w:rsidRPr="00853D04" w:rsidRDefault="00C13C75" w:rsidP="00C13C75">
      <w:pPr>
        <w:pStyle w:val="Point1"/>
        <w:rPr>
          <w:noProof/>
        </w:rPr>
      </w:pPr>
      <w:r>
        <w:rPr>
          <w:noProof/>
        </w:rPr>
        <w:t>b)</w:t>
      </w:r>
      <w:r>
        <w:rPr>
          <w:noProof/>
        </w:rPr>
        <w:tab/>
      </w:r>
      <w:r w:rsidR="00141B35" w:rsidRPr="00853D04">
        <w:rPr>
          <w:noProof/>
        </w:rPr>
        <w:t>szczegółowy opis jego celów oraz oświadczenie</w:t>
      </w:r>
      <w:r w:rsidRPr="00853D04">
        <w:rPr>
          <w:noProof/>
        </w:rPr>
        <w:t xml:space="preserve"> o</w:t>
      </w:r>
      <w:r>
        <w:rPr>
          <w:noProof/>
        </w:rPr>
        <w:t> </w:t>
      </w:r>
      <w:r w:rsidRPr="00853D04">
        <w:rPr>
          <w:noProof/>
        </w:rPr>
        <w:t>jeg</w:t>
      </w:r>
      <w:r w:rsidR="00141B35" w:rsidRPr="00853D04">
        <w:rPr>
          <w:noProof/>
        </w:rPr>
        <w:t>o niedochodowym celu;</w:t>
      </w:r>
    </w:p>
    <w:p w14:paraId="325248BD" w14:textId="7CB51D60" w:rsidR="00141B35" w:rsidRPr="00853D04" w:rsidRDefault="00C13C75" w:rsidP="00C13C75">
      <w:pPr>
        <w:pStyle w:val="Point1"/>
        <w:rPr>
          <w:noProof/>
        </w:rPr>
      </w:pPr>
      <w:r>
        <w:rPr>
          <w:noProof/>
        </w:rPr>
        <w:t>c)</w:t>
      </w:r>
      <w:r>
        <w:rPr>
          <w:noProof/>
        </w:rPr>
        <w:tab/>
      </w:r>
      <w:r w:rsidR="00141B35" w:rsidRPr="00853D04">
        <w:rPr>
          <w:noProof/>
        </w:rPr>
        <w:t>imiona</w:t>
      </w:r>
      <w:r w:rsidRPr="00853D04">
        <w:rPr>
          <w:noProof/>
        </w:rPr>
        <w:t xml:space="preserve"> i</w:t>
      </w:r>
      <w:r>
        <w:rPr>
          <w:noProof/>
        </w:rPr>
        <w:t> </w:t>
      </w:r>
      <w:r w:rsidRPr="00853D04">
        <w:rPr>
          <w:noProof/>
        </w:rPr>
        <w:t>naz</w:t>
      </w:r>
      <w:r w:rsidR="00141B35" w:rsidRPr="00853D04">
        <w:rPr>
          <w:noProof/>
        </w:rPr>
        <w:t>wiska oraz adresy członków założycieli, jeżeli są to osoby fizyczne, oraz imiona</w:t>
      </w:r>
      <w:r w:rsidRPr="00853D04">
        <w:rPr>
          <w:noProof/>
        </w:rPr>
        <w:t xml:space="preserve"> i</w:t>
      </w:r>
      <w:r>
        <w:rPr>
          <w:noProof/>
        </w:rPr>
        <w:t> </w:t>
      </w:r>
      <w:r w:rsidRPr="00853D04">
        <w:rPr>
          <w:noProof/>
        </w:rPr>
        <w:t>naz</w:t>
      </w:r>
      <w:r w:rsidR="00141B35" w:rsidRPr="00853D04">
        <w:rPr>
          <w:noProof/>
        </w:rPr>
        <w:t>wiska przedstawicieli prawnych</w:t>
      </w:r>
      <w:r w:rsidRPr="00853D04">
        <w:rPr>
          <w:noProof/>
        </w:rPr>
        <w:t xml:space="preserve"> i</w:t>
      </w:r>
      <w:r>
        <w:rPr>
          <w:noProof/>
        </w:rPr>
        <w:t> </w:t>
      </w:r>
      <w:r w:rsidRPr="00853D04">
        <w:rPr>
          <w:noProof/>
        </w:rPr>
        <w:t>sie</w:t>
      </w:r>
      <w:r w:rsidR="00141B35" w:rsidRPr="00853D04">
        <w:rPr>
          <w:noProof/>
        </w:rPr>
        <w:t>dziba statutowa członków założycieli, jeżeli są to osoby prawne;</w:t>
      </w:r>
    </w:p>
    <w:p w14:paraId="19BD44FE" w14:textId="5ED90ADD" w:rsidR="00825C7B" w:rsidRPr="00853D04" w:rsidRDefault="00C13C75" w:rsidP="00C13C75">
      <w:pPr>
        <w:pStyle w:val="Point1"/>
        <w:rPr>
          <w:noProof/>
        </w:rPr>
      </w:pPr>
      <w:r>
        <w:rPr>
          <w:noProof/>
        </w:rPr>
        <w:t>d)</w:t>
      </w:r>
      <w:r>
        <w:rPr>
          <w:noProof/>
        </w:rPr>
        <w:tab/>
      </w:r>
      <w:r w:rsidR="009B3F1D" w:rsidRPr="00853D04">
        <w:rPr>
          <w:noProof/>
        </w:rPr>
        <w:t>w przypadku gdy członek założyciel jest podmiotem prawnym – szczegółowy opis jego statutu oraz szczegółowy opis jego niedochodowego celu;</w:t>
      </w:r>
    </w:p>
    <w:p w14:paraId="0D0C7EF2" w14:textId="6858BB72" w:rsidR="00141B35" w:rsidRPr="00853D04" w:rsidRDefault="00C13C75" w:rsidP="00C13C75">
      <w:pPr>
        <w:pStyle w:val="Point1"/>
        <w:rPr>
          <w:noProof/>
        </w:rPr>
      </w:pPr>
      <w:r>
        <w:rPr>
          <w:noProof/>
        </w:rPr>
        <w:t>e)</w:t>
      </w:r>
      <w:r>
        <w:rPr>
          <w:noProof/>
        </w:rPr>
        <w:tab/>
      </w:r>
      <w:r w:rsidR="00141B35" w:rsidRPr="00853D04">
        <w:rPr>
          <w:noProof/>
        </w:rPr>
        <w:t>adres siedziby statutowej europejskiego stowarzyszenia transgranicznego;</w:t>
      </w:r>
    </w:p>
    <w:p w14:paraId="336EC602" w14:textId="58108116" w:rsidR="00141B35" w:rsidRPr="00853D04" w:rsidRDefault="00C13C75" w:rsidP="00C13C75">
      <w:pPr>
        <w:pStyle w:val="Point1"/>
        <w:rPr>
          <w:noProof/>
        </w:rPr>
      </w:pPr>
      <w:r>
        <w:rPr>
          <w:noProof/>
        </w:rPr>
        <w:t>f)</w:t>
      </w:r>
      <w:r>
        <w:rPr>
          <w:noProof/>
        </w:rPr>
        <w:tab/>
      </w:r>
      <w:r w:rsidR="00141B35" w:rsidRPr="00853D04">
        <w:rPr>
          <w:noProof/>
        </w:rPr>
        <w:t>aktywa europejskiego stowarzyszenia transgranicznego</w:t>
      </w:r>
      <w:r w:rsidRPr="00853D04">
        <w:rPr>
          <w:noProof/>
        </w:rPr>
        <w:t xml:space="preserve"> w</w:t>
      </w:r>
      <w:r>
        <w:rPr>
          <w:noProof/>
        </w:rPr>
        <w:t> </w:t>
      </w:r>
      <w:r w:rsidRPr="00853D04">
        <w:rPr>
          <w:noProof/>
        </w:rPr>
        <w:t>chw</w:t>
      </w:r>
      <w:r w:rsidR="00141B35" w:rsidRPr="00853D04">
        <w:rPr>
          <w:noProof/>
        </w:rPr>
        <w:t>ili jego rejestracji;</w:t>
      </w:r>
    </w:p>
    <w:p w14:paraId="3BAF0821" w14:textId="22021269" w:rsidR="00141B35" w:rsidRPr="00853D04" w:rsidRDefault="00C13C75" w:rsidP="00C13C75">
      <w:pPr>
        <w:pStyle w:val="Point1"/>
        <w:rPr>
          <w:noProof/>
        </w:rPr>
      </w:pPr>
      <w:r>
        <w:rPr>
          <w:noProof/>
        </w:rPr>
        <w:t>g)</w:t>
      </w:r>
      <w:r>
        <w:rPr>
          <w:noProof/>
        </w:rPr>
        <w:tab/>
      </w:r>
      <w:r w:rsidR="00141B35" w:rsidRPr="00853D04">
        <w:rPr>
          <w:noProof/>
        </w:rPr>
        <w:t>warunki</w:t>
      </w:r>
      <w:r w:rsidRPr="00853D04">
        <w:rPr>
          <w:noProof/>
        </w:rPr>
        <w:t xml:space="preserve"> i</w:t>
      </w:r>
      <w:r>
        <w:rPr>
          <w:noProof/>
        </w:rPr>
        <w:t> </w:t>
      </w:r>
      <w:r w:rsidRPr="00853D04">
        <w:rPr>
          <w:noProof/>
        </w:rPr>
        <w:t>pro</w:t>
      </w:r>
      <w:r w:rsidR="00141B35" w:rsidRPr="00853D04">
        <w:rPr>
          <w:noProof/>
        </w:rPr>
        <w:t>cedury przyjmowania</w:t>
      </w:r>
      <w:r w:rsidRPr="00853D04">
        <w:rPr>
          <w:noProof/>
        </w:rPr>
        <w:t xml:space="preserve"> i</w:t>
      </w:r>
      <w:r>
        <w:rPr>
          <w:noProof/>
        </w:rPr>
        <w:t> </w:t>
      </w:r>
      <w:r w:rsidRPr="00853D04">
        <w:rPr>
          <w:noProof/>
        </w:rPr>
        <w:t>wyk</w:t>
      </w:r>
      <w:r w:rsidR="00141B35" w:rsidRPr="00853D04">
        <w:rPr>
          <w:noProof/>
        </w:rPr>
        <w:t>luczania członków oraz rezygnacji</w:t>
      </w:r>
      <w:r w:rsidRPr="00853D04">
        <w:rPr>
          <w:noProof/>
        </w:rPr>
        <w:t xml:space="preserve"> z</w:t>
      </w:r>
      <w:r>
        <w:rPr>
          <w:noProof/>
        </w:rPr>
        <w:t> </w:t>
      </w:r>
      <w:r w:rsidRPr="00853D04">
        <w:rPr>
          <w:noProof/>
        </w:rPr>
        <w:t>czł</w:t>
      </w:r>
      <w:r w:rsidR="00141B35" w:rsidRPr="00853D04">
        <w:rPr>
          <w:noProof/>
        </w:rPr>
        <w:t>onkostwa;</w:t>
      </w:r>
    </w:p>
    <w:p w14:paraId="44D7A5D1" w14:textId="30EC7265" w:rsidR="00141B35" w:rsidRPr="00853D04" w:rsidRDefault="00C13C75" w:rsidP="00C13C75">
      <w:pPr>
        <w:pStyle w:val="Point1"/>
        <w:rPr>
          <w:noProof/>
        </w:rPr>
      </w:pPr>
      <w:r>
        <w:rPr>
          <w:noProof/>
        </w:rPr>
        <w:t>h)</w:t>
      </w:r>
      <w:r>
        <w:rPr>
          <w:noProof/>
        </w:rPr>
        <w:tab/>
      </w:r>
      <w:r w:rsidR="00141B35" w:rsidRPr="00853D04">
        <w:rPr>
          <w:noProof/>
        </w:rPr>
        <w:t>prawa</w:t>
      </w:r>
      <w:r w:rsidRPr="00853D04">
        <w:rPr>
          <w:noProof/>
        </w:rPr>
        <w:t xml:space="preserve"> i</w:t>
      </w:r>
      <w:r>
        <w:rPr>
          <w:noProof/>
        </w:rPr>
        <w:t> </w:t>
      </w:r>
      <w:r w:rsidRPr="00853D04">
        <w:rPr>
          <w:noProof/>
        </w:rPr>
        <w:t>obo</w:t>
      </w:r>
      <w:r w:rsidR="00141B35" w:rsidRPr="00853D04">
        <w:rPr>
          <w:noProof/>
        </w:rPr>
        <w:t>wiązki członków;</w:t>
      </w:r>
    </w:p>
    <w:p w14:paraId="200115E0" w14:textId="488EB290" w:rsidR="00141B35" w:rsidRPr="00853D04" w:rsidRDefault="00C13C75" w:rsidP="00C13C75">
      <w:pPr>
        <w:pStyle w:val="Point1"/>
        <w:rPr>
          <w:noProof/>
        </w:rPr>
      </w:pPr>
      <w:r>
        <w:rPr>
          <w:noProof/>
        </w:rPr>
        <w:t>i)</w:t>
      </w:r>
      <w:r>
        <w:rPr>
          <w:noProof/>
        </w:rPr>
        <w:tab/>
      </w:r>
      <w:r w:rsidR="00141B35" w:rsidRPr="00853D04">
        <w:rPr>
          <w:noProof/>
        </w:rPr>
        <w:t>postanowienia regulujące skład, funkcjonowanie, uprawnienia</w:t>
      </w:r>
      <w:r w:rsidRPr="00853D04">
        <w:rPr>
          <w:noProof/>
        </w:rPr>
        <w:t xml:space="preserve"> i</w:t>
      </w:r>
      <w:r>
        <w:rPr>
          <w:noProof/>
        </w:rPr>
        <w:t> </w:t>
      </w:r>
      <w:r w:rsidRPr="00853D04">
        <w:rPr>
          <w:noProof/>
        </w:rPr>
        <w:t>obo</w:t>
      </w:r>
      <w:r w:rsidR="00141B35" w:rsidRPr="00853D04">
        <w:rPr>
          <w:noProof/>
        </w:rPr>
        <w:t>wiązki organu zarządzającego</w:t>
      </w:r>
      <w:r w:rsidRPr="00853D04">
        <w:rPr>
          <w:noProof/>
        </w:rPr>
        <w:t xml:space="preserve"> i</w:t>
      </w:r>
      <w:r>
        <w:rPr>
          <w:noProof/>
        </w:rPr>
        <w:t> </w:t>
      </w:r>
      <w:r w:rsidRPr="00853D04">
        <w:rPr>
          <w:noProof/>
        </w:rPr>
        <w:t>org</w:t>
      </w:r>
      <w:r w:rsidR="00141B35" w:rsidRPr="00853D04">
        <w:rPr>
          <w:noProof/>
        </w:rPr>
        <w:t>anu wykonawczego;</w:t>
      </w:r>
    </w:p>
    <w:p w14:paraId="64B0E8C5" w14:textId="0B19FBA9" w:rsidR="00141B35" w:rsidRPr="00853D04" w:rsidRDefault="00C13C75" w:rsidP="00C13C75">
      <w:pPr>
        <w:pStyle w:val="Point1"/>
        <w:rPr>
          <w:noProof/>
        </w:rPr>
      </w:pPr>
      <w:r>
        <w:rPr>
          <w:noProof/>
        </w:rPr>
        <w:t>j)</w:t>
      </w:r>
      <w:r>
        <w:rPr>
          <w:noProof/>
        </w:rPr>
        <w:tab/>
      </w:r>
      <w:r w:rsidR="00141B35" w:rsidRPr="00853D04">
        <w:rPr>
          <w:noProof/>
        </w:rPr>
        <w:t>postanowienia regulujące powoływanie, odwoływanie, uprawnienia</w:t>
      </w:r>
      <w:r w:rsidRPr="00853D04">
        <w:rPr>
          <w:noProof/>
        </w:rPr>
        <w:t xml:space="preserve"> i</w:t>
      </w:r>
      <w:r>
        <w:rPr>
          <w:noProof/>
        </w:rPr>
        <w:t> </w:t>
      </w:r>
      <w:r w:rsidRPr="00853D04">
        <w:rPr>
          <w:noProof/>
        </w:rPr>
        <w:t>obo</w:t>
      </w:r>
      <w:r w:rsidR="00141B35" w:rsidRPr="00853D04">
        <w:rPr>
          <w:noProof/>
        </w:rPr>
        <w:t>wiązki członków organu wykonawczego;</w:t>
      </w:r>
    </w:p>
    <w:p w14:paraId="71DEC8D2" w14:textId="5DF9E8D6" w:rsidR="00141B35" w:rsidRPr="00853D04" w:rsidRDefault="00C13C75" w:rsidP="00C13C75">
      <w:pPr>
        <w:pStyle w:val="Point1"/>
        <w:rPr>
          <w:noProof/>
        </w:rPr>
      </w:pPr>
      <w:r>
        <w:rPr>
          <w:noProof/>
        </w:rPr>
        <w:t>k)</w:t>
      </w:r>
      <w:r>
        <w:rPr>
          <w:noProof/>
        </w:rPr>
        <w:tab/>
      </w:r>
      <w:r w:rsidR="00141B35" w:rsidRPr="00853D04">
        <w:rPr>
          <w:noProof/>
        </w:rPr>
        <w:t>wymogi dotyczące większości</w:t>
      </w:r>
      <w:r w:rsidRPr="00853D04">
        <w:rPr>
          <w:noProof/>
        </w:rPr>
        <w:t xml:space="preserve"> i</w:t>
      </w:r>
      <w:r>
        <w:rPr>
          <w:noProof/>
        </w:rPr>
        <w:t> </w:t>
      </w:r>
      <w:r w:rsidRPr="00853D04">
        <w:rPr>
          <w:noProof/>
        </w:rPr>
        <w:t>kwo</w:t>
      </w:r>
      <w:r w:rsidR="00141B35" w:rsidRPr="00853D04">
        <w:rPr>
          <w:noProof/>
        </w:rPr>
        <w:t xml:space="preserve">rum mające zastosowanie do organu decyzyjnego; </w:t>
      </w:r>
    </w:p>
    <w:p w14:paraId="0ACB18C7" w14:textId="22B0C672" w:rsidR="00141B35" w:rsidRPr="00853D04" w:rsidRDefault="00C13C75" w:rsidP="00C13C75">
      <w:pPr>
        <w:pStyle w:val="Point1"/>
        <w:rPr>
          <w:noProof/>
        </w:rPr>
      </w:pPr>
      <w:r>
        <w:rPr>
          <w:noProof/>
        </w:rPr>
        <w:t>l)</w:t>
      </w:r>
      <w:r>
        <w:rPr>
          <w:noProof/>
        </w:rPr>
        <w:tab/>
      </w:r>
      <w:r w:rsidR="00141B35" w:rsidRPr="00853D04">
        <w:rPr>
          <w:noProof/>
        </w:rPr>
        <w:t>procedurę dokonywania zmian</w:t>
      </w:r>
      <w:r w:rsidRPr="00853D04">
        <w:rPr>
          <w:noProof/>
        </w:rPr>
        <w:t xml:space="preserve"> w</w:t>
      </w:r>
      <w:r>
        <w:rPr>
          <w:noProof/>
        </w:rPr>
        <w:t> </w:t>
      </w:r>
      <w:r w:rsidRPr="00853D04">
        <w:rPr>
          <w:noProof/>
        </w:rPr>
        <w:t>sta</w:t>
      </w:r>
      <w:r w:rsidR="00141B35" w:rsidRPr="00853D04">
        <w:rPr>
          <w:noProof/>
        </w:rPr>
        <w:t>tucie;</w:t>
      </w:r>
    </w:p>
    <w:p w14:paraId="2C8240C4" w14:textId="427DB97A" w:rsidR="00141B35" w:rsidRPr="00853D04" w:rsidRDefault="00C13C75" w:rsidP="00C13C75">
      <w:pPr>
        <w:pStyle w:val="Point1"/>
        <w:rPr>
          <w:noProof/>
        </w:rPr>
      </w:pPr>
      <w:r>
        <w:rPr>
          <w:noProof/>
        </w:rPr>
        <w:t>m)</w:t>
      </w:r>
      <w:r>
        <w:rPr>
          <w:noProof/>
        </w:rPr>
        <w:tab/>
      </w:r>
      <w:r w:rsidR="00141B35" w:rsidRPr="00853D04">
        <w:rPr>
          <w:noProof/>
        </w:rPr>
        <w:t>czas istnienia europejskiego stowarzyszenia transgranicznego, jeżeli jest on ograniczony;</w:t>
      </w:r>
    </w:p>
    <w:p w14:paraId="1BFB7B11" w14:textId="0470391A" w:rsidR="00141B35" w:rsidRPr="00853D04" w:rsidRDefault="00C13C75" w:rsidP="00C13C75">
      <w:pPr>
        <w:pStyle w:val="Point1"/>
        <w:rPr>
          <w:noProof/>
        </w:rPr>
      </w:pPr>
      <w:r>
        <w:rPr>
          <w:noProof/>
        </w:rPr>
        <w:t>n)</w:t>
      </w:r>
      <w:r>
        <w:rPr>
          <w:noProof/>
        </w:rPr>
        <w:tab/>
      </w:r>
      <w:r w:rsidR="00141B35" w:rsidRPr="00853D04">
        <w:rPr>
          <w:noProof/>
        </w:rPr>
        <w:t>sposób rozdysponowania aktywów europejskiego stowarzyszenia transgranicznego</w:t>
      </w:r>
      <w:r w:rsidRPr="00853D04">
        <w:rPr>
          <w:noProof/>
        </w:rPr>
        <w:t xml:space="preserve"> w</w:t>
      </w:r>
      <w:r>
        <w:rPr>
          <w:noProof/>
        </w:rPr>
        <w:t> </w:t>
      </w:r>
      <w:r w:rsidRPr="00853D04">
        <w:rPr>
          <w:noProof/>
        </w:rPr>
        <w:t>prz</w:t>
      </w:r>
      <w:r w:rsidR="00141B35" w:rsidRPr="00853D04">
        <w:rPr>
          <w:noProof/>
        </w:rPr>
        <w:t xml:space="preserve">ypadku jego rozwiązania. </w:t>
      </w:r>
    </w:p>
    <w:p w14:paraId="19AD092E" w14:textId="77777777" w:rsidR="00141B35" w:rsidRPr="00853D04" w:rsidDel="008E76C4" w:rsidRDefault="00141B35" w:rsidP="00141B35">
      <w:pPr>
        <w:pStyle w:val="Titrearticle"/>
        <w:rPr>
          <w:noProof/>
        </w:rPr>
      </w:pPr>
      <w:r w:rsidRPr="00853D04">
        <w:rPr>
          <w:noProof/>
        </w:rPr>
        <w:t>Artykuł 7</w:t>
      </w:r>
    </w:p>
    <w:p w14:paraId="1E45E090" w14:textId="77777777" w:rsidR="00141B35" w:rsidRPr="00853D04" w:rsidRDefault="00141B35" w:rsidP="00141B35">
      <w:pPr>
        <w:pStyle w:val="Titrearticle"/>
        <w:rPr>
          <w:noProof/>
        </w:rPr>
      </w:pPr>
      <w:r w:rsidRPr="00853D04">
        <w:rPr>
          <w:noProof/>
        </w:rPr>
        <w:t>Zarządzanie</w:t>
      </w:r>
    </w:p>
    <w:p w14:paraId="79C4A649" w14:textId="7F8EB788" w:rsidR="00141B35" w:rsidRPr="00853D04" w:rsidRDefault="008D78F5" w:rsidP="008D78F5">
      <w:pPr>
        <w:pStyle w:val="ManualNumPar1"/>
        <w:rPr>
          <w:noProof/>
        </w:rPr>
      </w:pPr>
      <w:r w:rsidRPr="008D78F5">
        <w:t>1.</w:t>
      </w:r>
      <w:r w:rsidRPr="008D78F5">
        <w:tab/>
      </w:r>
      <w:r w:rsidR="00141B35" w:rsidRPr="00853D04">
        <w:rPr>
          <w:noProof/>
        </w:rPr>
        <w:t>Państwa członkowskie zapewniają, aby europejskie stowarzyszenia transgraniczne posiadały organ decyzyjny</w:t>
      </w:r>
      <w:r w:rsidR="00C13C75" w:rsidRPr="00853D04">
        <w:rPr>
          <w:noProof/>
        </w:rPr>
        <w:t xml:space="preserve"> i</w:t>
      </w:r>
      <w:r w:rsidR="00C13C75">
        <w:rPr>
          <w:noProof/>
        </w:rPr>
        <w:t> </w:t>
      </w:r>
      <w:r w:rsidR="00C13C75" w:rsidRPr="00853D04">
        <w:rPr>
          <w:noProof/>
        </w:rPr>
        <w:t>org</w:t>
      </w:r>
      <w:r w:rsidR="00141B35" w:rsidRPr="00853D04">
        <w:rPr>
          <w:noProof/>
        </w:rPr>
        <w:t>an wykonawczy.</w:t>
      </w:r>
    </w:p>
    <w:p w14:paraId="082C44A5" w14:textId="57DE206C" w:rsidR="000601C8" w:rsidRPr="00853D04" w:rsidRDefault="008D78F5" w:rsidP="008D78F5">
      <w:pPr>
        <w:pStyle w:val="ManualNumPar1"/>
        <w:rPr>
          <w:noProof/>
        </w:rPr>
      </w:pPr>
      <w:r w:rsidRPr="008D78F5">
        <w:t>2.</w:t>
      </w:r>
      <w:r w:rsidRPr="008D78F5">
        <w:tab/>
      </w:r>
      <w:r w:rsidR="000516D8" w:rsidRPr="00853D04">
        <w:rPr>
          <w:noProof/>
        </w:rPr>
        <w:t>Państwa członkowskie zapewniają, aby członkami organu wykonawczego europejskiego stowarzyszenia transgranicznego mogły być wyłącznie osoby fizyczne będące obywatelami Unii lub legalnie przebywające</w:t>
      </w:r>
      <w:r w:rsidR="00C13C75" w:rsidRPr="00853D04">
        <w:rPr>
          <w:noProof/>
        </w:rPr>
        <w:t xml:space="preserve"> w</w:t>
      </w:r>
      <w:r w:rsidR="00C13C75">
        <w:rPr>
          <w:noProof/>
        </w:rPr>
        <w:t> </w:t>
      </w:r>
      <w:r w:rsidR="00C13C75" w:rsidRPr="00853D04">
        <w:rPr>
          <w:noProof/>
        </w:rPr>
        <w:t>Uni</w:t>
      </w:r>
      <w:r w:rsidR="000516D8" w:rsidRPr="00853D04">
        <w:rPr>
          <w:noProof/>
        </w:rPr>
        <w:t>i oraz podmioty prawne</w:t>
      </w:r>
      <w:r w:rsidR="00C13C75" w:rsidRPr="00853D04">
        <w:rPr>
          <w:noProof/>
        </w:rPr>
        <w:t xml:space="preserve"> o</w:t>
      </w:r>
      <w:r w:rsidR="00C13C75">
        <w:rPr>
          <w:noProof/>
        </w:rPr>
        <w:t> </w:t>
      </w:r>
      <w:r w:rsidR="00C13C75" w:rsidRPr="00853D04">
        <w:rPr>
          <w:noProof/>
        </w:rPr>
        <w:t>nie</w:t>
      </w:r>
      <w:r w:rsidR="000516D8" w:rsidRPr="00853D04">
        <w:rPr>
          <w:noProof/>
        </w:rPr>
        <w:t>dochodowym celu mające siedzibę</w:t>
      </w:r>
      <w:r w:rsidR="00C13C75" w:rsidRPr="00853D04">
        <w:rPr>
          <w:noProof/>
        </w:rPr>
        <w:t xml:space="preserve"> w</w:t>
      </w:r>
      <w:r w:rsidR="00C13C75">
        <w:rPr>
          <w:noProof/>
        </w:rPr>
        <w:t> </w:t>
      </w:r>
      <w:r w:rsidR="00C13C75" w:rsidRPr="00853D04">
        <w:rPr>
          <w:noProof/>
        </w:rPr>
        <w:t>Uni</w:t>
      </w:r>
      <w:r w:rsidR="000516D8" w:rsidRPr="00853D04">
        <w:rPr>
          <w:noProof/>
        </w:rPr>
        <w:t xml:space="preserve">i, za pośrednictwem swoich przedstawicieli. Organ wykonawczy europejskiego stowarzyszenia transgranicznego składa się z co najmniej trzech osób. </w:t>
      </w:r>
    </w:p>
    <w:p w14:paraId="255226D0" w14:textId="31A66785" w:rsidR="00BF65C4" w:rsidRPr="00853D04" w:rsidRDefault="008D78F5" w:rsidP="008D78F5">
      <w:pPr>
        <w:pStyle w:val="ManualNumPar1"/>
        <w:rPr>
          <w:noProof/>
        </w:rPr>
      </w:pPr>
      <w:r w:rsidRPr="008D78F5">
        <w:t>3.</w:t>
      </w:r>
      <w:r w:rsidRPr="008D78F5">
        <w:tab/>
      </w:r>
      <w:r w:rsidR="00BF0143" w:rsidRPr="00853D04">
        <w:rPr>
          <w:noProof/>
        </w:rPr>
        <w:t xml:space="preserve">Państwa członkowskie zapewniają, aby osoby fizyczne, które zostały skazane za szczególnie poważne przestępstwo, nie mogły być członkami organu wykonawczego ani przedstawicielami podmiotu prawnego będącego członkiem organu wykonawczego. </w:t>
      </w:r>
    </w:p>
    <w:p w14:paraId="5BA7CE3B" w14:textId="77777777" w:rsidR="00141B35" w:rsidRPr="00853D04" w:rsidRDefault="00141B35" w:rsidP="00141B35">
      <w:pPr>
        <w:pStyle w:val="Titrearticle"/>
        <w:rPr>
          <w:noProof/>
        </w:rPr>
      </w:pPr>
      <w:r w:rsidRPr="00853D04">
        <w:rPr>
          <w:noProof/>
        </w:rPr>
        <w:t>Artykuł 8</w:t>
      </w:r>
    </w:p>
    <w:p w14:paraId="4F9F9103" w14:textId="67C1312C" w:rsidR="00141B35" w:rsidRPr="00C13C75" w:rsidRDefault="00141B35">
      <w:pPr>
        <w:pStyle w:val="Titrearticle"/>
        <w:rPr>
          <w:noProof/>
        </w:rPr>
      </w:pPr>
      <w:r w:rsidRPr="00853D04">
        <w:rPr>
          <w:noProof/>
        </w:rPr>
        <w:t>Członkostw</w:t>
      </w:r>
      <w:r w:rsidRPr="00C13C75">
        <w:rPr>
          <w:noProof/>
        </w:rPr>
        <w:t>o</w:t>
      </w:r>
      <w:r w:rsidR="00C13C75" w:rsidRPr="00C13C75">
        <w:rPr>
          <w:noProof/>
        </w:rPr>
        <w:t xml:space="preserve"> </w:t>
      </w:r>
    </w:p>
    <w:p w14:paraId="378B094A" w14:textId="421819E6" w:rsidR="00141B35" w:rsidRPr="00853D04" w:rsidRDefault="008D78F5" w:rsidP="008D78F5">
      <w:pPr>
        <w:pStyle w:val="ManualNumPar1"/>
        <w:rPr>
          <w:noProof/>
        </w:rPr>
      </w:pPr>
      <w:r w:rsidRPr="008D78F5">
        <w:t>1.</w:t>
      </w:r>
      <w:r w:rsidRPr="008D78F5">
        <w:tab/>
      </w:r>
      <w:r w:rsidR="00141B35" w:rsidRPr="00853D04">
        <w:rPr>
          <w:noProof/>
        </w:rPr>
        <w:t>Państwa członkowskie zapewniają, aby każdy członek europejskiego stowarzyszenia transgranicznego miał jeden głos.</w:t>
      </w:r>
    </w:p>
    <w:p w14:paraId="6BF0369E" w14:textId="4690F51C" w:rsidR="008F2094" w:rsidRPr="00853D04" w:rsidRDefault="008D78F5" w:rsidP="008D78F5">
      <w:pPr>
        <w:pStyle w:val="ManualNumPar1"/>
        <w:rPr>
          <w:noProof/>
        </w:rPr>
      </w:pPr>
      <w:r w:rsidRPr="008D78F5">
        <w:t>2.</w:t>
      </w:r>
      <w:r w:rsidRPr="008D78F5">
        <w:tab/>
      </w:r>
      <w:r w:rsidR="00141B35" w:rsidRPr="00853D04">
        <w:rPr>
          <w:noProof/>
        </w:rPr>
        <w:t>Państwa członkowskie zapewniają, aby członkowie europejskiego stowarzyszenia transgranicznego nie ponosili osobistej odpowiedzialności za działania lub zaniechania, których dopuściło się europejskie stowarzyszenie transgraniczne.</w:t>
      </w:r>
    </w:p>
    <w:p w14:paraId="796C4A53" w14:textId="77777777" w:rsidR="00141B35" w:rsidRPr="00853D04" w:rsidRDefault="00141B35" w:rsidP="00141B35">
      <w:pPr>
        <w:pStyle w:val="Text1"/>
        <w:rPr>
          <w:noProof/>
        </w:rPr>
      </w:pPr>
    </w:p>
    <w:p w14:paraId="4A6C46F7" w14:textId="77777777" w:rsidR="00141B35" w:rsidRPr="00853D04" w:rsidRDefault="00141B35" w:rsidP="00141B35">
      <w:pPr>
        <w:pStyle w:val="ChapterTitle"/>
        <w:rPr>
          <w:noProof/>
        </w:rPr>
      </w:pPr>
      <w:r w:rsidRPr="00853D04">
        <w:rPr>
          <w:noProof/>
        </w:rPr>
        <w:t xml:space="preserve">Rozdział 2 </w:t>
      </w:r>
    </w:p>
    <w:p w14:paraId="36EB5277" w14:textId="7744792A" w:rsidR="00925556" w:rsidRPr="00853D04" w:rsidRDefault="00925556" w:rsidP="00F057AD">
      <w:pPr>
        <w:jc w:val="center"/>
        <w:rPr>
          <w:noProof/>
        </w:rPr>
      </w:pPr>
      <w:r w:rsidRPr="00853D04">
        <w:rPr>
          <w:b/>
          <w:noProof/>
          <w:sz w:val="32"/>
        </w:rPr>
        <w:t>Prawa</w:t>
      </w:r>
      <w:r w:rsidR="00C13C75" w:rsidRPr="00853D04">
        <w:rPr>
          <w:b/>
          <w:noProof/>
          <w:sz w:val="32"/>
        </w:rPr>
        <w:t xml:space="preserve"> i</w:t>
      </w:r>
      <w:r w:rsidR="00C13C75">
        <w:rPr>
          <w:b/>
          <w:noProof/>
          <w:sz w:val="32"/>
        </w:rPr>
        <w:t> </w:t>
      </w:r>
      <w:r w:rsidR="00C13C75" w:rsidRPr="00853D04">
        <w:rPr>
          <w:b/>
          <w:noProof/>
          <w:sz w:val="32"/>
        </w:rPr>
        <w:t>zak</w:t>
      </w:r>
      <w:r w:rsidRPr="00853D04">
        <w:rPr>
          <w:b/>
          <w:noProof/>
          <w:sz w:val="32"/>
        </w:rPr>
        <w:t>azane ograniczenia</w:t>
      </w:r>
    </w:p>
    <w:p w14:paraId="7CC765CF" w14:textId="77777777" w:rsidR="00975AFB" w:rsidRPr="00853D04" w:rsidRDefault="00975AFB" w:rsidP="00975AFB">
      <w:pPr>
        <w:pStyle w:val="Titrearticle"/>
        <w:rPr>
          <w:noProof/>
        </w:rPr>
      </w:pPr>
      <w:r w:rsidRPr="00853D04">
        <w:rPr>
          <w:noProof/>
        </w:rPr>
        <w:t>Artykuł 9</w:t>
      </w:r>
    </w:p>
    <w:p w14:paraId="0899BA74" w14:textId="77777777" w:rsidR="00975AFB" w:rsidRPr="00853D04" w:rsidRDefault="009B496B" w:rsidP="009B496B">
      <w:pPr>
        <w:pStyle w:val="Titrearticle"/>
        <w:rPr>
          <w:noProof/>
        </w:rPr>
      </w:pPr>
      <w:r w:rsidRPr="00853D04">
        <w:rPr>
          <w:noProof/>
        </w:rPr>
        <w:t>Równe traktowanie</w:t>
      </w:r>
    </w:p>
    <w:p w14:paraId="0C92982F" w14:textId="271526F7" w:rsidR="002132AD" w:rsidRPr="00853D04" w:rsidRDefault="000D4741" w:rsidP="00940300">
      <w:pPr>
        <w:rPr>
          <w:noProof/>
        </w:rPr>
      </w:pPr>
      <w:r w:rsidRPr="00853D04">
        <w:rPr>
          <w:noProof/>
        </w:rPr>
        <w:t>Każde państwo członkowskie zapewnia, aby</w:t>
      </w:r>
      <w:r w:rsidR="00C13C75" w:rsidRPr="00853D04">
        <w:rPr>
          <w:noProof/>
        </w:rPr>
        <w:t xml:space="preserve"> w</w:t>
      </w:r>
      <w:r w:rsidR="00C13C75">
        <w:rPr>
          <w:noProof/>
        </w:rPr>
        <w:t> </w:t>
      </w:r>
      <w:r w:rsidR="00C13C75" w:rsidRPr="00853D04">
        <w:rPr>
          <w:noProof/>
        </w:rPr>
        <w:t>każ</w:t>
      </w:r>
      <w:r w:rsidRPr="00853D04">
        <w:rPr>
          <w:noProof/>
        </w:rPr>
        <w:t>dym aspekcie swojej działalności europejskie stowarzyszenia transgraniczne nie były traktowane mniej korzystnie niż stowarzyszenie niekomercyjne</w:t>
      </w:r>
      <w:r w:rsidR="00C13C75" w:rsidRPr="00853D04">
        <w:rPr>
          <w:noProof/>
        </w:rPr>
        <w:t xml:space="preserve"> w</w:t>
      </w:r>
      <w:r w:rsidR="00C13C75">
        <w:rPr>
          <w:noProof/>
        </w:rPr>
        <w:t> </w:t>
      </w:r>
      <w:r w:rsidR="00C13C75" w:rsidRPr="00853D04">
        <w:rPr>
          <w:noProof/>
        </w:rPr>
        <w:t>pra</w:t>
      </w:r>
      <w:r w:rsidRPr="00853D04">
        <w:rPr>
          <w:noProof/>
        </w:rPr>
        <w:t>wie krajowym wskazane zgodnie</w:t>
      </w:r>
      <w:r w:rsidR="00C13C75" w:rsidRPr="00853D04">
        <w:rPr>
          <w:noProof/>
        </w:rPr>
        <w:t xml:space="preserve"> z</w:t>
      </w:r>
      <w:r w:rsidR="00C13C75">
        <w:rPr>
          <w:noProof/>
        </w:rPr>
        <w:t> </w:t>
      </w:r>
      <w:r w:rsidR="00C13C75" w:rsidRPr="00C13C75">
        <w:rPr>
          <w:noProof/>
        </w:rPr>
        <w:t>art</w:t>
      </w:r>
      <w:r w:rsidRPr="00C13C75">
        <w:rPr>
          <w:noProof/>
        </w:rPr>
        <w:t>.</w:t>
      </w:r>
      <w:r w:rsidR="00C13C75" w:rsidRPr="00C13C75">
        <w:rPr>
          <w:noProof/>
        </w:rPr>
        <w:t> </w:t>
      </w:r>
      <w:r w:rsidRPr="00C13C75">
        <w:rPr>
          <w:noProof/>
        </w:rPr>
        <w:t>4</w:t>
      </w:r>
      <w:r w:rsidRPr="00853D04">
        <w:rPr>
          <w:noProof/>
        </w:rPr>
        <w:t xml:space="preserve"> </w:t>
      </w:r>
      <w:r w:rsidRPr="00C13C75">
        <w:rPr>
          <w:noProof/>
        </w:rPr>
        <w:t>ust.</w:t>
      </w:r>
      <w:r w:rsidR="00C13C75" w:rsidRPr="00C13C75">
        <w:rPr>
          <w:noProof/>
        </w:rPr>
        <w:t> </w:t>
      </w:r>
      <w:r w:rsidRPr="00C13C75">
        <w:rPr>
          <w:noProof/>
        </w:rPr>
        <w:t>4</w:t>
      </w:r>
      <w:r w:rsidRPr="00853D04">
        <w:rPr>
          <w:noProof/>
        </w:rPr>
        <w:t>.</w:t>
      </w:r>
    </w:p>
    <w:p w14:paraId="62F29873" w14:textId="77777777" w:rsidR="009B496B" w:rsidRPr="00853D04" w:rsidRDefault="009B496B" w:rsidP="009E0BAB">
      <w:pPr>
        <w:pStyle w:val="Titrearticle"/>
        <w:rPr>
          <w:noProof/>
        </w:rPr>
      </w:pPr>
      <w:r w:rsidRPr="00853D04">
        <w:rPr>
          <w:noProof/>
        </w:rPr>
        <w:t>Artykuł 10</w:t>
      </w:r>
    </w:p>
    <w:p w14:paraId="0FCF67FF" w14:textId="77777777" w:rsidR="009B496B" w:rsidRPr="00853D04" w:rsidRDefault="009B496B" w:rsidP="009E0BAB">
      <w:pPr>
        <w:pStyle w:val="Titrearticle"/>
        <w:rPr>
          <w:noProof/>
        </w:rPr>
      </w:pPr>
      <w:r w:rsidRPr="00853D04">
        <w:rPr>
          <w:noProof/>
        </w:rPr>
        <w:t>Niedyskryminacja</w:t>
      </w:r>
    </w:p>
    <w:p w14:paraId="22D54A8D" w14:textId="722FD870" w:rsidR="000633F5" w:rsidRPr="00853D04" w:rsidRDefault="000633F5">
      <w:pPr>
        <w:rPr>
          <w:noProof/>
        </w:rPr>
      </w:pPr>
      <w:r w:rsidRPr="00853D04">
        <w:rPr>
          <w:noProof/>
        </w:rPr>
        <w:t>Państwa członkowskie zapewniają, aby</w:t>
      </w:r>
      <w:r w:rsidR="00C13C75" w:rsidRPr="00853D04">
        <w:rPr>
          <w:noProof/>
        </w:rPr>
        <w:t xml:space="preserve"> w</w:t>
      </w:r>
      <w:r w:rsidR="00C13C75">
        <w:rPr>
          <w:noProof/>
        </w:rPr>
        <w:t> </w:t>
      </w:r>
      <w:r w:rsidR="00C13C75" w:rsidRPr="00853D04">
        <w:rPr>
          <w:noProof/>
        </w:rPr>
        <w:t>zak</w:t>
      </w:r>
      <w:r w:rsidRPr="00853D04">
        <w:rPr>
          <w:noProof/>
        </w:rPr>
        <w:t>resie stosowania niniejszej dyrektywy organy publiczne nie dyskryminowały jakiejkolwiek grupy ani osoby fizycznej</w:t>
      </w:r>
      <w:r w:rsidR="00C13C75" w:rsidRPr="00853D04">
        <w:rPr>
          <w:noProof/>
        </w:rPr>
        <w:t xml:space="preserve"> z</w:t>
      </w:r>
      <w:r w:rsidR="00C13C75">
        <w:rPr>
          <w:noProof/>
        </w:rPr>
        <w:t> </w:t>
      </w:r>
      <w:r w:rsidR="00C13C75" w:rsidRPr="00853D04">
        <w:rPr>
          <w:noProof/>
        </w:rPr>
        <w:t>jak</w:t>
      </w:r>
      <w:r w:rsidRPr="00853D04">
        <w:rPr>
          <w:noProof/>
        </w:rPr>
        <w:t>ichkolwiek względów, takich jak: urodzenie, wiek, kolor skóry, płeć</w:t>
      </w:r>
      <w:r w:rsidR="00C13C75" w:rsidRPr="00853D04">
        <w:rPr>
          <w:noProof/>
        </w:rPr>
        <w:t xml:space="preserve"> i</w:t>
      </w:r>
      <w:r w:rsidR="00C13C75">
        <w:rPr>
          <w:noProof/>
        </w:rPr>
        <w:t> </w:t>
      </w:r>
      <w:r w:rsidR="00C13C75" w:rsidRPr="00853D04">
        <w:rPr>
          <w:noProof/>
        </w:rPr>
        <w:t>płe</w:t>
      </w:r>
      <w:r w:rsidRPr="00853D04">
        <w:rPr>
          <w:noProof/>
        </w:rPr>
        <w:t xml:space="preserve">ć społeczno-kulturowa, orientacja seksualna, tożsamość płciowa, stan zdrowia, status imigranta lub rezydenta, cechy genetyczne, język, pochodzenie narodowe, etniczne lub społeczne, poglądy polityczne lub inne, niepełnosprawność ruchowa lub zaburzenie psychiczne, przynależność do mniejszości narodowej, majątek, rasa, religia lub światopogląd czy inny status. </w:t>
      </w:r>
    </w:p>
    <w:p w14:paraId="6B99BD71" w14:textId="77777777" w:rsidR="000633F5" w:rsidRPr="00853D04" w:rsidRDefault="000633F5" w:rsidP="009E0BAB">
      <w:pPr>
        <w:pStyle w:val="Titrearticle"/>
        <w:rPr>
          <w:noProof/>
        </w:rPr>
      </w:pPr>
      <w:r w:rsidRPr="00853D04">
        <w:rPr>
          <w:noProof/>
        </w:rPr>
        <w:t>Artykuł 11</w:t>
      </w:r>
    </w:p>
    <w:p w14:paraId="04057710" w14:textId="77777777" w:rsidR="000633F5" w:rsidRPr="00853D04" w:rsidRDefault="00377DB4" w:rsidP="009E0BAB">
      <w:pPr>
        <w:pStyle w:val="Titrearticle"/>
        <w:rPr>
          <w:noProof/>
        </w:rPr>
      </w:pPr>
      <w:r w:rsidRPr="00853D04">
        <w:rPr>
          <w:noProof/>
        </w:rPr>
        <w:t>Kontrola sądowa</w:t>
      </w:r>
    </w:p>
    <w:p w14:paraId="2946D759" w14:textId="63248E7B" w:rsidR="00BE330F" w:rsidRPr="00853D04" w:rsidRDefault="00BE330F" w:rsidP="009E0BAB">
      <w:pPr>
        <w:rPr>
          <w:noProof/>
        </w:rPr>
      </w:pPr>
      <w:r w:rsidRPr="00853D04">
        <w:rPr>
          <w:noProof/>
        </w:rPr>
        <w:t>Państwa członkowskie zapewniają, aby wszystkie decyzje podejmowane przez właściwe organy na ich terytorium, które mają wpływ na prawa</w:t>
      </w:r>
      <w:r w:rsidR="00C13C75" w:rsidRPr="00853D04">
        <w:rPr>
          <w:noProof/>
        </w:rPr>
        <w:t xml:space="preserve"> i</w:t>
      </w:r>
      <w:r w:rsidR="00C13C75">
        <w:rPr>
          <w:noProof/>
        </w:rPr>
        <w:t> </w:t>
      </w:r>
      <w:r w:rsidR="00C13C75" w:rsidRPr="00853D04">
        <w:rPr>
          <w:noProof/>
        </w:rPr>
        <w:t>obo</w:t>
      </w:r>
      <w:r w:rsidRPr="00853D04">
        <w:rPr>
          <w:noProof/>
        </w:rPr>
        <w:t>wiązki europejskich stowarzyszeń transgranicznych lub prawa</w:t>
      </w:r>
      <w:r w:rsidR="00C13C75" w:rsidRPr="00853D04">
        <w:rPr>
          <w:noProof/>
        </w:rPr>
        <w:t xml:space="preserve"> i</w:t>
      </w:r>
      <w:r w:rsidR="00C13C75">
        <w:rPr>
          <w:noProof/>
        </w:rPr>
        <w:t> </w:t>
      </w:r>
      <w:r w:rsidR="00C13C75" w:rsidRPr="00853D04">
        <w:rPr>
          <w:noProof/>
        </w:rPr>
        <w:t>obo</w:t>
      </w:r>
      <w:r w:rsidRPr="00853D04">
        <w:rPr>
          <w:noProof/>
        </w:rPr>
        <w:t>wiązki innych osób</w:t>
      </w:r>
      <w:r w:rsidR="00C13C75" w:rsidRPr="00853D04">
        <w:rPr>
          <w:noProof/>
        </w:rPr>
        <w:t xml:space="preserve"> w</w:t>
      </w:r>
      <w:r w:rsidR="00C13C75">
        <w:rPr>
          <w:noProof/>
        </w:rPr>
        <w:t> </w:t>
      </w:r>
      <w:r w:rsidR="00C13C75" w:rsidRPr="00853D04">
        <w:rPr>
          <w:noProof/>
        </w:rPr>
        <w:t>zwi</w:t>
      </w:r>
      <w:r w:rsidRPr="00853D04">
        <w:rPr>
          <w:noProof/>
        </w:rPr>
        <w:t>ązku</w:t>
      </w:r>
      <w:r w:rsidR="00C13C75" w:rsidRPr="00853D04">
        <w:rPr>
          <w:noProof/>
        </w:rPr>
        <w:t xml:space="preserve"> z</w:t>
      </w:r>
      <w:r w:rsidR="00C13C75">
        <w:rPr>
          <w:noProof/>
        </w:rPr>
        <w:t> </w:t>
      </w:r>
      <w:r w:rsidR="00C13C75" w:rsidRPr="00853D04">
        <w:rPr>
          <w:noProof/>
        </w:rPr>
        <w:t>dzi</w:t>
      </w:r>
      <w:r w:rsidRPr="00853D04">
        <w:rPr>
          <w:noProof/>
        </w:rPr>
        <w:t>ałaniami tych europejskich stowarzyszeń transgranicznych podlegały skutecznej kontroli sądowej zgodnie</w:t>
      </w:r>
      <w:r w:rsidR="00C13C75" w:rsidRPr="00853D04">
        <w:rPr>
          <w:noProof/>
        </w:rPr>
        <w:t xml:space="preserve"> z</w:t>
      </w:r>
      <w:r w:rsidR="00C13C75">
        <w:rPr>
          <w:noProof/>
        </w:rPr>
        <w:t> </w:t>
      </w:r>
      <w:r w:rsidR="00C13C75" w:rsidRPr="00C13C75">
        <w:rPr>
          <w:noProof/>
        </w:rPr>
        <w:t>art</w:t>
      </w:r>
      <w:r w:rsidRPr="00C13C75">
        <w:rPr>
          <w:noProof/>
        </w:rPr>
        <w:t>.</w:t>
      </w:r>
      <w:r w:rsidR="00C13C75" w:rsidRPr="00C13C75">
        <w:rPr>
          <w:noProof/>
        </w:rPr>
        <w:t> </w:t>
      </w:r>
      <w:r w:rsidRPr="00C13C75">
        <w:rPr>
          <w:noProof/>
        </w:rPr>
        <w:t>4</w:t>
      </w:r>
      <w:r w:rsidRPr="00853D04">
        <w:rPr>
          <w:noProof/>
        </w:rPr>
        <w:t>7 Karty praw podstawowych Unii Europejskiej.</w:t>
      </w:r>
    </w:p>
    <w:p w14:paraId="1DC0330C" w14:textId="77777777" w:rsidR="008363EF" w:rsidRPr="00853D04" w:rsidRDefault="00B0107F" w:rsidP="009E0BAB">
      <w:pPr>
        <w:pStyle w:val="Titrearticle"/>
        <w:rPr>
          <w:noProof/>
        </w:rPr>
      </w:pPr>
      <w:r w:rsidRPr="00853D04">
        <w:rPr>
          <w:noProof/>
        </w:rPr>
        <w:t>Artykuł 12</w:t>
      </w:r>
    </w:p>
    <w:p w14:paraId="7173124C" w14:textId="77777777" w:rsidR="008B0B16" w:rsidRPr="00853D04" w:rsidRDefault="008B0B16" w:rsidP="008B0B16">
      <w:pPr>
        <w:pStyle w:val="Titrearticle"/>
        <w:rPr>
          <w:noProof/>
        </w:rPr>
      </w:pPr>
      <w:r w:rsidRPr="00853D04">
        <w:rPr>
          <w:noProof/>
        </w:rPr>
        <w:t xml:space="preserve">Jedna rejestracja </w:t>
      </w:r>
    </w:p>
    <w:p w14:paraId="6691DDA0" w14:textId="20A7205B" w:rsidR="007767BC" w:rsidRPr="00853D04" w:rsidRDefault="008D78F5" w:rsidP="008D78F5">
      <w:pPr>
        <w:pStyle w:val="ManualNumPar1"/>
        <w:rPr>
          <w:noProof/>
        </w:rPr>
      </w:pPr>
      <w:r w:rsidRPr="008D78F5">
        <w:t>1.</w:t>
      </w:r>
      <w:r w:rsidRPr="008D78F5">
        <w:tab/>
      </w:r>
      <w:r w:rsidR="00E95D3D" w:rsidRPr="00853D04">
        <w:rPr>
          <w:noProof/>
        </w:rPr>
        <w:t>Państwa członkowskie zapewniają, aby europejskie stowarzyszenie transgraniczne było zobowiązane do zarejestrowania się tylko raz. Rejestracja odbywa się zgodnie</w:t>
      </w:r>
      <w:r w:rsidR="00C13C75" w:rsidRPr="00853D04">
        <w:rPr>
          <w:noProof/>
        </w:rPr>
        <w:t xml:space="preserve"> z</w:t>
      </w:r>
      <w:r w:rsidR="00C13C75">
        <w:rPr>
          <w:noProof/>
        </w:rPr>
        <w:t> </w:t>
      </w:r>
      <w:r w:rsidR="00C13C75" w:rsidRPr="00C13C75">
        <w:rPr>
          <w:noProof/>
        </w:rPr>
        <w:t>art</w:t>
      </w:r>
      <w:r w:rsidR="00E95D3D" w:rsidRPr="00C13C75">
        <w:rPr>
          <w:noProof/>
        </w:rPr>
        <w:t>.</w:t>
      </w:r>
      <w:r w:rsidR="00C13C75" w:rsidRPr="00C13C75">
        <w:rPr>
          <w:noProof/>
        </w:rPr>
        <w:t> </w:t>
      </w:r>
      <w:r w:rsidR="00E95D3D" w:rsidRPr="00C13C75">
        <w:rPr>
          <w:noProof/>
        </w:rPr>
        <w:t>1</w:t>
      </w:r>
      <w:r w:rsidR="00E95D3D" w:rsidRPr="00853D04">
        <w:rPr>
          <w:noProof/>
        </w:rPr>
        <w:t>8</w:t>
      </w:r>
      <w:r w:rsidR="00C13C75" w:rsidRPr="00853D04">
        <w:rPr>
          <w:noProof/>
        </w:rPr>
        <w:t xml:space="preserve"> i</w:t>
      </w:r>
      <w:r w:rsidR="00C13C75">
        <w:rPr>
          <w:noProof/>
        </w:rPr>
        <w:t> </w:t>
      </w:r>
      <w:r w:rsidR="00C13C75" w:rsidRPr="00853D04">
        <w:rPr>
          <w:noProof/>
        </w:rPr>
        <w:t>1</w:t>
      </w:r>
      <w:r w:rsidR="00E95D3D" w:rsidRPr="00853D04">
        <w:rPr>
          <w:noProof/>
        </w:rPr>
        <w:t xml:space="preserve">9. </w:t>
      </w:r>
    </w:p>
    <w:p w14:paraId="04F0323F" w14:textId="5A664663" w:rsidR="00342554" w:rsidRPr="00853D04" w:rsidRDefault="008D78F5" w:rsidP="008D78F5">
      <w:pPr>
        <w:pStyle w:val="ManualNumPar1"/>
        <w:rPr>
          <w:noProof/>
        </w:rPr>
      </w:pPr>
      <w:r w:rsidRPr="008D78F5">
        <w:t>2.</w:t>
      </w:r>
      <w:r w:rsidRPr="008D78F5">
        <w:tab/>
      </w:r>
      <w:r w:rsidR="00940300" w:rsidRPr="00853D04">
        <w:rPr>
          <w:noProof/>
        </w:rPr>
        <w:t>Państwa członkowskie nie wymagają od zarejestrowanego europejskiego stowarzyszenia transgranicznego składania oświadczeń, dostarczania informacji, wystąpienia</w:t>
      </w:r>
      <w:r w:rsidR="00C13C75" w:rsidRPr="00853D04">
        <w:rPr>
          <w:noProof/>
        </w:rPr>
        <w:t xml:space="preserve"> z</w:t>
      </w:r>
      <w:r w:rsidR="00C13C75">
        <w:rPr>
          <w:noProof/>
        </w:rPr>
        <w:t> </w:t>
      </w:r>
      <w:r w:rsidR="00C13C75" w:rsidRPr="00853D04">
        <w:rPr>
          <w:noProof/>
        </w:rPr>
        <w:t>wni</w:t>
      </w:r>
      <w:r w:rsidR="00940300" w:rsidRPr="00853D04">
        <w:rPr>
          <w:noProof/>
        </w:rPr>
        <w:t>oskiem</w:t>
      </w:r>
      <w:r w:rsidR="00C13C75" w:rsidRPr="00853D04">
        <w:rPr>
          <w:noProof/>
        </w:rPr>
        <w:t xml:space="preserve"> o</w:t>
      </w:r>
      <w:r w:rsidR="00C13C75">
        <w:rPr>
          <w:noProof/>
        </w:rPr>
        <w:t> </w:t>
      </w:r>
      <w:r w:rsidR="00C13C75" w:rsidRPr="00853D04">
        <w:rPr>
          <w:noProof/>
        </w:rPr>
        <w:t>zez</w:t>
      </w:r>
      <w:r w:rsidR="00940300" w:rsidRPr="00853D04">
        <w:rPr>
          <w:noProof/>
        </w:rPr>
        <w:t>wolenie lub uzyskania takiego zezwolenia na prowadzenie określonej działalności, chyba że wymogi te są:</w:t>
      </w:r>
    </w:p>
    <w:p w14:paraId="0DC45CAD" w14:textId="6FB11B19" w:rsidR="00342554" w:rsidRPr="00853D04" w:rsidRDefault="00C13C75" w:rsidP="00C13C75">
      <w:pPr>
        <w:pStyle w:val="Point1"/>
        <w:rPr>
          <w:noProof/>
        </w:rPr>
      </w:pPr>
      <w:r>
        <w:rPr>
          <w:noProof/>
        </w:rPr>
        <w:t>a)</w:t>
      </w:r>
      <w:r>
        <w:rPr>
          <w:noProof/>
        </w:rPr>
        <w:tab/>
      </w:r>
      <w:r w:rsidR="008B0B16" w:rsidRPr="00853D04">
        <w:rPr>
          <w:noProof/>
        </w:rPr>
        <w:t xml:space="preserve">przewidziane prawem; </w:t>
      </w:r>
    </w:p>
    <w:p w14:paraId="41241EC2" w14:textId="2DCE79C5" w:rsidR="00342554" w:rsidRPr="00853D04" w:rsidRDefault="00C13C75" w:rsidP="00C13C75">
      <w:pPr>
        <w:pStyle w:val="Point1"/>
        <w:rPr>
          <w:noProof/>
        </w:rPr>
      </w:pPr>
      <w:r>
        <w:rPr>
          <w:noProof/>
        </w:rPr>
        <w:t>b)</w:t>
      </w:r>
      <w:r>
        <w:rPr>
          <w:noProof/>
        </w:rPr>
        <w:tab/>
      </w:r>
      <w:r w:rsidR="008B0B16" w:rsidRPr="00853D04">
        <w:rPr>
          <w:noProof/>
        </w:rPr>
        <w:t xml:space="preserve">uzasadnione nadrzędnymi względami interesu publicznego; </w:t>
      </w:r>
    </w:p>
    <w:p w14:paraId="21BCBE03" w14:textId="0054C545" w:rsidR="008B0B16" w:rsidRPr="00853D04" w:rsidRDefault="00C13C75" w:rsidP="00C13C75">
      <w:pPr>
        <w:pStyle w:val="Point1"/>
        <w:rPr>
          <w:noProof/>
        </w:rPr>
      </w:pPr>
      <w:r>
        <w:rPr>
          <w:noProof/>
        </w:rPr>
        <w:t>c)</w:t>
      </w:r>
      <w:r>
        <w:rPr>
          <w:noProof/>
        </w:rPr>
        <w:tab/>
      </w:r>
      <w:r w:rsidR="008B0B16" w:rsidRPr="00853D04">
        <w:rPr>
          <w:noProof/>
        </w:rPr>
        <w:t>odpowiednie do zapewnienia osiągnięcia zamierzonego celu</w:t>
      </w:r>
      <w:r w:rsidRPr="00853D04">
        <w:rPr>
          <w:noProof/>
        </w:rPr>
        <w:t xml:space="preserve"> i</w:t>
      </w:r>
      <w:r>
        <w:rPr>
          <w:noProof/>
        </w:rPr>
        <w:t> </w:t>
      </w:r>
      <w:r w:rsidRPr="00853D04">
        <w:rPr>
          <w:noProof/>
        </w:rPr>
        <w:t>nie</w:t>
      </w:r>
      <w:r w:rsidR="008B0B16" w:rsidRPr="00853D04">
        <w:rPr>
          <w:noProof/>
        </w:rPr>
        <w:t xml:space="preserve"> wykraczają poza to, co jest konieczne do jego osiągnięcia. </w:t>
      </w:r>
    </w:p>
    <w:p w14:paraId="60D24225" w14:textId="42C3537A" w:rsidR="00605A76" w:rsidRPr="00853D04" w:rsidRDefault="008D78F5" w:rsidP="008D78F5">
      <w:pPr>
        <w:pStyle w:val="ManualNumPar1"/>
        <w:rPr>
          <w:noProof/>
        </w:rPr>
      </w:pPr>
      <w:r w:rsidRPr="008D78F5">
        <w:t>3.</w:t>
      </w:r>
      <w:r w:rsidRPr="008D78F5">
        <w:tab/>
      </w:r>
      <w:r w:rsidR="00605A76" w:rsidRPr="00853D04">
        <w:rPr>
          <w:noProof/>
        </w:rPr>
        <w:t>Ust. 1 nie ma wpływu na przewidziane</w:t>
      </w:r>
      <w:r w:rsidR="00C13C75" w:rsidRPr="00853D04">
        <w:rPr>
          <w:noProof/>
        </w:rPr>
        <w:t xml:space="preserve"> w</w:t>
      </w:r>
      <w:r w:rsidR="00C13C75">
        <w:rPr>
          <w:noProof/>
        </w:rPr>
        <w:t> </w:t>
      </w:r>
      <w:r w:rsidR="00C13C75" w:rsidRPr="00853D04">
        <w:rPr>
          <w:noProof/>
        </w:rPr>
        <w:t>pra</w:t>
      </w:r>
      <w:r w:rsidR="00605A76" w:rsidRPr="00853D04">
        <w:rPr>
          <w:noProof/>
        </w:rPr>
        <w:t>wie Unii lub przepisach krajowych wdrażających prawo Unii wymogi dotyczące składania oświadczeń, dostarczania informacji, wystąpienia</w:t>
      </w:r>
      <w:r w:rsidR="00C13C75" w:rsidRPr="00853D04">
        <w:rPr>
          <w:noProof/>
        </w:rPr>
        <w:t xml:space="preserve"> z</w:t>
      </w:r>
      <w:r w:rsidR="00C13C75">
        <w:rPr>
          <w:noProof/>
        </w:rPr>
        <w:t> </w:t>
      </w:r>
      <w:r w:rsidR="00C13C75" w:rsidRPr="00853D04">
        <w:rPr>
          <w:noProof/>
        </w:rPr>
        <w:t>wni</w:t>
      </w:r>
      <w:r w:rsidR="00605A76" w:rsidRPr="00853D04">
        <w:rPr>
          <w:noProof/>
        </w:rPr>
        <w:t>oskiem</w:t>
      </w:r>
      <w:r w:rsidR="00C13C75" w:rsidRPr="00853D04">
        <w:rPr>
          <w:noProof/>
        </w:rPr>
        <w:t xml:space="preserve"> o</w:t>
      </w:r>
      <w:r w:rsidR="00C13C75">
        <w:rPr>
          <w:noProof/>
        </w:rPr>
        <w:t> </w:t>
      </w:r>
      <w:r w:rsidR="00C13C75" w:rsidRPr="00853D04">
        <w:rPr>
          <w:noProof/>
        </w:rPr>
        <w:t>zez</w:t>
      </w:r>
      <w:r w:rsidR="00605A76" w:rsidRPr="00853D04">
        <w:rPr>
          <w:noProof/>
        </w:rPr>
        <w:t>wolenie lub uzyskania takiego zezwolenia na prowadzenie określonej działalności.</w:t>
      </w:r>
    </w:p>
    <w:p w14:paraId="7D406319" w14:textId="77777777" w:rsidR="002A2163" w:rsidRPr="00853D04" w:rsidRDefault="00423C11" w:rsidP="005A18AA">
      <w:pPr>
        <w:pStyle w:val="Titrearticle"/>
        <w:rPr>
          <w:noProof/>
        </w:rPr>
      </w:pPr>
      <w:r w:rsidRPr="00853D04">
        <w:rPr>
          <w:noProof/>
        </w:rPr>
        <w:tab/>
        <w:t>Artykuł 13</w:t>
      </w:r>
      <w:r w:rsidRPr="00853D04">
        <w:rPr>
          <w:noProof/>
        </w:rPr>
        <w:tab/>
      </w:r>
    </w:p>
    <w:p w14:paraId="2A26B83C" w14:textId="77777777" w:rsidR="0000551A" w:rsidRPr="00853D04" w:rsidRDefault="0000551A" w:rsidP="0000551A">
      <w:pPr>
        <w:pStyle w:val="Titrearticle"/>
        <w:rPr>
          <w:noProof/>
        </w:rPr>
      </w:pPr>
      <w:r w:rsidRPr="00853D04">
        <w:rPr>
          <w:noProof/>
        </w:rPr>
        <w:t>Finansowanie</w:t>
      </w:r>
    </w:p>
    <w:p w14:paraId="2A769CE8" w14:textId="2DB2E336" w:rsidR="002A2163" w:rsidRPr="00853D04" w:rsidRDefault="008D78F5" w:rsidP="008D78F5">
      <w:pPr>
        <w:pStyle w:val="ManualNumPar1"/>
        <w:rPr>
          <w:noProof/>
        </w:rPr>
      </w:pPr>
      <w:r w:rsidRPr="008D78F5">
        <w:t>1.</w:t>
      </w:r>
      <w:r w:rsidRPr="008D78F5">
        <w:tab/>
      </w:r>
      <w:r w:rsidR="00094AA0" w:rsidRPr="00853D04">
        <w:rPr>
          <w:noProof/>
        </w:rPr>
        <w:t>Państwa członkowskie zapewniają, aby europejskie stowarzyszenie transgraniczne niezależnie od państwa członkowskiego rejestracji miało swobodny</w:t>
      </w:r>
      <w:r w:rsidR="00C13C75" w:rsidRPr="00853D04">
        <w:rPr>
          <w:noProof/>
        </w:rPr>
        <w:t xml:space="preserve"> i</w:t>
      </w:r>
      <w:r w:rsidR="00C13C75">
        <w:rPr>
          <w:noProof/>
        </w:rPr>
        <w:t> </w:t>
      </w:r>
      <w:r w:rsidR="00C13C75" w:rsidRPr="00853D04">
        <w:rPr>
          <w:noProof/>
        </w:rPr>
        <w:t>nie</w:t>
      </w:r>
      <w:r w:rsidR="00094AA0" w:rsidRPr="00853D04">
        <w:rPr>
          <w:noProof/>
        </w:rPr>
        <w:t>dyskryminujący dostęp do finansowania ze źródeł publicznych zgodnie</w:t>
      </w:r>
      <w:r w:rsidR="00C13C75" w:rsidRPr="00853D04">
        <w:rPr>
          <w:noProof/>
        </w:rPr>
        <w:t xml:space="preserve"> z</w:t>
      </w:r>
      <w:r w:rsidR="00C13C75">
        <w:rPr>
          <w:noProof/>
        </w:rPr>
        <w:t> </w:t>
      </w:r>
      <w:r w:rsidR="00C13C75" w:rsidRPr="00853D04">
        <w:rPr>
          <w:noProof/>
        </w:rPr>
        <w:t>ogó</w:t>
      </w:r>
      <w:r w:rsidR="00094AA0" w:rsidRPr="00853D04">
        <w:rPr>
          <w:noProof/>
        </w:rPr>
        <w:t xml:space="preserve">lnymi zasadami prawa UE. </w:t>
      </w:r>
    </w:p>
    <w:p w14:paraId="236E3238" w14:textId="7525296B" w:rsidR="00D43739" w:rsidRPr="00853D04" w:rsidRDefault="008D78F5" w:rsidP="008D78F5">
      <w:pPr>
        <w:pStyle w:val="ManualNumPar1"/>
        <w:rPr>
          <w:noProof/>
        </w:rPr>
      </w:pPr>
      <w:r w:rsidRPr="008D78F5">
        <w:t>2.</w:t>
      </w:r>
      <w:r w:rsidRPr="008D78F5">
        <w:tab/>
      </w:r>
      <w:r w:rsidR="00437681" w:rsidRPr="00853D04">
        <w:rPr>
          <w:noProof/>
        </w:rPr>
        <w:t>Państwa członkowskie nie nakładają żadnych ograniczeń na zdolność europejskiego stowarzyszenia transgranicznego do zapewniania lub otrzymywania finansowania,</w:t>
      </w:r>
      <w:r w:rsidR="00C13C75" w:rsidRPr="00853D04">
        <w:rPr>
          <w:noProof/>
        </w:rPr>
        <w:t xml:space="preserve"> w</w:t>
      </w:r>
      <w:r w:rsidR="00C13C75">
        <w:rPr>
          <w:noProof/>
        </w:rPr>
        <w:t> </w:t>
      </w:r>
      <w:r w:rsidR="00C13C75" w:rsidRPr="00853D04">
        <w:rPr>
          <w:noProof/>
        </w:rPr>
        <w:t>tym</w:t>
      </w:r>
      <w:r w:rsidR="00437681" w:rsidRPr="00853D04">
        <w:rPr>
          <w:noProof/>
        </w:rPr>
        <w:t xml:space="preserve"> darowizn,</w:t>
      </w:r>
      <w:r w:rsidR="00C13C75" w:rsidRPr="00853D04">
        <w:rPr>
          <w:noProof/>
        </w:rPr>
        <w:t xml:space="preserve"> z</w:t>
      </w:r>
      <w:r w:rsidR="00C13C75">
        <w:rPr>
          <w:noProof/>
        </w:rPr>
        <w:t> </w:t>
      </w:r>
      <w:r w:rsidR="00C13C75" w:rsidRPr="00853D04">
        <w:rPr>
          <w:noProof/>
        </w:rPr>
        <w:t>jak</w:t>
      </w:r>
      <w:r w:rsidR="00437681" w:rsidRPr="00853D04">
        <w:rPr>
          <w:noProof/>
        </w:rPr>
        <w:t>iegokolwiek zgodnego</w:t>
      </w:r>
      <w:r w:rsidR="00C13C75" w:rsidRPr="00853D04">
        <w:rPr>
          <w:noProof/>
        </w:rPr>
        <w:t xml:space="preserve"> z</w:t>
      </w:r>
      <w:r w:rsidR="00C13C75">
        <w:rPr>
          <w:noProof/>
        </w:rPr>
        <w:t> </w:t>
      </w:r>
      <w:r w:rsidR="00C13C75" w:rsidRPr="00853D04">
        <w:rPr>
          <w:noProof/>
        </w:rPr>
        <w:t>pra</w:t>
      </w:r>
      <w:r w:rsidR="00437681" w:rsidRPr="00853D04">
        <w:rPr>
          <w:noProof/>
        </w:rPr>
        <w:t>wem źródła, chyba że –</w:t>
      </w:r>
      <w:r w:rsidR="00C13C75" w:rsidRPr="00853D04">
        <w:rPr>
          <w:noProof/>
        </w:rPr>
        <w:t xml:space="preserve"> i</w:t>
      </w:r>
      <w:r w:rsidR="00C13C75">
        <w:rPr>
          <w:noProof/>
        </w:rPr>
        <w:t> </w:t>
      </w:r>
      <w:r w:rsidR="00C13C75" w:rsidRPr="00853D04">
        <w:rPr>
          <w:noProof/>
        </w:rPr>
        <w:t>w</w:t>
      </w:r>
      <w:r w:rsidR="00C13C75">
        <w:rPr>
          <w:noProof/>
        </w:rPr>
        <w:t> </w:t>
      </w:r>
      <w:r w:rsidR="00C13C75" w:rsidRPr="00853D04">
        <w:rPr>
          <w:noProof/>
        </w:rPr>
        <w:t>zak</w:t>
      </w:r>
      <w:r w:rsidR="00437681" w:rsidRPr="00853D04">
        <w:rPr>
          <w:noProof/>
        </w:rPr>
        <w:t>resie</w:t>
      </w:r>
      <w:r w:rsidR="00C13C75" w:rsidRPr="00853D04">
        <w:rPr>
          <w:noProof/>
        </w:rPr>
        <w:t xml:space="preserve"> w</w:t>
      </w:r>
      <w:r w:rsidR="00C13C75">
        <w:rPr>
          <w:noProof/>
        </w:rPr>
        <w:t> </w:t>
      </w:r>
      <w:r w:rsidR="00C13C75" w:rsidRPr="00853D04">
        <w:rPr>
          <w:noProof/>
        </w:rPr>
        <w:t>jak</w:t>
      </w:r>
      <w:r w:rsidR="00437681" w:rsidRPr="00853D04">
        <w:rPr>
          <w:noProof/>
        </w:rPr>
        <w:t xml:space="preserve">im – ograniczenia takie są: </w:t>
      </w:r>
    </w:p>
    <w:p w14:paraId="55896230" w14:textId="0EF81C26" w:rsidR="00D43739" w:rsidRPr="00853D04" w:rsidRDefault="00C13C75" w:rsidP="00C13C75">
      <w:pPr>
        <w:pStyle w:val="Point1"/>
        <w:rPr>
          <w:noProof/>
        </w:rPr>
      </w:pPr>
      <w:r>
        <w:rPr>
          <w:noProof/>
        </w:rPr>
        <w:t>a)</w:t>
      </w:r>
      <w:r>
        <w:rPr>
          <w:noProof/>
        </w:rPr>
        <w:tab/>
      </w:r>
      <w:r w:rsidR="00D43739" w:rsidRPr="00853D04">
        <w:rPr>
          <w:noProof/>
        </w:rPr>
        <w:t xml:space="preserve">przewidziane prawem; </w:t>
      </w:r>
    </w:p>
    <w:p w14:paraId="1288AF18" w14:textId="711BF036" w:rsidR="00D43739" w:rsidRPr="00853D04" w:rsidRDefault="00C13C75" w:rsidP="00C13C75">
      <w:pPr>
        <w:pStyle w:val="Point1"/>
        <w:rPr>
          <w:noProof/>
        </w:rPr>
      </w:pPr>
      <w:r>
        <w:rPr>
          <w:noProof/>
        </w:rPr>
        <w:t>b)</w:t>
      </w:r>
      <w:r>
        <w:rPr>
          <w:noProof/>
        </w:rPr>
        <w:tab/>
      </w:r>
      <w:r w:rsidR="00D43739" w:rsidRPr="00853D04">
        <w:rPr>
          <w:noProof/>
        </w:rPr>
        <w:t xml:space="preserve">uzasadnione nadrzędnymi względami interesu publicznego; </w:t>
      </w:r>
    </w:p>
    <w:p w14:paraId="20B1F586" w14:textId="529A5FC4" w:rsidR="00AB6521" w:rsidRPr="00853D04" w:rsidRDefault="00C13C75" w:rsidP="00C13C75">
      <w:pPr>
        <w:pStyle w:val="Point1"/>
        <w:rPr>
          <w:noProof/>
        </w:rPr>
      </w:pPr>
      <w:r>
        <w:rPr>
          <w:noProof/>
        </w:rPr>
        <w:t>c)</w:t>
      </w:r>
      <w:r>
        <w:rPr>
          <w:noProof/>
        </w:rPr>
        <w:tab/>
      </w:r>
      <w:r w:rsidR="00D43739" w:rsidRPr="00853D04">
        <w:rPr>
          <w:noProof/>
        </w:rPr>
        <w:t>odpowiednie do zapewnienia osiągnięcia zamierzonego celu</w:t>
      </w:r>
      <w:r w:rsidRPr="00853D04">
        <w:rPr>
          <w:noProof/>
        </w:rPr>
        <w:t xml:space="preserve"> i</w:t>
      </w:r>
      <w:r>
        <w:rPr>
          <w:noProof/>
        </w:rPr>
        <w:t> </w:t>
      </w:r>
      <w:r w:rsidRPr="00853D04">
        <w:rPr>
          <w:noProof/>
        </w:rPr>
        <w:t>nie</w:t>
      </w:r>
      <w:r w:rsidR="00D43739" w:rsidRPr="00853D04">
        <w:rPr>
          <w:noProof/>
        </w:rPr>
        <w:t xml:space="preserve"> wykraczają poza to, co jest konieczne do jego osiągnięcia.</w:t>
      </w:r>
    </w:p>
    <w:p w14:paraId="6624EC4B" w14:textId="77777777" w:rsidR="00623120" w:rsidRPr="00853D04" w:rsidRDefault="008B0B16" w:rsidP="009E0BAB">
      <w:pPr>
        <w:pStyle w:val="Titrearticle"/>
        <w:rPr>
          <w:noProof/>
        </w:rPr>
      </w:pPr>
      <w:r w:rsidRPr="00853D04">
        <w:rPr>
          <w:noProof/>
        </w:rPr>
        <w:t>Artykuł 14</w:t>
      </w:r>
    </w:p>
    <w:p w14:paraId="3189F88D" w14:textId="01F8D36A" w:rsidR="00623120" w:rsidRPr="00853D04" w:rsidRDefault="00623120" w:rsidP="00C7799D">
      <w:pPr>
        <w:pStyle w:val="Text1"/>
        <w:ind w:left="0"/>
        <w:jc w:val="center"/>
        <w:rPr>
          <w:i/>
          <w:noProof/>
        </w:rPr>
      </w:pPr>
      <w:r w:rsidRPr="00853D04">
        <w:rPr>
          <w:i/>
          <w:noProof/>
        </w:rPr>
        <w:t>Świadczenie usług</w:t>
      </w:r>
      <w:r w:rsidR="00C13C75" w:rsidRPr="00853D04">
        <w:rPr>
          <w:i/>
          <w:noProof/>
        </w:rPr>
        <w:t xml:space="preserve"> i</w:t>
      </w:r>
      <w:r w:rsidR="00C13C75">
        <w:rPr>
          <w:i/>
          <w:noProof/>
        </w:rPr>
        <w:t> </w:t>
      </w:r>
      <w:r w:rsidR="00C13C75" w:rsidRPr="00853D04">
        <w:rPr>
          <w:i/>
          <w:noProof/>
        </w:rPr>
        <w:t>han</w:t>
      </w:r>
      <w:r w:rsidRPr="00853D04">
        <w:rPr>
          <w:i/>
          <w:noProof/>
        </w:rPr>
        <w:t>del towarami</w:t>
      </w:r>
    </w:p>
    <w:p w14:paraId="15110401" w14:textId="0506E8FF" w:rsidR="00623120" w:rsidRPr="00853D04" w:rsidRDefault="008D78F5" w:rsidP="008D78F5">
      <w:pPr>
        <w:pStyle w:val="ManualNumPar1"/>
        <w:rPr>
          <w:noProof/>
        </w:rPr>
      </w:pPr>
      <w:r w:rsidRPr="008D78F5">
        <w:t>1.</w:t>
      </w:r>
      <w:r w:rsidRPr="008D78F5">
        <w:tab/>
      </w:r>
      <w:r w:rsidR="00623120" w:rsidRPr="00853D04">
        <w:rPr>
          <w:noProof/>
        </w:rPr>
        <w:t>Państwa członkowskie zapewniają europejskim stowarzyszeniom transgranicznym swobodę przedsiębiorczości, świadczenia</w:t>
      </w:r>
      <w:r w:rsidR="00C13C75" w:rsidRPr="00853D04">
        <w:rPr>
          <w:noProof/>
        </w:rPr>
        <w:t xml:space="preserve"> i</w:t>
      </w:r>
      <w:r w:rsidR="00C13C75">
        <w:rPr>
          <w:noProof/>
        </w:rPr>
        <w:t> </w:t>
      </w:r>
      <w:r w:rsidR="00C13C75" w:rsidRPr="00853D04">
        <w:rPr>
          <w:noProof/>
        </w:rPr>
        <w:t>kor</w:t>
      </w:r>
      <w:r w:rsidR="00623120" w:rsidRPr="00853D04">
        <w:rPr>
          <w:noProof/>
        </w:rPr>
        <w:t>zystania</w:t>
      </w:r>
      <w:r w:rsidR="00C13C75" w:rsidRPr="00853D04">
        <w:rPr>
          <w:noProof/>
        </w:rPr>
        <w:t xml:space="preserve"> z</w:t>
      </w:r>
      <w:r w:rsidR="00C13C75">
        <w:rPr>
          <w:noProof/>
        </w:rPr>
        <w:t> </w:t>
      </w:r>
      <w:r w:rsidR="00C13C75" w:rsidRPr="00853D04">
        <w:rPr>
          <w:noProof/>
        </w:rPr>
        <w:t>usł</w:t>
      </w:r>
      <w:r w:rsidR="00623120" w:rsidRPr="00853D04">
        <w:rPr>
          <w:noProof/>
        </w:rPr>
        <w:t>ug oraz ze swobodnego przepływu towarów na rynku wewnętrznym zgodnie</w:t>
      </w:r>
      <w:r w:rsidR="00C13C75" w:rsidRPr="00853D04">
        <w:rPr>
          <w:noProof/>
        </w:rPr>
        <w:t xml:space="preserve"> z</w:t>
      </w:r>
      <w:r w:rsidR="00C13C75">
        <w:rPr>
          <w:noProof/>
        </w:rPr>
        <w:t> </w:t>
      </w:r>
      <w:r w:rsidR="00C13C75" w:rsidRPr="00853D04">
        <w:rPr>
          <w:noProof/>
        </w:rPr>
        <w:t>pra</w:t>
      </w:r>
      <w:r w:rsidR="00623120" w:rsidRPr="00853D04">
        <w:rPr>
          <w:noProof/>
        </w:rPr>
        <w:t>wem UE.</w:t>
      </w:r>
    </w:p>
    <w:p w14:paraId="48D3587B" w14:textId="4B8694CA" w:rsidR="00623120" w:rsidRPr="00853D04" w:rsidRDefault="008D78F5" w:rsidP="008D78F5">
      <w:pPr>
        <w:pStyle w:val="ManualNumPar1"/>
        <w:rPr>
          <w:noProof/>
        </w:rPr>
      </w:pPr>
      <w:r w:rsidRPr="008D78F5">
        <w:t>2.</w:t>
      </w:r>
      <w:r w:rsidRPr="008D78F5">
        <w:tab/>
      </w:r>
      <w:r w:rsidR="003D10CF" w:rsidRPr="00853D04">
        <w:rPr>
          <w:noProof/>
        </w:rPr>
        <w:t>Bez uszczerbku dla przepisów innych aktów prawa Unii państwa członkowskie nie nakładają żadnych ograniczeń na działalność,</w:t>
      </w:r>
      <w:r w:rsidR="00C13C75" w:rsidRPr="00853D04">
        <w:rPr>
          <w:noProof/>
        </w:rPr>
        <w:t xml:space="preserve"> o</w:t>
      </w:r>
      <w:r w:rsidR="00C13C75">
        <w:rPr>
          <w:noProof/>
        </w:rPr>
        <w:t> </w:t>
      </w:r>
      <w:r w:rsidR="00C13C75" w:rsidRPr="00853D04">
        <w:rPr>
          <w:noProof/>
        </w:rPr>
        <w:t>któ</w:t>
      </w:r>
      <w:r w:rsidR="003D10CF" w:rsidRPr="00853D04">
        <w:rPr>
          <w:noProof/>
        </w:rPr>
        <w:t>rej mowa</w:t>
      </w:r>
      <w:r w:rsidR="00C13C75" w:rsidRPr="00853D04">
        <w:rPr>
          <w:noProof/>
        </w:rPr>
        <w:t xml:space="preserve"> w</w:t>
      </w:r>
      <w:r w:rsidR="00C13C75">
        <w:rPr>
          <w:noProof/>
        </w:rPr>
        <w:t> </w:t>
      </w:r>
      <w:r w:rsidR="00C13C75" w:rsidRPr="00C13C75">
        <w:rPr>
          <w:noProof/>
        </w:rPr>
        <w:t>ust</w:t>
      </w:r>
      <w:r w:rsidR="003D10CF" w:rsidRPr="00C13C75">
        <w:rPr>
          <w:noProof/>
        </w:rPr>
        <w:t>.</w:t>
      </w:r>
      <w:r w:rsidR="00C13C75" w:rsidRPr="00C13C75">
        <w:rPr>
          <w:noProof/>
        </w:rPr>
        <w:t> </w:t>
      </w:r>
      <w:r w:rsidR="003D10CF" w:rsidRPr="00C13C75">
        <w:rPr>
          <w:noProof/>
        </w:rPr>
        <w:t>1</w:t>
      </w:r>
      <w:r w:rsidR="003D10CF" w:rsidRPr="00853D04">
        <w:rPr>
          <w:noProof/>
        </w:rPr>
        <w:t xml:space="preserve">, chyba że ograniczenia takie są: </w:t>
      </w:r>
    </w:p>
    <w:p w14:paraId="6EF63069" w14:textId="05A0EA8E" w:rsidR="00623120" w:rsidRPr="00853D04" w:rsidRDefault="00C13C75" w:rsidP="00C13C75">
      <w:pPr>
        <w:pStyle w:val="Point1"/>
        <w:rPr>
          <w:noProof/>
        </w:rPr>
      </w:pPr>
      <w:r>
        <w:rPr>
          <w:noProof/>
        </w:rPr>
        <w:t>a)</w:t>
      </w:r>
      <w:r>
        <w:rPr>
          <w:noProof/>
        </w:rPr>
        <w:tab/>
      </w:r>
      <w:r w:rsidR="00623120" w:rsidRPr="00853D04">
        <w:rPr>
          <w:noProof/>
        </w:rPr>
        <w:t xml:space="preserve">przewidziane prawem; </w:t>
      </w:r>
    </w:p>
    <w:p w14:paraId="75AC2227" w14:textId="5B2F3735" w:rsidR="00623120" w:rsidRPr="00853D04" w:rsidRDefault="00C13C75" w:rsidP="00C13C75">
      <w:pPr>
        <w:pStyle w:val="Point1"/>
        <w:rPr>
          <w:noProof/>
        </w:rPr>
      </w:pPr>
      <w:r>
        <w:rPr>
          <w:noProof/>
        </w:rPr>
        <w:t>b)</w:t>
      </w:r>
      <w:r>
        <w:rPr>
          <w:noProof/>
        </w:rPr>
        <w:tab/>
      </w:r>
      <w:r w:rsidR="00623120" w:rsidRPr="00853D04">
        <w:rPr>
          <w:noProof/>
        </w:rPr>
        <w:t xml:space="preserve">uzasadnione nadrzędnymi względami interesu publicznego; </w:t>
      </w:r>
    </w:p>
    <w:p w14:paraId="67A735AA" w14:textId="7265A52E" w:rsidR="00623120" w:rsidRPr="00853D04" w:rsidRDefault="00C13C75" w:rsidP="00C13C75">
      <w:pPr>
        <w:pStyle w:val="Point1"/>
        <w:rPr>
          <w:noProof/>
        </w:rPr>
      </w:pPr>
      <w:r>
        <w:rPr>
          <w:noProof/>
        </w:rPr>
        <w:t>c)</w:t>
      </w:r>
      <w:r>
        <w:rPr>
          <w:noProof/>
        </w:rPr>
        <w:tab/>
      </w:r>
      <w:r w:rsidR="00623120" w:rsidRPr="00853D04">
        <w:rPr>
          <w:noProof/>
        </w:rPr>
        <w:t>odpowiednie do zapewnienia osiągnięcia zamierzonego celu</w:t>
      </w:r>
      <w:r w:rsidRPr="00853D04">
        <w:rPr>
          <w:noProof/>
        </w:rPr>
        <w:t xml:space="preserve"> i</w:t>
      </w:r>
      <w:r>
        <w:rPr>
          <w:noProof/>
        </w:rPr>
        <w:t> </w:t>
      </w:r>
      <w:r w:rsidRPr="00853D04">
        <w:rPr>
          <w:noProof/>
        </w:rPr>
        <w:t>nie</w:t>
      </w:r>
      <w:r w:rsidR="00623120" w:rsidRPr="00853D04">
        <w:rPr>
          <w:noProof/>
        </w:rPr>
        <w:t xml:space="preserve"> wykraczają poza to, co jest konieczne do jego osiągnięcia. </w:t>
      </w:r>
    </w:p>
    <w:p w14:paraId="14C2B292" w14:textId="77777777" w:rsidR="008B0B16" w:rsidRPr="00853D04" w:rsidRDefault="007B0EF4" w:rsidP="009E0BAB">
      <w:pPr>
        <w:pStyle w:val="Titrearticle"/>
        <w:rPr>
          <w:noProof/>
        </w:rPr>
      </w:pPr>
      <w:r w:rsidRPr="00853D04">
        <w:rPr>
          <w:noProof/>
        </w:rPr>
        <w:t>Artykuł 15</w:t>
      </w:r>
    </w:p>
    <w:p w14:paraId="0C494F87" w14:textId="77777777" w:rsidR="008363EF" w:rsidRPr="00853D04" w:rsidRDefault="008363EF" w:rsidP="009E0BAB">
      <w:pPr>
        <w:pStyle w:val="Titrearticle"/>
        <w:rPr>
          <w:noProof/>
        </w:rPr>
      </w:pPr>
      <w:r w:rsidRPr="00853D04">
        <w:rPr>
          <w:noProof/>
        </w:rPr>
        <w:t>Zakazane ograniczenia</w:t>
      </w:r>
    </w:p>
    <w:p w14:paraId="737CA244" w14:textId="77777777" w:rsidR="009D47CB" w:rsidRPr="00853D04" w:rsidRDefault="009D47CB" w:rsidP="00EE29D0">
      <w:pPr>
        <w:rPr>
          <w:noProof/>
          <w:sz w:val="22"/>
        </w:rPr>
      </w:pPr>
      <w:r w:rsidRPr="00853D04">
        <w:rPr>
          <w:noProof/>
        </w:rPr>
        <w:t>Państwa członkowskie zapewniają, aby europejskie stowarzyszenie transgraniczne nie podlegało następującym wymogom:</w:t>
      </w:r>
    </w:p>
    <w:p w14:paraId="0F69FBB3" w14:textId="05918731" w:rsidR="00EE29D0" w:rsidRPr="00853D04" w:rsidRDefault="00C13C75" w:rsidP="00C13C75">
      <w:pPr>
        <w:pStyle w:val="Point0"/>
        <w:rPr>
          <w:noProof/>
        </w:rPr>
      </w:pPr>
      <w:r>
        <w:rPr>
          <w:noProof/>
        </w:rPr>
        <w:t>a)</w:t>
      </w:r>
      <w:r>
        <w:rPr>
          <w:noProof/>
        </w:rPr>
        <w:tab/>
      </w:r>
      <w:r w:rsidR="009D47CB" w:rsidRPr="00853D04">
        <w:rPr>
          <w:noProof/>
        </w:rPr>
        <w:t>wymogom opartym bezpośrednio lub pośrednio na obywatelstwie lub miejscu zamieszkania osób fizycznych będących członkami europejskiego stowarzyszenia transgranicznego lub jego organu wykonawczego,</w:t>
      </w:r>
      <w:r w:rsidRPr="00853D04">
        <w:rPr>
          <w:noProof/>
        </w:rPr>
        <w:t xml:space="preserve"> z</w:t>
      </w:r>
      <w:r>
        <w:rPr>
          <w:noProof/>
        </w:rPr>
        <w:t> </w:t>
      </w:r>
      <w:r w:rsidRPr="00853D04">
        <w:rPr>
          <w:noProof/>
        </w:rPr>
        <w:t>wyj</w:t>
      </w:r>
      <w:r w:rsidR="009D47CB" w:rsidRPr="00853D04">
        <w:rPr>
          <w:noProof/>
        </w:rPr>
        <w:t>ątkiem przypadków przewidzianych</w:t>
      </w:r>
      <w:r w:rsidRPr="00853D04">
        <w:rPr>
          <w:noProof/>
        </w:rPr>
        <w:t xml:space="preserve"> w</w:t>
      </w:r>
      <w:r>
        <w:rPr>
          <w:noProof/>
        </w:rPr>
        <w:t> </w:t>
      </w:r>
      <w:r w:rsidRPr="00853D04">
        <w:rPr>
          <w:noProof/>
        </w:rPr>
        <w:t>nin</w:t>
      </w:r>
      <w:r w:rsidR="009D47CB" w:rsidRPr="00853D04">
        <w:rPr>
          <w:noProof/>
        </w:rPr>
        <w:t xml:space="preserve">iejszej dyrektywie; </w:t>
      </w:r>
    </w:p>
    <w:p w14:paraId="6FE9B234" w14:textId="770A1130" w:rsidR="009D47CB" w:rsidRPr="00853D04" w:rsidRDefault="00C13C75" w:rsidP="00C13C75">
      <w:pPr>
        <w:pStyle w:val="Point0"/>
        <w:rPr>
          <w:noProof/>
        </w:rPr>
      </w:pPr>
      <w:r>
        <w:rPr>
          <w:noProof/>
        </w:rPr>
        <w:t>b)</w:t>
      </w:r>
      <w:r>
        <w:rPr>
          <w:noProof/>
        </w:rPr>
        <w:tab/>
      </w:r>
      <w:r w:rsidR="00EE29D0" w:rsidRPr="00853D04">
        <w:rPr>
          <w:noProof/>
        </w:rPr>
        <w:t>wymogowi fizycznej obecności członków europejskiego stowarzyszenia transgranicznego, jego organu wykonawczego lub jego organu decyzyjnego</w:t>
      </w:r>
      <w:r w:rsidRPr="00853D04">
        <w:rPr>
          <w:noProof/>
        </w:rPr>
        <w:t xml:space="preserve"> w</w:t>
      </w:r>
      <w:r>
        <w:rPr>
          <w:noProof/>
        </w:rPr>
        <w:t> </w:t>
      </w:r>
      <w:r w:rsidRPr="00853D04">
        <w:rPr>
          <w:noProof/>
        </w:rPr>
        <w:t>cel</w:t>
      </w:r>
      <w:r w:rsidR="00EE29D0" w:rsidRPr="00853D04">
        <w:rPr>
          <w:noProof/>
        </w:rPr>
        <w:t>u zapewnienia ważności posiedzenia;</w:t>
      </w:r>
    </w:p>
    <w:p w14:paraId="73666D39" w14:textId="40388BA7" w:rsidR="00845A8A" w:rsidRPr="00853D04" w:rsidRDefault="00C13C75" w:rsidP="00C13C75">
      <w:pPr>
        <w:pStyle w:val="Point0"/>
        <w:rPr>
          <w:noProof/>
        </w:rPr>
      </w:pPr>
      <w:r>
        <w:rPr>
          <w:noProof/>
        </w:rPr>
        <w:t>c)</w:t>
      </w:r>
      <w:r>
        <w:rPr>
          <w:noProof/>
        </w:rPr>
        <w:tab/>
      </w:r>
      <w:r w:rsidR="00845A8A" w:rsidRPr="00853D04">
        <w:rPr>
          <w:noProof/>
        </w:rPr>
        <w:t>wymogowi posiadania zarządu lub głównego miejsca prowadzenia działalności</w:t>
      </w:r>
      <w:r w:rsidRPr="00853D04">
        <w:rPr>
          <w:noProof/>
        </w:rPr>
        <w:t xml:space="preserve"> w</w:t>
      </w:r>
      <w:r>
        <w:rPr>
          <w:noProof/>
        </w:rPr>
        <w:t> </w:t>
      </w:r>
      <w:r w:rsidRPr="00853D04">
        <w:rPr>
          <w:noProof/>
        </w:rPr>
        <w:t>tym</w:t>
      </w:r>
      <w:r w:rsidR="00845A8A" w:rsidRPr="00853D04">
        <w:rPr>
          <w:noProof/>
        </w:rPr>
        <w:t xml:space="preserve"> samym państwie członkowskim,</w:t>
      </w:r>
      <w:r w:rsidRPr="00853D04">
        <w:rPr>
          <w:noProof/>
        </w:rPr>
        <w:t xml:space="preserve"> w</w:t>
      </w:r>
      <w:r>
        <w:rPr>
          <w:noProof/>
        </w:rPr>
        <w:t> </w:t>
      </w:r>
      <w:r w:rsidRPr="00853D04">
        <w:rPr>
          <w:noProof/>
        </w:rPr>
        <w:t>któ</w:t>
      </w:r>
      <w:r w:rsidR="00845A8A" w:rsidRPr="00853D04">
        <w:rPr>
          <w:noProof/>
        </w:rPr>
        <w:t>rym znajduje się siedziba statutowa;</w:t>
      </w:r>
    </w:p>
    <w:p w14:paraId="3B79191F" w14:textId="41587291" w:rsidR="000873CD" w:rsidRPr="00853D04" w:rsidRDefault="00C13C75" w:rsidP="00C13C75">
      <w:pPr>
        <w:pStyle w:val="Point0"/>
        <w:rPr>
          <w:noProof/>
        </w:rPr>
      </w:pPr>
      <w:r>
        <w:rPr>
          <w:noProof/>
        </w:rPr>
        <w:t>d)</w:t>
      </w:r>
      <w:r>
        <w:rPr>
          <w:noProof/>
        </w:rPr>
        <w:tab/>
      </w:r>
      <w:r w:rsidR="00423C11" w:rsidRPr="00853D04">
        <w:rPr>
          <w:noProof/>
        </w:rPr>
        <w:t>wymogowi, zgodnie</w:t>
      </w:r>
      <w:r w:rsidRPr="00853D04">
        <w:rPr>
          <w:noProof/>
        </w:rPr>
        <w:t xml:space="preserve"> z</w:t>
      </w:r>
      <w:r>
        <w:rPr>
          <w:noProof/>
        </w:rPr>
        <w:t> </w:t>
      </w:r>
      <w:r w:rsidRPr="00853D04">
        <w:rPr>
          <w:noProof/>
        </w:rPr>
        <w:t>któ</w:t>
      </w:r>
      <w:r w:rsidR="00423C11" w:rsidRPr="00853D04">
        <w:rPr>
          <w:noProof/>
        </w:rPr>
        <w:t>rym przyjmujące państwo członkowskie uzależnia uznanie europejskiego stowarzyszenia transgranicznego zarejestrowanego</w:t>
      </w:r>
      <w:r w:rsidRPr="00853D04">
        <w:rPr>
          <w:noProof/>
        </w:rPr>
        <w:t xml:space="preserve"> w</w:t>
      </w:r>
      <w:r>
        <w:rPr>
          <w:noProof/>
        </w:rPr>
        <w:t> </w:t>
      </w:r>
      <w:r w:rsidRPr="00853D04">
        <w:rPr>
          <w:noProof/>
        </w:rPr>
        <w:t>inn</w:t>
      </w:r>
      <w:r w:rsidR="00423C11" w:rsidRPr="00853D04">
        <w:rPr>
          <w:noProof/>
        </w:rPr>
        <w:t>ym państwie członkowskim od warunku wzajemności</w:t>
      </w:r>
      <w:r w:rsidRPr="00853D04">
        <w:rPr>
          <w:noProof/>
        </w:rPr>
        <w:t xml:space="preserve"> w</w:t>
      </w:r>
      <w:r>
        <w:rPr>
          <w:noProof/>
        </w:rPr>
        <w:t> </w:t>
      </w:r>
      <w:r w:rsidRPr="00853D04">
        <w:rPr>
          <w:noProof/>
        </w:rPr>
        <w:t>odn</w:t>
      </w:r>
      <w:r w:rsidR="00423C11" w:rsidRPr="00853D04">
        <w:rPr>
          <w:noProof/>
        </w:rPr>
        <w:t>iesieniu do uznawania swoich europejskich stowarzyszeń transgranicznych</w:t>
      </w:r>
      <w:r w:rsidRPr="00853D04">
        <w:rPr>
          <w:noProof/>
        </w:rPr>
        <w:t xml:space="preserve"> w</w:t>
      </w:r>
      <w:r>
        <w:rPr>
          <w:noProof/>
        </w:rPr>
        <w:t> </w:t>
      </w:r>
      <w:r w:rsidRPr="00853D04">
        <w:rPr>
          <w:noProof/>
        </w:rPr>
        <w:t>tym</w:t>
      </w:r>
      <w:r w:rsidR="00423C11" w:rsidRPr="00853D04">
        <w:rPr>
          <w:noProof/>
        </w:rPr>
        <w:t xml:space="preserve"> innym państwie członkowskim;</w:t>
      </w:r>
    </w:p>
    <w:p w14:paraId="2FC58604" w14:textId="75D91D6D" w:rsidR="00267063" w:rsidRPr="00853D04" w:rsidRDefault="00C13C75" w:rsidP="00C13C75">
      <w:pPr>
        <w:pStyle w:val="Point0"/>
        <w:rPr>
          <w:noProof/>
        </w:rPr>
      </w:pPr>
      <w:r>
        <w:rPr>
          <w:noProof/>
        </w:rPr>
        <w:t>e)</w:t>
      </w:r>
      <w:r>
        <w:rPr>
          <w:noProof/>
        </w:rPr>
        <w:tab/>
      </w:r>
      <w:r w:rsidR="008033F5" w:rsidRPr="00853D04">
        <w:rPr>
          <w:noProof/>
        </w:rPr>
        <w:t>wymogowi, aby europejskie stowarzyszenie transgraniczne było zarejestrowane przez określony czas</w:t>
      </w:r>
      <w:r w:rsidRPr="00853D04">
        <w:rPr>
          <w:noProof/>
        </w:rPr>
        <w:t xml:space="preserve"> w</w:t>
      </w:r>
      <w:r>
        <w:rPr>
          <w:noProof/>
        </w:rPr>
        <w:t> </w:t>
      </w:r>
      <w:r w:rsidRPr="00853D04">
        <w:rPr>
          <w:noProof/>
        </w:rPr>
        <w:t>pań</w:t>
      </w:r>
      <w:r w:rsidR="008033F5" w:rsidRPr="00853D04">
        <w:rPr>
          <w:noProof/>
        </w:rPr>
        <w:t>stwie członkowskim pochodzenia</w:t>
      </w:r>
      <w:r w:rsidRPr="00853D04">
        <w:rPr>
          <w:noProof/>
        </w:rPr>
        <w:t xml:space="preserve"> w</w:t>
      </w:r>
      <w:r>
        <w:rPr>
          <w:noProof/>
        </w:rPr>
        <w:t> </w:t>
      </w:r>
      <w:r w:rsidRPr="00853D04">
        <w:rPr>
          <w:noProof/>
        </w:rPr>
        <w:t>cel</w:t>
      </w:r>
      <w:r w:rsidR="008033F5" w:rsidRPr="00853D04">
        <w:rPr>
          <w:noProof/>
        </w:rPr>
        <w:t>u prowadzenia działalności</w:t>
      </w:r>
      <w:r w:rsidRPr="00853D04">
        <w:rPr>
          <w:noProof/>
        </w:rPr>
        <w:t xml:space="preserve"> w</w:t>
      </w:r>
      <w:r>
        <w:rPr>
          <w:noProof/>
        </w:rPr>
        <w:t> </w:t>
      </w:r>
      <w:r w:rsidRPr="00853D04">
        <w:rPr>
          <w:noProof/>
        </w:rPr>
        <w:t>prz</w:t>
      </w:r>
      <w:r w:rsidR="008033F5" w:rsidRPr="00853D04">
        <w:rPr>
          <w:noProof/>
        </w:rPr>
        <w:t>yjmującym państwie członkowskim;</w:t>
      </w:r>
    </w:p>
    <w:p w14:paraId="47B3136E" w14:textId="6D10724F" w:rsidR="00681838" w:rsidRPr="00853D04" w:rsidRDefault="00C13C75" w:rsidP="00C13C75">
      <w:pPr>
        <w:pStyle w:val="Point0"/>
        <w:rPr>
          <w:noProof/>
        </w:rPr>
      </w:pPr>
      <w:r>
        <w:rPr>
          <w:noProof/>
        </w:rPr>
        <w:t>f)</w:t>
      </w:r>
      <w:r>
        <w:rPr>
          <w:noProof/>
        </w:rPr>
        <w:tab/>
      </w:r>
      <w:r w:rsidR="00EE29D0" w:rsidRPr="00853D04">
        <w:rPr>
          <w:noProof/>
        </w:rPr>
        <w:t>wymogowi uzyskania zezwolenia lub wymogowi zatwierdzenia przez organ państwa członkowskiego jako warunek otrzymywania darowizn ze źródła znajdującego się</w:t>
      </w:r>
      <w:r w:rsidRPr="00853D04">
        <w:rPr>
          <w:noProof/>
        </w:rPr>
        <w:t xml:space="preserve"> w</w:t>
      </w:r>
      <w:r>
        <w:rPr>
          <w:noProof/>
        </w:rPr>
        <w:t> </w:t>
      </w:r>
      <w:r w:rsidRPr="00853D04">
        <w:rPr>
          <w:noProof/>
        </w:rPr>
        <w:t>Uni</w:t>
      </w:r>
      <w:r w:rsidR="00EE29D0" w:rsidRPr="00853D04">
        <w:rPr>
          <w:noProof/>
        </w:rPr>
        <w:t>i;</w:t>
      </w:r>
    </w:p>
    <w:p w14:paraId="3BFD43D8" w14:textId="7FB3472B" w:rsidR="008B61D8" w:rsidRPr="00853D04" w:rsidRDefault="00C13C75" w:rsidP="00C13C75">
      <w:pPr>
        <w:pStyle w:val="Point0"/>
        <w:rPr>
          <w:noProof/>
        </w:rPr>
      </w:pPr>
      <w:r>
        <w:rPr>
          <w:noProof/>
        </w:rPr>
        <w:t>g)</w:t>
      </w:r>
      <w:r>
        <w:rPr>
          <w:noProof/>
        </w:rPr>
        <w:tab/>
      </w:r>
      <w:r w:rsidR="00521D21" w:rsidRPr="00853D04">
        <w:rPr>
          <w:noProof/>
        </w:rPr>
        <w:t>następującym ograniczeniom</w:t>
      </w:r>
      <w:r w:rsidRPr="00853D04">
        <w:rPr>
          <w:noProof/>
        </w:rPr>
        <w:t xml:space="preserve"> w</w:t>
      </w:r>
      <w:r>
        <w:rPr>
          <w:noProof/>
        </w:rPr>
        <w:t> </w:t>
      </w:r>
      <w:r w:rsidRPr="00853D04">
        <w:rPr>
          <w:noProof/>
        </w:rPr>
        <w:t>pro</w:t>
      </w:r>
      <w:r w:rsidR="00521D21" w:rsidRPr="00853D04">
        <w:rPr>
          <w:noProof/>
        </w:rPr>
        <w:t>wadzeniu działalności gospodarczej, czy to</w:t>
      </w:r>
      <w:r w:rsidRPr="00853D04">
        <w:rPr>
          <w:noProof/>
        </w:rPr>
        <w:t xml:space="preserve"> w</w:t>
      </w:r>
      <w:r>
        <w:rPr>
          <w:noProof/>
        </w:rPr>
        <w:t> </w:t>
      </w:r>
      <w:r w:rsidRPr="00853D04">
        <w:rPr>
          <w:noProof/>
        </w:rPr>
        <w:t>spo</w:t>
      </w:r>
      <w:r w:rsidR="00521D21" w:rsidRPr="00853D04">
        <w:rPr>
          <w:noProof/>
        </w:rPr>
        <w:t>sób regularny, czy sporadyczny:</w:t>
      </w:r>
    </w:p>
    <w:p w14:paraId="7E2089FC" w14:textId="77777777" w:rsidR="008B61D8" w:rsidRPr="00853D04" w:rsidRDefault="009D41EF" w:rsidP="00CE207E">
      <w:pPr>
        <w:pStyle w:val="Tiret0"/>
        <w:numPr>
          <w:ilvl w:val="0"/>
          <w:numId w:val="39"/>
        </w:numPr>
        <w:rPr>
          <w:noProof/>
        </w:rPr>
      </w:pPr>
      <w:r w:rsidRPr="00853D04">
        <w:rPr>
          <w:noProof/>
        </w:rPr>
        <w:t xml:space="preserve">(i) ogólnym zakazom prowadzenia działalności gospodarczej; </w:t>
      </w:r>
    </w:p>
    <w:p w14:paraId="415A848E" w14:textId="5CF2C827" w:rsidR="00681838" w:rsidRPr="00853D04" w:rsidRDefault="009D41EF" w:rsidP="00265DDF">
      <w:pPr>
        <w:pStyle w:val="Tiret0"/>
        <w:rPr>
          <w:noProof/>
        </w:rPr>
      </w:pPr>
      <w:r w:rsidRPr="00853D04">
        <w:rPr>
          <w:noProof/>
        </w:rPr>
        <w:t>(ii) umożliwieniu europejskim stowarzyszeniom transgranicznym prowadzenia działalności gospodarczej tylko wtedy, gdy taka działalność jest powiązana</w:t>
      </w:r>
      <w:r w:rsidR="00C13C75" w:rsidRPr="00853D04">
        <w:rPr>
          <w:noProof/>
        </w:rPr>
        <w:t xml:space="preserve"> z</w:t>
      </w:r>
      <w:r w:rsidR="00C13C75">
        <w:rPr>
          <w:noProof/>
        </w:rPr>
        <w:t> </w:t>
      </w:r>
      <w:r w:rsidR="00C13C75" w:rsidRPr="00853D04">
        <w:rPr>
          <w:noProof/>
        </w:rPr>
        <w:t>cel</w:t>
      </w:r>
      <w:r w:rsidRPr="00853D04">
        <w:rPr>
          <w:noProof/>
        </w:rPr>
        <w:t>ami opisanymi</w:t>
      </w:r>
      <w:r w:rsidR="00C13C75" w:rsidRPr="00853D04">
        <w:rPr>
          <w:noProof/>
        </w:rPr>
        <w:t xml:space="preserve"> w</w:t>
      </w:r>
      <w:r w:rsidR="00C13C75">
        <w:rPr>
          <w:noProof/>
        </w:rPr>
        <w:t> </w:t>
      </w:r>
      <w:r w:rsidR="00C13C75" w:rsidRPr="00853D04">
        <w:rPr>
          <w:noProof/>
        </w:rPr>
        <w:t>ich</w:t>
      </w:r>
      <w:r w:rsidRPr="00853D04">
        <w:rPr>
          <w:noProof/>
        </w:rPr>
        <w:t xml:space="preserve"> statucie;</w:t>
      </w:r>
    </w:p>
    <w:p w14:paraId="489C06BD" w14:textId="77777777" w:rsidR="008B61D8" w:rsidRPr="00853D04" w:rsidRDefault="009D41EF" w:rsidP="00265DDF">
      <w:pPr>
        <w:pStyle w:val="Tiret0"/>
        <w:rPr>
          <w:noProof/>
        </w:rPr>
      </w:pPr>
      <w:r w:rsidRPr="00853D04">
        <w:rPr>
          <w:noProof/>
        </w:rPr>
        <w:t>(iii) wymogowi, aby prowadzenie działalności gospodarczej nie było podstawowym celem ani podstawową działalnością europejskiego stowarzyszenia transgranicznego.</w:t>
      </w:r>
    </w:p>
    <w:p w14:paraId="24BB619F" w14:textId="77777777" w:rsidR="00906B1B" w:rsidRPr="00853D04" w:rsidRDefault="00906B1B" w:rsidP="00906B1B">
      <w:pPr>
        <w:pStyle w:val="ChapterTitle"/>
        <w:rPr>
          <w:noProof/>
        </w:rPr>
      </w:pPr>
      <w:r w:rsidRPr="00853D04">
        <w:rPr>
          <w:noProof/>
        </w:rPr>
        <w:t xml:space="preserve">Rozdział 3 </w:t>
      </w:r>
    </w:p>
    <w:p w14:paraId="439CC5E3" w14:textId="562FBFD2" w:rsidR="00141B35" w:rsidRPr="00C13C75" w:rsidRDefault="008671E7" w:rsidP="00141B35">
      <w:pPr>
        <w:pStyle w:val="ChapterTitle"/>
        <w:rPr>
          <w:noProof/>
        </w:rPr>
      </w:pPr>
      <w:r w:rsidRPr="00853D04">
        <w:rPr>
          <w:noProof/>
        </w:rPr>
        <w:t>Tworzenie</w:t>
      </w:r>
      <w:r w:rsidR="00C13C75" w:rsidRPr="00853D04">
        <w:rPr>
          <w:noProof/>
        </w:rPr>
        <w:t xml:space="preserve"> i</w:t>
      </w:r>
      <w:r w:rsidR="00C13C75">
        <w:rPr>
          <w:noProof/>
        </w:rPr>
        <w:t> </w:t>
      </w:r>
      <w:r w:rsidR="00C13C75" w:rsidRPr="00853D04">
        <w:rPr>
          <w:noProof/>
        </w:rPr>
        <w:t>rej</w:t>
      </w:r>
      <w:r w:rsidRPr="00853D04">
        <w:rPr>
          <w:noProof/>
        </w:rPr>
        <w:t>estracj</w:t>
      </w:r>
      <w:r w:rsidRPr="00C13C75">
        <w:rPr>
          <w:noProof/>
        </w:rPr>
        <w:t>a</w:t>
      </w:r>
      <w:r w:rsidR="00C13C75" w:rsidRPr="00C13C75">
        <w:rPr>
          <w:noProof/>
        </w:rPr>
        <w:t xml:space="preserve"> </w:t>
      </w:r>
    </w:p>
    <w:p w14:paraId="706066FC" w14:textId="77777777" w:rsidR="00141B35" w:rsidRPr="00853D04" w:rsidRDefault="00141B35" w:rsidP="00141B35">
      <w:pPr>
        <w:pStyle w:val="Titrearticle"/>
        <w:rPr>
          <w:noProof/>
        </w:rPr>
      </w:pPr>
      <w:r w:rsidRPr="00853D04">
        <w:rPr>
          <w:noProof/>
        </w:rPr>
        <w:t>Artykuł 16</w:t>
      </w:r>
    </w:p>
    <w:p w14:paraId="3D5BC35D" w14:textId="77777777" w:rsidR="00141B35" w:rsidRPr="00853D04" w:rsidRDefault="00151676" w:rsidP="00141B35">
      <w:pPr>
        <w:pStyle w:val="Titrearticle"/>
        <w:rPr>
          <w:i w:val="0"/>
          <w:noProof/>
        </w:rPr>
      </w:pPr>
      <w:r w:rsidRPr="00853D04">
        <w:rPr>
          <w:i w:val="0"/>
          <w:noProof/>
        </w:rPr>
        <w:t>Tworzenie</w:t>
      </w:r>
    </w:p>
    <w:p w14:paraId="04629D55" w14:textId="1FEFBF32" w:rsidR="00567360" w:rsidRPr="00853D04" w:rsidRDefault="008D78F5" w:rsidP="008D78F5">
      <w:pPr>
        <w:pStyle w:val="ManualNumPar1"/>
        <w:rPr>
          <w:noProof/>
        </w:rPr>
      </w:pPr>
      <w:r w:rsidRPr="008D78F5">
        <w:t>1.</w:t>
      </w:r>
      <w:r w:rsidRPr="008D78F5">
        <w:tab/>
      </w:r>
      <w:r w:rsidR="00141B35" w:rsidRPr="00853D04">
        <w:rPr>
          <w:noProof/>
        </w:rPr>
        <w:t>Państwa członkowskie zapewniają utworzenie europejskiego stowarzyszenia transgranicznego</w:t>
      </w:r>
      <w:r w:rsidR="00C13C75" w:rsidRPr="00853D04">
        <w:rPr>
          <w:noProof/>
        </w:rPr>
        <w:t xml:space="preserve"> z</w:t>
      </w:r>
      <w:r w:rsidR="00C13C75">
        <w:rPr>
          <w:noProof/>
        </w:rPr>
        <w:t> </w:t>
      </w:r>
      <w:r w:rsidR="00C13C75" w:rsidRPr="00853D04">
        <w:rPr>
          <w:noProof/>
        </w:rPr>
        <w:t>chw</w:t>
      </w:r>
      <w:r w:rsidR="00141B35" w:rsidRPr="00853D04">
        <w:rPr>
          <w:noProof/>
        </w:rPr>
        <w:t>ilą rejestracji.</w:t>
      </w:r>
    </w:p>
    <w:p w14:paraId="563A717C" w14:textId="6B43B7D1" w:rsidR="00523AF0" w:rsidRPr="00853D04" w:rsidRDefault="008D78F5" w:rsidP="008D78F5">
      <w:pPr>
        <w:pStyle w:val="ManualNumPar1"/>
        <w:rPr>
          <w:noProof/>
        </w:rPr>
      </w:pPr>
      <w:r w:rsidRPr="008D78F5">
        <w:t>2.</w:t>
      </w:r>
      <w:r w:rsidRPr="008D78F5">
        <w:tab/>
      </w:r>
      <w:r w:rsidR="00567360" w:rsidRPr="00853D04">
        <w:rPr>
          <w:noProof/>
        </w:rPr>
        <w:t xml:space="preserve">Państwa członkowskie zapewniają, aby europejskie stowarzyszenie transgraniczne miało co najmniej trzech członków założycieli. </w:t>
      </w:r>
    </w:p>
    <w:p w14:paraId="1B209750" w14:textId="0921A857" w:rsidR="00671AEB" w:rsidRPr="00853D04" w:rsidRDefault="008D78F5" w:rsidP="008D78F5">
      <w:pPr>
        <w:pStyle w:val="ManualNumPar1"/>
        <w:rPr>
          <w:noProof/>
        </w:rPr>
      </w:pPr>
      <w:r w:rsidRPr="008D78F5">
        <w:t>3.</w:t>
      </w:r>
      <w:r w:rsidRPr="008D78F5">
        <w:tab/>
      </w:r>
      <w:r w:rsidR="00671AEB" w:rsidRPr="00853D04">
        <w:rPr>
          <w:noProof/>
        </w:rPr>
        <w:t>Państwa członkowskie zapewniają, aby członkowie założyciele wyrazili zamiar utworzenia europejskiego stowarzyszenia transgranicznego</w:t>
      </w:r>
      <w:r w:rsidR="00C13C75" w:rsidRPr="00853D04">
        <w:rPr>
          <w:noProof/>
        </w:rPr>
        <w:t xml:space="preserve"> w</w:t>
      </w:r>
      <w:r w:rsidR="00C13C75">
        <w:rPr>
          <w:noProof/>
        </w:rPr>
        <w:t> </w:t>
      </w:r>
      <w:r w:rsidR="00C13C75" w:rsidRPr="00853D04">
        <w:rPr>
          <w:noProof/>
        </w:rPr>
        <w:t>dro</w:t>
      </w:r>
      <w:r w:rsidR="00671AEB" w:rsidRPr="00853D04">
        <w:rPr>
          <w:noProof/>
        </w:rPr>
        <w:t>dze pisemnej umowy między nimi lub</w:t>
      </w:r>
      <w:r w:rsidR="00C13C75" w:rsidRPr="00853D04">
        <w:rPr>
          <w:noProof/>
        </w:rPr>
        <w:t xml:space="preserve"> w</w:t>
      </w:r>
      <w:r w:rsidR="00C13C75">
        <w:rPr>
          <w:noProof/>
        </w:rPr>
        <w:t> </w:t>
      </w:r>
      <w:r w:rsidR="00C13C75" w:rsidRPr="00853D04">
        <w:rPr>
          <w:noProof/>
        </w:rPr>
        <w:t>dro</w:t>
      </w:r>
      <w:r w:rsidR="00671AEB" w:rsidRPr="00853D04">
        <w:rPr>
          <w:noProof/>
        </w:rPr>
        <w:t>dze umowy na zgromadzeniu założycielskim europejskiego stowarzyszenia transgranicznego odnotowanym</w:t>
      </w:r>
      <w:r w:rsidR="00C13C75" w:rsidRPr="00853D04">
        <w:rPr>
          <w:noProof/>
        </w:rPr>
        <w:t xml:space="preserve"> w</w:t>
      </w:r>
      <w:r w:rsidR="00C13C75">
        <w:rPr>
          <w:noProof/>
        </w:rPr>
        <w:t> </w:t>
      </w:r>
      <w:r w:rsidR="00C13C75" w:rsidRPr="00853D04">
        <w:rPr>
          <w:noProof/>
        </w:rPr>
        <w:t>pis</w:t>
      </w:r>
      <w:r w:rsidR="00671AEB" w:rsidRPr="00853D04">
        <w:rPr>
          <w:noProof/>
        </w:rPr>
        <w:t>emnym protokole;</w:t>
      </w:r>
      <w:r w:rsidR="00C13C75" w:rsidRPr="00853D04">
        <w:rPr>
          <w:noProof/>
        </w:rPr>
        <w:t xml:space="preserve"> w</w:t>
      </w:r>
      <w:r w:rsidR="00C13C75">
        <w:rPr>
          <w:noProof/>
        </w:rPr>
        <w:t> </w:t>
      </w:r>
      <w:r w:rsidR="00C13C75" w:rsidRPr="00853D04">
        <w:rPr>
          <w:noProof/>
        </w:rPr>
        <w:t>tym</w:t>
      </w:r>
      <w:r w:rsidR="00671AEB" w:rsidRPr="00853D04">
        <w:rPr>
          <w:noProof/>
        </w:rPr>
        <w:t xml:space="preserve"> celu taka umowa lub protokół muszą być należycie podpisane przez członków założycieli. </w:t>
      </w:r>
    </w:p>
    <w:p w14:paraId="4C5995CE" w14:textId="77777777" w:rsidR="00141B35" w:rsidRPr="00853D04" w:rsidRDefault="00141B35" w:rsidP="00141B35">
      <w:pPr>
        <w:pStyle w:val="Titrearticle"/>
        <w:rPr>
          <w:noProof/>
        </w:rPr>
      </w:pPr>
      <w:r w:rsidRPr="00853D04">
        <w:rPr>
          <w:noProof/>
        </w:rPr>
        <w:t>Artykuł 17</w:t>
      </w:r>
    </w:p>
    <w:p w14:paraId="23D4CD17" w14:textId="050E53D6" w:rsidR="00141B35" w:rsidRPr="00853D04" w:rsidRDefault="0088286C" w:rsidP="00141B35">
      <w:pPr>
        <w:pStyle w:val="Titrearticle"/>
        <w:rPr>
          <w:noProof/>
        </w:rPr>
      </w:pPr>
      <w:r w:rsidRPr="00853D04">
        <w:rPr>
          <w:noProof/>
        </w:rPr>
        <w:t>Przekształcenie stowarzyszeń niekomercyjnych</w:t>
      </w:r>
      <w:r w:rsidR="00C13C75" w:rsidRPr="00853D04">
        <w:rPr>
          <w:noProof/>
        </w:rPr>
        <w:t xml:space="preserve"> w</w:t>
      </w:r>
      <w:r w:rsidR="00C13C75">
        <w:rPr>
          <w:noProof/>
        </w:rPr>
        <w:t> </w:t>
      </w:r>
      <w:r w:rsidR="00C13C75" w:rsidRPr="00853D04">
        <w:rPr>
          <w:noProof/>
        </w:rPr>
        <w:t>eur</w:t>
      </w:r>
      <w:r w:rsidRPr="00853D04">
        <w:rPr>
          <w:noProof/>
        </w:rPr>
        <w:t>opejskie stowarzyszenie transgraniczne</w:t>
      </w:r>
    </w:p>
    <w:p w14:paraId="35CCA93F" w14:textId="23A84311" w:rsidR="005A7811" w:rsidRPr="00853D04" w:rsidRDefault="008D78F5" w:rsidP="008D78F5">
      <w:pPr>
        <w:pStyle w:val="ManualNumPar1"/>
        <w:rPr>
          <w:noProof/>
        </w:rPr>
      </w:pPr>
      <w:r w:rsidRPr="008D78F5">
        <w:t>1.</w:t>
      </w:r>
      <w:r w:rsidRPr="008D78F5">
        <w:tab/>
      </w:r>
      <w:r w:rsidR="005A7811" w:rsidRPr="00853D04">
        <w:rPr>
          <w:noProof/>
        </w:rPr>
        <w:t>Państwa członkowskie zapewniają, aby stowarzyszenia niekomercyjne mające siedzibę</w:t>
      </w:r>
      <w:r w:rsidR="00C13C75" w:rsidRPr="00853D04">
        <w:rPr>
          <w:noProof/>
        </w:rPr>
        <w:t xml:space="preserve"> w</w:t>
      </w:r>
      <w:r w:rsidR="00C13C75">
        <w:rPr>
          <w:noProof/>
        </w:rPr>
        <w:t> </w:t>
      </w:r>
      <w:r w:rsidR="00C13C75" w:rsidRPr="00853D04">
        <w:rPr>
          <w:noProof/>
        </w:rPr>
        <w:t>Uni</w:t>
      </w:r>
      <w:r w:rsidR="005A7811" w:rsidRPr="00853D04">
        <w:rPr>
          <w:noProof/>
        </w:rPr>
        <w:t>i mogły przekształcić się</w:t>
      </w:r>
      <w:r w:rsidR="00C13C75" w:rsidRPr="00853D04">
        <w:rPr>
          <w:noProof/>
        </w:rPr>
        <w:t xml:space="preserve"> w</w:t>
      </w:r>
      <w:r w:rsidR="00C13C75">
        <w:rPr>
          <w:noProof/>
        </w:rPr>
        <w:t> </w:t>
      </w:r>
      <w:r w:rsidR="00C13C75" w:rsidRPr="00853D04">
        <w:rPr>
          <w:noProof/>
        </w:rPr>
        <w:t>eur</w:t>
      </w:r>
      <w:r w:rsidR="005A7811" w:rsidRPr="00853D04">
        <w:rPr>
          <w:noProof/>
        </w:rPr>
        <w:t>opejskie stowarzyszenie transgraniczne</w:t>
      </w:r>
      <w:r w:rsidR="00C13C75" w:rsidRPr="00853D04">
        <w:rPr>
          <w:noProof/>
        </w:rPr>
        <w:t xml:space="preserve"> w</w:t>
      </w:r>
      <w:r w:rsidR="00C13C75">
        <w:rPr>
          <w:noProof/>
        </w:rPr>
        <w:t> </w:t>
      </w:r>
      <w:r w:rsidR="00C13C75" w:rsidRPr="00853D04">
        <w:rPr>
          <w:noProof/>
        </w:rPr>
        <w:t>tym</w:t>
      </w:r>
      <w:r w:rsidR="005A7811" w:rsidRPr="00853D04">
        <w:rPr>
          <w:noProof/>
        </w:rPr>
        <w:t xml:space="preserve"> samym państwie członkowskim.</w:t>
      </w:r>
    </w:p>
    <w:p w14:paraId="0785B114" w14:textId="40309A9D" w:rsidR="005A7811" w:rsidRPr="00853D04" w:rsidRDefault="008D78F5" w:rsidP="008D78F5">
      <w:pPr>
        <w:pStyle w:val="ManualNumPar1"/>
        <w:rPr>
          <w:noProof/>
        </w:rPr>
      </w:pPr>
      <w:r w:rsidRPr="008D78F5">
        <w:t>2.</w:t>
      </w:r>
      <w:r w:rsidRPr="008D78F5">
        <w:tab/>
      </w:r>
      <w:r w:rsidR="005A7811" w:rsidRPr="00853D04">
        <w:rPr>
          <w:noProof/>
        </w:rPr>
        <w:t>Państwa członkowskie zapewniają, aby wszelkie przekształcenie było zatwierdzane przez organ decyzyjny podmiotu przekształcającego się.</w:t>
      </w:r>
    </w:p>
    <w:p w14:paraId="2EE701EA" w14:textId="05F26C47" w:rsidR="005A7811" w:rsidRPr="00853D04" w:rsidRDefault="008D78F5" w:rsidP="008D78F5">
      <w:pPr>
        <w:pStyle w:val="ManualNumPar1"/>
        <w:rPr>
          <w:noProof/>
        </w:rPr>
      </w:pPr>
      <w:r w:rsidRPr="008D78F5">
        <w:t>3.</w:t>
      </w:r>
      <w:r w:rsidRPr="008D78F5">
        <w:tab/>
      </w:r>
      <w:r w:rsidR="00F51AFE" w:rsidRPr="00853D04">
        <w:rPr>
          <w:noProof/>
        </w:rPr>
        <w:t xml:space="preserve">Państwa członkowskie zapewniają, aby przekształcenie nie skutkowało rozwiązaniem stowarzyszenia niekomercyjnego, które przekształca się, ani ustaniem jego osobowości prawnej. </w:t>
      </w:r>
    </w:p>
    <w:p w14:paraId="6F4149F1" w14:textId="1C97C878" w:rsidR="005A7811" w:rsidRPr="00853D04" w:rsidRDefault="008D78F5" w:rsidP="008D78F5">
      <w:pPr>
        <w:pStyle w:val="ManualNumPar1"/>
        <w:rPr>
          <w:noProof/>
        </w:rPr>
      </w:pPr>
      <w:r w:rsidRPr="008D78F5">
        <w:t>4.</w:t>
      </w:r>
      <w:r w:rsidRPr="008D78F5">
        <w:tab/>
      </w:r>
      <w:r w:rsidR="005A7811" w:rsidRPr="00853D04">
        <w:rPr>
          <w:noProof/>
        </w:rPr>
        <w:t>Państwa członkowskie zapewniają przeniesienie wszystkich aktywów</w:t>
      </w:r>
      <w:r w:rsidR="00C13C75" w:rsidRPr="00853D04">
        <w:rPr>
          <w:noProof/>
        </w:rPr>
        <w:t xml:space="preserve"> i</w:t>
      </w:r>
      <w:r w:rsidR="00C13C75">
        <w:rPr>
          <w:noProof/>
        </w:rPr>
        <w:t> </w:t>
      </w:r>
      <w:r w:rsidR="00C13C75" w:rsidRPr="00853D04">
        <w:rPr>
          <w:noProof/>
        </w:rPr>
        <w:t>zob</w:t>
      </w:r>
      <w:r w:rsidR="005A7811" w:rsidRPr="00853D04">
        <w:rPr>
          <w:noProof/>
        </w:rPr>
        <w:t xml:space="preserve">owiązań do nowo utworzonego europejskiego stowarzyszenia transgranicznego. </w:t>
      </w:r>
    </w:p>
    <w:p w14:paraId="36BE9DE2" w14:textId="5CCF6D0F" w:rsidR="00945F7B" w:rsidRPr="00853D04" w:rsidRDefault="008D78F5" w:rsidP="008D78F5">
      <w:pPr>
        <w:pStyle w:val="ManualNumPar1"/>
        <w:rPr>
          <w:noProof/>
        </w:rPr>
      </w:pPr>
      <w:r w:rsidRPr="008D78F5">
        <w:t>5.</w:t>
      </w:r>
      <w:r w:rsidRPr="008D78F5">
        <w:tab/>
      </w:r>
      <w:r w:rsidR="00F51AFE" w:rsidRPr="00853D04">
        <w:rPr>
          <w:noProof/>
        </w:rPr>
        <w:t>Państwa członkowskie zapewniają, aby przekształcenie stało się skuteczna</w:t>
      </w:r>
      <w:r w:rsidR="00C13C75" w:rsidRPr="00853D04">
        <w:rPr>
          <w:noProof/>
        </w:rPr>
        <w:t xml:space="preserve"> z</w:t>
      </w:r>
      <w:r w:rsidR="00C13C75">
        <w:rPr>
          <w:noProof/>
        </w:rPr>
        <w:t> </w:t>
      </w:r>
      <w:r w:rsidR="00C13C75" w:rsidRPr="00853D04">
        <w:rPr>
          <w:noProof/>
        </w:rPr>
        <w:t>chw</w:t>
      </w:r>
      <w:r w:rsidR="00F51AFE" w:rsidRPr="00853D04">
        <w:rPr>
          <w:noProof/>
        </w:rPr>
        <w:t>ilą rejestracji nowo utworzonego europejskiego stowarzyszenia transgranicznego zgodnie</w:t>
      </w:r>
      <w:r w:rsidR="00C13C75" w:rsidRPr="00853D04">
        <w:rPr>
          <w:noProof/>
        </w:rPr>
        <w:t xml:space="preserve"> z</w:t>
      </w:r>
      <w:r w:rsidR="00C13C75">
        <w:rPr>
          <w:noProof/>
        </w:rPr>
        <w:t> </w:t>
      </w:r>
      <w:r w:rsidR="00C13C75" w:rsidRPr="00C13C75">
        <w:rPr>
          <w:noProof/>
        </w:rPr>
        <w:t>art</w:t>
      </w:r>
      <w:r w:rsidR="00F51AFE" w:rsidRPr="00C13C75">
        <w:rPr>
          <w:noProof/>
        </w:rPr>
        <w:t>.</w:t>
      </w:r>
      <w:r w:rsidR="00C13C75" w:rsidRPr="00C13C75">
        <w:rPr>
          <w:noProof/>
        </w:rPr>
        <w:t> </w:t>
      </w:r>
      <w:r w:rsidR="00F51AFE" w:rsidRPr="00C13C75">
        <w:rPr>
          <w:noProof/>
        </w:rPr>
        <w:t>1</w:t>
      </w:r>
      <w:r w:rsidR="00F51AFE" w:rsidRPr="00853D04">
        <w:rPr>
          <w:noProof/>
        </w:rPr>
        <w:t xml:space="preserve">9. </w:t>
      </w:r>
    </w:p>
    <w:p w14:paraId="49BBC057" w14:textId="15E066AB" w:rsidR="005A7811" w:rsidRPr="00853D04" w:rsidRDefault="008D78F5" w:rsidP="008D78F5">
      <w:pPr>
        <w:pStyle w:val="ManualNumPar1"/>
        <w:rPr>
          <w:noProof/>
        </w:rPr>
      </w:pPr>
      <w:r w:rsidRPr="008D78F5">
        <w:t>6.</w:t>
      </w:r>
      <w:r w:rsidRPr="008D78F5">
        <w:tab/>
      </w:r>
      <w:r w:rsidR="00B267E2" w:rsidRPr="00853D04">
        <w:rPr>
          <w:noProof/>
        </w:rPr>
        <w:t>Państwa członkowskie zapewniają, aby wpis dotyczący stowarzyszenia niekomercyjnego, które przekształciło się, został wykreślony</w:t>
      </w:r>
      <w:r w:rsidR="00C13C75" w:rsidRPr="00853D04">
        <w:rPr>
          <w:noProof/>
        </w:rPr>
        <w:t xml:space="preserve"> z</w:t>
      </w:r>
      <w:r w:rsidR="00C13C75">
        <w:rPr>
          <w:noProof/>
        </w:rPr>
        <w:t> </w:t>
      </w:r>
      <w:r w:rsidR="00C13C75" w:rsidRPr="00853D04">
        <w:rPr>
          <w:noProof/>
        </w:rPr>
        <w:t>wsz</w:t>
      </w:r>
      <w:r w:rsidR="00B267E2" w:rsidRPr="00853D04">
        <w:rPr>
          <w:noProof/>
        </w:rPr>
        <w:t xml:space="preserve">elkich rejestrów. </w:t>
      </w:r>
    </w:p>
    <w:p w14:paraId="42CEB042" w14:textId="77777777" w:rsidR="00141B35" w:rsidRPr="00853D04" w:rsidRDefault="00141B35" w:rsidP="00141B35">
      <w:pPr>
        <w:pStyle w:val="Titrearticle"/>
        <w:rPr>
          <w:noProof/>
        </w:rPr>
      </w:pPr>
      <w:r w:rsidRPr="00853D04">
        <w:rPr>
          <w:noProof/>
        </w:rPr>
        <w:t>Artykuł 18</w:t>
      </w:r>
    </w:p>
    <w:p w14:paraId="0E4CA7F9" w14:textId="2FD7ADD3" w:rsidR="00141B35" w:rsidRPr="00853D04" w:rsidRDefault="00141B35" w:rsidP="00141B35">
      <w:pPr>
        <w:pStyle w:val="Titrearticle"/>
        <w:rPr>
          <w:noProof/>
        </w:rPr>
      </w:pPr>
      <w:r w:rsidRPr="00853D04">
        <w:rPr>
          <w:noProof/>
        </w:rPr>
        <w:t>Wniosek</w:t>
      </w:r>
      <w:r w:rsidR="00C13C75" w:rsidRPr="00853D04">
        <w:rPr>
          <w:noProof/>
        </w:rPr>
        <w:t xml:space="preserve"> o</w:t>
      </w:r>
      <w:r w:rsidR="00C13C75">
        <w:rPr>
          <w:noProof/>
        </w:rPr>
        <w:t> </w:t>
      </w:r>
      <w:r w:rsidR="00C13C75" w:rsidRPr="00853D04">
        <w:rPr>
          <w:noProof/>
        </w:rPr>
        <w:t>rej</w:t>
      </w:r>
      <w:r w:rsidRPr="00853D04">
        <w:rPr>
          <w:noProof/>
        </w:rPr>
        <w:t>estrację</w:t>
      </w:r>
    </w:p>
    <w:p w14:paraId="2DD4C6B0" w14:textId="58678183" w:rsidR="00141B35" w:rsidRPr="00853D04" w:rsidRDefault="008D78F5" w:rsidP="008D78F5">
      <w:pPr>
        <w:pStyle w:val="ManualNumPar1"/>
        <w:rPr>
          <w:noProof/>
        </w:rPr>
      </w:pPr>
      <w:r w:rsidRPr="008D78F5">
        <w:t>1.</w:t>
      </w:r>
      <w:r w:rsidRPr="008D78F5">
        <w:tab/>
      </w:r>
      <w:r w:rsidR="00141B35" w:rsidRPr="00853D04">
        <w:rPr>
          <w:noProof/>
        </w:rPr>
        <w:t>Państwa członkowskie zapewniają, aby wniosek</w:t>
      </w:r>
      <w:r w:rsidR="00C13C75" w:rsidRPr="00853D04">
        <w:rPr>
          <w:noProof/>
        </w:rPr>
        <w:t xml:space="preserve"> o</w:t>
      </w:r>
      <w:r w:rsidR="00C13C75">
        <w:rPr>
          <w:noProof/>
        </w:rPr>
        <w:t> </w:t>
      </w:r>
      <w:r w:rsidR="00C13C75" w:rsidRPr="00853D04">
        <w:rPr>
          <w:noProof/>
        </w:rPr>
        <w:t>rej</w:t>
      </w:r>
      <w:r w:rsidR="00141B35" w:rsidRPr="00853D04">
        <w:rPr>
          <w:noProof/>
        </w:rPr>
        <w:t>estrację europejskiego stowarzyszenia transgranicznego został przedłożony właściwemu organowi państwa członkowskiego,</w:t>
      </w:r>
      <w:r w:rsidR="00C13C75" w:rsidRPr="00853D04">
        <w:rPr>
          <w:noProof/>
        </w:rPr>
        <w:t xml:space="preserve"> w</w:t>
      </w:r>
      <w:r w:rsidR="00C13C75">
        <w:rPr>
          <w:noProof/>
        </w:rPr>
        <w:t> </w:t>
      </w:r>
      <w:r w:rsidR="00C13C75" w:rsidRPr="00853D04">
        <w:rPr>
          <w:noProof/>
        </w:rPr>
        <w:t>któ</w:t>
      </w:r>
      <w:r w:rsidR="00141B35" w:rsidRPr="00853D04">
        <w:rPr>
          <w:noProof/>
        </w:rPr>
        <w:t>rym europejskie stowarzyszenie transgraniczne zamierza mieć swoją siedzibę statutową. Do wniosku dołącza się następujące dokumenty</w:t>
      </w:r>
      <w:r w:rsidR="00C13C75" w:rsidRPr="00853D04">
        <w:rPr>
          <w:noProof/>
        </w:rPr>
        <w:t xml:space="preserve"> i</w:t>
      </w:r>
      <w:r w:rsidR="00C13C75">
        <w:rPr>
          <w:noProof/>
        </w:rPr>
        <w:t> </w:t>
      </w:r>
      <w:r w:rsidR="00C13C75" w:rsidRPr="00853D04">
        <w:rPr>
          <w:noProof/>
        </w:rPr>
        <w:t>inf</w:t>
      </w:r>
      <w:r w:rsidR="00141B35" w:rsidRPr="00853D04">
        <w:rPr>
          <w:noProof/>
        </w:rPr>
        <w:t>ormacje przekazane</w:t>
      </w:r>
      <w:r w:rsidR="00C13C75" w:rsidRPr="00853D04">
        <w:rPr>
          <w:noProof/>
        </w:rPr>
        <w:t xml:space="preserve"> w</w:t>
      </w:r>
      <w:r w:rsidR="00C13C75">
        <w:rPr>
          <w:noProof/>
        </w:rPr>
        <w:t> </w:t>
      </w:r>
      <w:r w:rsidR="00C13C75" w:rsidRPr="00853D04">
        <w:rPr>
          <w:noProof/>
        </w:rPr>
        <w:t>jęz</w:t>
      </w:r>
      <w:r w:rsidR="00141B35" w:rsidRPr="00853D04">
        <w:rPr>
          <w:noProof/>
        </w:rPr>
        <w:t>yku urzędowym tego państwa członkowskiego lub</w:t>
      </w:r>
      <w:r w:rsidR="00C13C75" w:rsidRPr="00853D04">
        <w:rPr>
          <w:noProof/>
        </w:rPr>
        <w:t xml:space="preserve"> w</w:t>
      </w:r>
      <w:r w:rsidR="00C13C75">
        <w:rPr>
          <w:noProof/>
        </w:rPr>
        <w:t> </w:t>
      </w:r>
      <w:r w:rsidR="00C13C75" w:rsidRPr="00853D04">
        <w:rPr>
          <w:noProof/>
        </w:rPr>
        <w:t>inn</w:t>
      </w:r>
      <w:r w:rsidR="00141B35" w:rsidRPr="00853D04">
        <w:rPr>
          <w:noProof/>
        </w:rPr>
        <w:t>ym języku dozwolonym na mocy prawa tego państwa członkowskiego:</w:t>
      </w:r>
    </w:p>
    <w:p w14:paraId="56D70F80" w14:textId="5057DE89" w:rsidR="00E327B5" w:rsidRPr="00853D04" w:rsidRDefault="00C13C75" w:rsidP="00C13C75">
      <w:pPr>
        <w:pStyle w:val="Point1"/>
        <w:rPr>
          <w:noProof/>
        </w:rPr>
      </w:pPr>
      <w:r>
        <w:rPr>
          <w:noProof/>
        </w:rPr>
        <w:t>a)</w:t>
      </w:r>
      <w:r>
        <w:rPr>
          <w:noProof/>
        </w:rPr>
        <w:tab/>
      </w:r>
      <w:r w:rsidR="00141B35" w:rsidRPr="00853D04">
        <w:rPr>
          <w:noProof/>
        </w:rPr>
        <w:t>nazwę europejskiego stowarzyszenia transgranicznego;</w:t>
      </w:r>
    </w:p>
    <w:p w14:paraId="137A78DF" w14:textId="0FD87EE8" w:rsidR="0016005F" w:rsidRPr="00853D04" w:rsidRDefault="00C13C75" w:rsidP="00C13C75">
      <w:pPr>
        <w:pStyle w:val="Point1"/>
        <w:rPr>
          <w:noProof/>
        </w:rPr>
      </w:pPr>
      <w:r>
        <w:rPr>
          <w:noProof/>
        </w:rPr>
        <w:t>b)</w:t>
      </w:r>
      <w:r>
        <w:rPr>
          <w:noProof/>
        </w:rPr>
        <w:tab/>
      </w:r>
      <w:r w:rsidR="00141B35" w:rsidRPr="00853D04">
        <w:rPr>
          <w:noProof/>
        </w:rPr>
        <w:t>statut europejskiego stowarzyszenia transgranicznego;</w:t>
      </w:r>
    </w:p>
    <w:p w14:paraId="5C7BAE8B" w14:textId="1CE9F117" w:rsidR="00141B35" w:rsidRPr="00853D04" w:rsidRDefault="00C13C75" w:rsidP="00C13C75">
      <w:pPr>
        <w:pStyle w:val="Point1"/>
        <w:rPr>
          <w:noProof/>
        </w:rPr>
      </w:pPr>
      <w:r>
        <w:rPr>
          <w:noProof/>
        </w:rPr>
        <w:t>c)</w:t>
      </w:r>
      <w:r>
        <w:rPr>
          <w:noProof/>
        </w:rPr>
        <w:tab/>
      </w:r>
      <w:r w:rsidR="00141B35" w:rsidRPr="00853D04">
        <w:rPr>
          <w:noProof/>
        </w:rPr>
        <w:t>adres pocztowy planowanej siedziby statutowej</w:t>
      </w:r>
      <w:r w:rsidRPr="00853D04">
        <w:rPr>
          <w:noProof/>
        </w:rPr>
        <w:t xml:space="preserve"> i</w:t>
      </w:r>
      <w:r>
        <w:rPr>
          <w:noProof/>
        </w:rPr>
        <w:t> </w:t>
      </w:r>
      <w:r w:rsidRPr="00853D04">
        <w:rPr>
          <w:noProof/>
        </w:rPr>
        <w:t>adr</w:t>
      </w:r>
      <w:r w:rsidR="00141B35" w:rsidRPr="00853D04">
        <w:rPr>
          <w:noProof/>
        </w:rPr>
        <w:t>es poczty elektronicznej;</w:t>
      </w:r>
    </w:p>
    <w:p w14:paraId="0FE3F8CB" w14:textId="776CBA57" w:rsidR="00141B35" w:rsidRPr="00853D04" w:rsidRDefault="00C13C75" w:rsidP="00C13C75">
      <w:pPr>
        <w:pStyle w:val="Point1"/>
        <w:rPr>
          <w:noProof/>
        </w:rPr>
      </w:pPr>
      <w:r>
        <w:rPr>
          <w:noProof/>
        </w:rPr>
        <w:t>d)</w:t>
      </w:r>
      <w:r>
        <w:rPr>
          <w:noProof/>
        </w:rPr>
        <w:tab/>
      </w:r>
      <w:r w:rsidR="00141B35" w:rsidRPr="00853D04">
        <w:rPr>
          <w:noProof/>
        </w:rPr>
        <w:t>imiona</w:t>
      </w:r>
      <w:r w:rsidRPr="00853D04">
        <w:rPr>
          <w:noProof/>
        </w:rPr>
        <w:t xml:space="preserve"> i</w:t>
      </w:r>
      <w:r>
        <w:rPr>
          <w:noProof/>
        </w:rPr>
        <w:t> </w:t>
      </w:r>
      <w:r w:rsidRPr="00853D04">
        <w:rPr>
          <w:noProof/>
        </w:rPr>
        <w:t>naz</w:t>
      </w:r>
      <w:r w:rsidR="00141B35" w:rsidRPr="00853D04">
        <w:rPr>
          <w:noProof/>
        </w:rPr>
        <w:t>wiska oraz adresy,</w:t>
      </w:r>
      <w:r w:rsidRPr="00853D04">
        <w:rPr>
          <w:noProof/>
        </w:rPr>
        <w:t xml:space="preserve"> a</w:t>
      </w:r>
      <w:r>
        <w:rPr>
          <w:noProof/>
        </w:rPr>
        <w:t> </w:t>
      </w:r>
      <w:r w:rsidRPr="00853D04">
        <w:rPr>
          <w:noProof/>
        </w:rPr>
        <w:t>tak</w:t>
      </w:r>
      <w:r w:rsidR="00141B35" w:rsidRPr="00853D04">
        <w:rPr>
          <w:noProof/>
        </w:rPr>
        <w:t>że wszelkie inne informacje niezbędne zgodnie</w:t>
      </w:r>
      <w:r w:rsidRPr="00853D04">
        <w:rPr>
          <w:noProof/>
        </w:rPr>
        <w:t xml:space="preserve"> z</w:t>
      </w:r>
      <w:r>
        <w:rPr>
          <w:noProof/>
        </w:rPr>
        <w:t> </w:t>
      </w:r>
      <w:r w:rsidRPr="00853D04">
        <w:rPr>
          <w:noProof/>
        </w:rPr>
        <w:t>maj</w:t>
      </w:r>
      <w:r w:rsidR="00141B35" w:rsidRPr="00853D04">
        <w:rPr>
          <w:noProof/>
        </w:rPr>
        <w:t>ącym zastosowanie prawem krajowym do identyfikacji osób upoważnionych do reprezentowania europejskiego stowarzyszenia transgranicznego wobec osób trzecich</w:t>
      </w:r>
      <w:r w:rsidRPr="00853D04">
        <w:rPr>
          <w:noProof/>
        </w:rPr>
        <w:t xml:space="preserve"> i</w:t>
      </w:r>
      <w:r>
        <w:rPr>
          <w:noProof/>
        </w:rPr>
        <w:t> </w:t>
      </w:r>
      <w:r w:rsidRPr="00853D04">
        <w:rPr>
          <w:noProof/>
        </w:rPr>
        <w:t>w</w:t>
      </w:r>
      <w:r>
        <w:rPr>
          <w:noProof/>
        </w:rPr>
        <w:t> </w:t>
      </w:r>
      <w:r w:rsidRPr="00853D04">
        <w:rPr>
          <w:noProof/>
        </w:rPr>
        <w:t>pos</w:t>
      </w:r>
      <w:r w:rsidR="00141B35" w:rsidRPr="00853D04">
        <w:rPr>
          <w:noProof/>
        </w:rPr>
        <w:t>tępowaniach sądowych oraz wskazanie</w:t>
      </w:r>
      <w:r w:rsidR="003369EE">
        <w:rPr>
          <w:noProof/>
        </w:rPr>
        <w:t>,</w:t>
      </w:r>
      <w:r w:rsidR="00141B35" w:rsidRPr="00853D04">
        <w:rPr>
          <w:noProof/>
        </w:rPr>
        <w:t xml:space="preserve"> czy osoby te mogą reprezentować stowarzyszenie samodzielnie, czy też muszą działać wspólnie;</w:t>
      </w:r>
    </w:p>
    <w:p w14:paraId="37CC459C" w14:textId="1BCFC182" w:rsidR="00141B35" w:rsidRPr="00853D04" w:rsidRDefault="00C13C75" w:rsidP="00C13C75">
      <w:pPr>
        <w:pStyle w:val="Point1"/>
        <w:rPr>
          <w:noProof/>
        </w:rPr>
      </w:pPr>
      <w:r>
        <w:rPr>
          <w:noProof/>
        </w:rPr>
        <w:t>e)</w:t>
      </w:r>
      <w:r>
        <w:rPr>
          <w:noProof/>
        </w:rPr>
        <w:tab/>
      </w:r>
      <w:r w:rsidR="00141B35" w:rsidRPr="00853D04">
        <w:rPr>
          <w:noProof/>
        </w:rPr>
        <w:t>pisemną umowę członków założycieli lub protokół ze zgromadzenia założycielskiego europejskiego stowarzyszenia transgranicznego zawierający taką umowę, należycie podpisane przez członków założycieli, lub decyzję</w:t>
      </w:r>
      <w:r w:rsidRPr="00853D04">
        <w:rPr>
          <w:noProof/>
        </w:rPr>
        <w:t xml:space="preserve"> o</w:t>
      </w:r>
      <w:r>
        <w:rPr>
          <w:noProof/>
        </w:rPr>
        <w:t> </w:t>
      </w:r>
      <w:r w:rsidRPr="00853D04">
        <w:rPr>
          <w:noProof/>
        </w:rPr>
        <w:t>prz</w:t>
      </w:r>
      <w:r w:rsidR="00141B35" w:rsidRPr="00853D04">
        <w:rPr>
          <w:noProof/>
        </w:rPr>
        <w:t>ekształceniu,</w:t>
      </w:r>
      <w:r w:rsidRPr="00853D04">
        <w:rPr>
          <w:noProof/>
        </w:rPr>
        <w:t xml:space="preserve"> o</w:t>
      </w:r>
      <w:r>
        <w:rPr>
          <w:noProof/>
        </w:rPr>
        <w:t> </w:t>
      </w:r>
      <w:r w:rsidRPr="00853D04">
        <w:rPr>
          <w:noProof/>
        </w:rPr>
        <w:t>któ</w:t>
      </w:r>
      <w:r w:rsidR="00141B35" w:rsidRPr="00853D04">
        <w:rPr>
          <w:noProof/>
        </w:rPr>
        <w:t>rej mowa</w:t>
      </w:r>
      <w:r w:rsidRPr="00853D04">
        <w:rPr>
          <w:noProof/>
        </w:rPr>
        <w:t xml:space="preserve"> w</w:t>
      </w:r>
      <w:r>
        <w:rPr>
          <w:noProof/>
        </w:rPr>
        <w:t> </w:t>
      </w:r>
      <w:r w:rsidRPr="00C13C75">
        <w:rPr>
          <w:noProof/>
        </w:rPr>
        <w:t>art</w:t>
      </w:r>
      <w:r w:rsidR="00141B35" w:rsidRPr="00C13C75">
        <w:rPr>
          <w:noProof/>
        </w:rPr>
        <w:t>.</w:t>
      </w:r>
      <w:r w:rsidRPr="00C13C75">
        <w:rPr>
          <w:noProof/>
        </w:rPr>
        <w:t> </w:t>
      </w:r>
      <w:r w:rsidR="00141B35" w:rsidRPr="00C13C75">
        <w:rPr>
          <w:noProof/>
        </w:rPr>
        <w:t>1</w:t>
      </w:r>
      <w:r w:rsidR="00141B35" w:rsidRPr="00853D04">
        <w:rPr>
          <w:noProof/>
        </w:rPr>
        <w:t>7;</w:t>
      </w:r>
    </w:p>
    <w:p w14:paraId="32973E8D" w14:textId="7035E92D" w:rsidR="00141B35" w:rsidRPr="00853D04" w:rsidRDefault="00C13C75" w:rsidP="00C13C75">
      <w:pPr>
        <w:pStyle w:val="Point1"/>
        <w:rPr>
          <w:noProof/>
        </w:rPr>
      </w:pPr>
      <w:r>
        <w:rPr>
          <w:noProof/>
        </w:rPr>
        <w:t>f)</w:t>
      </w:r>
      <w:r>
        <w:rPr>
          <w:noProof/>
        </w:rPr>
        <w:tab/>
      </w:r>
      <w:r w:rsidR="00141B35" w:rsidRPr="00853D04">
        <w:rPr>
          <w:noProof/>
        </w:rPr>
        <w:t>oświadczenie członków organu wykonawczego,</w:t>
      </w:r>
      <w:r w:rsidRPr="00853D04">
        <w:rPr>
          <w:noProof/>
        </w:rPr>
        <w:t xml:space="preserve"> w</w:t>
      </w:r>
      <w:r>
        <w:rPr>
          <w:noProof/>
        </w:rPr>
        <w:t> </w:t>
      </w:r>
      <w:r w:rsidRPr="00853D04">
        <w:rPr>
          <w:noProof/>
        </w:rPr>
        <w:t>któ</w:t>
      </w:r>
      <w:r w:rsidR="00141B35" w:rsidRPr="00853D04">
        <w:rPr>
          <w:noProof/>
        </w:rPr>
        <w:t>rym deklarują, że nie zostali pozbawieni prawa do pełnienia funkcji członka zarządu</w:t>
      </w:r>
      <w:r w:rsidRPr="00853D04">
        <w:rPr>
          <w:noProof/>
        </w:rPr>
        <w:t xml:space="preserve"> w</w:t>
      </w:r>
      <w:r>
        <w:rPr>
          <w:noProof/>
        </w:rPr>
        <w:t> </w:t>
      </w:r>
      <w:r w:rsidRPr="00853D04">
        <w:rPr>
          <w:noProof/>
        </w:rPr>
        <w:t>por</w:t>
      </w:r>
      <w:r w:rsidR="00141B35" w:rsidRPr="00853D04">
        <w:rPr>
          <w:noProof/>
        </w:rPr>
        <w:t>ównywalnych organach stowarzyszeń niekomercyjnych lub spółek.</w:t>
      </w:r>
    </w:p>
    <w:p w14:paraId="6F4768A2" w14:textId="2896C411" w:rsidR="00A3074E" w:rsidRPr="00853D04" w:rsidRDefault="00141B35" w:rsidP="00FB5CED">
      <w:pPr>
        <w:ind w:left="850"/>
        <w:rPr>
          <w:noProof/>
        </w:rPr>
      </w:pPr>
      <w:r w:rsidRPr="00853D04">
        <w:rPr>
          <w:noProof/>
        </w:rPr>
        <w:t>Państwa członkowskie nie wymagają dokumentów ani informacji innych niż wymienione</w:t>
      </w:r>
      <w:r w:rsidR="00C13C75" w:rsidRPr="00853D04">
        <w:rPr>
          <w:noProof/>
        </w:rPr>
        <w:t xml:space="preserve"> w</w:t>
      </w:r>
      <w:r w:rsidR="00C13C75">
        <w:rPr>
          <w:noProof/>
        </w:rPr>
        <w:t> </w:t>
      </w:r>
      <w:r w:rsidR="00C13C75" w:rsidRPr="00853D04">
        <w:rPr>
          <w:noProof/>
        </w:rPr>
        <w:t>nin</w:t>
      </w:r>
      <w:r w:rsidRPr="00853D04">
        <w:rPr>
          <w:noProof/>
        </w:rPr>
        <w:t xml:space="preserve">iejszym ustępie. </w:t>
      </w:r>
    </w:p>
    <w:p w14:paraId="2185FEA6" w14:textId="2EAA5ABB" w:rsidR="002003F2" w:rsidRPr="00853D04" w:rsidRDefault="008D78F5" w:rsidP="008D78F5">
      <w:pPr>
        <w:pStyle w:val="ManualNumPar1"/>
        <w:rPr>
          <w:noProof/>
        </w:rPr>
      </w:pPr>
      <w:r w:rsidRPr="008D78F5">
        <w:t>2.</w:t>
      </w:r>
      <w:r w:rsidRPr="008D78F5">
        <w:tab/>
      </w:r>
      <w:r w:rsidR="00467147" w:rsidRPr="00853D04">
        <w:rPr>
          <w:noProof/>
        </w:rPr>
        <w:t xml:space="preserve">Niezależnie od </w:t>
      </w:r>
      <w:r w:rsidR="00467147" w:rsidRPr="00C13C75">
        <w:rPr>
          <w:noProof/>
        </w:rPr>
        <w:t>ust.</w:t>
      </w:r>
      <w:r w:rsidR="00C13C75" w:rsidRPr="00C13C75">
        <w:rPr>
          <w:noProof/>
        </w:rPr>
        <w:t> </w:t>
      </w:r>
      <w:r w:rsidR="00467147" w:rsidRPr="00C13C75">
        <w:rPr>
          <w:noProof/>
        </w:rPr>
        <w:t>3</w:t>
      </w:r>
      <w:r w:rsidR="00467147" w:rsidRPr="00853D04">
        <w:rPr>
          <w:noProof/>
        </w:rPr>
        <w:t xml:space="preserve"> państwa członkowskie zapewniają, aby do celów rejestracji wniosek był kompletny, jeżeli zawiera dokumenty</w:t>
      </w:r>
      <w:r w:rsidR="00C13C75" w:rsidRPr="00853D04">
        <w:rPr>
          <w:noProof/>
        </w:rPr>
        <w:t xml:space="preserve"> i</w:t>
      </w:r>
      <w:r w:rsidR="00C13C75">
        <w:rPr>
          <w:noProof/>
        </w:rPr>
        <w:t> </w:t>
      </w:r>
      <w:r w:rsidR="00C13C75" w:rsidRPr="00853D04">
        <w:rPr>
          <w:noProof/>
        </w:rPr>
        <w:t>inf</w:t>
      </w:r>
      <w:r w:rsidR="00467147" w:rsidRPr="00853D04">
        <w:rPr>
          <w:noProof/>
        </w:rPr>
        <w:t>ormacje określone</w:t>
      </w:r>
      <w:r w:rsidR="00C13C75" w:rsidRPr="00853D04">
        <w:rPr>
          <w:noProof/>
        </w:rPr>
        <w:t xml:space="preserve"> w</w:t>
      </w:r>
      <w:r w:rsidR="00C13C75">
        <w:rPr>
          <w:noProof/>
        </w:rPr>
        <w:t> </w:t>
      </w:r>
      <w:r w:rsidR="00C13C75" w:rsidRPr="00C13C75">
        <w:rPr>
          <w:noProof/>
        </w:rPr>
        <w:t>ust</w:t>
      </w:r>
      <w:r w:rsidR="00467147" w:rsidRPr="00C13C75">
        <w:rPr>
          <w:noProof/>
        </w:rPr>
        <w:t>.</w:t>
      </w:r>
      <w:r w:rsidR="00C13C75" w:rsidRPr="00C13C75">
        <w:rPr>
          <w:noProof/>
        </w:rPr>
        <w:t> </w:t>
      </w:r>
      <w:r w:rsidR="00467147" w:rsidRPr="00C13C75">
        <w:rPr>
          <w:noProof/>
        </w:rPr>
        <w:t>1</w:t>
      </w:r>
      <w:r w:rsidR="00467147" w:rsidRPr="00853D04">
        <w:rPr>
          <w:noProof/>
        </w:rPr>
        <w:t>.</w:t>
      </w:r>
    </w:p>
    <w:p w14:paraId="2C86DA15" w14:textId="1CB38963" w:rsidR="007169B4" w:rsidRPr="00853D04" w:rsidRDefault="008D78F5" w:rsidP="008D78F5">
      <w:pPr>
        <w:pStyle w:val="ManualNumPar1"/>
        <w:rPr>
          <w:noProof/>
        </w:rPr>
      </w:pPr>
      <w:r w:rsidRPr="008D78F5">
        <w:t>3.</w:t>
      </w:r>
      <w:r w:rsidRPr="008D78F5">
        <w:tab/>
      </w:r>
      <w:r w:rsidR="009F5E2C" w:rsidRPr="00853D04">
        <w:rPr>
          <w:noProof/>
        </w:rPr>
        <w:t xml:space="preserve">Na zasadzie odstępstwa od </w:t>
      </w:r>
      <w:r w:rsidR="009F5E2C" w:rsidRPr="00C13C75">
        <w:rPr>
          <w:noProof/>
        </w:rPr>
        <w:t>ust.</w:t>
      </w:r>
      <w:r w:rsidR="00C13C75" w:rsidRPr="00C13C75">
        <w:rPr>
          <w:noProof/>
        </w:rPr>
        <w:t> </w:t>
      </w:r>
      <w:r w:rsidR="009F5E2C" w:rsidRPr="00C13C75">
        <w:rPr>
          <w:noProof/>
        </w:rPr>
        <w:t>1</w:t>
      </w:r>
      <w:r w:rsidR="009F5E2C" w:rsidRPr="00853D04">
        <w:rPr>
          <w:noProof/>
        </w:rPr>
        <w:t xml:space="preserve"> akapit drugi państwa członkowskie mogą przyjąć przepisy pozwalające zażądać właściwemu organowi przedłożenia dokumentów lub informacji dodatkowych</w:t>
      </w:r>
      <w:r w:rsidR="00C13C75" w:rsidRPr="00853D04">
        <w:rPr>
          <w:noProof/>
        </w:rPr>
        <w:t xml:space="preserve"> w</w:t>
      </w:r>
      <w:r w:rsidR="00C13C75">
        <w:rPr>
          <w:noProof/>
        </w:rPr>
        <w:t> </w:t>
      </w:r>
      <w:r w:rsidR="00C13C75" w:rsidRPr="00853D04">
        <w:rPr>
          <w:noProof/>
        </w:rPr>
        <w:t>sto</w:t>
      </w:r>
      <w:r w:rsidR="009F5E2C" w:rsidRPr="00853D04">
        <w:rPr>
          <w:noProof/>
        </w:rPr>
        <w:t>sunku do tych,</w:t>
      </w:r>
      <w:r w:rsidR="00C13C75" w:rsidRPr="00853D04">
        <w:rPr>
          <w:noProof/>
        </w:rPr>
        <w:t xml:space="preserve"> o</w:t>
      </w:r>
      <w:r w:rsidR="00C13C75">
        <w:rPr>
          <w:noProof/>
        </w:rPr>
        <w:t> </w:t>
      </w:r>
      <w:r w:rsidR="00C13C75" w:rsidRPr="00853D04">
        <w:rPr>
          <w:noProof/>
        </w:rPr>
        <w:t>któ</w:t>
      </w:r>
      <w:r w:rsidR="009F5E2C" w:rsidRPr="00853D04">
        <w:rPr>
          <w:noProof/>
        </w:rPr>
        <w:t>rych mowa</w:t>
      </w:r>
      <w:r w:rsidR="00C13C75" w:rsidRPr="00853D04">
        <w:rPr>
          <w:noProof/>
        </w:rPr>
        <w:t xml:space="preserve"> w</w:t>
      </w:r>
      <w:r w:rsidR="00C13C75">
        <w:rPr>
          <w:noProof/>
        </w:rPr>
        <w:t> </w:t>
      </w:r>
      <w:r w:rsidR="00C13C75" w:rsidRPr="00C13C75">
        <w:rPr>
          <w:noProof/>
        </w:rPr>
        <w:t>ust</w:t>
      </w:r>
      <w:r w:rsidR="009F5E2C" w:rsidRPr="00C13C75">
        <w:rPr>
          <w:noProof/>
        </w:rPr>
        <w:t>.</w:t>
      </w:r>
      <w:r w:rsidR="00C13C75" w:rsidRPr="00C13C75">
        <w:rPr>
          <w:noProof/>
        </w:rPr>
        <w:t> </w:t>
      </w:r>
      <w:r w:rsidR="009F5E2C" w:rsidRPr="00C13C75">
        <w:rPr>
          <w:noProof/>
        </w:rPr>
        <w:t>1</w:t>
      </w:r>
      <w:r w:rsidR="009F5E2C" w:rsidRPr="00853D04">
        <w:rPr>
          <w:noProof/>
        </w:rPr>
        <w:t>,</w:t>
      </w:r>
      <w:r w:rsidR="00C13C75" w:rsidRPr="00853D04">
        <w:rPr>
          <w:noProof/>
        </w:rPr>
        <w:t xml:space="preserve"> w</w:t>
      </w:r>
      <w:r w:rsidR="00C13C75">
        <w:rPr>
          <w:noProof/>
        </w:rPr>
        <w:t> </w:t>
      </w:r>
      <w:r w:rsidR="00C13C75" w:rsidRPr="00853D04">
        <w:rPr>
          <w:noProof/>
        </w:rPr>
        <w:t>dro</w:t>
      </w:r>
      <w:r w:rsidR="009F5E2C" w:rsidRPr="00853D04">
        <w:rPr>
          <w:noProof/>
        </w:rPr>
        <w:t>dze pisemnej decyzji skierowanej do osoby upoważnionej do reprezentowania europejskiego stowarzyszenia transgranicznego,</w:t>
      </w:r>
      <w:r w:rsidR="00C13C75" w:rsidRPr="00853D04">
        <w:rPr>
          <w:noProof/>
        </w:rPr>
        <w:t xml:space="preserve"> o</w:t>
      </w:r>
      <w:r w:rsidR="00C13C75">
        <w:rPr>
          <w:noProof/>
        </w:rPr>
        <w:t> </w:t>
      </w:r>
      <w:r w:rsidR="00C13C75" w:rsidRPr="00853D04">
        <w:rPr>
          <w:noProof/>
        </w:rPr>
        <w:t>któ</w:t>
      </w:r>
      <w:r w:rsidR="009F5E2C" w:rsidRPr="00853D04">
        <w:rPr>
          <w:noProof/>
        </w:rPr>
        <w:t>rej mowa</w:t>
      </w:r>
      <w:r w:rsidR="00C13C75" w:rsidRPr="00853D04">
        <w:rPr>
          <w:noProof/>
        </w:rPr>
        <w:t xml:space="preserve"> w</w:t>
      </w:r>
      <w:r w:rsidR="00C13C75">
        <w:rPr>
          <w:noProof/>
        </w:rPr>
        <w:t> </w:t>
      </w:r>
      <w:r w:rsidR="00C13C75" w:rsidRPr="00C13C75">
        <w:rPr>
          <w:noProof/>
        </w:rPr>
        <w:t>art</w:t>
      </w:r>
      <w:r w:rsidR="009F5E2C" w:rsidRPr="00C13C75">
        <w:rPr>
          <w:noProof/>
        </w:rPr>
        <w:t>.</w:t>
      </w:r>
      <w:r w:rsidR="00C13C75" w:rsidRPr="00C13C75">
        <w:rPr>
          <w:noProof/>
        </w:rPr>
        <w:t> </w:t>
      </w:r>
      <w:r w:rsidR="009F5E2C" w:rsidRPr="00C13C75">
        <w:rPr>
          <w:noProof/>
        </w:rPr>
        <w:t>1</w:t>
      </w:r>
      <w:r w:rsidR="009F5E2C" w:rsidRPr="00853D04">
        <w:rPr>
          <w:noProof/>
        </w:rPr>
        <w:t xml:space="preserve">8 </w:t>
      </w:r>
      <w:r w:rsidR="009F5E2C" w:rsidRPr="00C13C75">
        <w:rPr>
          <w:noProof/>
        </w:rPr>
        <w:t>ust.</w:t>
      </w:r>
      <w:r w:rsidR="00C13C75" w:rsidRPr="00C13C75">
        <w:rPr>
          <w:noProof/>
        </w:rPr>
        <w:t> </w:t>
      </w:r>
      <w:r w:rsidR="009F5E2C" w:rsidRPr="00C13C75">
        <w:rPr>
          <w:noProof/>
        </w:rPr>
        <w:t>1</w:t>
      </w:r>
      <w:r w:rsidR="009F5E2C" w:rsidRPr="00853D04">
        <w:rPr>
          <w:noProof/>
        </w:rPr>
        <w:t xml:space="preserve"> </w:t>
      </w:r>
      <w:r w:rsidR="009F5E2C" w:rsidRPr="00C13C75">
        <w:rPr>
          <w:noProof/>
        </w:rPr>
        <w:t>lit.</w:t>
      </w:r>
      <w:r w:rsidR="00C13C75" w:rsidRPr="00C13C75">
        <w:rPr>
          <w:noProof/>
        </w:rPr>
        <w:t> </w:t>
      </w:r>
      <w:r w:rsidR="009F5E2C" w:rsidRPr="00C13C75">
        <w:rPr>
          <w:noProof/>
        </w:rPr>
        <w:t>d)</w:t>
      </w:r>
      <w:r w:rsidR="009F5E2C" w:rsidRPr="00853D04">
        <w:rPr>
          <w:noProof/>
        </w:rPr>
        <w:t>,</w:t>
      </w:r>
      <w:r w:rsidR="00C13C75" w:rsidRPr="00853D04">
        <w:rPr>
          <w:noProof/>
        </w:rPr>
        <w:t xml:space="preserve"> i</w:t>
      </w:r>
      <w:r w:rsidR="00C13C75">
        <w:rPr>
          <w:noProof/>
        </w:rPr>
        <w:t> </w:t>
      </w:r>
      <w:r w:rsidR="00C13C75" w:rsidRPr="00853D04">
        <w:rPr>
          <w:noProof/>
        </w:rPr>
        <w:t>zaw</w:t>
      </w:r>
      <w:r w:rsidR="009F5E2C" w:rsidRPr="00853D04">
        <w:rPr>
          <w:noProof/>
        </w:rPr>
        <w:t>ierającej należycie uzasadnioną obawę, że cele opisane</w:t>
      </w:r>
      <w:r w:rsidR="00C13C75" w:rsidRPr="00853D04">
        <w:rPr>
          <w:noProof/>
        </w:rPr>
        <w:t xml:space="preserve"> w</w:t>
      </w:r>
      <w:r w:rsidR="00C13C75">
        <w:rPr>
          <w:noProof/>
        </w:rPr>
        <w:t> </w:t>
      </w:r>
      <w:r w:rsidR="00C13C75" w:rsidRPr="00853D04">
        <w:rPr>
          <w:noProof/>
        </w:rPr>
        <w:t>sta</w:t>
      </w:r>
      <w:r w:rsidR="009F5E2C" w:rsidRPr="00853D04">
        <w:rPr>
          <w:noProof/>
        </w:rPr>
        <w:t>tucie europejskiego stowarzyszenia transgranicznego mogą być sprzeczne</w:t>
      </w:r>
      <w:r w:rsidR="00C13C75" w:rsidRPr="00853D04">
        <w:rPr>
          <w:noProof/>
        </w:rPr>
        <w:t xml:space="preserve"> z</w:t>
      </w:r>
      <w:r w:rsidR="00C13C75">
        <w:rPr>
          <w:noProof/>
        </w:rPr>
        <w:t> </w:t>
      </w:r>
      <w:r w:rsidR="00C13C75" w:rsidRPr="00853D04">
        <w:rPr>
          <w:noProof/>
        </w:rPr>
        <w:t>pra</w:t>
      </w:r>
      <w:r w:rsidR="009F5E2C" w:rsidRPr="00853D04">
        <w:rPr>
          <w:noProof/>
        </w:rPr>
        <w:t>wem Unii lub przepisami prawa krajowego zgodnymi</w:t>
      </w:r>
      <w:r w:rsidR="00C13C75" w:rsidRPr="00853D04">
        <w:rPr>
          <w:noProof/>
        </w:rPr>
        <w:t xml:space="preserve"> z</w:t>
      </w:r>
      <w:r w:rsidR="00C13C75">
        <w:rPr>
          <w:noProof/>
        </w:rPr>
        <w:t> </w:t>
      </w:r>
      <w:r w:rsidR="00C13C75" w:rsidRPr="00853D04">
        <w:rPr>
          <w:noProof/>
        </w:rPr>
        <w:t>pra</w:t>
      </w:r>
      <w:r w:rsidR="009F5E2C" w:rsidRPr="00853D04">
        <w:rPr>
          <w:noProof/>
        </w:rPr>
        <w:t>wem Unii,</w:t>
      </w:r>
      <w:r w:rsidR="00C13C75" w:rsidRPr="00853D04">
        <w:rPr>
          <w:noProof/>
        </w:rPr>
        <w:t xml:space="preserve"> w</w:t>
      </w:r>
      <w:r w:rsidR="00C13C75">
        <w:rPr>
          <w:noProof/>
        </w:rPr>
        <w:t> </w:t>
      </w:r>
      <w:r w:rsidR="00C13C75" w:rsidRPr="00853D04">
        <w:rPr>
          <w:noProof/>
        </w:rPr>
        <w:t>prz</w:t>
      </w:r>
      <w:r w:rsidR="009F5E2C" w:rsidRPr="00853D04">
        <w:rPr>
          <w:noProof/>
        </w:rPr>
        <w:t xml:space="preserve">ypadku gdy te dokumenty lub informacje są niezbędne. </w:t>
      </w:r>
    </w:p>
    <w:p w14:paraId="4C691ECF" w14:textId="53F5EDE0" w:rsidR="00392560" w:rsidRPr="00853D04" w:rsidRDefault="008D78F5" w:rsidP="008D78F5">
      <w:pPr>
        <w:pStyle w:val="ManualNumPar1"/>
        <w:rPr>
          <w:noProof/>
        </w:rPr>
      </w:pPr>
      <w:r w:rsidRPr="008D78F5">
        <w:t>4.</w:t>
      </w:r>
      <w:r w:rsidRPr="008D78F5">
        <w:tab/>
      </w:r>
      <w:r w:rsidR="00392560" w:rsidRPr="00853D04">
        <w:rPr>
          <w:noProof/>
        </w:rPr>
        <w:t>Państwa członkowskie zapewniają możliwość złożenia wniosku</w:t>
      </w:r>
      <w:r w:rsidR="00C13C75" w:rsidRPr="00853D04">
        <w:rPr>
          <w:noProof/>
        </w:rPr>
        <w:t xml:space="preserve"> o</w:t>
      </w:r>
      <w:r w:rsidR="00C13C75">
        <w:rPr>
          <w:noProof/>
        </w:rPr>
        <w:t> </w:t>
      </w:r>
      <w:r w:rsidR="00C13C75" w:rsidRPr="00853D04">
        <w:rPr>
          <w:noProof/>
        </w:rPr>
        <w:t>rej</w:t>
      </w:r>
      <w:r w:rsidR="00392560" w:rsidRPr="00853D04">
        <w:rPr>
          <w:noProof/>
        </w:rPr>
        <w:t>estrację europejskiego stowarzyszenia transgranicznego przez internet.</w:t>
      </w:r>
    </w:p>
    <w:p w14:paraId="77CFDA77" w14:textId="77777777" w:rsidR="00141B35" w:rsidRPr="00853D04" w:rsidRDefault="00141B35" w:rsidP="00141B35">
      <w:pPr>
        <w:pStyle w:val="Titrearticle"/>
        <w:rPr>
          <w:noProof/>
        </w:rPr>
      </w:pPr>
      <w:r w:rsidRPr="00853D04">
        <w:rPr>
          <w:noProof/>
        </w:rPr>
        <w:t>Artykuł 19</w:t>
      </w:r>
    </w:p>
    <w:p w14:paraId="7BFCFD50" w14:textId="77777777" w:rsidR="00141B35" w:rsidRPr="00853D04" w:rsidRDefault="00D57EAB" w:rsidP="00141B35">
      <w:pPr>
        <w:pStyle w:val="Titrearticle"/>
        <w:rPr>
          <w:noProof/>
        </w:rPr>
      </w:pPr>
      <w:r w:rsidRPr="00853D04">
        <w:rPr>
          <w:noProof/>
        </w:rPr>
        <w:t>Procedura rejestracji</w:t>
      </w:r>
    </w:p>
    <w:p w14:paraId="338EF075" w14:textId="276E77C8" w:rsidR="00141B35" w:rsidRPr="00853D04" w:rsidRDefault="008D78F5" w:rsidP="008D78F5">
      <w:pPr>
        <w:pStyle w:val="ManualNumPar1"/>
        <w:rPr>
          <w:noProof/>
        </w:rPr>
      </w:pPr>
      <w:r w:rsidRPr="008D78F5">
        <w:t>1.</w:t>
      </w:r>
      <w:r w:rsidRPr="008D78F5">
        <w:tab/>
      </w:r>
      <w:r w:rsidR="00141B35" w:rsidRPr="00853D04">
        <w:rPr>
          <w:noProof/>
        </w:rPr>
        <w:t>Państwa członkowskie zapewniają, aby rejestracja europejskiego stowarzyszenia transgranicznego nastąpiła</w:t>
      </w:r>
      <w:r w:rsidR="00C13C75" w:rsidRPr="00853D04">
        <w:rPr>
          <w:noProof/>
        </w:rPr>
        <w:t xml:space="preserve"> w</w:t>
      </w:r>
      <w:r w:rsidR="00C13C75">
        <w:rPr>
          <w:noProof/>
        </w:rPr>
        <w:t> </w:t>
      </w:r>
      <w:r w:rsidR="00C13C75" w:rsidRPr="00853D04">
        <w:rPr>
          <w:noProof/>
        </w:rPr>
        <w:t>cią</w:t>
      </w:r>
      <w:r w:rsidR="00141B35" w:rsidRPr="00853D04">
        <w:rPr>
          <w:noProof/>
        </w:rPr>
        <w:t>gu 30 dni od złożenia kompletnego wniosku</w:t>
      </w:r>
      <w:r w:rsidR="00C13C75" w:rsidRPr="00853D04">
        <w:rPr>
          <w:noProof/>
        </w:rPr>
        <w:t xml:space="preserve"> i</w:t>
      </w:r>
      <w:r w:rsidR="00C13C75">
        <w:rPr>
          <w:noProof/>
        </w:rPr>
        <w:t> </w:t>
      </w:r>
      <w:r w:rsidR="00C13C75" w:rsidRPr="00853D04">
        <w:rPr>
          <w:noProof/>
        </w:rPr>
        <w:t>był</w:t>
      </w:r>
      <w:r w:rsidR="00141B35" w:rsidRPr="00853D04">
        <w:rPr>
          <w:noProof/>
        </w:rPr>
        <w:t>a ważna</w:t>
      </w:r>
      <w:r w:rsidR="00C13C75" w:rsidRPr="00853D04">
        <w:rPr>
          <w:noProof/>
        </w:rPr>
        <w:t xml:space="preserve"> w</w:t>
      </w:r>
      <w:r w:rsidR="00C13C75">
        <w:rPr>
          <w:noProof/>
        </w:rPr>
        <w:t> </w:t>
      </w:r>
      <w:r w:rsidR="00C13C75" w:rsidRPr="00853D04">
        <w:rPr>
          <w:noProof/>
        </w:rPr>
        <w:t>cał</w:t>
      </w:r>
      <w:r w:rsidR="00141B35" w:rsidRPr="00853D04">
        <w:rPr>
          <w:noProof/>
        </w:rPr>
        <w:t>ej Unii.</w:t>
      </w:r>
    </w:p>
    <w:p w14:paraId="0DAB7EDD" w14:textId="144EA075" w:rsidR="005104A1" w:rsidRPr="00853D04" w:rsidRDefault="008D78F5" w:rsidP="008D78F5">
      <w:pPr>
        <w:pStyle w:val="ManualNumPar1"/>
        <w:rPr>
          <w:noProof/>
        </w:rPr>
      </w:pPr>
      <w:r w:rsidRPr="008D78F5">
        <w:t>2.</w:t>
      </w:r>
      <w:r w:rsidRPr="008D78F5">
        <w:tab/>
      </w:r>
      <w:r w:rsidR="005235AB" w:rsidRPr="00853D04">
        <w:rPr>
          <w:noProof/>
        </w:rPr>
        <w:t>Państwa członkowskie zapewniają, aby właściwy organ państwa członkowskiego pochodzenia niezwłocznie powiadamiał właściwe organy wszystkich pozostałych państw członkowskich</w:t>
      </w:r>
      <w:r w:rsidR="00C13C75" w:rsidRPr="00853D04">
        <w:rPr>
          <w:noProof/>
        </w:rPr>
        <w:t xml:space="preserve"> o</w:t>
      </w:r>
      <w:r w:rsidR="00C13C75">
        <w:rPr>
          <w:noProof/>
        </w:rPr>
        <w:t> </w:t>
      </w:r>
      <w:r w:rsidR="00C13C75" w:rsidRPr="00853D04">
        <w:rPr>
          <w:noProof/>
        </w:rPr>
        <w:t>każ</w:t>
      </w:r>
      <w:r w:rsidR="005235AB" w:rsidRPr="00853D04">
        <w:rPr>
          <w:noProof/>
        </w:rPr>
        <w:t xml:space="preserve">dej nowej rejestracji europejskiego stowarzyszenia transgranicznego. </w:t>
      </w:r>
    </w:p>
    <w:p w14:paraId="072EAD45" w14:textId="3A095D57" w:rsidR="00141B35" w:rsidRPr="00853D04" w:rsidRDefault="008D78F5" w:rsidP="008D78F5">
      <w:pPr>
        <w:pStyle w:val="ManualNumPar1"/>
        <w:rPr>
          <w:noProof/>
        </w:rPr>
      </w:pPr>
      <w:r w:rsidRPr="008D78F5">
        <w:t>3.</w:t>
      </w:r>
      <w:r w:rsidRPr="008D78F5">
        <w:tab/>
      </w:r>
      <w:r w:rsidR="00DF1B82" w:rsidRPr="00853D04">
        <w:rPr>
          <w:noProof/>
        </w:rPr>
        <w:t>Jeżeli informacje przekazane do celów rejestracji są niekompletne lub zawierają oczywiste błędy, właściwy organ zwraca się do europejskiego stowarzyszenia transgranicznego</w:t>
      </w:r>
      <w:r w:rsidR="00C13C75" w:rsidRPr="00853D04">
        <w:rPr>
          <w:noProof/>
        </w:rPr>
        <w:t xml:space="preserve"> o</w:t>
      </w:r>
      <w:r w:rsidR="00C13C75">
        <w:rPr>
          <w:noProof/>
        </w:rPr>
        <w:t> </w:t>
      </w:r>
      <w:r w:rsidR="00C13C75" w:rsidRPr="00853D04">
        <w:rPr>
          <w:noProof/>
        </w:rPr>
        <w:t>uzu</w:t>
      </w:r>
      <w:r w:rsidR="00DF1B82" w:rsidRPr="00853D04">
        <w:rPr>
          <w:noProof/>
        </w:rPr>
        <w:t>pełnienie lub skorygowanie przedłożonych informacji</w:t>
      </w:r>
      <w:r w:rsidR="00C13C75" w:rsidRPr="00853D04">
        <w:rPr>
          <w:noProof/>
        </w:rPr>
        <w:t xml:space="preserve"> w</w:t>
      </w:r>
      <w:r w:rsidR="00C13C75">
        <w:rPr>
          <w:noProof/>
        </w:rPr>
        <w:t> </w:t>
      </w:r>
      <w:r w:rsidR="00C13C75" w:rsidRPr="00853D04">
        <w:rPr>
          <w:noProof/>
        </w:rPr>
        <w:t>roz</w:t>
      </w:r>
      <w:r w:rsidR="00DF1B82" w:rsidRPr="00853D04">
        <w:rPr>
          <w:noProof/>
        </w:rPr>
        <w:t>sądnym terminie, który nie może być krótszy niż 15 dni od dnia,</w:t>
      </w:r>
      <w:r w:rsidR="00C13C75" w:rsidRPr="00853D04">
        <w:rPr>
          <w:noProof/>
        </w:rPr>
        <w:t xml:space="preserve"> w</w:t>
      </w:r>
      <w:r w:rsidR="00C13C75">
        <w:rPr>
          <w:noProof/>
        </w:rPr>
        <w:t> </w:t>
      </w:r>
      <w:r w:rsidR="00C13C75" w:rsidRPr="00853D04">
        <w:rPr>
          <w:noProof/>
        </w:rPr>
        <w:t>któ</w:t>
      </w:r>
      <w:r w:rsidR="00DF1B82" w:rsidRPr="00853D04">
        <w:rPr>
          <w:noProof/>
        </w:rPr>
        <w:t>rym właściwy organ kontaktuje się</w:t>
      </w:r>
      <w:r w:rsidR="00C13C75" w:rsidRPr="00853D04">
        <w:rPr>
          <w:noProof/>
        </w:rPr>
        <w:t xml:space="preserve"> z</w:t>
      </w:r>
      <w:r w:rsidR="00C13C75">
        <w:rPr>
          <w:noProof/>
        </w:rPr>
        <w:t> </w:t>
      </w:r>
      <w:r w:rsidR="00C13C75" w:rsidRPr="00853D04">
        <w:rPr>
          <w:noProof/>
        </w:rPr>
        <w:t>oso</w:t>
      </w:r>
      <w:r w:rsidR="00DF1B82" w:rsidRPr="00853D04">
        <w:rPr>
          <w:noProof/>
        </w:rPr>
        <w:t>bą upoważnioną do reprezentowania europejskiego stowarzyszenia transgranicznego,</w:t>
      </w:r>
      <w:r w:rsidR="00C13C75" w:rsidRPr="00853D04">
        <w:rPr>
          <w:noProof/>
        </w:rPr>
        <w:t xml:space="preserve"> o</w:t>
      </w:r>
      <w:r w:rsidR="00C13C75">
        <w:rPr>
          <w:noProof/>
        </w:rPr>
        <w:t> </w:t>
      </w:r>
      <w:r w:rsidR="00C13C75" w:rsidRPr="00853D04">
        <w:rPr>
          <w:noProof/>
        </w:rPr>
        <w:t>któ</w:t>
      </w:r>
      <w:r w:rsidR="00DF1B82" w:rsidRPr="00853D04">
        <w:rPr>
          <w:noProof/>
        </w:rPr>
        <w:t>rej mowa</w:t>
      </w:r>
      <w:r w:rsidR="00C13C75" w:rsidRPr="00853D04">
        <w:rPr>
          <w:noProof/>
        </w:rPr>
        <w:t xml:space="preserve"> w</w:t>
      </w:r>
      <w:r w:rsidR="00C13C75">
        <w:rPr>
          <w:noProof/>
        </w:rPr>
        <w:t> </w:t>
      </w:r>
      <w:r w:rsidR="00C13C75" w:rsidRPr="00C13C75">
        <w:rPr>
          <w:noProof/>
        </w:rPr>
        <w:t>art</w:t>
      </w:r>
      <w:r w:rsidR="00DF1B82" w:rsidRPr="00C13C75">
        <w:rPr>
          <w:noProof/>
        </w:rPr>
        <w:t>.</w:t>
      </w:r>
      <w:r w:rsidR="00C13C75" w:rsidRPr="00C13C75">
        <w:rPr>
          <w:noProof/>
        </w:rPr>
        <w:t> </w:t>
      </w:r>
      <w:r w:rsidR="00DF1B82" w:rsidRPr="00C13C75">
        <w:rPr>
          <w:noProof/>
        </w:rPr>
        <w:t>1</w:t>
      </w:r>
      <w:r w:rsidR="00DF1B82" w:rsidRPr="00853D04">
        <w:rPr>
          <w:noProof/>
        </w:rPr>
        <w:t xml:space="preserve">8 </w:t>
      </w:r>
      <w:r w:rsidR="00DF1B82" w:rsidRPr="00C13C75">
        <w:rPr>
          <w:noProof/>
        </w:rPr>
        <w:t>ust.</w:t>
      </w:r>
      <w:r w:rsidR="00C13C75" w:rsidRPr="00C13C75">
        <w:rPr>
          <w:noProof/>
        </w:rPr>
        <w:t> </w:t>
      </w:r>
      <w:r w:rsidR="00DF1B82" w:rsidRPr="00C13C75">
        <w:rPr>
          <w:noProof/>
        </w:rPr>
        <w:t>1</w:t>
      </w:r>
      <w:r w:rsidR="00DF1B82" w:rsidRPr="00853D04">
        <w:rPr>
          <w:noProof/>
        </w:rPr>
        <w:t xml:space="preserve"> </w:t>
      </w:r>
      <w:r w:rsidR="00DF1B82" w:rsidRPr="00C13C75">
        <w:rPr>
          <w:noProof/>
        </w:rPr>
        <w:t>lit.</w:t>
      </w:r>
      <w:r w:rsidR="00C13C75" w:rsidRPr="00C13C75">
        <w:rPr>
          <w:noProof/>
        </w:rPr>
        <w:t> </w:t>
      </w:r>
      <w:r w:rsidR="00DF1B82" w:rsidRPr="00C13C75">
        <w:rPr>
          <w:noProof/>
        </w:rPr>
        <w:t>d)</w:t>
      </w:r>
      <w:r w:rsidR="00DF1B82" w:rsidRPr="00853D04">
        <w:rPr>
          <w:noProof/>
        </w:rPr>
        <w:t xml:space="preserve">. </w:t>
      </w:r>
    </w:p>
    <w:p w14:paraId="24B9E066" w14:textId="71007805" w:rsidR="00141B35" w:rsidRPr="00853D04" w:rsidRDefault="008D78F5" w:rsidP="008D78F5">
      <w:pPr>
        <w:pStyle w:val="ManualNumPar1"/>
        <w:rPr>
          <w:noProof/>
        </w:rPr>
      </w:pPr>
      <w:r w:rsidRPr="008D78F5">
        <w:t>4.</w:t>
      </w:r>
      <w:r w:rsidRPr="008D78F5">
        <w:tab/>
      </w:r>
      <w:r w:rsidR="005235AB" w:rsidRPr="00853D04">
        <w:rPr>
          <w:noProof/>
        </w:rPr>
        <w:t xml:space="preserve">Niezależnie od </w:t>
      </w:r>
      <w:r w:rsidR="005235AB" w:rsidRPr="00C13C75">
        <w:rPr>
          <w:noProof/>
        </w:rPr>
        <w:t>ust.</w:t>
      </w:r>
      <w:r w:rsidR="00C13C75" w:rsidRPr="00C13C75">
        <w:rPr>
          <w:noProof/>
        </w:rPr>
        <w:t> </w:t>
      </w:r>
      <w:r w:rsidR="005235AB" w:rsidRPr="00C13C75">
        <w:rPr>
          <w:noProof/>
        </w:rPr>
        <w:t>1</w:t>
      </w:r>
      <w:r w:rsidR="005235AB" w:rsidRPr="00853D04">
        <w:rPr>
          <w:noProof/>
        </w:rPr>
        <w:t xml:space="preserve"> niniejszego artykułu państwa członkowskie zapewniają, aby po otrzymaniu kompletnego wniosku zgodnie</w:t>
      </w:r>
      <w:r w:rsidR="00C13C75" w:rsidRPr="00853D04">
        <w:rPr>
          <w:noProof/>
        </w:rPr>
        <w:t xml:space="preserve"> z</w:t>
      </w:r>
      <w:r w:rsidR="00C13C75">
        <w:rPr>
          <w:noProof/>
        </w:rPr>
        <w:t> </w:t>
      </w:r>
      <w:r w:rsidR="00C13C75" w:rsidRPr="00C13C75">
        <w:rPr>
          <w:noProof/>
        </w:rPr>
        <w:t>ust</w:t>
      </w:r>
      <w:r w:rsidR="005235AB" w:rsidRPr="00C13C75">
        <w:rPr>
          <w:noProof/>
        </w:rPr>
        <w:t>.</w:t>
      </w:r>
      <w:r w:rsidR="00C13C75" w:rsidRPr="00C13C75">
        <w:rPr>
          <w:noProof/>
        </w:rPr>
        <w:t> </w:t>
      </w:r>
      <w:r w:rsidR="005235AB" w:rsidRPr="00C13C75">
        <w:rPr>
          <w:noProof/>
        </w:rPr>
        <w:t>1</w:t>
      </w:r>
      <w:r w:rsidR="005235AB" w:rsidRPr="00853D04">
        <w:rPr>
          <w:noProof/>
        </w:rPr>
        <w:t xml:space="preserve"> niniejszego artykułu właściwy organ zweryfikował wniosek</w:t>
      </w:r>
      <w:r w:rsidR="00C13C75" w:rsidRPr="00853D04">
        <w:rPr>
          <w:noProof/>
        </w:rPr>
        <w:t xml:space="preserve"> w</w:t>
      </w:r>
      <w:r w:rsidR="00C13C75">
        <w:rPr>
          <w:noProof/>
        </w:rPr>
        <w:t> </w:t>
      </w:r>
      <w:r w:rsidR="00C13C75" w:rsidRPr="00853D04">
        <w:rPr>
          <w:noProof/>
        </w:rPr>
        <w:t>cel</w:t>
      </w:r>
      <w:r w:rsidR="005235AB" w:rsidRPr="00853D04">
        <w:rPr>
          <w:noProof/>
        </w:rPr>
        <w:t>u rejestracji europejskiego stowarzyszenia transgranicznego</w:t>
      </w:r>
      <w:r w:rsidR="00C13C75" w:rsidRPr="00853D04">
        <w:rPr>
          <w:noProof/>
        </w:rPr>
        <w:t xml:space="preserve"> i</w:t>
      </w:r>
      <w:r w:rsidR="00C13C75">
        <w:rPr>
          <w:noProof/>
        </w:rPr>
        <w:t> </w:t>
      </w:r>
      <w:r w:rsidR="00C13C75" w:rsidRPr="00853D04">
        <w:rPr>
          <w:noProof/>
        </w:rPr>
        <w:t>aby</w:t>
      </w:r>
      <w:r w:rsidR="005235AB" w:rsidRPr="00853D04">
        <w:rPr>
          <w:noProof/>
        </w:rPr>
        <w:t xml:space="preserve"> odrzucił go tylko</w:t>
      </w:r>
      <w:r w:rsidR="00C13C75" w:rsidRPr="00853D04">
        <w:rPr>
          <w:noProof/>
        </w:rPr>
        <w:t xml:space="preserve"> w</w:t>
      </w:r>
      <w:r w:rsidR="00C13C75">
        <w:rPr>
          <w:noProof/>
        </w:rPr>
        <w:t> </w:t>
      </w:r>
      <w:r w:rsidR="00C13C75" w:rsidRPr="00853D04">
        <w:rPr>
          <w:noProof/>
        </w:rPr>
        <w:t>prz</w:t>
      </w:r>
      <w:r w:rsidR="005235AB" w:rsidRPr="00853D04">
        <w:rPr>
          <w:noProof/>
        </w:rPr>
        <w:t>ypadku, gdy:</w:t>
      </w:r>
    </w:p>
    <w:p w14:paraId="09E2629A" w14:textId="10250FF0" w:rsidR="00051451" w:rsidRPr="00853D04" w:rsidRDefault="00C13C75" w:rsidP="00C13C75">
      <w:pPr>
        <w:pStyle w:val="Point1"/>
        <w:rPr>
          <w:noProof/>
        </w:rPr>
      </w:pPr>
      <w:r>
        <w:rPr>
          <w:noProof/>
        </w:rPr>
        <w:t>a)</w:t>
      </w:r>
      <w:r>
        <w:rPr>
          <w:noProof/>
        </w:rPr>
        <w:tab/>
      </w:r>
      <w:r w:rsidR="00015F17" w:rsidRPr="00853D04">
        <w:rPr>
          <w:noProof/>
        </w:rPr>
        <w:t>wniosek nie spełnia wymogów określonych</w:t>
      </w:r>
      <w:r w:rsidRPr="00853D04">
        <w:rPr>
          <w:noProof/>
        </w:rPr>
        <w:t xml:space="preserve"> w</w:t>
      </w:r>
      <w:r>
        <w:rPr>
          <w:noProof/>
        </w:rPr>
        <w:t> </w:t>
      </w:r>
      <w:r w:rsidRPr="00C13C75">
        <w:rPr>
          <w:noProof/>
        </w:rPr>
        <w:t>art</w:t>
      </w:r>
      <w:r w:rsidR="00015F17" w:rsidRPr="00C13C75">
        <w:rPr>
          <w:noProof/>
        </w:rPr>
        <w:t>.</w:t>
      </w:r>
      <w:r w:rsidRPr="00C13C75">
        <w:rPr>
          <w:noProof/>
        </w:rPr>
        <w:t> </w:t>
      </w:r>
      <w:r w:rsidR="00015F17" w:rsidRPr="00C13C75">
        <w:rPr>
          <w:noProof/>
        </w:rPr>
        <w:t>3</w:t>
      </w:r>
      <w:r w:rsidR="00015F17" w:rsidRPr="00853D04">
        <w:rPr>
          <w:noProof/>
        </w:rPr>
        <w:t>;</w:t>
      </w:r>
    </w:p>
    <w:p w14:paraId="4CED749A" w14:textId="4F817FDC" w:rsidR="00141B35" w:rsidRPr="00853D04" w:rsidRDefault="00C13C75" w:rsidP="00C13C75">
      <w:pPr>
        <w:pStyle w:val="Point1"/>
        <w:rPr>
          <w:noProof/>
        </w:rPr>
      </w:pPr>
      <w:r>
        <w:rPr>
          <w:noProof/>
        </w:rPr>
        <w:t>b)</w:t>
      </w:r>
      <w:r>
        <w:rPr>
          <w:noProof/>
        </w:rPr>
        <w:tab/>
      </w:r>
      <w:r w:rsidR="00141B35" w:rsidRPr="00853D04">
        <w:rPr>
          <w:noProof/>
        </w:rPr>
        <w:t>wniosek nie został wypełniony lub skorygowany</w:t>
      </w:r>
      <w:r w:rsidRPr="00853D04">
        <w:rPr>
          <w:noProof/>
        </w:rPr>
        <w:t xml:space="preserve"> w</w:t>
      </w:r>
      <w:r>
        <w:rPr>
          <w:noProof/>
        </w:rPr>
        <w:t> </w:t>
      </w:r>
      <w:r w:rsidRPr="00853D04">
        <w:rPr>
          <w:noProof/>
        </w:rPr>
        <w:t>ter</w:t>
      </w:r>
      <w:r w:rsidR="00141B35" w:rsidRPr="00853D04">
        <w:rPr>
          <w:noProof/>
        </w:rPr>
        <w:t>minie określonym</w:t>
      </w:r>
      <w:r w:rsidRPr="00853D04">
        <w:rPr>
          <w:noProof/>
        </w:rPr>
        <w:t xml:space="preserve"> w</w:t>
      </w:r>
      <w:r>
        <w:rPr>
          <w:noProof/>
        </w:rPr>
        <w:t> </w:t>
      </w:r>
      <w:r w:rsidRPr="00C13C75">
        <w:rPr>
          <w:noProof/>
        </w:rPr>
        <w:t>ust</w:t>
      </w:r>
      <w:r w:rsidR="00141B35" w:rsidRPr="00C13C75">
        <w:rPr>
          <w:noProof/>
        </w:rPr>
        <w:t>.</w:t>
      </w:r>
      <w:r w:rsidRPr="00C13C75">
        <w:rPr>
          <w:noProof/>
        </w:rPr>
        <w:t> </w:t>
      </w:r>
      <w:r w:rsidR="00141B35" w:rsidRPr="00C13C75">
        <w:rPr>
          <w:noProof/>
        </w:rPr>
        <w:t>3</w:t>
      </w:r>
      <w:r w:rsidR="00141B35" w:rsidRPr="00853D04">
        <w:rPr>
          <w:noProof/>
        </w:rPr>
        <w:t xml:space="preserve"> niniejszego artykułu;</w:t>
      </w:r>
    </w:p>
    <w:p w14:paraId="4C9F1CCC" w14:textId="3C56BB9E" w:rsidR="00A13492" w:rsidRPr="00853D04" w:rsidRDefault="00C13C75" w:rsidP="00C13C75">
      <w:pPr>
        <w:pStyle w:val="Point1"/>
        <w:rPr>
          <w:noProof/>
        </w:rPr>
      </w:pPr>
      <w:r>
        <w:rPr>
          <w:noProof/>
        </w:rPr>
        <w:t>c)</w:t>
      </w:r>
      <w:r>
        <w:rPr>
          <w:noProof/>
        </w:rPr>
        <w:tab/>
      </w:r>
      <w:r w:rsidR="00A13492" w:rsidRPr="00853D04">
        <w:rPr>
          <w:noProof/>
        </w:rPr>
        <w:t>tożsamości przedstawicieli prawnych europejskiego stowarzyszenia transgranicznego nie można było zweryfikować lub stwierdzono, że została sfałszowana;</w:t>
      </w:r>
    </w:p>
    <w:p w14:paraId="0F20AAAF" w14:textId="24BB93DB" w:rsidR="00A13492" w:rsidRPr="00853D04" w:rsidRDefault="00C13C75" w:rsidP="00C13C75">
      <w:pPr>
        <w:pStyle w:val="Point1"/>
        <w:rPr>
          <w:noProof/>
        </w:rPr>
      </w:pPr>
      <w:r>
        <w:rPr>
          <w:noProof/>
        </w:rPr>
        <w:t>d)</w:t>
      </w:r>
      <w:r>
        <w:rPr>
          <w:noProof/>
        </w:rPr>
        <w:tab/>
      </w:r>
      <w:r w:rsidR="00A13492" w:rsidRPr="00853D04">
        <w:rPr>
          <w:noProof/>
        </w:rPr>
        <w:t>właściwy organ stwierdzi, po podjęciu decyzji określonej</w:t>
      </w:r>
      <w:r w:rsidRPr="00853D04">
        <w:rPr>
          <w:noProof/>
        </w:rPr>
        <w:t xml:space="preserve"> w</w:t>
      </w:r>
      <w:r>
        <w:rPr>
          <w:noProof/>
        </w:rPr>
        <w:t> </w:t>
      </w:r>
      <w:r w:rsidRPr="00C13C75">
        <w:rPr>
          <w:noProof/>
        </w:rPr>
        <w:t>art</w:t>
      </w:r>
      <w:r w:rsidR="00A13492" w:rsidRPr="00C13C75">
        <w:rPr>
          <w:noProof/>
        </w:rPr>
        <w:t>.</w:t>
      </w:r>
      <w:r w:rsidRPr="00C13C75">
        <w:rPr>
          <w:noProof/>
        </w:rPr>
        <w:t> </w:t>
      </w:r>
      <w:r w:rsidR="00A13492" w:rsidRPr="00C13C75">
        <w:rPr>
          <w:noProof/>
        </w:rPr>
        <w:t>1</w:t>
      </w:r>
      <w:r w:rsidR="00A13492" w:rsidRPr="00853D04">
        <w:rPr>
          <w:noProof/>
        </w:rPr>
        <w:t xml:space="preserve">8 </w:t>
      </w:r>
      <w:r w:rsidR="00A13492" w:rsidRPr="00C13C75">
        <w:rPr>
          <w:noProof/>
        </w:rPr>
        <w:t>ust.</w:t>
      </w:r>
      <w:r w:rsidRPr="00C13C75">
        <w:rPr>
          <w:noProof/>
        </w:rPr>
        <w:t> </w:t>
      </w:r>
      <w:r w:rsidR="00A13492" w:rsidRPr="00C13C75">
        <w:rPr>
          <w:noProof/>
        </w:rPr>
        <w:t>3</w:t>
      </w:r>
      <w:r w:rsidRPr="00853D04">
        <w:rPr>
          <w:noProof/>
        </w:rPr>
        <w:t xml:space="preserve"> i</w:t>
      </w:r>
      <w:r>
        <w:rPr>
          <w:noProof/>
        </w:rPr>
        <w:t> </w:t>
      </w:r>
      <w:r w:rsidRPr="00853D04">
        <w:rPr>
          <w:noProof/>
        </w:rPr>
        <w:t>dok</w:t>
      </w:r>
      <w:r w:rsidR="00A13492" w:rsidRPr="00853D04">
        <w:rPr>
          <w:noProof/>
        </w:rPr>
        <w:t>onaniu oceny wszystkich dokumentów</w:t>
      </w:r>
      <w:r w:rsidRPr="00853D04">
        <w:rPr>
          <w:noProof/>
        </w:rPr>
        <w:t xml:space="preserve"> i</w:t>
      </w:r>
      <w:r>
        <w:rPr>
          <w:noProof/>
        </w:rPr>
        <w:t> </w:t>
      </w:r>
      <w:r w:rsidRPr="00853D04">
        <w:rPr>
          <w:noProof/>
        </w:rPr>
        <w:t>inf</w:t>
      </w:r>
      <w:r w:rsidR="00A13492" w:rsidRPr="00853D04">
        <w:rPr>
          <w:noProof/>
        </w:rPr>
        <w:t>ormacji przekazanych</w:t>
      </w:r>
      <w:r w:rsidRPr="00853D04">
        <w:rPr>
          <w:noProof/>
        </w:rPr>
        <w:t xml:space="preserve"> w</w:t>
      </w:r>
      <w:r>
        <w:rPr>
          <w:noProof/>
        </w:rPr>
        <w:t> </w:t>
      </w:r>
      <w:r w:rsidRPr="00853D04">
        <w:rPr>
          <w:noProof/>
        </w:rPr>
        <w:t>odp</w:t>
      </w:r>
      <w:r w:rsidR="00A13492" w:rsidRPr="00853D04">
        <w:rPr>
          <w:noProof/>
        </w:rPr>
        <w:t>owiedzi na tę decyzję, że cele opisane</w:t>
      </w:r>
      <w:r w:rsidRPr="00853D04">
        <w:rPr>
          <w:noProof/>
        </w:rPr>
        <w:t xml:space="preserve"> w</w:t>
      </w:r>
      <w:r>
        <w:rPr>
          <w:noProof/>
        </w:rPr>
        <w:t> </w:t>
      </w:r>
      <w:r w:rsidRPr="00853D04">
        <w:rPr>
          <w:noProof/>
        </w:rPr>
        <w:t>sta</w:t>
      </w:r>
      <w:r w:rsidR="00A13492" w:rsidRPr="00853D04">
        <w:rPr>
          <w:noProof/>
        </w:rPr>
        <w:t>tucie europejskiego stowarzyszenia transgranicznego byłyby sprzeczne</w:t>
      </w:r>
      <w:r w:rsidRPr="00853D04">
        <w:rPr>
          <w:noProof/>
        </w:rPr>
        <w:t xml:space="preserve"> z</w:t>
      </w:r>
      <w:r>
        <w:rPr>
          <w:noProof/>
        </w:rPr>
        <w:t> </w:t>
      </w:r>
      <w:r w:rsidRPr="00853D04">
        <w:rPr>
          <w:noProof/>
        </w:rPr>
        <w:t>pra</w:t>
      </w:r>
      <w:r w:rsidR="00A13492" w:rsidRPr="00853D04">
        <w:rPr>
          <w:noProof/>
        </w:rPr>
        <w:t>wem Unii lub przepisami prawa krajowego zgodnymi</w:t>
      </w:r>
      <w:r w:rsidRPr="00853D04">
        <w:rPr>
          <w:noProof/>
        </w:rPr>
        <w:t xml:space="preserve"> z</w:t>
      </w:r>
      <w:r>
        <w:rPr>
          <w:noProof/>
        </w:rPr>
        <w:t> </w:t>
      </w:r>
      <w:r w:rsidRPr="00853D04">
        <w:rPr>
          <w:noProof/>
        </w:rPr>
        <w:t>pra</w:t>
      </w:r>
      <w:r w:rsidR="00A13492" w:rsidRPr="00853D04">
        <w:rPr>
          <w:noProof/>
        </w:rPr>
        <w:t>wem Unii;</w:t>
      </w:r>
    </w:p>
    <w:p w14:paraId="7340B69D" w14:textId="4C4B5D11" w:rsidR="003A2EB4" w:rsidRPr="00853D04" w:rsidRDefault="00C13C75" w:rsidP="00C13C75">
      <w:pPr>
        <w:pStyle w:val="Point1"/>
        <w:rPr>
          <w:noProof/>
        </w:rPr>
      </w:pPr>
      <w:r>
        <w:rPr>
          <w:noProof/>
        </w:rPr>
        <w:t>e)</w:t>
      </w:r>
      <w:r>
        <w:rPr>
          <w:noProof/>
        </w:rPr>
        <w:tab/>
      </w:r>
      <w:r w:rsidR="000517D8" w:rsidRPr="00853D04">
        <w:rPr>
          <w:noProof/>
        </w:rPr>
        <w:t>osoba upoważniona do reprezentowania europejskiego stowarzyszenia transgranicznego,</w:t>
      </w:r>
      <w:r w:rsidRPr="00853D04">
        <w:rPr>
          <w:noProof/>
        </w:rPr>
        <w:t xml:space="preserve"> o</w:t>
      </w:r>
      <w:r>
        <w:rPr>
          <w:noProof/>
        </w:rPr>
        <w:t> </w:t>
      </w:r>
      <w:r w:rsidRPr="00853D04">
        <w:rPr>
          <w:noProof/>
        </w:rPr>
        <w:t>któ</w:t>
      </w:r>
      <w:r w:rsidR="000517D8" w:rsidRPr="00853D04">
        <w:rPr>
          <w:noProof/>
        </w:rPr>
        <w:t>rej mowa</w:t>
      </w:r>
      <w:r w:rsidRPr="00853D04">
        <w:rPr>
          <w:noProof/>
        </w:rPr>
        <w:t xml:space="preserve"> w</w:t>
      </w:r>
      <w:r>
        <w:rPr>
          <w:noProof/>
        </w:rPr>
        <w:t> </w:t>
      </w:r>
      <w:r w:rsidRPr="00C13C75">
        <w:rPr>
          <w:noProof/>
        </w:rPr>
        <w:t>art</w:t>
      </w:r>
      <w:r w:rsidR="000517D8" w:rsidRPr="00C13C75">
        <w:rPr>
          <w:noProof/>
        </w:rPr>
        <w:t>.</w:t>
      </w:r>
      <w:r w:rsidRPr="00C13C75">
        <w:rPr>
          <w:noProof/>
        </w:rPr>
        <w:t> </w:t>
      </w:r>
      <w:r w:rsidR="000517D8" w:rsidRPr="00C13C75">
        <w:rPr>
          <w:noProof/>
        </w:rPr>
        <w:t>1</w:t>
      </w:r>
      <w:r w:rsidR="000517D8" w:rsidRPr="00853D04">
        <w:rPr>
          <w:noProof/>
        </w:rPr>
        <w:t xml:space="preserve">8 </w:t>
      </w:r>
      <w:r w:rsidR="000517D8" w:rsidRPr="00C13C75">
        <w:rPr>
          <w:noProof/>
        </w:rPr>
        <w:t>ust.</w:t>
      </w:r>
      <w:r w:rsidRPr="00C13C75">
        <w:rPr>
          <w:noProof/>
        </w:rPr>
        <w:t> </w:t>
      </w:r>
      <w:r w:rsidR="000517D8" w:rsidRPr="00C13C75">
        <w:rPr>
          <w:noProof/>
        </w:rPr>
        <w:t>1</w:t>
      </w:r>
      <w:r w:rsidR="000517D8" w:rsidRPr="00853D04">
        <w:rPr>
          <w:noProof/>
        </w:rPr>
        <w:t xml:space="preserve"> </w:t>
      </w:r>
      <w:r w:rsidR="000517D8" w:rsidRPr="00C13C75">
        <w:rPr>
          <w:noProof/>
        </w:rPr>
        <w:t>lit.</w:t>
      </w:r>
      <w:r w:rsidRPr="00C13C75">
        <w:rPr>
          <w:noProof/>
        </w:rPr>
        <w:t> </w:t>
      </w:r>
      <w:r w:rsidR="000517D8" w:rsidRPr="00C13C75">
        <w:rPr>
          <w:noProof/>
        </w:rPr>
        <w:t>d)</w:t>
      </w:r>
      <w:r w:rsidR="000517D8" w:rsidRPr="00853D04">
        <w:rPr>
          <w:noProof/>
        </w:rPr>
        <w:t>, lub członek organu wykonawczego zostali skazani za szczególnie poważne przestępstwo.</w:t>
      </w:r>
    </w:p>
    <w:p w14:paraId="72555E1C" w14:textId="457EF53B" w:rsidR="007B13A7" w:rsidRPr="00C13C75" w:rsidRDefault="001B33DA" w:rsidP="00500302">
      <w:pPr>
        <w:ind w:left="850"/>
        <w:rPr>
          <w:noProof/>
        </w:rPr>
      </w:pPr>
      <w:r w:rsidRPr="00853D04">
        <w:rPr>
          <w:noProof/>
        </w:rPr>
        <w:t>Decyzja</w:t>
      </w:r>
      <w:r w:rsidR="00C13C75" w:rsidRPr="00853D04">
        <w:rPr>
          <w:noProof/>
        </w:rPr>
        <w:t xml:space="preserve"> o</w:t>
      </w:r>
      <w:r w:rsidR="00C13C75">
        <w:rPr>
          <w:noProof/>
        </w:rPr>
        <w:t> </w:t>
      </w:r>
      <w:r w:rsidR="00C13C75" w:rsidRPr="00853D04">
        <w:rPr>
          <w:noProof/>
        </w:rPr>
        <w:t>odm</w:t>
      </w:r>
      <w:r w:rsidRPr="00853D04">
        <w:rPr>
          <w:noProof/>
        </w:rPr>
        <w:t>owie rejestracji musi być pisemna, należycie uzasadniona</w:t>
      </w:r>
      <w:r w:rsidR="00C13C75" w:rsidRPr="00853D04">
        <w:rPr>
          <w:noProof/>
        </w:rPr>
        <w:t xml:space="preserve"> i</w:t>
      </w:r>
      <w:r w:rsidR="00C13C75">
        <w:rPr>
          <w:noProof/>
        </w:rPr>
        <w:t> </w:t>
      </w:r>
      <w:r w:rsidR="00C13C75" w:rsidRPr="00853D04">
        <w:rPr>
          <w:noProof/>
        </w:rPr>
        <w:t>ski</w:t>
      </w:r>
      <w:r w:rsidRPr="00853D04">
        <w:rPr>
          <w:noProof/>
        </w:rPr>
        <w:t>erowana do osoby upoważnionej do reprezentowania europejskiego stowarzyszenia transgranicznego,</w:t>
      </w:r>
      <w:r w:rsidR="00C13C75" w:rsidRPr="00853D04">
        <w:rPr>
          <w:noProof/>
        </w:rPr>
        <w:t xml:space="preserve"> o</w:t>
      </w:r>
      <w:r w:rsidR="00C13C75">
        <w:rPr>
          <w:noProof/>
        </w:rPr>
        <w:t> </w:t>
      </w:r>
      <w:r w:rsidR="00C13C75" w:rsidRPr="00853D04">
        <w:rPr>
          <w:noProof/>
        </w:rPr>
        <w:t>któ</w:t>
      </w:r>
      <w:r w:rsidRPr="00853D04">
        <w:rPr>
          <w:noProof/>
        </w:rPr>
        <w:t>rej mowa</w:t>
      </w:r>
      <w:r w:rsidR="00C13C75" w:rsidRPr="00853D04">
        <w:rPr>
          <w:noProof/>
        </w:rPr>
        <w:t xml:space="preserve"> w</w:t>
      </w:r>
      <w:r w:rsidR="00C13C75">
        <w:rPr>
          <w:noProof/>
        </w:rPr>
        <w:t> </w:t>
      </w:r>
      <w:r w:rsidR="00C13C75" w:rsidRPr="00C13C75">
        <w:rPr>
          <w:noProof/>
        </w:rPr>
        <w:t>art</w:t>
      </w:r>
      <w:r w:rsidRPr="00C13C75">
        <w:rPr>
          <w:noProof/>
        </w:rPr>
        <w:t>.</w:t>
      </w:r>
      <w:r w:rsidR="00C13C75" w:rsidRPr="00C13C75">
        <w:rPr>
          <w:noProof/>
        </w:rPr>
        <w:t> </w:t>
      </w:r>
      <w:r w:rsidRPr="00C13C75">
        <w:rPr>
          <w:noProof/>
        </w:rPr>
        <w:t>1</w:t>
      </w:r>
      <w:r w:rsidRPr="00853D04">
        <w:rPr>
          <w:noProof/>
        </w:rPr>
        <w:t xml:space="preserve">8 </w:t>
      </w:r>
      <w:r w:rsidRPr="00C13C75">
        <w:rPr>
          <w:noProof/>
        </w:rPr>
        <w:t>ust.</w:t>
      </w:r>
      <w:r w:rsidR="00C13C75" w:rsidRPr="00C13C75">
        <w:rPr>
          <w:noProof/>
        </w:rPr>
        <w:t> </w:t>
      </w:r>
      <w:r w:rsidRPr="00C13C75">
        <w:rPr>
          <w:noProof/>
        </w:rPr>
        <w:t>1</w:t>
      </w:r>
      <w:r w:rsidRPr="00853D04">
        <w:rPr>
          <w:noProof/>
        </w:rPr>
        <w:t xml:space="preserve"> </w:t>
      </w:r>
      <w:r w:rsidRPr="00C13C75">
        <w:rPr>
          <w:noProof/>
        </w:rPr>
        <w:t>lit.</w:t>
      </w:r>
      <w:r w:rsidR="00C13C75" w:rsidRPr="00C13C75">
        <w:rPr>
          <w:noProof/>
        </w:rPr>
        <w:t> </w:t>
      </w:r>
      <w:r w:rsidRPr="00C13C75">
        <w:rPr>
          <w:noProof/>
        </w:rPr>
        <w:t>d).</w:t>
      </w:r>
      <w:r w:rsidR="00C13C75" w:rsidRPr="00C13C75">
        <w:rPr>
          <w:noProof/>
        </w:rPr>
        <w:t xml:space="preserve"> </w:t>
      </w:r>
    </w:p>
    <w:p w14:paraId="50085334" w14:textId="0F815E04" w:rsidR="00141B35" w:rsidRPr="00853D04" w:rsidRDefault="008D78F5" w:rsidP="008D78F5">
      <w:pPr>
        <w:pStyle w:val="ManualNumPar1"/>
        <w:rPr>
          <w:noProof/>
        </w:rPr>
      </w:pPr>
      <w:r w:rsidRPr="008D78F5">
        <w:t>5.</w:t>
      </w:r>
      <w:r w:rsidRPr="008D78F5">
        <w:tab/>
      </w:r>
      <w:r w:rsidR="00141B35" w:rsidRPr="00853D04">
        <w:rPr>
          <w:noProof/>
        </w:rPr>
        <w:t>W przypadku gdy właściwy organ podejmie decyzję</w:t>
      </w:r>
      <w:r w:rsidR="00C13C75" w:rsidRPr="00853D04">
        <w:rPr>
          <w:noProof/>
        </w:rPr>
        <w:t xml:space="preserve"> o</w:t>
      </w:r>
      <w:r w:rsidR="00C13C75">
        <w:rPr>
          <w:noProof/>
        </w:rPr>
        <w:t> </w:t>
      </w:r>
      <w:r w:rsidR="00C13C75" w:rsidRPr="00853D04">
        <w:rPr>
          <w:noProof/>
        </w:rPr>
        <w:t>odr</w:t>
      </w:r>
      <w:r w:rsidR="00141B35" w:rsidRPr="00853D04">
        <w:rPr>
          <w:noProof/>
        </w:rPr>
        <w:t>zuceniu wniosku lub nie podejmie decyzji</w:t>
      </w:r>
      <w:r w:rsidR="00C13C75" w:rsidRPr="00853D04">
        <w:rPr>
          <w:noProof/>
        </w:rPr>
        <w:t xml:space="preserve"> w</w:t>
      </w:r>
      <w:r w:rsidR="00C13C75">
        <w:rPr>
          <w:noProof/>
        </w:rPr>
        <w:t> </w:t>
      </w:r>
      <w:r w:rsidR="00C13C75" w:rsidRPr="00853D04">
        <w:rPr>
          <w:noProof/>
        </w:rPr>
        <w:t>ter</w:t>
      </w:r>
      <w:r w:rsidR="00141B35" w:rsidRPr="00853D04">
        <w:rPr>
          <w:noProof/>
        </w:rPr>
        <w:t>minie 30 dni od złożenia kompletnego wniosku, państwa członkowskie zapewniają, aby taka decyzja lub brak wydania takiej decyzji podlegały skutecznej kontroli sądowej.</w:t>
      </w:r>
    </w:p>
    <w:p w14:paraId="6A6CD59E" w14:textId="77777777" w:rsidR="00141B35" w:rsidRPr="00853D04" w:rsidRDefault="00141B35" w:rsidP="00141B35">
      <w:pPr>
        <w:pStyle w:val="Titrearticle"/>
        <w:rPr>
          <w:noProof/>
        </w:rPr>
      </w:pPr>
      <w:r w:rsidRPr="00853D04">
        <w:rPr>
          <w:noProof/>
        </w:rPr>
        <w:t>Artykuł 20</w:t>
      </w:r>
    </w:p>
    <w:p w14:paraId="6C4C0588" w14:textId="77777777" w:rsidR="00141B35" w:rsidRPr="00853D04" w:rsidRDefault="00BE732D" w:rsidP="00141B35">
      <w:pPr>
        <w:pStyle w:val="Titrearticle"/>
        <w:rPr>
          <w:noProof/>
        </w:rPr>
      </w:pPr>
      <w:r w:rsidRPr="00853D04">
        <w:rPr>
          <w:noProof/>
        </w:rPr>
        <w:t xml:space="preserve">Rejestr </w:t>
      </w:r>
    </w:p>
    <w:p w14:paraId="3B7D2B44" w14:textId="48480F57" w:rsidR="00141B35" w:rsidRPr="00853D04" w:rsidRDefault="008D78F5" w:rsidP="008D78F5">
      <w:pPr>
        <w:pStyle w:val="ManualNumPar1"/>
        <w:rPr>
          <w:noProof/>
        </w:rPr>
      </w:pPr>
      <w:r w:rsidRPr="008D78F5">
        <w:t>1.</w:t>
      </w:r>
      <w:r w:rsidRPr="008D78F5">
        <w:tab/>
      </w:r>
      <w:r w:rsidR="009C7989" w:rsidRPr="00853D04">
        <w:rPr>
          <w:noProof/>
        </w:rPr>
        <w:t>Każde państwo członkowskie ustanawia rejestr na potrzeby rejestracji europejskich stowarzyszeń transgranicznych zgodnie</w:t>
      </w:r>
      <w:r w:rsidR="00C13C75" w:rsidRPr="00853D04">
        <w:rPr>
          <w:noProof/>
        </w:rPr>
        <w:t xml:space="preserve"> z</w:t>
      </w:r>
      <w:r w:rsidR="00C13C75">
        <w:rPr>
          <w:noProof/>
        </w:rPr>
        <w:t> </w:t>
      </w:r>
      <w:r w:rsidR="00C13C75" w:rsidRPr="00C13C75">
        <w:rPr>
          <w:noProof/>
        </w:rPr>
        <w:t>art</w:t>
      </w:r>
      <w:r w:rsidR="009C7989" w:rsidRPr="00C13C75">
        <w:rPr>
          <w:noProof/>
        </w:rPr>
        <w:t>.</w:t>
      </w:r>
      <w:r w:rsidR="00C13C75" w:rsidRPr="00C13C75">
        <w:rPr>
          <w:noProof/>
        </w:rPr>
        <w:t> </w:t>
      </w:r>
      <w:r w:rsidR="009C7989" w:rsidRPr="00C13C75">
        <w:rPr>
          <w:noProof/>
        </w:rPr>
        <w:t>1</w:t>
      </w:r>
      <w:r w:rsidR="009C7989" w:rsidRPr="00853D04">
        <w:rPr>
          <w:noProof/>
        </w:rPr>
        <w:t xml:space="preserve">9. </w:t>
      </w:r>
    </w:p>
    <w:p w14:paraId="4BF1A918" w14:textId="44C15789" w:rsidR="00D5693A" w:rsidRPr="00853D04" w:rsidRDefault="008D78F5" w:rsidP="008D78F5">
      <w:pPr>
        <w:pStyle w:val="ManualNumPar1"/>
        <w:rPr>
          <w:noProof/>
        </w:rPr>
      </w:pPr>
      <w:r w:rsidRPr="008D78F5">
        <w:t>2.</w:t>
      </w:r>
      <w:r w:rsidRPr="008D78F5">
        <w:tab/>
      </w:r>
      <w:r w:rsidR="00D5693A" w:rsidRPr="00853D04">
        <w:rPr>
          <w:noProof/>
        </w:rPr>
        <w:t>Państwa członkowskie zapewniają, aby następujące dokumenty</w:t>
      </w:r>
      <w:r w:rsidR="00C13C75" w:rsidRPr="00853D04">
        <w:rPr>
          <w:noProof/>
        </w:rPr>
        <w:t xml:space="preserve"> i</w:t>
      </w:r>
      <w:r w:rsidR="00C13C75">
        <w:rPr>
          <w:noProof/>
        </w:rPr>
        <w:t> </w:t>
      </w:r>
      <w:r w:rsidR="00C13C75" w:rsidRPr="00853D04">
        <w:rPr>
          <w:noProof/>
        </w:rPr>
        <w:t>inf</w:t>
      </w:r>
      <w:r w:rsidR="00D5693A" w:rsidRPr="00853D04">
        <w:rPr>
          <w:noProof/>
        </w:rPr>
        <w:t>ormacje były przechowywane</w:t>
      </w:r>
      <w:r w:rsidR="00C13C75" w:rsidRPr="00853D04">
        <w:rPr>
          <w:noProof/>
        </w:rPr>
        <w:t xml:space="preserve"> w</w:t>
      </w:r>
      <w:r w:rsidR="00C13C75">
        <w:rPr>
          <w:noProof/>
        </w:rPr>
        <w:t> </w:t>
      </w:r>
      <w:r w:rsidR="00C13C75" w:rsidRPr="00853D04">
        <w:rPr>
          <w:noProof/>
        </w:rPr>
        <w:t>rej</w:t>
      </w:r>
      <w:r w:rsidR="00D5693A" w:rsidRPr="00853D04">
        <w:rPr>
          <w:noProof/>
        </w:rPr>
        <w:t>estrze</w:t>
      </w:r>
      <w:r w:rsidR="00C13C75" w:rsidRPr="00853D04">
        <w:rPr>
          <w:noProof/>
        </w:rPr>
        <w:t xml:space="preserve"> i</w:t>
      </w:r>
      <w:r w:rsidR="00C13C75">
        <w:rPr>
          <w:noProof/>
        </w:rPr>
        <w:t> </w:t>
      </w:r>
      <w:r w:rsidR="00C13C75" w:rsidRPr="00853D04">
        <w:rPr>
          <w:noProof/>
        </w:rPr>
        <w:t>akt</w:t>
      </w:r>
      <w:r w:rsidR="00D5693A" w:rsidRPr="00853D04">
        <w:rPr>
          <w:noProof/>
        </w:rPr>
        <w:t>ualne:</w:t>
      </w:r>
    </w:p>
    <w:p w14:paraId="10F0CBF2" w14:textId="6C9DD6B1" w:rsidR="00D5693A" w:rsidRPr="00853D04" w:rsidRDefault="00C13C75" w:rsidP="00C13C75">
      <w:pPr>
        <w:pStyle w:val="Point1"/>
        <w:rPr>
          <w:noProof/>
        </w:rPr>
      </w:pPr>
      <w:r>
        <w:rPr>
          <w:noProof/>
        </w:rPr>
        <w:t>a)</w:t>
      </w:r>
      <w:r>
        <w:rPr>
          <w:noProof/>
        </w:rPr>
        <w:tab/>
      </w:r>
      <w:r w:rsidR="00D5693A" w:rsidRPr="00853D04">
        <w:rPr>
          <w:noProof/>
        </w:rPr>
        <w:t>statut europejskiego stowarzyszenia transgranicznego;</w:t>
      </w:r>
    </w:p>
    <w:p w14:paraId="00CCCEAC" w14:textId="66F79887" w:rsidR="008F609C" w:rsidRPr="00853D04" w:rsidRDefault="00C13C75" w:rsidP="00C13C75">
      <w:pPr>
        <w:pStyle w:val="Point1"/>
        <w:rPr>
          <w:noProof/>
        </w:rPr>
      </w:pPr>
      <w:r>
        <w:rPr>
          <w:noProof/>
        </w:rPr>
        <w:t>b)</w:t>
      </w:r>
      <w:r>
        <w:rPr>
          <w:noProof/>
        </w:rPr>
        <w:tab/>
      </w:r>
      <w:r w:rsidR="008F609C" w:rsidRPr="00853D04">
        <w:rPr>
          <w:noProof/>
        </w:rPr>
        <w:t>kopia certyfikatu europejskiego stowarzyszenia transgranicznego zgodnie</w:t>
      </w:r>
      <w:r w:rsidRPr="00853D04">
        <w:rPr>
          <w:noProof/>
        </w:rPr>
        <w:t xml:space="preserve"> z</w:t>
      </w:r>
      <w:r>
        <w:rPr>
          <w:noProof/>
        </w:rPr>
        <w:t> </w:t>
      </w:r>
      <w:r w:rsidRPr="00C13C75">
        <w:rPr>
          <w:noProof/>
        </w:rPr>
        <w:t>art</w:t>
      </w:r>
      <w:r w:rsidR="008F609C" w:rsidRPr="00C13C75">
        <w:rPr>
          <w:noProof/>
        </w:rPr>
        <w:t>.</w:t>
      </w:r>
      <w:r w:rsidRPr="00C13C75">
        <w:rPr>
          <w:noProof/>
        </w:rPr>
        <w:t> </w:t>
      </w:r>
      <w:r w:rsidR="008F609C" w:rsidRPr="00C13C75">
        <w:rPr>
          <w:noProof/>
        </w:rPr>
        <w:t>2</w:t>
      </w:r>
      <w:r w:rsidR="008F609C" w:rsidRPr="00853D04">
        <w:rPr>
          <w:noProof/>
        </w:rPr>
        <w:t>1;</w:t>
      </w:r>
    </w:p>
    <w:p w14:paraId="4C214219" w14:textId="6D9A4CEF" w:rsidR="00D5693A" w:rsidRPr="00853D04" w:rsidRDefault="00C13C75" w:rsidP="00C13C75">
      <w:pPr>
        <w:pStyle w:val="Point1"/>
        <w:rPr>
          <w:noProof/>
        </w:rPr>
      </w:pPr>
      <w:r>
        <w:rPr>
          <w:noProof/>
        </w:rPr>
        <w:t>c)</w:t>
      </w:r>
      <w:r>
        <w:rPr>
          <w:noProof/>
        </w:rPr>
        <w:tab/>
      </w:r>
      <w:r w:rsidR="00D5693A" w:rsidRPr="00853D04">
        <w:rPr>
          <w:noProof/>
        </w:rPr>
        <w:t>imiona</w:t>
      </w:r>
      <w:r w:rsidRPr="00853D04">
        <w:rPr>
          <w:noProof/>
        </w:rPr>
        <w:t xml:space="preserve"> i</w:t>
      </w:r>
      <w:r>
        <w:rPr>
          <w:noProof/>
        </w:rPr>
        <w:t> </w:t>
      </w:r>
      <w:r w:rsidRPr="00853D04">
        <w:rPr>
          <w:noProof/>
        </w:rPr>
        <w:t>naz</w:t>
      </w:r>
      <w:r w:rsidR="00D5693A" w:rsidRPr="00853D04">
        <w:rPr>
          <w:noProof/>
        </w:rPr>
        <w:t>wiska oraz adresy,</w:t>
      </w:r>
      <w:r w:rsidRPr="00853D04">
        <w:rPr>
          <w:noProof/>
        </w:rPr>
        <w:t xml:space="preserve"> a</w:t>
      </w:r>
      <w:r>
        <w:rPr>
          <w:noProof/>
        </w:rPr>
        <w:t> </w:t>
      </w:r>
      <w:r w:rsidRPr="00853D04">
        <w:rPr>
          <w:noProof/>
        </w:rPr>
        <w:t>tak</w:t>
      </w:r>
      <w:r w:rsidR="00D5693A" w:rsidRPr="00853D04">
        <w:rPr>
          <w:noProof/>
        </w:rPr>
        <w:t>że wszelkie inne informacje niezbędne zgodnie</w:t>
      </w:r>
      <w:r w:rsidRPr="00853D04">
        <w:rPr>
          <w:noProof/>
        </w:rPr>
        <w:t xml:space="preserve"> z</w:t>
      </w:r>
      <w:r>
        <w:rPr>
          <w:noProof/>
        </w:rPr>
        <w:t> </w:t>
      </w:r>
      <w:r w:rsidRPr="00853D04">
        <w:rPr>
          <w:noProof/>
        </w:rPr>
        <w:t>maj</w:t>
      </w:r>
      <w:r w:rsidR="00D5693A" w:rsidRPr="00853D04">
        <w:rPr>
          <w:noProof/>
        </w:rPr>
        <w:t>ącym zastosowanie prawem krajowym do identyfikacji osób upoważnionych do reprezentowania europejskiego stowarzyszenia transgranicznego wobec osób trzecich</w:t>
      </w:r>
      <w:r w:rsidRPr="00853D04">
        <w:rPr>
          <w:noProof/>
        </w:rPr>
        <w:t xml:space="preserve"> i</w:t>
      </w:r>
      <w:r>
        <w:rPr>
          <w:noProof/>
        </w:rPr>
        <w:t> </w:t>
      </w:r>
      <w:r w:rsidRPr="00853D04">
        <w:rPr>
          <w:noProof/>
        </w:rPr>
        <w:t>w</w:t>
      </w:r>
      <w:r>
        <w:rPr>
          <w:noProof/>
        </w:rPr>
        <w:t> </w:t>
      </w:r>
      <w:r w:rsidRPr="00853D04">
        <w:rPr>
          <w:noProof/>
        </w:rPr>
        <w:t>pos</w:t>
      </w:r>
      <w:r w:rsidR="00D5693A" w:rsidRPr="00853D04">
        <w:rPr>
          <w:noProof/>
        </w:rPr>
        <w:t>tępowaniach sądowych oraz wskazanie</w:t>
      </w:r>
      <w:r w:rsidR="003369EE">
        <w:rPr>
          <w:noProof/>
        </w:rPr>
        <w:t>,</w:t>
      </w:r>
      <w:r w:rsidR="00D5693A" w:rsidRPr="00853D04">
        <w:rPr>
          <w:noProof/>
        </w:rPr>
        <w:t xml:space="preserve"> czy osoby te mogą reprezentować stowarzyszenie samodzielnie, czy też muszą działać wspólnie;</w:t>
      </w:r>
    </w:p>
    <w:p w14:paraId="32F199F7" w14:textId="63ED34FE" w:rsidR="00D5693A" w:rsidRPr="00853D04" w:rsidRDefault="00C13C75" w:rsidP="00C13C75">
      <w:pPr>
        <w:pStyle w:val="Point1"/>
        <w:rPr>
          <w:noProof/>
        </w:rPr>
      </w:pPr>
      <w:r>
        <w:rPr>
          <w:noProof/>
        </w:rPr>
        <w:t>d)</w:t>
      </w:r>
      <w:r>
        <w:rPr>
          <w:noProof/>
        </w:rPr>
        <w:tab/>
      </w:r>
      <w:r w:rsidR="00AE2890" w:rsidRPr="00853D04">
        <w:rPr>
          <w:noProof/>
        </w:rPr>
        <w:t>likwidacja</w:t>
      </w:r>
      <w:r w:rsidRPr="00853D04">
        <w:rPr>
          <w:noProof/>
        </w:rPr>
        <w:t xml:space="preserve"> i</w:t>
      </w:r>
      <w:r>
        <w:rPr>
          <w:noProof/>
        </w:rPr>
        <w:t> </w:t>
      </w:r>
      <w:r w:rsidRPr="00853D04">
        <w:rPr>
          <w:noProof/>
        </w:rPr>
        <w:t>roz</w:t>
      </w:r>
      <w:r w:rsidR="00AE2890" w:rsidRPr="00853D04">
        <w:rPr>
          <w:noProof/>
        </w:rPr>
        <w:t>wiązanie europejskiego stowarzyszenia transgranicznego.</w:t>
      </w:r>
    </w:p>
    <w:p w14:paraId="79AC78B6" w14:textId="3981D47B" w:rsidR="00141B35" w:rsidRPr="00853D04" w:rsidRDefault="008D78F5" w:rsidP="008D78F5">
      <w:pPr>
        <w:pStyle w:val="ManualNumPar1"/>
        <w:rPr>
          <w:noProof/>
        </w:rPr>
      </w:pPr>
      <w:r w:rsidRPr="008D78F5">
        <w:t>3.</w:t>
      </w:r>
      <w:r w:rsidRPr="008D78F5">
        <w:tab/>
      </w:r>
      <w:r w:rsidR="00141B35" w:rsidRPr="00853D04">
        <w:rPr>
          <w:noProof/>
        </w:rPr>
        <w:t>Państwa członkowskie zapewniają, aby zarejestrowane europejskie stowarzyszenia transgraniczne powiadamiały właściwy organ ich państwa członkowskiego pochodzenia</w:t>
      </w:r>
      <w:r w:rsidR="00C13C75" w:rsidRPr="00853D04">
        <w:rPr>
          <w:noProof/>
        </w:rPr>
        <w:t xml:space="preserve"> o</w:t>
      </w:r>
      <w:r w:rsidR="00C13C75">
        <w:rPr>
          <w:noProof/>
        </w:rPr>
        <w:t> </w:t>
      </w:r>
      <w:r w:rsidR="00C13C75" w:rsidRPr="00853D04">
        <w:rPr>
          <w:noProof/>
        </w:rPr>
        <w:t>zmi</w:t>
      </w:r>
      <w:r w:rsidR="00141B35" w:rsidRPr="00853D04">
        <w:rPr>
          <w:noProof/>
        </w:rPr>
        <w:t>anach</w:t>
      </w:r>
      <w:r w:rsidR="00C13C75" w:rsidRPr="00853D04">
        <w:rPr>
          <w:noProof/>
        </w:rPr>
        <w:t xml:space="preserve"> w</w:t>
      </w:r>
      <w:r w:rsidR="00C13C75">
        <w:rPr>
          <w:noProof/>
        </w:rPr>
        <w:t> </w:t>
      </w:r>
      <w:r w:rsidR="00C13C75" w:rsidRPr="00853D04">
        <w:rPr>
          <w:noProof/>
        </w:rPr>
        <w:t>inf</w:t>
      </w:r>
      <w:r w:rsidR="00141B35" w:rsidRPr="00853D04">
        <w:rPr>
          <w:noProof/>
        </w:rPr>
        <w:t>ormacjach przechowywanych</w:t>
      </w:r>
      <w:r w:rsidR="00C13C75" w:rsidRPr="00853D04">
        <w:rPr>
          <w:noProof/>
        </w:rPr>
        <w:t xml:space="preserve"> w</w:t>
      </w:r>
      <w:r w:rsidR="00C13C75">
        <w:rPr>
          <w:noProof/>
        </w:rPr>
        <w:t> </w:t>
      </w:r>
      <w:r w:rsidR="00C13C75" w:rsidRPr="00853D04">
        <w:rPr>
          <w:noProof/>
        </w:rPr>
        <w:t>rej</w:t>
      </w:r>
      <w:r w:rsidR="00141B35" w:rsidRPr="00853D04">
        <w:rPr>
          <w:noProof/>
        </w:rPr>
        <w:t>estrze</w:t>
      </w:r>
      <w:r w:rsidR="00C13C75" w:rsidRPr="00853D04">
        <w:rPr>
          <w:noProof/>
        </w:rPr>
        <w:t xml:space="preserve"> w</w:t>
      </w:r>
      <w:r w:rsidR="00C13C75">
        <w:rPr>
          <w:noProof/>
        </w:rPr>
        <w:t> </w:t>
      </w:r>
      <w:r w:rsidR="00C13C75" w:rsidRPr="00853D04">
        <w:rPr>
          <w:noProof/>
        </w:rPr>
        <w:t>ter</w:t>
      </w:r>
      <w:r w:rsidR="00141B35" w:rsidRPr="00853D04">
        <w:rPr>
          <w:noProof/>
        </w:rPr>
        <w:t>minie 30 dni od takiej zmiany.</w:t>
      </w:r>
    </w:p>
    <w:p w14:paraId="689FD21B" w14:textId="426861EF" w:rsidR="00A93E72" w:rsidRPr="00853D04" w:rsidRDefault="008D78F5" w:rsidP="008D78F5">
      <w:pPr>
        <w:pStyle w:val="ManualNumPar1"/>
        <w:rPr>
          <w:noProof/>
        </w:rPr>
      </w:pPr>
      <w:r w:rsidRPr="008D78F5">
        <w:t>4.</w:t>
      </w:r>
      <w:r w:rsidRPr="008D78F5">
        <w:tab/>
      </w:r>
      <w:r w:rsidR="00141B35" w:rsidRPr="00853D04">
        <w:rPr>
          <w:noProof/>
        </w:rPr>
        <w:t>Państwo członkowskie zapewnia, aby następujące informacje były publicznie dostępne</w:t>
      </w:r>
      <w:r w:rsidR="00C13C75" w:rsidRPr="00853D04">
        <w:rPr>
          <w:noProof/>
        </w:rPr>
        <w:t xml:space="preserve"> w</w:t>
      </w:r>
      <w:r w:rsidR="00C13C75">
        <w:rPr>
          <w:noProof/>
        </w:rPr>
        <w:t> </w:t>
      </w:r>
      <w:r w:rsidR="00C13C75" w:rsidRPr="00853D04">
        <w:rPr>
          <w:noProof/>
        </w:rPr>
        <w:t>int</w:t>
      </w:r>
      <w:r w:rsidR="00141B35" w:rsidRPr="00853D04">
        <w:rPr>
          <w:noProof/>
        </w:rPr>
        <w:t>ernetowym rejestrze:</w:t>
      </w:r>
    </w:p>
    <w:p w14:paraId="564C368A" w14:textId="3FE71A96" w:rsidR="00A93E72" w:rsidRPr="00853D04" w:rsidRDefault="00C13C75" w:rsidP="00C13C75">
      <w:pPr>
        <w:pStyle w:val="Point1"/>
        <w:rPr>
          <w:noProof/>
        </w:rPr>
      </w:pPr>
      <w:r>
        <w:rPr>
          <w:noProof/>
        </w:rPr>
        <w:t>a)</w:t>
      </w:r>
      <w:r>
        <w:rPr>
          <w:noProof/>
        </w:rPr>
        <w:tab/>
      </w:r>
      <w:r w:rsidR="00A93E72" w:rsidRPr="00853D04">
        <w:rPr>
          <w:noProof/>
        </w:rPr>
        <w:t>certyfikat europejskiego stowarzyszenia transgranicznego zgodnie</w:t>
      </w:r>
      <w:r w:rsidRPr="00853D04">
        <w:rPr>
          <w:noProof/>
        </w:rPr>
        <w:t xml:space="preserve"> z</w:t>
      </w:r>
      <w:r>
        <w:rPr>
          <w:noProof/>
        </w:rPr>
        <w:t> </w:t>
      </w:r>
      <w:r w:rsidRPr="00C13C75">
        <w:rPr>
          <w:noProof/>
        </w:rPr>
        <w:t>art</w:t>
      </w:r>
      <w:r w:rsidR="00A93E72" w:rsidRPr="00C13C75">
        <w:rPr>
          <w:noProof/>
        </w:rPr>
        <w:t>.</w:t>
      </w:r>
      <w:r w:rsidRPr="00C13C75">
        <w:rPr>
          <w:noProof/>
        </w:rPr>
        <w:t> </w:t>
      </w:r>
      <w:r w:rsidR="00A93E72" w:rsidRPr="00C13C75">
        <w:rPr>
          <w:noProof/>
        </w:rPr>
        <w:t>2</w:t>
      </w:r>
      <w:r w:rsidR="00A93E72" w:rsidRPr="00853D04">
        <w:rPr>
          <w:noProof/>
        </w:rPr>
        <w:t>1;</w:t>
      </w:r>
    </w:p>
    <w:p w14:paraId="44D53914" w14:textId="5EABF951" w:rsidR="00AC03DB" w:rsidRPr="00853D04" w:rsidRDefault="00C13C75" w:rsidP="00C13C75">
      <w:pPr>
        <w:pStyle w:val="Point1"/>
        <w:rPr>
          <w:noProof/>
        </w:rPr>
      </w:pPr>
      <w:r>
        <w:rPr>
          <w:noProof/>
        </w:rPr>
        <w:t>b)</w:t>
      </w:r>
      <w:r>
        <w:rPr>
          <w:noProof/>
        </w:rPr>
        <w:tab/>
      </w:r>
      <w:r w:rsidR="00900394" w:rsidRPr="00853D04">
        <w:rPr>
          <w:noProof/>
        </w:rPr>
        <w:t>likwidacja europejskiego stowarzyszenia transgranicznego;</w:t>
      </w:r>
    </w:p>
    <w:p w14:paraId="42FB9227" w14:textId="1242D2D1" w:rsidR="00846FDF" w:rsidRPr="00853D04" w:rsidRDefault="00C13C75" w:rsidP="00C13C75">
      <w:pPr>
        <w:pStyle w:val="Point1"/>
        <w:rPr>
          <w:noProof/>
        </w:rPr>
      </w:pPr>
      <w:r>
        <w:rPr>
          <w:noProof/>
        </w:rPr>
        <w:t>c)</w:t>
      </w:r>
      <w:r>
        <w:rPr>
          <w:noProof/>
        </w:rPr>
        <w:tab/>
      </w:r>
      <w:r w:rsidR="00887C19" w:rsidRPr="00853D04">
        <w:rPr>
          <w:noProof/>
        </w:rPr>
        <w:t>rozwiązanie europejskiego stowarzyszenia transgranicznego.</w:t>
      </w:r>
    </w:p>
    <w:p w14:paraId="4822AC7F" w14:textId="63189DBE" w:rsidR="009C70E0" w:rsidRPr="00853D04" w:rsidRDefault="008D78F5" w:rsidP="008D78F5">
      <w:pPr>
        <w:pStyle w:val="ManualNumPar1"/>
        <w:rPr>
          <w:noProof/>
        </w:rPr>
      </w:pPr>
      <w:r w:rsidRPr="008D78F5">
        <w:t>5.</w:t>
      </w:r>
      <w:r w:rsidRPr="008D78F5">
        <w:tab/>
      </w:r>
      <w:r w:rsidR="009C70E0" w:rsidRPr="00853D04">
        <w:rPr>
          <w:noProof/>
        </w:rPr>
        <w:t>Państwa członkowskie zapewniają, aby dokumenty</w:t>
      </w:r>
      <w:r w:rsidR="00C13C75" w:rsidRPr="00853D04">
        <w:rPr>
          <w:noProof/>
        </w:rPr>
        <w:t xml:space="preserve"> i</w:t>
      </w:r>
      <w:r w:rsidR="00C13C75">
        <w:rPr>
          <w:noProof/>
        </w:rPr>
        <w:t> </w:t>
      </w:r>
      <w:r w:rsidR="00C13C75" w:rsidRPr="00853D04">
        <w:rPr>
          <w:noProof/>
        </w:rPr>
        <w:t>inf</w:t>
      </w:r>
      <w:r w:rsidR="009C70E0" w:rsidRPr="00853D04">
        <w:rPr>
          <w:noProof/>
        </w:rPr>
        <w:t>ormacje,</w:t>
      </w:r>
      <w:r w:rsidR="00C13C75" w:rsidRPr="00853D04">
        <w:rPr>
          <w:noProof/>
        </w:rPr>
        <w:t xml:space="preserve"> o</w:t>
      </w:r>
      <w:r w:rsidR="00C13C75">
        <w:rPr>
          <w:noProof/>
        </w:rPr>
        <w:t> </w:t>
      </w:r>
      <w:r w:rsidR="00C13C75" w:rsidRPr="00853D04">
        <w:rPr>
          <w:noProof/>
        </w:rPr>
        <w:t>któ</w:t>
      </w:r>
      <w:r w:rsidR="009C70E0" w:rsidRPr="00853D04">
        <w:rPr>
          <w:noProof/>
        </w:rPr>
        <w:t>rych mowa</w:t>
      </w:r>
      <w:r w:rsidR="00C13C75" w:rsidRPr="00853D04">
        <w:rPr>
          <w:noProof/>
        </w:rPr>
        <w:t xml:space="preserve"> w</w:t>
      </w:r>
      <w:r w:rsidR="00C13C75">
        <w:rPr>
          <w:noProof/>
        </w:rPr>
        <w:t> </w:t>
      </w:r>
      <w:r w:rsidR="00C13C75" w:rsidRPr="00C13C75">
        <w:rPr>
          <w:noProof/>
        </w:rPr>
        <w:t>ust</w:t>
      </w:r>
      <w:r w:rsidR="009C70E0" w:rsidRPr="00C13C75">
        <w:rPr>
          <w:noProof/>
        </w:rPr>
        <w:t>.</w:t>
      </w:r>
      <w:r w:rsidR="00C13C75" w:rsidRPr="00C13C75">
        <w:rPr>
          <w:noProof/>
        </w:rPr>
        <w:t> </w:t>
      </w:r>
      <w:r w:rsidR="009C70E0" w:rsidRPr="00C13C75">
        <w:rPr>
          <w:noProof/>
        </w:rPr>
        <w:t>4</w:t>
      </w:r>
      <w:r w:rsidR="009C70E0" w:rsidRPr="00853D04">
        <w:rPr>
          <w:noProof/>
        </w:rPr>
        <w:t>, nie były publicznie dostępne przez okres dłuższy niż sześć miesięcy po rozwiązaniu europejskiego stowarzyszenia transgranicznego.</w:t>
      </w:r>
    </w:p>
    <w:p w14:paraId="7540652A" w14:textId="4788B871" w:rsidR="006A3FAE" w:rsidRPr="00853D04" w:rsidRDefault="008D78F5" w:rsidP="008D78F5">
      <w:pPr>
        <w:pStyle w:val="ManualNumPar1"/>
        <w:rPr>
          <w:noProof/>
        </w:rPr>
      </w:pPr>
      <w:r w:rsidRPr="008D78F5">
        <w:t>6.</w:t>
      </w:r>
      <w:r w:rsidRPr="008D78F5">
        <w:tab/>
      </w:r>
      <w:r w:rsidR="006A3FAE" w:rsidRPr="00853D04">
        <w:rPr>
          <w:noProof/>
        </w:rPr>
        <w:t>Państwa członkowskie zapewniają, aby dane osobowe nie były przechowywane</w:t>
      </w:r>
      <w:r w:rsidR="00C13C75" w:rsidRPr="00853D04">
        <w:rPr>
          <w:noProof/>
        </w:rPr>
        <w:t xml:space="preserve"> w</w:t>
      </w:r>
      <w:r w:rsidR="00C13C75">
        <w:rPr>
          <w:noProof/>
        </w:rPr>
        <w:t> </w:t>
      </w:r>
      <w:r w:rsidR="00C13C75" w:rsidRPr="00853D04">
        <w:rPr>
          <w:noProof/>
        </w:rPr>
        <w:t>rej</w:t>
      </w:r>
      <w:r w:rsidR="006A3FAE" w:rsidRPr="00853D04">
        <w:rPr>
          <w:noProof/>
        </w:rPr>
        <w:t xml:space="preserve">estrze przez okres dłuższy niż dwa lata po rozwiązaniu europejskiego stowarzyszenia transgranicznego. </w:t>
      </w:r>
    </w:p>
    <w:p w14:paraId="42760514" w14:textId="77777777" w:rsidR="00141B35" w:rsidRPr="00853D04" w:rsidRDefault="00141B35" w:rsidP="00141B35">
      <w:pPr>
        <w:pStyle w:val="Titrearticle"/>
        <w:rPr>
          <w:noProof/>
        </w:rPr>
      </w:pPr>
      <w:r w:rsidRPr="00853D04">
        <w:rPr>
          <w:noProof/>
        </w:rPr>
        <w:t>Artykuł 21</w:t>
      </w:r>
    </w:p>
    <w:p w14:paraId="44AD9DD1" w14:textId="77777777" w:rsidR="00141B35" w:rsidRPr="00853D04" w:rsidRDefault="0013037F" w:rsidP="00141B35">
      <w:pPr>
        <w:pStyle w:val="Titrearticle"/>
        <w:rPr>
          <w:noProof/>
        </w:rPr>
      </w:pPr>
      <w:r w:rsidRPr="00853D04">
        <w:rPr>
          <w:noProof/>
        </w:rPr>
        <w:t>Treść certyfikatu europejskiego stowarzyszenia transgranicznego</w:t>
      </w:r>
    </w:p>
    <w:p w14:paraId="538C34B0" w14:textId="490B09EE" w:rsidR="00141B35" w:rsidRPr="00853D04" w:rsidRDefault="008D78F5" w:rsidP="008D78F5">
      <w:pPr>
        <w:pStyle w:val="ManualNumPar1"/>
        <w:rPr>
          <w:noProof/>
        </w:rPr>
      </w:pPr>
      <w:r w:rsidRPr="008D78F5">
        <w:t>1.</w:t>
      </w:r>
      <w:r w:rsidRPr="008D78F5">
        <w:tab/>
      </w:r>
      <w:r w:rsidR="00395917" w:rsidRPr="00853D04">
        <w:rPr>
          <w:noProof/>
        </w:rPr>
        <w:t>Państwo członkowskie zapewnia, aby właściwe organy wydały certyfikat europejskiego stowarzyszenia transgranicznego, zarówno</w:t>
      </w:r>
      <w:r w:rsidR="00C13C75" w:rsidRPr="00853D04">
        <w:rPr>
          <w:noProof/>
        </w:rPr>
        <w:t xml:space="preserve"> w</w:t>
      </w:r>
      <w:r w:rsidR="00C13C75">
        <w:rPr>
          <w:noProof/>
        </w:rPr>
        <w:t> </w:t>
      </w:r>
      <w:r w:rsidR="00C13C75" w:rsidRPr="00853D04">
        <w:rPr>
          <w:noProof/>
        </w:rPr>
        <w:t>for</w:t>
      </w:r>
      <w:r w:rsidR="00395917" w:rsidRPr="00853D04">
        <w:rPr>
          <w:noProof/>
        </w:rPr>
        <w:t>mie cyfrowej, jak</w:t>
      </w:r>
      <w:r w:rsidR="00C13C75" w:rsidRPr="00853D04">
        <w:rPr>
          <w:noProof/>
        </w:rPr>
        <w:t xml:space="preserve"> i</w:t>
      </w:r>
      <w:r w:rsidR="00C13C75">
        <w:rPr>
          <w:noProof/>
        </w:rPr>
        <w:t> </w:t>
      </w:r>
      <w:r w:rsidR="00C13C75" w:rsidRPr="00853D04">
        <w:rPr>
          <w:noProof/>
        </w:rPr>
        <w:t>pap</w:t>
      </w:r>
      <w:r w:rsidR="00395917" w:rsidRPr="00853D04">
        <w:rPr>
          <w:noProof/>
        </w:rPr>
        <w:t>ierowej,</w:t>
      </w:r>
      <w:r w:rsidR="00C13C75" w:rsidRPr="00853D04">
        <w:rPr>
          <w:noProof/>
        </w:rPr>
        <w:t xml:space="preserve"> w</w:t>
      </w:r>
      <w:r w:rsidR="00C13C75">
        <w:rPr>
          <w:noProof/>
        </w:rPr>
        <w:t> </w:t>
      </w:r>
      <w:r w:rsidR="00C13C75" w:rsidRPr="00853D04">
        <w:rPr>
          <w:noProof/>
        </w:rPr>
        <w:t>cią</w:t>
      </w:r>
      <w:r w:rsidR="00395917" w:rsidRPr="00853D04">
        <w:rPr>
          <w:noProof/>
        </w:rPr>
        <w:t>gu pięciu dni od rejestracji europejskiego stowarzyszenia transgranicznego. Państwa członkowskie zapewniają, aby certyfikat europejskiego stowarzyszenia transgranicznego był uznawany za dowód rejestracji europejskiego stowarzyszenia transgranicznego. Certyfikat europejskiego stowarzyszenia transgranicznego zawiera następujące informacje:</w:t>
      </w:r>
    </w:p>
    <w:p w14:paraId="44CE3501" w14:textId="5FBE57A1" w:rsidR="00141B35" w:rsidRPr="00853D04" w:rsidRDefault="00C13C75" w:rsidP="00C13C75">
      <w:pPr>
        <w:pStyle w:val="Point1"/>
        <w:rPr>
          <w:noProof/>
        </w:rPr>
      </w:pPr>
      <w:r>
        <w:rPr>
          <w:noProof/>
        </w:rPr>
        <w:t>a)</w:t>
      </w:r>
      <w:r>
        <w:rPr>
          <w:noProof/>
        </w:rPr>
        <w:tab/>
      </w:r>
      <w:r w:rsidR="00141B35" w:rsidRPr="00853D04">
        <w:rPr>
          <w:noProof/>
        </w:rPr>
        <w:t>niepowtarzalny numer rejestracyjny europejskiego stowarzyszenia transgranicznego oraz dwuliterowy kod państwa członkowskiego pochodzenia;</w:t>
      </w:r>
    </w:p>
    <w:p w14:paraId="35D444E0" w14:textId="0112750D" w:rsidR="00F2412A" w:rsidRPr="00853D04" w:rsidRDefault="00C13C75" w:rsidP="00C13C75">
      <w:pPr>
        <w:pStyle w:val="Point1"/>
        <w:rPr>
          <w:noProof/>
        </w:rPr>
      </w:pPr>
      <w:r>
        <w:rPr>
          <w:noProof/>
        </w:rPr>
        <w:t>b)</w:t>
      </w:r>
      <w:r>
        <w:rPr>
          <w:noProof/>
        </w:rPr>
        <w:tab/>
      </w:r>
      <w:r w:rsidR="00141B35" w:rsidRPr="00853D04">
        <w:rPr>
          <w:noProof/>
        </w:rPr>
        <w:t>datę rejestracji europejskiego stowarzyszenia transgranicznego;</w:t>
      </w:r>
    </w:p>
    <w:p w14:paraId="00C561A8" w14:textId="1BD0D791" w:rsidR="006C5C35" w:rsidRPr="00853D04" w:rsidRDefault="00C13C75" w:rsidP="00C13C75">
      <w:pPr>
        <w:pStyle w:val="Point1"/>
        <w:rPr>
          <w:noProof/>
        </w:rPr>
      </w:pPr>
      <w:r>
        <w:rPr>
          <w:noProof/>
        </w:rPr>
        <w:t>c)</w:t>
      </w:r>
      <w:r>
        <w:rPr>
          <w:noProof/>
        </w:rPr>
        <w:tab/>
      </w:r>
      <w:r w:rsidR="006C5C35" w:rsidRPr="00853D04">
        <w:rPr>
          <w:noProof/>
        </w:rPr>
        <w:t>datę przeniesienia siedziby statutowej europejskiego stowarzyszenia transgranicznego;</w:t>
      </w:r>
    </w:p>
    <w:p w14:paraId="2B63133A" w14:textId="4095AD9B" w:rsidR="00141B35" w:rsidRPr="00853D04" w:rsidRDefault="00C13C75" w:rsidP="00C13C75">
      <w:pPr>
        <w:pStyle w:val="Point1"/>
        <w:rPr>
          <w:noProof/>
        </w:rPr>
      </w:pPr>
      <w:r>
        <w:rPr>
          <w:noProof/>
        </w:rPr>
        <w:t>d)</w:t>
      </w:r>
      <w:r>
        <w:rPr>
          <w:noProof/>
        </w:rPr>
        <w:tab/>
      </w:r>
      <w:r w:rsidR="00141B35" w:rsidRPr="00853D04">
        <w:rPr>
          <w:noProof/>
        </w:rPr>
        <w:t>nazwę europejskiego stowarzyszenia transgranicznego;</w:t>
      </w:r>
    </w:p>
    <w:p w14:paraId="12E56759" w14:textId="12808287" w:rsidR="00141B35" w:rsidRPr="00853D04" w:rsidRDefault="00C13C75" w:rsidP="00C13C75">
      <w:pPr>
        <w:pStyle w:val="Point1"/>
        <w:rPr>
          <w:noProof/>
        </w:rPr>
      </w:pPr>
      <w:r>
        <w:rPr>
          <w:noProof/>
        </w:rPr>
        <w:t>e)</w:t>
      </w:r>
      <w:r>
        <w:rPr>
          <w:noProof/>
        </w:rPr>
        <w:tab/>
      </w:r>
      <w:r w:rsidR="00141B35" w:rsidRPr="00853D04">
        <w:rPr>
          <w:noProof/>
        </w:rPr>
        <w:t>adres pocztowy siedziby statutowej</w:t>
      </w:r>
      <w:r w:rsidRPr="00853D04">
        <w:rPr>
          <w:noProof/>
        </w:rPr>
        <w:t xml:space="preserve"> i</w:t>
      </w:r>
      <w:r>
        <w:rPr>
          <w:noProof/>
        </w:rPr>
        <w:t> </w:t>
      </w:r>
      <w:r w:rsidRPr="00853D04">
        <w:rPr>
          <w:noProof/>
        </w:rPr>
        <w:t>adr</w:t>
      </w:r>
      <w:r w:rsidR="00141B35" w:rsidRPr="00853D04">
        <w:rPr>
          <w:noProof/>
        </w:rPr>
        <w:t>es poczty elektronicznej europejskiego stowarzyszenia transgranicznego;</w:t>
      </w:r>
    </w:p>
    <w:p w14:paraId="05BA7B8E" w14:textId="64338444" w:rsidR="00141B35" w:rsidRPr="00853D04" w:rsidRDefault="00C13C75" w:rsidP="00C13C75">
      <w:pPr>
        <w:pStyle w:val="Point1"/>
        <w:rPr>
          <w:noProof/>
        </w:rPr>
      </w:pPr>
      <w:r>
        <w:rPr>
          <w:noProof/>
        </w:rPr>
        <w:t>f)</w:t>
      </w:r>
      <w:r>
        <w:rPr>
          <w:noProof/>
        </w:rPr>
        <w:tab/>
      </w:r>
      <w:r w:rsidR="00141B35" w:rsidRPr="00853D04">
        <w:rPr>
          <w:noProof/>
        </w:rPr>
        <w:t>cele europejskiego stowarzyszenia transgranicznego określone</w:t>
      </w:r>
      <w:r w:rsidRPr="00853D04">
        <w:rPr>
          <w:noProof/>
        </w:rPr>
        <w:t xml:space="preserve"> w</w:t>
      </w:r>
      <w:r>
        <w:rPr>
          <w:noProof/>
        </w:rPr>
        <w:t> </w:t>
      </w:r>
      <w:r w:rsidRPr="00853D04">
        <w:rPr>
          <w:noProof/>
        </w:rPr>
        <w:t>jeg</w:t>
      </w:r>
      <w:r w:rsidR="00141B35" w:rsidRPr="00853D04">
        <w:rPr>
          <w:noProof/>
        </w:rPr>
        <w:t>o statucie.</w:t>
      </w:r>
    </w:p>
    <w:p w14:paraId="5E22AF3B" w14:textId="3DFDB4BA" w:rsidR="00427E3F" w:rsidRPr="00853D04" w:rsidRDefault="008D78F5" w:rsidP="008D78F5">
      <w:pPr>
        <w:pStyle w:val="ManualNumPar1"/>
        <w:rPr>
          <w:noProof/>
        </w:rPr>
      </w:pPr>
      <w:r w:rsidRPr="008D78F5">
        <w:t>2.</w:t>
      </w:r>
      <w:r w:rsidRPr="008D78F5">
        <w:tab/>
      </w:r>
      <w:r w:rsidR="00BA06C8" w:rsidRPr="00853D04">
        <w:rPr>
          <w:noProof/>
        </w:rPr>
        <w:t>Po powiadomieniu przez osobę upoważnioną do reprezentowania europejskiego stowarzyszenia transgranicznego,</w:t>
      </w:r>
      <w:r w:rsidR="00C13C75" w:rsidRPr="00853D04">
        <w:rPr>
          <w:noProof/>
        </w:rPr>
        <w:t xml:space="preserve"> o</w:t>
      </w:r>
      <w:r w:rsidR="00C13C75">
        <w:rPr>
          <w:noProof/>
        </w:rPr>
        <w:t> </w:t>
      </w:r>
      <w:r w:rsidR="00C13C75" w:rsidRPr="00853D04">
        <w:rPr>
          <w:noProof/>
        </w:rPr>
        <w:t>któ</w:t>
      </w:r>
      <w:r w:rsidR="00BA06C8" w:rsidRPr="00853D04">
        <w:rPr>
          <w:noProof/>
        </w:rPr>
        <w:t>rej mowa</w:t>
      </w:r>
      <w:r w:rsidR="00C13C75" w:rsidRPr="00853D04">
        <w:rPr>
          <w:noProof/>
        </w:rPr>
        <w:t xml:space="preserve"> w</w:t>
      </w:r>
      <w:r w:rsidR="00C13C75">
        <w:rPr>
          <w:noProof/>
        </w:rPr>
        <w:t> </w:t>
      </w:r>
      <w:r w:rsidR="00C13C75" w:rsidRPr="00C13C75">
        <w:rPr>
          <w:noProof/>
        </w:rPr>
        <w:t>art</w:t>
      </w:r>
      <w:r w:rsidR="00BA06C8" w:rsidRPr="00C13C75">
        <w:rPr>
          <w:noProof/>
        </w:rPr>
        <w:t>.</w:t>
      </w:r>
      <w:r w:rsidR="00C13C75" w:rsidRPr="00C13C75">
        <w:rPr>
          <w:noProof/>
        </w:rPr>
        <w:t> </w:t>
      </w:r>
      <w:r w:rsidR="00BA06C8" w:rsidRPr="00C13C75">
        <w:rPr>
          <w:noProof/>
        </w:rPr>
        <w:t>1</w:t>
      </w:r>
      <w:r w:rsidR="00BA06C8" w:rsidRPr="00853D04">
        <w:rPr>
          <w:noProof/>
        </w:rPr>
        <w:t xml:space="preserve">8 </w:t>
      </w:r>
      <w:r w:rsidR="00BA06C8" w:rsidRPr="00C13C75">
        <w:rPr>
          <w:noProof/>
        </w:rPr>
        <w:t>ust.</w:t>
      </w:r>
      <w:r w:rsidR="00C13C75" w:rsidRPr="00C13C75">
        <w:rPr>
          <w:noProof/>
        </w:rPr>
        <w:t> </w:t>
      </w:r>
      <w:r w:rsidR="00BA06C8" w:rsidRPr="00C13C75">
        <w:rPr>
          <w:noProof/>
        </w:rPr>
        <w:t>1</w:t>
      </w:r>
      <w:r w:rsidR="00BA06C8" w:rsidRPr="00853D04">
        <w:rPr>
          <w:noProof/>
        </w:rPr>
        <w:t xml:space="preserve"> </w:t>
      </w:r>
      <w:r w:rsidR="00BA06C8" w:rsidRPr="00C13C75">
        <w:rPr>
          <w:noProof/>
        </w:rPr>
        <w:t>lit.</w:t>
      </w:r>
      <w:r w:rsidR="00C13C75" w:rsidRPr="00C13C75">
        <w:rPr>
          <w:noProof/>
        </w:rPr>
        <w:t> </w:t>
      </w:r>
      <w:r w:rsidR="00BA06C8" w:rsidRPr="00C13C75">
        <w:rPr>
          <w:noProof/>
        </w:rPr>
        <w:t>d)</w:t>
      </w:r>
      <w:r w:rsidR="00BA06C8" w:rsidRPr="00853D04">
        <w:rPr>
          <w:noProof/>
        </w:rPr>
        <w:t>, że informacje wymienione</w:t>
      </w:r>
      <w:r w:rsidR="00C13C75" w:rsidRPr="00853D04">
        <w:rPr>
          <w:noProof/>
        </w:rPr>
        <w:t xml:space="preserve"> w</w:t>
      </w:r>
      <w:r w:rsidR="00C13C75">
        <w:rPr>
          <w:noProof/>
        </w:rPr>
        <w:t> </w:t>
      </w:r>
      <w:r w:rsidR="00C13C75" w:rsidRPr="00C13C75">
        <w:rPr>
          <w:noProof/>
        </w:rPr>
        <w:t>ust</w:t>
      </w:r>
      <w:r w:rsidR="00BA06C8" w:rsidRPr="00C13C75">
        <w:rPr>
          <w:noProof/>
        </w:rPr>
        <w:t>.</w:t>
      </w:r>
      <w:r w:rsidR="00C13C75" w:rsidRPr="00C13C75">
        <w:rPr>
          <w:noProof/>
        </w:rPr>
        <w:t> </w:t>
      </w:r>
      <w:r w:rsidR="00BA06C8" w:rsidRPr="00C13C75">
        <w:rPr>
          <w:noProof/>
        </w:rPr>
        <w:t>1</w:t>
      </w:r>
      <w:r w:rsidR="00BA06C8" w:rsidRPr="00853D04">
        <w:rPr>
          <w:noProof/>
        </w:rPr>
        <w:t xml:space="preserve"> niniejszego artykułu uległy zmianie, państwa członkowskie wydają zaktualizowany certyfikat europejskiego stowarzyszenia transgranicznego, zarówno</w:t>
      </w:r>
      <w:r w:rsidR="00C13C75" w:rsidRPr="00853D04">
        <w:rPr>
          <w:noProof/>
        </w:rPr>
        <w:t xml:space="preserve"> w</w:t>
      </w:r>
      <w:r w:rsidR="00C13C75">
        <w:rPr>
          <w:noProof/>
        </w:rPr>
        <w:t> </w:t>
      </w:r>
      <w:r w:rsidR="00C13C75" w:rsidRPr="00853D04">
        <w:rPr>
          <w:noProof/>
        </w:rPr>
        <w:t>for</w:t>
      </w:r>
      <w:r w:rsidR="00BA06C8" w:rsidRPr="00853D04">
        <w:rPr>
          <w:noProof/>
        </w:rPr>
        <w:t>mie cyfrowej, jak</w:t>
      </w:r>
      <w:r w:rsidR="00C13C75" w:rsidRPr="00853D04">
        <w:rPr>
          <w:noProof/>
        </w:rPr>
        <w:t xml:space="preserve"> i</w:t>
      </w:r>
      <w:r w:rsidR="00C13C75">
        <w:rPr>
          <w:noProof/>
        </w:rPr>
        <w:t> </w:t>
      </w:r>
      <w:r w:rsidR="00C13C75" w:rsidRPr="00853D04">
        <w:rPr>
          <w:noProof/>
        </w:rPr>
        <w:t>pap</w:t>
      </w:r>
      <w:r w:rsidR="00BA06C8" w:rsidRPr="00853D04">
        <w:rPr>
          <w:noProof/>
        </w:rPr>
        <w:t>ierowej,</w:t>
      </w:r>
      <w:r w:rsidR="00C13C75" w:rsidRPr="00853D04">
        <w:rPr>
          <w:noProof/>
        </w:rPr>
        <w:t xml:space="preserve"> w</w:t>
      </w:r>
      <w:r w:rsidR="00C13C75">
        <w:rPr>
          <w:noProof/>
        </w:rPr>
        <w:t> </w:t>
      </w:r>
      <w:r w:rsidR="00C13C75" w:rsidRPr="00853D04">
        <w:rPr>
          <w:noProof/>
        </w:rPr>
        <w:t>ter</w:t>
      </w:r>
      <w:r w:rsidR="00BA06C8" w:rsidRPr="00853D04">
        <w:rPr>
          <w:noProof/>
        </w:rPr>
        <w:t>minie pięciu dni od powiadomienia</w:t>
      </w:r>
      <w:r w:rsidR="00C13C75" w:rsidRPr="00853D04">
        <w:rPr>
          <w:noProof/>
        </w:rPr>
        <w:t xml:space="preserve"> o</w:t>
      </w:r>
      <w:r w:rsidR="00C13C75">
        <w:rPr>
          <w:noProof/>
        </w:rPr>
        <w:t> </w:t>
      </w:r>
      <w:r w:rsidR="00C13C75" w:rsidRPr="00853D04">
        <w:rPr>
          <w:noProof/>
        </w:rPr>
        <w:t>tyc</w:t>
      </w:r>
      <w:r w:rsidR="00BA06C8" w:rsidRPr="00853D04">
        <w:rPr>
          <w:noProof/>
        </w:rPr>
        <w:t xml:space="preserve">h zmianach. </w:t>
      </w:r>
    </w:p>
    <w:p w14:paraId="73A9508F" w14:textId="2499B393" w:rsidR="00141B35" w:rsidRPr="00853D04" w:rsidRDefault="00C13C75" w:rsidP="00C13C75">
      <w:pPr>
        <w:pStyle w:val="Point0"/>
        <w:rPr>
          <w:noProof/>
        </w:rPr>
      </w:pPr>
      <w:r>
        <w:rPr>
          <w:noProof/>
        </w:rPr>
        <w:t>2)</w:t>
      </w:r>
      <w:r>
        <w:rPr>
          <w:noProof/>
        </w:rPr>
        <w:tab/>
      </w:r>
      <w:r w:rsidR="00BE0E79" w:rsidRPr="00853D04">
        <w:rPr>
          <w:noProof/>
        </w:rPr>
        <w:t>Aby ułatwić korzystanie</w:t>
      </w:r>
      <w:r w:rsidRPr="00853D04">
        <w:rPr>
          <w:noProof/>
        </w:rPr>
        <w:t xml:space="preserve"> z</w:t>
      </w:r>
      <w:r>
        <w:rPr>
          <w:noProof/>
        </w:rPr>
        <w:t> </w:t>
      </w:r>
      <w:r w:rsidRPr="00853D04">
        <w:rPr>
          <w:noProof/>
        </w:rPr>
        <w:t>cer</w:t>
      </w:r>
      <w:r w:rsidR="00BE0E79" w:rsidRPr="00853D04">
        <w:rPr>
          <w:noProof/>
        </w:rPr>
        <w:t>tyfikatu europejskiego stowarzyszenia transgranicznego we wszystkich państwach członkowskich, zharmonizować jego format</w:t>
      </w:r>
      <w:r w:rsidRPr="00853D04">
        <w:rPr>
          <w:noProof/>
        </w:rPr>
        <w:t xml:space="preserve"> i</w:t>
      </w:r>
      <w:r>
        <w:rPr>
          <w:noProof/>
        </w:rPr>
        <w:t> </w:t>
      </w:r>
      <w:r w:rsidRPr="00853D04">
        <w:rPr>
          <w:noProof/>
        </w:rPr>
        <w:t>zmn</w:t>
      </w:r>
      <w:r w:rsidR="00BE0E79" w:rsidRPr="00853D04">
        <w:rPr>
          <w:noProof/>
        </w:rPr>
        <w:t>iejszyć obciążenie administracyjne zarówno dla właściwych organów państw członkowskich, jak</w:t>
      </w:r>
      <w:r w:rsidRPr="00853D04">
        <w:rPr>
          <w:noProof/>
        </w:rPr>
        <w:t xml:space="preserve"> i</w:t>
      </w:r>
      <w:r>
        <w:rPr>
          <w:noProof/>
        </w:rPr>
        <w:t> </w:t>
      </w:r>
      <w:r w:rsidRPr="00853D04">
        <w:rPr>
          <w:noProof/>
        </w:rPr>
        <w:t>dla</w:t>
      </w:r>
      <w:r w:rsidR="00BE0E79" w:rsidRPr="00853D04">
        <w:rPr>
          <w:noProof/>
        </w:rPr>
        <w:t xml:space="preserve"> europejskich stowarzyszeń transgranicznych, Komisja ustanawia</w:t>
      </w:r>
      <w:r w:rsidRPr="00853D04">
        <w:rPr>
          <w:noProof/>
        </w:rPr>
        <w:t xml:space="preserve"> w</w:t>
      </w:r>
      <w:r>
        <w:rPr>
          <w:noProof/>
        </w:rPr>
        <w:t> </w:t>
      </w:r>
      <w:r w:rsidRPr="00853D04">
        <w:rPr>
          <w:noProof/>
        </w:rPr>
        <w:t>dro</w:t>
      </w:r>
      <w:r w:rsidR="00BE0E79" w:rsidRPr="00853D04">
        <w:rPr>
          <w:noProof/>
        </w:rPr>
        <w:t>dze aktu wykonawczego wzór certyfikatu europejskiego stowarzyszenia transgranicznego</w:t>
      </w:r>
      <w:r w:rsidRPr="00853D04">
        <w:rPr>
          <w:noProof/>
        </w:rPr>
        <w:t xml:space="preserve"> i</w:t>
      </w:r>
      <w:r>
        <w:rPr>
          <w:noProof/>
        </w:rPr>
        <w:t> </w:t>
      </w:r>
      <w:r w:rsidRPr="00853D04">
        <w:rPr>
          <w:noProof/>
        </w:rPr>
        <w:t>jeg</w:t>
      </w:r>
      <w:r w:rsidR="00BE0E79" w:rsidRPr="00853D04">
        <w:rPr>
          <w:noProof/>
        </w:rPr>
        <w:t>o specyfikację techniczną. Ten akt wykonawczy przyjmuje się zgodnie</w:t>
      </w:r>
      <w:r w:rsidRPr="00853D04">
        <w:rPr>
          <w:noProof/>
        </w:rPr>
        <w:t xml:space="preserve"> z</w:t>
      </w:r>
      <w:r>
        <w:rPr>
          <w:noProof/>
        </w:rPr>
        <w:t> </w:t>
      </w:r>
      <w:r w:rsidRPr="00853D04">
        <w:rPr>
          <w:noProof/>
        </w:rPr>
        <w:t>pro</w:t>
      </w:r>
      <w:r w:rsidR="00BE0E79" w:rsidRPr="00853D04">
        <w:rPr>
          <w:noProof/>
        </w:rPr>
        <w:t>cedurą sprawdzającą,</w:t>
      </w:r>
      <w:r w:rsidRPr="00853D04">
        <w:rPr>
          <w:noProof/>
        </w:rPr>
        <w:t xml:space="preserve"> o</w:t>
      </w:r>
      <w:r>
        <w:rPr>
          <w:noProof/>
        </w:rPr>
        <w:t> </w:t>
      </w:r>
      <w:r w:rsidRPr="00853D04">
        <w:rPr>
          <w:noProof/>
        </w:rPr>
        <w:t>któ</w:t>
      </w:r>
      <w:r w:rsidR="00BE0E79" w:rsidRPr="00853D04">
        <w:rPr>
          <w:noProof/>
        </w:rPr>
        <w:t>rej mowa</w:t>
      </w:r>
      <w:r w:rsidRPr="00853D04">
        <w:rPr>
          <w:noProof/>
        </w:rPr>
        <w:t xml:space="preserve"> w</w:t>
      </w:r>
      <w:r>
        <w:rPr>
          <w:noProof/>
        </w:rPr>
        <w:t> </w:t>
      </w:r>
      <w:r w:rsidRPr="00C13C75">
        <w:rPr>
          <w:noProof/>
        </w:rPr>
        <w:t>art</w:t>
      </w:r>
      <w:r w:rsidR="00BE0E79" w:rsidRPr="00C13C75">
        <w:rPr>
          <w:noProof/>
        </w:rPr>
        <w:t>.</w:t>
      </w:r>
      <w:r w:rsidRPr="00C13C75">
        <w:rPr>
          <w:noProof/>
        </w:rPr>
        <w:t> </w:t>
      </w:r>
      <w:r w:rsidR="00BE0E79" w:rsidRPr="00C13C75">
        <w:rPr>
          <w:noProof/>
        </w:rPr>
        <w:t>3</w:t>
      </w:r>
      <w:r w:rsidR="00BE0E79" w:rsidRPr="00853D04">
        <w:rPr>
          <w:noProof/>
        </w:rPr>
        <w:t xml:space="preserve">0 </w:t>
      </w:r>
      <w:r w:rsidR="00BE0E79" w:rsidRPr="00C13C75">
        <w:rPr>
          <w:noProof/>
        </w:rPr>
        <w:t>ust.</w:t>
      </w:r>
      <w:r w:rsidRPr="00C13C75">
        <w:rPr>
          <w:noProof/>
        </w:rPr>
        <w:t> </w:t>
      </w:r>
      <w:r w:rsidR="00BE0E79" w:rsidRPr="00C13C75">
        <w:rPr>
          <w:noProof/>
        </w:rPr>
        <w:t>2</w:t>
      </w:r>
      <w:r w:rsidR="00BE0E79" w:rsidRPr="00853D04">
        <w:rPr>
          <w:noProof/>
        </w:rPr>
        <w:t xml:space="preserve">. </w:t>
      </w:r>
    </w:p>
    <w:p w14:paraId="41846DE4" w14:textId="77777777" w:rsidR="00141B35" w:rsidRPr="00853D04" w:rsidRDefault="00141B35" w:rsidP="00141B35">
      <w:pPr>
        <w:pStyle w:val="ChapterTitle"/>
        <w:rPr>
          <w:noProof/>
        </w:rPr>
      </w:pPr>
      <w:r w:rsidRPr="00853D04">
        <w:rPr>
          <w:noProof/>
        </w:rPr>
        <w:t xml:space="preserve">Rozdział 4 </w:t>
      </w:r>
    </w:p>
    <w:p w14:paraId="1078AC0E" w14:textId="77777777" w:rsidR="00141B35" w:rsidRPr="00853D04" w:rsidRDefault="00141B35" w:rsidP="00141B35">
      <w:pPr>
        <w:pStyle w:val="ChapterTitle"/>
        <w:rPr>
          <w:noProof/>
        </w:rPr>
      </w:pPr>
      <w:r w:rsidRPr="00853D04">
        <w:rPr>
          <w:noProof/>
        </w:rPr>
        <w:t>Mobilność</w:t>
      </w:r>
    </w:p>
    <w:p w14:paraId="006D61F7" w14:textId="77777777" w:rsidR="00141B35" w:rsidRPr="00853D04" w:rsidRDefault="00141B35" w:rsidP="00141B35">
      <w:pPr>
        <w:pStyle w:val="Titrearticle"/>
        <w:rPr>
          <w:noProof/>
        </w:rPr>
      </w:pPr>
      <w:r w:rsidRPr="00853D04">
        <w:rPr>
          <w:noProof/>
        </w:rPr>
        <w:t>Artykuł 22</w:t>
      </w:r>
    </w:p>
    <w:p w14:paraId="7F540224" w14:textId="77777777" w:rsidR="00141B35" w:rsidRPr="00853D04" w:rsidRDefault="00141B35" w:rsidP="00141B35">
      <w:pPr>
        <w:pStyle w:val="Titrearticle"/>
        <w:rPr>
          <w:noProof/>
        </w:rPr>
      </w:pPr>
      <w:r w:rsidRPr="00853D04">
        <w:rPr>
          <w:noProof/>
        </w:rPr>
        <w:t>Przeniesienie siedziby statutowej</w:t>
      </w:r>
    </w:p>
    <w:p w14:paraId="54E30EDF" w14:textId="1A3D554A" w:rsidR="00141B35" w:rsidRPr="00853D04" w:rsidRDefault="008D78F5" w:rsidP="008D78F5">
      <w:pPr>
        <w:pStyle w:val="ManualNumPar1"/>
        <w:rPr>
          <w:noProof/>
        </w:rPr>
      </w:pPr>
      <w:r w:rsidRPr="008D78F5">
        <w:t>1.</w:t>
      </w:r>
      <w:r w:rsidRPr="008D78F5">
        <w:tab/>
      </w:r>
      <w:r w:rsidR="00141B35" w:rsidRPr="00853D04">
        <w:rPr>
          <w:noProof/>
        </w:rPr>
        <w:t>Państwa członkowskie zapewniają europejskiemu stowarzyszeniu transgranicznemu prawo do przeniesienia siedziby statutowej</w:t>
      </w:r>
      <w:r w:rsidR="00C13C75" w:rsidRPr="00853D04">
        <w:rPr>
          <w:noProof/>
        </w:rPr>
        <w:t xml:space="preserve"> z</w:t>
      </w:r>
      <w:r w:rsidR="00C13C75">
        <w:rPr>
          <w:noProof/>
        </w:rPr>
        <w:t> </w:t>
      </w:r>
      <w:r w:rsidR="00C13C75" w:rsidRPr="00853D04">
        <w:rPr>
          <w:noProof/>
        </w:rPr>
        <w:t>jed</w:t>
      </w:r>
      <w:r w:rsidR="00141B35" w:rsidRPr="00853D04">
        <w:rPr>
          <w:noProof/>
        </w:rPr>
        <w:t xml:space="preserve">nego państwa członkowskiego do innego. </w:t>
      </w:r>
    </w:p>
    <w:p w14:paraId="25BE66B1" w14:textId="2D7FC88B" w:rsidR="00141B35" w:rsidRPr="00853D04" w:rsidRDefault="008D78F5" w:rsidP="008D78F5">
      <w:pPr>
        <w:pStyle w:val="ManualNumPar1"/>
        <w:rPr>
          <w:noProof/>
        </w:rPr>
      </w:pPr>
      <w:r w:rsidRPr="008D78F5">
        <w:t>2.</w:t>
      </w:r>
      <w:r w:rsidRPr="008D78F5">
        <w:tab/>
      </w:r>
      <w:r w:rsidR="00FA3601" w:rsidRPr="00853D04">
        <w:rPr>
          <w:noProof/>
        </w:rPr>
        <w:t>Państwa członkowskie zapewniają, aby przeniesienie,</w:t>
      </w:r>
      <w:r w:rsidR="00C13C75" w:rsidRPr="00853D04">
        <w:rPr>
          <w:noProof/>
        </w:rPr>
        <w:t xml:space="preserve"> o</w:t>
      </w:r>
      <w:r w:rsidR="00C13C75">
        <w:rPr>
          <w:noProof/>
        </w:rPr>
        <w:t> </w:t>
      </w:r>
      <w:r w:rsidR="00C13C75" w:rsidRPr="00853D04">
        <w:rPr>
          <w:noProof/>
        </w:rPr>
        <w:t>któ</w:t>
      </w:r>
      <w:r w:rsidR="00FA3601" w:rsidRPr="00853D04">
        <w:rPr>
          <w:noProof/>
        </w:rPr>
        <w:t>rym mowa</w:t>
      </w:r>
      <w:r w:rsidR="00C13C75" w:rsidRPr="00853D04">
        <w:rPr>
          <w:noProof/>
        </w:rPr>
        <w:t xml:space="preserve"> w</w:t>
      </w:r>
      <w:r w:rsidR="00C13C75">
        <w:rPr>
          <w:noProof/>
        </w:rPr>
        <w:t> </w:t>
      </w:r>
      <w:r w:rsidR="00C13C75" w:rsidRPr="00C13C75">
        <w:rPr>
          <w:noProof/>
        </w:rPr>
        <w:t>ust</w:t>
      </w:r>
      <w:r w:rsidR="00FA3601" w:rsidRPr="00C13C75">
        <w:rPr>
          <w:noProof/>
        </w:rPr>
        <w:t>.</w:t>
      </w:r>
      <w:r w:rsidR="00C13C75" w:rsidRPr="00C13C75">
        <w:rPr>
          <w:noProof/>
        </w:rPr>
        <w:t> </w:t>
      </w:r>
      <w:r w:rsidR="00FA3601" w:rsidRPr="00C13C75">
        <w:rPr>
          <w:noProof/>
        </w:rPr>
        <w:t>1</w:t>
      </w:r>
      <w:r w:rsidR="00FA3601" w:rsidRPr="00853D04">
        <w:rPr>
          <w:noProof/>
        </w:rPr>
        <w:t>, nie skutkowało rozwiązaniem europejskiego stowarzyszenia transgranicznego ani utworzeniem nowej osoby prawnej</w:t>
      </w:r>
      <w:r w:rsidR="00C13C75" w:rsidRPr="00853D04">
        <w:rPr>
          <w:noProof/>
        </w:rPr>
        <w:t xml:space="preserve"> w</w:t>
      </w:r>
      <w:r w:rsidR="00C13C75">
        <w:rPr>
          <w:noProof/>
        </w:rPr>
        <w:t> </w:t>
      </w:r>
      <w:r w:rsidR="00C13C75" w:rsidRPr="00853D04">
        <w:rPr>
          <w:noProof/>
        </w:rPr>
        <w:t>pań</w:t>
      </w:r>
      <w:r w:rsidR="00FA3601" w:rsidRPr="00853D04">
        <w:rPr>
          <w:noProof/>
        </w:rPr>
        <w:t>stwie członkowskim, do którego przeniesiono siedzibę stowarzyszenia. Państwa członkowskie zapewniają, aby przeniesienie siedziby statutowej nie miało wpływu na aktywa lub zobowiązania europejskiego stowarzyszenia transgranicznego istniejące przed przeniesieniem,</w:t>
      </w:r>
      <w:r w:rsidR="00C13C75" w:rsidRPr="00853D04">
        <w:rPr>
          <w:noProof/>
        </w:rPr>
        <w:t xml:space="preserve"> w</w:t>
      </w:r>
      <w:r w:rsidR="00C13C75">
        <w:rPr>
          <w:noProof/>
        </w:rPr>
        <w:t> </w:t>
      </w:r>
      <w:r w:rsidR="00C13C75" w:rsidRPr="00853D04">
        <w:rPr>
          <w:noProof/>
        </w:rPr>
        <w:t>tym</w:t>
      </w:r>
      <w:r w:rsidR="00FA3601" w:rsidRPr="00853D04">
        <w:rPr>
          <w:noProof/>
        </w:rPr>
        <w:t xml:space="preserve"> na postanowienia zawarte</w:t>
      </w:r>
      <w:r w:rsidR="00C13C75" w:rsidRPr="00853D04">
        <w:rPr>
          <w:noProof/>
        </w:rPr>
        <w:t xml:space="preserve"> w</w:t>
      </w:r>
      <w:r w:rsidR="00C13C75">
        <w:rPr>
          <w:noProof/>
        </w:rPr>
        <w:t> </w:t>
      </w:r>
      <w:r w:rsidR="00C13C75" w:rsidRPr="00853D04">
        <w:rPr>
          <w:noProof/>
        </w:rPr>
        <w:t>umo</w:t>
      </w:r>
      <w:r w:rsidR="00FA3601" w:rsidRPr="00853D04">
        <w:rPr>
          <w:noProof/>
        </w:rPr>
        <w:t>wach lub kredyty, prawa</w:t>
      </w:r>
      <w:r w:rsidR="00C13C75" w:rsidRPr="00853D04">
        <w:rPr>
          <w:noProof/>
        </w:rPr>
        <w:t xml:space="preserve"> i</w:t>
      </w:r>
      <w:r w:rsidR="00C13C75">
        <w:rPr>
          <w:noProof/>
        </w:rPr>
        <w:t> </w:t>
      </w:r>
      <w:r w:rsidR="00C13C75" w:rsidRPr="00853D04">
        <w:rPr>
          <w:noProof/>
        </w:rPr>
        <w:t>obo</w:t>
      </w:r>
      <w:r w:rsidR="00FA3601" w:rsidRPr="00853D04">
        <w:rPr>
          <w:noProof/>
        </w:rPr>
        <w:t>wiązki.</w:t>
      </w:r>
    </w:p>
    <w:p w14:paraId="14765A70" w14:textId="14D43EF4" w:rsidR="00141B35" w:rsidRPr="00853D04" w:rsidRDefault="008D78F5" w:rsidP="008D78F5">
      <w:pPr>
        <w:pStyle w:val="ManualNumPar1"/>
        <w:rPr>
          <w:noProof/>
        </w:rPr>
      </w:pPr>
      <w:r w:rsidRPr="008D78F5">
        <w:t>3.</w:t>
      </w:r>
      <w:r w:rsidRPr="008D78F5">
        <w:tab/>
      </w:r>
      <w:r w:rsidR="00141B35" w:rsidRPr="00853D04">
        <w:rPr>
          <w:noProof/>
        </w:rPr>
        <w:t>Państwa członkowskie zapewniają, aby przeniesienie stało się skuteczne</w:t>
      </w:r>
      <w:r w:rsidR="00C13C75" w:rsidRPr="00853D04">
        <w:rPr>
          <w:noProof/>
        </w:rPr>
        <w:t xml:space="preserve"> w</w:t>
      </w:r>
      <w:r w:rsidR="00C13C75">
        <w:rPr>
          <w:noProof/>
        </w:rPr>
        <w:t> </w:t>
      </w:r>
      <w:r w:rsidR="00C13C75" w:rsidRPr="00853D04">
        <w:rPr>
          <w:noProof/>
        </w:rPr>
        <w:t>dni</w:t>
      </w:r>
      <w:r w:rsidR="00141B35" w:rsidRPr="00853D04">
        <w:rPr>
          <w:noProof/>
        </w:rPr>
        <w:t>u rejestracji europejskiego stowarzyszenia transgranicznego</w:t>
      </w:r>
      <w:r w:rsidR="00C13C75" w:rsidRPr="00853D04">
        <w:rPr>
          <w:noProof/>
        </w:rPr>
        <w:t xml:space="preserve"> w</w:t>
      </w:r>
      <w:r w:rsidR="00C13C75">
        <w:rPr>
          <w:noProof/>
        </w:rPr>
        <w:t> </w:t>
      </w:r>
      <w:r w:rsidR="00C13C75" w:rsidRPr="00853D04">
        <w:rPr>
          <w:noProof/>
        </w:rPr>
        <w:t>pań</w:t>
      </w:r>
      <w:r w:rsidR="00141B35" w:rsidRPr="00853D04">
        <w:rPr>
          <w:noProof/>
        </w:rPr>
        <w:t xml:space="preserve">stwie członkowskim pochodzenia, do którego stowarzyszenie to jest przenoszone. </w:t>
      </w:r>
    </w:p>
    <w:p w14:paraId="1B782EC4" w14:textId="3623C1F2" w:rsidR="00906EEA" w:rsidRPr="00853D04" w:rsidRDefault="008D78F5" w:rsidP="008D78F5">
      <w:pPr>
        <w:pStyle w:val="ManualNumPar1"/>
        <w:rPr>
          <w:noProof/>
        </w:rPr>
      </w:pPr>
      <w:r w:rsidRPr="008D78F5">
        <w:t>4.</w:t>
      </w:r>
      <w:r w:rsidRPr="008D78F5">
        <w:tab/>
      </w:r>
      <w:r w:rsidR="00814411" w:rsidRPr="00853D04">
        <w:rPr>
          <w:noProof/>
        </w:rPr>
        <w:t xml:space="preserve">Na zasadzie odstępstwa od </w:t>
      </w:r>
      <w:r w:rsidR="00814411" w:rsidRPr="00C13C75">
        <w:rPr>
          <w:noProof/>
        </w:rPr>
        <w:t>ust.</w:t>
      </w:r>
      <w:r w:rsidR="00C13C75" w:rsidRPr="00C13C75">
        <w:rPr>
          <w:noProof/>
        </w:rPr>
        <w:t> </w:t>
      </w:r>
      <w:r w:rsidR="00814411" w:rsidRPr="00C13C75">
        <w:rPr>
          <w:noProof/>
        </w:rPr>
        <w:t>1</w:t>
      </w:r>
      <w:r w:rsidR="00814411" w:rsidRPr="00853D04">
        <w:rPr>
          <w:noProof/>
        </w:rPr>
        <w:t xml:space="preserve"> niniejszego artykułu państwa członkowskie zapewniają, aby właściwy organ państwa członkowskiego, do którego europejskie stowarzyszenie transgraniczne zamierza przenieść swoją siedzibę statutową, nie zezwalał na przeniesienie</w:t>
      </w:r>
      <w:r w:rsidR="00C13C75" w:rsidRPr="00853D04">
        <w:rPr>
          <w:noProof/>
        </w:rPr>
        <w:t xml:space="preserve"> w</w:t>
      </w:r>
      <w:r w:rsidR="00C13C75">
        <w:rPr>
          <w:noProof/>
        </w:rPr>
        <w:t> </w:t>
      </w:r>
      <w:r w:rsidR="00C13C75" w:rsidRPr="00853D04">
        <w:rPr>
          <w:noProof/>
        </w:rPr>
        <w:t>żad</w:t>
      </w:r>
      <w:r w:rsidR="00814411" w:rsidRPr="00853D04">
        <w:rPr>
          <w:noProof/>
        </w:rPr>
        <w:t>nym</w:t>
      </w:r>
      <w:r w:rsidR="00C13C75" w:rsidRPr="00853D04">
        <w:rPr>
          <w:noProof/>
        </w:rPr>
        <w:t xml:space="preserve"> z</w:t>
      </w:r>
      <w:r w:rsidR="00C13C75">
        <w:rPr>
          <w:noProof/>
        </w:rPr>
        <w:t> </w:t>
      </w:r>
      <w:r w:rsidR="00C13C75" w:rsidRPr="00853D04">
        <w:rPr>
          <w:noProof/>
        </w:rPr>
        <w:t>nas</w:t>
      </w:r>
      <w:r w:rsidR="00814411" w:rsidRPr="00853D04">
        <w:rPr>
          <w:noProof/>
        </w:rPr>
        <w:t>tępujących przypadków:</w:t>
      </w:r>
    </w:p>
    <w:p w14:paraId="6CA6D1E5" w14:textId="31DFEAA7" w:rsidR="009E3CB2" w:rsidRPr="00853D04" w:rsidRDefault="00C13C75" w:rsidP="00C13C75">
      <w:pPr>
        <w:pStyle w:val="Point1"/>
        <w:rPr>
          <w:noProof/>
        </w:rPr>
      </w:pPr>
      <w:r>
        <w:rPr>
          <w:noProof/>
        </w:rPr>
        <w:t>a)</w:t>
      </w:r>
      <w:r>
        <w:rPr>
          <w:noProof/>
        </w:rPr>
        <w:tab/>
      </w:r>
      <w:r w:rsidR="009E3CB2" w:rsidRPr="00853D04">
        <w:rPr>
          <w:noProof/>
        </w:rPr>
        <w:t xml:space="preserve">w przypadku gdy europejskie stowarzyszenie transgraniczne nie spełnia wymogów </w:t>
      </w:r>
      <w:r w:rsidR="009E3CB2" w:rsidRPr="00C13C75">
        <w:rPr>
          <w:noProof/>
        </w:rPr>
        <w:t>art.</w:t>
      </w:r>
      <w:r w:rsidRPr="00C13C75">
        <w:rPr>
          <w:noProof/>
        </w:rPr>
        <w:t> </w:t>
      </w:r>
      <w:r w:rsidR="009E3CB2" w:rsidRPr="00C13C75">
        <w:rPr>
          <w:noProof/>
        </w:rPr>
        <w:t>3</w:t>
      </w:r>
      <w:r w:rsidR="009E3CB2" w:rsidRPr="00853D04">
        <w:rPr>
          <w:noProof/>
        </w:rPr>
        <w:t xml:space="preserve"> </w:t>
      </w:r>
      <w:r w:rsidR="009E3CB2" w:rsidRPr="00C13C75">
        <w:rPr>
          <w:noProof/>
        </w:rPr>
        <w:t>ust.</w:t>
      </w:r>
      <w:r w:rsidRPr="00C13C75">
        <w:rPr>
          <w:noProof/>
        </w:rPr>
        <w:t> </w:t>
      </w:r>
      <w:r w:rsidR="009E3CB2" w:rsidRPr="00C13C75">
        <w:rPr>
          <w:noProof/>
        </w:rPr>
        <w:t>1</w:t>
      </w:r>
      <w:r w:rsidR="009E3CB2" w:rsidRPr="00853D04">
        <w:rPr>
          <w:noProof/>
        </w:rPr>
        <w:t xml:space="preserve">, 2 </w:t>
      </w:r>
      <w:r w:rsidR="009E3CB2" w:rsidRPr="00C13C75">
        <w:rPr>
          <w:noProof/>
        </w:rPr>
        <w:t>lub</w:t>
      </w:r>
      <w:r w:rsidRPr="00C13C75">
        <w:rPr>
          <w:noProof/>
        </w:rPr>
        <w:t> </w:t>
      </w:r>
      <w:r w:rsidR="009E3CB2" w:rsidRPr="00C13C75">
        <w:rPr>
          <w:noProof/>
        </w:rPr>
        <w:t>3</w:t>
      </w:r>
      <w:r w:rsidR="009E3CB2" w:rsidRPr="00853D04">
        <w:rPr>
          <w:noProof/>
        </w:rPr>
        <w:t xml:space="preserve">; </w:t>
      </w:r>
    </w:p>
    <w:p w14:paraId="56CF1CFA" w14:textId="21334663" w:rsidR="00906EEA" w:rsidRPr="00853D04" w:rsidRDefault="00C13C75" w:rsidP="00C13C75">
      <w:pPr>
        <w:pStyle w:val="Point1"/>
        <w:rPr>
          <w:noProof/>
        </w:rPr>
      </w:pPr>
      <w:r>
        <w:rPr>
          <w:noProof/>
        </w:rPr>
        <w:t>b)</w:t>
      </w:r>
      <w:r>
        <w:rPr>
          <w:noProof/>
        </w:rPr>
        <w:tab/>
      </w:r>
      <w:r w:rsidR="00141B35" w:rsidRPr="00853D04">
        <w:rPr>
          <w:noProof/>
        </w:rPr>
        <w:t>w przypadku podjęcia decyzji,</w:t>
      </w:r>
      <w:r w:rsidRPr="00853D04">
        <w:rPr>
          <w:noProof/>
        </w:rPr>
        <w:t xml:space="preserve"> o</w:t>
      </w:r>
      <w:r>
        <w:rPr>
          <w:noProof/>
        </w:rPr>
        <w:t> </w:t>
      </w:r>
      <w:r w:rsidRPr="00853D04">
        <w:rPr>
          <w:noProof/>
        </w:rPr>
        <w:t>któ</w:t>
      </w:r>
      <w:r w:rsidR="00141B35" w:rsidRPr="00853D04">
        <w:rPr>
          <w:noProof/>
        </w:rPr>
        <w:t>rej mowa</w:t>
      </w:r>
      <w:r w:rsidRPr="00853D04">
        <w:rPr>
          <w:noProof/>
        </w:rPr>
        <w:t xml:space="preserve"> w</w:t>
      </w:r>
      <w:r>
        <w:rPr>
          <w:noProof/>
        </w:rPr>
        <w:t> </w:t>
      </w:r>
      <w:r w:rsidRPr="00C13C75">
        <w:rPr>
          <w:noProof/>
        </w:rPr>
        <w:t>art</w:t>
      </w:r>
      <w:r w:rsidR="00141B35" w:rsidRPr="00C13C75">
        <w:rPr>
          <w:noProof/>
        </w:rPr>
        <w:t>.</w:t>
      </w:r>
      <w:r w:rsidRPr="00C13C75">
        <w:rPr>
          <w:noProof/>
        </w:rPr>
        <w:t> </w:t>
      </w:r>
      <w:r w:rsidR="00141B35" w:rsidRPr="00C13C75">
        <w:rPr>
          <w:noProof/>
        </w:rPr>
        <w:t>2</w:t>
      </w:r>
      <w:r w:rsidR="00141B35" w:rsidRPr="00853D04">
        <w:rPr>
          <w:noProof/>
        </w:rPr>
        <w:t xml:space="preserve">4 </w:t>
      </w:r>
      <w:r w:rsidR="00141B35" w:rsidRPr="00C13C75">
        <w:rPr>
          <w:noProof/>
        </w:rPr>
        <w:t>ust.</w:t>
      </w:r>
      <w:r w:rsidRPr="00C13C75">
        <w:rPr>
          <w:noProof/>
        </w:rPr>
        <w:t> </w:t>
      </w:r>
      <w:r w:rsidR="00141B35" w:rsidRPr="00C13C75">
        <w:rPr>
          <w:noProof/>
        </w:rPr>
        <w:t>2</w:t>
      </w:r>
      <w:r w:rsidR="00141B35" w:rsidRPr="00853D04">
        <w:rPr>
          <w:noProof/>
        </w:rPr>
        <w:t>, lub wydania uzasadnionego zawiadomienia,</w:t>
      </w:r>
      <w:r w:rsidRPr="00853D04">
        <w:rPr>
          <w:noProof/>
        </w:rPr>
        <w:t xml:space="preserve"> o</w:t>
      </w:r>
      <w:r>
        <w:rPr>
          <w:noProof/>
        </w:rPr>
        <w:t> </w:t>
      </w:r>
      <w:r w:rsidRPr="00853D04">
        <w:rPr>
          <w:noProof/>
        </w:rPr>
        <w:t>któ</w:t>
      </w:r>
      <w:r w:rsidR="00141B35" w:rsidRPr="00853D04">
        <w:rPr>
          <w:noProof/>
        </w:rPr>
        <w:t>rym mowa</w:t>
      </w:r>
      <w:r w:rsidRPr="00853D04">
        <w:rPr>
          <w:noProof/>
        </w:rPr>
        <w:t xml:space="preserve"> w</w:t>
      </w:r>
      <w:r>
        <w:rPr>
          <w:noProof/>
        </w:rPr>
        <w:t> </w:t>
      </w:r>
      <w:r w:rsidRPr="00C13C75">
        <w:rPr>
          <w:noProof/>
        </w:rPr>
        <w:t>art</w:t>
      </w:r>
      <w:r w:rsidR="00141B35" w:rsidRPr="00C13C75">
        <w:rPr>
          <w:noProof/>
        </w:rPr>
        <w:t>.</w:t>
      </w:r>
      <w:r w:rsidRPr="00C13C75">
        <w:rPr>
          <w:noProof/>
        </w:rPr>
        <w:t> </w:t>
      </w:r>
      <w:r w:rsidR="00141B35" w:rsidRPr="00C13C75">
        <w:rPr>
          <w:noProof/>
        </w:rPr>
        <w:t>2</w:t>
      </w:r>
      <w:r w:rsidR="00141B35" w:rsidRPr="00853D04">
        <w:rPr>
          <w:noProof/>
        </w:rPr>
        <w:t xml:space="preserve">5 </w:t>
      </w:r>
      <w:r w:rsidR="00141B35" w:rsidRPr="00C13C75">
        <w:rPr>
          <w:noProof/>
        </w:rPr>
        <w:t>ust.</w:t>
      </w:r>
      <w:r w:rsidRPr="00C13C75">
        <w:rPr>
          <w:noProof/>
        </w:rPr>
        <w:t> </w:t>
      </w:r>
      <w:r w:rsidR="00141B35" w:rsidRPr="00C13C75">
        <w:rPr>
          <w:noProof/>
        </w:rPr>
        <w:t>3</w:t>
      </w:r>
      <w:r w:rsidR="00141B35" w:rsidRPr="00853D04">
        <w:rPr>
          <w:noProof/>
        </w:rPr>
        <w:t xml:space="preserve">; </w:t>
      </w:r>
    </w:p>
    <w:p w14:paraId="6297741E" w14:textId="740B9F9A" w:rsidR="00906EEA" w:rsidRPr="00853D04" w:rsidRDefault="00C13C75" w:rsidP="00C13C75">
      <w:pPr>
        <w:pStyle w:val="Point1"/>
        <w:rPr>
          <w:noProof/>
        </w:rPr>
      </w:pPr>
      <w:r>
        <w:rPr>
          <w:noProof/>
        </w:rPr>
        <w:t>c)</w:t>
      </w:r>
      <w:r>
        <w:rPr>
          <w:noProof/>
        </w:rPr>
        <w:tab/>
      </w:r>
      <w:r w:rsidR="00C97437" w:rsidRPr="00853D04">
        <w:rPr>
          <w:noProof/>
        </w:rPr>
        <w:t>w przypadku gdy niewypłacalność jest</w:t>
      </w:r>
      <w:r w:rsidRPr="00853D04">
        <w:rPr>
          <w:noProof/>
        </w:rPr>
        <w:t xml:space="preserve"> w</w:t>
      </w:r>
      <w:r>
        <w:rPr>
          <w:noProof/>
        </w:rPr>
        <w:t> </w:t>
      </w:r>
      <w:r w:rsidRPr="00853D04">
        <w:rPr>
          <w:noProof/>
        </w:rPr>
        <w:t>tok</w:t>
      </w:r>
      <w:r w:rsidR="00C97437" w:rsidRPr="00853D04">
        <w:rPr>
          <w:noProof/>
        </w:rPr>
        <w:t>u;</w:t>
      </w:r>
    </w:p>
    <w:p w14:paraId="674E7FCF" w14:textId="3DCAB2B9" w:rsidR="00141B35" w:rsidRPr="00853D04" w:rsidRDefault="00C13C75" w:rsidP="00C13C75">
      <w:pPr>
        <w:pStyle w:val="Point1"/>
        <w:rPr>
          <w:noProof/>
        </w:rPr>
      </w:pPr>
      <w:r>
        <w:rPr>
          <w:noProof/>
        </w:rPr>
        <w:t>d)</w:t>
      </w:r>
      <w:r>
        <w:rPr>
          <w:noProof/>
        </w:rPr>
        <w:tab/>
      </w:r>
      <w:r w:rsidR="00C465CA" w:rsidRPr="00853D04">
        <w:rPr>
          <w:noProof/>
        </w:rPr>
        <w:t>w przypadku gdy osoby upoważnione do reprezentowania europejskiego stowarzyszenia transgranicznego,</w:t>
      </w:r>
      <w:r w:rsidRPr="00853D04">
        <w:rPr>
          <w:noProof/>
        </w:rPr>
        <w:t xml:space="preserve"> o</w:t>
      </w:r>
      <w:r>
        <w:rPr>
          <w:noProof/>
        </w:rPr>
        <w:t> </w:t>
      </w:r>
      <w:r w:rsidRPr="00853D04">
        <w:rPr>
          <w:noProof/>
        </w:rPr>
        <w:t>któ</w:t>
      </w:r>
      <w:r w:rsidR="00C465CA" w:rsidRPr="00853D04">
        <w:rPr>
          <w:noProof/>
        </w:rPr>
        <w:t>rych mowa</w:t>
      </w:r>
      <w:r w:rsidRPr="00853D04">
        <w:rPr>
          <w:noProof/>
        </w:rPr>
        <w:t xml:space="preserve"> w</w:t>
      </w:r>
      <w:r>
        <w:rPr>
          <w:noProof/>
        </w:rPr>
        <w:t> </w:t>
      </w:r>
      <w:r w:rsidRPr="00C13C75">
        <w:rPr>
          <w:noProof/>
        </w:rPr>
        <w:t>art</w:t>
      </w:r>
      <w:r w:rsidR="00C465CA" w:rsidRPr="00C13C75">
        <w:rPr>
          <w:noProof/>
        </w:rPr>
        <w:t>.</w:t>
      </w:r>
      <w:r w:rsidRPr="00C13C75">
        <w:rPr>
          <w:noProof/>
        </w:rPr>
        <w:t> </w:t>
      </w:r>
      <w:r w:rsidR="00C465CA" w:rsidRPr="00C13C75">
        <w:rPr>
          <w:noProof/>
        </w:rPr>
        <w:t>1</w:t>
      </w:r>
      <w:r w:rsidR="00C465CA" w:rsidRPr="00853D04">
        <w:rPr>
          <w:noProof/>
        </w:rPr>
        <w:t xml:space="preserve">8 </w:t>
      </w:r>
      <w:r w:rsidR="00C465CA" w:rsidRPr="00C13C75">
        <w:rPr>
          <w:noProof/>
        </w:rPr>
        <w:t>ust.</w:t>
      </w:r>
      <w:r w:rsidRPr="00C13C75">
        <w:rPr>
          <w:noProof/>
        </w:rPr>
        <w:t> </w:t>
      </w:r>
      <w:r w:rsidR="00C465CA" w:rsidRPr="00C13C75">
        <w:rPr>
          <w:noProof/>
        </w:rPr>
        <w:t>1</w:t>
      </w:r>
      <w:r w:rsidR="00C465CA" w:rsidRPr="00853D04">
        <w:rPr>
          <w:noProof/>
        </w:rPr>
        <w:t xml:space="preserve"> </w:t>
      </w:r>
      <w:r w:rsidR="00C465CA" w:rsidRPr="00C13C75">
        <w:rPr>
          <w:noProof/>
        </w:rPr>
        <w:t>lit.</w:t>
      </w:r>
      <w:r w:rsidRPr="00C13C75">
        <w:rPr>
          <w:noProof/>
        </w:rPr>
        <w:t> </w:t>
      </w:r>
      <w:r w:rsidR="00C465CA" w:rsidRPr="00C13C75">
        <w:rPr>
          <w:noProof/>
        </w:rPr>
        <w:t>d)</w:t>
      </w:r>
      <w:r w:rsidR="00C465CA" w:rsidRPr="00853D04">
        <w:rPr>
          <w:noProof/>
        </w:rPr>
        <w:t>, jakikolwiek członek organu wykonawczego lub samo europejskie stowarzyszenie transgraniczne, jeżeli prawo krajowe przewiduje taką możliwość, są przedmiotem postępowania</w:t>
      </w:r>
      <w:r w:rsidRPr="00853D04">
        <w:rPr>
          <w:noProof/>
        </w:rPr>
        <w:t xml:space="preserve"> w</w:t>
      </w:r>
      <w:r>
        <w:rPr>
          <w:noProof/>
        </w:rPr>
        <w:t> </w:t>
      </w:r>
      <w:r w:rsidRPr="00853D04">
        <w:rPr>
          <w:noProof/>
        </w:rPr>
        <w:t>spr</w:t>
      </w:r>
      <w:r w:rsidR="00C465CA" w:rsidRPr="00853D04">
        <w:rPr>
          <w:noProof/>
        </w:rPr>
        <w:t>awie szczególnie poważnego przestępstwa</w:t>
      </w:r>
      <w:r w:rsidRPr="00853D04">
        <w:rPr>
          <w:noProof/>
        </w:rPr>
        <w:t xml:space="preserve"> w</w:t>
      </w:r>
      <w:r>
        <w:rPr>
          <w:noProof/>
        </w:rPr>
        <w:t> </w:t>
      </w:r>
      <w:r w:rsidRPr="00853D04">
        <w:rPr>
          <w:noProof/>
        </w:rPr>
        <w:t>pop</w:t>
      </w:r>
      <w:r w:rsidR="00C465CA" w:rsidRPr="00853D04">
        <w:rPr>
          <w:noProof/>
        </w:rPr>
        <w:t xml:space="preserve">rzednim państwie członkowskim pochodzenia. </w:t>
      </w:r>
    </w:p>
    <w:p w14:paraId="498A0B08" w14:textId="77777777" w:rsidR="00141B35" w:rsidRPr="00853D04" w:rsidRDefault="00141B35" w:rsidP="00141B35">
      <w:pPr>
        <w:pStyle w:val="Titrearticle"/>
        <w:rPr>
          <w:noProof/>
        </w:rPr>
      </w:pPr>
      <w:r w:rsidRPr="00853D04">
        <w:rPr>
          <w:noProof/>
        </w:rPr>
        <w:t>Artykuł 23</w:t>
      </w:r>
    </w:p>
    <w:p w14:paraId="4FD5FBC9" w14:textId="77777777" w:rsidR="00141B35" w:rsidRPr="00853D04" w:rsidRDefault="00C97437" w:rsidP="00141B35">
      <w:pPr>
        <w:pStyle w:val="Titrearticle"/>
        <w:rPr>
          <w:noProof/>
        </w:rPr>
      </w:pPr>
      <w:r w:rsidRPr="00853D04">
        <w:rPr>
          <w:noProof/>
        </w:rPr>
        <w:t>Procedura przeniesienia siedziby statutowej</w:t>
      </w:r>
    </w:p>
    <w:p w14:paraId="5F292B9A" w14:textId="1E0EBADF" w:rsidR="00BA6C2F" w:rsidRPr="00853D04" w:rsidRDefault="008D78F5" w:rsidP="008D78F5">
      <w:pPr>
        <w:pStyle w:val="ManualNumPar1"/>
        <w:rPr>
          <w:noProof/>
        </w:rPr>
      </w:pPr>
      <w:r w:rsidRPr="008D78F5">
        <w:t>1.</w:t>
      </w:r>
      <w:r w:rsidRPr="008D78F5">
        <w:tab/>
      </w:r>
      <w:r w:rsidR="00985820" w:rsidRPr="00853D04">
        <w:rPr>
          <w:noProof/>
        </w:rPr>
        <w:t>Bez uszczerbku dla obowiązujących przepisów korzystniejszych dla pracowników, opartych na prawie krajowym lub unijnym, państwa członkowskie zapewniają, aby pracownicy europejskiego stowarzyszenia transgranicznego chcącego przenieść swoją siedzibę statutową byli informowani</w:t>
      </w:r>
      <w:r w:rsidR="00C13C75" w:rsidRPr="00853D04">
        <w:rPr>
          <w:noProof/>
        </w:rPr>
        <w:t xml:space="preserve"> o</w:t>
      </w:r>
      <w:r w:rsidR="00C13C75">
        <w:rPr>
          <w:noProof/>
        </w:rPr>
        <w:t> </w:t>
      </w:r>
      <w:r w:rsidR="00C13C75" w:rsidRPr="00853D04">
        <w:rPr>
          <w:noProof/>
        </w:rPr>
        <w:t>pot</w:t>
      </w:r>
      <w:r w:rsidR="00985820" w:rsidRPr="00853D04">
        <w:rPr>
          <w:noProof/>
        </w:rPr>
        <w:t>encjalnym przeniesieniu</w:t>
      </w:r>
      <w:r w:rsidR="00C13C75" w:rsidRPr="00853D04">
        <w:rPr>
          <w:noProof/>
        </w:rPr>
        <w:t xml:space="preserve"> i</w:t>
      </w:r>
      <w:r w:rsidR="00C13C75">
        <w:rPr>
          <w:noProof/>
        </w:rPr>
        <w:t> </w:t>
      </w:r>
      <w:r w:rsidR="00C13C75" w:rsidRPr="00853D04">
        <w:rPr>
          <w:noProof/>
        </w:rPr>
        <w:t>byl</w:t>
      </w:r>
      <w:r w:rsidR="00985820" w:rsidRPr="00853D04">
        <w:rPr>
          <w:noProof/>
        </w:rPr>
        <w:t>i uprawnieni,</w:t>
      </w:r>
      <w:r w:rsidR="00C13C75" w:rsidRPr="00853D04">
        <w:rPr>
          <w:noProof/>
        </w:rPr>
        <w:t xml:space="preserve"> w</w:t>
      </w:r>
      <w:r w:rsidR="00C13C75">
        <w:rPr>
          <w:noProof/>
        </w:rPr>
        <w:t> </w:t>
      </w:r>
      <w:r w:rsidR="00C13C75" w:rsidRPr="00853D04">
        <w:rPr>
          <w:noProof/>
        </w:rPr>
        <w:t>odp</w:t>
      </w:r>
      <w:r w:rsidR="00985820" w:rsidRPr="00853D04">
        <w:rPr>
          <w:noProof/>
        </w:rPr>
        <w:t>owiednim czasie i co najmniej miesiąc przed nadzwyczajnym posiedzeniem,</w:t>
      </w:r>
      <w:r w:rsidR="00C13C75" w:rsidRPr="00853D04">
        <w:rPr>
          <w:noProof/>
        </w:rPr>
        <w:t xml:space="preserve"> o</w:t>
      </w:r>
      <w:r w:rsidR="00C13C75">
        <w:rPr>
          <w:noProof/>
        </w:rPr>
        <w:t> </w:t>
      </w:r>
      <w:r w:rsidR="00C13C75" w:rsidRPr="00853D04">
        <w:rPr>
          <w:noProof/>
        </w:rPr>
        <w:t>któ</w:t>
      </w:r>
      <w:r w:rsidR="00985820" w:rsidRPr="00853D04">
        <w:rPr>
          <w:noProof/>
        </w:rPr>
        <w:t>rym mowa</w:t>
      </w:r>
      <w:r w:rsidR="00C13C75" w:rsidRPr="00853D04">
        <w:rPr>
          <w:noProof/>
        </w:rPr>
        <w:t xml:space="preserve"> w</w:t>
      </w:r>
      <w:r w:rsidR="00C13C75">
        <w:rPr>
          <w:noProof/>
        </w:rPr>
        <w:t> </w:t>
      </w:r>
      <w:r w:rsidR="00C13C75" w:rsidRPr="00C13C75">
        <w:rPr>
          <w:noProof/>
        </w:rPr>
        <w:t>ust</w:t>
      </w:r>
      <w:r w:rsidR="00985820" w:rsidRPr="00C13C75">
        <w:rPr>
          <w:noProof/>
        </w:rPr>
        <w:t>.</w:t>
      </w:r>
      <w:r w:rsidR="00C13C75" w:rsidRPr="00C13C75">
        <w:rPr>
          <w:noProof/>
        </w:rPr>
        <w:t> </w:t>
      </w:r>
      <w:r w:rsidR="00985820" w:rsidRPr="00C13C75">
        <w:rPr>
          <w:noProof/>
        </w:rPr>
        <w:t>2</w:t>
      </w:r>
      <w:r w:rsidR="00985820" w:rsidRPr="00853D04">
        <w:rPr>
          <w:noProof/>
        </w:rPr>
        <w:t>, do przeanalizowania projektu decyzji zatwierdzającej przeniesienie siedziby statutowej,</w:t>
      </w:r>
      <w:r w:rsidR="00C13C75" w:rsidRPr="00853D04">
        <w:rPr>
          <w:noProof/>
        </w:rPr>
        <w:t xml:space="preserve"> o</w:t>
      </w:r>
      <w:r w:rsidR="00C13C75">
        <w:rPr>
          <w:noProof/>
        </w:rPr>
        <w:t> </w:t>
      </w:r>
      <w:r w:rsidR="00C13C75" w:rsidRPr="00853D04">
        <w:rPr>
          <w:noProof/>
        </w:rPr>
        <w:t>któ</w:t>
      </w:r>
      <w:r w:rsidR="00985820" w:rsidRPr="00853D04">
        <w:rPr>
          <w:noProof/>
        </w:rPr>
        <w:t>rej mowa</w:t>
      </w:r>
      <w:r w:rsidR="00C13C75" w:rsidRPr="00853D04">
        <w:rPr>
          <w:noProof/>
        </w:rPr>
        <w:t xml:space="preserve"> w</w:t>
      </w:r>
      <w:r w:rsidR="00C13C75">
        <w:rPr>
          <w:noProof/>
        </w:rPr>
        <w:t> </w:t>
      </w:r>
      <w:r w:rsidR="00C13C75" w:rsidRPr="00C13C75">
        <w:rPr>
          <w:noProof/>
        </w:rPr>
        <w:t>ust</w:t>
      </w:r>
      <w:r w:rsidR="00985820" w:rsidRPr="00C13C75">
        <w:rPr>
          <w:noProof/>
        </w:rPr>
        <w:t>.</w:t>
      </w:r>
      <w:r w:rsidR="00C13C75" w:rsidRPr="00C13C75">
        <w:rPr>
          <w:noProof/>
        </w:rPr>
        <w:t> </w:t>
      </w:r>
      <w:r w:rsidR="00985820" w:rsidRPr="00C13C75">
        <w:rPr>
          <w:noProof/>
        </w:rPr>
        <w:t>2</w:t>
      </w:r>
      <w:r w:rsidR="00985820" w:rsidRPr="00853D04">
        <w:rPr>
          <w:noProof/>
        </w:rPr>
        <w:t>.</w:t>
      </w:r>
    </w:p>
    <w:p w14:paraId="497AAE21" w14:textId="063E45F7" w:rsidR="00141B35" w:rsidRPr="00853D04" w:rsidRDefault="008D78F5" w:rsidP="008D78F5">
      <w:pPr>
        <w:pStyle w:val="ManualNumPar1"/>
        <w:rPr>
          <w:noProof/>
        </w:rPr>
      </w:pPr>
      <w:r w:rsidRPr="008D78F5">
        <w:t>2.</w:t>
      </w:r>
      <w:r w:rsidRPr="008D78F5">
        <w:tab/>
      </w:r>
      <w:r w:rsidR="00AB3E41" w:rsidRPr="00853D04">
        <w:rPr>
          <w:noProof/>
        </w:rPr>
        <w:t xml:space="preserve">Państwa członkowskie zapewniają, aby przeniesienie siedziby statutowej zostało przyjęte przez organ decyzyjny europejskiego stowarzyszenia transgranicznego na nadzwyczajnym posiedzeniu. Ta decyzja podejmowana jest większością dwóch trzecich głosów, reprezentujących co najmniej połowę wszystkich członków. </w:t>
      </w:r>
    </w:p>
    <w:p w14:paraId="0276F325" w14:textId="5A944C41" w:rsidR="00141B35" w:rsidRPr="00853D04" w:rsidRDefault="008D78F5" w:rsidP="008D78F5">
      <w:pPr>
        <w:pStyle w:val="ManualNumPar1"/>
        <w:rPr>
          <w:noProof/>
        </w:rPr>
      </w:pPr>
      <w:r w:rsidRPr="008D78F5">
        <w:t>3.</w:t>
      </w:r>
      <w:r w:rsidRPr="008D78F5">
        <w:tab/>
      </w:r>
      <w:r w:rsidR="00AB3E41" w:rsidRPr="00853D04">
        <w:rPr>
          <w:noProof/>
        </w:rPr>
        <w:t>Państwa członkowskie zapewniają, aby organ decyzyjny europejskiego stowarzyszenia transgranicznego składał wniosek</w:t>
      </w:r>
      <w:r w:rsidR="00C13C75" w:rsidRPr="00853D04">
        <w:rPr>
          <w:noProof/>
        </w:rPr>
        <w:t xml:space="preserve"> o</w:t>
      </w:r>
      <w:r w:rsidR="00C13C75">
        <w:rPr>
          <w:noProof/>
        </w:rPr>
        <w:t> </w:t>
      </w:r>
      <w:r w:rsidR="00C13C75" w:rsidRPr="00853D04">
        <w:rPr>
          <w:noProof/>
        </w:rPr>
        <w:t>prz</w:t>
      </w:r>
      <w:r w:rsidR="00AB3E41" w:rsidRPr="00853D04">
        <w:rPr>
          <w:noProof/>
        </w:rPr>
        <w:t>eniesienie siedziby statutowej do właściwego organu państwa członkowskiego, do którego stowarzyszenie zamierza przenieść swoją siedzibę statutową, oraz poinformował właściwy organ swojego państwa członkowskiego pochodzenia</w:t>
      </w:r>
      <w:r w:rsidR="00C13C75" w:rsidRPr="00853D04">
        <w:rPr>
          <w:noProof/>
        </w:rPr>
        <w:t xml:space="preserve"> o</w:t>
      </w:r>
      <w:r w:rsidR="00C13C75">
        <w:rPr>
          <w:noProof/>
        </w:rPr>
        <w:t> </w:t>
      </w:r>
      <w:r w:rsidR="00C13C75" w:rsidRPr="00853D04">
        <w:rPr>
          <w:noProof/>
        </w:rPr>
        <w:t>tym</w:t>
      </w:r>
      <w:r w:rsidR="00AB3E41" w:rsidRPr="00853D04">
        <w:rPr>
          <w:noProof/>
        </w:rPr>
        <w:t xml:space="preserve"> wniosku. Wniosek ten zawiera następujące elementy:</w:t>
      </w:r>
    </w:p>
    <w:p w14:paraId="285A8D09" w14:textId="3FA99867" w:rsidR="00AE494A" w:rsidRPr="00853D04" w:rsidRDefault="00C13C75" w:rsidP="00C13C75">
      <w:pPr>
        <w:pStyle w:val="Point1"/>
        <w:rPr>
          <w:noProof/>
        </w:rPr>
      </w:pPr>
      <w:r>
        <w:rPr>
          <w:noProof/>
        </w:rPr>
        <w:t>a)</w:t>
      </w:r>
      <w:r>
        <w:rPr>
          <w:noProof/>
        </w:rPr>
        <w:tab/>
      </w:r>
      <w:r w:rsidR="009C5908" w:rsidRPr="00853D04">
        <w:rPr>
          <w:noProof/>
        </w:rPr>
        <w:t>decyzję organu decyzyjnego europejskiego stowarzyszenia transgranicznego zatwierdzającą przeniesienie;</w:t>
      </w:r>
    </w:p>
    <w:p w14:paraId="34E16DC3" w14:textId="2CDE82DB" w:rsidR="00141B35" w:rsidRPr="00853D04" w:rsidRDefault="00C13C75" w:rsidP="00C13C75">
      <w:pPr>
        <w:pStyle w:val="Point1"/>
        <w:rPr>
          <w:noProof/>
        </w:rPr>
      </w:pPr>
      <w:r>
        <w:rPr>
          <w:noProof/>
        </w:rPr>
        <w:t>b)</w:t>
      </w:r>
      <w:r>
        <w:rPr>
          <w:noProof/>
        </w:rPr>
        <w:tab/>
      </w:r>
      <w:r w:rsidR="00141B35" w:rsidRPr="00853D04">
        <w:rPr>
          <w:noProof/>
        </w:rPr>
        <w:t>certyfikat europejskiego stowarzyszenia transgranicznego;</w:t>
      </w:r>
    </w:p>
    <w:p w14:paraId="473C9400" w14:textId="592126F6" w:rsidR="008D3206" w:rsidRPr="00853D04" w:rsidRDefault="00C13C75" w:rsidP="00C13C75">
      <w:pPr>
        <w:pStyle w:val="Point1"/>
        <w:rPr>
          <w:noProof/>
        </w:rPr>
      </w:pPr>
      <w:r>
        <w:rPr>
          <w:noProof/>
        </w:rPr>
        <w:t>c)</w:t>
      </w:r>
      <w:r>
        <w:rPr>
          <w:noProof/>
        </w:rPr>
        <w:tab/>
      </w:r>
      <w:r w:rsidR="00141B35" w:rsidRPr="00853D04">
        <w:rPr>
          <w:noProof/>
        </w:rPr>
        <w:t>proponowany adres siedziby statutowej europejskiego stowarzyszenia transgranicznego</w:t>
      </w:r>
      <w:r w:rsidRPr="00853D04">
        <w:rPr>
          <w:noProof/>
        </w:rPr>
        <w:t xml:space="preserve"> w</w:t>
      </w:r>
      <w:r>
        <w:rPr>
          <w:noProof/>
        </w:rPr>
        <w:t> </w:t>
      </w:r>
      <w:r w:rsidRPr="00853D04">
        <w:rPr>
          <w:noProof/>
        </w:rPr>
        <w:t>pań</w:t>
      </w:r>
      <w:r w:rsidR="00141B35" w:rsidRPr="00853D04">
        <w:rPr>
          <w:noProof/>
        </w:rPr>
        <w:t>stwie członkowskim, do którego jest ono przenoszone;</w:t>
      </w:r>
    </w:p>
    <w:p w14:paraId="7A06ACBF" w14:textId="4518B3F4" w:rsidR="00141B35" w:rsidRPr="00853D04" w:rsidRDefault="00C13C75" w:rsidP="00C13C75">
      <w:pPr>
        <w:pStyle w:val="Point1"/>
        <w:rPr>
          <w:noProof/>
        </w:rPr>
      </w:pPr>
      <w:r>
        <w:rPr>
          <w:noProof/>
        </w:rPr>
        <w:t>d)</w:t>
      </w:r>
      <w:r>
        <w:rPr>
          <w:noProof/>
        </w:rPr>
        <w:tab/>
      </w:r>
      <w:r w:rsidR="00473146" w:rsidRPr="00853D04">
        <w:rPr>
          <w:noProof/>
        </w:rPr>
        <w:t>statut europejskiego stowarzyszenia transgranicznego, określający,</w:t>
      </w:r>
      <w:r w:rsidRPr="00853D04">
        <w:rPr>
          <w:noProof/>
        </w:rPr>
        <w:t xml:space="preserve"> w</w:t>
      </w:r>
      <w:r>
        <w:rPr>
          <w:noProof/>
        </w:rPr>
        <w:t> </w:t>
      </w:r>
      <w:r w:rsidRPr="00853D04">
        <w:rPr>
          <w:noProof/>
        </w:rPr>
        <w:t>sto</w:t>
      </w:r>
      <w:r w:rsidR="00473146" w:rsidRPr="00853D04">
        <w:rPr>
          <w:noProof/>
        </w:rPr>
        <w:t>sownych przypadkach, jego nową nazwę;</w:t>
      </w:r>
    </w:p>
    <w:p w14:paraId="6D1E190A" w14:textId="568C2597" w:rsidR="00141B35" w:rsidRPr="00853D04" w:rsidRDefault="00C13C75" w:rsidP="00C13C75">
      <w:pPr>
        <w:pStyle w:val="Point1"/>
        <w:rPr>
          <w:noProof/>
        </w:rPr>
      </w:pPr>
      <w:r>
        <w:rPr>
          <w:noProof/>
        </w:rPr>
        <w:t>e)</w:t>
      </w:r>
      <w:r>
        <w:rPr>
          <w:noProof/>
        </w:rPr>
        <w:tab/>
      </w:r>
      <w:r w:rsidR="00141B35" w:rsidRPr="00853D04">
        <w:rPr>
          <w:noProof/>
        </w:rPr>
        <w:t xml:space="preserve">proponowaną datę przeniesienia; </w:t>
      </w:r>
    </w:p>
    <w:p w14:paraId="36B38600" w14:textId="0379CF6C" w:rsidR="00141B35" w:rsidRPr="00853D04" w:rsidRDefault="00C13C75" w:rsidP="00C13C75">
      <w:pPr>
        <w:pStyle w:val="Point1"/>
        <w:rPr>
          <w:noProof/>
        </w:rPr>
      </w:pPr>
      <w:r>
        <w:rPr>
          <w:noProof/>
        </w:rPr>
        <w:t>f)</w:t>
      </w:r>
      <w:r>
        <w:rPr>
          <w:noProof/>
        </w:rPr>
        <w:tab/>
      </w:r>
      <w:r w:rsidR="00141B35" w:rsidRPr="00853D04">
        <w:rPr>
          <w:noProof/>
        </w:rPr>
        <w:t>sprawozdanie wyjaśniające zabezpieczenia</w:t>
      </w:r>
      <w:r w:rsidRPr="00853D04">
        <w:rPr>
          <w:noProof/>
        </w:rPr>
        <w:t xml:space="preserve"> w</w:t>
      </w:r>
      <w:r>
        <w:rPr>
          <w:noProof/>
        </w:rPr>
        <w:t> </w:t>
      </w:r>
      <w:r w:rsidRPr="00853D04">
        <w:rPr>
          <w:noProof/>
        </w:rPr>
        <w:t>odn</w:t>
      </w:r>
      <w:r w:rsidR="00141B35" w:rsidRPr="00853D04">
        <w:rPr>
          <w:noProof/>
        </w:rPr>
        <w:t>iesieniu do wierzycieli</w:t>
      </w:r>
      <w:r w:rsidRPr="00853D04">
        <w:rPr>
          <w:noProof/>
        </w:rPr>
        <w:t xml:space="preserve"> i</w:t>
      </w:r>
      <w:r>
        <w:rPr>
          <w:noProof/>
        </w:rPr>
        <w:t> </w:t>
      </w:r>
      <w:r w:rsidRPr="00853D04">
        <w:rPr>
          <w:noProof/>
        </w:rPr>
        <w:t>pra</w:t>
      </w:r>
      <w:r w:rsidR="00141B35" w:rsidRPr="00853D04">
        <w:rPr>
          <w:noProof/>
        </w:rPr>
        <w:t>cowników,</w:t>
      </w:r>
      <w:r w:rsidRPr="00853D04">
        <w:rPr>
          <w:noProof/>
        </w:rPr>
        <w:t xml:space="preserve"> w</w:t>
      </w:r>
      <w:r>
        <w:rPr>
          <w:noProof/>
        </w:rPr>
        <w:t> </w:t>
      </w:r>
      <w:r w:rsidRPr="00853D04">
        <w:rPr>
          <w:noProof/>
        </w:rPr>
        <w:t>sto</w:t>
      </w:r>
      <w:r w:rsidR="00141B35" w:rsidRPr="00853D04">
        <w:rPr>
          <w:noProof/>
        </w:rPr>
        <w:t xml:space="preserve">sownych przypadkach na mocy prawa Unii lub prawa krajowego. </w:t>
      </w:r>
    </w:p>
    <w:p w14:paraId="20288119" w14:textId="0DE30DC7" w:rsidR="00943ABC" w:rsidRPr="00853D04" w:rsidRDefault="008D78F5" w:rsidP="008D78F5">
      <w:pPr>
        <w:pStyle w:val="ManualNumPar1"/>
        <w:rPr>
          <w:noProof/>
        </w:rPr>
      </w:pPr>
      <w:r w:rsidRPr="008D78F5">
        <w:t>4.</w:t>
      </w:r>
      <w:r w:rsidRPr="008D78F5">
        <w:tab/>
      </w:r>
      <w:r w:rsidR="00943ABC" w:rsidRPr="00853D04">
        <w:rPr>
          <w:noProof/>
        </w:rPr>
        <w:t>Państwa członkowskie mogą przyjąć przepisy umożliwiające właściwemu organowi państwa członkowskiego, do którego europejskie stowarzyszenie transgraniczne zamierza przenieść swoją siedzibę statutową, żądanie dodatkowych dokumentów lub informacji oprócz dokumentów lub informacji określonych</w:t>
      </w:r>
      <w:r w:rsidR="00C13C75" w:rsidRPr="00853D04">
        <w:rPr>
          <w:noProof/>
        </w:rPr>
        <w:t xml:space="preserve"> w</w:t>
      </w:r>
      <w:r w:rsidR="00C13C75">
        <w:rPr>
          <w:noProof/>
        </w:rPr>
        <w:t> </w:t>
      </w:r>
      <w:r w:rsidR="00C13C75" w:rsidRPr="00C13C75">
        <w:rPr>
          <w:noProof/>
        </w:rPr>
        <w:t>ust</w:t>
      </w:r>
      <w:r w:rsidR="00943ABC" w:rsidRPr="00C13C75">
        <w:rPr>
          <w:noProof/>
        </w:rPr>
        <w:t>.</w:t>
      </w:r>
      <w:r w:rsidR="00C13C75" w:rsidRPr="00C13C75">
        <w:rPr>
          <w:noProof/>
        </w:rPr>
        <w:t> </w:t>
      </w:r>
      <w:r w:rsidR="00943ABC" w:rsidRPr="00C13C75">
        <w:rPr>
          <w:noProof/>
        </w:rPr>
        <w:t>3</w:t>
      </w:r>
      <w:r w:rsidR="00943ABC" w:rsidRPr="00853D04">
        <w:rPr>
          <w:noProof/>
        </w:rPr>
        <w:t>,</w:t>
      </w:r>
      <w:r w:rsidR="00C13C75" w:rsidRPr="00853D04">
        <w:rPr>
          <w:noProof/>
        </w:rPr>
        <w:t xml:space="preserve"> w</w:t>
      </w:r>
      <w:r w:rsidR="00C13C75">
        <w:rPr>
          <w:noProof/>
        </w:rPr>
        <w:t> </w:t>
      </w:r>
      <w:r w:rsidR="00C13C75" w:rsidRPr="00853D04">
        <w:rPr>
          <w:noProof/>
        </w:rPr>
        <w:t>dro</w:t>
      </w:r>
      <w:r w:rsidR="00943ABC" w:rsidRPr="00853D04">
        <w:rPr>
          <w:noProof/>
        </w:rPr>
        <w:t>dze pisemnej decyzji skierowanej do osoby upoważnionej do reprezentowania europejskiego stowarzyszenia transgranicznego,</w:t>
      </w:r>
      <w:r w:rsidR="00C13C75" w:rsidRPr="00853D04">
        <w:rPr>
          <w:noProof/>
        </w:rPr>
        <w:t xml:space="preserve"> o</w:t>
      </w:r>
      <w:r w:rsidR="00C13C75">
        <w:rPr>
          <w:noProof/>
        </w:rPr>
        <w:t> </w:t>
      </w:r>
      <w:r w:rsidR="00C13C75" w:rsidRPr="00853D04">
        <w:rPr>
          <w:noProof/>
        </w:rPr>
        <w:t>któ</w:t>
      </w:r>
      <w:r w:rsidR="00943ABC" w:rsidRPr="00853D04">
        <w:rPr>
          <w:noProof/>
        </w:rPr>
        <w:t>rej mowa</w:t>
      </w:r>
      <w:r w:rsidR="00C13C75" w:rsidRPr="00853D04">
        <w:rPr>
          <w:noProof/>
        </w:rPr>
        <w:t xml:space="preserve"> w</w:t>
      </w:r>
      <w:r w:rsidR="00C13C75">
        <w:rPr>
          <w:noProof/>
        </w:rPr>
        <w:t> </w:t>
      </w:r>
      <w:r w:rsidR="00C13C75" w:rsidRPr="00C13C75">
        <w:rPr>
          <w:noProof/>
        </w:rPr>
        <w:t>art</w:t>
      </w:r>
      <w:r w:rsidR="00943ABC" w:rsidRPr="00C13C75">
        <w:rPr>
          <w:noProof/>
        </w:rPr>
        <w:t>.</w:t>
      </w:r>
      <w:r w:rsidR="00C13C75" w:rsidRPr="00C13C75">
        <w:rPr>
          <w:noProof/>
        </w:rPr>
        <w:t> </w:t>
      </w:r>
      <w:r w:rsidR="00943ABC" w:rsidRPr="00C13C75">
        <w:rPr>
          <w:noProof/>
        </w:rPr>
        <w:t>1</w:t>
      </w:r>
      <w:r w:rsidR="00943ABC" w:rsidRPr="00853D04">
        <w:rPr>
          <w:noProof/>
        </w:rPr>
        <w:t xml:space="preserve">8 </w:t>
      </w:r>
      <w:r w:rsidR="00943ABC" w:rsidRPr="00C13C75">
        <w:rPr>
          <w:noProof/>
        </w:rPr>
        <w:t>ust.</w:t>
      </w:r>
      <w:r w:rsidR="00C13C75" w:rsidRPr="00C13C75">
        <w:rPr>
          <w:noProof/>
        </w:rPr>
        <w:t> </w:t>
      </w:r>
      <w:r w:rsidR="00943ABC" w:rsidRPr="00C13C75">
        <w:rPr>
          <w:noProof/>
        </w:rPr>
        <w:t>1</w:t>
      </w:r>
      <w:r w:rsidR="00943ABC" w:rsidRPr="00853D04">
        <w:rPr>
          <w:noProof/>
        </w:rPr>
        <w:t xml:space="preserve"> </w:t>
      </w:r>
      <w:r w:rsidR="00943ABC" w:rsidRPr="00C13C75">
        <w:rPr>
          <w:noProof/>
        </w:rPr>
        <w:t>lit.</w:t>
      </w:r>
      <w:r w:rsidR="00C13C75" w:rsidRPr="00C13C75">
        <w:rPr>
          <w:noProof/>
        </w:rPr>
        <w:t> </w:t>
      </w:r>
      <w:r w:rsidR="00943ABC" w:rsidRPr="00C13C75">
        <w:rPr>
          <w:noProof/>
        </w:rPr>
        <w:t>d)</w:t>
      </w:r>
      <w:r w:rsidR="00943ABC" w:rsidRPr="00853D04">
        <w:rPr>
          <w:noProof/>
        </w:rPr>
        <w:t>,</w:t>
      </w:r>
      <w:r w:rsidR="00C13C75" w:rsidRPr="00853D04">
        <w:rPr>
          <w:noProof/>
        </w:rPr>
        <w:t xml:space="preserve"> i</w:t>
      </w:r>
      <w:r w:rsidR="00C13C75">
        <w:rPr>
          <w:noProof/>
        </w:rPr>
        <w:t> </w:t>
      </w:r>
      <w:r w:rsidR="00C13C75" w:rsidRPr="00853D04">
        <w:rPr>
          <w:noProof/>
        </w:rPr>
        <w:t>zaw</w:t>
      </w:r>
      <w:r w:rsidR="00943ABC" w:rsidRPr="00853D04">
        <w:rPr>
          <w:noProof/>
        </w:rPr>
        <w:t>ierającej należycie uzasadnioną obawę, że cele opisane</w:t>
      </w:r>
      <w:r w:rsidR="00C13C75" w:rsidRPr="00853D04">
        <w:rPr>
          <w:noProof/>
        </w:rPr>
        <w:t xml:space="preserve"> w</w:t>
      </w:r>
      <w:r w:rsidR="00C13C75">
        <w:rPr>
          <w:noProof/>
        </w:rPr>
        <w:t> </w:t>
      </w:r>
      <w:r w:rsidR="00C13C75" w:rsidRPr="00853D04">
        <w:rPr>
          <w:noProof/>
        </w:rPr>
        <w:t>sta</w:t>
      </w:r>
      <w:r w:rsidR="00943ABC" w:rsidRPr="00853D04">
        <w:rPr>
          <w:noProof/>
        </w:rPr>
        <w:t>tucie europejskiego stowarzyszenia transgranicznego mogą być sprzeczne</w:t>
      </w:r>
      <w:r w:rsidR="00C13C75" w:rsidRPr="00853D04">
        <w:rPr>
          <w:noProof/>
        </w:rPr>
        <w:t xml:space="preserve"> z</w:t>
      </w:r>
      <w:r w:rsidR="00C13C75">
        <w:rPr>
          <w:noProof/>
        </w:rPr>
        <w:t> </w:t>
      </w:r>
      <w:r w:rsidR="00C13C75" w:rsidRPr="00853D04">
        <w:rPr>
          <w:noProof/>
        </w:rPr>
        <w:t>prz</w:t>
      </w:r>
      <w:r w:rsidR="00943ABC" w:rsidRPr="00853D04">
        <w:rPr>
          <w:noProof/>
        </w:rPr>
        <w:t>episami prawa krajowego tego państwa członkowskiego,</w:t>
      </w:r>
      <w:r w:rsidR="00C13C75" w:rsidRPr="00853D04">
        <w:rPr>
          <w:noProof/>
        </w:rPr>
        <w:t xml:space="preserve"> w</w:t>
      </w:r>
      <w:r w:rsidR="00C13C75">
        <w:rPr>
          <w:noProof/>
        </w:rPr>
        <w:t> </w:t>
      </w:r>
      <w:r w:rsidR="00C13C75" w:rsidRPr="00853D04">
        <w:rPr>
          <w:noProof/>
        </w:rPr>
        <w:t>prz</w:t>
      </w:r>
      <w:r w:rsidR="00943ABC" w:rsidRPr="00853D04">
        <w:rPr>
          <w:noProof/>
        </w:rPr>
        <w:t xml:space="preserve">ypadku gdy te dokumenty lub informacje są niezbędne do oceny tej kwestii. </w:t>
      </w:r>
    </w:p>
    <w:p w14:paraId="4CED606B" w14:textId="263D0484" w:rsidR="00FA67C3" w:rsidRPr="00853D04" w:rsidRDefault="008D78F5" w:rsidP="008D78F5">
      <w:pPr>
        <w:pStyle w:val="ManualNumPar1"/>
        <w:rPr>
          <w:noProof/>
        </w:rPr>
      </w:pPr>
      <w:r w:rsidRPr="008D78F5">
        <w:t>5.</w:t>
      </w:r>
      <w:r w:rsidRPr="008D78F5">
        <w:tab/>
      </w:r>
      <w:r w:rsidR="000167EA" w:rsidRPr="00853D04">
        <w:rPr>
          <w:noProof/>
        </w:rPr>
        <w:t>Państwa członkowskie zapewniają, aby właściwy organ państwa członkowskiego, do którego europejskie stowarzyszenie transgraniczne zamierza przenieść swoją siedzibę statutową, był upoważniony do podjęcia decyzji</w:t>
      </w:r>
      <w:r w:rsidR="00C13C75" w:rsidRPr="00853D04">
        <w:rPr>
          <w:noProof/>
        </w:rPr>
        <w:t xml:space="preserve"> w</w:t>
      </w:r>
      <w:r w:rsidR="00C13C75">
        <w:rPr>
          <w:noProof/>
        </w:rPr>
        <w:t> </w:t>
      </w:r>
      <w:r w:rsidR="00C13C75" w:rsidRPr="00853D04">
        <w:rPr>
          <w:noProof/>
        </w:rPr>
        <w:t>spr</w:t>
      </w:r>
      <w:r w:rsidR="000167EA" w:rsidRPr="00853D04">
        <w:rPr>
          <w:noProof/>
        </w:rPr>
        <w:t>awie wniosku</w:t>
      </w:r>
      <w:r w:rsidR="00C13C75" w:rsidRPr="00853D04">
        <w:rPr>
          <w:noProof/>
        </w:rPr>
        <w:t xml:space="preserve"> o</w:t>
      </w:r>
      <w:r w:rsidR="00C13C75">
        <w:rPr>
          <w:noProof/>
        </w:rPr>
        <w:t> </w:t>
      </w:r>
      <w:r w:rsidR="00C13C75" w:rsidRPr="00853D04">
        <w:rPr>
          <w:noProof/>
        </w:rPr>
        <w:t>prz</w:t>
      </w:r>
      <w:r w:rsidR="000167EA" w:rsidRPr="00853D04">
        <w:rPr>
          <w:noProof/>
        </w:rPr>
        <w:t>eniesienie. Ten właściwy organ jest uprawniony do odrzucenia wniosku tylko wtedy, gdy:</w:t>
      </w:r>
    </w:p>
    <w:p w14:paraId="4998B586" w14:textId="11598991" w:rsidR="00446AD7" w:rsidRPr="00853D04" w:rsidRDefault="00C13C75" w:rsidP="00C13C75">
      <w:pPr>
        <w:pStyle w:val="Point1"/>
        <w:rPr>
          <w:noProof/>
        </w:rPr>
      </w:pPr>
      <w:r>
        <w:rPr>
          <w:noProof/>
        </w:rPr>
        <w:t>a)</w:t>
      </w:r>
      <w:r>
        <w:rPr>
          <w:noProof/>
        </w:rPr>
        <w:tab/>
      </w:r>
      <w:r w:rsidR="000167EA" w:rsidRPr="00853D04">
        <w:rPr>
          <w:noProof/>
        </w:rPr>
        <w:t>wymogi określone</w:t>
      </w:r>
      <w:r w:rsidRPr="00853D04">
        <w:rPr>
          <w:noProof/>
        </w:rPr>
        <w:t xml:space="preserve"> w</w:t>
      </w:r>
      <w:r>
        <w:rPr>
          <w:noProof/>
        </w:rPr>
        <w:t> </w:t>
      </w:r>
      <w:r w:rsidRPr="00C13C75">
        <w:rPr>
          <w:noProof/>
        </w:rPr>
        <w:t>ust</w:t>
      </w:r>
      <w:r w:rsidR="000167EA" w:rsidRPr="00C13C75">
        <w:rPr>
          <w:noProof/>
        </w:rPr>
        <w:t>.</w:t>
      </w:r>
      <w:r w:rsidRPr="00C13C75">
        <w:rPr>
          <w:noProof/>
        </w:rPr>
        <w:t> </w:t>
      </w:r>
      <w:r w:rsidR="000167EA" w:rsidRPr="00C13C75">
        <w:rPr>
          <w:noProof/>
        </w:rPr>
        <w:t>2</w:t>
      </w:r>
      <w:r w:rsidR="000167EA" w:rsidRPr="00853D04">
        <w:rPr>
          <w:noProof/>
        </w:rPr>
        <w:t xml:space="preserve"> niniejszego artykułu nie są spełnione;</w:t>
      </w:r>
    </w:p>
    <w:p w14:paraId="0278A88E" w14:textId="053B69DC" w:rsidR="00446AD7" w:rsidRPr="00853D04" w:rsidRDefault="00C13C75" w:rsidP="00C13C75">
      <w:pPr>
        <w:pStyle w:val="Point1"/>
        <w:rPr>
          <w:noProof/>
        </w:rPr>
      </w:pPr>
      <w:r>
        <w:rPr>
          <w:noProof/>
        </w:rPr>
        <w:t>b)</w:t>
      </w:r>
      <w:r>
        <w:rPr>
          <w:noProof/>
        </w:rPr>
        <w:tab/>
      </w:r>
      <w:r w:rsidR="00B728C4" w:rsidRPr="00853D04">
        <w:rPr>
          <w:noProof/>
        </w:rPr>
        <w:t xml:space="preserve">wniosek nie zawiera wszystkich elementów wymaganych na mocy </w:t>
      </w:r>
      <w:r w:rsidR="00B728C4" w:rsidRPr="00C13C75">
        <w:rPr>
          <w:noProof/>
        </w:rPr>
        <w:t>ust.</w:t>
      </w:r>
      <w:r w:rsidRPr="00C13C75">
        <w:rPr>
          <w:noProof/>
        </w:rPr>
        <w:t> </w:t>
      </w:r>
      <w:r w:rsidR="00B728C4" w:rsidRPr="00C13C75">
        <w:rPr>
          <w:noProof/>
        </w:rPr>
        <w:t>3</w:t>
      </w:r>
      <w:r w:rsidR="00B728C4" w:rsidRPr="00853D04">
        <w:rPr>
          <w:noProof/>
        </w:rPr>
        <w:t>;</w:t>
      </w:r>
    </w:p>
    <w:p w14:paraId="69E6FF03" w14:textId="699A7661" w:rsidR="00446AD7" w:rsidRPr="00853D04" w:rsidRDefault="00C13C75" w:rsidP="00C13C75">
      <w:pPr>
        <w:pStyle w:val="Point1"/>
        <w:rPr>
          <w:noProof/>
        </w:rPr>
      </w:pPr>
      <w:r>
        <w:rPr>
          <w:noProof/>
        </w:rPr>
        <w:t>c)</w:t>
      </w:r>
      <w:r>
        <w:rPr>
          <w:noProof/>
        </w:rPr>
        <w:tab/>
      </w:r>
      <w:r w:rsidR="000167EA" w:rsidRPr="00853D04">
        <w:rPr>
          <w:noProof/>
        </w:rPr>
        <w:t>ma miejsce jedna</w:t>
      </w:r>
      <w:r w:rsidRPr="00853D04">
        <w:rPr>
          <w:noProof/>
        </w:rPr>
        <w:t xml:space="preserve"> z</w:t>
      </w:r>
      <w:r>
        <w:rPr>
          <w:noProof/>
        </w:rPr>
        <w:t> </w:t>
      </w:r>
      <w:r w:rsidRPr="00853D04">
        <w:rPr>
          <w:noProof/>
        </w:rPr>
        <w:t>syt</w:t>
      </w:r>
      <w:r w:rsidR="000167EA" w:rsidRPr="00853D04">
        <w:rPr>
          <w:noProof/>
        </w:rPr>
        <w:t>uacji określonych</w:t>
      </w:r>
      <w:r w:rsidRPr="00853D04">
        <w:rPr>
          <w:noProof/>
        </w:rPr>
        <w:t xml:space="preserve"> w</w:t>
      </w:r>
      <w:r>
        <w:rPr>
          <w:noProof/>
        </w:rPr>
        <w:t> </w:t>
      </w:r>
      <w:r w:rsidRPr="00C13C75">
        <w:rPr>
          <w:noProof/>
        </w:rPr>
        <w:t>art</w:t>
      </w:r>
      <w:r w:rsidR="000167EA" w:rsidRPr="00C13C75">
        <w:rPr>
          <w:noProof/>
        </w:rPr>
        <w:t>.</w:t>
      </w:r>
      <w:r w:rsidRPr="00C13C75">
        <w:rPr>
          <w:noProof/>
        </w:rPr>
        <w:t> </w:t>
      </w:r>
      <w:r w:rsidR="000167EA" w:rsidRPr="00C13C75">
        <w:rPr>
          <w:noProof/>
        </w:rPr>
        <w:t>2</w:t>
      </w:r>
      <w:r w:rsidR="000167EA" w:rsidRPr="00853D04">
        <w:rPr>
          <w:noProof/>
        </w:rPr>
        <w:t xml:space="preserve">2 </w:t>
      </w:r>
      <w:r w:rsidR="000167EA" w:rsidRPr="00C13C75">
        <w:rPr>
          <w:noProof/>
        </w:rPr>
        <w:t>ust.</w:t>
      </w:r>
      <w:r w:rsidRPr="00C13C75">
        <w:rPr>
          <w:noProof/>
        </w:rPr>
        <w:t> </w:t>
      </w:r>
      <w:r w:rsidR="000167EA" w:rsidRPr="00C13C75">
        <w:rPr>
          <w:noProof/>
        </w:rPr>
        <w:t>4</w:t>
      </w:r>
      <w:r w:rsidR="000167EA" w:rsidRPr="00853D04">
        <w:rPr>
          <w:noProof/>
        </w:rPr>
        <w:t>;</w:t>
      </w:r>
    </w:p>
    <w:p w14:paraId="5DD21578" w14:textId="22AE1C6C" w:rsidR="000167EA" w:rsidRPr="00853D04" w:rsidRDefault="00C13C75" w:rsidP="00C13C75">
      <w:pPr>
        <w:pStyle w:val="Point1"/>
        <w:rPr>
          <w:noProof/>
        </w:rPr>
      </w:pPr>
      <w:r>
        <w:rPr>
          <w:noProof/>
        </w:rPr>
        <w:t>d)</w:t>
      </w:r>
      <w:r>
        <w:rPr>
          <w:noProof/>
        </w:rPr>
        <w:tab/>
      </w:r>
      <w:r w:rsidR="00932FAD" w:rsidRPr="00853D04">
        <w:rPr>
          <w:noProof/>
        </w:rPr>
        <w:t>właściwy organ stwierdzi, po podjęciu decyzji,</w:t>
      </w:r>
      <w:r w:rsidRPr="00853D04">
        <w:rPr>
          <w:noProof/>
        </w:rPr>
        <w:t xml:space="preserve"> o</w:t>
      </w:r>
      <w:r>
        <w:rPr>
          <w:noProof/>
        </w:rPr>
        <w:t> </w:t>
      </w:r>
      <w:r w:rsidRPr="00853D04">
        <w:rPr>
          <w:noProof/>
        </w:rPr>
        <w:t>któ</w:t>
      </w:r>
      <w:r w:rsidR="00932FAD" w:rsidRPr="00853D04">
        <w:rPr>
          <w:noProof/>
        </w:rPr>
        <w:t>rej mowa</w:t>
      </w:r>
      <w:r w:rsidRPr="00853D04">
        <w:rPr>
          <w:noProof/>
        </w:rPr>
        <w:t xml:space="preserve"> w</w:t>
      </w:r>
      <w:r>
        <w:rPr>
          <w:noProof/>
        </w:rPr>
        <w:t> </w:t>
      </w:r>
      <w:r w:rsidRPr="00853D04">
        <w:rPr>
          <w:noProof/>
        </w:rPr>
        <w:t>nin</w:t>
      </w:r>
      <w:r w:rsidR="00932FAD" w:rsidRPr="00853D04">
        <w:rPr>
          <w:noProof/>
        </w:rPr>
        <w:t>iejszym ustępie, i po dokonaniu oceny wszystkich dokumentów</w:t>
      </w:r>
      <w:r w:rsidRPr="00853D04">
        <w:rPr>
          <w:noProof/>
        </w:rPr>
        <w:t xml:space="preserve"> i</w:t>
      </w:r>
      <w:r>
        <w:rPr>
          <w:noProof/>
        </w:rPr>
        <w:t> </w:t>
      </w:r>
      <w:r w:rsidRPr="00853D04">
        <w:rPr>
          <w:noProof/>
        </w:rPr>
        <w:t>inf</w:t>
      </w:r>
      <w:r w:rsidR="00932FAD" w:rsidRPr="00853D04">
        <w:rPr>
          <w:noProof/>
        </w:rPr>
        <w:t>ormacji przekazanych</w:t>
      </w:r>
      <w:r w:rsidRPr="00853D04">
        <w:rPr>
          <w:noProof/>
        </w:rPr>
        <w:t xml:space="preserve"> w</w:t>
      </w:r>
      <w:r>
        <w:rPr>
          <w:noProof/>
        </w:rPr>
        <w:t> </w:t>
      </w:r>
      <w:r w:rsidRPr="00853D04">
        <w:rPr>
          <w:noProof/>
        </w:rPr>
        <w:t>odp</w:t>
      </w:r>
      <w:r w:rsidR="00932FAD" w:rsidRPr="00853D04">
        <w:rPr>
          <w:noProof/>
        </w:rPr>
        <w:t>owiedzi na tę decyzję, że cele opisane</w:t>
      </w:r>
      <w:r w:rsidRPr="00853D04">
        <w:rPr>
          <w:noProof/>
        </w:rPr>
        <w:t xml:space="preserve"> w</w:t>
      </w:r>
      <w:r>
        <w:rPr>
          <w:noProof/>
        </w:rPr>
        <w:t> </w:t>
      </w:r>
      <w:r w:rsidRPr="00853D04">
        <w:rPr>
          <w:noProof/>
        </w:rPr>
        <w:t>sta</w:t>
      </w:r>
      <w:r w:rsidR="00932FAD" w:rsidRPr="00853D04">
        <w:rPr>
          <w:noProof/>
        </w:rPr>
        <w:t>tucie europejskiego stowarzyszenia transgranicznego byłyby sprzeczne</w:t>
      </w:r>
      <w:r w:rsidRPr="00853D04">
        <w:rPr>
          <w:noProof/>
        </w:rPr>
        <w:t xml:space="preserve"> z</w:t>
      </w:r>
      <w:r>
        <w:rPr>
          <w:noProof/>
        </w:rPr>
        <w:t> </w:t>
      </w:r>
      <w:r w:rsidRPr="00853D04">
        <w:rPr>
          <w:noProof/>
        </w:rPr>
        <w:t>pra</w:t>
      </w:r>
      <w:r w:rsidR="00932FAD" w:rsidRPr="00853D04">
        <w:rPr>
          <w:noProof/>
        </w:rPr>
        <w:t>wem krajowym zgodnym</w:t>
      </w:r>
      <w:r w:rsidRPr="00853D04">
        <w:rPr>
          <w:noProof/>
        </w:rPr>
        <w:t xml:space="preserve"> z</w:t>
      </w:r>
      <w:r>
        <w:rPr>
          <w:noProof/>
        </w:rPr>
        <w:t> </w:t>
      </w:r>
      <w:r w:rsidRPr="00853D04">
        <w:rPr>
          <w:noProof/>
        </w:rPr>
        <w:t>pra</w:t>
      </w:r>
      <w:r w:rsidR="00932FAD" w:rsidRPr="00853D04">
        <w:rPr>
          <w:noProof/>
        </w:rPr>
        <w:t>wem Unii;</w:t>
      </w:r>
    </w:p>
    <w:p w14:paraId="5F8E8558" w14:textId="2951126F" w:rsidR="00DA1725" w:rsidRPr="00853D04" w:rsidRDefault="008D78F5" w:rsidP="008D78F5">
      <w:pPr>
        <w:pStyle w:val="ManualNumPar1"/>
        <w:rPr>
          <w:noProof/>
        </w:rPr>
      </w:pPr>
      <w:r w:rsidRPr="008D78F5">
        <w:t>6.</w:t>
      </w:r>
      <w:r w:rsidRPr="008D78F5">
        <w:tab/>
      </w:r>
      <w:r w:rsidR="00DA1725" w:rsidRPr="00853D04">
        <w:rPr>
          <w:noProof/>
        </w:rPr>
        <w:t>Właściwy organ przyjmuje decyzję,</w:t>
      </w:r>
      <w:r w:rsidR="00C13C75" w:rsidRPr="00853D04">
        <w:rPr>
          <w:noProof/>
        </w:rPr>
        <w:t xml:space="preserve"> o</w:t>
      </w:r>
      <w:r w:rsidR="00C13C75">
        <w:rPr>
          <w:noProof/>
        </w:rPr>
        <w:t> </w:t>
      </w:r>
      <w:r w:rsidR="00C13C75" w:rsidRPr="00853D04">
        <w:rPr>
          <w:noProof/>
        </w:rPr>
        <w:t>któ</w:t>
      </w:r>
      <w:r w:rsidR="00DA1725" w:rsidRPr="00853D04">
        <w:rPr>
          <w:noProof/>
        </w:rPr>
        <w:t>rej mowa</w:t>
      </w:r>
      <w:r w:rsidR="00C13C75" w:rsidRPr="00853D04">
        <w:rPr>
          <w:noProof/>
        </w:rPr>
        <w:t xml:space="preserve"> w</w:t>
      </w:r>
      <w:r w:rsidR="00C13C75">
        <w:rPr>
          <w:noProof/>
        </w:rPr>
        <w:t> </w:t>
      </w:r>
      <w:r w:rsidR="00C13C75" w:rsidRPr="00C13C75">
        <w:rPr>
          <w:noProof/>
        </w:rPr>
        <w:t>ust</w:t>
      </w:r>
      <w:r w:rsidR="00DA1725" w:rsidRPr="00C13C75">
        <w:rPr>
          <w:noProof/>
        </w:rPr>
        <w:t>.</w:t>
      </w:r>
      <w:r w:rsidR="00C13C75" w:rsidRPr="00C13C75">
        <w:rPr>
          <w:noProof/>
        </w:rPr>
        <w:t> </w:t>
      </w:r>
      <w:r w:rsidR="00DA1725" w:rsidRPr="00C13C75">
        <w:rPr>
          <w:noProof/>
        </w:rPr>
        <w:t>5</w:t>
      </w:r>
      <w:r w:rsidR="00DA1725" w:rsidRPr="00853D04">
        <w:rPr>
          <w:noProof/>
        </w:rPr>
        <w:t xml:space="preserve"> niniejszego artykułu,</w:t>
      </w:r>
      <w:r w:rsidR="00C13C75" w:rsidRPr="00853D04">
        <w:rPr>
          <w:noProof/>
        </w:rPr>
        <w:t xml:space="preserve"> w</w:t>
      </w:r>
      <w:r w:rsidR="00C13C75">
        <w:rPr>
          <w:noProof/>
        </w:rPr>
        <w:t> </w:t>
      </w:r>
      <w:r w:rsidR="00C13C75" w:rsidRPr="00853D04">
        <w:rPr>
          <w:noProof/>
        </w:rPr>
        <w:t>ter</w:t>
      </w:r>
      <w:r w:rsidR="00DA1725" w:rsidRPr="00853D04">
        <w:rPr>
          <w:noProof/>
        </w:rPr>
        <w:t>minie 30 dni od otrzymania wniosku</w:t>
      </w:r>
      <w:r w:rsidR="00C13C75" w:rsidRPr="00853D04">
        <w:rPr>
          <w:noProof/>
        </w:rPr>
        <w:t xml:space="preserve"> o</w:t>
      </w:r>
      <w:r w:rsidR="00C13C75">
        <w:rPr>
          <w:noProof/>
        </w:rPr>
        <w:t> </w:t>
      </w:r>
      <w:r w:rsidR="00C13C75" w:rsidRPr="00853D04">
        <w:rPr>
          <w:noProof/>
        </w:rPr>
        <w:t>prz</w:t>
      </w:r>
      <w:r w:rsidR="00DA1725" w:rsidRPr="00853D04">
        <w:rPr>
          <w:noProof/>
        </w:rPr>
        <w:t>eniesienie siedziby statutowej,</w:t>
      </w:r>
      <w:r w:rsidR="00C13C75" w:rsidRPr="00853D04">
        <w:rPr>
          <w:noProof/>
        </w:rPr>
        <w:t xml:space="preserve"> o</w:t>
      </w:r>
      <w:r w:rsidR="00C13C75">
        <w:rPr>
          <w:noProof/>
        </w:rPr>
        <w:t> </w:t>
      </w:r>
      <w:r w:rsidR="00C13C75" w:rsidRPr="00853D04">
        <w:rPr>
          <w:noProof/>
        </w:rPr>
        <w:t>któ</w:t>
      </w:r>
      <w:r w:rsidR="00DA1725" w:rsidRPr="00853D04">
        <w:rPr>
          <w:noProof/>
        </w:rPr>
        <w:t>rym mowa</w:t>
      </w:r>
      <w:r w:rsidR="00C13C75" w:rsidRPr="00853D04">
        <w:rPr>
          <w:noProof/>
        </w:rPr>
        <w:t xml:space="preserve"> w</w:t>
      </w:r>
      <w:r w:rsidR="00C13C75">
        <w:rPr>
          <w:noProof/>
        </w:rPr>
        <w:t> </w:t>
      </w:r>
      <w:r w:rsidR="00C13C75" w:rsidRPr="00C13C75">
        <w:rPr>
          <w:noProof/>
        </w:rPr>
        <w:t>ust</w:t>
      </w:r>
      <w:r w:rsidR="00DA1725" w:rsidRPr="00C13C75">
        <w:rPr>
          <w:noProof/>
        </w:rPr>
        <w:t>.</w:t>
      </w:r>
      <w:r w:rsidR="00C13C75" w:rsidRPr="00C13C75">
        <w:rPr>
          <w:noProof/>
        </w:rPr>
        <w:t> </w:t>
      </w:r>
      <w:r w:rsidR="00DA1725" w:rsidRPr="00C13C75">
        <w:rPr>
          <w:noProof/>
        </w:rPr>
        <w:t>3</w:t>
      </w:r>
      <w:r w:rsidR="00DA1725" w:rsidRPr="00853D04">
        <w:rPr>
          <w:noProof/>
        </w:rPr>
        <w:t>.</w:t>
      </w:r>
    </w:p>
    <w:p w14:paraId="799E5842" w14:textId="04FE42B0" w:rsidR="00124D61" w:rsidRPr="00853D04" w:rsidRDefault="008D78F5" w:rsidP="008D78F5">
      <w:pPr>
        <w:pStyle w:val="ManualNumPar1"/>
        <w:rPr>
          <w:noProof/>
        </w:rPr>
      </w:pPr>
      <w:r w:rsidRPr="008D78F5">
        <w:t>7.</w:t>
      </w:r>
      <w:r w:rsidRPr="008D78F5">
        <w:tab/>
      </w:r>
      <w:r w:rsidR="00932FAD" w:rsidRPr="00853D04">
        <w:rPr>
          <w:noProof/>
        </w:rPr>
        <w:t xml:space="preserve">Niezależnie od </w:t>
      </w:r>
      <w:r w:rsidR="00932FAD" w:rsidRPr="00C13C75">
        <w:rPr>
          <w:noProof/>
        </w:rPr>
        <w:t>ust.</w:t>
      </w:r>
      <w:r w:rsidR="00C13C75" w:rsidRPr="00C13C75">
        <w:rPr>
          <w:noProof/>
        </w:rPr>
        <w:t> </w:t>
      </w:r>
      <w:r w:rsidR="00932FAD" w:rsidRPr="00C13C75">
        <w:rPr>
          <w:noProof/>
        </w:rPr>
        <w:t>6</w:t>
      </w:r>
      <w:r w:rsidR="00932FAD" w:rsidRPr="00853D04">
        <w:rPr>
          <w:noProof/>
        </w:rPr>
        <w:t xml:space="preserve"> państwa członkowskie zapewniają, aby przeniesienie miało miejsce</w:t>
      </w:r>
      <w:r w:rsidR="00C13C75" w:rsidRPr="00853D04">
        <w:rPr>
          <w:noProof/>
        </w:rPr>
        <w:t xml:space="preserve"> w</w:t>
      </w:r>
      <w:r w:rsidR="00C13C75">
        <w:rPr>
          <w:noProof/>
        </w:rPr>
        <w:t> </w:t>
      </w:r>
      <w:r w:rsidR="00C13C75" w:rsidRPr="00853D04">
        <w:rPr>
          <w:noProof/>
        </w:rPr>
        <w:t>cią</w:t>
      </w:r>
      <w:r w:rsidR="00932FAD" w:rsidRPr="00853D04">
        <w:rPr>
          <w:noProof/>
        </w:rPr>
        <w:t>gu 30 dni od złożenia kompletnego wniosku.</w:t>
      </w:r>
    </w:p>
    <w:p w14:paraId="4AACCD45" w14:textId="26397305" w:rsidR="00124D61" w:rsidRPr="00853D04" w:rsidRDefault="008D78F5" w:rsidP="008D78F5">
      <w:pPr>
        <w:pStyle w:val="ManualNumPar1"/>
        <w:rPr>
          <w:noProof/>
        </w:rPr>
      </w:pPr>
      <w:r w:rsidRPr="008D78F5">
        <w:t>8.</w:t>
      </w:r>
      <w:r w:rsidRPr="008D78F5">
        <w:tab/>
      </w:r>
      <w:r w:rsidR="00124D61" w:rsidRPr="00853D04">
        <w:rPr>
          <w:noProof/>
        </w:rPr>
        <w:t>Jeżeli informacje przekazane do celów przeniesienia są niekompletne lub zawierają oczywiste błędy, właściwy organ zwraca się do europejskiego stowarzyszenia transgranicznego</w:t>
      </w:r>
      <w:r w:rsidR="00C13C75" w:rsidRPr="00853D04">
        <w:rPr>
          <w:noProof/>
        </w:rPr>
        <w:t xml:space="preserve"> o</w:t>
      </w:r>
      <w:r w:rsidR="00C13C75">
        <w:rPr>
          <w:noProof/>
        </w:rPr>
        <w:t> </w:t>
      </w:r>
      <w:r w:rsidR="00C13C75" w:rsidRPr="00853D04">
        <w:rPr>
          <w:noProof/>
        </w:rPr>
        <w:t>uzu</w:t>
      </w:r>
      <w:r w:rsidR="00124D61" w:rsidRPr="00853D04">
        <w:rPr>
          <w:noProof/>
        </w:rPr>
        <w:t>pełnienie lub skorygowanie przedłożonych informacji</w:t>
      </w:r>
      <w:r w:rsidR="00C13C75" w:rsidRPr="00853D04">
        <w:rPr>
          <w:noProof/>
        </w:rPr>
        <w:t xml:space="preserve"> w</w:t>
      </w:r>
      <w:r w:rsidR="00C13C75">
        <w:rPr>
          <w:noProof/>
        </w:rPr>
        <w:t> </w:t>
      </w:r>
      <w:r w:rsidR="00C13C75" w:rsidRPr="00853D04">
        <w:rPr>
          <w:noProof/>
        </w:rPr>
        <w:t>roz</w:t>
      </w:r>
      <w:r w:rsidR="00124D61" w:rsidRPr="00853D04">
        <w:rPr>
          <w:noProof/>
        </w:rPr>
        <w:t>sądnym terminie, który nie może być krótszy niż 15 dni od dnia,</w:t>
      </w:r>
      <w:r w:rsidR="00C13C75" w:rsidRPr="00853D04">
        <w:rPr>
          <w:noProof/>
        </w:rPr>
        <w:t xml:space="preserve"> w</w:t>
      </w:r>
      <w:r w:rsidR="00C13C75">
        <w:rPr>
          <w:noProof/>
        </w:rPr>
        <w:t> </w:t>
      </w:r>
      <w:r w:rsidR="00C13C75" w:rsidRPr="00853D04">
        <w:rPr>
          <w:noProof/>
        </w:rPr>
        <w:t>któ</w:t>
      </w:r>
      <w:r w:rsidR="00124D61" w:rsidRPr="00853D04">
        <w:rPr>
          <w:noProof/>
        </w:rPr>
        <w:t>rym właściwy organ kontaktuje się</w:t>
      </w:r>
      <w:r w:rsidR="00C13C75" w:rsidRPr="00853D04">
        <w:rPr>
          <w:noProof/>
        </w:rPr>
        <w:t xml:space="preserve"> z</w:t>
      </w:r>
      <w:r w:rsidR="00C13C75">
        <w:rPr>
          <w:noProof/>
        </w:rPr>
        <w:t> </w:t>
      </w:r>
      <w:r w:rsidR="00C13C75" w:rsidRPr="00853D04">
        <w:rPr>
          <w:noProof/>
        </w:rPr>
        <w:t>oso</w:t>
      </w:r>
      <w:r w:rsidR="00124D61" w:rsidRPr="00853D04">
        <w:rPr>
          <w:noProof/>
        </w:rPr>
        <w:t>bą upoważnioną do reprezentowania europejskiego stowarzyszenia transgranicznego,</w:t>
      </w:r>
      <w:r w:rsidR="00C13C75" w:rsidRPr="00853D04">
        <w:rPr>
          <w:noProof/>
        </w:rPr>
        <w:t xml:space="preserve"> o</w:t>
      </w:r>
      <w:r w:rsidR="00C13C75">
        <w:rPr>
          <w:noProof/>
        </w:rPr>
        <w:t> </w:t>
      </w:r>
      <w:r w:rsidR="00C13C75" w:rsidRPr="00853D04">
        <w:rPr>
          <w:noProof/>
        </w:rPr>
        <w:t>któ</w:t>
      </w:r>
      <w:r w:rsidR="00124D61" w:rsidRPr="00853D04">
        <w:rPr>
          <w:noProof/>
        </w:rPr>
        <w:t>rej mowa</w:t>
      </w:r>
      <w:r w:rsidR="00C13C75" w:rsidRPr="00853D04">
        <w:rPr>
          <w:noProof/>
        </w:rPr>
        <w:t xml:space="preserve"> w</w:t>
      </w:r>
      <w:r w:rsidR="00C13C75">
        <w:rPr>
          <w:noProof/>
        </w:rPr>
        <w:t> </w:t>
      </w:r>
      <w:r w:rsidR="00C13C75" w:rsidRPr="00C13C75">
        <w:rPr>
          <w:noProof/>
        </w:rPr>
        <w:t>art</w:t>
      </w:r>
      <w:r w:rsidR="00124D61" w:rsidRPr="00C13C75">
        <w:rPr>
          <w:noProof/>
        </w:rPr>
        <w:t>.</w:t>
      </w:r>
      <w:r w:rsidR="00C13C75" w:rsidRPr="00C13C75">
        <w:rPr>
          <w:noProof/>
        </w:rPr>
        <w:t> </w:t>
      </w:r>
      <w:r w:rsidR="00124D61" w:rsidRPr="00C13C75">
        <w:rPr>
          <w:noProof/>
        </w:rPr>
        <w:t>1</w:t>
      </w:r>
      <w:r w:rsidR="00124D61" w:rsidRPr="00853D04">
        <w:rPr>
          <w:noProof/>
        </w:rPr>
        <w:t xml:space="preserve">8 </w:t>
      </w:r>
      <w:r w:rsidR="00124D61" w:rsidRPr="00C13C75">
        <w:rPr>
          <w:noProof/>
        </w:rPr>
        <w:t>ust.</w:t>
      </w:r>
      <w:r w:rsidR="00C13C75" w:rsidRPr="00C13C75">
        <w:rPr>
          <w:noProof/>
        </w:rPr>
        <w:t> </w:t>
      </w:r>
      <w:r w:rsidR="00124D61" w:rsidRPr="00C13C75">
        <w:rPr>
          <w:noProof/>
        </w:rPr>
        <w:t>1</w:t>
      </w:r>
      <w:r w:rsidR="00124D61" w:rsidRPr="00853D04">
        <w:rPr>
          <w:noProof/>
        </w:rPr>
        <w:t xml:space="preserve"> </w:t>
      </w:r>
      <w:r w:rsidR="00124D61" w:rsidRPr="00C13C75">
        <w:rPr>
          <w:noProof/>
        </w:rPr>
        <w:t>lit.</w:t>
      </w:r>
      <w:r w:rsidR="00C13C75" w:rsidRPr="00C13C75">
        <w:rPr>
          <w:noProof/>
        </w:rPr>
        <w:t> </w:t>
      </w:r>
      <w:r w:rsidR="00124D61" w:rsidRPr="00C13C75">
        <w:rPr>
          <w:noProof/>
        </w:rPr>
        <w:t>d)</w:t>
      </w:r>
      <w:r w:rsidR="00124D61" w:rsidRPr="00853D04">
        <w:rPr>
          <w:noProof/>
        </w:rPr>
        <w:t>.</w:t>
      </w:r>
    </w:p>
    <w:p w14:paraId="624B9C1E" w14:textId="7E588D80" w:rsidR="00D22A08" w:rsidRPr="00853D04" w:rsidRDefault="008D78F5" w:rsidP="008D78F5">
      <w:pPr>
        <w:pStyle w:val="ManualNumPar1"/>
        <w:rPr>
          <w:noProof/>
        </w:rPr>
      </w:pPr>
      <w:r w:rsidRPr="008D78F5">
        <w:t>9.</w:t>
      </w:r>
      <w:r w:rsidRPr="008D78F5">
        <w:tab/>
      </w:r>
      <w:r w:rsidR="00141B35" w:rsidRPr="00853D04">
        <w:rPr>
          <w:noProof/>
        </w:rPr>
        <w:t>Państwa członkowskie zapewniają, aby właściwy organ nowego państwa członkowskiego pochodzenia zarejestrował europejskie stowarzyszenie transgraniczne</w:t>
      </w:r>
      <w:r w:rsidR="00C13C75" w:rsidRPr="00853D04">
        <w:rPr>
          <w:noProof/>
        </w:rPr>
        <w:t xml:space="preserve"> i</w:t>
      </w:r>
      <w:r w:rsidR="00C13C75">
        <w:rPr>
          <w:noProof/>
        </w:rPr>
        <w:t> </w:t>
      </w:r>
      <w:r w:rsidR="00C13C75" w:rsidRPr="00853D04">
        <w:rPr>
          <w:noProof/>
        </w:rPr>
        <w:t>akt</w:t>
      </w:r>
      <w:r w:rsidR="00141B35" w:rsidRPr="00853D04">
        <w:rPr>
          <w:noProof/>
        </w:rPr>
        <w:t>ualizował certyfikat europejskiego stowarzyszenia transgranicznego</w:t>
      </w:r>
      <w:r w:rsidR="00C13C75" w:rsidRPr="00853D04">
        <w:rPr>
          <w:noProof/>
        </w:rPr>
        <w:t xml:space="preserve"> w</w:t>
      </w:r>
      <w:r w:rsidR="00C13C75">
        <w:rPr>
          <w:noProof/>
        </w:rPr>
        <w:t> </w:t>
      </w:r>
      <w:r w:rsidR="00C13C75" w:rsidRPr="00853D04">
        <w:rPr>
          <w:noProof/>
        </w:rPr>
        <w:t>odn</w:t>
      </w:r>
      <w:r w:rsidR="00141B35" w:rsidRPr="00853D04">
        <w:rPr>
          <w:noProof/>
        </w:rPr>
        <w:t>iesieniu do elementów wymienionych</w:t>
      </w:r>
      <w:r w:rsidR="00C13C75" w:rsidRPr="00853D04">
        <w:rPr>
          <w:noProof/>
        </w:rPr>
        <w:t xml:space="preserve"> w</w:t>
      </w:r>
      <w:r w:rsidR="00C13C75">
        <w:rPr>
          <w:noProof/>
        </w:rPr>
        <w:t> </w:t>
      </w:r>
      <w:r w:rsidR="00C13C75" w:rsidRPr="00C13C75">
        <w:rPr>
          <w:noProof/>
        </w:rPr>
        <w:t>art</w:t>
      </w:r>
      <w:r w:rsidR="00141B35" w:rsidRPr="00C13C75">
        <w:rPr>
          <w:noProof/>
        </w:rPr>
        <w:t>.</w:t>
      </w:r>
      <w:r w:rsidR="00C13C75" w:rsidRPr="00C13C75">
        <w:rPr>
          <w:noProof/>
        </w:rPr>
        <w:t> </w:t>
      </w:r>
      <w:r w:rsidR="00141B35" w:rsidRPr="00C13C75">
        <w:rPr>
          <w:noProof/>
        </w:rPr>
        <w:t>2</w:t>
      </w:r>
      <w:r w:rsidR="00141B35" w:rsidRPr="00853D04">
        <w:rPr>
          <w:noProof/>
        </w:rPr>
        <w:t xml:space="preserve">1 </w:t>
      </w:r>
      <w:r w:rsidR="00141B35" w:rsidRPr="00C13C75">
        <w:rPr>
          <w:noProof/>
        </w:rPr>
        <w:t>ust.</w:t>
      </w:r>
      <w:r w:rsidR="00C13C75" w:rsidRPr="00C13C75">
        <w:rPr>
          <w:noProof/>
        </w:rPr>
        <w:t> </w:t>
      </w:r>
      <w:r w:rsidR="00141B35" w:rsidRPr="00C13C75">
        <w:rPr>
          <w:noProof/>
        </w:rPr>
        <w:t>1</w:t>
      </w:r>
      <w:r w:rsidR="00141B35" w:rsidRPr="00853D04">
        <w:rPr>
          <w:noProof/>
        </w:rPr>
        <w:t xml:space="preserve">. </w:t>
      </w:r>
    </w:p>
    <w:p w14:paraId="09B112C1" w14:textId="1E8F6669" w:rsidR="00D86753" w:rsidRPr="00853D04" w:rsidRDefault="008D78F5" w:rsidP="008D78F5">
      <w:pPr>
        <w:pStyle w:val="ManualNumPar1"/>
        <w:rPr>
          <w:noProof/>
        </w:rPr>
      </w:pPr>
      <w:r w:rsidRPr="008D78F5">
        <w:t>10.</w:t>
      </w:r>
      <w:r w:rsidRPr="008D78F5">
        <w:tab/>
      </w:r>
      <w:r w:rsidR="00D22A08" w:rsidRPr="00853D04">
        <w:rPr>
          <w:noProof/>
        </w:rPr>
        <w:t>Państwa członkowskie zapewniają, aby właściwy organ państwa członkowskiego pochodzenia</w:t>
      </w:r>
      <w:r w:rsidR="00C13C75" w:rsidRPr="00853D04">
        <w:rPr>
          <w:noProof/>
        </w:rPr>
        <w:t xml:space="preserve"> w</w:t>
      </w:r>
      <w:r w:rsidR="00C13C75">
        <w:rPr>
          <w:noProof/>
        </w:rPr>
        <w:t> </w:t>
      </w:r>
      <w:r w:rsidR="00C13C75" w:rsidRPr="00853D04">
        <w:rPr>
          <w:noProof/>
        </w:rPr>
        <w:t>nas</w:t>
      </w:r>
      <w:r w:rsidR="00D22A08" w:rsidRPr="00853D04">
        <w:rPr>
          <w:noProof/>
        </w:rPr>
        <w:t>tępstwie przeniesienia siedziby statutowej niezwłocznie powiadomił właściwe organy innych państw członkowskich</w:t>
      </w:r>
      <w:r w:rsidR="00C13C75" w:rsidRPr="00853D04">
        <w:rPr>
          <w:noProof/>
        </w:rPr>
        <w:t xml:space="preserve"> o</w:t>
      </w:r>
      <w:r w:rsidR="00C13C75">
        <w:rPr>
          <w:noProof/>
        </w:rPr>
        <w:t> </w:t>
      </w:r>
      <w:r w:rsidR="00C13C75" w:rsidRPr="00853D04">
        <w:rPr>
          <w:noProof/>
        </w:rPr>
        <w:t>prz</w:t>
      </w:r>
      <w:r w:rsidR="00D22A08" w:rsidRPr="00853D04">
        <w:rPr>
          <w:noProof/>
        </w:rPr>
        <w:t>eniesieniu siedziby statutowej Po otrzymaniu tego powiadomienia właściwy organ poprzedniego państwa członkowskiego pochodzenia wykreśla europejskie stowarzyszenie transgraniczne</w:t>
      </w:r>
      <w:r w:rsidR="00C13C75" w:rsidRPr="00853D04">
        <w:rPr>
          <w:noProof/>
        </w:rPr>
        <w:t xml:space="preserve"> z</w:t>
      </w:r>
      <w:r w:rsidR="00C13C75">
        <w:rPr>
          <w:noProof/>
        </w:rPr>
        <w:t> </w:t>
      </w:r>
      <w:r w:rsidR="00C13C75" w:rsidRPr="00853D04">
        <w:rPr>
          <w:noProof/>
        </w:rPr>
        <w:t>rej</w:t>
      </w:r>
      <w:r w:rsidR="00D22A08" w:rsidRPr="00853D04">
        <w:rPr>
          <w:noProof/>
        </w:rPr>
        <w:t xml:space="preserve">estru. </w:t>
      </w:r>
    </w:p>
    <w:p w14:paraId="69292025" w14:textId="77777777" w:rsidR="007A387A" w:rsidRPr="00853D04" w:rsidRDefault="007A387A" w:rsidP="00FD1E32">
      <w:pPr>
        <w:pStyle w:val="Text1"/>
        <w:rPr>
          <w:noProof/>
        </w:rPr>
      </w:pPr>
    </w:p>
    <w:p w14:paraId="69C327D2" w14:textId="77777777" w:rsidR="00141B35" w:rsidRPr="00853D04" w:rsidRDefault="00141B35" w:rsidP="00141B35">
      <w:pPr>
        <w:pStyle w:val="ChapterTitle"/>
        <w:rPr>
          <w:noProof/>
        </w:rPr>
      </w:pPr>
      <w:r w:rsidRPr="00853D04">
        <w:rPr>
          <w:noProof/>
        </w:rPr>
        <w:t>Rozdział 5</w:t>
      </w:r>
    </w:p>
    <w:p w14:paraId="7EDB9135" w14:textId="77777777" w:rsidR="00141B35" w:rsidRPr="00853D04" w:rsidRDefault="00141B35" w:rsidP="00141B35">
      <w:pPr>
        <w:pStyle w:val="ChapterTitle"/>
        <w:rPr>
          <w:noProof/>
        </w:rPr>
      </w:pPr>
      <w:r w:rsidRPr="00853D04">
        <w:rPr>
          <w:noProof/>
        </w:rPr>
        <w:t>Rozwiązanie</w:t>
      </w:r>
    </w:p>
    <w:p w14:paraId="485E8A00" w14:textId="77777777" w:rsidR="00B8325B" w:rsidRPr="00853D04" w:rsidRDefault="00141B35" w:rsidP="00141B35">
      <w:pPr>
        <w:pStyle w:val="Titrearticle"/>
        <w:rPr>
          <w:noProof/>
        </w:rPr>
      </w:pPr>
      <w:r w:rsidRPr="00853D04">
        <w:rPr>
          <w:noProof/>
        </w:rPr>
        <w:t>Artykuł 24</w:t>
      </w:r>
    </w:p>
    <w:p w14:paraId="6DE103A1" w14:textId="77777777" w:rsidR="00FD5F87" w:rsidRPr="00853D04" w:rsidRDefault="0058429A" w:rsidP="00FD5F87">
      <w:pPr>
        <w:pStyle w:val="Titrearticle"/>
        <w:rPr>
          <w:noProof/>
        </w:rPr>
      </w:pPr>
      <w:r w:rsidRPr="00853D04">
        <w:rPr>
          <w:noProof/>
        </w:rPr>
        <w:t xml:space="preserve">Dobrowolne rozwiązanie </w:t>
      </w:r>
    </w:p>
    <w:p w14:paraId="6C552B53" w14:textId="6EFDED8E" w:rsidR="0058429A" w:rsidRPr="00853D04" w:rsidRDefault="008D78F5" w:rsidP="008D78F5">
      <w:pPr>
        <w:pStyle w:val="ManualNumPar1"/>
        <w:rPr>
          <w:noProof/>
        </w:rPr>
      </w:pPr>
      <w:r w:rsidRPr="008D78F5">
        <w:t>1.</w:t>
      </w:r>
      <w:r w:rsidRPr="008D78F5">
        <w:tab/>
      </w:r>
      <w:r w:rsidR="00FD5F87" w:rsidRPr="00853D04">
        <w:rPr>
          <w:noProof/>
        </w:rPr>
        <w:t>Państwa członkowskie zapewniają, aby europejskie stowarzyszenie transgraniczne mogło zostać rozwiązane wyłącznie decyzją jego członków</w:t>
      </w:r>
      <w:r w:rsidR="00C13C75" w:rsidRPr="00853D04">
        <w:rPr>
          <w:noProof/>
        </w:rPr>
        <w:t xml:space="preserve"> i</w:t>
      </w:r>
      <w:r w:rsidR="00C13C75">
        <w:rPr>
          <w:noProof/>
        </w:rPr>
        <w:t> </w:t>
      </w:r>
      <w:r w:rsidR="00C13C75" w:rsidRPr="00853D04">
        <w:rPr>
          <w:noProof/>
        </w:rPr>
        <w:t>wył</w:t>
      </w:r>
      <w:r w:rsidR="00FD5F87" w:rsidRPr="00853D04">
        <w:rPr>
          <w:noProof/>
        </w:rPr>
        <w:t>ącznie</w:t>
      </w:r>
      <w:r w:rsidR="00C13C75" w:rsidRPr="00853D04">
        <w:rPr>
          <w:noProof/>
        </w:rPr>
        <w:t xml:space="preserve"> w</w:t>
      </w:r>
      <w:r w:rsidR="00C13C75">
        <w:rPr>
          <w:noProof/>
        </w:rPr>
        <w:t> </w:t>
      </w:r>
      <w:r w:rsidR="00C13C75" w:rsidRPr="00853D04">
        <w:rPr>
          <w:noProof/>
        </w:rPr>
        <w:t>nas</w:t>
      </w:r>
      <w:r w:rsidR="00FD5F87" w:rsidRPr="00853D04">
        <w:rPr>
          <w:noProof/>
        </w:rPr>
        <w:t>tępujących przypadkach:</w:t>
      </w:r>
    </w:p>
    <w:p w14:paraId="1A6C0877" w14:textId="06F0A7E3" w:rsidR="0058429A" w:rsidRPr="00853D04" w:rsidRDefault="00C13C75" w:rsidP="00C13C75">
      <w:pPr>
        <w:pStyle w:val="Point1"/>
        <w:rPr>
          <w:noProof/>
        </w:rPr>
      </w:pPr>
      <w:r>
        <w:rPr>
          <w:noProof/>
        </w:rPr>
        <w:t>a)</w:t>
      </w:r>
      <w:r>
        <w:rPr>
          <w:noProof/>
        </w:rPr>
        <w:tab/>
      </w:r>
      <w:r w:rsidR="0058429A" w:rsidRPr="00853D04">
        <w:rPr>
          <w:noProof/>
        </w:rPr>
        <w:t>cel europejskiego stowarzyszenia transgranicznego został osiągnięty;</w:t>
      </w:r>
    </w:p>
    <w:p w14:paraId="3D8D73B4" w14:textId="1E28F742" w:rsidR="0058429A" w:rsidRPr="00853D04" w:rsidRDefault="00C13C75" w:rsidP="00C13C75">
      <w:pPr>
        <w:pStyle w:val="Point1"/>
        <w:rPr>
          <w:noProof/>
        </w:rPr>
      </w:pPr>
      <w:r>
        <w:rPr>
          <w:noProof/>
        </w:rPr>
        <w:t>b)</w:t>
      </w:r>
      <w:r>
        <w:rPr>
          <w:noProof/>
        </w:rPr>
        <w:tab/>
      </w:r>
      <w:r w:rsidR="0058429A" w:rsidRPr="00853D04">
        <w:rPr>
          <w:noProof/>
        </w:rPr>
        <w:t>upłynął czas trwania, na jaki zostało utworzone;</w:t>
      </w:r>
    </w:p>
    <w:p w14:paraId="769C9C40" w14:textId="3541C808" w:rsidR="0058429A" w:rsidRPr="00853D04" w:rsidRDefault="00C13C75" w:rsidP="00C13C75">
      <w:pPr>
        <w:pStyle w:val="Point1"/>
        <w:rPr>
          <w:noProof/>
        </w:rPr>
      </w:pPr>
      <w:r>
        <w:rPr>
          <w:noProof/>
        </w:rPr>
        <w:t>c)</w:t>
      </w:r>
      <w:r>
        <w:rPr>
          <w:noProof/>
        </w:rPr>
        <w:tab/>
      </w:r>
      <w:r w:rsidR="0058429A" w:rsidRPr="00853D04">
        <w:rPr>
          <w:noProof/>
        </w:rPr>
        <w:t>z jakiegokolwiek powodu zgodnego</w:t>
      </w:r>
      <w:r w:rsidRPr="00853D04">
        <w:rPr>
          <w:noProof/>
        </w:rPr>
        <w:t xml:space="preserve"> z</w:t>
      </w:r>
      <w:r>
        <w:rPr>
          <w:noProof/>
        </w:rPr>
        <w:t> </w:t>
      </w:r>
      <w:r w:rsidRPr="00853D04">
        <w:rPr>
          <w:noProof/>
        </w:rPr>
        <w:t>jeg</w:t>
      </w:r>
      <w:r w:rsidR="0058429A" w:rsidRPr="00853D04">
        <w:rPr>
          <w:noProof/>
        </w:rPr>
        <w:t>o statutem.</w:t>
      </w:r>
    </w:p>
    <w:p w14:paraId="7123379C" w14:textId="369AE2DC" w:rsidR="00210D19" w:rsidRPr="00853D04" w:rsidRDefault="008D78F5" w:rsidP="008D78F5">
      <w:pPr>
        <w:pStyle w:val="ManualNumPar1"/>
        <w:rPr>
          <w:noProof/>
        </w:rPr>
      </w:pPr>
      <w:r w:rsidRPr="008D78F5">
        <w:t>2.</w:t>
      </w:r>
      <w:r w:rsidRPr="008D78F5">
        <w:tab/>
      </w:r>
      <w:r w:rsidR="002B58CB" w:rsidRPr="00853D04">
        <w:rPr>
          <w:noProof/>
        </w:rPr>
        <w:t>Państwa członkowskie zapewniają, aby organ decyzyjny europejskiego stowarzyszenia transgranicznego był uprawniony do rozwiązania europejskiego stowarzyszenia transgranicznego jedynie</w:t>
      </w:r>
      <w:r w:rsidR="00C13C75" w:rsidRPr="00853D04">
        <w:rPr>
          <w:noProof/>
        </w:rPr>
        <w:t xml:space="preserve"> w</w:t>
      </w:r>
      <w:r w:rsidR="00C13C75">
        <w:rPr>
          <w:noProof/>
        </w:rPr>
        <w:t> </w:t>
      </w:r>
      <w:r w:rsidR="00C13C75" w:rsidRPr="00853D04">
        <w:rPr>
          <w:noProof/>
        </w:rPr>
        <w:t>dro</w:t>
      </w:r>
      <w:r w:rsidR="002B58CB" w:rsidRPr="00853D04">
        <w:rPr>
          <w:noProof/>
        </w:rPr>
        <w:t xml:space="preserve">dze decyzji podjętej większością dwóch trzecich oddanych głosów, reprezentujących co najmniej połowę wszystkich członków podczas nadzwyczajnego posiedzenia. </w:t>
      </w:r>
    </w:p>
    <w:p w14:paraId="6F195F51" w14:textId="64AB877C" w:rsidR="009417D3" w:rsidRPr="00853D04" w:rsidRDefault="009417D3" w:rsidP="00E72E59">
      <w:pPr>
        <w:rPr>
          <w:noProof/>
        </w:rPr>
      </w:pPr>
      <w:r w:rsidRPr="00853D04">
        <w:rPr>
          <w:noProof/>
        </w:rPr>
        <w:t>Państwa członkowskie zapewniają, aby po likwidacji europejskiego stowarzyszenia transgranicznego zgodnie</w:t>
      </w:r>
      <w:r w:rsidR="00C13C75" w:rsidRPr="00853D04">
        <w:rPr>
          <w:noProof/>
        </w:rPr>
        <w:t xml:space="preserve"> z</w:t>
      </w:r>
      <w:r w:rsidR="00C13C75">
        <w:rPr>
          <w:noProof/>
        </w:rPr>
        <w:t> </w:t>
      </w:r>
      <w:r w:rsidR="00C13C75" w:rsidRPr="00C13C75">
        <w:rPr>
          <w:noProof/>
        </w:rPr>
        <w:t>art</w:t>
      </w:r>
      <w:r w:rsidRPr="00C13C75">
        <w:rPr>
          <w:noProof/>
        </w:rPr>
        <w:t>.</w:t>
      </w:r>
      <w:r w:rsidR="00C13C75" w:rsidRPr="00C13C75">
        <w:rPr>
          <w:noProof/>
        </w:rPr>
        <w:t> </w:t>
      </w:r>
      <w:r w:rsidRPr="00C13C75">
        <w:rPr>
          <w:noProof/>
        </w:rPr>
        <w:t>2</w:t>
      </w:r>
      <w:r w:rsidRPr="00853D04">
        <w:rPr>
          <w:noProof/>
        </w:rPr>
        <w:t>8 właściwy organ wykreślił europejskie stowarzyszenie transgraniczne</w:t>
      </w:r>
      <w:r w:rsidR="00C13C75" w:rsidRPr="00853D04">
        <w:rPr>
          <w:noProof/>
        </w:rPr>
        <w:t xml:space="preserve"> z</w:t>
      </w:r>
      <w:r w:rsidR="00C13C75">
        <w:rPr>
          <w:noProof/>
        </w:rPr>
        <w:t> </w:t>
      </w:r>
      <w:r w:rsidR="00C13C75" w:rsidRPr="00853D04">
        <w:rPr>
          <w:noProof/>
        </w:rPr>
        <w:t>rej</w:t>
      </w:r>
      <w:r w:rsidRPr="00853D04">
        <w:rPr>
          <w:noProof/>
        </w:rPr>
        <w:t>estru dopiero po zakończeniu likwidacji oraz aby stosowne informacje w IMI były odpowiednio aktualizowane.</w:t>
      </w:r>
    </w:p>
    <w:p w14:paraId="3B6AAC2C" w14:textId="77777777" w:rsidR="0058429A" w:rsidRPr="00853D04" w:rsidRDefault="0058429A" w:rsidP="003569E5">
      <w:pPr>
        <w:pStyle w:val="Titrearticle"/>
        <w:rPr>
          <w:noProof/>
        </w:rPr>
      </w:pPr>
      <w:r w:rsidRPr="00853D04">
        <w:rPr>
          <w:noProof/>
        </w:rPr>
        <w:t>Artykuł 25</w:t>
      </w:r>
    </w:p>
    <w:p w14:paraId="065BF6AB" w14:textId="77777777" w:rsidR="0058429A" w:rsidRPr="00853D04" w:rsidRDefault="0058429A" w:rsidP="003569E5">
      <w:pPr>
        <w:pStyle w:val="Titrearticle"/>
        <w:rPr>
          <w:noProof/>
        </w:rPr>
      </w:pPr>
      <w:r w:rsidRPr="00853D04">
        <w:rPr>
          <w:noProof/>
        </w:rPr>
        <w:t xml:space="preserve">Przymusowe rozwiązanie </w:t>
      </w:r>
    </w:p>
    <w:p w14:paraId="1112BA11" w14:textId="229B305B" w:rsidR="00210D19" w:rsidRPr="00853D04" w:rsidRDefault="008D78F5" w:rsidP="008D78F5">
      <w:pPr>
        <w:pStyle w:val="ManualNumPar1"/>
        <w:rPr>
          <w:noProof/>
        </w:rPr>
      </w:pPr>
      <w:r w:rsidRPr="008D78F5">
        <w:t>1.</w:t>
      </w:r>
      <w:r w:rsidRPr="008D78F5">
        <w:tab/>
      </w:r>
      <w:r w:rsidR="00850627" w:rsidRPr="00853D04">
        <w:rPr>
          <w:noProof/>
        </w:rPr>
        <w:t xml:space="preserve">Na zasadzie odstępstwa od </w:t>
      </w:r>
      <w:r w:rsidR="00850627" w:rsidRPr="00C13C75">
        <w:rPr>
          <w:noProof/>
        </w:rPr>
        <w:t>art.</w:t>
      </w:r>
      <w:r w:rsidR="00C13C75" w:rsidRPr="00C13C75">
        <w:rPr>
          <w:noProof/>
        </w:rPr>
        <w:t> </w:t>
      </w:r>
      <w:r w:rsidR="00850627" w:rsidRPr="00C13C75">
        <w:rPr>
          <w:noProof/>
        </w:rPr>
        <w:t>2</w:t>
      </w:r>
      <w:r w:rsidR="00850627" w:rsidRPr="00853D04">
        <w:rPr>
          <w:noProof/>
        </w:rPr>
        <w:t xml:space="preserve">6 </w:t>
      </w:r>
      <w:r w:rsidR="00850627" w:rsidRPr="00C13C75">
        <w:rPr>
          <w:noProof/>
        </w:rPr>
        <w:t>ust.</w:t>
      </w:r>
      <w:r w:rsidR="00C13C75" w:rsidRPr="00C13C75">
        <w:rPr>
          <w:noProof/>
        </w:rPr>
        <w:t> </w:t>
      </w:r>
      <w:r w:rsidR="00850627" w:rsidRPr="00C13C75">
        <w:rPr>
          <w:noProof/>
        </w:rPr>
        <w:t>1</w:t>
      </w:r>
      <w:r w:rsidR="00850627" w:rsidRPr="00853D04">
        <w:rPr>
          <w:noProof/>
        </w:rPr>
        <w:t xml:space="preserve"> państwa członkowskie zapewniają, aby europejskie stowarzyszenie transgraniczne mogło zostać rozwiązan</w:t>
      </w:r>
      <w:r w:rsidR="00850627" w:rsidRPr="00C13C75">
        <w:rPr>
          <w:noProof/>
        </w:rPr>
        <w:t>e</w:t>
      </w:r>
      <w:r w:rsidR="00C13C75" w:rsidRPr="00C13C75">
        <w:rPr>
          <w:noProof/>
        </w:rPr>
        <w:t xml:space="preserve"> </w:t>
      </w:r>
      <w:r w:rsidR="00850627" w:rsidRPr="00C13C75">
        <w:rPr>
          <w:noProof/>
        </w:rPr>
        <w:t>p</w:t>
      </w:r>
      <w:r w:rsidR="00850627" w:rsidRPr="00853D04">
        <w:rPr>
          <w:noProof/>
        </w:rPr>
        <w:t>rzymusowo przez właściwy organ państwa członkowskiego pochodzenia wyłącznie</w:t>
      </w:r>
      <w:r w:rsidR="00C13C75" w:rsidRPr="00853D04">
        <w:rPr>
          <w:noProof/>
        </w:rPr>
        <w:t xml:space="preserve"> w</w:t>
      </w:r>
      <w:r w:rsidR="00C13C75">
        <w:rPr>
          <w:noProof/>
        </w:rPr>
        <w:t> </w:t>
      </w:r>
      <w:r w:rsidR="00C13C75" w:rsidRPr="00853D04">
        <w:rPr>
          <w:noProof/>
        </w:rPr>
        <w:t>oko</w:t>
      </w:r>
      <w:r w:rsidR="00850627" w:rsidRPr="00853D04">
        <w:rPr>
          <w:noProof/>
        </w:rPr>
        <w:t>licznościach i na warunkach przewidzianych</w:t>
      </w:r>
      <w:r w:rsidR="00C13C75" w:rsidRPr="00853D04">
        <w:rPr>
          <w:noProof/>
        </w:rPr>
        <w:t xml:space="preserve"> w</w:t>
      </w:r>
      <w:r w:rsidR="00C13C75">
        <w:rPr>
          <w:noProof/>
        </w:rPr>
        <w:t> </w:t>
      </w:r>
      <w:r w:rsidR="00C13C75" w:rsidRPr="00853D04">
        <w:rPr>
          <w:noProof/>
        </w:rPr>
        <w:t>nin</w:t>
      </w:r>
      <w:r w:rsidR="00850627" w:rsidRPr="00853D04">
        <w:rPr>
          <w:noProof/>
        </w:rPr>
        <w:t>iejszym artykule.</w:t>
      </w:r>
    </w:p>
    <w:p w14:paraId="1678DDA5" w14:textId="02D438FF" w:rsidR="00543C5F" w:rsidRPr="00853D04" w:rsidRDefault="008D78F5" w:rsidP="008D78F5">
      <w:pPr>
        <w:pStyle w:val="ManualNumPar1"/>
        <w:rPr>
          <w:noProof/>
        </w:rPr>
      </w:pPr>
      <w:r w:rsidRPr="008D78F5">
        <w:t>2.</w:t>
      </w:r>
      <w:r w:rsidRPr="008D78F5">
        <w:tab/>
      </w:r>
      <w:r w:rsidR="00543C5F" w:rsidRPr="00853D04">
        <w:rPr>
          <w:noProof/>
        </w:rPr>
        <w:t>Państwa członkowskie mogą przewidzieć przymusowe rozwiązanie europejskiego stowarzyszenia transgranicznego wyłącznie</w:t>
      </w:r>
      <w:r w:rsidR="00C13C75" w:rsidRPr="00853D04">
        <w:rPr>
          <w:noProof/>
        </w:rPr>
        <w:t xml:space="preserve"> z</w:t>
      </w:r>
      <w:r w:rsidR="00C13C75">
        <w:rPr>
          <w:noProof/>
        </w:rPr>
        <w:t> </w:t>
      </w:r>
      <w:r w:rsidR="00C13C75" w:rsidRPr="00853D04">
        <w:rPr>
          <w:noProof/>
        </w:rPr>
        <w:t>jed</w:t>
      </w:r>
      <w:r w:rsidR="00543C5F" w:rsidRPr="00853D04">
        <w:rPr>
          <w:noProof/>
        </w:rPr>
        <w:t>nego</w:t>
      </w:r>
      <w:r w:rsidR="00C13C75" w:rsidRPr="00853D04">
        <w:rPr>
          <w:noProof/>
        </w:rPr>
        <w:t xml:space="preserve"> z</w:t>
      </w:r>
      <w:r w:rsidR="00C13C75">
        <w:rPr>
          <w:noProof/>
        </w:rPr>
        <w:t> </w:t>
      </w:r>
      <w:r w:rsidR="00C13C75" w:rsidRPr="00853D04">
        <w:rPr>
          <w:noProof/>
        </w:rPr>
        <w:t>nas</w:t>
      </w:r>
      <w:r w:rsidR="00543C5F" w:rsidRPr="00853D04">
        <w:rPr>
          <w:noProof/>
        </w:rPr>
        <w:t>tępujących powodów:</w:t>
      </w:r>
    </w:p>
    <w:p w14:paraId="35DBB0A6" w14:textId="0CE417A5" w:rsidR="00543C5F" w:rsidRPr="00853D04" w:rsidRDefault="00C13C75" w:rsidP="00C13C75">
      <w:pPr>
        <w:pStyle w:val="Point1"/>
        <w:rPr>
          <w:noProof/>
        </w:rPr>
      </w:pPr>
      <w:r>
        <w:rPr>
          <w:noProof/>
        </w:rPr>
        <w:t>a)</w:t>
      </w:r>
      <w:r>
        <w:rPr>
          <w:noProof/>
        </w:rPr>
        <w:tab/>
      </w:r>
      <w:r w:rsidR="00543C5F" w:rsidRPr="00853D04">
        <w:rPr>
          <w:noProof/>
        </w:rPr>
        <w:t>nieprzestrzeganie niedochodowego celu przez europejskie stowarzyszenie transgraniczne;</w:t>
      </w:r>
    </w:p>
    <w:p w14:paraId="4814A280" w14:textId="1A2C34EA" w:rsidR="005366DC" w:rsidRPr="00853D04" w:rsidRDefault="00C13C75" w:rsidP="00C13C75">
      <w:pPr>
        <w:pStyle w:val="Point1"/>
        <w:rPr>
          <w:noProof/>
        </w:rPr>
      </w:pPr>
      <w:r>
        <w:rPr>
          <w:noProof/>
        </w:rPr>
        <w:t>b)</w:t>
      </w:r>
      <w:r>
        <w:rPr>
          <w:noProof/>
        </w:rPr>
        <w:tab/>
      </w:r>
      <w:r w:rsidR="00504E4E" w:rsidRPr="00853D04">
        <w:rPr>
          <w:noProof/>
        </w:rPr>
        <w:t>poważne zagrożenie dla porządku publicznego lub bezpieczeństwa publicznego spowodowane działalnością europejskiego stowarzyszenia transgranicznego;</w:t>
      </w:r>
    </w:p>
    <w:p w14:paraId="5AAAEC4E" w14:textId="5DB23DF9" w:rsidR="009F1537" w:rsidRPr="00853D04" w:rsidRDefault="00C13C75" w:rsidP="00C13C75">
      <w:pPr>
        <w:pStyle w:val="Point1"/>
        <w:rPr>
          <w:noProof/>
        </w:rPr>
      </w:pPr>
      <w:r>
        <w:rPr>
          <w:noProof/>
        </w:rPr>
        <w:t>c)</w:t>
      </w:r>
      <w:r>
        <w:rPr>
          <w:noProof/>
        </w:rPr>
        <w:tab/>
      </w:r>
      <w:r w:rsidR="00504E4E" w:rsidRPr="00853D04">
        <w:rPr>
          <w:noProof/>
        </w:rPr>
        <w:t>wyrok skazujący europejskie stowarzyszenie transgraniczne lub członków jego organu wykonawczego za poważne przestępstwo.</w:t>
      </w:r>
    </w:p>
    <w:p w14:paraId="0B9881A5" w14:textId="204143D6" w:rsidR="00AB3EBC" w:rsidRPr="00853D04" w:rsidRDefault="008D78F5" w:rsidP="008D78F5">
      <w:pPr>
        <w:pStyle w:val="ManualNumPar1"/>
        <w:rPr>
          <w:noProof/>
        </w:rPr>
      </w:pPr>
      <w:r w:rsidRPr="008D78F5">
        <w:t>3.</w:t>
      </w:r>
      <w:r w:rsidRPr="008D78F5">
        <w:tab/>
      </w:r>
      <w:r w:rsidR="00AB3EBC" w:rsidRPr="00853D04">
        <w:rPr>
          <w:noProof/>
        </w:rPr>
        <w:t>W przypadku gdy właściwy organ ma obawy, że jeden</w:t>
      </w:r>
      <w:r w:rsidR="00C13C75" w:rsidRPr="00853D04">
        <w:rPr>
          <w:noProof/>
        </w:rPr>
        <w:t xml:space="preserve"> z</w:t>
      </w:r>
      <w:r w:rsidR="00C13C75">
        <w:rPr>
          <w:noProof/>
        </w:rPr>
        <w:t> </w:t>
      </w:r>
      <w:r w:rsidR="00C13C75" w:rsidRPr="00853D04">
        <w:rPr>
          <w:noProof/>
        </w:rPr>
        <w:t>pow</w:t>
      </w:r>
      <w:r w:rsidR="00AB3EBC" w:rsidRPr="00853D04">
        <w:rPr>
          <w:noProof/>
        </w:rPr>
        <w:t>odów,</w:t>
      </w:r>
      <w:r w:rsidR="00C13C75" w:rsidRPr="00853D04">
        <w:rPr>
          <w:noProof/>
        </w:rPr>
        <w:t xml:space="preserve"> o</w:t>
      </w:r>
      <w:r w:rsidR="00C13C75">
        <w:rPr>
          <w:noProof/>
        </w:rPr>
        <w:t> </w:t>
      </w:r>
      <w:r w:rsidR="00C13C75" w:rsidRPr="00853D04">
        <w:rPr>
          <w:noProof/>
        </w:rPr>
        <w:t>któ</w:t>
      </w:r>
      <w:r w:rsidR="00AB3EBC" w:rsidRPr="00853D04">
        <w:rPr>
          <w:noProof/>
        </w:rPr>
        <w:t>rych mowa</w:t>
      </w:r>
      <w:r w:rsidR="00C13C75" w:rsidRPr="00853D04">
        <w:rPr>
          <w:noProof/>
        </w:rPr>
        <w:t xml:space="preserve"> w</w:t>
      </w:r>
      <w:r w:rsidR="00C13C75">
        <w:rPr>
          <w:noProof/>
        </w:rPr>
        <w:t> </w:t>
      </w:r>
      <w:r w:rsidR="00C13C75" w:rsidRPr="00C13C75">
        <w:rPr>
          <w:noProof/>
        </w:rPr>
        <w:t>ust</w:t>
      </w:r>
      <w:r w:rsidR="00AB3EBC" w:rsidRPr="00C13C75">
        <w:rPr>
          <w:noProof/>
        </w:rPr>
        <w:t>.</w:t>
      </w:r>
      <w:r w:rsidR="00C13C75" w:rsidRPr="00C13C75">
        <w:rPr>
          <w:noProof/>
        </w:rPr>
        <w:t> </w:t>
      </w:r>
      <w:r w:rsidR="00AB3EBC" w:rsidRPr="00C13C75">
        <w:rPr>
          <w:noProof/>
        </w:rPr>
        <w:t>2</w:t>
      </w:r>
      <w:r w:rsidR="00AB3EBC" w:rsidRPr="00853D04">
        <w:rPr>
          <w:noProof/>
        </w:rPr>
        <w:t xml:space="preserve"> niniejszego artykułu istnieje, powiadamia europejskie stowarzyszenie transgraniczne na piśmie</w:t>
      </w:r>
      <w:r w:rsidR="00C13C75" w:rsidRPr="00853D04">
        <w:rPr>
          <w:noProof/>
        </w:rPr>
        <w:t xml:space="preserve"> o</w:t>
      </w:r>
      <w:r w:rsidR="00C13C75">
        <w:rPr>
          <w:noProof/>
        </w:rPr>
        <w:t> </w:t>
      </w:r>
      <w:r w:rsidR="00C13C75" w:rsidRPr="00853D04">
        <w:rPr>
          <w:noProof/>
        </w:rPr>
        <w:t>swo</w:t>
      </w:r>
      <w:r w:rsidR="00AB3EBC" w:rsidRPr="00853D04">
        <w:rPr>
          <w:noProof/>
        </w:rPr>
        <w:t>ich obawach</w:t>
      </w:r>
      <w:r w:rsidR="00C13C75" w:rsidRPr="00853D04">
        <w:rPr>
          <w:noProof/>
        </w:rPr>
        <w:t xml:space="preserve"> i</w:t>
      </w:r>
      <w:r w:rsidR="00C13C75">
        <w:rPr>
          <w:noProof/>
        </w:rPr>
        <w:t> </w:t>
      </w:r>
      <w:r w:rsidR="00C13C75" w:rsidRPr="00853D04">
        <w:rPr>
          <w:noProof/>
        </w:rPr>
        <w:t>wyz</w:t>
      </w:r>
      <w:r w:rsidR="00AB3EBC" w:rsidRPr="00853D04">
        <w:rPr>
          <w:noProof/>
        </w:rPr>
        <w:t>nacza mu rozsądny czas na udzielenie odpowiedzi</w:t>
      </w:r>
      <w:r w:rsidR="00C13C75" w:rsidRPr="00853D04">
        <w:rPr>
          <w:noProof/>
        </w:rPr>
        <w:t xml:space="preserve"> w</w:t>
      </w:r>
      <w:r w:rsidR="00C13C75">
        <w:rPr>
          <w:noProof/>
        </w:rPr>
        <w:t> </w:t>
      </w:r>
      <w:r w:rsidR="00C13C75" w:rsidRPr="00853D04">
        <w:rPr>
          <w:noProof/>
        </w:rPr>
        <w:t>odn</w:t>
      </w:r>
      <w:r w:rsidR="00AB3EBC" w:rsidRPr="00853D04">
        <w:rPr>
          <w:noProof/>
        </w:rPr>
        <w:t>iesieniu do tych obaw.</w:t>
      </w:r>
    </w:p>
    <w:p w14:paraId="74B24A44" w14:textId="74ACB24E" w:rsidR="008067F8" w:rsidRPr="00853D04" w:rsidRDefault="008D78F5" w:rsidP="008D78F5">
      <w:pPr>
        <w:pStyle w:val="ManualNumPar1"/>
        <w:rPr>
          <w:noProof/>
        </w:rPr>
      </w:pPr>
      <w:r w:rsidRPr="008D78F5">
        <w:t>4.</w:t>
      </w:r>
      <w:r w:rsidRPr="008D78F5">
        <w:tab/>
      </w:r>
      <w:r w:rsidR="004D2F71" w:rsidRPr="00853D04">
        <w:rPr>
          <w:noProof/>
        </w:rPr>
        <w:t>Państwa członkowskie zapewniają, aby właściwy organ przyjął pisemną decyzję</w:t>
      </w:r>
      <w:r w:rsidR="00C13C75" w:rsidRPr="00853D04">
        <w:rPr>
          <w:noProof/>
        </w:rPr>
        <w:t xml:space="preserve"> w</w:t>
      </w:r>
      <w:r w:rsidR="00C13C75">
        <w:rPr>
          <w:noProof/>
        </w:rPr>
        <w:t> </w:t>
      </w:r>
      <w:r w:rsidR="00C13C75" w:rsidRPr="00853D04">
        <w:rPr>
          <w:noProof/>
        </w:rPr>
        <w:t>prz</w:t>
      </w:r>
      <w:r w:rsidR="004D2F71" w:rsidRPr="00853D04">
        <w:rPr>
          <w:noProof/>
        </w:rPr>
        <w:t>ypadku gdy po należytym przeanalizowaniu odpowiedzi europejskiego stowarzyszenia transgranicznego zgodnie</w:t>
      </w:r>
      <w:r w:rsidR="00C13C75" w:rsidRPr="00853D04">
        <w:rPr>
          <w:noProof/>
        </w:rPr>
        <w:t xml:space="preserve"> z</w:t>
      </w:r>
      <w:r w:rsidR="00C13C75">
        <w:rPr>
          <w:noProof/>
        </w:rPr>
        <w:t> </w:t>
      </w:r>
      <w:r w:rsidR="00C13C75" w:rsidRPr="00C13C75">
        <w:rPr>
          <w:noProof/>
        </w:rPr>
        <w:t>ust</w:t>
      </w:r>
      <w:r w:rsidR="004D2F71" w:rsidRPr="00C13C75">
        <w:rPr>
          <w:noProof/>
        </w:rPr>
        <w:t>.</w:t>
      </w:r>
      <w:r w:rsidR="00C13C75" w:rsidRPr="00C13C75">
        <w:rPr>
          <w:noProof/>
        </w:rPr>
        <w:t> </w:t>
      </w:r>
      <w:r w:rsidR="004D2F71" w:rsidRPr="00C13C75">
        <w:rPr>
          <w:noProof/>
        </w:rPr>
        <w:t>3</w:t>
      </w:r>
      <w:r w:rsidR="004D2F71" w:rsidRPr="00853D04">
        <w:rPr>
          <w:noProof/>
        </w:rPr>
        <w:t xml:space="preserve"> niniejszego artykułu stwierdzi, że europejskie stowarzyszenie transgraniczne musi zostać rozwiązane</w:t>
      </w:r>
      <w:r w:rsidR="00C13C75" w:rsidRPr="00853D04">
        <w:rPr>
          <w:noProof/>
        </w:rPr>
        <w:t xml:space="preserve"> z</w:t>
      </w:r>
      <w:r w:rsidR="00C13C75">
        <w:rPr>
          <w:noProof/>
        </w:rPr>
        <w:t> </w:t>
      </w:r>
      <w:r w:rsidR="00C13C75" w:rsidRPr="00853D04">
        <w:rPr>
          <w:noProof/>
        </w:rPr>
        <w:t>jed</w:t>
      </w:r>
      <w:r w:rsidR="004D2F71" w:rsidRPr="00853D04">
        <w:rPr>
          <w:noProof/>
        </w:rPr>
        <w:t>nego</w:t>
      </w:r>
      <w:r w:rsidR="00C13C75" w:rsidRPr="00853D04">
        <w:rPr>
          <w:noProof/>
        </w:rPr>
        <w:t xml:space="preserve"> z</w:t>
      </w:r>
      <w:r w:rsidR="00C13C75">
        <w:rPr>
          <w:noProof/>
        </w:rPr>
        <w:t> </w:t>
      </w:r>
      <w:r w:rsidR="00C13C75" w:rsidRPr="00853D04">
        <w:rPr>
          <w:noProof/>
        </w:rPr>
        <w:t>pow</w:t>
      </w:r>
      <w:r w:rsidR="004D2F71" w:rsidRPr="00853D04">
        <w:rPr>
          <w:noProof/>
        </w:rPr>
        <w:t>odów,</w:t>
      </w:r>
      <w:r w:rsidR="00C13C75" w:rsidRPr="00853D04">
        <w:rPr>
          <w:noProof/>
        </w:rPr>
        <w:t xml:space="preserve"> o</w:t>
      </w:r>
      <w:r w:rsidR="00C13C75">
        <w:rPr>
          <w:noProof/>
        </w:rPr>
        <w:t> </w:t>
      </w:r>
      <w:r w:rsidR="00C13C75" w:rsidRPr="00853D04">
        <w:rPr>
          <w:noProof/>
        </w:rPr>
        <w:t>któ</w:t>
      </w:r>
      <w:r w:rsidR="004D2F71" w:rsidRPr="00853D04">
        <w:rPr>
          <w:noProof/>
        </w:rPr>
        <w:t>rych mowa</w:t>
      </w:r>
      <w:r w:rsidR="00C13C75" w:rsidRPr="00853D04">
        <w:rPr>
          <w:noProof/>
        </w:rPr>
        <w:t xml:space="preserve"> w</w:t>
      </w:r>
      <w:r w:rsidR="00C13C75">
        <w:rPr>
          <w:noProof/>
        </w:rPr>
        <w:t> </w:t>
      </w:r>
      <w:r w:rsidR="00C13C75" w:rsidRPr="00C13C75">
        <w:rPr>
          <w:noProof/>
        </w:rPr>
        <w:t>ust</w:t>
      </w:r>
      <w:r w:rsidR="004D2F71" w:rsidRPr="00C13C75">
        <w:rPr>
          <w:noProof/>
        </w:rPr>
        <w:t>.</w:t>
      </w:r>
      <w:r w:rsidR="00C13C75" w:rsidRPr="00C13C75">
        <w:rPr>
          <w:noProof/>
        </w:rPr>
        <w:t> </w:t>
      </w:r>
      <w:r w:rsidR="004D2F71" w:rsidRPr="00C13C75">
        <w:rPr>
          <w:noProof/>
        </w:rPr>
        <w:t>2</w:t>
      </w:r>
      <w:r w:rsidR="004D2F71" w:rsidRPr="00853D04">
        <w:rPr>
          <w:noProof/>
        </w:rPr>
        <w:t xml:space="preserve"> niniejszego artykułu. Decyzja</w:t>
      </w:r>
      <w:r w:rsidR="00C13C75" w:rsidRPr="00853D04">
        <w:rPr>
          <w:noProof/>
        </w:rPr>
        <w:t xml:space="preserve"> o</w:t>
      </w:r>
      <w:r w:rsidR="00C13C75">
        <w:rPr>
          <w:noProof/>
        </w:rPr>
        <w:t> </w:t>
      </w:r>
      <w:r w:rsidR="00C13C75" w:rsidRPr="00853D04">
        <w:rPr>
          <w:noProof/>
        </w:rPr>
        <w:t>roz</w:t>
      </w:r>
      <w:r w:rsidR="004D2F71" w:rsidRPr="00853D04">
        <w:rPr>
          <w:noProof/>
        </w:rPr>
        <w:t>wiązaniu europejskiego stowarzyszenia transgranicznego może zostać podjęta tylko wtedy, gdy nie istnieją mniej restrykcyjne środki mogące rozwiać obawy zgłaszane przez właściwy organ.</w:t>
      </w:r>
    </w:p>
    <w:p w14:paraId="76D7FCCC" w14:textId="47892DBE" w:rsidR="00AB3EBC" w:rsidRPr="00853D04" w:rsidRDefault="008D78F5" w:rsidP="008D78F5">
      <w:pPr>
        <w:pStyle w:val="ManualNumPar1"/>
        <w:rPr>
          <w:noProof/>
        </w:rPr>
      </w:pPr>
      <w:r w:rsidRPr="008D78F5">
        <w:t>5.</w:t>
      </w:r>
      <w:r w:rsidRPr="008D78F5">
        <w:tab/>
      </w:r>
      <w:r w:rsidR="00AB3EBC" w:rsidRPr="00853D04">
        <w:rPr>
          <w:noProof/>
        </w:rPr>
        <w:t>Państwa członkowskie zapewniają, aby decyzja,</w:t>
      </w:r>
      <w:r w:rsidR="00C13C75" w:rsidRPr="00853D04">
        <w:rPr>
          <w:noProof/>
        </w:rPr>
        <w:t xml:space="preserve"> o</w:t>
      </w:r>
      <w:r w:rsidR="00C13C75">
        <w:rPr>
          <w:noProof/>
        </w:rPr>
        <w:t> </w:t>
      </w:r>
      <w:r w:rsidR="00C13C75" w:rsidRPr="00853D04">
        <w:rPr>
          <w:noProof/>
        </w:rPr>
        <w:t>któ</w:t>
      </w:r>
      <w:r w:rsidR="00AB3EBC" w:rsidRPr="00853D04">
        <w:rPr>
          <w:noProof/>
        </w:rPr>
        <w:t>rej mowa</w:t>
      </w:r>
      <w:r w:rsidR="00C13C75" w:rsidRPr="00853D04">
        <w:rPr>
          <w:noProof/>
        </w:rPr>
        <w:t xml:space="preserve"> w</w:t>
      </w:r>
      <w:r w:rsidR="00C13C75">
        <w:rPr>
          <w:noProof/>
        </w:rPr>
        <w:t> </w:t>
      </w:r>
      <w:r w:rsidR="00C13C75" w:rsidRPr="00C13C75">
        <w:rPr>
          <w:noProof/>
        </w:rPr>
        <w:t>ust</w:t>
      </w:r>
      <w:r w:rsidR="00AB3EBC" w:rsidRPr="00C13C75">
        <w:rPr>
          <w:noProof/>
        </w:rPr>
        <w:t>.</w:t>
      </w:r>
      <w:r w:rsidR="00C13C75" w:rsidRPr="00C13C75">
        <w:rPr>
          <w:noProof/>
        </w:rPr>
        <w:t> </w:t>
      </w:r>
      <w:r w:rsidR="00AB3EBC" w:rsidRPr="00C13C75">
        <w:rPr>
          <w:noProof/>
        </w:rPr>
        <w:t>4</w:t>
      </w:r>
      <w:r w:rsidR="00AB3EBC" w:rsidRPr="00853D04">
        <w:rPr>
          <w:noProof/>
        </w:rPr>
        <w:t xml:space="preserve"> niniejszego artykułu, była uzasadniona, podlegała skutecznej kontroli sądowej</w:t>
      </w:r>
      <w:r w:rsidR="00C13C75" w:rsidRPr="00853D04">
        <w:rPr>
          <w:noProof/>
        </w:rPr>
        <w:t xml:space="preserve"> i</w:t>
      </w:r>
      <w:r w:rsidR="00C13C75">
        <w:rPr>
          <w:noProof/>
        </w:rPr>
        <w:t> </w:t>
      </w:r>
      <w:r w:rsidR="00C13C75" w:rsidRPr="00853D04">
        <w:rPr>
          <w:noProof/>
        </w:rPr>
        <w:t>nie</w:t>
      </w:r>
      <w:r w:rsidR="00AB3EBC" w:rsidRPr="00853D04">
        <w:rPr>
          <w:noProof/>
        </w:rPr>
        <w:t xml:space="preserve"> stała się skuteczna</w:t>
      </w:r>
      <w:r w:rsidR="00C13C75" w:rsidRPr="00853D04">
        <w:rPr>
          <w:noProof/>
        </w:rPr>
        <w:t xml:space="preserve"> w</w:t>
      </w:r>
      <w:r w:rsidR="00C13C75">
        <w:rPr>
          <w:noProof/>
        </w:rPr>
        <w:t> </w:t>
      </w:r>
      <w:r w:rsidR="00C13C75" w:rsidRPr="00853D04">
        <w:rPr>
          <w:noProof/>
        </w:rPr>
        <w:t>cza</w:t>
      </w:r>
      <w:r w:rsidR="00AB3EBC" w:rsidRPr="00853D04">
        <w:rPr>
          <w:noProof/>
        </w:rPr>
        <w:t>sie, gdy trwa kontrola sądowa.</w:t>
      </w:r>
    </w:p>
    <w:p w14:paraId="570A261A" w14:textId="53643D1C" w:rsidR="00AB3EBC" w:rsidRPr="00853D04" w:rsidRDefault="008D78F5" w:rsidP="008D78F5">
      <w:pPr>
        <w:pStyle w:val="ManualNumPar1"/>
        <w:rPr>
          <w:noProof/>
        </w:rPr>
      </w:pPr>
      <w:r w:rsidRPr="008D78F5">
        <w:t>6.</w:t>
      </w:r>
      <w:r w:rsidRPr="008D78F5">
        <w:tab/>
      </w:r>
      <w:r w:rsidR="00AB3EBC" w:rsidRPr="00853D04">
        <w:rPr>
          <w:noProof/>
        </w:rPr>
        <w:t>Państwa członkowskie zapewniają, aby właściwy organ informował europejskie stowarzyszenie transgraniczne</w:t>
      </w:r>
      <w:r w:rsidR="00C13C75" w:rsidRPr="00853D04">
        <w:rPr>
          <w:noProof/>
        </w:rPr>
        <w:t xml:space="preserve"> o</w:t>
      </w:r>
      <w:r w:rsidR="00C13C75">
        <w:rPr>
          <w:noProof/>
        </w:rPr>
        <w:t> </w:t>
      </w:r>
      <w:r w:rsidR="00C13C75" w:rsidRPr="00853D04">
        <w:rPr>
          <w:noProof/>
        </w:rPr>
        <w:t>swo</w:t>
      </w:r>
      <w:r w:rsidR="00AB3EBC" w:rsidRPr="00853D04">
        <w:rPr>
          <w:noProof/>
        </w:rPr>
        <w:t>jej decyzji</w:t>
      </w:r>
      <w:r w:rsidR="00C13C75" w:rsidRPr="00853D04">
        <w:rPr>
          <w:noProof/>
        </w:rPr>
        <w:t xml:space="preserve"> i</w:t>
      </w:r>
      <w:r w:rsidR="00C13C75">
        <w:rPr>
          <w:noProof/>
        </w:rPr>
        <w:t> </w:t>
      </w:r>
      <w:r w:rsidR="00C13C75" w:rsidRPr="00853D04">
        <w:rPr>
          <w:noProof/>
        </w:rPr>
        <w:t>wyk</w:t>
      </w:r>
      <w:r w:rsidR="00AB3EBC" w:rsidRPr="00853D04">
        <w:rPr>
          <w:noProof/>
        </w:rPr>
        <w:t>reślił je</w:t>
      </w:r>
      <w:r w:rsidR="00C13C75" w:rsidRPr="00853D04">
        <w:rPr>
          <w:noProof/>
        </w:rPr>
        <w:t xml:space="preserve"> z</w:t>
      </w:r>
      <w:r w:rsidR="00C13C75">
        <w:rPr>
          <w:noProof/>
        </w:rPr>
        <w:t> </w:t>
      </w:r>
      <w:r w:rsidR="00C13C75" w:rsidRPr="00853D04">
        <w:rPr>
          <w:noProof/>
        </w:rPr>
        <w:t>rej</w:t>
      </w:r>
      <w:r w:rsidR="00AB3EBC" w:rsidRPr="00853D04">
        <w:rPr>
          <w:noProof/>
        </w:rPr>
        <w:t>estru</w:t>
      </w:r>
      <w:r w:rsidR="00C13C75" w:rsidRPr="00853D04">
        <w:rPr>
          <w:noProof/>
        </w:rPr>
        <w:t xml:space="preserve"> w</w:t>
      </w:r>
      <w:r w:rsidR="00C13C75">
        <w:rPr>
          <w:noProof/>
        </w:rPr>
        <w:t> </w:t>
      </w:r>
      <w:r w:rsidR="00C13C75" w:rsidRPr="00853D04">
        <w:rPr>
          <w:noProof/>
        </w:rPr>
        <w:t>odp</w:t>
      </w:r>
      <w:r w:rsidR="00AB3EBC" w:rsidRPr="00853D04">
        <w:rPr>
          <w:noProof/>
        </w:rPr>
        <w:t>owiednim czasie dopiero po wejściu</w:t>
      </w:r>
      <w:r w:rsidR="00C13C75" w:rsidRPr="00853D04">
        <w:rPr>
          <w:noProof/>
        </w:rPr>
        <w:t xml:space="preserve"> w</w:t>
      </w:r>
      <w:r w:rsidR="00C13C75">
        <w:rPr>
          <w:noProof/>
        </w:rPr>
        <w:t> </w:t>
      </w:r>
      <w:r w:rsidR="00C13C75" w:rsidRPr="00853D04">
        <w:rPr>
          <w:noProof/>
        </w:rPr>
        <w:t>życ</w:t>
      </w:r>
      <w:r w:rsidR="00AB3EBC" w:rsidRPr="00853D04">
        <w:rPr>
          <w:noProof/>
        </w:rPr>
        <w:t>ie decyzji,</w:t>
      </w:r>
      <w:r w:rsidR="00C13C75" w:rsidRPr="00853D04">
        <w:rPr>
          <w:noProof/>
        </w:rPr>
        <w:t xml:space="preserve"> o</w:t>
      </w:r>
      <w:r w:rsidR="00C13C75">
        <w:rPr>
          <w:noProof/>
        </w:rPr>
        <w:t> </w:t>
      </w:r>
      <w:r w:rsidR="00C13C75" w:rsidRPr="00853D04">
        <w:rPr>
          <w:noProof/>
        </w:rPr>
        <w:t>któ</w:t>
      </w:r>
      <w:r w:rsidR="00AB3EBC" w:rsidRPr="00853D04">
        <w:rPr>
          <w:noProof/>
        </w:rPr>
        <w:t>rej mowa</w:t>
      </w:r>
      <w:r w:rsidR="00C13C75" w:rsidRPr="00853D04">
        <w:rPr>
          <w:noProof/>
        </w:rPr>
        <w:t xml:space="preserve"> w</w:t>
      </w:r>
      <w:r w:rsidR="00C13C75">
        <w:rPr>
          <w:noProof/>
        </w:rPr>
        <w:t> </w:t>
      </w:r>
      <w:r w:rsidR="00C13C75" w:rsidRPr="00C13C75">
        <w:rPr>
          <w:noProof/>
        </w:rPr>
        <w:t>ust</w:t>
      </w:r>
      <w:r w:rsidR="00AB3EBC" w:rsidRPr="00C13C75">
        <w:rPr>
          <w:noProof/>
        </w:rPr>
        <w:t>.</w:t>
      </w:r>
      <w:r w:rsidR="00C13C75" w:rsidRPr="00C13C75">
        <w:rPr>
          <w:noProof/>
        </w:rPr>
        <w:t> </w:t>
      </w:r>
      <w:r w:rsidR="00AB3EBC" w:rsidRPr="00C13C75">
        <w:rPr>
          <w:noProof/>
        </w:rPr>
        <w:t>4</w:t>
      </w:r>
      <w:r w:rsidR="00AB3EBC" w:rsidRPr="00853D04">
        <w:rPr>
          <w:noProof/>
        </w:rPr>
        <w:t>, i po zakończeniu likwidacji europejskiego stowarzyszenia transgranicznego przewidzianej</w:t>
      </w:r>
      <w:r w:rsidR="00C13C75" w:rsidRPr="00853D04">
        <w:rPr>
          <w:noProof/>
        </w:rPr>
        <w:t xml:space="preserve"> w</w:t>
      </w:r>
      <w:r w:rsidR="00C13C75">
        <w:rPr>
          <w:noProof/>
        </w:rPr>
        <w:t> </w:t>
      </w:r>
      <w:r w:rsidR="00C13C75" w:rsidRPr="00C13C75">
        <w:rPr>
          <w:noProof/>
        </w:rPr>
        <w:t>art</w:t>
      </w:r>
      <w:r w:rsidR="00AB3EBC" w:rsidRPr="00C13C75">
        <w:rPr>
          <w:noProof/>
        </w:rPr>
        <w:t>.</w:t>
      </w:r>
      <w:r w:rsidR="00C13C75" w:rsidRPr="00C13C75">
        <w:rPr>
          <w:noProof/>
        </w:rPr>
        <w:t> </w:t>
      </w:r>
      <w:r w:rsidR="00AB3EBC" w:rsidRPr="00C13C75">
        <w:rPr>
          <w:noProof/>
        </w:rPr>
        <w:t>2</w:t>
      </w:r>
      <w:r w:rsidR="00AB3EBC" w:rsidRPr="00853D04">
        <w:rPr>
          <w:noProof/>
        </w:rPr>
        <w:t>6. Właściwy organ przekazuje właściwym organom państw członkowskich stosowne informacje.</w:t>
      </w:r>
    </w:p>
    <w:p w14:paraId="3B64A75C" w14:textId="77777777" w:rsidR="006A4EA3" w:rsidRPr="00853D04" w:rsidRDefault="00622624" w:rsidP="00A27DDA">
      <w:pPr>
        <w:pStyle w:val="Titrearticle"/>
        <w:rPr>
          <w:noProof/>
        </w:rPr>
      </w:pPr>
      <w:r w:rsidRPr="00853D04">
        <w:rPr>
          <w:noProof/>
        </w:rPr>
        <w:t>Artykuł 26</w:t>
      </w:r>
    </w:p>
    <w:p w14:paraId="1F754E30" w14:textId="0D6B3166" w:rsidR="00622624" w:rsidRPr="00853D04" w:rsidRDefault="00622624" w:rsidP="003569E5">
      <w:pPr>
        <w:pStyle w:val="Titrearticle"/>
        <w:rPr>
          <w:noProof/>
        </w:rPr>
      </w:pPr>
      <w:r w:rsidRPr="00853D04">
        <w:rPr>
          <w:noProof/>
        </w:rPr>
        <w:t>Likwidacja</w:t>
      </w:r>
      <w:r w:rsidR="00C13C75" w:rsidRPr="00853D04">
        <w:rPr>
          <w:noProof/>
        </w:rPr>
        <w:t xml:space="preserve"> w</w:t>
      </w:r>
      <w:r w:rsidR="00C13C75">
        <w:rPr>
          <w:noProof/>
        </w:rPr>
        <w:t> </w:t>
      </w:r>
      <w:r w:rsidR="00C13C75" w:rsidRPr="00853D04">
        <w:rPr>
          <w:noProof/>
        </w:rPr>
        <w:t>prz</w:t>
      </w:r>
      <w:r w:rsidRPr="00853D04">
        <w:rPr>
          <w:noProof/>
        </w:rPr>
        <w:t>ypadku rozwiązania</w:t>
      </w:r>
    </w:p>
    <w:p w14:paraId="72455223" w14:textId="20F0DD3D" w:rsidR="009471A3" w:rsidRPr="00853D04" w:rsidRDefault="008D78F5" w:rsidP="008D78F5">
      <w:pPr>
        <w:pStyle w:val="ManualNumPar1"/>
        <w:rPr>
          <w:noProof/>
        </w:rPr>
      </w:pPr>
      <w:r w:rsidRPr="008D78F5">
        <w:t>1.</w:t>
      </w:r>
      <w:r w:rsidRPr="008D78F5">
        <w:tab/>
      </w:r>
      <w:r w:rsidR="001D4E3F" w:rsidRPr="00853D04">
        <w:rPr>
          <w:noProof/>
        </w:rPr>
        <w:t>Państwa członkowskie zapewniają, aby rozwiązanie europejskiego stowarzyszenia transgranicznego zgodnie</w:t>
      </w:r>
      <w:r w:rsidR="00C13C75" w:rsidRPr="00853D04">
        <w:rPr>
          <w:noProof/>
        </w:rPr>
        <w:t xml:space="preserve"> z</w:t>
      </w:r>
      <w:r w:rsidR="00C13C75">
        <w:rPr>
          <w:noProof/>
        </w:rPr>
        <w:t> </w:t>
      </w:r>
      <w:r w:rsidR="00C13C75" w:rsidRPr="00C13C75">
        <w:rPr>
          <w:noProof/>
        </w:rPr>
        <w:t>art</w:t>
      </w:r>
      <w:r w:rsidR="001D4E3F" w:rsidRPr="00C13C75">
        <w:rPr>
          <w:noProof/>
        </w:rPr>
        <w:t>.</w:t>
      </w:r>
      <w:r w:rsidR="00C13C75" w:rsidRPr="00C13C75">
        <w:rPr>
          <w:noProof/>
        </w:rPr>
        <w:t> </w:t>
      </w:r>
      <w:r w:rsidR="001D4E3F" w:rsidRPr="00C13C75">
        <w:rPr>
          <w:noProof/>
        </w:rPr>
        <w:t>2</w:t>
      </w:r>
      <w:r w:rsidR="001D4E3F" w:rsidRPr="00853D04">
        <w:rPr>
          <w:noProof/>
        </w:rPr>
        <w:t>4</w:t>
      </w:r>
      <w:r w:rsidR="00C13C75" w:rsidRPr="00853D04">
        <w:rPr>
          <w:noProof/>
        </w:rPr>
        <w:t xml:space="preserve"> i</w:t>
      </w:r>
      <w:r w:rsidR="00C13C75">
        <w:rPr>
          <w:noProof/>
        </w:rPr>
        <w:t> </w:t>
      </w:r>
      <w:r w:rsidR="00C13C75" w:rsidRPr="00853D04">
        <w:rPr>
          <w:noProof/>
        </w:rPr>
        <w:t>2</w:t>
      </w:r>
      <w:r w:rsidR="001D4E3F" w:rsidRPr="00853D04">
        <w:rPr>
          <w:noProof/>
        </w:rPr>
        <w:t xml:space="preserve">5 pociągało za sobą jego likwidację. </w:t>
      </w:r>
    </w:p>
    <w:p w14:paraId="686D0C96" w14:textId="6007A925" w:rsidR="000D0239" w:rsidRPr="00853D04" w:rsidRDefault="008D78F5" w:rsidP="008D78F5">
      <w:pPr>
        <w:pStyle w:val="ManualNumPar1"/>
        <w:rPr>
          <w:noProof/>
        </w:rPr>
      </w:pPr>
      <w:r w:rsidRPr="008D78F5">
        <w:t>2.</w:t>
      </w:r>
      <w:r w:rsidRPr="008D78F5">
        <w:tab/>
      </w:r>
      <w:r w:rsidR="000D0239" w:rsidRPr="00853D04">
        <w:rPr>
          <w:noProof/>
        </w:rPr>
        <w:t>Państwa członkowskie zapewniają, aby wszelkie aktywa rozwiązanego europejskiego stowarzyszenia transgranicznego pozostałe po zaspokojeniu interesów finansowych ewentualnych wierzycieli zostały zdyskontowane</w:t>
      </w:r>
      <w:r w:rsidR="00C13C75" w:rsidRPr="00853D04">
        <w:rPr>
          <w:noProof/>
        </w:rPr>
        <w:t xml:space="preserve"> i</w:t>
      </w:r>
      <w:r w:rsidR="00C13C75">
        <w:rPr>
          <w:noProof/>
        </w:rPr>
        <w:t> </w:t>
      </w:r>
      <w:r w:rsidR="00C13C75" w:rsidRPr="00853D04">
        <w:rPr>
          <w:noProof/>
        </w:rPr>
        <w:t>prz</w:t>
      </w:r>
      <w:r w:rsidR="000D0239" w:rsidRPr="00853D04">
        <w:rPr>
          <w:noProof/>
        </w:rPr>
        <w:t>ekazane nienastawionemu na zysk podmiotowi prowadzącemu działalność podobną do działalności rozwiązanego europejskiego stowarzyszenia transgranicznego lub aby aktywa te zostały przekazane władzom lokalnym, które są zobowiązane do wykorzystania ich do celów działalności podobnej do działalności prowadzonej przez rozwiązane europejskie stowarzyszenie transgraniczne.</w:t>
      </w:r>
    </w:p>
    <w:p w14:paraId="3A88CAB5" w14:textId="77777777" w:rsidR="007021A8" w:rsidRPr="00853D04" w:rsidRDefault="007021A8" w:rsidP="007021A8">
      <w:pPr>
        <w:pStyle w:val="Text1"/>
        <w:rPr>
          <w:noProof/>
        </w:rPr>
      </w:pPr>
    </w:p>
    <w:p w14:paraId="2CD55108" w14:textId="77777777" w:rsidR="00141B35" w:rsidRPr="00853D04" w:rsidRDefault="00141B35" w:rsidP="00141B35">
      <w:pPr>
        <w:pStyle w:val="ChapterTitle"/>
        <w:rPr>
          <w:noProof/>
        </w:rPr>
      </w:pPr>
      <w:r w:rsidRPr="00853D04">
        <w:rPr>
          <w:noProof/>
        </w:rPr>
        <w:t>Rozdział 6</w:t>
      </w:r>
    </w:p>
    <w:p w14:paraId="0E925A21" w14:textId="31B4D8A4" w:rsidR="00141B35" w:rsidRPr="00853D04" w:rsidRDefault="00E60D46" w:rsidP="00141B35">
      <w:pPr>
        <w:pStyle w:val="ChapterTitle"/>
        <w:rPr>
          <w:noProof/>
        </w:rPr>
      </w:pPr>
      <w:r w:rsidRPr="00853D04">
        <w:rPr>
          <w:noProof/>
        </w:rPr>
        <w:t>Stosowanie</w:t>
      </w:r>
      <w:r w:rsidR="00C13C75" w:rsidRPr="00853D04">
        <w:rPr>
          <w:noProof/>
        </w:rPr>
        <w:t xml:space="preserve"> i</w:t>
      </w:r>
      <w:r w:rsidR="00C13C75">
        <w:rPr>
          <w:noProof/>
        </w:rPr>
        <w:t> </w:t>
      </w:r>
      <w:r w:rsidR="00C13C75" w:rsidRPr="00853D04">
        <w:rPr>
          <w:noProof/>
        </w:rPr>
        <w:t>wsp</w:t>
      </w:r>
      <w:r w:rsidRPr="00853D04">
        <w:rPr>
          <w:noProof/>
        </w:rPr>
        <w:t>ółpraca administracyjna</w:t>
      </w:r>
    </w:p>
    <w:p w14:paraId="1F985CA3" w14:textId="77777777" w:rsidR="00141B35" w:rsidRPr="00853D04" w:rsidRDefault="00141B35" w:rsidP="00141B35">
      <w:pPr>
        <w:pStyle w:val="Titrearticle"/>
        <w:rPr>
          <w:noProof/>
        </w:rPr>
      </w:pPr>
      <w:r w:rsidRPr="00853D04">
        <w:rPr>
          <w:noProof/>
        </w:rPr>
        <w:t>Artykuł 27</w:t>
      </w:r>
    </w:p>
    <w:p w14:paraId="332698FB" w14:textId="77777777" w:rsidR="00136175" w:rsidRPr="00853D04" w:rsidRDefault="00141B35" w:rsidP="003569E5">
      <w:pPr>
        <w:pStyle w:val="Titrearticle"/>
        <w:rPr>
          <w:noProof/>
        </w:rPr>
      </w:pPr>
      <w:r w:rsidRPr="00853D04">
        <w:rPr>
          <w:noProof/>
        </w:rPr>
        <w:t>Właściwe organy</w:t>
      </w:r>
    </w:p>
    <w:p w14:paraId="6AC79EC3" w14:textId="3FDB6D94" w:rsidR="00136175" w:rsidRPr="00C13C75" w:rsidRDefault="008D78F5" w:rsidP="008D78F5">
      <w:pPr>
        <w:pStyle w:val="ManualNumPar1"/>
        <w:rPr>
          <w:noProof/>
        </w:rPr>
      </w:pPr>
      <w:r w:rsidRPr="008D78F5">
        <w:t>1.</w:t>
      </w:r>
      <w:r w:rsidRPr="008D78F5">
        <w:tab/>
      </w:r>
      <w:r w:rsidR="00136175" w:rsidRPr="00853D04">
        <w:rPr>
          <w:noProof/>
        </w:rPr>
        <w:t>Każde państwo członkowskie wyznacza właściwy organ („właściwy organ”) odpowiedzialny za stosowanie niniejszej dyrektywy</w:t>
      </w:r>
      <w:r w:rsidR="00136175" w:rsidRPr="00C13C75">
        <w:rPr>
          <w:noProof/>
        </w:rPr>
        <w:t>.</w:t>
      </w:r>
      <w:r w:rsidR="00C13C75" w:rsidRPr="00C13C75">
        <w:rPr>
          <w:noProof/>
        </w:rPr>
        <w:t xml:space="preserve"> </w:t>
      </w:r>
    </w:p>
    <w:p w14:paraId="072286EB" w14:textId="50E36D0D" w:rsidR="00136175" w:rsidRPr="00853D04" w:rsidRDefault="008D78F5" w:rsidP="008D78F5">
      <w:pPr>
        <w:pStyle w:val="ManualNumPar1"/>
        <w:rPr>
          <w:noProof/>
        </w:rPr>
      </w:pPr>
      <w:r w:rsidRPr="008D78F5">
        <w:t>2.</w:t>
      </w:r>
      <w:r w:rsidRPr="008D78F5">
        <w:tab/>
      </w:r>
      <w:r w:rsidR="00136175" w:rsidRPr="00853D04">
        <w:rPr>
          <w:noProof/>
        </w:rPr>
        <w:t>Państwa członkowskie przekazują Komisji nazwy właściwych organów wyznaczonych zgodnie</w:t>
      </w:r>
      <w:r w:rsidR="00C13C75" w:rsidRPr="00853D04">
        <w:rPr>
          <w:noProof/>
        </w:rPr>
        <w:t xml:space="preserve"> z</w:t>
      </w:r>
      <w:r w:rsidR="00C13C75">
        <w:rPr>
          <w:noProof/>
        </w:rPr>
        <w:t> </w:t>
      </w:r>
      <w:r w:rsidR="00C13C75" w:rsidRPr="00C13C75">
        <w:rPr>
          <w:noProof/>
        </w:rPr>
        <w:t>ust</w:t>
      </w:r>
      <w:r w:rsidR="00136175" w:rsidRPr="00C13C75">
        <w:rPr>
          <w:noProof/>
        </w:rPr>
        <w:t>.</w:t>
      </w:r>
      <w:r w:rsidR="00C13C75" w:rsidRPr="00C13C75">
        <w:rPr>
          <w:noProof/>
        </w:rPr>
        <w:t> </w:t>
      </w:r>
      <w:r w:rsidR="00136175" w:rsidRPr="00C13C75">
        <w:rPr>
          <w:noProof/>
        </w:rPr>
        <w:t>1</w:t>
      </w:r>
      <w:r w:rsidR="00136175" w:rsidRPr="00853D04">
        <w:rPr>
          <w:noProof/>
        </w:rPr>
        <w:t>. Komisja publikuje wykaz wyznaczonych właściwych organów.</w:t>
      </w:r>
    </w:p>
    <w:p w14:paraId="529EA463" w14:textId="5349CA51" w:rsidR="00136175" w:rsidRPr="00853D04" w:rsidRDefault="008D78F5" w:rsidP="008D78F5">
      <w:pPr>
        <w:pStyle w:val="ManualNumPar1"/>
        <w:rPr>
          <w:noProof/>
        </w:rPr>
      </w:pPr>
      <w:r w:rsidRPr="008D78F5">
        <w:t>3.</w:t>
      </w:r>
      <w:r w:rsidRPr="008D78F5">
        <w:tab/>
      </w:r>
      <w:r w:rsidR="00136175" w:rsidRPr="00853D04">
        <w:rPr>
          <w:noProof/>
        </w:rPr>
        <w:t>W stosownych przypadkach państwa członkowskie powiadamiają Komisję</w:t>
      </w:r>
      <w:r w:rsidR="00C13C75" w:rsidRPr="00853D04">
        <w:rPr>
          <w:noProof/>
        </w:rPr>
        <w:t xml:space="preserve"> o</w:t>
      </w:r>
      <w:r w:rsidR="00C13C75">
        <w:rPr>
          <w:noProof/>
        </w:rPr>
        <w:t> </w:t>
      </w:r>
      <w:r w:rsidR="00C13C75" w:rsidRPr="00853D04">
        <w:rPr>
          <w:noProof/>
        </w:rPr>
        <w:t>naz</w:t>
      </w:r>
      <w:r w:rsidR="00136175" w:rsidRPr="00853D04">
        <w:rPr>
          <w:noProof/>
        </w:rPr>
        <w:t>wach</w:t>
      </w:r>
      <w:r w:rsidR="00C13C75" w:rsidRPr="00853D04">
        <w:rPr>
          <w:noProof/>
        </w:rPr>
        <w:t xml:space="preserve"> i</w:t>
      </w:r>
      <w:r w:rsidR="00C13C75">
        <w:rPr>
          <w:noProof/>
        </w:rPr>
        <w:t> </w:t>
      </w:r>
      <w:r w:rsidR="00C13C75" w:rsidRPr="00853D04">
        <w:rPr>
          <w:noProof/>
        </w:rPr>
        <w:t>zad</w:t>
      </w:r>
      <w:r w:rsidR="00136175" w:rsidRPr="00853D04">
        <w:rPr>
          <w:noProof/>
        </w:rPr>
        <w:t>aniach innych właściwych organów ustanowionych lub wyznaczonych do celów przepisów krajowych mających zastosowanie do najbardziej podobnego stowarzyszenia niekomercyjnego</w:t>
      </w:r>
      <w:r w:rsidR="00C13C75" w:rsidRPr="00853D04">
        <w:rPr>
          <w:noProof/>
        </w:rPr>
        <w:t xml:space="preserve"> w</w:t>
      </w:r>
      <w:r w:rsidR="00C13C75">
        <w:rPr>
          <w:noProof/>
        </w:rPr>
        <w:t> </w:t>
      </w:r>
      <w:r w:rsidR="00C13C75" w:rsidRPr="00853D04">
        <w:rPr>
          <w:noProof/>
        </w:rPr>
        <w:t>ich</w:t>
      </w:r>
      <w:r w:rsidR="00136175" w:rsidRPr="00853D04">
        <w:rPr>
          <w:noProof/>
        </w:rPr>
        <w:t xml:space="preserve"> krajowym porządku prawnym, określonych zgodnie</w:t>
      </w:r>
      <w:r w:rsidR="00C13C75" w:rsidRPr="00853D04">
        <w:rPr>
          <w:noProof/>
        </w:rPr>
        <w:t xml:space="preserve"> z</w:t>
      </w:r>
      <w:r w:rsidR="00C13C75">
        <w:rPr>
          <w:noProof/>
        </w:rPr>
        <w:t> </w:t>
      </w:r>
      <w:r w:rsidR="00C13C75" w:rsidRPr="00C13C75">
        <w:rPr>
          <w:noProof/>
        </w:rPr>
        <w:t>art</w:t>
      </w:r>
      <w:r w:rsidR="00136175" w:rsidRPr="00C13C75">
        <w:rPr>
          <w:noProof/>
        </w:rPr>
        <w:t>.</w:t>
      </w:r>
      <w:r w:rsidR="00C13C75" w:rsidRPr="00C13C75">
        <w:rPr>
          <w:noProof/>
        </w:rPr>
        <w:t> </w:t>
      </w:r>
      <w:r w:rsidR="00136175" w:rsidRPr="00C13C75">
        <w:rPr>
          <w:noProof/>
        </w:rPr>
        <w:t>4</w:t>
      </w:r>
      <w:r w:rsidR="00136175" w:rsidRPr="00853D04">
        <w:rPr>
          <w:noProof/>
        </w:rPr>
        <w:t xml:space="preserve"> </w:t>
      </w:r>
      <w:r w:rsidR="00136175" w:rsidRPr="00C13C75">
        <w:rPr>
          <w:noProof/>
        </w:rPr>
        <w:t>ust.</w:t>
      </w:r>
      <w:r w:rsidR="00C13C75" w:rsidRPr="00C13C75">
        <w:rPr>
          <w:noProof/>
        </w:rPr>
        <w:t> </w:t>
      </w:r>
      <w:r w:rsidR="00136175" w:rsidRPr="00C13C75">
        <w:rPr>
          <w:noProof/>
        </w:rPr>
        <w:t>4</w:t>
      </w:r>
      <w:r w:rsidR="00136175" w:rsidRPr="00853D04">
        <w:rPr>
          <w:noProof/>
        </w:rPr>
        <w:t>.</w:t>
      </w:r>
    </w:p>
    <w:p w14:paraId="2B153A97" w14:textId="77777777" w:rsidR="00141B35" w:rsidRPr="00853D04" w:rsidRDefault="00141B35" w:rsidP="00141B35">
      <w:pPr>
        <w:pStyle w:val="Titrearticle"/>
        <w:rPr>
          <w:noProof/>
        </w:rPr>
      </w:pPr>
      <w:r w:rsidRPr="00853D04">
        <w:rPr>
          <w:noProof/>
        </w:rPr>
        <w:t>Artykuł 28</w:t>
      </w:r>
    </w:p>
    <w:p w14:paraId="6875776A" w14:textId="77777777" w:rsidR="00141B35" w:rsidRPr="00853D04" w:rsidRDefault="00141B35" w:rsidP="00141B35">
      <w:pPr>
        <w:pStyle w:val="Titrearticle"/>
        <w:rPr>
          <w:noProof/>
        </w:rPr>
      </w:pPr>
      <w:r w:rsidRPr="00853D04">
        <w:rPr>
          <w:noProof/>
        </w:rPr>
        <w:t xml:space="preserve">Współpraca administracyjna </w:t>
      </w:r>
    </w:p>
    <w:p w14:paraId="7D72FF10" w14:textId="16263847" w:rsidR="00141B35" w:rsidRPr="00853D04" w:rsidRDefault="008D78F5" w:rsidP="008D78F5">
      <w:pPr>
        <w:pStyle w:val="ManualNumPar1"/>
        <w:rPr>
          <w:noProof/>
        </w:rPr>
      </w:pPr>
      <w:r w:rsidRPr="008D78F5">
        <w:t>1.</w:t>
      </w:r>
      <w:r w:rsidRPr="008D78F5">
        <w:tab/>
      </w:r>
      <w:r w:rsidR="00141B35" w:rsidRPr="00853D04">
        <w:rPr>
          <w:noProof/>
        </w:rPr>
        <w:t>W razie potrzeby właściwe organy państw członkowskich współpracują ze sobą</w:t>
      </w:r>
      <w:r w:rsidR="00C13C75" w:rsidRPr="00853D04">
        <w:rPr>
          <w:noProof/>
        </w:rPr>
        <w:t xml:space="preserve"> i</w:t>
      </w:r>
      <w:r w:rsidR="00C13C75">
        <w:rPr>
          <w:noProof/>
        </w:rPr>
        <w:t> </w:t>
      </w:r>
      <w:r w:rsidR="00C13C75" w:rsidRPr="00853D04">
        <w:rPr>
          <w:noProof/>
        </w:rPr>
        <w:t>udz</w:t>
      </w:r>
      <w:r w:rsidR="00141B35" w:rsidRPr="00853D04">
        <w:rPr>
          <w:noProof/>
        </w:rPr>
        <w:t>ielają sobie wzajemnej pomocy</w:t>
      </w:r>
      <w:r w:rsidR="00C13C75" w:rsidRPr="00853D04">
        <w:rPr>
          <w:noProof/>
        </w:rPr>
        <w:t xml:space="preserve"> w</w:t>
      </w:r>
      <w:r w:rsidR="00C13C75">
        <w:rPr>
          <w:noProof/>
        </w:rPr>
        <w:t> </w:t>
      </w:r>
      <w:r w:rsidR="00C13C75" w:rsidRPr="00853D04">
        <w:rPr>
          <w:noProof/>
        </w:rPr>
        <w:t>sku</w:t>
      </w:r>
      <w:r w:rsidR="00141B35" w:rsidRPr="00853D04">
        <w:rPr>
          <w:noProof/>
        </w:rPr>
        <w:t>teczny</w:t>
      </w:r>
      <w:r w:rsidR="00C13C75" w:rsidRPr="00853D04">
        <w:rPr>
          <w:noProof/>
        </w:rPr>
        <w:t xml:space="preserve"> i</w:t>
      </w:r>
      <w:r w:rsidR="00C13C75">
        <w:rPr>
          <w:noProof/>
        </w:rPr>
        <w:t> </w:t>
      </w:r>
      <w:r w:rsidR="00C13C75" w:rsidRPr="00853D04">
        <w:rPr>
          <w:noProof/>
        </w:rPr>
        <w:t>wyd</w:t>
      </w:r>
      <w:r w:rsidR="00141B35" w:rsidRPr="00853D04">
        <w:rPr>
          <w:noProof/>
        </w:rPr>
        <w:t>ajny sposób do celów stosowania przepisów niniejszej dyrektywy.</w:t>
      </w:r>
    </w:p>
    <w:p w14:paraId="3FAFF5AF" w14:textId="415C89FB" w:rsidR="007B22F9" w:rsidRPr="00853D04" w:rsidRDefault="008D78F5" w:rsidP="008D78F5">
      <w:pPr>
        <w:pStyle w:val="ManualNumPar1"/>
        <w:rPr>
          <w:noProof/>
        </w:rPr>
      </w:pPr>
      <w:r w:rsidRPr="008D78F5">
        <w:t>2.</w:t>
      </w:r>
      <w:r w:rsidRPr="008D78F5">
        <w:tab/>
      </w:r>
      <w:r w:rsidR="003C700D" w:rsidRPr="00853D04">
        <w:rPr>
          <w:noProof/>
        </w:rPr>
        <w:t>Współpraca administracyjna</w:t>
      </w:r>
      <w:r w:rsidR="00C13C75" w:rsidRPr="00853D04">
        <w:rPr>
          <w:noProof/>
        </w:rPr>
        <w:t xml:space="preserve"> i</w:t>
      </w:r>
      <w:r w:rsidR="00C13C75">
        <w:rPr>
          <w:noProof/>
        </w:rPr>
        <w:t> </w:t>
      </w:r>
      <w:r w:rsidR="00C13C75" w:rsidRPr="00853D04">
        <w:rPr>
          <w:noProof/>
        </w:rPr>
        <w:t>wym</w:t>
      </w:r>
      <w:r w:rsidR="003C700D" w:rsidRPr="00853D04">
        <w:rPr>
          <w:noProof/>
        </w:rPr>
        <w:t xml:space="preserve">iana informacji między właściwymi organami na podstawie </w:t>
      </w:r>
      <w:r w:rsidR="003C700D" w:rsidRPr="00C13C75">
        <w:rPr>
          <w:noProof/>
        </w:rPr>
        <w:t>art.</w:t>
      </w:r>
      <w:r w:rsidR="00C13C75" w:rsidRPr="00C13C75">
        <w:rPr>
          <w:noProof/>
        </w:rPr>
        <w:t> </w:t>
      </w:r>
      <w:r w:rsidR="003C700D" w:rsidRPr="00C13C75">
        <w:rPr>
          <w:noProof/>
        </w:rPr>
        <w:t>1</w:t>
      </w:r>
      <w:r w:rsidR="003C700D" w:rsidRPr="00853D04">
        <w:rPr>
          <w:noProof/>
        </w:rPr>
        <w:t xml:space="preserve">7, </w:t>
      </w:r>
      <w:r w:rsidR="003C700D" w:rsidRPr="00C13C75">
        <w:rPr>
          <w:noProof/>
        </w:rPr>
        <w:t>art.</w:t>
      </w:r>
      <w:r w:rsidR="00C13C75" w:rsidRPr="00C13C75">
        <w:rPr>
          <w:noProof/>
        </w:rPr>
        <w:t> </w:t>
      </w:r>
      <w:r w:rsidR="003C700D" w:rsidRPr="00C13C75">
        <w:rPr>
          <w:noProof/>
        </w:rPr>
        <w:t>1</w:t>
      </w:r>
      <w:r w:rsidR="003C700D" w:rsidRPr="00853D04">
        <w:rPr>
          <w:noProof/>
        </w:rPr>
        <w:t xml:space="preserve">8, </w:t>
      </w:r>
      <w:r w:rsidR="003C700D" w:rsidRPr="00C13C75">
        <w:rPr>
          <w:noProof/>
        </w:rPr>
        <w:t>art.</w:t>
      </w:r>
      <w:r w:rsidR="00C13C75" w:rsidRPr="00C13C75">
        <w:rPr>
          <w:noProof/>
        </w:rPr>
        <w:t> </w:t>
      </w:r>
      <w:r w:rsidR="003C700D" w:rsidRPr="00C13C75">
        <w:rPr>
          <w:noProof/>
        </w:rPr>
        <w:t>1</w:t>
      </w:r>
      <w:r w:rsidR="003C700D" w:rsidRPr="00853D04">
        <w:rPr>
          <w:noProof/>
        </w:rPr>
        <w:t xml:space="preserve">9 </w:t>
      </w:r>
      <w:r w:rsidR="003C700D" w:rsidRPr="00C13C75">
        <w:rPr>
          <w:noProof/>
        </w:rPr>
        <w:t>ust.</w:t>
      </w:r>
      <w:r w:rsidR="00C13C75" w:rsidRPr="00C13C75">
        <w:rPr>
          <w:noProof/>
        </w:rPr>
        <w:t> </w:t>
      </w:r>
      <w:r w:rsidR="003C700D" w:rsidRPr="00C13C75">
        <w:rPr>
          <w:noProof/>
        </w:rPr>
        <w:t>2</w:t>
      </w:r>
      <w:r w:rsidR="003C700D" w:rsidRPr="00853D04">
        <w:rPr>
          <w:noProof/>
        </w:rPr>
        <w:t xml:space="preserve">, </w:t>
      </w:r>
      <w:r w:rsidR="003C700D" w:rsidRPr="00C13C75">
        <w:rPr>
          <w:noProof/>
        </w:rPr>
        <w:t>art.</w:t>
      </w:r>
      <w:r w:rsidR="00C13C75" w:rsidRPr="00C13C75">
        <w:rPr>
          <w:noProof/>
        </w:rPr>
        <w:t> </w:t>
      </w:r>
      <w:r w:rsidR="003C700D" w:rsidRPr="00C13C75">
        <w:rPr>
          <w:noProof/>
        </w:rPr>
        <w:t>1</w:t>
      </w:r>
      <w:r w:rsidR="003C700D" w:rsidRPr="00853D04">
        <w:rPr>
          <w:noProof/>
        </w:rPr>
        <w:t xml:space="preserve">9 </w:t>
      </w:r>
      <w:r w:rsidR="003C700D" w:rsidRPr="00C13C75">
        <w:rPr>
          <w:noProof/>
        </w:rPr>
        <w:t>ust.</w:t>
      </w:r>
      <w:r w:rsidR="00C13C75" w:rsidRPr="00C13C75">
        <w:rPr>
          <w:noProof/>
        </w:rPr>
        <w:t> </w:t>
      </w:r>
      <w:r w:rsidR="003C700D" w:rsidRPr="00C13C75">
        <w:rPr>
          <w:noProof/>
        </w:rPr>
        <w:t>4</w:t>
      </w:r>
      <w:r w:rsidR="003C700D" w:rsidRPr="00853D04">
        <w:rPr>
          <w:noProof/>
        </w:rPr>
        <w:t xml:space="preserve">, </w:t>
      </w:r>
      <w:r w:rsidR="003C700D" w:rsidRPr="00C13C75">
        <w:rPr>
          <w:noProof/>
        </w:rPr>
        <w:t>art.</w:t>
      </w:r>
      <w:r w:rsidR="00C13C75" w:rsidRPr="00C13C75">
        <w:rPr>
          <w:noProof/>
        </w:rPr>
        <w:t> </w:t>
      </w:r>
      <w:r w:rsidR="003C700D" w:rsidRPr="00C13C75">
        <w:rPr>
          <w:noProof/>
        </w:rPr>
        <w:t>2</w:t>
      </w:r>
      <w:r w:rsidR="003C700D" w:rsidRPr="00853D04">
        <w:rPr>
          <w:noProof/>
        </w:rPr>
        <w:t xml:space="preserve">3 </w:t>
      </w:r>
      <w:r w:rsidR="003C700D" w:rsidRPr="00C13C75">
        <w:rPr>
          <w:noProof/>
        </w:rPr>
        <w:t>ust.</w:t>
      </w:r>
      <w:r w:rsidR="00C13C75" w:rsidRPr="00C13C75">
        <w:rPr>
          <w:noProof/>
        </w:rPr>
        <w:t> </w:t>
      </w:r>
      <w:r w:rsidR="003C700D" w:rsidRPr="00C13C75">
        <w:rPr>
          <w:noProof/>
        </w:rPr>
        <w:t>5</w:t>
      </w:r>
      <w:r w:rsidR="003C700D" w:rsidRPr="00853D04">
        <w:rPr>
          <w:noProof/>
        </w:rPr>
        <w:t xml:space="preserve">, </w:t>
      </w:r>
      <w:r w:rsidR="003C700D" w:rsidRPr="00C13C75">
        <w:rPr>
          <w:noProof/>
        </w:rPr>
        <w:t>art.</w:t>
      </w:r>
      <w:r w:rsidR="00C13C75" w:rsidRPr="00C13C75">
        <w:rPr>
          <w:noProof/>
        </w:rPr>
        <w:t> </w:t>
      </w:r>
      <w:r w:rsidR="003C700D" w:rsidRPr="00C13C75">
        <w:rPr>
          <w:noProof/>
        </w:rPr>
        <w:t>2</w:t>
      </w:r>
      <w:r w:rsidR="003C700D" w:rsidRPr="00853D04">
        <w:rPr>
          <w:noProof/>
        </w:rPr>
        <w:t xml:space="preserve">3 </w:t>
      </w:r>
      <w:r w:rsidR="003C700D" w:rsidRPr="00C13C75">
        <w:rPr>
          <w:noProof/>
        </w:rPr>
        <w:t>ust.</w:t>
      </w:r>
      <w:r w:rsidR="00C13C75" w:rsidRPr="00C13C75">
        <w:rPr>
          <w:noProof/>
        </w:rPr>
        <w:t> </w:t>
      </w:r>
      <w:r w:rsidR="003C700D" w:rsidRPr="00C13C75">
        <w:rPr>
          <w:noProof/>
        </w:rPr>
        <w:t>6</w:t>
      </w:r>
      <w:r w:rsidR="003C700D" w:rsidRPr="00853D04">
        <w:rPr>
          <w:noProof/>
        </w:rPr>
        <w:t xml:space="preserve">, </w:t>
      </w:r>
      <w:r w:rsidR="003C700D" w:rsidRPr="00C13C75">
        <w:rPr>
          <w:noProof/>
        </w:rPr>
        <w:t>art.</w:t>
      </w:r>
      <w:r w:rsidR="00C13C75" w:rsidRPr="00C13C75">
        <w:rPr>
          <w:noProof/>
        </w:rPr>
        <w:t> </w:t>
      </w:r>
      <w:r w:rsidR="003C700D" w:rsidRPr="00C13C75">
        <w:rPr>
          <w:noProof/>
        </w:rPr>
        <w:t>2</w:t>
      </w:r>
      <w:r w:rsidR="003C700D" w:rsidRPr="00853D04">
        <w:rPr>
          <w:noProof/>
        </w:rPr>
        <w:t xml:space="preserve">3 </w:t>
      </w:r>
      <w:r w:rsidR="003C700D" w:rsidRPr="00C13C75">
        <w:rPr>
          <w:noProof/>
        </w:rPr>
        <w:t>ust.</w:t>
      </w:r>
      <w:r w:rsidR="00C13C75" w:rsidRPr="00C13C75">
        <w:rPr>
          <w:noProof/>
        </w:rPr>
        <w:t> </w:t>
      </w:r>
      <w:r w:rsidR="003C700D" w:rsidRPr="00C13C75">
        <w:rPr>
          <w:noProof/>
        </w:rPr>
        <w:t>7</w:t>
      </w:r>
      <w:r w:rsidR="003C700D" w:rsidRPr="00853D04">
        <w:rPr>
          <w:noProof/>
        </w:rPr>
        <w:t xml:space="preserve">, </w:t>
      </w:r>
      <w:r w:rsidR="003C700D" w:rsidRPr="00C13C75">
        <w:rPr>
          <w:noProof/>
        </w:rPr>
        <w:t>art.</w:t>
      </w:r>
      <w:r w:rsidR="00C13C75" w:rsidRPr="00C13C75">
        <w:rPr>
          <w:noProof/>
        </w:rPr>
        <w:t> </w:t>
      </w:r>
      <w:r w:rsidR="003C700D" w:rsidRPr="00C13C75">
        <w:rPr>
          <w:noProof/>
        </w:rPr>
        <w:t>2</w:t>
      </w:r>
      <w:r w:rsidR="003C700D" w:rsidRPr="00853D04">
        <w:rPr>
          <w:noProof/>
        </w:rPr>
        <w:t xml:space="preserve">4 </w:t>
      </w:r>
      <w:r w:rsidR="003C700D" w:rsidRPr="00C13C75">
        <w:rPr>
          <w:noProof/>
        </w:rPr>
        <w:t>ust.</w:t>
      </w:r>
      <w:r w:rsidR="00C13C75" w:rsidRPr="00C13C75">
        <w:rPr>
          <w:noProof/>
        </w:rPr>
        <w:t> </w:t>
      </w:r>
      <w:r w:rsidR="003C700D" w:rsidRPr="00C13C75">
        <w:rPr>
          <w:noProof/>
        </w:rPr>
        <w:t>3</w:t>
      </w:r>
      <w:r w:rsidR="003C700D" w:rsidRPr="00853D04">
        <w:rPr>
          <w:noProof/>
        </w:rPr>
        <w:t xml:space="preserve">, </w:t>
      </w:r>
      <w:r w:rsidR="003C700D" w:rsidRPr="00C13C75">
        <w:rPr>
          <w:noProof/>
        </w:rPr>
        <w:t>art.</w:t>
      </w:r>
      <w:r w:rsidR="00C13C75" w:rsidRPr="00C13C75">
        <w:rPr>
          <w:noProof/>
        </w:rPr>
        <w:t> </w:t>
      </w:r>
      <w:r w:rsidR="003C700D" w:rsidRPr="00C13C75">
        <w:rPr>
          <w:noProof/>
        </w:rPr>
        <w:t>2</w:t>
      </w:r>
      <w:r w:rsidR="003C700D" w:rsidRPr="00853D04">
        <w:rPr>
          <w:noProof/>
        </w:rPr>
        <w:t xml:space="preserve">5 </w:t>
      </w:r>
      <w:r w:rsidR="003C700D" w:rsidRPr="00C13C75">
        <w:rPr>
          <w:noProof/>
        </w:rPr>
        <w:t>ust.</w:t>
      </w:r>
      <w:r w:rsidR="00C13C75" w:rsidRPr="00C13C75">
        <w:rPr>
          <w:noProof/>
        </w:rPr>
        <w:t> </w:t>
      </w:r>
      <w:r w:rsidR="003C700D" w:rsidRPr="00C13C75">
        <w:rPr>
          <w:noProof/>
        </w:rPr>
        <w:t>6</w:t>
      </w:r>
      <w:r w:rsidR="00C13C75" w:rsidRPr="00853D04">
        <w:rPr>
          <w:noProof/>
        </w:rPr>
        <w:t xml:space="preserve"> i</w:t>
      </w:r>
      <w:r w:rsidR="00C13C75">
        <w:rPr>
          <w:noProof/>
        </w:rPr>
        <w:t> </w:t>
      </w:r>
      <w:r w:rsidR="00C13C75" w:rsidRPr="00C13C75">
        <w:rPr>
          <w:noProof/>
        </w:rPr>
        <w:t>art</w:t>
      </w:r>
      <w:r w:rsidR="003C700D" w:rsidRPr="00C13C75">
        <w:rPr>
          <w:noProof/>
        </w:rPr>
        <w:t>.</w:t>
      </w:r>
      <w:r w:rsidR="00C13C75" w:rsidRPr="00C13C75">
        <w:rPr>
          <w:noProof/>
        </w:rPr>
        <w:t> </w:t>
      </w:r>
      <w:r w:rsidR="003C700D" w:rsidRPr="00C13C75">
        <w:rPr>
          <w:noProof/>
        </w:rPr>
        <w:t>2</w:t>
      </w:r>
      <w:r w:rsidR="003C700D" w:rsidRPr="00853D04">
        <w:rPr>
          <w:noProof/>
        </w:rPr>
        <w:t>7 odbywa się zgodnie</w:t>
      </w:r>
      <w:r w:rsidR="00C13C75" w:rsidRPr="00853D04">
        <w:rPr>
          <w:noProof/>
        </w:rPr>
        <w:t xml:space="preserve"> z</w:t>
      </w:r>
      <w:r w:rsidR="00C13C75">
        <w:rPr>
          <w:noProof/>
        </w:rPr>
        <w:t> </w:t>
      </w:r>
      <w:r w:rsidR="00C13C75" w:rsidRPr="00853D04">
        <w:rPr>
          <w:noProof/>
        </w:rPr>
        <w:t>roz</w:t>
      </w:r>
      <w:r w:rsidR="003C700D" w:rsidRPr="00853D04">
        <w:rPr>
          <w:noProof/>
        </w:rPr>
        <w:t xml:space="preserve">porządzeniem (UE) </w:t>
      </w:r>
      <w:r w:rsidR="003C700D" w:rsidRPr="00C13C75">
        <w:rPr>
          <w:noProof/>
        </w:rPr>
        <w:t>nr</w:t>
      </w:r>
      <w:r w:rsidR="00C13C75" w:rsidRPr="00C13C75">
        <w:rPr>
          <w:noProof/>
        </w:rPr>
        <w:t> </w:t>
      </w:r>
      <w:r w:rsidR="003C700D" w:rsidRPr="00C13C75">
        <w:rPr>
          <w:noProof/>
        </w:rPr>
        <w:t>1</w:t>
      </w:r>
      <w:r w:rsidR="003C700D" w:rsidRPr="00853D04">
        <w:rPr>
          <w:noProof/>
        </w:rPr>
        <w:t>024/2012.</w:t>
      </w:r>
    </w:p>
    <w:p w14:paraId="5C711191" w14:textId="0BA12D89" w:rsidR="004F4101" w:rsidRPr="00853D04" w:rsidRDefault="008D78F5" w:rsidP="008D78F5">
      <w:pPr>
        <w:pStyle w:val="ManualNumPar1"/>
        <w:rPr>
          <w:noProof/>
        </w:rPr>
      </w:pPr>
      <w:r w:rsidRPr="008D78F5">
        <w:t>3.</w:t>
      </w:r>
      <w:r w:rsidRPr="008D78F5">
        <w:tab/>
      </w:r>
      <w:r w:rsidR="004F4101" w:rsidRPr="00853D04">
        <w:rPr>
          <w:noProof/>
        </w:rPr>
        <w:t>Państwa członkowskie zapewniają aktualność informacji zapisanych w IMI oraz informują się wzajemnie</w:t>
      </w:r>
      <w:r w:rsidR="00C13C75" w:rsidRPr="00853D04">
        <w:rPr>
          <w:noProof/>
        </w:rPr>
        <w:t xml:space="preserve"> o</w:t>
      </w:r>
      <w:r w:rsidR="00C13C75">
        <w:rPr>
          <w:noProof/>
        </w:rPr>
        <w:t> </w:t>
      </w:r>
      <w:r w:rsidR="00C13C75" w:rsidRPr="00853D04">
        <w:rPr>
          <w:noProof/>
        </w:rPr>
        <w:t>zmi</w:t>
      </w:r>
      <w:r w:rsidR="004F4101" w:rsidRPr="00853D04">
        <w:rPr>
          <w:noProof/>
        </w:rPr>
        <w:t>anach wcześniejszych informacji przekazanych zgodnie</w:t>
      </w:r>
      <w:r w:rsidR="00C13C75" w:rsidRPr="00853D04">
        <w:rPr>
          <w:noProof/>
        </w:rPr>
        <w:t xml:space="preserve"> z</w:t>
      </w:r>
      <w:r w:rsidR="00C13C75">
        <w:rPr>
          <w:noProof/>
        </w:rPr>
        <w:t> </w:t>
      </w:r>
      <w:r w:rsidR="00C13C75" w:rsidRPr="00853D04">
        <w:rPr>
          <w:noProof/>
        </w:rPr>
        <w:t>roz</w:t>
      </w:r>
      <w:r w:rsidR="004F4101" w:rsidRPr="00853D04">
        <w:rPr>
          <w:noProof/>
        </w:rPr>
        <w:t xml:space="preserve">porządzeniem (UE) </w:t>
      </w:r>
      <w:r w:rsidR="004F4101" w:rsidRPr="00C13C75">
        <w:rPr>
          <w:noProof/>
        </w:rPr>
        <w:t>nr</w:t>
      </w:r>
      <w:r w:rsidR="00C13C75" w:rsidRPr="00C13C75">
        <w:rPr>
          <w:noProof/>
        </w:rPr>
        <w:t> </w:t>
      </w:r>
      <w:r w:rsidR="004F4101" w:rsidRPr="00C13C75">
        <w:rPr>
          <w:noProof/>
        </w:rPr>
        <w:t>1</w:t>
      </w:r>
      <w:r w:rsidR="004F4101" w:rsidRPr="00853D04">
        <w:rPr>
          <w:noProof/>
        </w:rPr>
        <w:t>024/2012.</w:t>
      </w:r>
    </w:p>
    <w:p w14:paraId="55521E41" w14:textId="77777777" w:rsidR="00141B35" w:rsidRPr="00853D04" w:rsidRDefault="00141B35" w:rsidP="00141B35">
      <w:pPr>
        <w:pStyle w:val="Titrearticle"/>
        <w:rPr>
          <w:noProof/>
        </w:rPr>
      </w:pPr>
      <w:r w:rsidRPr="00853D04">
        <w:rPr>
          <w:noProof/>
        </w:rPr>
        <w:t>Artykuł 29</w:t>
      </w:r>
    </w:p>
    <w:p w14:paraId="4A5F8A0A" w14:textId="795B1DBF" w:rsidR="00141B35" w:rsidRPr="00C13C75" w:rsidRDefault="00DF0EDA" w:rsidP="00141B35">
      <w:pPr>
        <w:pStyle w:val="Titrearticle"/>
        <w:rPr>
          <w:noProof/>
        </w:rPr>
      </w:pPr>
      <w:r w:rsidRPr="00853D04">
        <w:rPr>
          <w:noProof/>
        </w:rPr>
        <w:t>Sprawozdawczoś</w:t>
      </w:r>
      <w:r w:rsidRPr="00C13C75">
        <w:rPr>
          <w:noProof/>
        </w:rPr>
        <w:t>ć</w:t>
      </w:r>
      <w:r w:rsidR="00C13C75" w:rsidRPr="00C13C75">
        <w:rPr>
          <w:noProof/>
        </w:rPr>
        <w:t xml:space="preserve"> </w:t>
      </w:r>
    </w:p>
    <w:p w14:paraId="4E3F8716" w14:textId="00D1420C" w:rsidR="00497595" w:rsidRPr="00853D04" w:rsidRDefault="00141B35" w:rsidP="00844EA1">
      <w:pPr>
        <w:rPr>
          <w:noProof/>
        </w:rPr>
      </w:pPr>
      <w:r w:rsidRPr="00853D04">
        <w:rPr>
          <w:noProof/>
        </w:rPr>
        <w:t>Najpóźniej do dnia [siedem lat po upływie terminu transpozycji] r.,</w:t>
      </w:r>
      <w:r w:rsidR="00C13C75" w:rsidRPr="00853D04">
        <w:rPr>
          <w:noProof/>
        </w:rPr>
        <w:t xml:space="preserve"> a</w:t>
      </w:r>
      <w:r w:rsidR="00C13C75">
        <w:rPr>
          <w:noProof/>
        </w:rPr>
        <w:t> </w:t>
      </w:r>
      <w:r w:rsidR="00C13C75" w:rsidRPr="00853D04">
        <w:rPr>
          <w:noProof/>
        </w:rPr>
        <w:t>nas</w:t>
      </w:r>
      <w:r w:rsidRPr="00853D04">
        <w:rPr>
          <w:noProof/>
        </w:rPr>
        <w:t>tępnie co pięć lat, Komisja przedkłada Parlamentowi Europejskiemu</w:t>
      </w:r>
      <w:r w:rsidR="00C13C75" w:rsidRPr="00853D04">
        <w:rPr>
          <w:noProof/>
        </w:rPr>
        <w:t xml:space="preserve"> i</w:t>
      </w:r>
      <w:r w:rsidR="00C13C75">
        <w:rPr>
          <w:noProof/>
        </w:rPr>
        <w:t> </w:t>
      </w:r>
      <w:r w:rsidR="00C13C75" w:rsidRPr="00853D04">
        <w:rPr>
          <w:noProof/>
        </w:rPr>
        <w:t>Rad</w:t>
      </w:r>
      <w:r w:rsidRPr="00853D04">
        <w:rPr>
          <w:noProof/>
        </w:rPr>
        <w:t>zie sprawozdanie</w:t>
      </w:r>
      <w:r w:rsidR="00C13C75" w:rsidRPr="00853D04">
        <w:rPr>
          <w:noProof/>
        </w:rPr>
        <w:t xml:space="preserve"> z</w:t>
      </w:r>
      <w:r w:rsidR="00C13C75">
        <w:rPr>
          <w:noProof/>
        </w:rPr>
        <w:t> </w:t>
      </w:r>
      <w:r w:rsidR="00C13C75" w:rsidRPr="00853D04">
        <w:rPr>
          <w:noProof/>
        </w:rPr>
        <w:t>tra</w:t>
      </w:r>
      <w:r w:rsidRPr="00853D04">
        <w:rPr>
          <w:noProof/>
        </w:rPr>
        <w:t>nspozycji</w:t>
      </w:r>
      <w:r w:rsidR="00C13C75" w:rsidRPr="00853D04">
        <w:rPr>
          <w:noProof/>
        </w:rPr>
        <w:t xml:space="preserve"> i</w:t>
      </w:r>
      <w:r w:rsidR="00C13C75">
        <w:rPr>
          <w:noProof/>
        </w:rPr>
        <w:t> </w:t>
      </w:r>
      <w:r w:rsidR="00C13C75" w:rsidRPr="00853D04">
        <w:rPr>
          <w:noProof/>
        </w:rPr>
        <w:t>sto</w:t>
      </w:r>
      <w:r w:rsidRPr="00853D04">
        <w:rPr>
          <w:noProof/>
        </w:rPr>
        <w:t>sowania niniejszej dyrektywy</w:t>
      </w:r>
      <w:r w:rsidR="00C13C75" w:rsidRPr="00853D04">
        <w:rPr>
          <w:noProof/>
        </w:rPr>
        <w:t>. W</w:t>
      </w:r>
      <w:r w:rsidR="00C13C75">
        <w:rPr>
          <w:noProof/>
        </w:rPr>
        <w:t> </w:t>
      </w:r>
      <w:r w:rsidR="00C13C75" w:rsidRPr="00853D04">
        <w:rPr>
          <w:noProof/>
        </w:rPr>
        <w:t>tym</w:t>
      </w:r>
      <w:r w:rsidRPr="00853D04">
        <w:rPr>
          <w:noProof/>
        </w:rPr>
        <w:t xml:space="preserve"> celu Komisja może zwrócić się do państw członkowskich,</w:t>
      </w:r>
      <w:r w:rsidR="00C13C75" w:rsidRPr="00853D04">
        <w:rPr>
          <w:noProof/>
        </w:rPr>
        <w:t xml:space="preserve"> w</w:t>
      </w:r>
      <w:r w:rsidR="00C13C75">
        <w:rPr>
          <w:noProof/>
        </w:rPr>
        <w:t> </w:t>
      </w:r>
      <w:r w:rsidR="00C13C75" w:rsidRPr="00853D04">
        <w:rPr>
          <w:noProof/>
        </w:rPr>
        <w:t>mia</w:t>
      </w:r>
      <w:r w:rsidRPr="00853D04">
        <w:rPr>
          <w:noProof/>
        </w:rPr>
        <w:t>rę możliwości za pośrednictwem narzędzi cyfrowych,</w:t>
      </w:r>
      <w:r w:rsidR="00C13C75" w:rsidRPr="00853D04">
        <w:rPr>
          <w:noProof/>
        </w:rPr>
        <w:t xml:space="preserve"> o</w:t>
      </w:r>
      <w:r w:rsidR="00C13C75">
        <w:rPr>
          <w:noProof/>
        </w:rPr>
        <w:t> </w:t>
      </w:r>
      <w:r w:rsidR="00C13C75" w:rsidRPr="00853D04">
        <w:rPr>
          <w:noProof/>
        </w:rPr>
        <w:t>udo</w:t>
      </w:r>
      <w:r w:rsidRPr="00853D04">
        <w:rPr>
          <w:noProof/>
        </w:rPr>
        <w:t>stępnienie danych zagregowanych dotyczących europejskich stowarzyszeń transgranicznych zarejestrowanych na ich terytorium.</w:t>
      </w:r>
    </w:p>
    <w:p w14:paraId="762E2E95" w14:textId="77777777" w:rsidR="009407E6" w:rsidRPr="00853D04" w:rsidRDefault="009407E6" w:rsidP="00A744FD">
      <w:pPr>
        <w:pStyle w:val="Text1"/>
        <w:rPr>
          <w:noProof/>
        </w:rPr>
      </w:pPr>
    </w:p>
    <w:p w14:paraId="64BDF0EE" w14:textId="77777777" w:rsidR="00141B35" w:rsidRPr="00853D04" w:rsidRDefault="00141B35" w:rsidP="00141B35">
      <w:pPr>
        <w:pStyle w:val="ChapterTitle"/>
        <w:rPr>
          <w:noProof/>
        </w:rPr>
      </w:pPr>
      <w:r w:rsidRPr="00853D04">
        <w:rPr>
          <w:noProof/>
        </w:rPr>
        <w:t>Dział 7</w:t>
      </w:r>
    </w:p>
    <w:p w14:paraId="65D0BC64" w14:textId="77777777" w:rsidR="00141B35" w:rsidRPr="00853D04" w:rsidRDefault="00141B35" w:rsidP="00141B35">
      <w:pPr>
        <w:pStyle w:val="ChapterTitle"/>
        <w:rPr>
          <w:noProof/>
        </w:rPr>
      </w:pPr>
      <w:r w:rsidRPr="00853D04">
        <w:rPr>
          <w:noProof/>
        </w:rPr>
        <w:t>Przepisy końcowe</w:t>
      </w:r>
    </w:p>
    <w:p w14:paraId="13D831AE" w14:textId="77777777" w:rsidR="00B37E4A" w:rsidRPr="00853D04" w:rsidRDefault="00141B35" w:rsidP="00B37E4A">
      <w:pPr>
        <w:pStyle w:val="Titrearticle"/>
        <w:rPr>
          <w:noProof/>
        </w:rPr>
      </w:pPr>
      <w:r w:rsidRPr="00853D04">
        <w:rPr>
          <w:noProof/>
        </w:rPr>
        <w:t>Artykuł 30</w:t>
      </w:r>
    </w:p>
    <w:p w14:paraId="67F6A285" w14:textId="77777777" w:rsidR="00141B35" w:rsidRPr="00853D04" w:rsidRDefault="00141B35" w:rsidP="00141B35">
      <w:pPr>
        <w:pStyle w:val="Titrearticle"/>
        <w:rPr>
          <w:noProof/>
        </w:rPr>
      </w:pPr>
      <w:r w:rsidRPr="00853D04">
        <w:rPr>
          <w:noProof/>
        </w:rPr>
        <w:t>Procedura komitetowa</w:t>
      </w:r>
    </w:p>
    <w:p w14:paraId="7BC5BF00" w14:textId="632E8B41" w:rsidR="00141B35" w:rsidRPr="00853D04" w:rsidRDefault="008D78F5" w:rsidP="008D78F5">
      <w:pPr>
        <w:pStyle w:val="ManualNumPar1"/>
        <w:rPr>
          <w:noProof/>
        </w:rPr>
      </w:pPr>
      <w:r w:rsidRPr="008D78F5">
        <w:t>1.</w:t>
      </w:r>
      <w:r w:rsidRPr="008D78F5">
        <w:tab/>
      </w:r>
      <w:r w:rsidR="00141B35" w:rsidRPr="00853D04">
        <w:rPr>
          <w:noProof/>
        </w:rPr>
        <w:t>Komisję wspomaga komitet. Komitet ten jest komitetem</w:t>
      </w:r>
      <w:r w:rsidR="00C13C75" w:rsidRPr="00853D04">
        <w:rPr>
          <w:noProof/>
        </w:rPr>
        <w:t xml:space="preserve"> w</w:t>
      </w:r>
      <w:r w:rsidR="00C13C75">
        <w:rPr>
          <w:noProof/>
        </w:rPr>
        <w:t> </w:t>
      </w:r>
      <w:r w:rsidR="00C13C75" w:rsidRPr="00853D04">
        <w:rPr>
          <w:noProof/>
        </w:rPr>
        <w:t>roz</w:t>
      </w:r>
      <w:r w:rsidR="00141B35" w:rsidRPr="00853D04">
        <w:rPr>
          <w:noProof/>
        </w:rPr>
        <w:t xml:space="preserve">umieniu </w:t>
      </w:r>
      <w:r w:rsidR="00141B35" w:rsidRPr="00C13C75">
        <w:rPr>
          <w:noProof/>
        </w:rPr>
        <w:t>art.</w:t>
      </w:r>
      <w:r w:rsidR="00C13C75" w:rsidRPr="00C13C75">
        <w:rPr>
          <w:noProof/>
        </w:rPr>
        <w:t> </w:t>
      </w:r>
      <w:r w:rsidR="00141B35" w:rsidRPr="00C13C75">
        <w:rPr>
          <w:noProof/>
        </w:rPr>
        <w:t>3</w:t>
      </w:r>
      <w:r w:rsidR="00141B35" w:rsidRPr="00853D04">
        <w:rPr>
          <w:noProof/>
        </w:rPr>
        <w:t xml:space="preserve"> </w:t>
      </w:r>
      <w:r w:rsidR="00141B35" w:rsidRPr="00C13C75">
        <w:rPr>
          <w:noProof/>
        </w:rPr>
        <w:t>ust.</w:t>
      </w:r>
      <w:r w:rsidR="00C13C75" w:rsidRPr="00C13C75">
        <w:rPr>
          <w:noProof/>
        </w:rPr>
        <w:t> </w:t>
      </w:r>
      <w:r w:rsidR="00141B35" w:rsidRPr="00C13C75">
        <w:rPr>
          <w:noProof/>
        </w:rPr>
        <w:t>2</w:t>
      </w:r>
      <w:r w:rsidR="00141B35" w:rsidRPr="00853D04">
        <w:rPr>
          <w:noProof/>
        </w:rPr>
        <w:t xml:space="preserve"> rozporządzenia (UE) </w:t>
      </w:r>
      <w:r w:rsidR="00141B35" w:rsidRPr="00C13C75">
        <w:rPr>
          <w:noProof/>
        </w:rPr>
        <w:t>nr</w:t>
      </w:r>
      <w:r w:rsidR="00C13C75" w:rsidRPr="00C13C75">
        <w:rPr>
          <w:noProof/>
        </w:rPr>
        <w:t> </w:t>
      </w:r>
      <w:r w:rsidR="00141B35" w:rsidRPr="00C13C75">
        <w:rPr>
          <w:noProof/>
        </w:rPr>
        <w:t>1</w:t>
      </w:r>
      <w:r w:rsidR="00141B35" w:rsidRPr="00853D04">
        <w:rPr>
          <w:noProof/>
        </w:rPr>
        <w:t xml:space="preserve">82/2011. </w:t>
      </w:r>
    </w:p>
    <w:p w14:paraId="6C3D5869" w14:textId="31E2C1B8" w:rsidR="00141B35" w:rsidRPr="00853D04" w:rsidRDefault="008D78F5" w:rsidP="008D78F5">
      <w:pPr>
        <w:pStyle w:val="ManualNumPar1"/>
        <w:rPr>
          <w:noProof/>
        </w:rPr>
      </w:pPr>
      <w:r w:rsidRPr="008D78F5">
        <w:t>2.</w:t>
      </w:r>
      <w:r w:rsidRPr="008D78F5">
        <w:tab/>
      </w:r>
      <w:r w:rsidR="00141B35" w:rsidRPr="00853D04">
        <w:rPr>
          <w:noProof/>
        </w:rPr>
        <w:t xml:space="preserve">W przypadku odesłania do niniejszego ustępu stosuje się </w:t>
      </w:r>
      <w:r w:rsidR="00141B35" w:rsidRPr="00C13C75">
        <w:rPr>
          <w:noProof/>
        </w:rPr>
        <w:t>art.</w:t>
      </w:r>
      <w:r w:rsidR="00C13C75" w:rsidRPr="00C13C75">
        <w:rPr>
          <w:noProof/>
        </w:rPr>
        <w:t> </w:t>
      </w:r>
      <w:r w:rsidR="00141B35" w:rsidRPr="00C13C75">
        <w:rPr>
          <w:noProof/>
        </w:rPr>
        <w:t>5</w:t>
      </w:r>
      <w:r w:rsidR="00141B35" w:rsidRPr="00853D04">
        <w:rPr>
          <w:noProof/>
        </w:rPr>
        <w:t xml:space="preserve"> rozporządzenia (UE) </w:t>
      </w:r>
      <w:r w:rsidR="00141B35" w:rsidRPr="00C13C75">
        <w:rPr>
          <w:noProof/>
        </w:rPr>
        <w:t>nr</w:t>
      </w:r>
      <w:r w:rsidR="00C13C75" w:rsidRPr="00C13C75">
        <w:rPr>
          <w:noProof/>
        </w:rPr>
        <w:t> </w:t>
      </w:r>
      <w:r w:rsidR="00141B35" w:rsidRPr="00C13C75">
        <w:rPr>
          <w:noProof/>
        </w:rPr>
        <w:t>1</w:t>
      </w:r>
      <w:r w:rsidR="00141B35" w:rsidRPr="00853D04">
        <w:rPr>
          <w:noProof/>
        </w:rPr>
        <w:t>82/2011.</w:t>
      </w:r>
    </w:p>
    <w:p w14:paraId="0875A644" w14:textId="77777777" w:rsidR="00141B35" w:rsidRPr="00853D04" w:rsidRDefault="00141B35" w:rsidP="000C153E">
      <w:pPr>
        <w:pStyle w:val="Titrearticle"/>
        <w:ind w:firstLine="720"/>
        <w:rPr>
          <w:noProof/>
        </w:rPr>
      </w:pPr>
      <w:r w:rsidRPr="00853D04">
        <w:rPr>
          <w:noProof/>
        </w:rPr>
        <w:t>Artykuł 31</w:t>
      </w:r>
    </w:p>
    <w:p w14:paraId="24782465" w14:textId="77777777" w:rsidR="00141B35" w:rsidRPr="00853D04" w:rsidRDefault="00141B35" w:rsidP="00141B35">
      <w:pPr>
        <w:pStyle w:val="Titrearticle"/>
        <w:rPr>
          <w:noProof/>
        </w:rPr>
      </w:pPr>
      <w:r w:rsidRPr="00853D04">
        <w:rPr>
          <w:noProof/>
        </w:rPr>
        <w:t>Transpozycja</w:t>
      </w:r>
    </w:p>
    <w:p w14:paraId="3018F82E" w14:textId="1EF180B1" w:rsidR="00141B35" w:rsidRPr="00C13C75" w:rsidRDefault="008D78F5" w:rsidP="008D78F5">
      <w:pPr>
        <w:pStyle w:val="ManualNumPar1"/>
        <w:rPr>
          <w:noProof/>
        </w:rPr>
      </w:pPr>
      <w:r w:rsidRPr="008D78F5">
        <w:t>1.</w:t>
      </w:r>
      <w:r w:rsidRPr="008D78F5">
        <w:tab/>
      </w:r>
      <w:r w:rsidR="00141B35" w:rsidRPr="00853D04">
        <w:rPr>
          <w:noProof/>
        </w:rPr>
        <w:t>Państwa członkowskie przyjmują</w:t>
      </w:r>
      <w:r w:rsidR="00C13C75" w:rsidRPr="00853D04">
        <w:rPr>
          <w:noProof/>
        </w:rPr>
        <w:t xml:space="preserve"> i</w:t>
      </w:r>
      <w:r w:rsidR="00C13C75">
        <w:rPr>
          <w:noProof/>
        </w:rPr>
        <w:t> </w:t>
      </w:r>
      <w:r w:rsidR="00C13C75" w:rsidRPr="00853D04">
        <w:rPr>
          <w:noProof/>
        </w:rPr>
        <w:t>pub</w:t>
      </w:r>
      <w:r w:rsidR="00141B35" w:rsidRPr="00853D04">
        <w:rPr>
          <w:noProof/>
        </w:rPr>
        <w:t>likują, najpóźniej do dnia [dwa lata po dniu wejścia</w:t>
      </w:r>
      <w:r w:rsidR="00C13C75" w:rsidRPr="00853D04">
        <w:rPr>
          <w:noProof/>
        </w:rPr>
        <w:t xml:space="preserve"> w</w:t>
      </w:r>
      <w:r w:rsidR="00C13C75">
        <w:rPr>
          <w:noProof/>
        </w:rPr>
        <w:t> </w:t>
      </w:r>
      <w:r w:rsidR="00C13C75" w:rsidRPr="00853D04">
        <w:rPr>
          <w:noProof/>
        </w:rPr>
        <w:t>życ</w:t>
      </w:r>
      <w:r w:rsidR="00141B35" w:rsidRPr="00853D04">
        <w:rPr>
          <w:noProof/>
        </w:rPr>
        <w:t>ie niniejszej dyrektywy] r., przepisy ustawowe, wykonawcze</w:t>
      </w:r>
      <w:r w:rsidR="00C13C75" w:rsidRPr="00853D04">
        <w:rPr>
          <w:noProof/>
        </w:rPr>
        <w:t xml:space="preserve"> i</w:t>
      </w:r>
      <w:r w:rsidR="00C13C75">
        <w:rPr>
          <w:noProof/>
        </w:rPr>
        <w:t> </w:t>
      </w:r>
      <w:r w:rsidR="00C13C75" w:rsidRPr="00853D04">
        <w:rPr>
          <w:noProof/>
        </w:rPr>
        <w:t>adm</w:t>
      </w:r>
      <w:r w:rsidR="00141B35" w:rsidRPr="00853D04">
        <w:rPr>
          <w:noProof/>
        </w:rPr>
        <w:t>inistracyjne niezbędne do wykonania niniejszej dyrektywy. Niezwłocznie przekazują one Komisji tekst tych przepisów</w:t>
      </w:r>
      <w:r w:rsidR="00141B35" w:rsidRPr="00C13C75">
        <w:rPr>
          <w:noProof/>
        </w:rPr>
        <w:t>.</w:t>
      </w:r>
      <w:r w:rsidR="00C13C75" w:rsidRPr="00C13C75">
        <w:rPr>
          <w:noProof/>
        </w:rPr>
        <w:t xml:space="preserve"> </w:t>
      </w:r>
    </w:p>
    <w:p w14:paraId="48F5CD1C" w14:textId="25CF5B62" w:rsidR="00141B35" w:rsidRPr="00C13C75" w:rsidRDefault="008D78F5" w:rsidP="008D78F5">
      <w:pPr>
        <w:pStyle w:val="ManualNumPar1"/>
        <w:rPr>
          <w:noProof/>
        </w:rPr>
      </w:pPr>
      <w:r w:rsidRPr="008D78F5">
        <w:t>2.</w:t>
      </w:r>
      <w:r w:rsidRPr="008D78F5">
        <w:tab/>
      </w:r>
      <w:r w:rsidR="00141B35" w:rsidRPr="00853D04">
        <w:rPr>
          <w:noProof/>
        </w:rPr>
        <w:t>Przepisy przyjęte przez państwa członkowskie zawierają odniesienie do niniejszej dyrektywy lub odniesienie takie towarzyszy ich urzędowej publikacji. Sposób dokonywania takiego odniesienia</w:t>
      </w:r>
      <w:r w:rsidR="00C13C75" w:rsidRPr="00853D04">
        <w:rPr>
          <w:noProof/>
        </w:rPr>
        <w:t xml:space="preserve"> i</w:t>
      </w:r>
      <w:r w:rsidR="00C13C75">
        <w:rPr>
          <w:noProof/>
        </w:rPr>
        <w:t> </w:t>
      </w:r>
      <w:r w:rsidR="00C13C75" w:rsidRPr="00853D04">
        <w:rPr>
          <w:noProof/>
        </w:rPr>
        <w:t>for</w:t>
      </w:r>
      <w:r w:rsidR="00141B35" w:rsidRPr="00853D04">
        <w:rPr>
          <w:noProof/>
        </w:rPr>
        <w:t>mułowania takiego wskazania ustalany jest przez państwa członkowskie</w:t>
      </w:r>
      <w:r w:rsidR="00141B35" w:rsidRPr="00C13C75">
        <w:rPr>
          <w:noProof/>
        </w:rPr>
        <w:t>.</w:t>
      </w:r>
      <w:r w:rsidR="00C13C75" w:rsidRPr="00C13C75">
        <w:rPr>
          <w:noProof/>
        </w:rPr>
        <w:t xml:space="preserve"> </w:t>
      </w:r>
    </w:p>
    <w:p w14:paraId="18CA8131" w14:textId="101236DC" w:rsidR="00141B35" w:rsidRPr="00853D04" w:rsidRDefault="008D78F5" w:rsidP="008D78F5">
      <w:pPr>
        <w:pStyle w:val="ManualNumPar1"/>
        <w:rPr>
          <w:noProof/>
        </w:rPr>
      </w:pPr>
      <w:r w:rsidRPr="008D78F5">
        <w:t>3.</w:t>
      </w:r>
      <w:r w:rsidRPr="008D78F5">
        <w:tab/>
      </w:r>
      <w:r w:rsidR="00141B35" w:rsidRPr="00853D04">
        <w:rPr>
          <w:noProof/>
        </w:rPr>
        <w:t>Państwa członkowskie przekazują Komisji teksty podstawowych przepisów prawa krajowego, przyjętych</w:t>
      </w:r>
      <w:r w:rsidR="00C13C75" w:rsidRPr="00853D04">
        <w:rPr>
          <w:noProof/>
        </w:rPr>
        <w:t xml:space="preserve"> w</w:t>
      </w:r>
      <w:r w:rsidR="00C13C75">
        <w:rPr>
          <w:noProof/>
        </w:rPr>
        <w:t> </w:t>
      </w:r>
      <w:r w:rsidR="00C13C75" w:rsidRPr="00853D04">
        <w:rPr>
          <w:noProof/>
        </w:rPr>
        <w:t>dzi</w:t>
      </w:r>
      <w:r w:rsidR="00141B35" w:rsidRPr="00853D04">
        <w:rPr>
          <w:noProof/>
        </w:rPr>
        <w:t>edzinie objętej niniejszą dyrektywą.</w:t>
      </w:r>
      <w:r w:rsidR="00141B35" w:rsidRPr="00853D04">
        <w:rPr>
          <w:noProof/>
        </w:rPr>
        <w:tab/>
      </w:r>
    </w:p>
    <w:p w14:paraId="2BCAFC5C" w14:textId="77777777" w:rsidR="00141B35" w:rsidRPr="00853D04" w:rsidRDefault="00141B35" w:rsidP="00141B35">
      <w:pPr>
        <w:pStyle w:val="Titrearticle"/>
        <w:rPr>
          <w:noProof/>
        </w:rPr>
      </w:pPr>
      <w:r w:rsidRPr="00853D04">
        <w:rPr>
          <w:noProof/>
        </w:rPr>
        <w:t>Artykuł 32</w:t>
      </w:r>
    </w:p>
    <w:p w14:paraId="25401ACF" w14:textId="28AB3863" w:rsidR="00141B35" w:rsidRPr="00853D04" w:rsidRDefault="00141B35" w:rsidP="00141B35">
      <w:pPr>
        <w:pStyle w:val="Titrearticle"/>
        <w:rPr>
          <w:noProof/>
        </w:rPr>
      </w:pPr>
      <w:r w:rsidRPr="00853D04">
        <w:rPr>
          <w:noProof/>
        </w:rPr>
        <w:t>Wejście</w:t>
      </w:r>
      <w:r w:rsidR="00C13C75" w:rsidRPr="00853D04">
        <w:rPr>
          <w:noProof/>
        </w:rPr>
        <w:t xml:space="preserve"> w</w:t>
      </w:r>
      <w:r w:rsidR="00C13C75">
        <w:rPr>
          <w:noProof/>
        </w:rPr>
        <w:t> </w:t>
      </w:r>
      <w:r w:rsidR="00C13C75" w:rsidRPr="00853D04">
        <w:rPr>
          <w:noProof/>
        </w:rPr>
        <w:t>życ</w:t>
      </w:r>
      <w:r w:rsidRPr="00853D04">
        <w:rPr>
          <w:noProof/>
        </w:rPr>
        <w:t>ie</w:t>
      </w:r>
    </w:p>
    <w:p w14:paraId="27513252" w14:textId="26C144EF" w:rsidR="00141B35" w:rsidRPr="00853D04" w:rsidRDefault="00141B35" w:rsidP="00141B35">
      <w:pPr>
        <w:rPr>
          <w:noProof/>
        </w:rPr>
      </w:pPr>
      <w:r w:rsidRPr="00853D04">
        <w:rPr>
          <w:noProof/>
        </w:rPr>
        <w:t>Niniejsza dyrektywa wchodzi</w:t>
      </w:r>
      <w:r w:rsidR="00C13C75" w:rsidRPr="00853D04">
        <w:rPr>
          <w:noProof/>
        </w:rPr>
        <w:t xml:space="preserve"> w</w:t>
      </w:r>
      <w:r w:rsidR="00C13C75">
        <w:rPr>
          <w:noProof/>
        </w:rPr>
        <w:t> </w:t>
      </w:r>
      <w:r w:rsidR="00C13C75" w:rsidRPr="00853D04">
        <w:rPr>
          <w:noProof/>
        </w:rPr>
        <w:t>życ</w:t>
      </w:r>
      <w:r w:rsidRPr="00853D04">
        <w:rPr>
          <w:noProof/>
        </w:rPr>
        <w:t>ie dwudziestego dnia po jej opublikowaniu</w:t>
      </w:r>
      <w:r w:rsidR="00C13C75" w:rsidRPr="00853D04">
        <w:rPr>
          <w:noProof/>
        </w:rPr>
        <w:t xml:space="preserve"> w</w:t>
      </w:r>
      <w:r w:rsidR="00C13C75">
        <w:rPr>
          <w:noProof/>
        </w:rPr>
        <w:t> </w:t>
      </w:r>
      <w:r w:rsidR="00C13C75" w:rsidRPr="00853D04">
        <w:rPr>
          <w:noProof/>
        </w:rPr>
        <w:t>Dzi</w:t>
      </w:r>
      <w:r w:rsidRPr="00853D04">
        <w:rPr>
          <w:noProof/>
        </w:rPr>
        <w:t>enniku Urzędowym Unii Europejskiej.</w:t>
      </w:r>
    </w:p>
    <w:p w14:paraId="71043353" w14:textId="77777777" w:rsidR="00141B35" w:rsidRPr="00853D04" w:rsidRDefault="00141B35" w:rsidP="00141B35">
      <w:pPr>
        <w:pStyle w:val="Titrearticle"/>
        <w:rPr>
          <w:noProof/>
        </w:rPr>
      </w:pPr>
      <w:r w:rsidRPr="00853D04">
        <w:rPr>
          <w:noProof/>
        </w:rPr>
        <w:t>Artykuł 33</w:t>
      </w:r>
    </w:p>
    <w:p w14:paraId="4931F88E" w14:textId="77777777" w:rsidR="00141B35" w:rsidRPr="00853D04" w:rsidRDefault="00141B35" w:rsidP="003F669A">
      <w:pPr>
        <w:pStyle w:val="Titrearticle"/>
        <w:rPr>
          <w:noProof/>
        </w:rPr>
      </w:pPr>
      <w:r w:rsidRPr="00853D04">
        <w:rPr>
          <w:noProof/>
        </w:rPr>
        <w:t>Adresaci</w:t>
      </w:r>
    </w:p>
    <w:p w14:paraId="1D192DBD" w14:textId="77777777" w:rsidR="00141B35" w:rsidRPr="00853D04" w:rsidRDefault="00141B35" w:rsidP="00141B35">
      <w:pPr>
        <w:rPr>
          <w:noProof/>
        </w:rPr>
      </w:pPr>
      <w:r w:rsidRPr="00853D04">
        <w:rPr>
          <w:noProof/>
        </w:rPr>
        <w:t>Niniejsza dyrektywa skierowana jest do państw członkowskich. </w:t>
      </w:r>
    </w:p>
    <w:p w14:paraId="69FC7071" w14:textId="77ED0BC1" w:rsidR="00BE7E05" w:rsidRPr="00853D04" w:rsidRDefault="000E6105" w:rsidP="003F669A">
      <w:pPr>
        <w:pStyle w:val="Fait"/>
        <w:rPr>
          <w:noProof/>
        </w:rPr>
      </w:pPr>
      <w:r w:rsidRPr="000E6105">
        <w:t xml:space="preserve">Sporządzono w Brukseli dnia </w:t>
      </w:r>
      <w:r w:rsidRPr="000E6105">
        <w:rPr>
          <w:rStyle w:val="Marker"/>
        </w:rPr>
        <w:t>[…]</w:t>
      </w:r>
      <w:r w:rsidRPr="000E6105">
        <w:t xml:space="preserve"> r.</w:t>
      </w:r>
    </w:p>
    <w:p w14:paraId="14729584" w14:textId="77777777" w:rsidR="00BE7E05" w:rsidRPr="00853D04" w:rsidRDefault="00BE7E05" w:rsidP="003F669A">
      <w:pPr>
        <w:pStyle w:val="Institutionquisigne"/>
        <w:rPr>
          <w:noProof/>
        </w:rPr>
      </w:pPr>
      <w:r w:rsidRPr="00853D04">
        <w:rPr>
          <w:noProof/>
        </w:rPr>
        <w:t>W imieniu Parlamentu Europejskiego</w:t>
      </w:r>
      <w:r w:rsidRPr="00853D04">
        <w:rPr>
          <w:noProof/>
        </w:rPr>
        <w:tab/>
        <w:t>W imieniu Rady</w:t>
      </w:r>
    </w:p>
    <w:p w14:paraId="0ADEA31A" w14:textId="77777777" w:rsidR="00BE7E05" w:rsidRPr="00853D04" w:rsidRDefault="00BE7E05" w:rsidP="00BE7E05">
      <w:pPr>
        <w:pStyle w:val="Personnequisigne"/>
        <w:rPr>
          <w:noProof/>
        </w:rPr>
      </w:pPr>
      <w:r w:rsidRPr="00853D04">
        <w:rPr>
          <w:noProof/>
        </w:rPr>
        <w:t>Przewodnicząca</w:t>
      </w:r>
      <w:r w:rsidRPr="00853D04">
        <w:rPr>
          <w:noProof/>
        </w:rPr>
        <w:tab/>
        <w:t>Przewodniczący</w:t>
      </w:r>
    </w:p>
    <w:p w14:paraId="1A23CE20" w14:textId="77777777" w:rsidR="00BE7E05" w:rsidRPr="00853D04" w:rsidRDefault="00BE7E05" w:rsidP="00BE7E05">
      <w:pPr>
        <w:rPr>
          <w:noProof/>
        </w:rPr>
        <w:sectPr w:rsidR="00BE7E05" w:rsidRPr="00853D04" w:rsidSect="002D57EB">
          <w:pgSz w:w="11907" w:h="16839"/>
          <w:pgMar w:top="1134" w:right="1417" w:bottom="1134" w:left="1417" w:header="709" w:footer="709" w:gutter="0"/>
          <w:cols w:space="708"/>
          <w:docGrid w:linePitch="360"/>
        </w:sectPr>
      </w:pPr>
    </w:p>
    <w:p w14:paraId="6AA76582" w14:textId="77777777" w:rsidR="00BE7E05" w:rsidRPr="00853D04" w:rsidRDefault="00BE7E05">
      <w:pPr>
        <w:pStyle w:val="Fichefinanciretitre"/>
        <w:keepNext/>
        <w:rPr>
          <w:noProof/>
        </w:rPr>
      </w:pPr>
      <w:bookmarkStart w:id="3" w:name="_TocB7751C055C4744A28A002AAF436526DF"/>
      <w:r w:rsidRPr="00853D04">
        <w:rPr>
          <w:noProof/>
        </w:rPr>
        <w:t>OCENA SKUTKÓW FINANSOWYCH REGULACJI</w:t>
      </w:r>
      <w:bookmarkEnd w:id="3"/>
    </w:p>
    <w:p w14:paraId="32EE1BCC" w14:textId="77777777" w:rsidR="00BE7E05" w:rsidRPr="00853D04" w:rsidRDefault="00BE7E05">
      <w:pPr>
        <w:pStyle w:val="ManualHeading1"/>
        <w:rPr>
          <w:noProof/>
        </w:rPr>
      </w:pPr>
      <w:r w:rsidRPr="00853D04">
        <w:rPr>
          <w:noProof/>
        </w:rPr>
        <w:t>1.</w:t>
      </w:r>
      <w:r w:rsidRPr="00853D04">
        <w:rPr>
          <w:noProof/>
        </w:rPr>
        <w:tab/>
        <w:t>STRUKTURA WNIOSKU/INICJATYWY</w:t>
      </w:r>
    </w:p>
    <w:p w14:paraId="73AD2657" w14:textId="77777777" w:rsidR="00BE7E05" w:rsidRPr="00853D04" w:rsidRDefault="00BE7E05">
      <w:pPr>
        <w:pStyle w:val="ManualHeading2"/>
        <w:rPr>
          <w:noProof/>
        </w:rPr>
      </w:pPr>
      <w:r w:rsidRPr="00853D04">
        <w:rPr>
          <w:noProof/>
        </w:rPr>
        <w:t>1.1.</w:t>
      </w:r>
      <w:r w:rsidRPr="00853D04">
        <w:rPr>
          <w:noProof/>
        </w:rPr>
        <w:tab/>
        <w:t>Tytuł wniosku/inicjatywy</w:t>
      </w:r>
    </w:p>
    <w:p w14:paraId="54A4D183" w14:textId="77777777" w:rsidR="00BE7E05" w:rsidRPr="00853D04" w:rsidRDefault="00BE7E05">
      <w:pPr>
        <w:pStyle w:val="ManualHeading2"/>
        <w:rPr>
          <w:noProof/>
        </w:rPr>
      </w:pPr>
      <w:r w:rsidRPr="00853D04">
        <w:rPr>
          <w:noProof/>
        </w:rPr>
        <w:t>1.2.</w:t>
      </w:r>
      <w:r w:rsidRPr="00853D04">
        <w:rPr>
          <w:noProof/>
        </w:rPr>
        <w:tab/>
        <w:t>Obszary polityki, których dotyczy wniosek/inicjatywa</w:t>
      </w:r>
    </w:p>
    <w:p w14:paraId="52067CCF" w14:textId="77777777" w:rsidR="00BE7E05" w:rsidRPr="00853D04" w:rsidRDefault="00BE7E05">
      <w:pPr>
        <w:pStyle w:val="ManualHeading2"/>
        <w:rPr>
          <w:noProof/>
        </w:rPr>
      </w:pPr>
      <w:r w:rsidRPr="00853D04">
        <w:rPr>
          <w:noProof/>
        </w:rPr>
        <w:t>1.3.</w:t>
      </w:r>
      <w:r w:rsidRPr="00853D04">
        <w:rPr>
          <w:noProof/>
        </w:rPr>
        <w:tab/>
        <w:t>Wniosek/inicjatywa dotyczy:</w:t>
      </w:r>
    </w:p>
    <w:p w14:paraId="5DEEF274" w14:textId="77777777" w:rsidR="00BE7E05" w:rsidRPr="00853D04" w:rsidRDefault="00BE7E05">
      <w:pPr>
        <w:pStyle w:val="ManualHeading2"/>
        <w:rPr>
          <w:noProof/>
        </w:rPr>
      </w:pPr>
      <w:r w:rsidRPr="00853D04">
        <w:rPr>
          <w:noProof/>
        </w:rPr>
        <w:t>1.4.</w:t>
      </w:r>
      <w:r w:rsidRPr="00853D04">
        <w:rPr>
          <w:noProof/>
        </w:rPr>
        <w:tab/>
        <w:t>Cel(e)</w:t>
      </w:r>
    </w:p>
    <w:p w14:paraId="32D84381" w14:textId="77777777" w:rsidR="00BE7E05" w:rsidRPr="00853D04" w:rsidRDefault="00BE7E05">
      <w:pPr>
        <w:pStyle w:val="ManualHeading3"/>
        <w:rPr>
          <w:noProof/>
        </w:rPr>
      </w:pPr>
      <w:r w:rsidRPr="00853D04">
        <w:rPr>
          <w:noProof/>
        </w:rPr>
        <w:t>1.4.1.</w:t>
      </w:r>
      <w:r w:rsidRPr="00853D04">
        <w:rPr>
          <w:noProof/>
        </w:rPr>
        <w:tab/>
        <w:t>Cel(e) ogólny(e)</w:t>
      </w:r>
    </w:p>
    <w:p w14:paraId="2DA26CE7" w14:textId="77777777" w:rsidR="00BE7E05" w:rsidRPr="00853D04" w:rsidRDefault="00BE7E05">
      <w:pPr>
        <w:pStyle w:val="ManualHeading3"/>
        <w:rPr>
          <w:noProof/>
        </w:rPr>
      </w:pPr>
      <w:r w:rsidRPr="00853D04">
        <w:rPr>
          <w:noProof/>
        </w:rPr>
        <w:t>1.4.2.</w:t>
      </w:r>
      <w:r w:rsidRPr="00853D04">
        <w:rPr>
          <w:noProof/>
        </w:rPr>
        <w:tab/>
        <w:t>Cel(e) szczegółowy(e)</w:t>
      </w:r>
    </w:p>
    <w:p w14:paraId="4B38A6DE" w14:textId="4054ED10" w:rsidR="07B28604" w:rsidRPr="00853D04" w:rsidRDefault="07B28604" w:rsidP="188AFA49">
      <w:pPr>
        <w:pStyle w:val="ManualHeading3"/>
        <w:rPr>
          <w:noProof/>
        </w:rPr>
      </w:pPr>
      <w:r w:rsidRPr="00853D04">
        <w:rPr>
          <w:noProof/>
        </w:rPr>
        <w:t>1.4.3.</w:t>
      </w:r>
      <w:r w:rsidRPr="00853D04">
        <w:rPr>
          <w:noProof/>
        </w:rPr>
        <w:tab/>
        <w:t>Oczekiwane wyniki</w:t>
      </w:r>
      <w:r w:rsidR="00C13C75" w:rsidRPr="00853D04">
        <w:rPr>
          <w:noProof/>
        </w:rPr>
        <w:t xml:space="preserve"> i</w:t>
      </w:r>
      <w:r w:rsidR="00C13C75">
        <w:rPr>
          <w:noProof/>
        </w:rPr>
        <w:t> </w:t>
      </w:r>
      <w:r w:rsidR="00C13C75" w:rsidRPr="00853D04">
        <w:rPr>
          <w:noProof/>
        </w:rPr>
        <w:t>wpł</w:t>
      </w:r>
      <w:r w:rsidRPr="00853D04">
        <w:rPr>
          <w:noProof/>
        </w:rPr>
        <w:t>yw</w:t>
      </w:r>
    </w:p>
    <w:p w14:paraId="57668164" w14:textId="77777777" w:rsidR="00BE7E05" w:rsidRPr="00853D04" w:rsidRDefault="00BE7E05">
      <w:pPr>
        <w:pStyle w:val="ManualHeading3"/>
        <w:rPr>
          <w:noProof/>
        </w:rPr>
      </w:pPr>
      <w:r w:rsidRPr="00853D04">
        <w:rPr>
          <w:noProof/>
        </w:rPr>
        <w:t>1.4.4.</w:t>
      </w:r>
      <w:r w:rsidRPr="00853D04">
        <w:rPr>
          <w:noProof/>
        </w:rPr>
        <w:tab/>
        <w:t>Wskaźniki dotyczące realizacji celów</w:t>
      </w:r>
    </w:p>
    <w:p w14:paraId="127EC501" w14:textId="77777777" w:rsidR="00BE7E05" w:rsidRPr="00853D04" w:rsidRDefault="00BE7E05">
      <w:pPr>
        <w:pStyle w:val="ManualHeading2"/>
        <w:rPr>
          <w:noProof/>
        </w:rPr>
      </w:pPr>
      <w:r w:rsidRPr="00853D04">
        <w:rPr>
          <w:noProof/>
        </w:rPr>
        <w:t>1.5.</w:t>
      </w:r>
      <w:r w:rsidRPr="00853D04">
        <w:rPr>
          <w:noProof/>
        </w:rPr>
        <w:tab/>
        <w:t>Uzasadnienie wniosku/inicjatywy</w:t>
      </w:r>
    </w:p>
    <w:p w14:paraId="24586B84" w14:textId="5C492AB9" w:rsidR="00BE7E05" w:rsidRPr="00853D04" w:rsidRDefault="00BE7E05">
      <w:pPr>
        <w:pStyle w:val="ManualHeading3"/>
        <w:rPr>
          <w:noProof/>
        </w:rPr>
      </w:pPr>
      <w:r w:rsidRPr="00853D04">
        <w:rPr>
          <w:noProof/>
        </w:rPr>
        <w:t>1.5.1.</w:t>
      </w:r>
      <w:r w:rsidRPr="00853D04">
        <w:rPr>
          <w:noProof/>
        </w:rPr>
        <w:tab/>
        <w:t>Potrzeby, które należy zaspokoić</w:t>
      </w:r>
      <w:r w:rsidR="00C13C75" w:rsidRPr="00853D04">
        <w:rPr>
          <w:noProof/>
        </w:rPr>
        <w:t xml:space="preserve"> w</w:t>
      </w:r>
      <w:r w:rsidR="00C13C75">
        <w:rPr>
          <w:noProof/>
        </w:rPr>
        <w:t> </w:t>
      </w:r>
      <w:r w:rsidR="00C13C75" w:rsidRPr="00853D04">
        <w:rPr>
          <w:noProof/>
        </w:rPr>
        <w:t>per</w:t>
      </w:r>
      <w:r w:rsidRPr="00853D04">
        <w:rPr>
          <w:noProof/>
        </w:rPr>
        <w:t>spektywie krótko- lub długoterminowej,</w:t>
      </w:r>
      <w:r w:rsidR="00C13C75" w:rsidRPr="00853D04">
        <w:rPr>
          <w:noProof/>
        </w:rPr>
        <w:t xml:space="preserve"> w</w:t>
      </w:r>
      <w:r w:rsidR="00C13C75">
        <w:rPr>
          <w:noProof/>
        </w:rPr>
        <w:t> </w:t>
      </w:r>
      <w:r w:rsidR="00C13C75" w:rsidRPr="00853D04">
        <w:rPr>
          <w:noProof/>
        </w:rPr>
        <w:t>tym</w:t>
      </w:r>
      <w:r w:rsidRPr="00853D04">
        <w:rPr>
          <w:noProof/>
        </w:rPr>
        <w:t xml:space="preserve"> szczegółowy terminarz przebiegu realizacji inicjatywy</w:t>
      </w:r>
    </w:p>
    <w:p w14:paraId="6F216A9C" w14:textId="20690832" w:rsidR="00BE7E05" w:rsidRPr="00853D04" w:rsidRDefault="00BE7E05">
      <w:pPr>
        <w:pStyle w:val="ManualHeading3"/>
        <w:rPr>
          <w:noProof/>
        </w:rPr>
      </w:pPr>
      <w:r w:rsidRPr="00853D04">
        <w:rPr>
          <w:noProof/>
        </w:rPr>
        <w:t>1.5.2.</w:t>
      </w:r>
      <w:r w:rsidRPr="00853D04">
        <w:rPr>
          <w:noProof/>
        </w:rPr>
        <w:tab/>
        <w:t>Wartość dodana</w:t>
      </w:r>
      <w:r w:rsidR="00C13C75" w:rsidRPr="00853D04">
        <w:rPr>
          <w:noProof/>
        </w:rPr>
        <w:t xml:space="preserve"> z</w:t>
      </w:r>
      <w:r w:rsidR="00C13C75">
        <w:rPr>
          <w:noProof/>
        </w:rPr>
        <w:t> </w:t>
      </w:r>
      <w:r w:rsidR="00C13C75" w:rsidRPr="00853D04">
        <w:rPr>
          <w:noProof/>
        </w:rPr>
        <w:t>tyt</w:t>
      </w:r>
      <w:r w:rsidRPr="00853D04">
        <w:rPr>
          <w:noProof/>
        </w:rPr>
        <w:t>ułu zaangażowania Unii Europejskiej (może wynikać</w:t>
      </w:r>
      <w:r w:rsidR="00C13C75" w:rsidRPr="00853D04">
        <w:rPr>
          <w:noProof/>
        </w:rPr>
        <w:t xml:space="preserve"> z</w:t>
      </w:r>
      <w:r w:rsidR="00C13C75">
        <w:rPr>
          <w:noProof/>
        </w:rPr>
        <w:t> </w:t>
      </w:r>
      <w:r w:rsidR="00C13C75" w:rsidRPr="00853D04">
        <w:rPr>
          <w:noProof/>
        </w:rPr>
        <w:t>róż</w:t>
      </w:r>
      <w:r w:rsidRPr="00853D04">
        <w:rPr>
          <w:noProof/>
        </w:rPr>
        <w:t>nych czynników, na przykład korzyści koordynacyjnych, pewności prawa, większej efektywności lub komplementarności). Na potrzeby tego punktu „wartość dodaną</w:t>
      </w:r>
      <w:r w:rsidR="00C13C75" w:rsidRPr="00853D04">
        <w:rPr>
          <w:noProof/>
        </w:rPr>
        <w:t xml:space="preserve"> z</w:t>
      </w:r>
      <w:r w:rsidR="00C13C75">
        <w:rPr>
          <w:noProof/>
        </w:rPr>
        <w:t> </w:t>
      </w:r>
      <w:r w:rsidR="00C13C75" w:rsidRPr="00853D04">
        <w:rPr>
          <w:noProof/>
        </w:rPr>
        <w:t>tyt</w:t>
      </w:r>
      <w:r w:rsidRPr="00853D04">
        <w:rPr>
          <w:noProof/>
        </w:rPr>
        <w:t>ułu zaangażowania Unii” należy rozumieć jako wartość wynikającą</w:t>
      </w:r>
      <w:r w:rsidR="00C13C75" w:rsidRPr="00853D04">
        <w:rPr>
          <w:noProof/>
        </w:rPr>
        <w:t xml:space="preserve"> z</w:t>
      </w:r>
      <w:r w:rsidR="00C13C75">
        <w:rPr>
          <w:noProof/>
        </w:rPr>
        <w:t> </w:t>
      </w:r>
      <w:r w:rsidR="00C13C75" w:rsidRPr="00853D04">
        <w:rPr>
          <w:noProof/>
        </w:rPr>
        <w:t>uni</w:t>
      </w:r>
      <w:r w:rsidRPr="00853D04">
        <w:rPr>
          <w:noProof/>
        </w:rPr>
        <w:t>jnej interwencji, wykraczającą poza wartość, która zostałaby wytworzona przez same państwa członkowskie.</w:t>
      </w:r>
    </w:p>
    <w:p w14:paraId="7003E3B2" w14:textId="0E61E0F4" w:rsidR="00BE7E05" w:rsidRPr="00853D04" w:rsidRDefault="00BE7E05">
      <w:pPr>
        <w:pStyle w:val="ManualHeading3"/>
        <w:rPr>
          <w:noProof/>
        </w:rPr>
      </w:pPr>
      <w:r w:rsidRPr="00853D04">
        <w:rPr>
          <w:noProof/>
        </w:rPr>
        <w:t>1.5.3.</w:t>
      </w:r>
      <w:r w:rsidRPr="00853D04">
        <w:rPr>
          <w:noProof/>
        </w:rPr>
        <w:tab/>
        <w:t>Główne wnioski wyciągnięte</w:t>
      </w:r>
      <w:r w:rsidR="00C13C75" w:rsidRPr="00853D04">
        <w:rPr>
          <w:noProof/>
        </w:rPr>
        <w:t xml:space="preserve"> z</w:t>
      </w:r>
      <w:r w:rsidR="00C13C75">
        <w:rPr>
          <w:noProof/>
        </w:rPr>
        <w:t> </w:t>
      </w:r>
      <w:r w:rsidR="00C13C75" w:rsidRPr="00853D04">
        <w:rPr>
          <w:noProof/>
        </w:rPr>
        <w:t>pod</w:t>
      </w:r>
      <w:r w:rsidRPr="00853D04">
        <w:rPr>
          <w:noProof/>
        </w:rPr>
        <w:t>obnych działań</w:t>
      </w:r>
    </w:p>
    <w:p w14:paraId="60431BC6" w14:textId="792CA9DE" w:rsidR="00BE7E05" w:rsidRPr="00853D04" w:rsidRDefault="00BE7E05">
      <w:pPr>
        <w:pStyle w:val="ManualHeading3"/>
        <w:rPr>
          <w:noProof/>
        </w:rPr>
      </w:pPr>
      <w:r w:rsidRPr="00853D04">
        <w:rPr>
          <w:noProof/>
        </w:rPr>
        <w:t>1.5.4.</w:t>
      </w:r>
      <w:r w:rsidRPr="00853D04">
        <w:rPr>
          <w:noProof/>
        </w:rPr>
        <w:tab/>
        <w:t>Spójność</w:t>
      </w:r>
      <w:r w:rsidR="00C13C75" w:rsidRPr="00853D04">
        <w:rPr>
          <w:noProof/>
        </w:rPr>
        <w:t xml:space="preserve"> z</w:t>
      </w:r>
      <w:r w:rsidR="00C13C75">
        <w:rPr>
          <w:noProof/>
        </w:rPr>
        <w:t> </w:t>
      </w:r>
      <w:r w:rsidR="00C13C75" w:rsidRPr="00853D04">
        <w:rPr>
          <w:noProof/>
        </w:rPr>
        <w:t>wie</w:t>
      </w:r>
      <w:r w:rsidRPr="00853D04">
        <w:rPr>
          <w:noProof/>
        </w:rPr>
        <w:t>loletnimi ramami finansowymi oraz możliwa synergia</w:t>
      </w:r>
      <w:r w:rsidR="00C13C75" w:rsidRPr="00853D04">
        <w:rPr>
          <w:noProof/>
        </w:rPr>
        <w:t xml:space="preserve"> z</w:t>
      </w:r>
      <w:r w:rsidR="00C13C75">
        <w:rPr>
          <w:noProof/>
        </w:rPr>
        <w:t> </w:t>
      </w:r>
      <w:r w:rsidR="00C13C75" w:rsidRPr="00853D04">
        <w:rPr>
          <w:noProof/>
        </w:rPr>
        <w:t>inn</w:t>
      </w:r>
      <w:r w:rsidRPr="00853D04">
        <w:rPr>
          <w:noProof/>
        </w:rPr>
        <w:t>ymi właściwymi instrumentami</w:t>
      </w:r>
    </w:p>
    <w:p w14:paraId="098D5B5E" w14:textId="7FC228A7" w:rsidR="00BE7E05" w:rsidRPr="00853D04" w:rsidRDefault="00BE7E05">
      <w:pPr>
        <w:pStyle w:val="ManualHeading3"/>
        <w:rPr>
          <w:noProof/>
        </w:rPr>
      </w:pPr>
      <w:r w:rsidRPr="00853D04">
        <w:rPr>
          <w:noProof/>
        </w:rPr>
        <w:t>1.5.5.</w:t>
      </w:r>
      <w:r w:rsidRPr="00853D04">
        <w:rPr>
          <w:noProof/>
        </w:rPr>
        <w:tab/>
        <w:t>Ocena różnych dostępnych możliwości finansowania,</w:t>
      </w:r>
      <w:r w:rsidR="00C13C75" w:rsidRPr="00853D04">
        <w:rPr>
          <w:noProof/>
        </w:rPr>
        <w:t xml:space="preserve"> w</w:t>
      </w:r>
      <w:r w:rsidR="00C13C75">
        <w:rPr>
          <w:noProof/>
        </w:rPr>
        <w:t> </w:t>
      </w:r>
      <w:r w:rsidR="00C13C75" w:rsidRPr="00853D04">
        <w:rPr>
          <w:noProof/>
        </w:rPr>
        <w:t>tym</w:t>
      </w:r>
      <w:r w:rsidRPr="00853D04">
        <w:rPr>
          <w:noProof/>
        </w:rPr>
        <w:t xml:space="preserve"> zakresu przegrupowania środków</w:t>
      </w:r>
    </w:p>
    <w:p w14:paraId="0EF6CFDC" w14:textId="28635761" w:rsidR="00BE7E05" w:rsidRPr="00853D04" w:rsidRDefault="00BE7E05">
      <w:pPr>
        <w:pStyle w:val="ManualHeading2"/>
        <w:rPr>
          <w:noProof/>
        </w:rPr>
      </w:pPr>
      <w:r w:rsidRPr="00853D04">
        <w:rPr>
          <w:noProof/>
        </w:rPr>
        <w:t>1.6.</w:t>
      </w:r>
      <w:r w:rsidRPr="00853D04">
        <w:rPr>
          <w:noProof/>
        </w:rPr>
        <w:tab/>
        <w:t>Czas trwania</w:t>
      </w:r>
      <w:r w:rsidR="00C13C75" w:rsidRPr="00853D04">
        <w:rPr>
          <w:noProof/>
        </w:rPr>
        <w:t xml:space="preserve"> i</w:t>
      </w:r>
      <w:r w:rsidR="00C13C75">
        <w:rPr>
          <w:noProof/>
        </w:rPr>
        <w:t> </w:t>
      </w:r>
      <w:r w:rsidR="00C13C75" w:rsidRPr="00853D04">
        <w:rPr>
          <w:noProof/>
        </w:rPr>
        <w:t>wpł</w:t>
      </w:r>
      <w:r w:rsidRPr="00853D04">
        <w:rPr>
          <w:noProof/>
        </w:rPr>
        <w:t>yw finansowy wniosku/inicjatywy</w:t>
      </w:r>
    </w:p>
    <w:p w14:paraId="2D90F2EE" w14:textId="77777777" w:rsidR="00BE7E05" w:rsidRPr="00853D04" w:rsidRDefault="00BE7E05">
      <w:pPr>
        <w:pStyle w:val="ManualHeading2"/>
        <w:rPr>
          <w:noProof/>
        </w:rPr>
      </w:pPr>
      <w:r w:rsidRPr="00853D04">
        <w:rPr>
          <w:noProof/>
        </w:rPr>
        <w:t>1.7.</w:t>
      </w:r>
      <w:r w:rsidRPr="00853D04">
        <w:rPr>
          <w:noProof/>
        </w:rPr>
        <w:tab/>
        <w:t>Planowane metody wykonania budżetu</w:t>
      </w:r>
    </w:p>
    <w:p w14:paraId="2CC45D4B" w14:textId="77777777" w:rsidR="00BE7E05" w:rsidRPr="00853D04" w:rsidRDefault="00BE7E05">
      <w:pPr>
        <w:pStyle w:val="ManualHeading1"/>
        <w:rPr>
          <w:noProof/>
        </w:rPr>
      </w:pPr>
      <w:r w:rsidRPr="00853D04">
        <w:rPr>
          <w:noProof/>
        </w:rPr>
        <w:t>2.</w:t>
      </w:r>
      <w:r w:rsidRPr="00853D04">
        <w:rPr>
          <w:noProof/>
        </w:rPr>
        <w:tab/>
        <w:t>ŚRODKI ZARZĄDZANIA</w:t>
      </w:r>
    </w:p>
    <w:p w14:paraId="043BCF01" w14:textId="4114265B" w:rsidR="00BE7E05" w:rsidRPr="00853D04" w:rsidRDefault="00BE7E05">
      <w:pPr>
        <w:pStyle w:val="ManualHeading2"/>
        <w:rPr>
          <w:noProof/>
        </w:rPr>
      </w:pPr>
      <w:r w:rsidRPr="00853D04">
        <w:rPr>
          <w:noProof/>
        </w:rPr>
        <w:t>2.1.</w:t>
      </w:r>
      <w:r w:rsidRPr="00853D04">
        <w:rPr>
          <w:noProof/>
        </w:rPr>
        <w:tab/>
        <w:t>Zasady nadzoru</w:t>
      </w:r>
      <w:r w:rsidR="00C13C75" w:rsidRPr="00853D04">
        <w:rPr>
          <w:noProof/>
        </w:rPr>
        <w:t xml:space="preserve"> i</w:t>
      </w:r>
      <w:r w:rsidR="00C13C75">
        <w:rPr>
          <w:noProof/>
        </w:rPr>
        <w:t> </w:t>
      </w:r>
      <w:r w:rsidR="00C13C75" w:rsidRPr="00853D04">
        <w:rPr>
          <w:noProof/>
        </w:rPr>
        <w:t>spr</w:t>
      </w:r>
      <w:r w:rsidRPr="00853D04">
        <w:rPr>
          <w:noProof/>
        </w:rPr>
        <w:t>awozdawczości</w:t>
      </w:r>
    </w:p>
    <w:p w14:paraId="05811B27" w14:textId="4052C537" w:rsidR="00BE7E05" w:rsidRPr="00853D04" w:rsidRDefault="00BE7E05">
      <w:pPr>
        <w:pStyle w:val="ManualHeading2"/>
        <w:rPr>
          <w:noProof/>
        </w:rPr>
      </w:pPr>
      <w:r w:rsidRPr="00853D04">
        <w:rPr>
          <w:noProof/>
        </w:rPr>
        <w:t>2.2.</w:t>
      </w:r>
      <w:r w:rsidRPr="00853D04">
        <w:rPr>
          <w:noProof/>
        </w:rPr>
        <w:tab/>
        <w:t>System zarządzania</w:t>
      </w:r>
      <w:r w:rsidR="00C13C75" w:rsidRPr="00853D04">
        <w:rPr>
          <w:noProof/>
        </w:rPr>
        <w:t xml:space="preserve"> i</w:t>
      </w:r>
      <w:r w:rsidR="00C13C75">
        <w:rPr>
          <w:noProof/>
        </w:rPr>
        <w:t> </w:t>
      </w:r>
      <w:r w:rsidR="00C13C75" w:rsidRPr="00853D04">
        <w:rPr>
          <w:noProof/>
        </w:rPr>
        <w:t>kon</w:t>
      </w:r>
      <w:r w:rsidRPr="00853D04">
        <w:rPr>
          <w:noProof/>
        </w:rPr>
        <w:t>troli</w:t>
      </w:r>
    </w:p>
    <w:p w14:paraId="44FB6D13" w14:textId="50155484" w:rsidR="00BE7E05" w:rsidRPr="00853D04" w:rsidRDefault="00BE7E05">
      <w:pPr>
        <w:pStyle w:val="ManualHeading3"/>
        <w:rPr>
          <w:noProof/>
        </w:rPr>
      </w:pPr>
      <w:r w:rsidRPr="00853D04">
        <w:rPr>
          <w:noProof/>
        </w:rPr>
        <w:t>2.2.1.</w:t>
      </w:r>
      <w:r w:rsidRPr="00853D04">
        <w:rPr>
          <w:noProof/>
        </w:rPr>
        <w:tab/>
        <w:t>Uzasadnienie dla systemu zarządzania, mechanizmów finansowania wykonania, warunków płatności</w:t>
      </w:r>
      <w:r w:rsidR="00C13C75" w:rsidRPr="00853D04">
        <w:rPr>
          <w:noProof/>
        </w:rPr>
        <w:t xml:space="preserve"> i</w:t>
      </w:r>
      <w:r w:rsidR="00C13C75">
        <w:rPr>
          <w:noProof/>
        </w:rPr>
        <w:t> </w:t>
      </w:r>
      <w:r w:rsidR="00C13C75" w:rsidRPr="00853D04">
        <w:rPr>
          <w:noProof/>
        </w:rPr>
        <w:t>pro</w:t>
      </w:r>
      <w:r w:rsidRPr="00853D04">
        <w:rPr>
          <w:noProof/>
        </w:rPr>
        <w:t>ponowanej strategii kontroli</w:t>
      </w:r>
    </w:p>
    <w:p w14:paraId="7C945DCC" w14:textId="19FE074F" w:rsidR="00BE7E05" w:rsidRPr="00853D04" w:rsidRDefault="00BE7E05">
      <w:pPr>
        <w:pStyle w:val="ManualHeading3"/>
        <w:rPr>
          <w:noProof/>
        </w:rPr>
      </w:pPr>
      <w:r w:rsidRPr="00853D04">
        <w:rPr>
          <w:noProof/>
        </w:rPr>
        <w:t>2.2.2.</w:t>
      </w:r>
      <w:r w:rsidRPr="00853D04">
        <w:rPr>
          <w:noProof/>
        </w:rPr>
        <w:tab/>
        <w:t>Informacje dotyczące zidentyfikowanego ryzyka</w:t>
      </w:r>
      <w:r w:rsidR="00C13C75" w:rsidRPr="00853D04">
        <w:rPr>
          <w:noProof/>
        </w:rPr>
        <w:t xml:space="preserve"> i</w:t>
      </w:r>
      <w:r w:rsidR="00C13C75">
        <w:rPr>
          <w:noProof/>
        </w:rPr>
        <w:t> </w:t>
      </w:r>
      <w:r w:rsidR="00C13C75" w:rsidRPr="00853D04">
        <w:rPr>
          <w:noProof/>
        </w:rPr>
        <w:t>sys</w:t>
      </w:r>
      <w:r w:rsidRPr="00853D04">
        <w:rPr>
          <w:noProof/>
        </w:rPr>
        <w:t>temów kontroli wewnętrznej ustanowionych</w:t>
      </w:r>
      <w:r w:rsidR="00C13C75" w:rsidRPr="00853D04">
        <w:rPr>
          <w:noProof/>
        </w:rPr>
        <w:t xml:space="preserve"> w</w:t>
      </w:r>
      <w:r w:rsidR="00C13C75">
        <w:rPr>
          <w:noProof/>
        </w:rPr>
        <w:t> </w:t>
      </w:r>
      <w:r w:rsidR="00C13C75" w:rsidRPr="00853D04">
        <w:rPr>
          <w:noProof/>
        </w:rPr>
        <w:t>cel</w:t>
      </w:r>
      <w:r w:rsidRPr="00853D04">
        <w:rPr>
          <w:noProof/>
        </w:rPr>
        <w:t>u jego ograniczenia</w:t>
      </w:r>
    </w:p>
    <w:p w14:paraId="62DF4A87" w14:textId="0C142E18" w:rsidR="00BE7E05" w:rsidRPr="00853D04" w:rsidRDefault="00BE7E05">
      <w:pPr>
        <w:pStyle w:val="ManualHeading3"/>
        <w:rPr>
          <w:noProof/>
        </w:rPr>
      </w:pPr>
      <w:r w:rsidRPr="00853D04">
        <w:rPr>
          <w:noProof/>
        </w:rPr>
        <w:t>2.2.3.</w:t>
      </w:r>
      <w:r w:rsidRPr="00853D04">
        <w:rPr>
          <w:noProof/>
        </w:rPr>
        <w:tab/>
        <w:t>Oszacowanie</w:t>
      </w:r>
      <w:r w:rsidR="00C13C75" w:rsidRPr="00853D04">
        <w:rPr>
          <w:noProof/>
        </w:rPr>
        <w:t xml:space="preserve"> i</w:t>
      </w:r>
      <w:r w:rsidR="00C13C75">
        <w:rPr>
          <w:noProof/>
        </w:rPr>
        <w:t> </w:t>
      </w:r>
      <w:r w:rsidR="00C13C75" w:rsidRPr="00853D04">
        <w:rPr>
          <w:noProof/>
        </w:rPr>
        <w:t>uza</w:t>
      </w:r>
      <w:r w:rsidRPr="00853D04">
        <w:rPr>
          <w:noProof/>
        </w:rPr>
        <w:t>sadnienie efektywności kosztowej kontroli (relacja kosztów kontroli do wartości zarządzanych funduszy powiązanych) oraz ocena prawdopodobnego ryzyka błędu (przy płatności</w:t>
      </w:r>
      <w:r w:rsidR="00C13C75" w:rsidRPr="00853D04">
        <w:rPr>
          <w:noProof/>
        </w:rPr>
        <w:t xml:space="preserve"> i</w:t>
      </w:r>
      <w:r w:rsidR="00C13C75">
        <w:rPr>
          <w:noProof/>
        </w:rPr>
        <w:t> </w:t>
      </w:r>
      <w:r w:rsidR="00C13C75" w:rsidRPr="00853D04">
        <w:rPr>
          <w:noProof/>
        </w:rPr>
        <w:t>prz</w:t>
      </w:r>
      <w:r w:rsidRPr="00853D04">
        <w:rPr>
          <w:noProof/>
        </w:rPr>
        <w:t>y zamykaniu)</w:t>
      </w:r>
    </w:p>
    <w:p w14:paraId="2B3AFAC8" w14:textId="6C606B0B" w:rsidR="00BE7E05" w:rsidRPr="00853D04" w:rsidRDefault="00BE7E05">
      <w:pPr>
        <w:pStyle w:val="ManualHeading2"/>
        <w:rPr>
          <w:noProof/>
        </w:rPr>
      </w:pPr>
      <w:r w:rsidRPr="00853D04">
        <w:rPr>
          <w:noProof/>
        </w:rPr>
        <w:t>2.3.</w:t>
      </w:r>
      <w:r w:rsidRPr="00853D04">
        <w:rPr>
          <w:noProof/>
        </w:rPr>
        <w:tab/>
        <w:t>Środki zapobiegania nadużyciom finansowym</w:t>
      </w:r>
      <w:r w:rsidR="00C13C75" w:rsidRPr="00853D04">
        <w:rPr>
          <w:noProof/>
        </w:rPr>
        <w:t xml:space="preserve"> i</w:t>
      </w:r>
      <w:r w:rsidR="00C13C75">
        <w:rPr>
          <w:noProof/>
        </w:rPr>
        <w:t> </w:t>
      </w:r>
      <w:r w:rsidR="00C13C75" w:rsidRPr="00853D04">
        <w:rPr>
          <w:noProof/>
        </w:rPr>
        <w:t>nie</w:t>
      </w:r>
      <w:r w:rsidRPr="00853D04">
        <w:rPr>
          <w:noProof/>
        </w:rPr>
        <w:t>prawidłowościom</w:t>
      </w:r>
    </w:p>
    <w:p w14:paraId="10B3870D" w14:textId="77777777" w:rsidR="00BE7E05" w:rsidRPr="00853D04" w:rsidRDefault="00BE7E05">
      <w:pPr>
        <w:pStyle w:val="ManualHeading1"/>
        <w:rPr>
          <w:noProof/>
        </w:rPr>
      </w:pPr>
      <w:r w:rsidRPr="00853D04">
        <w:rPr>
          <w:noProof/>
        </w:rPr>
        <w:t>3.</w:t>
      </w:r>
      <w:r w:rsidRPr="00853D04">
        <w:rPr>
          <w:noProof/>
        </w:rPr>
        <w:tab/>
        <w:t>SZACUNKOWY WPŁYW FINANSOWY WNIOSKU/INICJATYWY</w:t>
      </w:r>
    </w:p>
    <w:p w14:paraId="5250C0A2" w14:textId="0469B378" w:rsidR="00BE7E05" w:rsidRPr="00853D04" w:rsidRDefault="00BE7E05">
      <w:pPr>
        <w:pStyle w:val="ManualHeading2"/>
        <w:rPr>
          <w:noProof/>
        </w:rPr>
      </w:pPr>
      <w:r w:rsidRPr="00853D04">
        <w:rPr>
          <w:noProof/>
        </w:rPr>
        <w:t>3.1.</w:t>
      </w:r>
      <w:r w:rsidRPr="00853D04">
        <w:rPr>
          <w:noProof/>
        </w:rPr>
        <w:tab/>
        <w:t>Działy wieloletnich ram finansowych</w:t>
      </w:r>
      <w:r w:rsidR="00C13C75" w:rsidRPr="00853D04">
        <w:rPr>
          <w:noProof/>
        </w:rPr>
        <w:t xml:space="preserve"> i</w:t>
      </w:r>
      <w:r w:rsidR="00C13C75">
        <w:rPr>
          <w:noProof/>
        </w:rPr>
        <w:t> </w:t>
      </w:r>
      <w:r w:rsidR="00C13C75" w:rsidRPr="00853D04">
        <w:rPr>
          <w:noProof/>
        </w:rPr>
        <w:t>lin</w:t>
      </w:r>
      <w:r w:rsidRPr="00853D04">
        <w:rPr>
          <w:noProof/>
        </w:rPr>
        <w:t>ie budżetowe po stronie wydatków, na które wniosek/inicjatywa ma wpływ</w:t>
      </w:r>
    </w:p>
    <w:p w14:paraId="7EFAE88E" w14:textId="77777777" w:rsidR="00BE7E05" w:rsidRPr="00853D04" w:rsidRDefault="00BE7E05">
      <w:pPr>
        <w:pStyle w:val="ManualHeading2"/>
        <w:rPr>
          <w:noProof/>
        </w:rPr>
      </w:pPr>
      <w:r w:rsidRPr="00853D04">
        <w:rPr>
          <w:noProof/>
        </w:rPr>
        <w:t>3.2.</w:t>
      </w:r>
      <w:r w:rsidRPr="00853D04">
        <w:rPr>
          <w:noProof/>
        </w:rPr>
        <w:tab/>
        <w:t>Szacunkowy wpływ finansowy wniosku na środki</w:t>
      </w:r>
    </w:p>
    <w:p w14:paraId="7AB88A64" w14:textId="77777777" w:rsidR="00BE7E05" w:rsidRPr="00853D04" w:rsidRDefault="00BE7E05">
      <w:pPr>
        <w:pStyle w:val="ManualHeading3"/>
        <w:rPr>
          <w:noProof/>
        </w:rPr>
      </w:pPr>
      <w:r w:rsidRPr="00853D04">
        <w:rPr>
          <w:noProof/>
        </w:rPr>
        <w:t>3.2.1.</w:t>
      </w:r>
      <w:r w:rsidRPr="00853D04">
        <w:rPr>
          <w:noProof/>
        </w:rPr>
        <w:tab/>
        <w:t>Podsumowanie szacunkowego wpływu na środki operacyjne</w:t>
      </w:r>
    </w:p>
    <w:p w14:paraId="14A21372" w14:textId="77777777" w:rsidR="00BE7E05" w:rsidRPr="00853D04" w:rsidRDefault="00BE7E05">
      <w:pPr>
        <w:pStyle w:val="ManualHeading3"/>
        <w:rPr>
          <w:noProof/>
        </w:rPr>
      </w:pPr>
      <w:r w:rsidRPr="00853D04">
        <w:rPr>
          <w:noProof/>
        </w:rPr>
        <w:t>3.2.2.</w:t>
      </w:r>
      <w:r w:rsidRPr="00853D04">
        <w:rPr>
          <w:noProof/>
        </w:rPr>
        <w:tab/>
        <w:t>Przewidywany produkt finansowany ze środków operacyjnych</w:t>
      </w:r>
    </w:p>
    <w:p w14:paraId="28D0AC4C" w14:textId="77777777" w:rsidR="00BE7E05" w:rsidRPr="00853D04" w:rsidRDefault="00BE7E05">
      <w:pPr>
        <w:pStyle w:val="ManualHeading3"/>
        <w:rPr>
          <w:noProof/>
        </w:rPr>
      </w:pPr>
      <w:r w:rsidRPr="00853D04">
        <w:rPr>
          <w:noProof/>
        </w:rPr>
        <w:t>3.2.3.</w:t>
      </w:r>
      <w:r w:rsidRPr="00853D04">
        <w:rPr>
          <w:noProof/>
        </w:rPr>
        <w:tab/>
        <w:t>Podsumowanie szacunkowego wpływu na środki administracyjne</w:t>
      </w:r>
    </w:p>
    <w:p w14:paraId="686E95B5" w14:textId="77777777" w:rsidR="00BE7E05" w:rsidRPr="00853D04" w:rsidRDefault="00BE7E05">
      <w:pPr>
        <w:pStyle w:val="ManualHeading3"/>
        <w:rPr>
          <w:noProof/>
        </w:rPr>
      </w:pPr>
      <w:r w:rsidRPr="00853D04">
        <w:rPr>
          <w:noProof/>
        </w:rPr>
        <w:t>3.2.3.1.</w:t>
      </w:r>
      <w:r w:rsidRPr="00853D04">
        <w:rPr>
          <w:noProof/>
        </w:rPr>
        <w:tab/>
        <w:t>Szacowane zapotrzebowanie na zasoby ludzkie</w:t>
      </w:r>
    </w:p>
    <w:p w14:paraId="75722022" w14:textId="50431871" w:rsidR="00BE7E05" w:rsidRPr="00853D04" w:rsidRDefault="00BE7E05">
      <w:pPr>
        <w:pStyle w:val="ManualHeading3"/>
        <w:rPr>
          <w:noProof/>
        </w:rPr>
      </w:pPr>
      <w:r w:rsidRPr="00853D04">
        <w:rPr>
          <w:noProof/>
        </w:rPr>
        <w:t>3.2.4.</w:t>
      </w:r>
      <w:r w:rsidRPr="00853D04">
        <w:rPr>
          <w:noProof/>
        </w:rPr>
        <w:tab/>
        <w:t>Zgodność</w:t>
      </w:r>
      <w:r w:rsidR="00C13C75" w:rsidRPr="00853D04">
        <w:rPr>
          <w:noProof/>
        </w:rPr>
        <w:t xml:space="preserve"> z</w:t>
      </w:r>
      <w:r w:rsidR="00C13C75">
        <w:rPr>
          <w:noProof/>
        </w:rPr>
        <w:t> </w:t>
      </w:r>
      <w:r w:rsidR="00C13C75" w:rsidRPr="00853D04">
        <w:rPr>
          <w:noProof/>
        </w:rPr>
        <w:t>obo</w:t>
      </w:r>
      <w:r w:rsidRPr="00853D04">
        <w:rPr>
          <w:noProof/>
        </w:rPr>
        <w:t>wiązującymi wieloletnimi ramami finansowymi</w:t>
      </w:r>
    </w:p>
    <w:p w14:paraId="3647C152" w14:textId="51457806" w:rsidR="00BE7E05" w:rsidRPr="00853D04" w:rsidRDefault="00BE7E05">
      <w:pPr>
        <w:pStyle w:val="ManualHeading3"/>
        <w:rPr>
          <w:noProof/>
        </w:rPr>
      </w:pPr>
      <w:r w:rsidRPr="00853D04">
        <w:rPr>
          <w:noProof/>
        </w:rPr>
        <w:t>3.2.5.</w:t>
      </w:r>
      <w:r w:rsidRPr="00853D04">
        <w:rPr>
          <w:noProof/>
        </w:rPr>
        <w:tab/>
        <w:t>Udział osób trzecich</w:t>
      </w:r>
      <w:r w:rsidR="00C13C75" w:rsidRPr="00853D04">
        <w:rPr>
          <w:noProof/>
        </w:rPr>
        <w:t xml:space="preserve"> w</w:t>
      </w:r>
      <w:r w:rsidR="00C13C75">
        <w:rPr>
          <w:noProof/>
        </w:rPr>
        <w:t> </w:t>
      </w:r>
      <w:r w:rsidR="00C13C75" w:rsidRPr="00853D04">
        <w:rPr>
          <w:noProof/>
        </w:rPr>
        <w:t>fin</w:t>
      </w:r>
      <w:r w:rsidRPr="00853D04">
        <w:rPr>
          <w:noProof/>
        </w:rPr>
        <w:t>ansowaniu</w:t>
      </w:r>
    </w:p>
    <w:p w14:paraId="79D04220" w14:textId="77777777" w:rsidR="00BE7E05" w:rsidRPr="00853D04" w:rsidRDefault="00BE7E05">
      <w:pPr>
        <w:pStyle w:val="ManualHeading2"/>
        <w:rPr>
          <w:noProof/>
        </w:rPr>
      </w:pPr>
      <w:r w:rsidRPr="00853D04">
        <w:rPr>
          <w:noProof/>
        </w:rPr>
        <w:t>3.3.</w:t>
      </w:r>
      <w:r w:rsidRPr="00853D04">
        <w:rPr>
          <w:noProof/>
        </w:rPr>
        <w:tab/>
        <w:t>Szacunkowy wpływ na dochody</w:t>
      </w:r>
    </w:p>
    <w:p w14:paraId="4585AF93" w14:textId="77777777" w:rsidR="00BE7E05" w:rsidRPr="00853D04" w:rsidRDefault="00BE7E05">
      <w:pPr>
        <w:rPr>
          <w:noProof/>
        </w:rPr>
        <w:sectPr w:rsidR="00BE7E05" w:rsidRPr="00853D04" w:rsidSect="002D57EB">
          <w:pgSz w:w="11907" w:h="16840" w:code="9"/>
          <w:pgMar w:top="1134" w:right="1418" w:bottom="1134" w:left="1418" w:header="709" w:footer="709" w:gutter="0"/>
          <w:pgNumType w:start="1"/>
          <w:cols w:space="720"/>
          <w:docGrid w:linePitch="360"/>
        </w:sectPr>
      </w:pPr>
    </w:p>
    <w:p w14:paraId="34AD6E40" w14:textId="77777777" w:rsidR="00BE7E05" w:rsidRPr="00853D04" w:rsidRDefault="07B28604">
      <w:pPr>
        <w:pStyle w:val="ManualHeading1"/>
        <w:rPr>
          <w:noProof/>
        </w:rPr>
      </w:pPr>
      <w:bookmarkStart w:id="4" w:name="_Toc514938007"/>
      <w:bookmarkStart w:id="5" w:name="_Toc520485025"/>
      <w:r w:rsidRPr="00853D04">
        <w:rPr>
          <w:noProof/>
        </w:rPr>
        <w:t>1.</w:t>
      </w:r>
      <w:r w:rsidRPr="00853D04">
        <w:rPr>
          <w:noProof/>
        </w:rPr>
        <w:tab/>
        <w:t>STRUKTURA WNIOSKU/INICJATYWY</w:t>
      </w:r>
      <w:bookmarkEnd w:id="4"/>
      <w:bookmarkEnd w:id="5"/>
      <w:r w:rsidRPr="00853D04">
        <w:rPr>
          <w:noProof/>
        </w:rPr>
        <w:t xml:space="preserve"> </w:t>
      </w:r>
    </w:p>
    <w:p w14:paraId="7C6B4A8A" w14:textId="77777777" w:rsidR="00BE7E05" w:rsidRPr="00853D04" w:rsidRDefault="00BE7E05">
      <w:pPr>
        <w:pStyle w:val="ManualHeading2"/>
        <w:rPr>
          <w:noProof/>
        </w:rPr>
      </w:pPr>
      <w:bookmarkStart w:id="6" w:name="_Toc514938008"/>
      <w:bookmarkStart w:id="7" w:name="_Toc520485026"/>
      <w:r w:rsidRPr="00853D04">
        <w:rPr>
          <w:noProof/>
        </w:rPr>
        <w:t>1.1.</w:t>
      </w:r>
      <w:r w:rsidRPr="00853D04">
        <w:rPr>
          <w:noProof/>
        </w:rPr>
        <w:tab/>
        <w:t>Tytuł wniosku/inicjatywy</w:t>
      </w:r>
      <w:bookmarkEnd w:id="6"/>
      <w:bookmarkEnd w:id="7"/>
    </w:p>
    <w:p w14:paraId="3B17804D" w14:textId="1D4AE8F4" w:rsidR="00BE7E05" w:rsidRPr="00853D04" w:rsidRDefault="07AE5CE8"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Wniosek dotyczący dyrektywy Parlamentu Europejskiego</w:t>
      </w:r>
      <w:r w:rsidR="00C13C75" w:rsidRPr="00853D04">
        <w:rPr>
          <w:noProof/>
        </w:rPr>
        <w:t xml:space="preserve"> i</w:t>
      </w:r>
      <w:r w:rsidR="00C13C75">
        <w:rPr>
          <w:noProof/>
        </w:rPr>
        <w:t> </w:t>
      </w:r>
      <w:r w:rsidR="00C13C75" w:rsidRPr="00853D04">
        <w:rPr>
          <w:noProof/>
        </w:rPr>
        <w:t>Rad</w:t>
      </w:r>
      <w:r w:rsidRPr="00853D04">
        <w:rPr>
          <w:noProof/>
        </w:rPr>
        <w:t>y</w:t>
      </w:r>
      <w:r w:rsidR="00C13C75" w:rsidRPr="00853D04">
        <w:rPr>
          <w:noProof/>
        </w:rPr>
        <w:t xml:space="preserve"> w</w:t>
      </w:r>
      <w:r w:rsidR="00C13C75">
        <w:rPr>
          <w:noProof/>
        </w:rPr>
        <w:t> </w:t>
      </w:r>
      <w:r w:rsidR="00C13C75" w:rsidRPr="00853D04">
        <w:rPr>
          <w:noProof/>
        </w:rPr>
        <w:t>spr</w:t>
      </w:r>
      <w:r w:rsidRPr="00853D04">
        <w:rPr>
          <w:noProof/>
        </w:rPr>
        <w:t>awie europejskich stowarzyszeń transgranicznych</w:t>
      </w:r>
    </w:p>
    <w:p w14:paraId="0FA1E0AB" w14:textId="77777777" w:rsidR="00BE7E05" w:rsidRPr="00853D04" w:rsidRDefault="00BE7E05">
      <w:pPr>
        <w:pStyle w:val="ManualHeading2"/>
        <w:rPr>
          <w:i/>
          <w:noProof/>
        </w:rPr>
      </w:pPr>
      <w:bookmarkStart w:id="8" w:name="_Toc514938011"/>
      <w:bookmarkStart w:id="9" w:name="_Toc520485027"/>
      <w:r w:rsidRPr="00853D04">
        <w:rPr>
          <w:noProof/>
        </w:rPr>
        <w:t>1.2.</w:t>
      </w:r>
      <w:r w:rsidRPr="00853D04">
        <w:rPr>
          <w:noProof/>
        </w:rPr>
        <w:tab/>
        <w:t>Obszary polityki, których dotyczy wniosek/inicjatywa</w:t>
      </w:r>
      <w:bookmarkEnd w:id="8"/>
      <w:bookmarkEnd w:id="9"/>
      <w:r w:rsidRPr="00853D04">
        <w:rPr>
          <w:i/>
          <w:noProof/>
        </w:rPr>
        <w:t xml:space="preserve"> </w:t>
      </w:r>
    </w:p>
    <w:p w14:paraId="5034B9AA" w14:textId="02C221E8" w:rsidR="00BE7E05" w:rsidRPr="00853D04" w:rsidRDefault="00713692"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Rynek wewnętrzny</w:t>
      </w:r>
      <w:r w:rsidR="00C13C75" w:rsidRPr="00853D04">
        <w:rPr>
          <w:noProof/>
        </w:rPr>
        <w:t xml:space="preserve"> i</w:t>
      </w:r>
      <w:r w:rsidR="00C13C75">
        <w:rPr>
          <w:noProof/>
        </w:rPr>
        <w:t> </w:t>
      </w:r>
      <w:r w:rsidR="00C13C75" w:rsidRPr="00853D04">
        <w:rPr>
          <w:noProof/>
        </w:rPr>
        <w:t>gos</w:t>
      </w:r>
      <w:r w:rsidRPr="00853D04">
        <w:rPr>
          <w:noProof/>
        </w:rPr>
        <w:t>podarka społeczna</w:t>
      </w:r>
    </w:p>
    <w:p w14:paraId="11C39BC8" w14:textId="77777777" w:rsidR="00BE7E05" w:rsidRPr="00853D04" w:rsidRDefault="07B28604">
      <w:pPr>
        <w:pStyle w:val="ManualHeading2"/>
        <w:rPr>
          <w:noProof/>
        </w:rPr>
      </w:pPr>
      <w:bookmarkStart w:id="10" w:name="_Toc514938014"/>
      <w:bookmarkStart w:id="11" w:name="_Toc520485028"/>
      <w:r w:rsidRPr="00853D04">
        <w:rPr>
          <w:noProof/>
        </w:rPr>
        <w:t>1.3.</w:t>
      </w:r>
      <w:r w:rsidRPr="00853D04">
        <w:rPr>
          <w:noProof/>
        </w:rPr>
        <w:tab/>
        <w:t>Wniosek/inicjatywa dotyczy:</w:t>
      </w:r>
      <w:bookmarkEnd w:id="10"/>
      <w:bookmarkEnd w:id="11"/>
      <w:r w:rsidRPr="00853D04">
        <w:rPr>
          <w:noProof/>
        </w:rPr>
        <w:t xml:space="preserve"> </w:t>
      </w:r>
    </w:p>
    <w:p w14:paraId="183C0626" w14:textId="77777777" w:rsidR="00BE7E05" w:rsidRPr="00853D04" w:rsidRDefault="1B168BA9" w:rsidP="188AFA49">
      <w:pPr>
        <w:pStyle w:val="Text1"/>
        <w:rPr>
          <w:b/>
          <w:noProof/>
          <w:sz w:val="22"/>
        </w:rPr>
      </w:pPr>
      <w:r w:rsidRPr="00853D04">
        <w:rPr>
          <w:noProof/>
          <w:sz w:val="22"/>
        </w:rPr>
        <w:t>x</w:t>
      </w:r>
      <w:r w:rsidRPr="00853D04">
        <w:rPr>
          <w:b/>
          <w:i/>
          <w:noProof/>
          <w:sz w:val="22"/>
        </w:rPr>
        <w:t xml:space="preserve"> </w:t>
      </w:r>
      <w:r w:rsidRPr="00853D04">
        <w:rPr>
          <w:b/>
          <w:noProof/>
        </w:rPr>
        <w:t>nowego działania</w:t>
      </w:r>
      <w:r w:rsidRPr="00853D04">
        <w:rPr>
          <w:b/>
          <w:noProof/>
          <w:sz w:val="22"/>
        </w:rPr>
        <w:t xml:space="preserve"> </w:t>
      </w:r>
    </w:p>
    <w:p w14:paraId="51C4A603" w14:textId="77777777" w:rsidR="00BE7E05" w:rsidRPr="00853D04" w:rsidRDefault="00BE7E05">
      <w:pPr>
        <w:pStyle w:val="Text1"/>
        <w:rPr>
          <w:noProof/>
          <w:sz w:val="22"/>
        </w:rPr>
      </w:pPr>
      <w:r w:rsidRPr="00853D04">
        <w:rPr>
          <w:noProof/>
          <w:sz w:val="22"/>
        </w:rPr>
        <w:t>¨</w:t>
      </w:r>
      <w:r w:rsidRPr="00853D04">
        <w:rPr>
          <w:i/>
          <w:noProof/>
          <w:sz w:val="22"/>
        </w:rPr>
        <w:t xml:space="preserve"> </w:t>
      </w:r>
      <w:r w:rsidRPr="00853D04">
        <w:rPr>
          <w:b/>
          <w:noProof/>
        </w:rPr>
        <w:t>nowego działania, będącego następstwem projektu pilotażowego/działania przygotowawczego</w:t>
      </w:r>
      <w:r w:rsidRPr="00853D04">
        <w:rPr>
          <w:rStyle w:val="FootnoteReference"/>
          <w:b/>
          <w:noProof/>
        </w:rPr>
        <w:footnoteReference w:id="50"/>
      </w:r>
      <w:r w:rsidRPr="00853D04">
        <w:rPr>
          <w:noProof/>
          <w:sz w:val="22"/>
        </w:rPr>
        <w:t xml:space="preserve"> </w:t>
      </w:r>
    </w:p>
    <w:p w14:paraId="0021A280" w14:textId="77777777" w:rsidR="00BE7E05" w:rsidRPr="00853D04" w:rsidRDefault="00BE7E05">
      <w:pPr>
        <w:pStyle w:val="Text1"/>
        <w:rPr>
          <w:noProof/>
          <w:sz w:val="22"/>
        </w:rPr>
      </w:pPr>
      <w:r w:rsidRPr="00853D04">
        <w:rPr>
          <w:noProof/>
          <w:sz w:val="22"/>
        </w:rPr>
        <w:t>¨</w:t>
      </w:r>
      <w:r w:rsidRPr="00853D04">
        <w:rPr>
          <w:i/>
          <w:noProof/>
          <w:sz w:val="22"/>
        </w:rPr>
        <w:t xml:space="preserve"> </w:t>
      </w:r>
      <w:r w:rsidRPr="00853D04">
        <w:rPr>
          <w:b/>
          <w:noProof/>
        </w:rPr>
        <w:t>przedłużenia bieżącego działania</w:t>
      </w:r>
      <w:r w:rsidRPr="00853D04">
        <w:rPr>
          <w:noProof/>
          <w:sz w:val="22"/>
        </w:rPr>
        <w:t xml:space="preserve"> </w:t>
      </w:r>
    </w:p>
    <w:p w14:paraId="2563C113" w14:textId="77777777" w:rsidR="00BE7E05" w:rsidRPr="00853D04" w:rsidRDefault="00BE7E05">
      <w:pPr>
        <w:pStyle w:val="Text1"/>
        <w:rPr>
          <w:noProof/>
        </w:rPr>
      </w:pPr>
      <w:r w:rsidRPr="00853D04">
        <w:rPr>
          <w:noProof/>
          <w:sz w:val="22"/>
        </w:rPr>
        <w:t>¨</w:t>
      </w:r>
      <w:r w:rsidRPr="00853D04">
        <w:rPr>
          <w:i/>
          <w:noProof/>
          <w:sz w:val="22"/>
        </w:rPr>
        <w:t xml:space="preserve"> </w:t>
      </w:r>
      <w:r w:rsidRPr="00853D04">
        <w:rPr>
          <w:b/>
          <w:noProof/>
        </w:rPr>
        <w:t>połączenia lub przekształcenia co najmniej jednego działania pod kątem innego/nowego działania</w:t>
      </w:r>
      <w:r w:rsidRPr="00853D04">
        <w:rPr>
          <w:noProof/>
        </w:rPr>
        <w:t xml:space="preserve"> </w:t>
      </w:r>
    </w:p>
    <w:p w14:paraId="7EF2AEB2" w14:textId="77777777" w:rsidR="00BE7E05" w:rsidRPr="00853D04" w:rsidRDefault="00BE7E05">
      <w:pPr>
        <w:pStyle w:val="ManualHeading2"/>
        <w:rPr>
          <w:noProof/>
        </w:rPr>
      </w:pPr>
      <w:bookmarkStart w:id="12" w:name="_Toc514938015"/>
      <w:bookmarkStart w:id="13" w:name="_Toc520485029"/>
      <w:r w:rsidRPr="00853D04">
        <w:rPr>
          <w:noProof/>
        </w:rPr>
        <w:t>1.4.</w:t>
      </w:r>
      <w:r w:rsidRPr="00853D04">
        <w:rPr>
          <w:noProof/>
        </w:rPr>
        <w:tab/>
        <w:t>Cel(e)</w:t>
      </w:r>
      <w:bookmarkEnd w:id="12"/>
      <w:bookmarkEnd w:id="13"/>
    </w:p>
    <w:p w14:paraId="3F24E51D" w14:textId="77777777" w:rsidR="00BE7E05" w:rsidRPr="00853D04" w:rsidRDefault="00BE7E05">
      <w:pPr>
        <w:pStyle w:val="ManualHeading3"/>
        <w:rPr>
          <w:noProof/>
        </w:rPr>
      </w:pPr>
      <w:bookmarkStart w:id="14" w:name="_Toc514938016"/>
      <w:bookmarkStart w:id="15" w:name="_Toc520485030"/>
      <w:r w:rsidRPr="00853D04">
        <w:rPr>
          <w:noProof/>
        </w:rPr>
        <w:t>1.4.1.</w:t>
      </w:r>
      <w:r w:rsidRPr="00853D04">
        <w:rPr>
          <w:noProof/>
        </w:rPr>
        <w:tab/>
        <w:t>Cel(e) ogólny(e)</w:t>
      </w:r>
      <w:bookmarkEnd w:id="14"/>
      <w:bookmarkEnd w:id="15"/>
    </w:p>
    <w:p w14:paraId="05766C85" w14:textId="1E581ABF" w:rsidR="00BE7E05" w:rsidRPr="00853D04" w:rsidRDefault="3427E331"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Celem ogólnym tej inicjatywy jest poprawa funkcjonowania rynku wewnętrznego dzięki usunięciu barier administracyjnych</w:t>
      </w:r>
      <w:r w:rsidR="00C13C75" w:rsidRPr="00853D04">
        <w:rPr>
          <w:noProof/>
        </w:rPr>
        <w:t xml:space="preserve"> i</w:t>
      </w:r>
      <w:r w:rsidR="00C13C75">
        <w:rPr>
          <w:noProof/>
        </w:rPr>
        <w:t> </w:t>
      </w:r>
      <w:r w:rsidR="00C13C75" w:rsidRPr="00853D04">
        <w:rPr>
          <w:noProof/>
        </w:rPr>
        <w:t>reg</w:t>
      </w:r>
      <w:r w:rsidRPr="00853D04">
        <w:rPr>
          <w:noProof/>
        </w:rPr>
        <w:t>ulacyjnych dla stowarzyszeń niekomercyjnych prowadzących działalność transgraniczną</w:t>
      </w:r>
      <w:r w:rsidR="00C13C75" w:rsidRPr="00853D04">
        <w:rPr>
          <w:noProof/>
        </w:rPr>
        <w:t xml:space="preserve"> w</w:t>
      </w:r>
      <w:r w:rsidR="00C13C75">
        <w:rPr>
          <w:noProof/>
        </w:rPr>
        <w:t> </w:t>
      </w:r>
      <w:r w:rsidR="00C13C75" w:rsidRPr="00853D04">
        <w:rPr>
          <w:noProof/>
        </w:rPr>
        <w:t>cel</w:t>
      </w:r>
      <w:r w:rsidRPr="00853D04">
        <w:rPr>
          <w:noProof/>
        </w:rPr>
        <w:t>u uwolnienia ich pełnego potencjału generowania wartości gospodarczej</w:t>
      </w:r>
      <w:r w:rsidR="00C13C75" w:rsidRPr="00853D04">
        <w:rPr>
          <w:noProof/>
        </w:rPr>
        <w:t xml:space="preserve"> i</w:t>
      </w:r>
      <w:r w:rsidR="00C13C75">
        <w:rPr>
          <w:noProof/>
        </w:rPr>
        <w:t> </w:t>
      </w:r>
      <w:r w:rsidR="00C13C75" w:rsidRPr="00853D04">
        <w:rPr>
          <w:noProof/>
        </w:rPr>
        <w:t>spo</w:t>
      </w:r>
      <w:r w:rsidRPr="00853D04">
        <w:rPr>
          <w:noProof/>
        </w:rPr>
        <w:t xml:space="preserve">łecznej w UE. </w:t>
      </w:r>
    </w:p>
    <w:p w14:paraId="2B2DDBC5" w14:textId="77777777" w:rsidR="00BE7E05" w:rsidRPr="00853D04" w:rsidRDefault="00BE7E05">
      <w:pPr>
        <w:pStyle w:val="ManualHeading3"/>
        <w:rPr>
          <w:noProof/>
        </w:rPr>
      </w:pPr>
      <w:bookmarkStart w:id="16" w:name="_Toc514938018"/>
      <w:bookmarkStart w:id="17" w:name="_Toc520485031"/>
      <w:r w:rsidRPr="00853D04">
        <w:rPr>
          <w:noProof/>
        </w:rPr>
        <w:t>1.4.2.</w:t>
      </w:r>
      <w:r w:rsidRPr="00853D04">
        <w:rPr>
          <w:noProof/>
        </w:rPr>
        <w:tab/>
        <w:t>Cel(e) szczegółowy(e)</w:t>
      </w:r>
      <w:bookmarkEnd w:id="16"/>
      <w:bookmarkEnd w:id="17"/>
    </w:p>
    <w:p w14:paraId="1954E9EA" w14:textId="69A8F930" w:rsidR="001945B7" w:rsidRPr="00853D04" w:rsidRDefault="07B28604" w:rsidP="00B72357">
      <w:pPr>
        <w:pStyle w:val="Text1"/>
        <w:pBdr>
          <w:top w:val="single" w:sz="4" w:space="1" w:color="auto"/>
          <w:left w:val="single" w:sz="4" w:space="4" w:color="auto"/>
          <w:bottom w:val="single" w:sz="4" w:space="1" w:color="auto"/>
          <w:right w:val="single" w:sz="4" w:space="4" w:color="auto"/>
        </w:pBdr>
        <w:rPr>
          <w:noProof/>
        </w:rPr>
      </w:pPr>
      <w:r w:rsidRPr="00853D04">
        <w:rPr>
          <w:noProof/>
          <w:u w:val="single"/>
        </w:rPr>
        <w:t xml:space="preserve">Cel szczegółowy </w:t>
      </w:r>
      <w:r w:rsidRPr="00C13C75">
        <w:rPr>
          <w:noProof/>
          <w:u w:val="single"/>
        </w:rPr>
        <w:t>nr</w:t>
      </w:r>
      <w:r w:rsidR="00C13C75" w:rsidRPr="00C13C75">
        <w:rPr>
          <w:noProof/>
          <w:u w:val="single"/>
        </w:rPr>
        <w:t> </w:t>
      </w:r>
      <w:r w:rsidRPr="00C13C75">
        <w:rPr>
          <w:noProof/>
          <w:u w:val="single"/>
        </w:rPr>
        <w:t>1</w:t>
      </w:r>
      <w:r w:rsidRPr="00853D04">
        <w:rPr>
          <w:noProof/>
          <w:u w:val="single"/>
        </w:rPr>
        <w:t xml:space="preserve"> </w:t>
      </w:r>
    </w:p>
    <w:p w14:paraId="699E6536" w14:textId="7B54B817" w:rsidR="00616E81" w:rsidRPr="00853D04" w:rsidRDefault="103FEE0B" w:rsidP="00B72357">
      <w:pPr>
        <w:pStyle w:val="Text1"/>
        <w:pBdr>
          <w:top w:val="single" w:sz="4" w:space="1" w:color="auto"/>
          <w:left w:val="single" w:sz="4" w:space="4" w:color="auto"/>
          <w:bottom w:val="single" w:sz="4" w:space="1" w:color="auto"/>
          <w:right w:val="single" w:sz="4" w:space="4" w:color="auto"/>
        </w:pBdr>
        <w:rPr>
          <w:noProof/>
        </w:rPr>
      </w:pPr>
      <w:r w:rsidRPr="00853D04">
        <w:rPr>
          <w:noProof/>
        </w:rPr>
        <w:t>Zwiększenie możliwości uznawania osobowości prawnej stowarzyszenia niekomercyjnego</w:t>
      </w:r>
      <w:r w:rsidR="00C13C75" w:rsidRPr="00853D04">
        <w:rPr>
          <w:noProof/>
        </w:rPr>
        <w:t xml:space="preserve"> w</w:t>
      </w:r>
      <w:r w:rsidR="00C13C75">
        <w:rPr>
          <w:noProof/>
        </w:rPr>
        <w:t> </w:t>
      </w:r>
      <w:r w:rsidR="00C13C75" w:rsidRPr="00853D04">
        <w:rPr>
          <w:noProof/>
        </w:rPr>
        <w:t>inn</w:t>
      </w:r>
      <w:r w:rsidRPr="00853D04">
        <w:rPr>
          <w:noProof/>
        </w:rPr>
        <w:t>ych państwach członkowskich, zapewniając tym samym równe traktowanie na rynku wewnętrznym.</w:t>
      </w:r>
    </w:p>
    <w:p w14:paraId="7C9DB316" w14:textId="6C4A7E5F" w:rsidR="00616E81" w:rsidRPr="00853D04" w:rsidRDefault="75F8F707" w:rsidP="00B72357">
      <w:pPr>
        <w:pStyle w:val="Text1"/>
        <w:pBdr>
          <w:top w:val="single" w:sz="4" w:space="1" w:color="auto"/>
          <w:left w:val="single" w:sz="4" w:space="4" w:color="auto"/>
          <w:bottom w:val="single" w:sz="4" w:space="1" w:color="auto"/>
          <w:right w:val="single" w:sz="4" w:space="4" w:color="auto"/>
        </w:pBdr>
        <w:rPr>
          <w:noProof/>
          <w:u w:val="single"/>
        </w:rPr>
      </w:pPr>
      <w:r w:rsidRPr="00853D04">
        <w:rPr>
          <w:noProof/>
          <w:u w:val="single"/>
        </w:rPr>
        <w:t xml:space="preserve">Cel szczegółowy </w:t>
      </w:r>
      <w:r w:rsidRPr="00C13C75">
        <w:rPr>
          <w:noProof/>
          <w:u w:val="single"/>
        </w:rPr>
        <w:t>nr</w:t>
      </w:r>
      <w:r w:rsidR="00C13C75" w:rsidRPr="00C13C75">
        <w:rPr>
          <w:noProof/>
          <w:u w:val="single"/>
        </w:rPr>
        <w:t> </w:t>
      </w:r>
      <w:r w:rsidRPr="00C13C75">
        <w:rPr>
          <w:noProof/>
          <w:u w:val="single"/>
        </w:rPr>
        <w:t>2</w:t>
      </w:r>
    </w:p>
    <w:p w14:paraId="48EC5777" w14:textId="65C45A74" w:rsidR="07B28604" w:rsidRPr="00853D04" w:rsidRDefault="0AE1BBEB"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Ograniczenie formalności regulacyjnych</w:t>
      </w:r>
      <w:r w:rsidR="00C13C75" w:rsidRPr="00853D04">
        <w:rPr>
          <w:noProof/>
        </w:rPr>
        <w:t xml:space="preserve"> w</w:t>
      </w:r>
      <w:r w:rsidR="00C13C75">
        <w:rPr>
          <w:noProof/>
        </w:rPr>
        <w:t> </w:t>
      </w:r>
      <w:r w:rsidR="00C13C75" w:rsidRPr="00853D04">
        <w:rPr>
          <w:noProof/>
        </w:rPr>
        <w:t>odn</w:t>
      </w:r>
      <w:r w:rsidRPr="00853D04">
        <w:rPr>
          <w:noProof/>
        </w:rPr>
        <w:t>iesieniu do stowarzyszeń niekomercyjnych działających</w:t>
      </w:r>
      <w:r w:rsidR="00C13C75" w:rsidRPr="00853D04">
        <w:rPr>
          <w:noProof/>
        </w:rPr>
        <w:t xml:space="preserve"> w</w:t>
      </w:r>
      <w:r w:rsidR="00C13C75">
        <w:rPr>
          <w:noProof/>
        </w:rPr>
        <w:t> </w:t>
      </w:r>
      <w:r w:rsidR="00C13C75" w:rsidRPr="00853D04">
        <w:rPr>
          <w:noProof/>
        </w:rPr>
        <w:t>wię</w:t>
      </w:r>
      <w:r w:rsidRPr="00853D04">
        <w:rPr>
          <w:noProof/>
        </w:rPr>
        <w:t>cej niż jednym państwie członkowskim.</w:t>
      </w:r>
    </w:p>
    <w:p w14:paraId="2DE44F77" w14:textId="49FF7A08" w:rsidR="00BE7E05" w:rsidRPr="00853D04" w:rsidRDefault="00BE7E05">
      <w:pPr>
        <w:pStyle w:val="ManualHeading3"/>
        <w:rPr>
          <w:noProof/>
        </w:rPr>
      </w:pPr>
      <w:bookmarkStart w:id="18" w:name="_Toc514938019"/>
      <w:bookmarkStart w:id="19" w:name="_Toc520485032"/>
      <w:r w:rsidRPr="00853D04">
        <w:rPr>
          <w:noProof/>
        </w:rPr>
        <w:t>1.4.3.</w:t>
      </w:r>
      <w:r w:rsidRPr="00853D04">
        <w:rPr>
          <w:noProof/>
        </w:rPr>
        <w:tab/>
        <w:t>Oczekiwane wyniki</w:t>
      </w:r>
      <w:r w:rsidR="00C13C75" w:rsidRPr="00853D04">
        <w:rPr>
          <w:noProof/>
        </w:rPr>
        <w:t xml:space="preserve"> i</w:t>
      </w:r>
      <w:r w:rsidR="00C13C75">
        <w:rPr>
          <w:noProof/>
        </w:rPr>
        <w:t> </w:t>
      </w:r>
      <w:r w:rsidR="00C13C75" w:rsidRPr="00853D04">
        <w:rPr>
          <w:noProof/>
        </w:rPr>
        <w:t>wpł</w:t>
      </w:r>
      <w:r w:rsidRPr="00853D04">
        <w:rPr>
          <w:noProof/>
        </w:rPr>
        <w:t>yw</w:t>
      </w:r>
      <w:bookmarkEnd w:id="18"/>
      <w:bookmarkEnd w:id="19"/>
    </w:p>
    <w:p w14:paraId="2AC95CE7" w14:textId="77777777" w:rsidR="00BE7E05" w:rsidRPr="00853D04" w:rsidRDefault="00BE7E05">
      <w:pPr>
        <w:pStyle w:val="Text1"/>
        <w:rPr>
          <w:i/>
          <w:noProof/>
          <w:sz w:val="20"/>
        </w:rPr>
      </w:pPr>
      <w:r w:rsidRPr="00853D04">
        <w:rPr>
          <w:i/>
          <w:noProof/>
          <w:sz w:val="20"/>
        </w:rPr>
        <w:t>Należy wskazać, jakie efekty przyniesie wniosek/inicjatywa beneficjentom/grupie docelowej.</w:t>
      </w:r>
    </w:p>
    <w:p w14:paraId="09FDC723" w14:textId="016527F7" w:rsidR="00BE7E05" w:rsidRPr="00853D04" w:rsidRDefault="11868A57"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Interwencja polityczna na szczeblu unijnym zmniejszyłaby istniejące bariery dla działalności transgranicznej</w:t>
      </w:r>
      <w:r w:rsidR="00C13C75" w:rsidRPr="00853D04">
        <w:rPr>
          <w:noProof/>
        </w:rPr>
        <w:t xml:space="preserve"> i</w:t>
      </w:r>
      <w:r w:rsidR="00C13C75">
        <w:rPr>
          <w:noProof/>
        </w:rPr>
        <w:t> </w:t>
      </w:r>
      <w:r w:rsidR="00C13C75" w:rsidRPr="00853D04">
        <w:rPr>
          <w:noProof/>
        </w:rPr>
        <w:t>mob</w:t>
      </w:r>
      <w:r w:rsidRPr="00853D04">
        <w:rPr>
          <w:noProof/>
        </w:rPr>
        <w:t xml:space="preserve">ilności stowarzyszeń niekomercyjnych w UE. Oczekiwany wpływ: </w:t>
      </w:r>
    </w:p>
    <w:p w14:paraId="67CD4C8C" w14:textId="77777777" w:rsidR="4A490B46" w:rsidRPr="00853D04" w:rsidRDefault="4A490B46" w:rsidP="005A73D5">
      <w:pPr>
        <w:pStyle w:val="Text1"/>
        <w:pBdr>
          <w:top w:val="single" w:sz="4" w:space="1" w:color="auto"/>
          <w:left w:val="single" w:sz="4" w:space="4" w:color="auto"/>
          <w:bottom w:val="single" w:sz="4" w:space="1" w:color="auto"/>
          <w:right w:val="single" w:sz="4" w:space="4" w:color="auto"/>
        </w:pBdr>
        <w:rPr>
          <w:noProof/>
          <w:u w:val="single"/>
        </w:rPr>
      </w:pPr>
      <w:r w:rsidRPr="00853D04">
        <w:rPr>
          <w:noProof/>
          <w:u w:val="single"/>
        </w:rPr>
        <w:t>W odniesieniu do państw członkowskich:</w:t>
      </w:r>
    </w:p>
    <w:p w14:paraId="49FE97F6" w14:textId="4F6A37AF" w:rsidR="4A490B46" w:rsidRPr="00853D04" w:rsidRDefault="0A8D3382" w:rsidP="005A73D5">
      <w:pPr>
        <w:pStyle w:val="Text1"/>
        <w:pBdr>
          <w:top w:val="single" w:sz="4" w:space="1" w:color="auto"/>
          <w:left w:val="single" w:sz="4" w:space="4" w:color="auto"/>
          <w:bottom w:val="single" w:sz="4" w:space="1" w:color="auto"/>
          <w:right w:val="single" w:sz="4" w:space="4" w:color="auto"/>
        </w:pBdr>
        <w:rPr>
          <w:noProof/>
          <w:u w:val="single"/>
        </w:rPr>
      </w:pPr>
      <w:r w:rsidRPr="00853D04">
        <w:rPr>
          <w:noProof/>
        </w:rPr>
        <w:t>W wyniku zmian mających na celu ustanowienie na poziomie krajowym nowej formy prawnej przeznaczonej do celów transgranicznych poniesione zostaną koszty związane</w:t>
      </w:r>
      <w:r w:rsidR="00C13C75" w:rsidRPr="00853D04">
        <w:rPr>
          <w:noProof/>
        </w:rPr>
        <w:t xml:space="preserve"> z</w:t>
      </w:r>
      <w:r w:rsidR="00C13C75">
        <w:rPr>
          <w:noProof/>
        </w:rPr>
        <w:t> </w:t>
      </w:r>
      <w:r w:rsidR="00C13C75" w:rsidRPr="00853D04">
        <w:rPr>
          <w:noProof/>
        </w:rPr>
        <w:t>dos</w:t>
      </w:r>
      <w:r w:rsidRPr="00853D04">
        <w:rPr>
          <w:noProof/>
        </w:rPr>
        <w:t>tosowaniem</w:t>
      </w:r>
      <w:r w:rsidR="00C13C75" w:rsidRPr="00853D04">
        <w:rPr>
          <w:noProof/>
        </w:rPr>
        <w:t xml:space="preserve"> i</w:t>
      </w:r>
      <w:r w:rsidR="00C13C75">
        <w:rPr>
          <w:noProof/>
        </w:rPr>
        <w:t> </w:t>
      </w:r>
      <w:r w:rsidR="00C13C75" w:rsidRPr="00853D04">
        <w:rPr>
          <w:noProof/>
        </w:rPr>
        <w:t>kos</w:t>
      </w:r>
      <w:r w:rsidRPr="00853D04">
        <w:rPr>
          <w:noProof/>
        </w:rPr>
        <w:t xml:space="preserve">zty przestrzegania przepisów/obciążenia administracyjne dla właściwych organów zależne od skali tych zmian. </w:t>
      </w:r>
    </w:p>
    <w:p w14:paraId="471890EF" w14:textId="167350B7" w:rsidR="00CF155C" w:rsidRPr="00853D04" w:rsidRDefault="001956CC"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Obecnie stowarzyszenia niekomercyjne prowadzące działalność transgraniczną muszą zarejestrować się lub założyć przedsiębiorstwo dodatkowe</w:t>
      </w:r>
      <w:r w:rsidR="00C13C75" w:rsidRPr="00853D04">
        <w:rPr>
          <w:noProof/>
        </w:rPr>
        <w:t xml:space="preserve"> w</w:t>
      </w:r>
      <w:r w:rsidR="00C13C75">
        <w:rPr>
          <w:noProof/>
        </w:rPr>
        <w:t> </w:t>
      </w:r>
      <w:r w:rsidR="00C13C75" w:rsidRPr="00853D04">
        <w:rPr>
          <w:noProof/>
        </w:rPr>
        <w:t>pań</w:t>
      </w:r>
      <w:r w:rsidRPr="00853D04">
        <w:rPr>
          <w:noProof/>
        </w:rPr>
        <w:t>stwach członkowskich,</w:t>
      </w:r>
      <w:r w:rsidR="00C13C75" w:rsidRPr="00853D04">
        <w:rPr>
          <w:noProof/>
        </w:rPr>
        <w:t xml:space="preserve"> w</w:t>
      </w:r>
      <w:r w:rsidR="00C13C75">
        <w:rPr>
          <w:noProof/>
        </w:rPr>
        <w:t> </w:t>
      </w:r>
      <w:r w:rsidR="00C13C75" w:rsidRPr="00853D04">
        <w:rPr>
          <w:noProof/>
        </w:rPr>
        <w:t>któ</w:t>
      </w:r>
      <w:r w:rsidRPr="00853D04">
        <w:rPr>
          <w:noProof/>
        </w:rPr>
        <w:t>rych chcą rozszerzyć swoją działalność,</w:t>
      </w:r>
      <w:r w:rsidR="00C13C75" w:rsidRPr="00853D04">
        <w:rPr>
          <w:noProof/>
        </w:rPr>
        <w:t xml:space="preserve"> w</w:t>
      </w:r>
      <w:r w:rsidR="00C13C75">
        <w:rPr>
          <w:noProof/>
        </w:rPr>
        <w:t> </w:t>
      </w:r>
      <w:r w:rsidR="00C13C75" w:rsidRPr="00853D04">
        <w:rPr>
          <w:noProof/>
        </w:rPr>
        <w:t>zal</w:t>
      </w:r>
      <w:r w:rsidRPr="00853D04">
        <w:rPr>
          <w:noProof/>
        </w:rPr>
        <w:t>eżności od zakresu ich działalności. Przewiduje się, że</w:t>
      </w:r>
      <w:r w:rsidR="00C13C75" w:rsidRPr="00853D04">
        <w:rPr>
          <w:noProof/>
        </w:rPr>
        <w:t xml:space="preserve"> w</w:t>
      </w:r>
      <w:r w:rsidR="00C13C75">
        <w:rPr>
          <w:noProof/>
        </w:rPr>
        <w:t> </w:t>
      </w:r>
      <w:r w:rsidR="00C13C75" w:rsidRPr="00853D04">
        <w:rPr>
          <w:noProof/>
        </w:rPr>
        <w:t>wyn</w:t>
      </w:r>
      <w:r w:rsidRPr="00853D04">
        <w:rPr>
          <w:noProof/>
        </w:rPr>
        <w:t>iku niniejszego wniosku zostanie zniesiony wymóg ustanowienia</w:t>
      </w:r>
      <w:r w:rsidR="00C13C75" w:rsidRPr="00853D04">
        <w:rPr>
          <w:noProof/>
        </w:rPr>
        <w:t xml:space="preserve"> i</w:t>
      </w:r>
      <w:r w:rsidR="00C13C75">
        <w:rPr>
          <w:noProof/>
        </w:rPr>
        <w:t> </w:t>
      </w:r>
      <w:r w:rsidR="00C13C75" w:rsidRPr="00853D04">
        <w:rPr>
          <w:noProof/>
        </w:rPr>
        <w:t>uzn</w:t>
      </w:r>
      <w:r w:rsidRPr="00853D04">
        <w:rPr>
          <w:noProof/>
        </w:rPr>
        <w:t>awania osobowości prawnej oraz zdolności do czynności prawnych, co</w:t>
      </w:r>
      <w:r w:rsidR="00C13C75" w:rsidRPr="00853D04">
        <w:rPr>
          <w:noProof/>
        </w:rPr>
        <w:t xml:space="preserve"> w</w:t>
      </w:r>
      <w:r w:rsidR="00C13C75">
        <w:rPr>
          <w:noProof/>
        </w:rPr>
        <w:t> </w:t>
      </w:r>
      <w:r w:rsidR="00C13C75" w:rsidRPr="00853D04">
        <w:rPr>
          <w:noProof/>
        </w:rPr>
        <w:t>rez</w:t>
      </w:r>
      <w:r w:rsidRPr="00853D04">
        <w:rPr>
          <w:noProof/>
        </w:rPr>
        <w:t>ultacie zmniejszy obciążenie organów publicznych</w:t>
      </w:r>
      <w:r w:rsidR="00C13C75" w:rsidRPr="00853D04">
        <w:rPr>
          <w:noProof/>
        </w:rPr>
        <w:t xml:space="preserve"> w</w:t>
      </w:r>
      <w:r w:rsidR="00C13C75">
        <w:rPr>
          <w:noProof/>
        </w:rPr>
        <w:t> </w:t>
      </w:r>
      <w:r w:rsidR="00C13C75" w:rsidRPr="00853D04">
        <w:rPr>
          <w:noProof/>
        </w:rPr>
        <w:t>per</w:t>
      </w:r>
      <w:r w:rsidRPr="00853D04">
        <w:rPr>
          <w:noProof/>
        </w:rPr>
        <w:t>spektywie długoterminowej</w:t>
      </w:r>
      <w:r w:rsidR="00C13C75" w:rsidRPr="00853D04">
        <w:rPr>
          <w:noProof/>
        </w:rPr>
        <w:t>. W</w:t>
      </w:r>
      <w:r w:rsidR="00C13C75">
        <w:rPr>
          <w:noProof/>
        </w:rPr>
        <w:t> </w:t>
      </w:r>
      <w:r w:rsidR="00C13C75" w:rsidRPr="00853D04">
        <w:rPr>
          <w:noProof/>
        </w:rPr>
        <w:t>per</w:t>
      </w:r>
      <w:r w:rsidRPr="00853D04">
        <w:rPr>
          <w:noProof/>
        </w:rPr>
        <w:t>spektywie krótkoterminowej wprowadzenie nowej formy prawnej będzie wymagało od właściwych organów zapoznania się</w:t>
      </w:r>
      <w:r w:rsidR="00C13C75" w:rsidRPr="00853D04">
        <w:rPr>
          <w:noProof/>
        </w:rPr>
        <w:t xml:space="preserve"> z</w:t>
      </w:r>
      <w:r w:rsidR="00C13C75">
        <w:rPr>
          <w:noProof/>
        </w:rPr>
        <w:t> </w:t>
      </w:r>
      <w:r w:rsidR="00C13C75" w:rsidRPr="00853D04">
        <w:rPr>
          <w:noProof/>
        </w:rPr>
        <w:t>now</w:t>
      </w:r>
      <w:r w:rsidRPr="00853D04">
        <w:rPr>
          <w:noProof/>
        </w:rPr>
        <w:t>ymi ramami</w:t>
      </w:r>
      <w:r w:rsidR="00C13C75" w:rsidRPr="00853D04">
        <w:rPr>
          <w:noProof/>
        </w:rPr>
        <w:t xml:space="preserve"> i</w:t>
      </w:r>
      <w:r w:rsidR="00C13C75">
        <w:rPr>
          <w:noProof/>
        </w:rPr>
        <w:t> </w:t>
      </w:r>
      <w:r w:rsidR="00C13C75" w:rsidRPr="00853D04">
        <w:rPr>
          <w:noProof/>
        </w:rPr>
        <w:t>zap</w:t>
      </w:r>
      <w:r w:rsidRPr="00853D04">
        <w:rPr>
          <w:noProof/>
        </w:rPr>
        <w:t xml:space="preserve">ewnienia właściwej rejestracji. </w:t>
      </w:r>
    </w:p>
    <w:p w14:paraId="147CEF21" w14:textId="51A13977" w:rsidR="00CF155C" w:rsidRPr="00853D04" w:rsidRDefault="0A8D3382"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Biorąc pod uwagę jednorazowe koszty dostosowania procedur rejestracji</w:t>
      </w:r>
      <w:r w:rsidR="00C13C75" w:rsidRPr="00853D04">
        <w:rPr>
          <w:noProof/>
        </w:rPr>
        <w:t xml:space="preserve"> i</w:t>
      </w:r>
      <w:r w:rsidR="00C13C75">
        <w:rPr>
          <w:noProof/>
        </w:rPr>
        <w:t> </w:t>
      </w:r>
      <w:r w:rsidR="00C13C75" w:rsidRPr="00853D04">
        <w:rPr>
          <w:noProof/>
        </w:rPr>
        <w:t>rej</w:t>
      </w:r>
      <w:r w:rsidRPr="00853D04">
        <w:rPr>
          <w:noProof/>
        </w:rPr>
        <w:t>estrów, zależą one od potrzeby dostosowania obecnych rejestrów lub utworzenia nowego (internetowego) rejestru. Państwa członkowskie będą mogły dostosowywać istniejące rejestry lub tworzyć nowe</w:t>
      </w:r>
      <w:r w:rsidR="00C13C75" w:rsidRPr="00853D04">
        <w:rPr>
          <w:noProof/>
        </w:rPr>
        <w:t xml:space="preserve"> w</w:t>
      </w:r>
      <w:r w:rsidR="00C13C75">
        <w:rPr>
          <w:noProof/>
        </w:rPr>
        <w:t> </w:t>
      </w:r>
      <w:r w:rsidR="00C13C75" w:rsidRPr="00853D04">
        <w:rPr>
          <w:noProof/>
        </w:rPr>
        <w:t>ela</w:t>
      </w:r>
      <w:r w:rsidRPr="00853D04">
        <w:rPr>
          <w:noProof/>
        </w:rPr>
        <w:t>styczny sposób, przy czym będą zobowiązane do oferowania możliwości rejestracji online</w:t>
      </w:r>
      <w:r w:rsidR="00C13C75" w:rsidRPr="00853D04">
        <w:rPr>
          <w:noProof/>
        </w:rPr>
        <w:t xml:space="preserve"> w</w:t>
      </w:r>
      <w:r w:rsidR="00C13C75">
        <w:rPr>
          <w:noProof/>
        </w:rPr>
        <w:t> </w:t>
      </w:r>
      <w:r w:rsidR="00C13C75" w:rsidRPr="00853D04">
        <w:rPr>
          <w:noProof/>
        </w:rPr>
        <w:t>prz</w:t>
      </w:r>
      <w:r w:rsidRPr="00853D04">
        <w:rPr>
          <w:noProof/>
        </w:rPr>
        <w:t>ypadku nowo utworzonej formy prawnej. Należy zauważyć, że</w:t>
      </w:r>
      <w:r w:rsidR="00C13C75" w:rsidRPr="00853D04">
        <w:rPr>
          <w:noProof/>
        </w:rPr>
        <w:t xml:space="preserve"> w</w:t>
      </w:r>
      <w:r w:rsidR="00C13C75">
        <w:rPr>
          <w:noProof/>
        </w:rPr>
        <w:t> </w:t>
      </w:r>
      <w:r w:rsidR="00C13C75" w:rsidRPr="00853D04">
        <w:rPr>
          <w:noProof/>
        </w:rPr>
        <w:t>pań</w:t>
      </w:r>
      <w:r w:rsidRPr="00853D04">
        <w:rPr>
          <w:noProof/>
        </w:rPr>
        <w:t>stwach członkowskich,</w:t>
      </w:r>
      <w:r w:rsidR="00C13C75" w:rsidRPr="00853D04">
        <w:rPr>
          <w:noProof/>
        </w:rPr>
        <w:t xml:space="preserve"> w</w:t>
      </w:r>
      <w:r w:rsidR="00C13C75">
        <w:rPr>
          <w:noProof/>
        </w:rPr>
        <w:t> </w:t>
      </w:r>
      <w:r w:rsidR="00C13C75" w:rsidRPr="00853D04">
        <w:rPr>
          <w:noProof/>
        </w:rPr>
        <w:t>któ</w:t>
      </w:r>
      <w:r w:rsidRPr="00853D04">
        <w:rPr>
          <w:noProof/>
        </w:rPr>
        <w:t>rych nie ustanowiono rejestru stowarzyszeń, istnieją (lub można wykorzystać) inne mechanizmy zapewniające możliwość rejestracji stowarzyszeń niekomercyjnych. Ocena skutków uzupełniająca wniosek ustawodawczy wykazała, że można oczekiwać dodatkowych jednorazowych kosztów dostosowania</w:t>
      </w:r>
      <w:r w:rsidR="00C13C75" w:rsidRPr="00853D04">
        <w:rPr>
          <w:noProof/>
        </w:rPr>
        <w:t xml:space="preserve"> w</w:t>
      </w:r>
      <w:r w:rsidR="00C13C75">
        <w:rPr>
          <w:noProof/>
        </w:rPr>
        <w:t> </w:t>
      </w:r>
      <w:r w:rsidR="00C13C75" w:rsidRPr="00853D04">
        <w:rPr>
          <w:noProof/>
        </w:rPr>
        <w:t>wys</w:t>
      </w:r>
      <w:r w:rsidRPr="00853D04">
        <w:rPr>
          <w:noProof/>
        </w:rPr>
        <w:t xml:space="preserve">okości średnio </w:t>
      </w:r>
      <w:r w:rsidRPr="00C13C75">
        <w:rPr>
          <w:noProof/>
        </w:rPr>
        <w:t>do</w:t>
      </w:r>
      <w:r w:rsidR="00C13C75" w:rsidRPr="00C13C75">
        <w:rPr>
          <w:noProof/>
        </w:rPr>
        <w:t> </w:t>
      </w:r>
      <w:r w:rsidRPr="00C13C75">
        <w:rPr>
          <w:noProof/>
        </w:rPr>
        <w:t>1</w:t>
      </w:r>
      <w:r w:rsidRPr="00853D04">
        <w:rPr>
          <w:noProof/>
        </w:rPr>
        <w:t>00 000 EUR na każde państwo członkowskie</w:t>
      </w:r>
      <w:r w:rsidR="00C13C75" w:rsidRPr="00853D04">
        <w:rPr>
          <w:noProof/>
        </w:rPr>
        <w:t>. W</w:t>
      </w:r>
      <w:r w:rsidR="00C13C75">
        <w:rPr>
          <w:noProof/>
        </w:rPr>
        <w:t> </w:t>
      </w:r>
      <w:r w:rsidR="00C13C75" w:rsidRPr="00853D04">
        <w:rPr>
          <w:noProof/>
        </w:rPr>
        <w:t>zwi</w:t>
      </w:r>
      <w:r w:rsidRPr="00853D04">
        <w:rPr>
          <w:noProof/>
        </w:rPr>
        <w:t>ązku</w:t>
      </w:r>
      <w:r w:rsidR="00C13C75" w:rsidRPr="00853D04">
        <w:rPr>
          <w:noProof/>
        </w:rPr>
        <w:t xml:space="preserve"> z</w:t>
      </w:r>
      <w:r w:rsidR="00C13C75">
        <w:rPr>
          <w:noProof/>
        </w:rPr>
        <w:t> </w:t>
      </w:r>
      <w:r w:rsidR="00C13C75" w:rsidRPr="00853D04">
        <w:rPr>
          <w:noProof/>
        </w:rPr>
        <w:t>tym</w:t>
      </w:r>
      <w:r w:rsidRPr="00853D04">
        <w:rPr>
          <w:noProof/>
        </w:rPr>
        <w:t xml:space="preserve"> nie uznaje się tych kosztów za szczególnie uciążliwe, ponieważ po wprowadzeniu tego dostosowania oczekuje się, że organ publiczny powróci do swojej zwykłej działalności</w:t>
      </w:r>
      <w:r w:rsidR="00C13C75" w:rsidRPr="00853D04">
        <w:rPr>
          <w:noProof/>
        </w:rPr>
        <w:t>. W</w:t>
      </w:r>
      <w:r w:rsidR="00C13C75">
        <w:rPr>
          <w:noProof/>
        </w:rPr>
        <w:t> </w:t>
      </w:r>
      <w:r w:rsidR="00C13C75" w:rsidRPr="00853D04">
        <w:rPr>
          <w:noProof/>
        </w:rPr>
        <w:t>zwi</w:t>
      </w:r>
      <w:r w:rsidRPr="00853D04">
        <w:rPr>
          <w:noProof/>
        </w:rPr>
        <w:t>ązku</w:t>
      </w:r>
      <w:r w:rsidR="00C13C75" w:rsidRPr="00853D04">
        <w:rPr>
          <w:noProof/>
        </w:rPr>
        <w:t xml:space="preserve"> z</w:t>
      </w:r>
      <w:r w:rsidR="00C13C75">
        <w:rPr>
          <w:noProof/>
        </w:rPr>
        <w:t> </w:t>
      </w:r>
      <w:r w:rsidR="00C13C75" w:rsidRPr="00853D04">
        <w:rPr>
          <w:noProof/>
        </w:rPr>
        <w:t>tym</w:t>
      </w:r>
      <w:r w:rsidRPr="00853D04">
        <w:rPr>
          <w:noProof/>
        </w:rPr>
        <w:t xml:space="preserve"> nie należy spodziewać się powstania znaczących dodatkowych rocznych kosztów bieżących. </w:t>
      </w:r>
    </w:p>
    <w:p w14:paraId="17EE7159" w14:textId="49D2298C" w:rsidR="00CF155C" w:rsidRPr="00853D04" w:rsidRDefault="00CF155C"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W przypadku tych państw członkowskich,</w:t>
      </w:r>
      <w:r w:rsidR="00C13C75" w:rsidRPr="00853D04">
        <w:rPr>
          <w:noProof/>
        </w:rPr>
        <w:t xml:space="preserve"> w</w:t>
      </w:r>
      <w:r w:rsidR="00C13C75">
        <w:rPr>
          <w:noProof/>
        </w:rPr>
        <w:t> </w:t>
      </w:r>
      <w:r w:rsidR="00C13C75" w:rsidRPr="00853D04">
        <w:rPr>
          <w:noProof/>
        </w:rPr>
        <w:t>któ</w:t>
      </w:r>
      <w:r w:rsidRPr="00853D04">
        <w:rPr>
          <w:noProof/>
        </w:rPr>
        <w:t>rych rejestry muszą zostać utworzone, przekształcone lub</w:t>
      </w:r>
      <w:r w:rsidR="00C13C75" w:rsidRPr="00853D04">
        <w:rPr>
          <w:noProof/>
        </w:rPr>
        <w:t xml:space="preserve"> w</w:t>
      </w:r>
      <w:r w:rsidR="00C13C75">
        <w:rPr>
          <w:noProof/>
        </w:rPr>
        <w:t> </w:t>
      </w:r>
      <w:r w:rsidR="00C13C75" w:rsidRPr="00853D04">
        <w:rPr>
          <w:noProof/>
        </w:rPr>
        <w:t>ist</w:t>
      </w:r>
      <w:r w:rsidRPr="00853D04">
        <w:rPr>
          <w:noProof/>
        </w:rPr>
        <w:t>niejącym rejestrze powinna zostać utworzona nowa „linia rejestracji”, zaleca się promowanie rejestrów cyfrowych</w:t>
      </w:r>
      <w:r w:rsidR="00C13C75" w:rsidRPr="00853D04">
        <w:rPr>
          <w:noProof/>
        </w:rPr>
        <w:t>. W</w:t>
      </w:r>
      <w:r w:rsidR="00C13C75">
        <w:rPr>
          <w:noProof/>
        </w:rPr>
        <w:t> </w:t>
      </w:r>
      <w:r w:rsidR="00C13C75" w:rsidRPr="00853D04">
        <w:rPr>
          <w:noProof/>
        </w:rPr>
        <w:t>oce</w:t>
      </w:r>
      <w:r w:rsidRPr="00853D04">
        <w:rPr>
          <w:noProof/>
        </w:rPr>
        <w:t xml:space="preserve">nie skutków oszacowano na podstawie znanych przypadków, że koszty narzędzia do rejestracji przez internet (przy założeniu, że rejestr już istnieje) wahają się </w:t>
      </w:r>
      <w:r w:rsidRPr="00C13C75">
        <w:rPr>
          <w:noProof/>
        </w:rPr>
        <w:t>od</w:t>
      </w:r>
      <w:r w:rsidR="00C13C75" w:rsidRPr="00C13C75">
        <w:rPr>
          <w:noProof/>
        </w:rPr>
        <w:t> </w:t>
      </w:r>
      <w:r w:rsidRPr="00C13C75">
        <w:rPr>
          <w:noProof/>
        </w:rPr>
        <w:t>4</w:t>
      </w:r>
      <w:r w:rsidRPr="00853D04">
        <w:rPr>
          <w:noProof/>
        </w:rPr>
        <w:t xml:space="preserve">2 000 EUR </w:t>
      </w:r>
      <w:r w:rsidRPr="00C13C75">
        <w:rPr>
          <w:noProof/>
        </w:rPr>
        <w:t>do</w:t>
      </w:r>
      <w:r w:rsidR="00C13C75" w:rsidRPr="00C13C75">
        <w:rPr>
          <w:noProof/>
        </w:rPr>
        <w:t> </w:t>
      </w:r>
      <w:r w:rsidRPr="00C13C75">
        <w:rPr>
          <w:noProof/>
        </w:rPr>
        <w:t>2</w:t>
      </w:r>
      <w:r w:rsidRPr="00853D04">
        <w:rPr>
          <w:noProof/>
        </w:rPr>
        <w:t>70 000 EUR</w:t>
      </w:r>
      <w:r w:rsidR="00C13C75" w:rsidRPr="00C13C75">
        <w:rPr>
          <w:noProof/>
        </w:rPr>
        <w:t>. W</w:t>
      </w:r>
      <w:r w:rsidR="00C13C75">
        <w:rPr>
          <w:noProof/>
        </w:rPr>
        <w:t> </w:t>
      </w:r>
      <w:r w:rsidR="00C13C75" w:rsidRPr="00853D04">
        <w:rPr>
          <w:noProof/>
        </w:rPr>
        <w:t>per</w:t>
      </w:r>
      <w:r w:rsidRPr="00853D04">
        <w:rPr>
          <w:noProof/>
        </w:rPr>
        <w:t>spektywie krótko-</w:t>
      </w:r>
      <w:r w:rsidR="00C13C75" w:rsidRPr="00853D04">
        <w:rPr>
          <w:noProof/>
        </w:rPr>
        <w:t xml:space="preserve"> i</w:t>
      </w:r>
      <w:r w:rsidR="00C13C75">
        <w:rPr>
          <w:noProof/>
        </w:rPr>
        <w:t> </w:t>
      </w:r>
      <w:r w:rsidR="00C13C75" w:rsidRPr="00853D04">
        <w:rPr>
          <w:noProof/>
        </w:rPr>
        <w:t>śre</w:t>
      </w:r>
      <w:r w:rsidRPr="00853D04">
        <w:rPr>
          <w:noProof/>
        </w:rPr>
        <w:t>dnioterminowej właściwe organy mogą zostać zobowiązane do zainwestowania</w:t>
      </w:r>
      <w:r w:rsidR="00C13C75" w:rsidRPr="00853D04">
        <w:rPr>
          <w:noProof/>
        </w:rPr>
        <w:t xml:space="preserve"> w</w:t>
      </w:r>
      <w:r w:rsidR="00C13C75">
        <w:rPr>
          <w:noProof/>
        </w:rPr>
        <w:t> </w:t>
      </w:r>
      <w:r w:rsidR="00C13C75" w:rsidRPr="00853D04">
        <w:rPr>
          <w:noProof/>
        </w:rPr>
        <w:t>zak</w:t>
      </w:r>
      <w:r w:rsidRPr="00853D04">
        <w:rPr>
          <w:noProof/>
        </w:rPr>
        <w:t>up takich narzędzi</w:t>
      </w:r>
      <w:r w:rsidR="00C13C75" w:rsidRPr="00853D04">
        <w:rPr>
          <w:noProof/>
        </w:rPr>
        <w:t xml:space="preserve"> i</w:t>
      </w:r>
      <w:r w:rsidR="00C13C75">
        <w:rPr>
          <w:noProof/>
        </w:rPr>
        <w:t> </w:t>
      </w:r>
      <w:r w:rsidR="00C13C75" w:rsidRPr="00853D04">
        <w:rPr>
          <w:noProof/>
        </w:rPr>
        <w:t>dos</w:t>
      </w:r>
      <w:r w:rsidRPr="00853D04">
        <w:rPr>
          <w:noProof/>
        </w:rPr>
        <w:t>tosowanie procesów,</w:t>
      </w:r>
      <w:r w:rsidR="00C13C75" w:rsidRPr="00853D04">
        <w:rPr>
          <w:noProof/>
        </w:rPr>
        <w:t xml:space="preserve"> w</w:t>
      </w:r>
      <w:r w:rsidR="00C13C75">
        <w:rPr>
          <w:noProof/>
        </w:rPr>
        <w:t> </w:t>
      </w:r>
      <w:r w:rsidR="00C13C75" w:rsidRPr="00853D04">
        <w:rPr>
          <w:noProof/>
        </w:rPr>
        <w:t>tym w</w:t>
      </w:r>
      <w:r w:rsidR="00C13C75">
        <w:rPr>
          <w:noProof/>
        </w:rPr>
        <w:t> </w:t>
      </w:r>
      <w:r w:rsidR="00C13C75" w:rsidRPr="00853D04">
        <w:rPr>
          <w:noProof/>
        </w:rPr>
        <w:t>szk</w:t>
      </w:r>
      <w:r w:rsidRPr="00853D04">
        <w:rPr>
          <w:noProof/>
        </w:rPr>
        <w:t>olenie personelu. Koszty dostosowania</w:t>
      </w:r>
      <w:r w:rsidR="00C13C75" w:rsidRPr="00853D04">
        <w:rPr>
          <w:noProof/>
        </w:rPr>
        <w:t xml:space="preserve"> i</w:t>
      </w:r>
      <w:r w:rsidR="00C13C75">
        <w:rPr>
          <w:noProof/>
        </w:rPr>
        <w:t> </w:t>
      </w:r>
      <w:r w:rsidR="00C13C75" w:rsidRPr="00853D04">
        <w:rPr>
          <w:noProof/>
        </w:rPr>
        <w:t>roc</w:t>
      </w:r>
      <w:r w:rsidRPr="00853D04">
        <w:rPr>
          <w:noProof/>
        </w:rPr>
        <w:t>znego utrzymania cyfrowych rejestrów</w:t>
      </w:r>
      <w:r w:rsidR="00C13C75" w:rsidRPr="00853D04">
        <w:rPr>
          <w:noProof/>
        </w:rPr>
        <w:t xml:space="preserve"> w</w:t>
      </w:r>
      <w:r w:rsidR="00C13C75">
        <w:rPr>
          <w:noProof/>
        </w:rPr>
        <w:t> </w:t>
      </w:r>
      <w:r w:rsidR="00C13C75" w:rsidRPr="00853D04">
        <w:rPr>
          <w:noProof/>
        </w:rPr>
        <w:t>pań</w:t>
      </w:r>
      <w:r w:rsidRPr="00853D04">
        <w:rPr>
          <w:noProof/>
        </w:rPr>
        <w:t xml:space="preserve">stwach członkowskich uznano za nieznaczne. </w:t>
      </w:r>
    </w:p>
    <w:p w14:paraId="317F2B31" w14:textId="0BC690BD" w:rsidR="00B23A17" w:rsidRPr="00853D04" w:rsidRDefault="00B23A17"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W niniejszym wniosku zachęca się również do stosowania środków mających na celu zapewnienie interoperacyjności rejestrów krajowych</w:t>
      </w:r>
      <w:r w:rsidR="00C13C75" w:rsidRPr="00853D04">
        <w:rPr>
          <w:noProof/>
        </w:rPr>
        <w:t xml:space="preserve"> z</w:t>
      </w:r>
      <w:r w:rsidR="00C13C75">
        <w:rPr>
          <w:noProof/>
        </w:rPr>
        <w:t> </w:t>
      </w:r>
      <w:r w:rsidR="00C13C75" w:rsidRPr="00853D04">
        <w:rPr>
          <w:noProof/>
        </w:rPr>
        <w:t>ist</w:t>
      </w:r>
      <w:r w:rsidRPr="00853D04">
        <w:rPr>
          <w:noProof/>
        </w:rPr>
        <w:t>niejącymi narzędziami na szczeblu unijnym, takimi jak jednolity portal cyfrowy, aby umożliwić zautomatyzowany dostęp do danych</w:t>
      </w:r>
      <w:r w:rsidR="00C13C75" w:rsidRPr="00853D04">
        <w:rPr>
          <w:noProof/>
        </w:rPr>
        <w:t xml:space="preserve"> i</w:t>
      </w:r>
      <w:r w:rsidR="00C13C75">
        <w:rPr>
          <w:noProof/>
        </w:rPr>
        <w:t> </w:t>
      </w:r>
      <w:r w:rsidR="00C13C75" w:rsidRPr="00853D04">
        <w:rPr>
          <w:noProof/>
        </w:rPr>
        <w:t>ich</w:t>
      </w:r>
      <w:r w:rsidRPr="00853D04">
        <w:rPr>
          <w:noProof/>
        </w:rPr>
        <w:t xml:space="preserve"> wymianę, lub stosowanie uzgodnionych minimalnych standardów</w:t>
      </w:r>
      <w:r w:rsidR="00C13C75" w:rsidRPr="00853D04">
        <w:rPr>
          <w:noProof/>
        </w:rPr>
        <w:t xml:space="preserve"> w</w:t>
      </w:r>
      <w:r w:rsidR="00C13C75">
        <w:rPr>
          <w:noProof/>
        </w:rPr>
        <w:t> </w:t>
      </w:r>
      <w:r w:rsidR="00C13C75" w:rsidRPr="00853D04">
        <w:rPr>
          <w:noProof/>
        </w:rPr>
        <w:t>cel</w:t>
      </w:r>
      <w:r w:rsidRPr="00853D04">
        <w:rPr>
          <w:noProof/>
        </w:rPr>
        <w:t>u zapewnienia porównywalności danych</w:t>
      </w:r>
      <w:r w:rsidR="00C13C75" w:rsidRPr="00853D04">
        <w:rPr>
          <w:noProof/>
        </w:rPr>
        <w:t xml:space="preserve"> i</w:t>
      </w:r>
      <w:r w:rsidR="00C13C75">
        <w:rPr>
          <w:noProof/>
        </w:rPr>
        <w:t> </w:t>
      </w:r>
      <w:r w:rsidR="00C13C75" w:rsidRPr="00853D04">
        <w:rPr>
          <w:noProof/>
        </w:rPr>
        <w:t>sys</w:t>
      </w:r>
      <w:r w:rsidRPr="00853D04">
        <w:rPr>
          <w:noProof/>
        </w:rPr>
        <w:t>temu wymiany informacji na rynku wewnętrznym (IMI)</w:t>
      </w:r>
      <w:r w:rsidR="00C13C75" w:rsidRPr="00853D04">
        <w:rPr>
          <w:noProof/>
        </w:rPr>
        <w:t xml:space="preserve"> z</w:t>
      </w:r>
      <w:r w:rsidR="00C13C75">
        <w:rPr>
          <w:noProof/>
        </w:rPr>
        <w:t> </w:t>
      </w:r>
      <w:r w:rsidR="00C13C75" w:rsidRPr="00853D04">
        <w:rPr>
          <w:noProof/>
        </w:rPr>
        <w:t>myś</w:t>
      </w:r>
      <w:r w:rsidRPr="00853D04">
        <w:rPr>
          <w:noProof/>
        </w:rPr>
        <w:t>lą</w:t>
      </w:r>
      <w:r w:rsidR="00C13C75" w:rsidRPr="00853D04">
        <w:rPr>
          <w:noProof/>
        </w:rPr>
        <w:t xml:space="preserve"> o</w:t>
      </w:r>
      <w:r w:rsidR="00C13C75">
        <w:rPr>
          <w:noProof/>
        </w:rPr>
        <w:t> </w:t>
      </w:r>
      <w:r w:rsidR="00C13C75" w:rsidRPr="00853D04">
        <w:rPr>
          <w:noProof/>
        </w:rPr>
        <w:t>pro</w:t>
      </w:r>
      <w:r w:rsidRPr="00853D04">
        <w:rPr>
          <w:noProof/>
        </w:rPr>
        <w:t xml:space="preserve">mowaniu współpracy administracyjnej między właściwymi organami. </w:t>
      </w:r>
    </w:p>
    <w:p w14:paraId="76A8B1B1" w14:textId="77777777" w:rsidR="001701DF" w:rsidRPr="00853D04" w:rsidRDefault="001701DF"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 xml:space="preserve">Państwa członkowskie będą ponadto musiały zorganizować działania informacyjne, aby zwiększyć rozpoznawalność nowej formy prawnej na szczeblu krajowym. </w:t>
      </w:r>
    </w:p>
    <w:p w14:paraId="40B5CAA9" w14:textId="77777777" w:rsidR="00F652DF" w:rsidRPr="00853D04" w:rsidRDefault="00F652DF"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W odniesieniu do Komisji Europejskiej:</w:t>
      </w:r>
    </w:p>
    <w:p w14:paraId="192C9CE0" w14:textId="7921DD62" w:rsidR="00A81EA2" w:rsidRPr="00853D04" w:rsidRDefault="00AB56BE"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Koszt gromadzenia</w:t>
      </w:r>
      <w:r w:rsidR="00C13C75" w:rsidRPr="00853D04">
        <w:rPr>
          <w:noProof/>
        </w:rPr>
        <w:t xml:space="preserve"> i</w:t>
      </w:r>
      <w:r w:rsidR="00C13C75">
        <w:rPr>
          <w:noProof/>
        </w:rPr>
        <w:t> </w:t>
      </w:r>
      <w:r w:rsidR="00C13C75" w:rsidRPr="00853D04">
        <w:rPr>
          <w:noProof/>
        </w:rPr>
        <w:t>dod</w:t>
      </w:r>
      <w:r w:rsidRPr="00853D04">
        <w:rPr>
          <w:noProof/>
        </w:rPr>
        <w:t>awania informacji do jednolitego portalu cyfrowego/Your Europe przez Komisję Europejską szacuje się jako jednorazowy koszt na poziomie 300 000 EUR (Program na rzecz jednolitego rynku) na pokrycie dodatkowych wydatków potrzebnych do uzupełnienia informacji dotyczących stowarzyszeń niekomercyjnych oraz roczny koszt</w:t>
      </w:r>
      <w:r w:rsidR="00C13C75" w:rsidRPr="00853D04">
        <w:rPr>
          <w:noProof/>
        </w:rPr>
        <w:t xml:space="preserve"> w</w:t>
      </w:r>
      <w:r w:rsidR="00C13C75">
        <w:rPr>
          <w:noProof/>
        </w:rPr>
        <w:t> </w:t>
      </w:r>
      <w:r w:rsidR="00C13C75" w:rsidRPr="00853D04">
        <w:rPr>
          <w:noProof/>
        </w:rPr>
        <w:t>wys</w:t>
      </w:r>
      <w:r w:rsidRPr="00853D04">
        <w:rPr>
          <w:noProof/>
        </w:rPr>
        <w:t xml:space="preserve">okości 100 000 EUR na utrzymanie. </w:t>
      </w:r>
    </w:p>
    <w:p w14:paraId="5F8AEAEE" w14:textId="372958A6" w:rsidR="001701DF" w:rsidRPr="00853D04" w:rsidRDefault="001701DF" w:rsidP="005A73D5">
      <w:pPr>
        <w:pStyle w:val="Text1"/>
        <w:pBdr>
          <w:top w:val="single" w:sz="4" w:space="1" w:color="auto"/>
          <w:left w:val="single" w:sz="4" w:space="4" w:color="auto"/>
          <w:bottom w:val="single" w:sz="4" w:space="1" w:color="auto"/>
          <w:right w:val="single" w:sz="4" w:space="4" w:color="auto"/>
        </w:pBdr>
        <w:rPr>
          <w:noProof/>
        </w:rPr>
      </w:pPr>
      <w:r w:rsidRPr="00853D04">
        <w:rPr>
          <w:noProof/>
        </w:rPr>
        <w:t>Komisja Europejska będzie również musiała uwzględnić</w:t>
      </w:r>
      <w:r w:rsidR="00C13C75" w:rsidRPr="00853D04">
        <w:rPr>
          <w:noProof/>
        </w:rPr>
        <w:t xml:space="preserve"> w</w:t>
      </w:r>
      <w:r w:rsidR="00C13C75">
        <w:rPr>
          <w:noProof/>
        </w:rPr>
        <w:t> </w:t>
      </w:r>
      <w:r w:rsidR="00C13C75" w:rsidRPr="00853D04">
        <w:rPr>
          <w:noProof/>
        </w:rPr>
        <w:t>bud</w:t>
      </w:r>
      <w:r w:rsidRPr="00853D04">
        <w:rPr>
          <w:noProof/>
        </w:rPr>
        <w:t>żecie koszty niezbędne do dostosowania systemu wymiany informacji na rynku wewnętrznym, aby umożliwić współpracę administracyjną między właściwymi organami</w:t>
      </w:r>
      <w:r w:rsidR="00C13C75" w:rsidRPr="00853D04">
        <w:rPr>
          <w:noProof/>
        </w:rPr>
        <w:t xml:space="preserve"> w</w:t>
      </w:r>
      <w:r w:rsidR="00C13C75">
        <w:rPr>
          <w:noProof/>
        </w:rPr>
        <w:t> </w:t>
      </w:r>
      <w:r w:rsidR="00C13C75" w:rsidRPr="00853D04">
        <w:rPr>
          <w:noProof/>
        </w:rPr>
        <w:t>pań</w:t>
      </w:r>
      <w:r w:rsidRPr="00853D04">
        <w:rPr>
          <w:noProof/>
        </w:rPr>
        <w:t>stwach członkowskich przewidzianą</w:t>
      </w:r>
      <w:r w:rsidR="00C13C75" w:rsidRPr="00853D04">
        <w:rPr>
          <w:noProof/>
        </w:rPr>
        <w:t xml:space="preserve"> w</w:t>
      </w:r>
      <w:r w:rsidR="00C13C75">
        <w:rPr>
          <w:noProof/>
        </w:rPr>
        <w:t> </w:t>
      </w:r>
      <w:r w:rsidR="00C13C75" w:rsidRPr="00853D04">
        <w:rPr>
          <w:noProof/>
        </w:rPr>
        <w:t>nin</w:t>
      </w:r>
      <w:r w:rsidRPr="00853D04">
        <w:rPr>
          <w:noProof/>
        </w:rPr>
        <w:t xml:space="preserve">iejszym wniosku. Roczny koszt szacuje się </w:t>
      </w:r>
      <w:r w:rsidRPr="00C13C75">
        <w:rPr>
          <w:noProof/>
        </w:rPr>
        <w:t>na</w:t>
      </w:r>
      <w:r w:rsidR="00C13C75" w:rsidRPr="00C13C75">
        <w:rPr>
          <w:noProof/>
        </w:rPr>
        <w:t> </w:t>
      </w:r>
      <w:r w:rsidRPr="00C13C75">
        <w:rPr>
          <w:noProof/>
        </w:rPr>
        <w:t>1</w:t>
      </w:r>
      <w:r w:rsidRPr="00853D04">
        <w:rPr>
          <w:noProof/>
        </w:rPr>
        <w:t xml:space="preserve">25 000 EUR (Program na rzecz jednolitego rynku). </w:t>
      </w:r>
    </w:p>
    <w:p w14:paraId="6F639715" w14:textId="77777777" w:rsidR="188AFA49" w:rsidRPr="00853D04" w:rsidRDefault="188AFA49" w:rsidP="188AFA49">
      <w:pPr>
        <w:pStyle w:val="Text1"/>
        <w:pBdr>
          <w:top w:val="single" w:sz="4" w:space="1" w:color="auto"/>
          <w:left w:val="single" w:sz="4" w:space="4" w:color="auto"/>
          <w:bottom w:val="single" w:sz="4" w:space="1" w:color="auto"/>
          <w:right w:val="single" w:sz="4" w:space="4" w:color="auto"/>
        </w:pBdr>
        <w:rPr>
          <w:noProof/>
        </w:rPr>
      </w:pPr>
    </w:p>
    <w:p w14:paraId="5AA7ECAD" w14:textId="77777777" w:rsidR="03862C32" w:rsidRPr="00853D04" w:rsidRDefault="001C0264" w:rsidP="188AFA49">
      <w:pPr>
        <w:pStyle w:val="Text1"/>
        <w:pBdr>
          <w:top w:val="single" w:sz="4" w:space="1" w:color="auto"/>
          <w:left w:val="single" w:sz="4" w:space="4" w:color="auto"/>
          <w:bottom w:val="single" w:sz="4" w:space="1" w:color="auto"/>
          <w:right w:val="single" w:sz="4" w:space="4" w:color="auto"/>
        </w:pBdr>
        <w:rPr>
          <w:noProof/>
        </w:rPr>
      </w:pPr>
      <w:r w:rsidRPr="00853D04">
        <w:rPr>
          <w:noProof/>
          <w:u w:val="single"/>
          <w:shd w:val="clear" w:color="auto" w:fill="E6E6E6"/>
        </w:rPr>
        <w:t>W odniesieniu do stowarzyszeń niekomercyjnych/</w:t>
      </w:r>
      <w:r w:rsidRPr="00853D04">
        <w:rPr>
          <w:noProof/>
          <w:shd w:val="clear" w:color="auto" w:fill="E6E6E6"/>
        </w:rPr>
        <w:t xml:space="preserve">MŚP: </w:t>
      </w:r>
    </w:p>
    <w:p w14:paraId="772F7FFC" w14:textId="12987297" w:rsidR="03862C32" w:rsidRPr="00853D04" w:rsidRDefault="03862C32" w:rsidP="188AFA49">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 ramach tej inicjatywy nie przewiduje się nałożenia nowych obowiązków administracyjnych na stowarzyszenia niekomercyjne</w:t>
      </w:r>
      <w:r w:rsidRPr="00853D04">
        <w:rPr>
          <w:noProof/>
        </w:rPr>
        <w:t>,</w:t>
      </w:r>
      <w:r w:rsidR="00C13C75" w:rsidRPr="00853D04">
        <w:rPr>
          <w:noProof/>
        </w:rPr>
        <w:t xml:space="preserve"> </w:t>
      </w:r>
      <w:r w:rsidR="00C13C75" w:rsidRPr="00853D04">
        <w:rPr>
          <w:noProof/>
          <w:color w:val="000000" w:themeColor="text1"/>
        </w:rPr>
        <w:t>w</w:t>
      </w:r>
      <w:r w:rsidR="00C13C75">
        <w:rPr>
          <w:noProof/>
        </w:rPr>
        <w:t> </w:t>
      </w:r>
      <w:r w:rsidR="00C13C75" w:rsidRPr="00853D04">
        <w:rPr>
          <w:noProof/>
          <w:color w:val="000000" w:themeColor="text1"/>
        </w:rPr>
        <w:t>tym</w:t>
      </w:r>
      <w:r w:rsidRPr="00853D04">
        <w:rPr>
          <w:noProof/>
          <w:color w:val="000000" w:themeColor="text1"/>
        </w:rPr>
        <w:t xml:space="preserve"> stowarzyszenia niekomercyjne, które kwalifikują się jako MŚP (mając na uwadze, że stowarzyszenia prowadzące działalność gospodarczą wchodzą</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zak</w:t>
      </w:r>
      <w:r w:rsidRPr="00853D04">
        <w:rPr>
          <w:noProof/>
          <w:color w:val="000000" w:themeColor="text1"/>
        </w:rPr>
        <w:t xml:space="preserve">res </w:t>
      </w:r>
      <w:hyperlink r:id="rId20">
        <w:r w:rsidRPr="00853D04">
          <w:rPr>
            <w:rStyle w:val="Hyperlink"/>
            <w:noProof/>
          </w:rPr>
          <w:t>definicji mikroprzedsiębiorstw oraz małych</w:t>
        </w:r>
        <w:bookmarkStart w:id="20" w:name="_Hlt137551965"/>
        <w:r w:rsidR="00C13C75" w:rsidRPr="00853D04">
          <w:rPr>
            <w:rStyle w:val="Hyperlink"/>
            <w:noProof/>
          </w:rPr>
          <w:t xml:space="preserve"> i</w:t>
        </w:r>
        <w:bookmarkEnd w:id="20"/>
        <w:r w:rsidR="00C13C75">
          <w:rPr>
            <w:rStyle w:val="Hyperlink"/>
            <w:noProof/>
          </w:rPr>
          <w:t> </w:t>
        </w:r>
        <w:r w:rsidR="00C13C75" w:rsidRPr="00853D04">
          <w:rPr>
            <w:rStyle w:val="Hyperlink"/>
            <w:noProof/>
          </w:rPr>
          <w:t>śre</w:t>
        </w:r>
        <w:r w:rsidRPr="00853D04">
          <w:rPr>
            <w:rStyle w:val="Hyperlink"/>
            <w:noProof/>
          </w:rPr>
          <w:t>dnich przedsiębiorstw</w:t>
        </w:r>
      </w:hyperlink>
      <w:r w:rsidRPr="00853D04">
        <w:rPr>
          <w:rStyle w:val="Hyperlink"/>
          <w:noProof/>
          <w:u w:val="none"/>
        </w:rPr>
        <w:t>)</w:t>
      </w:r>
      <w:r w:rsidRPr="00853D04">
        <w:rPr>
          <w:noProof/>
          <w:color w:val="000000" w:themeColor="text1"/>
        </w:rPr>
        <w:t xml:space="preserve">. </w:t>
      </w:r>
    </w:p>
    <w:p w14:paraId="744DF043" w14:textId="59A35CBB" w:rsidR="03862C32" w:rsidRPr="00853D04" w:rsidRDefault="03862C32" w:rsidP="188AFA49">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Celem jest wyeliminowanie barier dla transgranicznej działalności stowarzyszeń niekomercyjnych</w:t>
      </w:r>
      <w:r w:rsidR="00C13C75" w:rsidRPr="00853D04">
        <w:rPr>
          <w:noProof/>
          <w:color w:val="000000" w:themeColor="text1"/>
        </w:rPr>
        <w:t>. Z</w:t>
      </w:r>
      <w:r w:rsidR="00C13C75">
        <w:rPr>
          <w:noProof/>
          <w:color w:val="000000" w:themeColor="text1"/>
        </w:rPr>
        <w:t> </w:t>
      </w:r>
      <w:r w:rsidR="00C13C75" w:rsidRPr="00853D04">
        <w:rPr>
          <w:noProof/>
          <w:color w:val="000000" w:themeColor="text1"/>
        </w:rPr>
        <w:t>rac</w:t>
      </w:r>
      <w:r w:rsidRPr="00853D04">
        <w:rPr>
          <w:noProof/>
          <w:color w:val="000000" w:themeColor="text1"/>
        </w:rPr>
        <w:t>ji tego, że małe stowarzyszenia niekomercyjne zazwyczaj dysponują mniejszymi zasobami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moż</w:t>
      </w:r>
      <w:r w:rsidRPr="00853D04">
        <w:rPr>
          <w:noProof/>
          <w:color w:val="000000" w:themeColor="text1"/>
        </w:rPr>
        <w:t>liwościami pokonania istniejących barier, oczekuje się, że dostosowania</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zak</w:t>
      </w:r>
      <w:r w:rsidRPr="00853D04">
        <w:rPr>
          <w:noProof/>
          <w:color w:val="000000" w:themeColor="text1"/>
        </w:rPr>
        <w:t>resie wejścia na rynek</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pro</w:t>
      </w:r>
      <w:r w:rsidRPr="00853D04">
        <w:rPr>
          <w:noProof/>
          <w:color w:val="000000" w:themeColor="text1"/>
        </w:rPr>
        <w:t xml:space="preserve">wadzenia działalności wywrą pozytywny wpływ na pozycję konkurencyjną stowarzyszeń niekomercyjnych wielkości MŚP. </w:t>
      </w:r>
    </w:p>
    <w:p w14:paraId="6D073525" w14:textId="1FFB9E59" w:rsidR="00167C96" w:rsidRPr="00853D04" w:rsidRDefault="00440F2E" w:rsidP="00167C96">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Oczekuje się, że dzięki temu obniżone zostaną koszty rozpoczęcia działalności,</w:t>
      </w:r>
      <w:r w:rsidR="00C13C75" w:rsidRPr="00853D04">
        <w:rPr>
          <w:noProof/>
          <w:color w:val="000000" w:themeColor="text1"/>
        </w:rPr>
        <w:t xml:space="preserve"> a</w:t>
      </w:r>
      <w:r w:rsidR="00C13C75">
        <w:rPr>
          <w:noProof/>
          <w:color w:val="000000" w:themeColor="text1"/>
        </w:rPr>
        <w:t> </w:t>
      </w:r>
      <w:r w:rsidR="00C13C75" w:rsidRPr="00853D04">
        <w:rPr>
          <w:noProof/>
          <w:color w:val="000000" w:themeColor="text1"/>
        </w:rPr>
        <w:t>tak</w:t>
      </w:r>
      <w:r w:rsidRPr="00853D04">
        <w:rPr>
          <w:noProof/>
          <w:color w:val="000000" w:themeColor="text1"/>
        </w:rPr>
        <w:t>że koszty stałe stowarzyszeń niekomercyjnych prowadzących działalność transgraniczną:</w:t>
      </w:r>
    </w:p>
    <w:p w14:paraId="488EC18E" w14:textId="3FB9567A" w:rsidR="00167C96" w:rsidRPr="00853D04" w:rsidRDefault="00167C96" w:rsidP="00167C96">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t>
      </w:r>
      <w:r w:rsidRPr="00853D04">
        <w:rPr>
          <w:noProof/>
        </w:rPr>
        <w:tab/>
      </w:r>
      <w:r w:rsidRPr="00853D04">
        <w:rPr>
          <w:noProof/>
          <w:color w:val="000000" w:themeColor="text1"/>
        </w:rPr>
        <w:t>szacuje się, że nadmierne koszty rozpoczęcia</w:t>
      </w:r>
      <w:r w:rsidRPr="00853D04">
        <w:rPr>
          <w:noProof/>
        </w:rPr>
        <w:t xml:space="preserve"> nowych operacji transgranicznych</w:t>
      </w:r>
      <w:r w:rsidRPr="00853D04">
        <w:rPr>
          <w:noProof/>
          <w:color w:val="000000" w:themeColor="text1"/>
        </w:rPr>
        <w:t xml:space="preserve"> zostaną zmniejszone</w:t>
      </w:r>
      <w:r w:rsidR="00C13C75" w:rsidRPr="00853D04">
        <w:rPr>
          <w:noProof/>
          <w:color w:val="000000" w:themeColor="text1"/>
        </w:rPr>
        <w:t xml:space="preserve"> o</w:t>
      </w:r>
      <w:r w:rsidR="00C13C75">
        <w:rPr>
          <w:noProof/>
          <w:color w:val="000000" w:themeColor="text1"/>
        </w:rPr>
        <w:t> </w:t>
      </w:r>
      <w:r w:rsidR="00C13C75" w:rsidRPr="00853D04">
        <w:rPr>
          <w:noProof/>
        </w:rPr>
        <w:t>2</w:t>
      </w:r>
      <w:r w:rsidRPr="00853D04">
        <w:rPr>
          <w:noProof/>
        </w:rPr>
        <w:t xml:space="preserve"> 150 EUR na jedno rozpoczęcie działalności</w:t>
      </w:r>
      <w:r w:rsidR="00C13C75" w:rsidRPr="00853D04">
        <w:rPr>
          <w:noProof/>
          <w:color w:val="000000" w:themeColor="text1"/>
        </w:rPr>
        <w:t xml:space="preserve">. </w:t>
      </w:r>
      <w:r w:rsidR="00C13C75" w:rsidRPr="00853D04">
        <w:rPr>
          <w:noProof/>
        </w:rPr>
        <w:t>W</w:t>
      </w:r>
      <w:r w:rsidR="00C13C75">
        <w:rPr>
          <w:noProof/>
          <w:color w:val="000000" w:themeColor="text1"/>
        </w:rPr>
        <w:t> </w:t>
      </w:r>
      <w:r w:rsidR="00C13C75" w:rsidRPr="00853D04">
        <w:rPr>
          <w:noProof/>
        </w:rPr>
        <w:t>oce</w:t>
      </w:r>
      <w:r w:rsidRPr="00853D04">
        <w:rPr>
          <w:noProof/>
        </w:rPr>
        <w:t>nianych 15-letnich ramach czasowych ta redukcja nadmiernych kosztów mogłaby osiągnąć poziom 378 mln EUR.</w:t>
      </w:r>
    </w:p>
    <w:p w14:paraId="27A43AD5" w14:textId="11B6B986" w:rsidR="00167C96" w:rsidRPr="00853D04" w:rsidRDefault="00167C96" w:rsidP="00167C96">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t>
      </w:r>
      <w:r w:rsidRPr="00853D04">
        <w:rPr>
          <w:noProof/>
        </w:rPr>
        <w:tab/>
      </w:r>
      <w:r w:rsidRPr="00853D04">
        <w:rPr>
          <w:noProof/>
          <w:color w:val="000000" w:themeColor="text1"/>
        </w:rPr>
        <w:t>zmniejszenie nadmiernych kosztów związanych</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ope</w:t>
      </w:r>
      <w:r w:rsidRPr="00853D04">
        <w:rPr>
          <w:noProof/>
          <w:color w:val="000000" w:themeColor="text1"/>
        </w:rPr>
        <w:t>racjami transgranicznymi (koszty stałe, np. koszty administracyjne</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kos</w:t>
      </w:r>
      <w:r w:rsidRPr="00853D04">
        <w:rPr>
          <w:noProof/>
          <w:color w:val="000000" w:themeColor="text1"/>
        </w:rPr>
        <w:t xml:space="preserve">zty przestrzegania przepisów) szacuje się </w:t>
      </w:r>
      <w:r w:rsidRPr="00C13C75">
        <w:rPr>
          <w:noProof/>
          <w:color w:val="000000" w:themeColor="text1"/>
        </w:rPr>
        <w:t>na</w:t>
      </w:r>
      <w:r w:rsidR="00C13C75" w:rsidRPr="00C13C75">
        <w:rPr>
          <w:noProof/>
          <w:color w:val="000000" w:themeColor="text1"/>
        </w:rPr>
        <w:t> </w:t>
      </w:r>
      <w:r w:rsidRPr="00C13C75">
        <w:rPr>
          <w:noProof/>
          <w:color w:val="000000" w:themeColor="text1"/>
        </w:rPr>
        <w:t>7</w:t>
      </w:r>
      <w:r w:rsidRPr="00853D04">
        <w:rPr>
          <w:noProof/>
          <w:color w:val="000000" w:themeColor="text1"/>
        </w:rPr>
        <w:t>70 mln EUR rocznie</w:t>
      </w:r>
      <w:r w:rsidR="00C13C75" w:rsidRPr="00853D04">
        <w:rPr>
          <w:noProof/>
          <w:color w:val="000000" w:themeColor="text1"/>
        </w:rPr>
        <w:t>. W</w:t>
      </w:r>
      <w:r w:rsidR="00C13C75">
        <w:rPr>
          <w:noProof/>
          <w:color w:val="000000" w:themeColor="text1"/>
        </w:rPr>
        <w:t> </w:t>
      </w:r>
      <w:r w:rsidR="00C13C75" w:rsidRPr="00853D04">
        <w:rPr>
          <w:noProof/>
          <w:color w:val="000000" w:themeColor="text1"/>
        </w:rPr>
        <w:t>oce</w:t>
      </w:r>
      <w:r w:rsidRPr="00853D04">
        <w:rPr>
          <w:noProof/>
          <w:color w:val="000000" w:themeColor="text1"/>
        </w:rPr>
        <w:t>nianych 15-letnich ramach czasowych oszczędności kosztów mogłyby wynieść prawie 8,5 mld EUR.</w:t>
      </w:r>
    </w:p>
    <w:p w14:paraId="6271B37A" w14:textId="2EEF38B2" w:rsidR="00FC0CE7" w:rsidRPr="00853D04" w:rsidRDefault="00FC0CE7" w:rsidP="188AFA49">
      <w:pPr>
        <w:pStyle w:val="Text1"/>
        <w:pBdr>
          <w:top w:val="single" w:sz="4" w:space="1" w:color="auto"/>
          <w:left w:val="single" w:sz="4" w:space="4" w:color="auto"/>
          <w:bottom w:val="single" w:sz="4" w:space="1" w:color="auto"/>
          <w:right w:val="single" w:sz="4" w:space="4" w:color="auto"/>
        </w:pBdr>
        <w:rPr>
          <w:rStyle w:val="superscript"/>
          <w:noProof/>
          <w:sz w:val="19"/>
          <w:shd w:val="clear" w:color="auto" w:fill="FFFFFF"/>
          <w:vertAlign w:val="superscript"/>
        </w:rPr>
      </w:pPr>
      <w:r w:rsidRPr="00853D04">
        <w:rPr>
          <w:noProof/>
        </w:rPr>
        <w:t>W ocenie skutków wyjaśniono</w:t>
      </w:r>
      <w:r w:rsidRPr="00853D04">
        <w:rPr>
          <w:rStyle w:val="normaltextrun"/>
          <w:noProof/>
          <w:shd w:val="clear" w:color="auto" w:fill="FFFFFF"/>
        </w:rPr>
        <w:t xml:space="preserve"> możliwość ograniczenia kosztów działalności,</w:t>
      </w:r>
      <w:r w:rsidR="00C13C75" w:rsidRPr="00853D04">
        <w:rPr>
          <w:rStyle w:val="normaltextrun"/>
          <w:noProof/>
          <w:shd w:val="clear" w:color="auto" w:fill="FFFFFF"/>
        </w:rPr>
        <w:t xml:space="preserve"> w</w:t>
      </w:r>
      <w:r w:rsidR="00C13C75">
        <w:rPr>
          <w:rStyle w:val="normaltextrun"/>
          <w:noProof/>
          <w:shd w:val="clear" w:color="auto" w:fill="FFFFFF"/>
        </w:rPr>
        <w:t> </w:t>
      </w:r>
      <w:r w:rsidR="00C13C75" w:rsidRPr="00853D04">
        <w:rPr>
          <w:rStyle w:val="normaltextrun"/>
          <w:noProof/>
          <w:shd w:val="clear" w:color="auto" w:fill="FFFFFF"/>
        </w:rPr>
        <w:t>szc</w:t>
      </w:r>
      <w:r w:rsidRPr="00853D04">
        <w:rPr>
          <w:rStyle w:val="normaltextrun"/>
          <w:noProof/>
          <w:shd w:val="clear" w:color="auto" w:fill="FFFFFF"/>
        </w:rPr>
        <w:t>zególności</w:t>
      </w:r>
      <w:r w:rsidR="00C13C75" w:rsidRPr="00853D04">
        <w:rPr>
          <w:rStyle w:val="normaltextrun"/>
          <w:noProof/>
          <w:shd w:val="clear" w:color="auto" w:fill="FFFFFF"/>
        </w:rPr>
        <w:t xml:space="preserve"> w</w:t>
      </w:r>
      <w:r w:rsidR="00C13C75">
        <w:rPr>
          <w:rStyle w:val="normaltextrun"/>
          <w:noProof/>
          <w:shd w:val="clear" w:color="auto" w:fill="FFFFFF"/>
        </w:rPr>
        <w:t> </w:t>
      </w:r>
      <w:r w:rsidR="00C13C75" w:rsidRPr="00853D04">
        <w:rPr>
          <w:rStyle w:val="normaltextrun"/>
          <w:noProof/>
          <w:shd w:val="clear" w:color="auto" w:fill="FFFFFF"/>
        </w:rPr>
        <w:t>prz</w:t>
      </w:r>
      <w:r w:rsidRPr="00853D04">
        <w:rPr>
          <w:rStyle w:val="normaltextrun"/>
          <w:noProof/>
          <w:shd w:val="clear" w:color="auto" w:fill="FFFFFF"/>
        </w:rPr>
        <w:t>ypadku stowarzyszeń niekomercyjnych działających</w:t>
      </w:r>
      <w:r w:rsidR="00C13C75" w:rsidRPr="00853D04">
        <w:rPr>
          <w:rStyle w:val="normaltextrun"/>
          <w:noProof/>
          <w:shd w:val="clear" w:color="auto" w:fill="FFFFFF"/>
        </w:rPr>
        <w:t xml:space="preserve"> w</w:t>
      </w:r>
      <w:r w:rsidR="00C13C75">
        <w:rPr>
          <w:rStyle w:val="normaltextrun"/>
          <w:noProof/>
          <w:shd w:val="clear" w:color="auto" w:fill="FFFFFF"/>
        </w:rPr>
        <w:t> </w:t>
      </w:r>
      <w:r w:rsidR="00C13C75" w:rsidRPr="00853D04">
        <w:rPr>
          <w:rStyle w:val="normaltextrun"/>
          <w:noProof/>
          <w:shd w:val="clear" w:color="auto" w:fill="FFFFFF"/>
        </w:rPr>
        <w:t>wie</w:t>
      </w:r>
      <w:r w:rsidRPr="00853D04">
        <w:rPr>
          <w:rStyle w:val="normaltextrun"/>
          <w:noProof/>
          <w:shd w:val="clear" w:color="auto" w:fill="FFFFFF"/>
        </w:rPr>
        <w:t>lu państwach członkowskich, ze względu na skutek harmonizacji wynikający</w:t>
      </w:r>
      <w:r w:rsidR="00C13C75" w:rsidRPr="00853D04">
        <w:rPr>
          <w:rStyle w:val="normaltextrun"/>
          <w:noProof/>
          <w:shd w:val="clear" w:color="auto" w:fill="FFFFFF"/>
        </w:rPr>
        <w:t xml:space="preserve"> z</w:t>
      </w:r>
      <w:r w:rsidR="00C13C75">
        <w:rPr>
          <w:rStyle w:val="normaltextrun"/>
          <w:noProof/>
          <w:shd w:val="clear" w:color="auto" w:fill="FFFFFF"/>
        </w:rPr>
        <w:t> </w:t>
      </w:r>
      <w:r w:rsidR="00C13C75" w:rsidRPr="00853D04">
        <w:rPr>
          <w:rStyle w:val="normaltextrun"/>
          <w:noProof/>
          <w:shd w:val="clear" w:color="auto" w:fill="FFFFFF"/>
        </w:rPr>
        <w:t>wni</w:t>
      </w:r>
      <w:r w:rsidRPr="00853D04">
        <w:rPr>
          <w:rStyle w:val="normaltextrun"/>
          <w:noProof/>
          <w:shd w:val="clear" w:color="auto" w:fill="FFFFFF"/>
        </w:rPr>
        <w:t>osku</w:t>
      </w:r>
      <w:r w:rsidR="00C13C75" w:rsidRPr="00853D04">
        <w:rPr>
          <w:rStyle w:val="normaltextrun"/>
          <w:noProof/>
          <w:shd w:val="clear" w:color="auto" w:fill="FFFFFF"/>
        </w:rPr>
        <w:t xml:space="preserve"> i</w:t>
      </w:r>
      <w:r w:rsidR="00C13C75">
        <w:rPr>
          <w:rStyle w:val="normaltextrun"/>
          <w:noProof/>
          <w:shd w:val="clear" w:color="auto" w:fill="FFFFFF"/>
        </w:rPr>
        <w:t> </w:t>
      </w:r>
      <w:r w:rsidR="00C13C75" w:rsidRPr="00853D04">
        <w:rPr>
          <w:rStyle w:val="normaltextrun"/>
          <w:noProof/>
          <w:shd w:val="clear" w:color="auto" w:fill="FFFFFF"/>
        </w:rPr>
        <w:t>upr</w:t>
      </w:r>
      <w:r w:rsidRPr="00853D04">
        <w:rPr>
          <w:rStyle w:val="normaltextrun"/>
          <w:noProof/>
          <w:shd w:val="clear" w:color="auto" w:fill="FFFFFF"/>
        </w:rPr>
        <w:t>oszczenie procedur regulacyjnych</w:t>
      </w:r>
      <w:r w:rsidR="00C13C75" w:rsidRPr="00853D04">
        <w:rPr>
          <w:rStyle w:val="normaltextrun"/>
          <w:noProof/>
          <w:shd w:val="clear" w:color="auto" w:fill="FFFFFF"/>
        </w:rPr>
        <w:t xml:space="preserve"> i</w:t>
      </w:r>
      <w:r w:rsidR="00C13C75">
        <w:rPr>
          <w:rStyle w:val="normaltextrun"/>
          <w:noProof/>
          <w:shd w:val="clear" w:color="auto" w:fill="FFFFFF"/>
        </w:rPr>
        <w:t> </w:t>
      </w:r>
      <w:r w:rsidR="00C13C75" w:rsidRPr="00853D04">
        <w:rPr>
          <w:rStyle w:val="normaltextrun"/>
          <w:noProof/>
          <w:shd w:val="clear" w:color="auto" w:fill="FFFFFF"/>
        </w:rPr>
        <w:t>adm</w:t>
      </w:r>
      <w:r w:rsidRPr="00853D04">
        <w:rPr>
          <w:rStyle w:val="normaltextrun"/>
          <w:noProof/>
          <w:shd w:val="clear" w:color="auto" w:fill="FFFFFF"/>
        </w:rPr>
        <w:t>inistracyjnych, co ograniczy potrzeby</w:t>
      </w:r>
      <w:r w:rsidR="00C13C75" w:rsidRPr="00853D04">
        <w:rPr>
          <w:rStyle w:val="normaltextrun"/>
          <w:noProof/>
          <w:shd w:val="clear" w:color="auto" w:fill="FFFFFF"/>
        </w:rPr>
        <w:t xml:space="preserve"> w</w:t>
      </w:r>
      <w:r w:rsidR="00C13C75">
        <w:rPr>
          <w:rStyle w:val="normaltextrun"/>
          <w:noProof/>
          <w:shd w:val="clear" w:color="auto" w:fill="FFFFFF"/>
        </w:rPr>
        <w:t> </w:t>
      </w:r>
      <w:r w:rsidR="00C13C75" w:rsidRPr="00853D04">
        <w:rPr>
          <w:rStyle w:val="normaltextrun"/>
          <w:noProof/>
          <w:shd w:val="clear" w:color="auto" w:fill="FFFFFF"/>
        </w:rPr>
        <w:t>zak</w:t>
      </w:r>
      <w:r w:rsidRPr="00853D04">
        <w:rPr>
          <w:rStyle w:val="normaltextrun"/>
          <w:noProof/>
          <w:shd w:val="clear" w:color="auto" w:fill="FFFFFF"/>
        </w:rPr>
        <w:t>resie gromadzenia informacji, regularnego zewnętrznego wsparcia doradczego</w:t>
      </w:r>
      <w:r w:rsidR="00C13C75" w:rsidRPr="00853D04">
        <w:rPr>
          <w:rStyle w:val="normaltextrun"/>
          <w:noProof/>
          <w:shd w:val="clear" w:color="auto" w:fill="FFFFFF"/>
        </w:rPr>
        <w:t xml:space="preserve"> i</w:t>
      </w:r>
      <w:r w:rsidR="00C13C75">
        <w:rPr>
          <w:rStyle w:val="normaltextrun"/>
          <w:noProof/>
          <w:shd w:val="clear" w:color="auto" w:fill="FFFFFF"/>
        </w:rPr>
        <w:t> </w:t>
      </w:r>
      <w:r w:rsidR="00C13C75" w:rsidRPr="00853D04">
        <w:rPr>
          <w:rStyle w:val="normaltextrun"/>
          <w:noProof/>
          <w:shd w:val="clear" w:color="auto" w:fill="FFFFFF"/>
        </w:rPr>
        <w:t>per</w:t>
      </w:r>
      <w:r w:rsidRPr="00853D04">
        <w:rPr>
          <w:rStyle w:val="normaltextrun"/>
          <w:noProof/>
          <w:shd w:val="clear" w:color="auto" w:fill="FFFFFF"/>
        </w:rPr>
        <w:t xml:space="preserve">sonelu wewnętrznego zapewniającego przestrzeganie przepisów. </w:t>
      </w:r>
    </w:p>
    <w:p w14:paraId="3EFF2EB4" w14:textId="77777777" w:rsidR="000D3F03" w:rsidRPr="00853D04" w:rsidRDefault="000D3F03" w:rsidP="188AFA49">
      <w:pPr>
        <w:pStyle w:val="Text1"/>
        <w:pBdr>
          <w:top w:val="single" w:sz="4" w:space="1" w:color="auto"/>
          <w:left w:val="single" w:sz="4" w:space="4" w:color="auto"/>
          <w:bottom w:val="single" w:sz="4" w:space="1" w:color="auto"/>
          <w:right w:val="single" w:sz="4" w:space="4" w:color="auto"/>
        </w:pBdr>
        <w:rPr>
          <w:noProof/>
        </w:rPr>
      </w:pPr>
    </w:p>
    <w:p w14:paraId="5EAF91FF" w14:textId="77777777" w:rsidR="00BE7E05" w:rsidRPr="00853D04" w:rsidRDefault="00BE7E05">
      <w:pPr>
        <w:pStyle w:val="ManualHeading3"/>
        <w:rPr>
          <w:noProof/>
        </w:rPr>
      </w:pPr>
      <w:bookmarkStart w:id="21" w:name="_Toc514938023"/>
      <w:bookmarkStart w:id="22" w:name="_Toc520485033"/>
      <w:r w:rsidRPr="00853D04">
        <w:rPr>
          <w:noProof/>
        </w:rPr>
        <w:t>1.4.4.</w:t>
      </w:r>
      <w:r w:rsidRPr="00853D04">
        <w:rPr>
          <w:noProof/>
        </w:rPr>
        <w:tab/>
        <w:t>Wskaźniki dotyczące realizacji celów</w:t>
      </w:r>
      <w:bookmarkEnd w:id="21"/>
      <w:bookmarkEnd w:id="22"/>
    </w:p>
    <w:p w14:paraId="1080BEFA" w14:textId="503D922E" w:rsidR="00BE7E05" w:rsidRPr="00853D04" w:rsidRDefault="00BE7E05">
      <w:pPr>
        <w:pStyle w:val="Text1"/>
        <w:rPr>
          <w:i/>
          <w:noProof/>
          <w:sz w:val="20"/>
        </w:rPr>
      </w:pPr>
      <w:r w:rsidRPr="00853D04">
        <w:rPr>
          <w:i/>
          <w:noProof/>
          <w:sz w:val="20"/>
        </w:rPr>
        <w:t>Należy wskazać wskaźniki stosowane do monitorowania postępów</w:t>
      </w:r>
      <w:r w:rsidR="00C13C75" w:rsidRPr="00853D04">
        <w:rPr>
          <w:i/>
          <w:noProof/>
          <w:sz w:val="20"/>
        </w:rPr>
        <w:t xml:space="preserve"> i</w:t>
      </w:r>
      <w:r w:rsidR="00C13C75">
        <w:rPr>
          <w:i/>
          <w:noProof/>
          <w:sz w:val="20"/>
        </w:rPr>
        <w:t> </w:t>
      </w:r>
      <w:r w:rsidR="00C13C75" w:rsidRPr="00853D04">
        <w:rPr>
          <w:i/>
          <w:noProof/>
          <w:sz w:val="20"/>
        </w:rPr>
        <w:t>osi</w:t>
      </w:r>
      <w:r w:rsidRPr="00853D04">
        <w:rPr>
          <w:i/>
          <w:noProof/>
          <w:sz w:val="20"/>
        </w:rPr>
        <w:t>ągnięć.</w:t>
      </w:r>
    </w:p>
    <w:p w14:paraId="362B4068" w14:textId="491D24A2" w:rsidR="00BE7E05" w:rsidRPr="00853D04" w:rsidRDefault="00BE7E05">
      <w:pPr>
        <w:pStyle w:val="Text1"/>
        <w:pBdr>
          <w:top w:val="single" w:sz="4" w:space="1" w:color="auto"/>
          <w:left w:val="single" w:sz="4" w:space="4" w:color="auto"/>
          <w:bottom w:val="single" w:sz="4" w:space="1" w:color="auto"/>
          <w:right w:val="single" w:sz="4" w:space="4" w:color="auto"/>
        </w:pBdr>
        <w:rPr>
          <w:noProof/>
        </w:rPr>
      </w:pPr>
    </w:p>
    <w:p w14:paraId="3452A97A" w14:textId="7B4E8A6B" w:rsidR="00BE7E05" w:rsidRPr="00853D04" w:rsidRDefault="004D3FC7">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 xml:space="preserve">Wskaźnik </w:t>
      </w:r>
      <w:r w:rsidRPr="00C13C75">
        <w:rPr>
          <w:noProof/>
          <w:color w:val="000000" w:themeColor="text1"/>
        </w:rPr>
        <w:t>nr</w:t>
      </w:r>
      <w:r w:rsidR="00C13C75" w:rsidRPr="00C13C75">
        <w:rPr>
          <w:noProof/>
          <w:color w:val="000000" w:themeColor="text1"/>
        </w:rPr>
        <w:t> </w:t>
      </w:r>
      <w:r w:rsidRPr="00C13C75">
        <w:rPr>
          <w:noProof/>
          <w:color w:val="000000" w:themeColor="text1"/>
        </w:rPr>
        <w:t>1</w:t>
      </w:r>
      <w:r w:rsidRPr="00853D04">
        <w:rPr>
          <w:noProof/>
          <w:color w:val="000000" w:themeColor="text1"/>
        </w:rPr>
        <w:t xml:space="preserve"> (cel szczegółowy </w:t>
      </w:r>
      <w:r w:rsidRPr="00C13C75">
        <w:rPr>
          <w:noProof/>
          <w:color w:val="000000" w:themeColor="text1"/>
        </w:rPr>
        <w:t>nr</w:t>
      </w:r>
      <w:r w:rsidR="00C13C75" w:rsidRPr="00C13C75">
        <w:rPr>
          <w:noProof/>
          <w:color w:val="000000" w:themeColor="text1"/>
        </w:rPr>
        <w:t> </w:t>
      </w:r>
      <w:r w:rsidRPr="00C13C75">
        <w:rPr>
          <w:noProof/>
          <w:color w:val="000000" w:themeColor="text1"/>
        </w:rPr>
        <w:t>1</w:t>
      </w:r>
      <w:r w:rsidRPr="00853D04">
        <w:rPr>
          <w:noProof/>
          <w:color w:val="000000" w:themeColor="text1"/>
        </w:rPr>
        <w:t>)</w:t>
      </w:r>
    </w:p>
    <w:p w14:paraId="623C8309" w14:textId="7C43FC1A" w:rsidR="00A772AD" w:rsidRPr="00853D04" w:rsidRDefault="00547B02" w:rsidP="00A772AD">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Wskaźniki przedstawia się</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nas</w:t>
      </w:r>
      <w:r w:rsidRPr="00853D04">
        <w:rPr>
          <w:noProof/>
          <w:color w:val="000000" w:themeColor="text1"/>
        </w:rPr>
        <w:t>tępujący sposób:</w:t>
      </w:r>
    </w:p>
    <w:p w14:paraId="467BE8AE" w14:textId="77777777" w:rsidR="00347C2F" w:rsidRPr="00853D04" w:rsidRDefault="00DD7731">
      <w:pPr>
        <w:pStyle w:val="Text1"/>
        <w:pBdr>
          <w:top w:val="single" w:sz="4" w:space="1" w:color="auto"/>
          <w:left w:val="single" w:sz="4" w:space="4" w:color="auto"/>
          <w:bottom w:val="single" w:sz="4" w:space="1" w:color="auto"/>
          <w:right w:val="single" w:sz="4" w:space="4" w:color="auto"/>
        </w:pBdr>
        <w:ind w:left="1435" w:hanging="585"/>
        <w:rPr>
          <w:noProof/>
          <w:color w:val="000000" w:themeColor="text1"/>
        </w:rPr>
      </w:pPr>
      <w:r w:rsidRPr="00853D04">
        <w:rPr>
          <w:noProof/>
          <w:color w:val="000000" w:themeColor="text1"/>
        </w:rPr>
        <w:t xml:space="preserve">• </w:t>
      </w:r>
      <w:r w:rsidRPr="00853D04">
        <w:rPr>
          <w:noProof/>
        </w:rPr>
        <w:tab/>
      </w:r>
      <w:r w:rsidRPr="00853D04">
        <w:rPr>
          <w:noProof/>
          <w:color w:val="000000" w:themeColor="text1"/>
        </w:rPr>
        <w:t>Poziom zgodności państw członkowskich (tj. tempo transpozycji, przypadki naruszenia przepisów)</w:t>
      </w:r>
    </w:p>
    <w:p w14:paraId="1A9A3115" w14:textId="2138AE34" w:rsidR="009E709A" w:rsidRPr="00853D04" w:rsidRDefault="00DD7731">
      <w:pPr>
        <w:pStyle w:val="Text1"/>
        <w:pBdr>
          <w:top w:val="single" w:sz="4" w:space="1" w:color="auto"/>
          <w:left w:val="single" w:sz="4" w:space="4" w:color="auto"/>
          <w:bottom w:val="single" w:sz="4" w:space="1" w:color="auto"/>
          <w:right w:val="single" w:sz="4" w:space="4" w:color="auto"/>
        </w:pBdr>
        <w:ind w:left="1435" w:hanging="585"/>
        <w:rPr>
          <w:noProof/>
          <w:color w:val="000000" w:themeColor="text1"/>
        </w:rPr>
      </w:pPr>
      <w:r w:rsidRPr="00853D04">
        <w:rPr>
          <w:noProof/>
          <w:color w:val="000000" w:themeColor="text1"/>
        </w:rPr>
        <w:t>•</w:t>
      </w:r>
      <w:r w:rsidRPr="00853D04">
        <w:rPr>
          <w:noProof/>
        </w:rPr>
        <w:tab/>
      </w:r>
      <w:r w:rsidRPr="00853D04">
        <w:rPr>
          <w:noProof/>
          <w:color w:val="000000" w:themeColor="text1"/>
        </w:rPr>
        <w:t>Zmniejszenie nadmiernych kosztów</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odn</w:t>
      </w:r>
      <w:r w:rsidRPr="00853D04">
        <w:rPr>
          <w:noProof/>
          <w:color w:val="000000" w:themeColor="text1"/>
        </w:rPr>
        <w:t>iesieniu do stowarzyszeń niekomercyjnych dzięki ograniczeniu formalności regulacyjnych</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adm</w:t>
      </w:r>
      <w:r w:rsidRPr="00853D04">
        <w:rPr>
          <w:noProof/>
          <w:color w:val="000000" w:themeColor="text1"/>
        </w:rPr>
        <w:t>inistracyjnych związanych</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roz</w:t>
      </w:r>
      <w:r w:rsidRPr="00853D04">
        <w:rPr>
          <w:noProof/>
          <w:color w:val="000000" w:themeColor="text1"/>
        </w:rPr>
        <w:t>poczęciem działalności oraz pod względem kosztów bieżących.</w:t>
      </w:r>
    </w:p>
    <w:p w14:paraId="2859AC40" w14:textId="7FD33D50" w:rsidR="00555CCD" w:rsidRPr="00853D04" w:rsidRDefault="00DD7731">
      <w:pPr>
        <w:pStyle w:val="Text1"/>
        <w:pBdr>
          <w:top w:val="single" w:sz="4" w:space="1" w:color="auto"/>
          <w:left w:val="single" w:sz="4" w:space="4" w:color="auto"/>
          <w:bottom w:val="single" w:sz="4" w:space="1" w:color="auto"/>
          <w:right w:val="single" w:sz="4" w:space="4" w:color="auto"/>
        </w:pBdr>
        <w:ind w:left="1435" w:hanging="585"/>
        <w:rPr>
          <w:noProof/>
          <w:color w:val="000000" w:themeColor="text1"/>
        </w:rPr>
      </w:pPr>
      <w:r w:rsidRPr="00853D04">
        <w:rPr>
          <w:noProof/>
          <w:color w:val="000000" w:themeColor="text1"/>
        </w:rPr>
        <w:t>•</w:t>
      </w:r>
      <w:r w:rsidRPr="00853D04">
        <w:rPr>
          <w:noProof/>
        </w:rPr>
        <w:tab/>
      </w:r>
      <w:r w:rsidRPr="00853D04">
        <w:rPr>
          <w:noProof/>
          <w:color w:val="000000" w:themeColor="text1"/>
        </w:rPr>
        <w:t>Liczba, wielkość</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roz</w:t>
      </w:r>
      <w:r w:rsidRPr="00853D04">
        <w:rPr>
          <w:noProof/>
          <w:color w:val="000000" w:themeColor="text1"/>
        </w:rPr>
        <w:t>mieszczenie geograficzne zarejestrowanych stowarzyszeń transgranicznych/europejskich stowarzyszeń transgranicznych w UE</w:t>
      </w:r>
    </w:p>
    <w:p w14:paraId="1331E0E1" w14:textId="40E5B11D" w:rsidR="00307E8A" w:rsidRPr="00853D04" w:rsidRDefault="00307E8A">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Wskaźniki będą mierzone</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por</w:t>
      </w:r>
      <w:r w:rsidRPr="00853D04">
        <w:rPr>
          <w:noProof/>
          <w:color w:val="000000" w:themeColor="text1"/>
        </w:rPr>
        <w:t>ównaniu ze scenariuszem odniesienia (np. koszty przed rozpoczęciem wdrażania, głównie na podstawie danych</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oce</w:t>
      </w:r>
      <w:r w:rsidRPr="00853D04">
        <w:rPr>
          <w:noProof/>
          <w:color w:val="000000" w:themeColor="text1"/>
        </w:rPr>
        <w:t>ny/badań źródeł wtórnych/konsultacji</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zai</w:t>
      </w:r>
      <w:r w:rsidRPr="00853D04">
        <w:rPr>
          <w:noProof/>
          <w:color w:val="000000" w:themeColor="text1"/>
        </w:rPr>
        <w:t>nteresowanymi stronami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org</w:t>
      </w:r>
      <w:r w:rsidRPr="00853D04">
        <w:rPr>
          <w:noProof/>
          <w:color w:val="000000" w:themeColor="text1"/>
        </w:rPr>
        <w:t>anami krajowymi, rejestrów internetowych</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pań</w:t>
      </w:r>
      <w:r w:rsidRPr="00853D04">
        <w:rPr>
          <w:noProof/>
          <w:color w:val="000000" w:themeColor="text1"/>
        </w:rPr>
        <w:t>stwach członkowskich (wraz</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zag</w:t>
      </w:r>
      <w:r w:rsidRPr="00853D04">
        <w:rPr>
          <w:noProof/>
          <w:color w:val="000000" w:themeColor="text1"/>
        </w:rPr>
        <w:t>regowanymi informacjami na szczeblu unijnym, jeśli dane są dostępne), informacji zebranych za pośrednictwem badań statystycznych). Cel ocenia się na podstawie zmian kosztów ponoszonych przez europejskie stowarzyszenia transgraniczne oraz zmian</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lic</w:t>
      </w:r>
      <w:r w:rsidRPr="00853D04">
        <w:rPr>
          <w:noProof/>
          <w:color w:val="000000" w:themeColor="text1"/>
        </w:rPr>
        <w:t>zbie zarejestrowanych stowarzyszeń transgranicznych. Bardziej precyzyjny cel jest trudny do ocenienia, ponieważ dane liczbowe zależą również od szeregu innych czynników niezwiązanych</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wni</w:t>
      </w:r>
      <w:r w:rsidRPr="00853D04">
        <w:rPr>
          <w:noProof/>
          <w:color w:val="000000" w:themeColor="text1"/>
        </w:rPr>
        <w:t>oskiem (np. nieprzewidywalność jego przyjęcia, powiązania</w:t>
      </w:r>
      <w:r w:rsidR="00C13C75" w:rsidRPr="00853D04">
        <w:rPr>
          <w:noProof/>
          <w:color w:val="000000" w:themeColor="text1"/>
        </w:rPr>
        <w:t xml:space="preserve"> z</w:t>
      </w:r>
      <w:r w:rsidR="00C13C75">
        <w:rPr>
          <w:noProof/>
          <w:color w:val="000000" w:themeColor="text1"/>
        </w:rPr>
        <w:t> </w:t>
      </w:r>
      <w:r w:rsidR="00C13C75" w:rsidRPr="00853D04">
        <w:rPr>
          <w:noProof/>
          <w:color w:val="000000" w:themeColor="text1"/>
        </w:rPr>
        <w:t>tra</w:t>
      </w:r>
      <w:r w:rsidRPr="00853D04">
        <w:rPr>
          <w:noProof/>
          <w:color w:val="000000" w:themeColor="text1"/>
        </w:rPr>
        <w:t>dycjami krajowymi, wyzwania gospodarcze</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spo</w:t>
      </w:r>
      <w:r w:rsidRPr="00853D04">
        <w:rPr>
          <w:noProof/>
          <w:color w:val="000000" w:themeColor="text1"/>
        </w:rPr>
        <w:t xml:space="preserve">łeczne). </w:t>
      </w:r>
    </w:p>
    <w:p w14:paraId="7B8CD21B" w14:textId="2C5069EA" w:rsidR="00ED6157" w:rsidRPr="00853D04" w:rsidRDefault="00ED6157" w:rsidP="00ED6157">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 xml:space="preserve">Wskaźnik </w:t>
      </w:r>
      <w:r w:rsidRPr="00C13C75">
        <w:rPr>
          <w:noProof/>
          <w:color w:val="000000" w:themeColor="text1"/>
        </w:rPr>
        <w:t>nr</w:t>
      </w:r>
      <w:r w:rsidR="00C13C75" w:rsidRPr="00C13C75">
        <w:rPr>
          <w:noProof/>
          <w:color w:val="000000" w:themeColor="text1"/>
        </w:rPr>
        <w:t> </w:t>
      </w:r>
      <w:r w:rsidRPr="00C13C75">
        <w:rPr>
          <w:noProof/>
          <w:color w:val="000000" w:themeColor="text1"/>
        </w:rPr>
        <w:t>2</w:t>
      </w:r>
      <w:r w:rsidRPr="00853D04">
        <w:rPr>
          <w:noProof/>
          <w:color w:val="000000" w:themeColor="text1"/>
        </w:rPr>
        <w:t xml:space="preserve"> (cel szczegółowy </w:t>
      </w:r>
      <w:r w:rsidRPr="00C13C75">
        <w:rPr>
          <w:noProof/>
          <w:color w:val="000000" w:themeColor="text1"/>
        </w:rPr>
        <w:t>nr</w:t>
      </w:r>
      <w:r w:rsidR="00C13C75" w:rsidRPr="00C13C75">
        <w:rPr>
          <w:noProof/>
          <w:color w:val="000000" w:themeColor="text1"/>
        </w:rPr>
        <w:t> </w:t>
      </w:r>
      <w:r w:rsidRPr="00C13C75">
        <w:rPr>
          <w:noProof/>
          <w:color w:val="000000" w:themeColor="text1"/>
        </w:rPr>
        <w:t>2</w:t>
      </w:r>
      <w:r w:rsidRPr="00853D04">
        <w:rPr>
          <w:noProof/>
          <w:color w:val="000000" w:themeColor="text1"/>
        </w:rPr>
        <w:t>)</w:t>
      </w:r>
    </w:p>
    <w:p w14:paraId="646542C1" w14:textId="375D6C82" w:rsidR="00ED6157" w:rsidRPr="00853D04" w:rsidRDefault="00ED6157" w:rsidP="00ED6157">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Wskaźnik przedstawia się</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nas</w:t>
      </w:r>
      <w:r w:rsidRPr="00853D04">
        <w:rPr>
          <w:noProof/>
          <w:color w:val="000000" w:themeColor="text1"/>
        </w:rPr>
        <w:t>tępujący sposób:</w:t>
      </w:r>
    </w:p>
    <w:p w14:paraId="1BBEC427" w14:textId="77777777" w:rsidR="00E571F4" w:rsidRPr="00853D04" w:rsidRDefault="00D52F2F">
      <w:pPr>
        <w:pStyle w:val="Text1"/>
        <w:pBdr>
          <w:top w:val="single" w:sz="4" w:space="1" w:color="auto"/>
          <w:left w:val="single" w:sz="4" w:space="4" w:color="auto"/>
          <w:bottom w:val="single" w:sz="4" w:space="1" w:color="auto"/>
          <w:right w:val="single" w:sz="4" w:space="4" w:color="auto"/>
        </w:pBdr>
        <w:ind w:left="1435" w:hanging="585"/>
        <w:rPr>
          <w:noProof/>
          <w:color w:val="000000" w:themeColor="text1"/>
        </w:rPr>
      </w:pPr>
      <w:r w:rsidRPr="00853D04">
        <w:rPr>
          <w:noProof/>
          <w:color w:val="000000" w:themeColor="text1"/>
        </w:rPr>
        <w:t>•</w:t>
      </w:r>
      <w:r w:rsidRPr="00853D04">
        <w:rPr>
          <w:noProof/>
        </w:rPr>
        <w:tab/>
      </w:r>
      <w:r w:rsidRPr="00853D04">
        <w:rPr>
          <w:noProof/>
          <w:color w:val="000000" w:themeColor="text1"/>
        </w:rPr>
        <w:t>Postrzegane zadowolenie stowarzyszeń niekomercyjnych przyjmujących nową formę prawną europejskich stowarzyszeń transgranicznych prowadzących działalność transgraniczną na rynku wewnętrznym</w:t>
      </w:r>
    </w:p>
    <w:p w14:paraId="0077BE13" w14:textId="5829A17E" w:rsidR="00874E49" w:rsidRPr="00853D04" w:rsidRDefault="00874E49" w:rsidP="00874E49">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Wskaźnik będzie mierzony</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por</w:t>
      </w:r>
      <w:r w:rsidRPr="00853D04">
        <w:rPr>
          <w:noProof/>
          <w:color w:val="000000" w:themeColor="text1"/>
        </w:rPr>
        <w:t xml:space="preserve">ównaniu ze scenariuszem odniesienia (np. liczba rejestracji na początku wdrażania). Cel ocenia się na podstawie wzrostu kolejnych wartości liczbowych. </w:t>
      </w:r>
    </w:p>
    <w:p w14:paraId="0CC39155" w14:textId="7DCE4D25" w:rsidR="00B81433" w:rsidRPr="00853D04" w:rsidRDefault="00B81433" w:rsidP="00874E49">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Wskaźniki będą monitorowane co siedem lat, począwszy nie wcześniej niż od momentu, gdy środki zostaną</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peł</w:t>
      </w:r>
      <w:r w:rsidRPr="00853D04">
        <w:rPr>
          <w:noProof/>
          <w:color w:val="000000" w:themeColor="text1"/>
        </w:rPr>
        <w:t>ni transponowane</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zac</w:t>
      </w:r>
      <w:r w:rsidRPr="00853D04">
        <w:rPr>
          <w:noProof/>
          <w:color w:val="000000" w:themeColor="text1"/>
        </w:rPr>
        <w:t>zną obowiązywać</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pań</w:t>
      </w:r>
      <w:r w:rsidRPr="00853D04">
        <w:rPr>
          <w:noProof/>
          <w:color w:val="000000" w:themeColor="text1"/>
        </w:rPr>
        <w:t>stwach członkowskich,</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cel</w:t>
      </w:r>
      <w:r w:rsidRPr="00853D04">
        <w:rPr>
          <w:noProof/>
          <w:color w:val="000000" w:themeColor="text1"/>
        </w:rPr>
        <w:t>u uwzględnienia ich</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spr</w:t>
      </w:r>
      <w:r w:rsidRPr="00853D04">
        <w:rPr>
          <w:noProof/>
          <w:color w:val="000000" w:themeColor="text1"/>
        </w:rPr>
        <w:t>awozdaniu oceniającym dyrektywę, które należy przedstawić po upływie siedmiu lat od terminu transpozycji proponowanej dyrektywy,</w:t>
      </w:r>
      <w:r w:rsidR="00C13C75" w:rsidRPr="00853D04">
        <w:rPr>
          <w:noProof/>
        </w:rPr>
        <w:t xml:space="preserve"> </w:t>
      </w:r>
      <w:r w:rsidR="00C13C75" w:rsidRPr="00853D04">
        <w:rPr>
          <w:noProof/>
          <w:color w:val="000000" w:themeColor="text1"/>
        </w:rPr>
        <w:t>a</w:t>
      </w:r>
      <w:r w:rsidR="00C13C75">
        <w:rPr>
          <w:noProof/>
        </w:rPr>
        <w:t> </w:t>
      </w:r>
      <w:r w:rsidR="00C13C75" w:rsidRPr="00853D04">
        <w:rPr>
          <w:noProof/>
          <w:color w:val="000000" w:themeColor="text1"/>
        </w:rPr>
        <w:t>nas</w:t>
      </w:r>
      <w:r w:rsidRPr="00853D04">
        <w:rPr>
          <w:noProof/>
          <w:color w:val="000000" w:themeColor="text1"/>
        </w:rPr>
        <w:t xml:space="preserve">tępnie co pięć lat. </w:t>
      </w:r>
    </w:p>
    <w:p w14:paraId="45AB26B9" w14:textId="77777777" w:rsidR="00552853" w:rsidRPr="00853D04" w:rsidRDefault="00552853">
      <w:pPr>
        <w:pStyle w:val="Text1"/>
        <w:pBdr>
          <w:top w:val="single" w:sz="4" w:space="1" w:color="auto"/>
          <w:left w:val="single" w:sz="4" w:space="4" w:color="auto"/>
          <w:bottom w:val="single" w:sz="4" w:space="1" w:color="auto"/>
          <w:right w:val="single" w:sz="4" w:space="4" w:color="auto"/>
        </w:pBdr>
        <w:rPr>
          <w:noProof/>
          <w:color w:val="000000" w:themeColor="text1"/>
        </w:rPr>
      </w:pPr>
    </w:p>
    <w:p w14:paraId="51F95911" w14:textId="77777777" w:rsidR="00BE7E05" w:rsidRPr="00853D04" w:rsidRDefault="00BE7E05">
      <w:pPr>
        <w:pStyle w:val="ManualHeading2"/>
        <w:rPr>
          <w:noProof/>
        </w:rPr>
      </w:pPr>
      <w:bookmarkStart w:id="23" w:name="_Toc514938025"/>
      <w:bookmarkStart w:id="24" w:name="_Toc520485034"/>
      <w:r w:rsidRPr="00853D04">
        <w:rPr>
          <w:noProof/>
        </w:rPr>
        <w:t>1.5.</w:t>
      </w:r>
      <w:r w:rsidRPr="00853D04">
        <w:rPr>
          <w:noProof/>
        </w:rPr>
        <w:tab/>
        <w:t>Uzasadnienie wniosku/inicjatywy</w:t>
      </w:r>
      <w:bookmarkEnd w:id="23"/>
      <w:bookmarkEnd w:id="24"/>
      <w:r w:rsidRPr="00853D04">
        <w:rPr>
          <w:noProof/>
        </w:rPr>
        <w:t xml:space="preserve"> </w:t>
      </w:r>
    </w:p>
    <w:p w14:paraId="65DAB8D7" w14:textId="69232EDE" w:rsidR="00BE7E05" w:rsidRPr="00853D04" w:rsidRDefault="00BE7E05">
      <w:pPr>
        <w:pStyle w:val="ManualHeading3"/>
        <w:rPr>
          <w:noProof/>
        </w:rPr>
      </w:pPr>
      <w:bookmarkStart w:id="25" w:name="_Toc514938026"/>
      <w:bookmarkStart w:id="26" w:name="_Toc520485035"/>
      <w:r w:rsidRPr="00853D04">
        <w:rPr>
          <w:noProof/>
        </w:rPr>
        <w:t>1.5.1.</w:t>
      </w:r>
      <w:r w:rsidRPr="00853D04">
        <w:rPr>
          <w:noProof/>
        </w:rPr>
        <w:tab/>
        <w:t>Potrzeby, które należy zaspokoić</w:t>
      </w:r>
      <w:r w:rsidR="00C13C75" w:rsidRPr="00853D04">
        <w:rPr>
          <w:noProof/>
        </w:rPr>
        <w:t xml:space="preserve"> w</w:t>
      </w:r>
      <w:r w:rsidR="00C13C75">
        <w:rPr>
          <w:noProof/>
        </w:rPr>
        <w:t> </w:t>
      </w:r>
      <w:r w:rsidR="00C13C75" w:rsidRPr="00853D04">
        <w:rPr>
          <w:noProof/>
        </w:rPr>
        <w:t>per</w:t>
      </w:r>
      <w:r w:rsidRPr="00853D04">
        <w:rPr>
          <w:noProof/>
        </w:rPr>
        <w:t>spektywie krótko- lub długoterminowej,</w:t>
      </w:r>
      <w:r w:rsidR="00C13C75" w:rsidRPr="00853D04">
        <w:rPr>
          <w:noProof/>
        </w:rPr>
        <w:t xml:space="preserve"> w</w:t>
      </w:r>
      <w:r w:rsidR="00C13C75">
        <w:rPr>
          <w:noProof/>
        </w:rPr>
        <w:t> </w:t>
      </w:r>
      <w:r w:rsidR="00C13C75" w:rsidRPr="00853D04">
        <w:rPr>
          <w:noProof/>
        </w:rPr>
        <w:t>tym</w:t>
      </w:r>
      <w:r w:rsidRPr="00853D04">
        <w:rPr>
          <w:noProof/>
        </w:rPr>
        <w:t xml:space="preserve"> szczegółowy terminarz przebiegu realizacji inicjatywy</w:t>
      </w:r>
      <w:bookmarkEnd w:id="25"/>
      <w:bookmarkEnd w:id="26"/>
    </w:p>
    <w:p w14:paraId="12F1FDE1" w14:textId="56CD8F32" w:rsidR="0043467E" w:rsidRPr="00853D04" w:rsidRDefault="00AC075A" w:rsidP="0043467E">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Wdrożenie tego wniosku będzie przebiegać etapowo. Po wejściu</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życ</w:t>
      </w:r>
      <w:r w:rsidRPr="00853D04">
        <w:rPr>
          <w:noProof/>
          <w:color w:val="000000" w:themeColor="text1"/>
        </w:rPr>
        <w:t>ie niniejszej dyrektywy</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pie</w:t>
      </w:r>
      <w:r w:rsidRPr="00853D04">
        <w:rPr>
          <w:noProof/>
          <w:color w:val="000000" w:themeColor="text1"/>
        </w:rPr>
        <w:t>rwszej kolejności rozpoczęte zostaną prace nad dostosowaniem narzędzi informatycznych służących do jej wdrożenia,</w:t>
      </w:r>
      <w:r w:rsidR="00C13C75" w:rsidRPr="00853D04">
        <w:rPr>
          <w:noProof/>
          <w:color w:val="000000" w:themeColor="text1"/>
        </w:rPr>
        <w:t xml:space="preserve"> a</w:t>
      </w:r>
      <w:r w:rsidR="00C13C75">
        <w:rPr>
          <w:noProof/>
          <w:color w:val="000000" w:themeColor="text1"/>
        </w:rPr>
        <w:t> </w:t>
      </w:r>
      <w:r w:rsidR="00C13C75" w:rsidRPr="00853D04">
        <w:rPr>
          <w:noProof/>
          <w:color w:val="000000" w:themeColor="text1"/>
        </w:rPr>
        <w:t>mia</w:t>
      </w:r>
      <w:r w:rsidRPr="00853D04">
        <w:rPr>
          <w:noProof/>
          <w:color w:val="000000" w:themeColor="text1"/>
        </w:rPr>
        <w:t>nowicie systemu wymiany informacji na rynku wewnętrznym (IMI)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jed</w:t>
      </w:r>
      <w:r w:rsidRPr="00853D04">
        <w:rPr>
          <w:noProof/>
          <w:color w:val="000000" w:themeColor="text1"/>
        </w:rPr>
        <w:t>nolitego portalu cyfrowego</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cel</w:t>
      </w:r>
      <w:r w:rsidRPr="00853D04">
        <w:rPr>
          <w:noProof/>
          <w:color w:val="000000" w:themeColor="text1"/>
        </w:rPr>
        <w:t>u zacieśnienia współpracy właściwych organów</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pań</w:t>
      </w:r>
      <w:r w:rsidRPr="00853D04">
        <w:rPr>
          <w:noProof/>
          <w:color w:val="000000" w:themeColor="text1"/>
        </w:rPr>
        <w:t>stwach członkowskich przed upływem terminu transpozycji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pod</w:t>
      </w:r>
      <w:r w:rsidRPr="00853D04">
        <w:rPr>
          <w:noProof/>
          <w:color w:val="000000" w:themeColor="text1"/>
        </w:rPr>
        <w:t>ania niezbędnych informacji do wiadomości publicznej. Jednocześnie, aby ułatwić wdrożenie dyrektywy, Komisja rozpocznie prace nad opracowaniem wzoru certyfikatu europejskiego stowarzyszenia transgranicznego</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dro</w:t>
      </w:r>
      <w:r w:rsidRPr="00853D04">
        <w:rPr>
          <w:noProof/>
          <w:color w:val="000000" w:themeColor="text1"/>
        </w:rPr>
        <w:t>dze aktu wykonawczego.</w:t>
      </w:r>
    </w:p>
    <w:p w14:paraId="68A5582F" w14:textId="2CCAC114" w:rsidR="003D4C76" w:rsidRPr="00853D04" w:rsidRDefault="003D4C76" w:rsidP="0043467E">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Tymczasowy terminarz przebiegu realizacji można przedstawić</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nas</w:t>
      </w:r>
      <w:r w:rsidRPr="00853D04">
        <w:rPr>
          <w:noProof/>
          <w:color w:val="000000" w:themeColor="text1"/>
        </w:rPr>
        <w:t>tępujący sposób:</w:t>
      </w:r>
    </w:p>
    <w:p w14:paraId="2A34ECCD" w14:textId="3011C540" w:rsidR="00B05C9C" w:rsidRPr="00853D04" w:rsidRDefault="00D13E25" w:rsidP="0043467E">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 2024: wejście</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życ</w:t>
      </w:r>
      <w:r w:rsidRPr="00853D04">
        <w:rPr>
          <w:noProof/>
          <w:color w:val="000000" w:themeColor="text1"/>
        </w:rPr>
        <w:t xml:space="preserve">ie dyrektywy; </w:t>
      </w:r>
    </w:p>
    <w:p w14:paraId="4B6D3343" w14:textId="6E24A030" w:rsidR="00DB4058" w:rsidRPr="00853D04" w:rsidRDefault="008726FA" w:rsidP="0043467E">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 2025: dostosowanie systemu IMI</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jed</w:t>
      </w:r>
      <w:r w:rsidRPr="00853D04">
        <w:rPr>
          <w:noProof/>
          <w:color w:val="000000" w:themeColor="text1"/>
        </w:rPr>
        <w:t xml:space="preserve">nolitego portalu cyfrowego; </w:t>
      </w:r>
    </w:p>
    <w:p w14:paraId="3754736C" w14:textId="77777777" w:rsidR="00854097" w:rsidRPr="00853D04" w:rsidRDefault="00DB4058" w:rsidP="0043467E">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 xml:space="preserve">– 2025–2026: akt wykonawczy dotyczący certyfikatu europejskiego stowarzyszenia transgranicznego; </w:t>
      </w:r>
    </w:p>
    <w:p w14:paraId="3DDCC728" w14:textId="3DA948AD" w:rsidR="007F439B" w:rsidRPr="00853D04" w:rsidRDefault="007F439B" w:rsidP="0043467E">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 2026: transpozycja</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wdr</w:t>
      </w:r>
      <w:r w:rsidRPr="00853D04">
        <w:rPr>
          <w:noProof/>
          <w:color w:val="000000" w:themeColor="text1"/>
        </w:rPr>
        <w:t>ożenie przez państwa członkowskie;</w:t>
      </w:r>
    </w:p>
    <w:p w14:paraId="59D129F6" w14:textId="50E0CF67" w:rsidR="00442749" w:rsidRPr="00853D04" w:rsidRDefault="00442749" w:rsidP="0043467E">
      <w:pPr>
        <w:pStyle w:val="Text1"/>
        <w:pBdr>
          <w:top w:val="single" w:sz="4" w:space="1" w:color="auto"/>
          <w:left w:val="single" w:sz="4" w:space="4" w:color="auto"/>
          <w:bottom w:val="single" w:sz="4" w:space="1" w:color="auto"/>
          <w:right w:val="single" w:sz="4" w:space="4" w:color="auto"/>
        </w:pBdr>
        <w:rPr>
          <w:noProof/>
          <w:color w:val="000000" w:themeColor="text1"/>
        </w:rPr>
      </w:pPr>
      <w:r w:rsidRPr="00853D04">
        <w:rPr>
          <w:noProof/>
          <w:color w:val="000000" w:themeColor="text1"/>
        </w:rPr>
        <w:t>– siedem lat po upływie terminu transpozycji,</w:t>
      </w:r>
      <w:r w:rsidR="00C13C75" w:rsidRPr="00853D04">
        <w:rPr>
          <w:noProof/>
          <w:color w:val="000000" w:themeColor="text1"/>
        </w:rPr>
        <w:t xml:space="preserve"> a</w:t>
      </w:r>
      <w:r w:rsidR="00C13C75">
        <w:rPr>
          <w:noProof/>
          <w:color w:val="000000" w:themeColor="text1"/>
        </w:rPr>
        <w:t> </w:t>
      </w:r>
      <w:r w:rsidR="00C13C75" w:rsidRPr="00853D04">
        <w:rPr>
          <w:noProof/>
          <w:color w:val="000000" w:themeColor="text1"/>
        </w:rPr>
        <w:t>nas</w:t>
      </w:r>
      <w:r w:rsidRPr="00853D04">
        <w:rPr>
          <w:noProof/>
          <w:color w:val="000000" w:themeColor="text1"/>
        </w:rPr>
        <w:t>tępnie co pięć lat: sprawozdanie Komisji dla Parlamentu Europejskiego</w:t>
      </w:r>
      <w:r w:rsidR="00C13C75" w:rsidRPr="00853D04">
        <w:rPr>
          <w:noProof/>
          <w:color w:val="000000" w:themeColor="text1"/>
        </w:rPr>
        <w:t xml:space="preserve"> i</w:t>
      </w:r>
      <w:r w:rsidR="00C13C75">
        <w:rPr>
          <w:noProof/>
          <w:color w:val="000000" w:themeColor="text1"/>
        </w:rPr>
        <w:t> </w:t>
      </w:r>
      <w:r w:rsidR="00C13C75" w:rsidRPr="00853D04">
        <w:rPr>
          <w:noProof/>
          <w:color w:val="000000" w:themeColor="text1"/>
        </w:rPr>
        <w:t>Rad</w:t>
      </w:r>
      <w:r w:rsidRPr="00853D04">
        <w:rPr>
          <w:noProof/>
          <w:color w:val="000000" w:themeColor="text1"/>
        </w:rPr>
        <w:t>y</w:t>
      </w:r>
      <w:r w:rsidR="00C13C75" w:rsidRPr="00853D04">
        <w:rPr>
          <w:noProof/>
          <w:color w:val="000000" w:themeColor="text1"/>
        </w:rPr>
        <w:t xml:space="preserve"> w</w:t>
      </w:r>
      <w:r w:rsidR="00C13C75">
        <w:rPr>
          <w:noProof/>
          <w:color w:val="000000" w:themeColor="text1"/>
        </w:rPr>
        <w:t> </w:t>
      </w:r>
      <w:r w:rsidR="00C13C75" w:rsidRPr="00853D04">
        <w:rPr>
          <w:noProof/>
          <w:color w:val="000000" w:themeColor="text1"/>
        </w:rPr>
        <w:t>spr</w:t>
      </w:r>
      <w:r w:rsidRPr="00853D04">
        <w:rPr>
          <w:noProof/>
          <w:color w:val="000000" w:themeColor="text1"/>
        </w:rPr>
        <w:t>awie wdrożenia przedmiotowej dyrektywy.</w:t>
      </w:r>
    </w:p>
    <w:p w14:paraId="4843B9CD" w14:textId="44385F36" w:rsidR="00BE7E05" w:rsidRPr="00853D04" w:rsidRDefault="00BE7E05">
      <w:pPr>
        <w:pStyle w:val="ManualHeading3"/>
        <w:rPr>
          <w:noProof/>
        </w:rPr>
      </w:pPr>
      <w:bookmarkStart w:id="27" w:name="_Toc514938029"/>
      <w:bookmarkStart w:id="28" w:name="_Toc520485036"/>
      <w:r w:rsidRPr="00853D04">
        <w:rPr>
          <w:noProof/>
        </w:rPr>
        <w:t>1.5.2.</w:t>
      </w:r>
      <w:r w:rsidRPr="00853D04">
        <w:rPr>
          <w:noProof/>
        </w:rPr>
        <w:tab/>
        <w:t>Wartość dodana</w:t>
      </w:r>
      <w:r w:rsidR="00C13C75" w:rsidRPr="00853D04">
        <w:rPr>
          <w:noProof/>
        </w:rPr>
        <w:t xml:space="preserve"> z</w:t>
      </w:r>
      <w:r w:rsidR="00C13C75">
        <w:rPr>
          <w:noProof/>
        </w:rPr>
        <w:t> </w:t>
      </w:r>
      <w:r w:rsidR="00C13C75" w:rsidRPr="00853D04">
        <w:rPr>
          <w:noProof/>
        </w:rPr>
        <w:t>tyt</w:t>
      </w:r>
      <w:r w:rsidRPr="00853D04">
        <w:rPr>
          <w:noProof/>
        </w:rPr>
        <w:t>ułu zaangażowania Unii Europejskiej (może wynikać</w:t>
      </w:r>
      <w:r w:rsidR="00C13C75" w:rsidRPr="00853D04">
        <w:rPr>
          <w:noProof/>
        </w:rPr>
        <w:t xml:space="preserve"> z</w:t>
      </w:r>
      <w:r w:rsidR="00C13C75">
        <w:rPr>
          <w:noProof/>
        </w:rPr>
        <w:t> </w:t>
      </w:r>
      <w:r w:rsidR="00C13C75" w:rsidRPr="00853D04">
        <w:rPr>
          <w:noProof/>
        </w:rPr>
        <w:t>róż</w:t>
      </w:r>
      <w:r w:rsidRPr="00853D04">
        <w:rPr>
          <w:noProof/>
        </w:rPr>
        <w:t>nych czynników, na przykład korzyści koordynacyjnych, pewności prawa, większej efektywności lub komplementarności). Na potrzeby tego punktu „wartość dodaną</w:t>
      </w:r>
      <w:r w:rsidR="00C13C75" w:rsidRPr="00853D04">
        <w:rPr>
          <w:noProof/>
        </w:rPr>
        <w:t xml:space="preserve"> z</w:t>
      </w:r>
      <w:r w:rsidR="00C13C75">
        <w:rPr>
          <w:noProof/>
        </w:rPr>
        <w:t> </w:t>
      </w:r>
      <w:r w:rsidR="00C13C75" w:rsidRPr="00853D04">
        <w:rPr>
          <w:noProof/>
        </w:rPr>
        <w:t>tyt</w:t>
      </w:r>
      <w:r w:rsidRPr="00853D04">
        <w:rPr>
          <w:noProof/>
        </w:rPr>
        <w:t>ułu zaangażowania Unii” należy rozumieć jako wartość wynikającą</w:t>
      </w:r>
      <w:r w:rsidR="00C13C75" w:rsidRPr="00853D04">
        <w:rPr>
          <w:noProof/>
        </w:rPr>
        <w:t xml:space="preserve"> z</w:t>
      </w:r>
      <w:r w:rsidR="00C13C75">
        <w:rPr>
          <w:noProof/>
        </w:rPr>
        <w:t> </w:t>
      </w:r>
      <w:r w:rsidR="00C13C75" w:rsidRPr="00853D04">
        <w:rPr>
          <w:noProof/>
        </w:rPr>
        <w:t>uni</w:t>
      </w:r>
      <w:r w:rsidRPr="00853D04">
        <w:rPr>
          <w:noProof/>
        </w:rPr>
        <w:t>jnej interwencji, wykraczającą poza wartość, która zostałaby wytworzona przez same państwa członkowskie.</w:t>
      </w:r>
      <w:bookmarkEnd w:id="27"/>
      <w:bookmarkEnd w:id="28"/>
    </w:p>
    <w:p w14:paraId="693BDBD7" w14:textId="77777777" w:rsidR="00BE7E05" w:rsidRPr="00853D04" w:rsidRDefault="07B28604"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Przyczyny działania na poziomie europejskim (</w:t>
      </w:r>
      <w:r w:rsidRPr="00853D04">
        <w:rPr>
          <w:i/>
          <w:iCs/>
          <w:noProof/>
        </w:rPr>
        <w:t>ex ante</w:t>
      </w:r>
      <w:r w:rsidRPr="00853D04">
        <w:rPr>
          <w:noProof/>
        </w:rPr>
        <w:t xml:space="preserve">) </w:t>
      </w:r>
    </w:p>
    <w:p w14:paraId="386DB64D" w14:textId="77777777" w:rsidR="188AFA49" w:rsidRPr="00853D04" w:rsidRDefault="00D00066"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 xml:space="preserve">We wniosku skoncentrowano się na stowarzyszeniach niekomercyjnych prowadzących działalność transgraniczną na rynku wewnętrznym. </w:t>
      </w:r>
    </w:p>
    <w:p w14:paraId="63F770BA" w14:textId="32AA3426" w:rsidR="00C54E04" w:rsidRPr="00853D04" w:rsidRDefault="00AA3392"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Z utrzymującej się różnorodności regulacyjnej lub ograniczeń między państwami członkowskimi wynika, że problem nie jest należycie rozwiązywany na poziomie krajowym i że wobec braku mechanizmów gwarantującego wzajemne uznawanie między państwami członkowskimi, transgraniczny charakter wymaga rozwiązania problemu za pomocą działań na szczeblu unijnym, aby wyeliminować zidentyfikowane bariery dla transgranicznej działalności</w:t>
      </w:r>
      <w:r w:rsidR="00C13C75" w:rsidRPr="00853D04">
        <w:rPr>
          <w:noProof/>
        </w:rPr>
        <w:t xml:space="preserve"> i</w:t>
      </w:r>
      <w:r w:rsidR="00C13C75">
        <w:rPr>
          <w:noProof/>
        </w:rPr>
        <w:t> </w:t>
      </w:r>
      <w:r w:rsidR="00C13C75" w:rsidRPr="00853D04">
        <w:rPr>
          <w:noProof/>
        </w:rPr>
        <w:t>mob</w:t>
      </w:r>
      <w:r w:rsidRPr="00853D04">
        <w:rPr>
          <w:noProof/>
        </w:rPr>
        <w:t>ilności stowarzyszeń niekomercyjnych na jednolitym rynku. Co więcej, samodzielne działania lub brak działań ze strony państw członkowskich najczęściej koncentrują się na ich specyficznym kontekście krajowym</w:t>
      </w:r>
      <w:r w:rsidR="00C13C75" w:rsidRPr="00853D04">
        <w:rPr>
          <w:noProof/>
        </w:rPr>
        <w:t xml:space="preserve"> i</w:t>
      </w:r>
      <w:r w:rsidR="00C13C75">
        <w:rPr>
          <w:noProof/>
        </w:rPr>
        <w:t> </w:t>
      </w:r>
      <w:r w:rsidR="00C13C75" w:rsidRPr="00853D04">
        <w:rPr>
          <w:noProof/>
        </w:rPr>
        <w:t>zaz</w:t>
      </w:r>
      <w:r w:rsidRPr="00853D04">
        <w:rPr>
          <w:noProof/>
        </w:rPr>
        <w:t>wyczaj nie mają na celu promowania wymiaru transgranicznego.</w:t>
      </w:r>
    </w:p>
    <w:p w14:paraId="26AC77B9" w14:textId="0028EC3F" w:rsidR="00C54E04" w:rsidRPr="00853D04" w:rsidRDefault="000220FE"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Spójne ramy prawne dotyczące transgranicznej działalności stowarzyszeń niekomercyjnych można zatem lepiej osiągnąć na szczeblu unijnym. Państwa członkowskie nie byłyby</w:t>
      </w:r>
      <w:r w:rsidR="00C13C75" w:rsidRPr="00853D04">
        <w:rPr>
          <w:noProof/>
        </w:rPr>
        <w:t xml:space="preserve"> w</w:t>
      </w:r>
      <w:r w:rsidR="00C13C75">
        <w:rPr>
          <w:noProof/>
        </w:rPr>
        <w:t> </w:t>
      </w:r>
      <w:r w:rsidR="00C13C75" w:rsidRPr="00853D04">
        <w:rPr>
          <w:noProof/>
        </w:rPr>
        <w:t>sta</w:t>
      </w:r>
      <w:r w:rsidRPr="00853D04">
        <w:rPr>
          <w:noProof/>
        </w:rPr>
        <w:t>nie samodzielnie</w:t>
      </w:r>
      <w:r w:rsidR="00C13C75" w:rsidRPr="00853D04">
        <w:rPr>
          <w:noProof/>
        </w:rPr>
        <w:t xml:space="preserve"> w</w:t>
      </w:r>
      <w:r w:rsidR="00C13C75">
        <w:rPr>
          <w:noProof/>
        </w:rPr>
        <w:t> </w:t>
      </w:r>
      <w:r w:rsidR="00C13C75" w:rsidRPr="00853D04">
        <w:rPr>
          <w:noProof/>
        </w:rPr>
        <w:t>wys</w:t>
      </w:r>
      <w:r w:rsidRPr="00853D04">
        <w:rPr>
          <w:noProof/>
        </w:rPr>
        <w:t>tarczającym stopniu zapewnić rozwiązania tych problemów.</w:t>
      </w:r>
    </w:p>
    <w:p w14:paraId="4179BA1E" w14:textId="754A0A54" w:rsidR="00BE7E05" w:rsidRPr="00853D04" w:rsidRDefault="00BE7E05">
      <w:pPr>
        <w:pStyle w:val="ManualHeading3"/>
        <w:rPr>
          <w:noProof/>
        </w:rPr>
      </w:pPr>
      <w:bookmarkStart w:id="29" w:name="_Toc514938030"/>
      <w:bookmarkStart w:id="30" w:name="_Toc520485037"/>
      <w:r w:rsidRPr="00853D04">
        <w:rPr>
          <w:noProof/>
        </w:rPr>
        <w:t>1.5.3.</w:t>
      </w:r>
      <w:r w:rsidRPr="00853D04">
        <w:rPr>
          <w:noProof/>
        </w:rPr>
        <w:tab/>
        <w:t>Główne wnioski wyciągnięte</w:t>
      </w:r>
      <w:r w:rsidR="00C13C75" w:rsidRPr="00853D04">
        <w:rPr>
          <w:noProof/>
        </w:rPr>
        <w:t xml:space="preserve"> z</w:t>
      </w:r>
      <w:r w:rsidR="00C13C75">
        <w:rPr>
          <w:noProof/>
        </w:rPr>
        <w:t> </w:t>
      </w:r>
      <w:r w:rsidR="00C13C75" w:rsidRPr="00853D04">
        <w:rPr>
          <w:noProof/>
        </w:rPr>
        <w:t>pod</w:t>
      </w:r>
      <w:r w:rsidRPr="00853D04">
        <w:rPr>
          <w:noProof/>
        </w:rPr>
        <w:t>obnych działań</w:t>
      </w:r>
      <w:bookmarkEnd w:id="29"/>
      <w:bookmarkEnd w:id="30"/>
    </w:p>
    <w:p w14:paraId="75E5D66E" w14:textId="12865F8B" w:rsidR="003A02F5" w:rsidRPr="00853D04" w:rsidRDefault="005D7AD6">
      <w:pPr>
        <w:pStyle w:val="Text1"/>
        <w:pBdr>
          <w:top w:val="single" w:sz="4" w:space="1" w:color="auto"/>
          <w:left w:val="single" w:sz="4" w:space="4" w:color="auto"/>
          <w:bottom w:val="single" w:sz="4" w:space="1" w:color="auto"/>
          <w:right w:val="single" w:sz="4" w:space="4" w:color="auto"/>
        </w:pBdr>
        <w:rPr>
          <w:noProof/>
        </w:rPr>
      </w:pPr>
      <w:r w:rsidRPr="00853D04">
        <w:rPr>
          <w:noProof/>
        </w:rPr>
        <w:t>Baza dowodowa niniejszego wniosku opiera się na badaniach (np. badaniach zewnętrznych) oraz działaniach konsultacyjnych</w:t>
      </w:r>
      <w:r w:rsidR="00C13C75" w:rsidRPr="00853D04">
        <w:rPr>
          <w:noProof/>
        </w:rPr>
        <w:t xml:space="preserve"> i</w:t>
      </w:r>
      <w:r w:rsidR="00C13C75">
        <w:rPr>
          <w:noProof/>
        </w:rPr>
        <w:t> </w:t>
      </w:r>
      <w:r w:rsidR="00C13C75" w:rsidRPr="00853D04">
        <w:rPr>
          <w:noProof/>
        </w:rPr>
        <w:t>zos</w:t>
      </w:r>
      <w:r w:rsidRPr="00853D04">
        <w:rPr>
          <w:noProof/>
        </w:rPr>
        <w:t>tała uzupełniona specjalnym badaniem zewnętrznym.</w:t>
      </w:r>
    </w:p>
    <w:p w14:paraId="0D602962" w14:textId="5BA6D06E" w:rsidR="00D92ABF" w:rsidRPr="00853D04" w:rsidRDefault="008E226D">
      <w:pPr>
        <w:pStyle w:val="Text1"/>
        <w:pBdr>
          <w:top w:val="single" w:sz="4" w:space="1" w:color="auto"/>
          <w:left w:val="single" w:sz="4" w:space="4" w:color="auto"/>
          <w:bottom w:val="single" w:sz="4" w:space="1" w:color="auto"/>
          <w:right w:val="single" w:sz="4" w:space="4" w:color="auto"/>
        </w:pBdr>
        <w:rPr>
          <w:noProof/>
        </w:rPr>
      </w:pPr>
      <w:r w:rsidRPr="00853D04">
        <w:rPr>
          <w:noProof/>
        </w:rPr>
        <w:t>Wniosek uwzględnia również główne wnioski wyciągnięte</w:t>
      </w:r>
      <w:r w:rsidR="00C13C75" w:rsidRPr="00853D04">
        <w:rPr>
          <w:noProof/>
        </w:rPr>
        <w:t xml:space="preserve"> z</w:t>
      </w:r>
      <w:r w:rsidR="00C13C75">
        <w:rPr>
          <w:noProof/>
        </w:rPr>
        <w:t> </w:t>
      </w:r>
      <w:r w:rsidR="00C13C75" w:rsidRPr="00853D04">
        <w:rPr>
          <w:noProof/>
        </w:rPr>
        <w:t>rez</w:t>
      </w:r>
      <w:r w:rsidRPr="00853D04">
        <w:rPr>
          <w:noProof/>
        </w:rPr>
        <w:t>olucji Parlamentu Europejskiego</w:t>
      </w:r>
      <w:r w:rsidR="00C13C75" w:rsidRPr="00853D04">
        <w:rPr>
          <w:noProof/>
        </w:rPr>
        <w:t xml:space="preserve"> z</w:t>
      </w:r>
      <w:r w:rsidR="00C13C75">
        <w:rPr>
          <w:noProof/>
        </w:rPr>
        <w:t> </w:t>
      </w:r>
      <w:r w:rsidR="00C13C75" w:rsidRPr="00853D04">
        <w:rPr>
          <w:noProof/>
        </w:rPr>
        <w:t>dni</w:t>
      </w:r>
      <w:r w:rsidRPr="00853D04">
        <w:rPr>
          <w:noProof/>
        </w:rPr>
        <w:t>a 17 lutego 20</w:t>
      </w:r>
      <w:r w:rsidRPr="00C13C75">
        <w:rPr>
          <w:noProof/>
        </w:rPr>
        <w:t>22</w:t>
      </w:r>
      <w:r w:rsidR="00C13C75" w:rsidRPr="00C13C75">
        <w:rPr>
          <w:noProof/>
        </w:rPr>
        <w:t> </w:t>
      </w:r>
      <w:r w:rsidRPr="00C13C75">
        <w:rPr>
          <w:noProof/>
        </w:rPr>
        <w:t>r.</w:t>
      </w:r>
      <w:r w:rsidRPr="00853D04">
        <w:rPr>
          <w:noProof/>
        </w:rPr>
        <w:t xml:space="preserve"> zawierającej zalecenia dla Komisji</w:t>
      </w:r>
      <w:r w:rsidR="00C13C75" w:rsidRPr="00853D04">
        <w:rPr>
          <w:noProof/>
        </w:rPr>
        <w:t xml:space="preserve"> w</w:t>
      </w:r>
      <w:r w:rsidR="00C13C75">
        <w:rPr>
          <w:noProof/>
        </w:rPr>
        <w:t> </w:t>
      </w:r>
      <w:r w:rsidR="00C13C75" w:rsidRPr="00853D04">
        <w:rPr>
          <w:noProof/>
        </w:rPr>
        <w:t>spr</w:t>
      </w:r>
      <w:r w:rsidRPr="00853D04">
        <w:rPr>
          <w:noProof/>
        </w:rPr>
        <w:t>awie statusu europejskich stowarzyszeń transgranicznych</w:t>
      </w:r>
      <w:r w:rsidR="00C13C75" w:rsidRPr="00853D04">
        <w:rPr>
          <w:noProof/>
        </w:rPr>
        <w:t xml:space="preserve"> i</w:t>
      </w:r>
      <w:r w:rsidR="00C13C75">
        <w:rPr>
          <w:noProof/>
        </w:rPr>
        <w:t> </w:t>
      </w:r>
      <w:r w:rsidR="00C13C75" w:rsidRPr="00853D04">
        <w:rPr>
          <w:noProof/>
        </w:rPr>
        <w:t>org</w:t>
      </w:r>
      <w:r w:rsidRPr="00853D04">
        <w:rPr>
          <w:noProof/>
        </w:rPr>
        <w:t>anizacji niekomercyjnych (2020/2026(INL)),</w:t>
      </w:r>
      <w:r w:rsidR="00C13C75" w:rsidRPr="00853D04">
        <w:rPr>
          <w:noProof/>
        </w:rPr>
        <w:t xml:space="preserve"> a</w:t>
      </w:r>
      <w:r w:rsidR="00C13C75">
        <w:rPr>
          <w:noProof/>
        </w:rPr>
        <w:t> </w:t>
      </w:r>
      <w:r w:rsidR="00C13C75" w:rsidRPr="00853D04">
        <w:rPr>
          <w:noProof/>
        </w:rPr>
        <w:t>tak</w:t>
      </w:r>
      <w:r w:rsidRPr="00853D04">
        <w:rPr>
          <w:noProof/>
        </w:rPr>
        <w:t>że główne wnioski wyciągnięte</w:t>
      </w:r>
      <w:r w:rsidR="00C13C75" w:rsidRPr="00853D04">
        <w:rPr>
          <w:noProof/>
        </w:rPr>
        <w:t xml:space="preserve"> z</w:t>
      </w:r>
      <w:r w:rsidR="00C13C75">
        <w:rPr>
          <w:noProof/>
        </w:rPr>
        <w:t> </w:t>
      </w:r>
      <w:r w:rsidR="00C13C75" w:rsidRPr="00853D04">
        <w:rPr>
          <w:noProof/>
        </w:rPr>
        <w:t>wni</w:t>
      </w:r>
      <w:r w:rsidRPr="00853D04">
        <w:rPr>
          <w:noProof/>
        </w:rPr>
        <w:t>osku Komisji</w:t>
      </w:r>
      <w:r w:rsidR="00C13C75" w:rsidRPr="00853D04">
        <w:rPr>
          <w:noProof/>
        </w:rPr>
        <w:t xml:space="preserve"> z</w:t>
      </w:r>
      <w:r w:rsidR="00C13C75">
        <w:rPr>
          <w:noProof/>
        </w:rPr>
        <w:t> </w:t>
      </w:r>
      <w:r w:rsidR="00C13C75" w:rsidRPr="00853D04">
        <w:rPr>
          <w:noProof/>
        </w:rPr>
        <w:t>1</w:t>
      </w:r>
      <w:r w:rsidRPr="00853D04">
        <w:rPr>
          <w:noProof/>
        </w:rPr>
        <w:t>9</w:t>
      </w:r>
      <w:r w:rsidRPr="00C13C75">
        <w:rPr>
          <w:noProof/>
        </w:rPr>
        <w:t>92</w:t>
      </w:r>
      <w:r w:rsidR="00C13C75" w:rsidRPr="00C13C75">
        <w:rPr>
          <w:noProof/>
        </w:rPr>
        <w:t> </w:t>
      </w:r>
      <w:r w:rsidRPr="00C13C75">
        <w:rPr>
          <w:noProof/>
        </w:rPr>
        <w:t>r.</w:t>
      </w:r>
      <w:r w:rsidR="00C13C75" w:rsidRPr="00853D04">
        <w:rPr>
          <w:noProof/>
        </w:rPr>
        <w:t xml:space="preserve"> w</w:t>
      </w:r>
      <w:r w:rsidR="00C13C75">
        <w:rPr>
          <w:noProof/>
        </w:rPr>
        <w:t> </w:t>
      </w:r>
      <w:r w:rsidR="00C13C75" w:rsidRPr="00853D04">
        <w:rPr>
          <w:noProof/>
        </w:rPr>
        <w:t>spr</w:t>
      </w:r>
      <w:r w:rsidRPr="00853D04">
        <w:rPr>
          <w:noProof/>
        </w:rPr>
        <w:t>awie utworzenia europejskiej formy prawnej dla stowarzyszeń tj. stowarzyszenia europejskiego. Ostatecznie wniosek został jednak wycofany ze względu na krytykę ze strony państw członkowskich (np. pomocniczość</w:t>
      </w:r>
      <w:r w:rsidR="00C13C75" w:rsidRPr="00853D04">
        <w:rPr>
          <w:noProof/>
        </w:rPr>
        <w:t xml:space="preserve"> i</w:t>
      </w:r>
      <w:r w:rsidR="00C13C75">
        <w:rPr>
          <w:noProof/>
        </w:rPr>
        <w:t> </w:t>
      </w:r>
      <w:r w:rsidR="00C13C75" w:rsidRPr="00853D04">
        <w:rPr>
          <w:noProof/>
        </w:rPr>
        <w:t>nie</w:t>
      </w:r>
      <w:r w:rsidRPr="00853D04">
        <w:rPr>
          <w:noProof/>
        </w:rPr>
        <w:t>odpowiedniość podstawy prawnej</w:t>
      </w:r>
      <w:r w:rsidR="00C13C75" w:rsidRPr="00853D04">
        <w:rPr>
          <w:noProof/>
        </w:rPr>
        <w:t xml:space="preserve"> w</w:t>
      </w:r>
      <w:r w:rsidR="00C13C75">
        <w:rPr>
          <w:noProof/>
        </w:rPr>
        <w:t> </w:t>
      </w:r>
      <w:r w:rsidR="00C13C75" w:rsidRPr="00853D04">
        <w:rPr>
          <w:noProof/>
        </w:rPr>
        <w:t>por</w:t>
      </w:r>
      <w:r w:rsidRPr="00853D04">
        <w:rPr>
          <w:noProof/>
        </w:rPr>
        <w:t>ównaniu</w:t>
      </w:r>
      <w:r w:rsidR="00C13C75" w:rsidRPr="00853D04">
        <w:rPr>
          <w:noProof/>
        </w:rPr>
        <w:t xml:space="preserve"> z</w:t>
      </w:r>
      <w:r w:rsidR="00C13C75">
        <w:rPr>
          <w:noProof/>
        </w:rPr>
        <w:t> </w:t>
      </w:r>
      <w:r w:rsidR="00C13C75" w:rsidRPr="00853D04">
        <w:rPr>
          <w:noProof/>
        </w:rPr>
        <w:t>jeg</w:t>
      </w:r>
      <w:r w:rsidRPr="00853D04">
        <w:rPr>
          <w:noProof/>
        </w:rPr>
        <w:t>o zakresem</w:t>
      </w:r>
      <w:r w:rsidR="00C13C75" w:rsidRPr="00853D04">
        <w:rPr>
          <w:noProof/>
        </w:rPr>
        <w:t xml:space="preserve"> i</w:t>
      </w:r>
      <w:r w:rsidR="00C13C75">
        <w:rPr>
          <w:noProof/>
        </w:rPr>
        <w:t> </w:t>
      </w:r>
      <w:r w:rsidR="00C13C75" w:rsidRPr="00853D04">
        <w:rPr>
          <w:noProof/>
        </w:rPr>
        <w:t>cel</w:t>
      </w:r>
      <w:r w:rsidRPr="00853D04">
        <w:rPr>
          <w:noProof/>
        </w:rPr>
        <w:t>ami,</w:t>
      </w:r>
      <w:r w:rsidR="00C13C75" w:rsidRPr="00853D04">
        <w:rPr>
          <w:noProof/>
        </w:rPr>
        <w:t xml:space="preserve"> a</w:t>
      </w:r>
      <w:r w:rsidR="00C13C75">
        <w:rPr>
          <w:noProof/>
        </w:rPr>
        <w:t> </w:t>
      </w:r>
      <w:r w:rsidR="00C13C75" w:rsidRPr="00853D04">
        <w:rPr>
          <w:noProof/>
        </w:rPr>
        <w:t>tak</w:t>
      </w:r>
      <w:r w:rsidRPr="00853D04">
        <w:rPr>
          <w:noProof/>
        </w:rPr>
        <w:t>że dlatego, że zdaniem państw członkowskich wniosek nie odpowiadał na zidentyfikowane potrzeby, zawarte</w:t>
      </w:r>
      <w:r w:rsidR="00C13C75" w:rsidRPr="00853D04">
        <w:rPr>
          <w:noProof/>
        </w:rPr>
        <w:t xml:space="preserve"> w</w:t>
      </w:r>
      <w:r w:rsidR="00C13C75">
        <w:rPr>
          <w:noProof/>
        </w:rPr>
        <w:t> </w:t>
      </w:r>
      <w:r w:rsidR="00C13C75" w:rsidRPr="00853D04">
        <w:rPr>
          <w:noProof/>
        </w:rPr>
        <w:t>nim</w:t>
      </w:r>
      <w:r w:rsidRPr="00853D04">
        <w:rPr>
          <w:noProof/>
        </w:rPr>
        <w:t xml:space="preserve"> przepisy nie uwzględniały różnorodności ustawodawstw krajowych</w:t>
      </w:r>
      <w:r w:rsidR="00C13C75" w:rsidRPr="00853D04">
        <w:rPr>
          <w:noProof/>
        </w:rPr>
        <w:t xml:space="preserve"> i</w:t>
      </w:r>
      <w:r w:rsidR="00C13C75">
        <w:rPr>
          <w:noProof/>
        </w:rPr>
        <w:t> </w:t>
      </w:r>
      <w:r w:rsidR="00C13C75" w:rsidRPr="00853D04">
        <w:rPr>
          <w:noProof/>
        </w:rPr>
        <w:t>nak</w:t>
      </w:r>
      <w:r w:rsidRPr="00853D04">
        <w:rPr>
          <w:noProof/>
        </w:rPr>
        <w:t>ładały na stowarzyszenia nadmierne obciążenia administracyjne).</w:t>
      </w:r>
    </w:p>
    <w:p w14:paraId="3D204BF9" w14:textId="515F0547" w:rsidR="00BE7E05" w:rsidRPr="00853D04" w:rsidRDefault="00BE7E05">
      <w:pPr>
        <w:pStyle w:val="ManualHeading3"/>
        <w:rPr>
          <w:noProof/>
        </w:rPr>
      </w:pPr>
      <w:bookmarkStart w:id="31" w:name="_Toc514938033"/>
      <w:bookmarkStart w:id="32" w:name="_Toc520485038"/>
      <w:r w:rsidRPr="00853D04">
        <w:rPr>
          <w:noProof/>
        </w:rPr>
        <w:t>1.5.4.</w:t>
      </w:r>
      <w:r w:rsidRPr="00853D04">
        <w:rPr>
          <w:noProof/>
        </w:rPr>
        <w:tab/>
        <w:t>Spójność</w:t>
      </w:r>
      <w:r w:rsidR="00C13C75" w:rsidRPr="00853D04">
        <w:rPr>
          <w:noProof/>
        </w:rPr>
        <w:t xml:space="preserve"> z</w:t>
      </w:r>
      <w:r w:rsidR="00C13C75">
        <w:rPr>
          <w:noProof/>
        </w:rPr>
        <w:t> </w:t>
      </w:r>
      <w:r w:rsidR="00C13C75" w:rsidRPr="00853D04">
        <w:rPr>
          <w:noProof/>
        </w:rPr>
        <w:t>wie</w:t>
      </w:r>
      <w:r w:rsidRPr="00853D04">
        <w:rPr>
          <w:noProof/>
        </w:rPr>
        <w:t>loletnimi ramami finansowymi oraz możliwa synergia</w:t>
      </w:r>
      <w:r w:rsidR="00C13C75" w:rsidRPr="00853D04">
        <w:rPr>
          <w:noProof/>
        </w:rPr>
        <w:t xml:space="preserve"> z</w:t>
      </w:r>
      <w:r w:rsidR="00C13C75">
        <w:rPr>
          <w:noProof/>
        </w:rPr>
        <w:t> </w:t>
      </w:r>
      <w:r w:rsidR="00C13C75" w:rsidRPr="00853D04">
        <w:rPr>
          <w:noProof/>
        </w:rPr>
        <w:t>inn</w:t>
      </w:r>
      <w:r w:rsidRPr="00853D04">
        <w:rPr>
          <w:noProof/>
        </w:rPr>
        <w:t>ymi właściwymi instrumentami</w:t>
      </w:r>
      <w:bookmarkEnd w:id="31"/>
      <w:bookmarkEnd w:id="32"/>
    </w:p>
    <w:p w14:paraId="1B0F7237" w14:textId="307760B9" w:rsidR="00BE7E05" w:rsidRPr="00853D04" w:rsidRDefault="00442268">
      <w:pPr>
        <w:pStyle w:val="Text1"/>
        <w:pBdr>
          <w:top w:val="single" w:sz="4" w:space="1" w:color="auto"/>
          <w:left w:val="single" w:sz="4" w:space="4" w:color="auto"/>
          <w:bottom w:val="single" w:sz="4" w:space="1" w:color="auto"/>
          <w:right w:val="single" w:sz="4" w:space="4" w:color="auto"/>
        </w:pBdr>
        <w:rPr>
          <w:noProof/>
        </w:rPr>
      </w:pPr>
      <w:r w:rsidRPr="00853D04">
        <w:rPr>
          <w:noProof/>
        </w:rPr>
        <w:t>Wniosek przyczynia się do osiągania celów politycznych Europejskiego Zielonego Ładu</w:t>
      </w:r>
      <w:r w:rsidR="00C13C75" w:rsidRPr="00853D04">
        <w:rPr>
          <w:noProof/>
        </w:rPr>
        <w:t xml:space="preserve"> i</w:t>
      </w:r>
      <w:r w:rsidR="00C13C75">
        <w:rPr>
          <w:noProof/>
        </w:rPr>
        <w:t> </w:t>
      </w:r>
      <w:r w:rsidR="00C13C75" w:rsidRPr="00853D04">
        <w:rPr>
          <w:noProof/>
        </w:rPr>
        <w:t>pro</w:t>
      </w:r>
      <w:r w:rsidRPr="00853D04">
        <w:rPr>
          <w:noProof/>
        </w:rPr>
        <w:t xml:space="preserve">gramu polityki „Droga ku cyfrowej dekadzie” </w:t>
      </w:r>
      <w:r w:rsidRPr="00C13C75">
        <w:rPr>
          <w:noProof/>
        </w:rPr>
        <w:t>do</w:t>
      </w:r>
      <w:r w:rsidR="00C13C75" w:rsidRPr="00C13C75">
        <w:rPr>
          <w:noProof/>
        </w:rPr>
        <w:t> </w:t>
      </w:r>
      <w:r w:rsidRPr="00C13C75">
        <w:rPr>
          <w:noProof/>
        </w:rPr>
        <w:t>2</w:t>
      </w:r>
      <w:r w:rsidRPr="00853D04">
        <w:rPr>
          <w:noProof/>
        </w:rPr>
        <w:t>0</w:t>
      </w:r>
      <w:r w:rsidRPr="00C13C75">
        <w:rPr>
          <w:noProof/>
        </w:rPr>
        <w:t>30</w:t>
      </w:r>
      <w:r w:rsidR="00C13C75" w:rsidRPr="00C13C75">
        <w:rPr>
          <w:noProof/>
        </w:rPr>
        <w:t> </w:t>
      </w:r>
      <w:r w:rsidRPr="00C13C75">
        <w:rPr>
          <w:noProof/>
        </w:rPr>
        <w:t>r</w:t>
      </w:r>
      <w:r w:rsidR="00C13C75" w:rsidRPr="00C13C75">
        <w:rPr>
          <w:noProof/>
        </w:rPr>
        <w:t>.</w:t>
      </w:r>
      <w:r w:rsidR="00C13C75" w:rsidRPr="00853D04">
        <w:rPr>
          <w:noProof/>
        </w:rPr>
        <w:t xml:space="preserve"> W</w:t>
      </w:r>
      <w:r w:rsidR="00C13C75">
        <w:rPr>
          <w:noProof/>
        </w:rPr>
        <w:t> </w:t>
      </w:r>
      <w:r w:rsidR="00C13C75" w:rsidRPr="00853D04">
        <w:rPr>
          <w:noProof/>
        </w:rPr>
        <w:t>szc</w:t>
      </w:r>
      <w:r w:rsidRPr="00853D04">
        <w:rPr>
          <w:noProof/>
        </w:rPr>
        <w:t>zególności odnosi się do priorytetu politycznego Komisji „Gospodarka służąca ludziom”, przyczyniając się do osiągnięcia celu „gospodarki, która może</w:t>
      </w:r>
      <w:r w:rsidR="00C13C75" w:rsidRPr="00853D04">
        <w:rPr>
          <w:noProof/>
        </w:rPr>
        <w:t xml:space="preserve"> w</w:t>
      </w:r>
      <w:r w:rsidR="00C13C75">
        <w:rPr>
          <w:noProof/>
        </w:rPr>
        <w:t> </w:t>
      </w:r>
      <w:r w:rsidR="00C13C75" w:rsidRPr="00853D04">
        <w:rPr>
          <w:noProof/>
        </w:rPr>
        <w:t>peł</w:t>
      </w:r>
      <w:r w:rsidRPr="00853D04">
        <w:rPr>
          <w:noProof/>
        </w:rPr>
        <w:t>ni odpowiadać na potrzeby obywateli UE, zapewniając tym samym sprawiedliwość społeczną</w:t>
      </w:r>
      <w:r w:rsidR="00C13C75" w:rsidRPr="00853D04">
        <w:rPr>
          <w:noProof/>
        </w:rPr>
        <w:t xml:space="preserve"> i</w:t>
      </w:r>
      <w:r w:rsidR="00C13C75">
        <w:rPr>
          <w:noProof/>
        </w:rPr>
        <w:t> </w:t>
      </w:r>
      <w:r w:rsidR="00C13C75" w:rsidRPr="00853D04">
        <w:rPr>
          <w:noProof/>
        </w:rPr>
        <w:t>dob</w:t>
      </w:r>
      <w:r w:rsidRPr="00853D04">
        <w:rPr>
          <w:noProof/>
        </w:rPr>
        <w:t>robyt”. Pod tym względem dyrektywa łączy się</w:t>
      </w:r>
      <w:r w:rsidR="00C13C75" w:rsidRPr="00853D04">
        <w:rPr>
          <w:noProof/>
        </w:rPr>
        <w:t xml:space="preserve"> z</w:t>
      </w:r>
      <w:r w:rsidR="00C13C75">
        <w:rPr>
          <w:noProof/>
        </w:rPr>
        <w:t> </w:t>
      </w:r>
      <w:r w:rsidR="00C13C75" w:rsidRPr="00853D04">
        <w:rPr>
          <w:noProof/>
        </w:rPr>
        <w:t>inn</w:t>
      </w:r>
      <w:r w:rsidRPr="00853D04">
        <w:rPr>
          <w:noProof/>
        </w:rPr>
        <w:t>ymi środkami zapowiedzianymi</w:t>
      </w:r>
      <w:r w:rsidR="00C13C75" w:rsidRPr="00853D04">
        <w:rPr>
          <w:noProof/>
        </w:rPr>
        <w:t xml:space="preserve"> w</w:t>
      </w:r>
      <w:r w:rsidR="00C13C75">
        <w:rPr>
          <w:noProof/>
        </w:rPr>
        <w:t> </w:t>
      </w:r>
      <w:r w:rsidR="00C13C75" w:rsidRPr="00853D04">
        <w:rPr>
          <w:noProof/>
        </w:rPr>
        <w:t>pla</w:t>
      </w:r>
      <w:r w:rsidRPr="00853D04">
        <w:rPr>
          <w:noProof/>
        </w:rPr>
        <w:t>nie działania na rzecz gospodarki społecznej</w:t>
      </w:r>
      <w:r w:rsidR="00C13C75" w:rsidRPr="00853D04">
        <w:rPr>
          <w:noProof/>
        </w:rPr>
        <w:t xml:space="preserve"> z</w:t>
      </w:r>
      <w:r w:rsidR="00C13C75">
        <w:rPr>
          <w:noProof/>
        </w:rPr>
        <w:t> </w:t>
      </w:r>
      <w:r w:rsidR="00C13C75" w:rsidRPr="00853D04">
        <w:rPr>
          <w:noProof/>
        </w:rPr>
        <w:t>gru</w:t>
      </w:r>
      <w:r w:rsidRPr="00853D04">
        <w:rPr>
          <w:noProof/>
        </w:rPr>
        <w:t>dnia 20</w:t>
      </w:r>
      <w:r w:rsidRPr="00C13C75">
        <w:rPr>
          <w:noProof/>
        </w:rPr>
        <w:t>21</w:t>
      </w:r>
      <w:r w:rsidR="00C13C75" w:rsidRPr="00C13C75">
        <w:rPr>
          <w:noProof/>
        </w:rPr>
        <w:t> </w:t>
      </w:r>
      <w:r w:rsidRPr="00C13C75">
        <w:rPr>
          <w:noProof/>
        </w:rPr>
        <w:t>r.</w:t>
      </w:r>
      <w:r w:rsidR="00C13C75" w:rsidRPr="00853D04">
        <w:rPr>
          <w:noProof/>
        </w:rPr>
        <w:t xml:space="preserve"> i</w:t>
      </w:r>
      <w:r w:rsidR="00C13C75">
        <w:rPr>
          <w:noProof/>
        </w:rPr>
        <w:t> </w:t>
      </w:r>
      <w:r w:rsidR="00C13C75" w:rsidRPr="00853D04">
        <w:rPr>
          <w:noProof/>
        </w:rPr>
        <w:t>two</w:t>
      </w:r>
      <w:r w:rsidRPr="00853D04">
        <w:rPr>
          <w:noProof/>
        </w:rPr>
        <w:t>rzy</w:t>
      </w:r>
      <w:r w:rsidR="00C13C75" w:rsidRPr="00853D04">
        <w:rPr>
          <w:noProof/>
        </w:rPr>
        <w:t xml:space="preserve"> z</w:t>
      </w:r>
      <w:r w:rsidR="00C13C75">
        <w:rPr>
          <w:noProof/>
        </w:rPr>
        <w:t> </w:t>
      </w:r>
      <w:r w:rsidR="00C13C75" w:rsidRPr="00853D04">
        <w:rPr>
          <w:noProof/>
        </w:rPr>
        <w:t>nim</w:t>
      </w:r>
      <w:r w:rsidRPr="00853D04">
        <w:rPr>
          <w:noProof/>
        </w:rPr>
        <w:t>i następujący pakiet na rzecz gospodarki społecznej: wniosek dotyczący zalecenia Rady</w:t>
      </w:r>
      <w:r w:rsidR="00C13C75" w:rsidRPr="00853D04">
        <w:rPr>
          <w:noProof/>
        </w:rPr>
        <w:t xml:space="preserve"> w</w:t>
      </w:r>
      <w:r w:rsidR="00C13C75">
        <w:rPr>
          <w:noProof/>
        </w:rPr>
        <w:t> </w:t>
      </w:r>
      <w:r w:rsidR="00C13C75" w:rsidRPr="00853D04">
        <w:rPr>
          <w:noProof/>
        </w:rPr>
        <w:t>spr</w:t>
      </w:r>
      <w:r w:rsidRPr="00853D04">
        <w:rPr>
          <w:noProof/>
        </w:rPr>
        <w:t>awie opracowania warunków ramowych gospodarki społecznej</w:t>
      </w:r>
      <w:r w:rsidR="00C13C75" w:rsidRPr="00853D04">
        <w:rPr>
          <w:noProof/>
        </w:rPr>
        <w:t xml:space="preserve"> w</w:t>
      </w:r>
      <w:r w:rsidR="00C13C75">
        <w:rPr>
          <w:noProof/>
        </w:rPr>
        <w:t> </w:t>
      </w:r>
      <w:r w:rsidR="00C13C75" w:rsidRPr="00853D04">
        <w:rPr>
          <w:noProof/>
        </w:rPr>
        <w:t>pań</w:t>
      </w:r>
      <w:r w:rsidRPr="00853D04">
        <w:rPr>
          <w:noProof/>
        </w:rPr>
        <w:t>stwach członkowskich oraz dwa dokumenty robocze służb Komisji – „Odpowiednie ramy podatkowe dla podmiotów gospodarki społecznej” i „Niedyskryminacyjne opodatkowanie organizacji charytatywnych</w:t>
      </w:r>
      <w:r w:rsidR="00C13C75" w:rsidRPr="00853D04">
        <w:rPr>
          <w:noProof/>
        </w:rPr>
        <w:t xml:space="preserve"> i</w:t>
      </w:r>
      <w:r w:rsidR="00C13C75">
        <w:rPr>
          <w:noProof/>
        </w:rPr>
        <w:t> </w:t>
      </w:r>
      <w:r w:rsidR="00C13C75" w:rsidRPr="00853D04">
        <w:rPr>
          <w:noProof/>
        </w:rPr>
        <w:t>ich</w:t>
      </w:r>
      <w:r w:rsidRPr="00853D04">
        <w:rPr>
          <w:noProof/>
        </w:rPr>
        <w:t xml:space="preserve"> darczyńców: zasady wynikające</w:t>
      </w:r>
      <w:r w:rsidR="00C13C75" w:rsidRPr="00853D04">
        <w:rPr>
          <w:noProof/>
        </w:rPr>
        <w:t xml:space="preserve"> z</w:t>
      </w:r>
      <w:r w:rsidR="00C13C75">
        <w:rPr>
          <w:noProof/>
        </w:rPr>
        <w:t> </w:t>
      </w:r>
      <w:r w:rsidR="00C13C75" w:rsidRPr="00853D04">
        <w:rPr>
          <w:noProof/>
        </w:rPr>
        <w:t>orz</w:t>
      </w:r>
      <w:r w:rsidRPr="00853D04">
        <w:rPr>
          <w:noProof/>
        </w:rPr>
        <w:t>ecznictwa UE”.</w:t>
      </w:r>
    </w:p>
    <w:p w14:paraId="3A9D6AE4" w14:textId="77777777" w:rsidR="00AE4B74" w:rsidRPr="00853D04" w:rsidRDefault="00AE4B74">
      <w:pPr>
        <w:pStyle w:val="Text1"/>
        <w:pBdr>
          <w:top w:val="single" w:sz="4" w:space="1" w:color="auto"/>
          <w:left w:val="single" w:sz="4" w:space="4" w:color="auto"/>
          <w:bottom w:val="single" w:sz="4" w:space="1" w:color="auto"/>
          <w:right w:val="single" w:sz="4" w:space="4" w:color="auto"/>
        </w:pBdr>
        <w:rPr>
          <w:noProof/>
        </w:rPr>
      </w:pPr>
    </w:p>
    <w:p w14:paraId="441A8E89" w14:textId="763A1589" w:rsidR="00BE7E05" w:rsidRPr="00853D04" w:rsidRDefault="00BE7E05">
      <w:pPr>
        <w:pStyle w:val="ManualHeading3"/>
        <w:rPr>
          <w:noProof/>
        </w:rPr>
      </w:pPr>
      <w:bookmarkStart w:id="33" w:name="_Toc514938036"/>
      <w:bookmarkStart w:id="34" w:name="_Toc520485039"/>
      <w:r w:rsidRPr="00853D04">
        <w:rPr>
          <w:noProof/>
        </w:rPr>
        <w:t>1.5.5.</w:t>
      </w:r>
      <w:r w:rsidRPr="00853D04">
        <w:rPr>
          <w:noProof/>
        </w:rPr>
        <w:tab/>
        <w:t>Ocena różnych dostępnych możliwości finansowania,</w:t>
      </w:r>
      <w:r w:rsidR="00C13C75" w:rsidRPr="00853D04">
        <w:rPr>
          <w:noProof/>
        </w:rPr>
        <w:t xml:space="preserve"> w</w:t>
      </w:r>
      <w:r w:rsidR="00C13C75">
        <w:rPr>
          <w:noProof/>
        </w:rPr>
        <w:t> </w:t>
      </w:r>
      <w:r w:rsidR="00C13C75" w:rsidRPr="00853D04">
        <w:rPr>
          <w:noProof/>
        </w:rPr>
        <w:t>tym</w:t>
      </w:r>
      <w:r w:rsidRPr="00853D04">
        <w:rPr>
          <w:noProof/>
        </w:rPr>
        <w:t xml:space="preserve"> zakresu przegrupowania środków</w:t>
      </w:r>
      <w:bookmarkEnd w:id="33"/>
      <w:bookmarkEnd w:id="34"/>
    </w:p>
    <w:p w14:paraId="49DAF237" w14:textId="0579C046" w:rsidR="00BE7E05" w:rsidRPr="00853D04" w:rsidRDefault="49034C4D" w:rsidP="6209A4CE">
      <w:pPr>
        <w:pStyle w:val="Text1"/>
        <w:pBdr>
          <w:top w:val="single" w:sz="4" w:space="1" w:color="auto"/>
          <w:left w:val="single" w:sz="4" w:space="4" w:color="auto"/>
          <w:bottom w:val="single" w:sz="4" w:space="1" w:color="auto"/>
          <w:right w:val="single" w:sz="4" w:space="4" w:color="auto"/>
        </w:pBdr>
        <w:rPr>
          <w:noProof/>
        </w:rPr>
      </w:pPr>
      <w:r w:rsidRPr="00853D04">
        <w:rPr>
          <w:noProof/>
        </w:rPr>
        <w:t>Koszty konieczne do celów dostosowania zakresu jednolitego portalu cyfrowego do stowarzyszeń niekomercyjnych oraz wykorzystania systemu IMI</w:t>
      </w:r>
      <w:r w:rsidR="00C13C75" w:rsidRPr="00853D04">
        <w:rPr>
          <w:noProof/>
        </w:rPr>
        <w:t xml:space="preserve"> w</w:t>
      </w:r>
      <w:r w:rsidR="00C13C75">
        <w:rPr>
          <w:noProof/>
        </w:rPr>
        <w:t> </w:t>
      </w:r>
      <w:r w:rsidR="00C13C75" w:rsidRPr="00853D04">
        <w:rPr>
          <w:noProof/>
        </w:rPr>
        <w:t>cel</w:t>
      </w:r>
      <w:r w:rsidRPr="00853D04">
        <w:rPr>
          <w:noProof/>
        </w:rPr>
        <w:t>u umożliwienia współpracy administracyjnej między właściwymi organami</w:t>
      </w:r>
      <w:r w:rsidR="00C13C75" w:rsidRPr="00853D04">
        <w:rPr>
          <w:noProof/>
        </w:rPr>
        <w:t xml:space="preserve"> w</w:t>
      </w:r>
      <w:r w:rsidR="00C13C75">
        <w:rPr>
          <w:noProof/>
        </w:rPr>
        <w:t> </w:t>
      </w:r>
      <w:r w:rsidR="00C13C75" w:rsidRPr="00853D04">
        <w:rPr>
          <w:noProof/>
        </w:rPr>
        <w:t>pań</w:t>
      </w:r>
      <w:r w:rsidRPr="00853D04">
        <w:rPr>
          <w:noProof/>
        </w:rPr>
        <w:t>stwach członkowskich, zgodnie</w:t>
      </w:r>
      <w:r w:rsidR="00C13C75" w:rsidRPr="00853D04">
        <w:rPr>
          <w:noProof/>
        </w:rPr>
        <w:t xml:space="preserve"> z</w:t>
      </w:r>
      <w:r w:rsidR="00C13C75">
        <w:rPr>
          <w:noProof/>
        </w:rPr>
        <w:t> </w:t>
      </w:r>
      <w:r w:rsidR="00C13C75" w:rsidRPr="00853D04">
        <w:rPr>
          <w:noProof/>
        </w:rPr>
        <w:t>nin</w:t>
      </w:r>
      <w:r w:rsidRPr="00853D04">
        <w:rPr>
          <w:noProof/>
        </w:rPr>
        <w:t>iejszym wnioskiem, zostaną sfinansowane</w:t>
      </w:r>
      <w:r w:rsidR="00C13C75" w:rsidRPr="00853D04">
        <w:rPr>
          <w:noProof/>
        </w:rPr>
        <w:t xml:space="preserve"> w</w:t>
      </w:r>
      <w:r w:rsidR="00C13C75">
        <w:rPr>
          <w:noProof/>
        </w:rPr>
        <w:t> </w:t>
      </w:r>
      <w:r w:rsidR="00C13C75" w:rsidRPr="00853D04">
        <w:rPr>
          <w:noProof/>
        </w:rPr>
        <w:t>ram</w:t>
      </w:r>
      <w:r w:rsidRPr="00853D04">
        <w:rPr>
          <w:noProof/>
        </w:rPr>
        <w:t>ach Programu na rzecz jednolitego rynku.</w:t>
      </w:r>
    </w:p>
    <w:p w14:paraId="6F8AF6A7" w14:textId="77777777" w:rsidR="6209A4CE" w:rsidRPr="00853D04" w:rsidRDefault="6209A4CE" w:rsidP="6209A4CE">
      <w:pPr>
        <w:pStyle w:val="Text1"/>
        <w:pBdr>
          <w:top w:val="single" w:sz="4" w:space="1" w:color="auto"/>
          <w:left w:val="single" w:sz="4" w:space="4" w:color="auto"/>
          <w:bottom w:val="single" w:sz="4" w:space="1" w:color="auto"/>
          <w:right w:val="single" w:sz="4" w:space="4" w:color="auto"/>
        </w:pBdr>
        <w:rPr>
          <w:noProof/>
        </w:rPr>
      </w:pPr>
    </w:p>
    <w:p w14:paraId="41255A3B" w14:textId="77777777" w:rsidR="00BE7E05" w:rsidRPr="00853D04" w:rsidRDefault="00BE7E05">
      <w:pPr>
        <w:pStyle w:val="Text1"/>
        <w:rPr>
          <w:noProof/>
        </w:rPr>
      </w:pPr>
    </w:p>
    <w:p w14:paraId="5103631F" w14:textId="31418B11" w:rsidR="00BE7E05" w:rsidRPr="00853D04" w:rsidRDefault="00BE7E05">
      <w:pPr>
        <w:pStyle w:val="ManualHeading2"/>
        <w:rPr>
          <w:noProof/>
        </w:rPr>
      </w:pPr>
      <w:r w:rsidRPr="00853D04">
        <w:rPr>
          <w:noProof/>
        </w:rPr>
        <w:br w:type="page"/>
      </w:r>
      <w:bookmarkStart w:id="35" w:name="_Toc514938039"/>
      <w:bookmarkStart w:id="36" w:name="_Toc520485040"/>
      <w:r w:rsidRPr="00853D04">
        <w:rPr>
          <w:noProof/>
        </w:rPr>
        <w:t>1.6.</w:t>
      </w:r>
      <w:r w:rsidRPr="00853D04">
        <w:rPr>
          <w:noProof/>
        </w:rPr>
        <w:tab/>
        <w:t>Czas trwania</w:t>
      </w:r>
      <w:r w:rsidR="00C13C75" w:rsidRPr="00853D04">
        <w:rPr>
          <w:noProof/>
        </w:rPr>
        <w:t xml:space="preserve"> i</w:t>
      </w:r>
      <w:r w:rsidR="00C13C75">
        <w:rPr>
          <w:noProof/>
        </w:rPr>
        <w:t> </w:t>
      </w:r>
      <w:r w:rsidR="00C13C75" w:rsidRPr="00853D04">
        <w:rPr>
          <w:noProof/>
        </w:rPr>
        <w:t>wpł</w:t>
      </w:r>
      <w:r w:rsidRPr="00853D04">
        <w:rPr>
          <w:noProof/>
        </w:rPr>
        <w:t>yw finansowy wniosku/inicjatywy</w:t>
      </w:r>
      <w:bookmarkEnd w:id="35"/>
      <w:bookmarkEnd w:id="36"/>
    </w:p>
    <w:p w14:paraId="09FE865D" w14:textId="77777777" w:rsidR="00BE7E05" w:rsidRPr="00853D04" w:rsidRDefault="00BE7E05">
      <w:pPr>
        <w:pStyle w:val="Text1"/>
        <w:rPr>
          <w:noProof/>
        </w:rPr>
      </w:pPr>
      <w:r w:rsidRPr="00853D04">
        <w:rPr>
          <w:noProof/>
        </w:rPr>
        <w:t>¨</w:t>
      </w:r>
      <w:r w:rsidRPr="00853D04">
        <w:rPr>
          <w:b/>
          <w:i/>
          <w:noProof/>
        </w:rPr>
        <w:t xml:space="preserve"> </w:t>
      </w:r>
      <w:r w:rsidRPr="00853D04">
        <w:rPr>
          <w:b/>
          <w:noProof/>
        </w:rPr>
        <w:t xml:space="preserve">Ograniczony czas trwania </w:t>
      </w:r>
    </w:p>
    <w:p w14:paraId="0475590F" w14:textId="77777777" w:rsidR="00BE7E05" w:rsidRPr="00853D04" w:rsidRDefault="00BE7E05" w:rsidP="00F66EBA">
      <w:pPr>
        <w:pStyle w:val="ListDash2"/>
        <w:rPr>
          <w:noProof/>
        </w:rPr>
      </w:pPr>
      <w:r w:rsidRPr="00853D04">
        <w:rPr>
          <w:noProof/>
        </w:rPr>
        <w:t>¨</w:t>
      </w:r>
      <w:r w:rsidRPr="00853D04">
        <w:rPr>
          <w:noProof/>
        </w:rPr>
        <w:tab/>
        <w:t xml:space="preserve">Okres trwania wniosku/inicjatywy: od [DD/MM]RRRR r. do [DD/MM]RRRR r. </w:t>
      </w:r>
    </w:p>
    <w:p w14:paraId="24E63B90" w14:textId="0FDEB3D6" w:rsidR="00BE7E05" w:rsidRPr="00853D04" w:rsidRDefault="00BE7E05" w:rsidP="00F66EBA">
      <w:pPr>
        <w:pStyle w:val="ListDash2"/>
        <w:rPr>
          <w:noProof/>
        </w:rPr>
      </w:pPr>
      <w:r w:rsidRPr="00853D04">
        <w:rPr>
          <w:noProof/>
        </w:rPr>
        <w:t>¨</w:t>
      </w:r>
      <w:r w:rsidRPr="00853D04">
        <w:rPr>
          <w:noProof/>
        </w:rPr>
        <w:tab/>
        <w:t>od RRRR r. do RRRR r.</w:t>
      </w:r>
      <w:r w:rsidR="00C13C75" w:rsidRPr="00853D04">
        <w:rPr>
          <w:noProof/>
        </w:rPr>
        <w:t xml:space="preserve"> w</w:t>
      </w:r>
      <w:r w:rsidR="00C13C75">
        <w:rPr>
          <w:noProof/>
        </w:rPr>
        <w:t> </w:t>
      </w:r>
      <w:r w:rsidR="00C13C75" w:rsidRPr="00853D04">
        <w:rPr>
          <w:noProof/>
        </w:rPr>
        <w:t>odn</w:t>
      </w:r>
      <w:r w:rsidRPr="00853D04">
        <w:rPr>
          <w:noProof/>
        </w:rPr>
        <w:t>iesieniu do środków na zobowiązania oraz od RRRR r. do RRRR r.</w:t>
      </w:r>
      <w:r w:rsidR="00C13C75" w:rsidRPr="00853D04">
        <w:rPr>
          <w:noProof/>
        </w:rPr>
        <w:t xml:space="preserve"> w</w:t>
      </w:r>
      <w:r w:rsidR="00C13C75">
        <w:rPr>
          <w:noProof/>
        </w:rPr>
        <w:t> </w:t>
      </w:r>
      <w:r w:rsidR="00C13C75" w:rsidRPr="00853D04">
        <w:rPr>
          <w:noProof/>
        </w:rPr>
        <w:t>odn</w:t>
      </w:r>
      <w:r w:rsidRPr="00853D04">
        <w:rPr>
          <w:noProof/>
        </w:rPr>
        <w:t xml:space="preserve">iesieniu do środków na płatności. </w:t>
      </w:r>
    </w:p>
    <w:p w14:paraId="2F87D61C" w14:textId="77777777" w:rsidR="00BE7E05" w:rsidRPr="00853D04" w:rsidRDefault="2D8F248D">
      <w:pPr>
        <w:pStyle w:val="Text1"/>
        <w:rPr>
          <w:noProof/>
        </w:rPr>
      </w:pPr>
      <w:r w:rsidRPr="00853D04">
        <w:rPr>
          <w:noProof/>
        </w:rPr>
        <w:t>x</w:t>
      </w:r>
      <w:r w:rsidRPr="00853D04">
        <w:rPr>
          <w:b/>
          <w:i/>
          <w:noProof/>
        </w:rPr>
        <w:t xml:space="preserve"> </w:t>
      </w:r>
      <w:r w:rsidRPr="00853D04">
        <w:rPr>
          <w:b/>
          <w:noProof/>
        </w:rPr>
        <w:t>Nieograniczony czas trwania</w:t>
      </w:r>
    </w:p>
    <w:p w14:paraId="092DBF00" w14:textId="0931C572" w:rsidR="00BE7E05" w:rsidRPr="00853D04" w:rsidRDefault="00BE7E05" w:rsidP="00F66EBA">
      <w:pPr>
        <w:pStyle w:val="ListDash1"/>
        <w:rPr>
          <w:noProof/>
        </w:rPr>
      </w:pPr>
      <w:r w:rsidRPr="00853D04">
        <w:rPr>
          <w:noProof/>
        </w:rPr>
        <w:t>Wprowadzenie</w:t>
      </w:r>
      <w:r w:rsidR="00C13C75" w:rsidRPr="00853D04">
        <w:rPr>
          <w:noProof/>
        </w:rPr>
        <w:t xml:space="preserve"> w</w:t>
      </w:r>
      <w:r w:rsidR="00C13C75">
        <w:rPr>
          <w:noProof/>
        </w:rPr>
        <w:t> </w:t>
      </w:r>
      <w:r w:rsidR="00C13C75" w:rsidRPr="00853D04">
        <w:rPr>
          <w:noProof/>
        </w:rPr>
        <w:t>życ</w:t>
      </w:r>
      <w:r w:rsidRPr="00853D04">
        <w:rPr>
          <w:noProof/>
        </w:rPr>
        <w:t>ie</w:t>
      </w:r>
      <w:r w:rsidR="00C13C75" w:rsidRPr="00853D04">
        <w:rPr>
          <w:noProof/>
        </w:rPr>
        <w:t xml:space="preserve"> z</w:t>
      </w:r>
      <w:r w:rsidR="00C13C75">
        <w:rPr>
          <w:noProof/>
        </w:rPr>
        <w:t> </w:t>
      </w:r>
      <w:r w:rsidR="00C13C75" w:rsidRPr="00853D04">
        <w:rPr>
          <w:noProof/>
        </w:rPr>
        <w:t>okr</w:t>
      </w:r>
      <w:r w:rsidRPr="00853D04">
        <w:rPr>
          <w:noProof/>
        </w:rPr>
        <w:t>esem rozruchu od [DD/MM]RRRR r. do [DD/MM]RRRR r.,</w:t>
      </w:r>
    </w:p>
    <w:p w14:paraId="3B0519C6" w14:textId="77777777" w:rsidR="00BE7E05" w:rsidRPr="00853D04" w:rsidRDefault="00BE7E05" w:rsidP="00F66EBA">
      <w:pPr>
        <w:pStyle w:val="ListDash1"/>
        <w:rPr>
          <w:noProof/>
        </w:rPr>
      </w:pPr>
      <w:r w:rsidRPr="00853D04">
        <w:rPr>
          <w:noProof/>
        </w:rPr>
        <w:t>po którym następuje faza operacyjna.</w:t>
      </w:r>
    </w:p>
    <w:p w14:paraId="4DBA924D" w14:textId="6169E774" w:rsidR="00BE7E05" w:rsidRPr="00C13C75" w:rsidRDefault="00BE7E05">
      <w:pPr>
        <w:pStyle w:val="ManualHeading2"/>
        <w:rPr>
          <w:noProof/>
        </w:rPr>
      </w:pPr>
      <w:bookmarkStart w:id="37" w:name="_Toc514938040"/>
      <w:bookmarkStart w:id="38" w:name="_Toc520485041"/>
      <w:r w:rsidRPr="00853D04">
        <w:rPr>
          <w:noProof/>
        </w:rPr>
        <w:t>1.7.</w:t>
      </w:r>
      <w:r w:rsidRPr="00853D04">
        <w:rPr>
          <w:noProof/>
        </w:rPr>
        <w:tab/>
        <w:t>Planowane metody wykonania budżetu</w:t>
      </w:r>
      <w:r w:rsidRPr="00C13C75">
        <w:rPr>
          <w:rStyle w:val="FootnoteReference"/>
          <w:noProof/>
        </w:rPr>
        <w:footnoteReference w:id="51"/>
      </w:r>
      <w:bookmarkEnd w:id="37"/>
      <w:bookmarkEnd w:id="38"/>
      <w:r w:rsidR="00C13C75" w:rsidRPr="00C13C75">
        <w:rPr>
          <w:rStyle w:val="FootnoteReference"/>
          <w:noProof/>
        </w:rPr>
        <w:t xml:space="preserve"> </w:t>
      </w:r>
    </w:p>
    <w:p w14:paraId="098B77DB" w14:textId="77777777" w:rsidR="00BE7E05" w:rsidRPr="00853D04" w:rsidRDefault="70F82FB3">
      <w:pPr>
        <w:pStyle w:val="Text1"/>
        <w:rPr>
          <w:noProof/>
        </w:rPr>
      </w:pPr>
      <w:r w:rsidRPr="00853D04">
        <w:rPr>
          <w:noProof/>
        </w:rPr>
        <w:t xml:space="preserve">x </w:t>
      </w:r>
      <w:r w:rsidRPr="00853D04">
        <w:rPr>
          <w:b/>
          <w:noProof/>
        </w:rPr>
        <w:t>Bezpośrednie zarządzanie</w:t>
      </w:r>
      <w:r w:rsidRPr="00853D04">
        <w:rPr>
          <w:noProof/>
        </w:rPr>
        <w:t xml:space="preserve"> przez Komisję</w:t>
      </w:r>
    </w:p>
    <w:p w14:paraId="4681C4E8" w14:textId="29EE5103" w:rsidR="00BE7E05" w:rsidRPr="00853D04" w:rsidRDefault="2B6A4ABF" w:rsidP="00F66EBA">
      <w:pPr>
        <w:pStyle w:val="ListDash2"/>
        <w:rPr>
          <w:noProof/>
        </w:rPr>
      </w:pPr>
      <w:r w:rsidRPr="00853D04">
        <w:rPr>
          <w:noProof/>
        </w:rPr>
        <w:t>x</w:t>
      </w:r>
      <w:r w:rsidR="00C13C75" w:rsidRPr="00853D04">
        <w:rPr>
          <w:noProof/>
        </w:rPr>
        <w:t xml:space="preserve"> w</w:t>
      </w:r>
      <w:r w:rsidR="00C13C75">
        <w:rPr>
          <w:noProof/>
        </w:rPr>
        <w:t> </w:t>
      </w:r>
      <w:r w:rsidR="00C13C75" w:rsidRPr="00853D04">
        <w:rPr>
          <w:noProof/>
        </w:rPr>
        <w:t>ram</w:t>
      </w:r>
      <w:r w:rsidRPr="00853D04">
        <w:rPr>
          <w:noProof/>
        </w:rPr>
        <w:t>ach jej służb,</w:t>
      </w:r>
      <w:r w:rsidR="00C13C75" w:rsidRPr="00853D04">
        <w:rPr>
          <w:noProof/>
        </w:rPr>
        <w:t xml:space="preserve"> w</w:t>
      </w:r>
      <w:r w:rsidR="00C13C75">
        <w:rPr>
          <w:noProof/>
        </w:rPr>
        <w:t> </w:t>
      </w:r>
      <w:r w:rsidR="00C13C75" w:rsidRPr="00853D04">
        <w:rPr>
          <w:noProof/>
        </w:rPr>
        <w:t>tym</w:t>
      </w:r>
      <w:r w:rsidRPr="00853D04">
        <w:rPr>
          <w:noProof/>
        </w:rPr>
        <w:t xml:space="preserve"> za pośrednictwem jej pracowników</w:t>
      </w:r>
      <w:r w:rsidR="00C13C75" w:rsidRPr="00853D04">
        <w:rPr>
          <w:noProof/>
        </w:rPr>
        <w:t xml:space="preserve"> w</w:t>
      </w:r>
      <w:r w:rsidR="00C13C75">
        <w:rPr>
          <w:noProof/>
        </w:rPr>
        <w:t> </w:t>
      </w:r>
      <w:r w:rsidR="00C13C75" w:rsidRPr="00853D04">
        <w:rPr>
          <w:noProof/>
        </w:rPr>
        <w:t>del</w:t>
      </w:r>
      <w:r w:rsidRPr="00853D04">
        <w:rPr>
          <w:noProof/>
        </w:rPr>
        <w:t xml:space="preserve">egaturach Unii; </w:t>
      </w:r>
    </w:p>
    <w:p w14:paraId="7B6BC288" w14:textId="77777777" w:rsidR="00BE7E05" w:rsidRPr="00853D04" w:rsidRDefault="00BE7E05" w:rsidP="00F66EBA">
      <w:pPr>
        <w:pStyle w:val="ListDash2"/>
        <w:rPr>
          <w:noProof/>
        </w:rPr>
      </w:pPr>
      <w:r w:rsidRPr="00853D04">
        <w:rPr>
          <w:noProof/>
        </w:rPr>
        <w:t>¨</w:t>
      </w:r>
      <w:r w:rsidRPr="00853D04">
        <w:rPr>
          <w:noProof/>
        </w:rPr>
        <w:tab/>
        <w:t xml:space="preserve"> przez agencje wykonawcze; </w:t>
      </w:r>
    </w:p>
    <w:p w14:paraId="7012DBD5" w14:textId="41415B9C" w:rsidR="00BE7E05" w:rsidRPr="00853D04" w:rsidRDefault="00BE7E05">
      <w:pPr>
        <w:pStyle w:val="Text1"/>
        <w:rPr>
          <w:noProof/>
        </w:rPr>
      </w:pPr>
      <w:r w:rsidRPr="00853D04">
        <w:rPr>
          <w:noProof/>
        </w:rPr>
        <w:t>¨</w:t>
      </w:r>
      <w:r w:rsidRPr="00853D04">
        <w:rPr>
          <w:b/>
          <w:i/>
          <w:noProof/>
        </w:rPr>
        <w:t xml:space="preserve"> </w:t>
      </w:r>
      <w:r w:rsidRPr="00853D04">
        <w:rPr>
          <w:b/>
          <w:noProof/>
        </w:rPr>
        <w:t>Zarządzanie dzielone</w:t>
      </w:r>
      <w:r w:rsidR="00C13C75" w:rsidRPr="00853D04">
        <w:rPr>
          <w:noProof/>
        </w:rPr>
        <w:t xml:space="preserve"> z</w:t>
      </w:r>
      <w:r w:rsidR="00C13C75">
        <w:rPr>
          <w:noProof/>
        </w:rPr>
        <w:t> </w:t>
      </w:r>
      <w:r w:rsidR="00C13C75" w:rsidRPr="00853D04">
        <w:rPr>
          <w:noProof/>
        </w:rPr>
        <w:t>pań</w:t>
      </w:r>
      <w:r w:rsidRPr="00853D04">
        <w:rPr>
          <w:noProof/>
        </w:rPr>
        <w:t xml:space="preserve">stwami członkowskimi </w:t>
      </w:r>
    </w:p>
    <w:p w14:paraId="1E88611C" w14:textId="2740747E" w:rsidR="00BE7E05" w:rsidRPr="00853D04" w:rsidRDefault="00BE7E05">
      <w:pPr>
        <w:pStyle w:val="Text1"/>
        <w:rPr>
          <w:noProof/>
        </w:rPr>
      </w:pPr>
      <w:r w:rsidRPr="00853D04">
        <w:rPr>
          <w:noProof/>
        </w:rPr>
        <w:t>¨</w:t>
      </w:r>
      <w:r w:rsidRPr="00853D04">
        <w:rPr>
          <w:i/>
          <w:noProof/>
        </w:rPr>
        <w:t xml:space="preserve"> </w:t>
      </w:r>
      <w:r w:rsidRPr="00853D04">
        <w:rPr>
          <w:b/>
          <w:noProof/>
        </w:rPr>
        <w:t>Zarządzanie pośrednie</w:t>
      </w:r>
      <w:r w:rsidRPr="00853D04">
        <w:rPr>
          <w:noProof/>
        </w:rPr>
        <w:t xml:space="preserve"> poprzez przekazanie zadań związanych</w:t>
      </w:r>
      <w:r w:rsidR="00C13C75" w:rsidRPr="00853D04">
        <w:rPr>
          <w:noProof/>
        </w:rPr>
        <w:t xml:space="preserve"> z</w:t>
      </w:r>
      <w:r w:rsidR="00C13C75">
        <w:rPr>
          <w:noProof/>
        </w:rPr>
        <w:t> </w:t>
      </w:r>
      <w:r w:rsidR="00C13C75" w:rsidRPr="00853D04">
        <w:rPr>
          <w:noProof/>
        </w:rPr>
        <w:t>wyk</w:t>
      </w:r>
      <w:r w:rsidRPr="00853D04">
        <w:rPr>
          <w:noProof/>
        </w:rPr>
        <w:t>onaniem budżetu:</w:t>
      </w:r>
    </w:p>
    <w:p w14:paraId="710223D8" w14:textId="77777777" w:rsidR="00BE7E05" w:rsidRPr="00853D04" w:rsidRDefault="00BE7E05" w:rsidP="00F66EBA">
      <w:pPr>
        <w:pStyle w:val="ListDash2"/>
        <w:rPr>
          <w:noProof/>
        </w:rPr>
      </w:pPr>
      <w:r w:rsidRPr="00853D04">
        <w:rPr>
          <w:noProof/>
        </w:rPr>
        <w:t>¨ państwom trzecim lub organom przez nie wyznaczonym;</w:t>
      </w:r>
    </w:p>
    <w:p w14:paraId="7A2609E7" w14:textId="2945C136" w:rsidR="00BE7E05" w:rsidRPr="00853D04" w:rsidRDefault="00BE7E05" w:rsidP="00F66EBA">
      <w:pPr>
        <w:pStyle w:val="ListDash2"/>
        <w:rPr>
          <w:noProof/>
        </w:rPr>
      </w:pPr>
      <w:r w:rsidRPr="00853D04">
        <w:rPr>
          <w:noProof/>
        </w:rPr>
        <w:t>¨ organizacjom międzynarodowym</w:t>
      </w:r>
      <w:r w:rsidR="00C13C75" w:rsidRPr="00853D04">
        <w:rPr>
          <w:noProof/>
        </w:rPr>
        <w:t xml:space="preserve"> i</w:t>
      </w:r>
      <w:r w:rsidR="00C13C75">
        <w:rPr>
          <w:noProof/>
        </w:rPr>
        <w:t> </w:t>
      </w:r>
      <w:r w:rsidR="00C13C75" w:rsidRPr="00853D04">
        <w:rPr>
          <w:noProof/>
        </w:rPr>
        <w:t>ich</w:t>
      </w:r>
      <w:r w:rsidRPr="00853D04">
        <w:rPr>
          <w:noProof/>
        </w:rPr>
        <w:t xml:space="preserve"> agencjom (należy wyszczególnić);</w:t>
      </w:r>
    </w:p>
    <w:p w14:paraId="2056ED9D" w14:textId="77777777" w:rsidR="00BE7E05" w:rsidRPr="00853D04" w:rsidRDefault="00BE7E05" w:rsidP="00F66EBA">
      <w:pPr>
        <w:pStyle w:val="ListDash2"/>
        <w:rPr>
          <w:noProof/>
        </w:rPr>
      </w:pPr>
      <w:r w:rsidRPr="00853D04">
        <w:rPr>
          <w:noProof/>
        </w:rPr>
        <w:t>¨ EBI oraz Europejskiemu Funduszowi Inwestycyjnemu;</w:t>
      </w:r>
    </w:p>
    <w:p w14:paraId="41E65BE7" w14:textId="18B48277" w:rsidR="00BE7E05" w:rsidRPr="00853D04" w:rsidRDefault="00BE7E05" w:rsidP="00F66EBA">
      <w:pPr>
        <w:pStyle w:val="ListDash2"/>
        <w:rPr>
          <w:noProof/>
        </w:rPr>
      </w:pPr>
      <w:r w:rsidRPr="00853D04">
        <w:rPr>
          <w:noProof/>
        </w:rPr>
        <w:t>¨ organom,</w:t>
      </w:r>
      <w:r w:rsidR="00C13C75" w:rsidRPr="00853D04">
        <w:rPr>
          <w:noProof/>
        </w:rPr>
        <w:t xml:space="preserve"> o</w:t>
      </w:r>
      <w:r w:rsidR="00C13C75">
        <w:rPr>
          <w:noProof/>
        </w:rPr>
        <w:t> </w:t>
      </w:r>
      <w:r w:rsidR="00C13C75" w:rsidRPr="00853D04">
        <w:rPr>
          <w:noProof/>
        </w:rPr>
        <w:t>któ</w:t>
      </w:r>
      <w:r w:rsidRPr="00853D04">
        <w:rPr>
          <w:noProof/>
        </w:rPr>
        <w:t>rych mowa</w:t>
      </w:r>
      <w:r w:rsidR="00C13C75" w:rsidRPr="00853D04">
        <w:rPr>
          <w:noProof/>
        </w:rPr>
        <w:t xml:space="preserve"> w</w:t>
      </w:r>
      <w:r w:rsidR="00C13C75">
        <w:rPr>
          <w:noProof/>
        </w:rPr>
        <w:t> </w:t>
      </w:r>
      <w:r w:rsidR="00C13C75" w:rsidRPr="00C13C75">
        <w:rPr>
          <w:noProof/>
        </w:rPr>
        <w:t>art</w:t>
      </w:r>
      <w:r w:rsidRPr="00C13C75">
        <w:rPr>
          <w:noProof/>
        </w:rPr>
        <w:t>.</w:t>
      </w:r>
      <w:r w:rsidR="00C13C75" w:rsidRPr="00C13C75">
        <w:rPr>
          <w:noProof/>
        </w:rPr>
        <w:t> </w:t>
      </w:r>
      <w:r w:rsidRPr="00C13C75">
        <w:rPr>
          <w:noProof/>
        </w:rPr>
        <w:t>7</w:t>
      </w:r>
      <w:r w:rsidRPr="00853D04">
        <w:rPr>
          <w:noProof/>
        </w:rPr>
        <w:t>0</w:t>
      </w:r>
      <w:r w:rsidR="00C13C75" w:rsidRPr="00853D04">
        <w:rPr>
          <w:noProof/>
        </w:rPr>
        <w:t xml:space="preserve"> i</w:t>
      </w:r>
      <w:r w:rsidR="00C13C75">
        <w:rPr>
          <w:noProof/>
        </w:rPr>
        <w:t> </w:t>
      </w:r>
      <w:r w:rsidR="00C13C75" w:rsidRPr="00853D04">
        <w:rPr>
          <w:noProof/>
        </w:rPr>
        <w:t>7</w:t>
      </w:r>
      <w:r w:rsidRPr="00853D04">
        <w:rPr>
          <w:noProof/>
        </w:rPr>
        <w:t>1 rozporządzenia finansowego;</w:t>
      </w:r>
    </w:p>
    <w:p w14:paraId="3D608BC7" w14:textId="77777777" w:rsidR="00BE7E05" w:rsidRPr="00853D04" w:rsidRDefault="00BE7E05" w:rsidP="00F66EBA">
      <w:pPr>
        <w:pStyle w:val="ListDash2"/>
        <w:rPr>
          <w:noProof/>
        </w:rPr>
      </w:pPr>
      <w:r w:rsidRPr="00853D04">
        <w:rPr>
          <w:noProof/>
        </w:rPr>
        <w:t>¨ organom prawa publicznego;</w:t>
      </w:r>
    </w:p>
    <w:p w14:paraId="3BDF297C" w14:textId="3FDEBCC1" w:rsidR="00BE7E05" w:rsidRPr="00853D04" w:rsidRDefault="00BE7E05" w:rsidP="00F66EBA">
      <w:pPr>
        <w:pStyle w:val="ListDash2"/>
        <w:rPr>
          <w:noProof/>
        </w:rPr>
      </w:pPr>
      <w:r w:rsidRPr="00853D04">
        <w:rPr>
          <w:noProof/>
        </w:rPr>
        <w:t>¨podmiotom podlegającym prawu prywatnemu, które świadczą usługi użyteczności publicznej,</w:t>
      </w:r>
      <w:r w:rsidR="00C13C75" w:rsidRPr="00853D04">
        <w:rPr>
          <w:noProof/>
        </w:rPr>
        <w:t xml:space="preserve"> o</w:t>
      </w:r>
      <w:r w:rsidR="00C13C75">
        <w:rPr>
          <w:noProof/>
        </w:rPr>
        <w:t> </w:t>
      </w:r>
      <w:r w:rsidR="00C13C75" w:rsidRPr="00853D04">
        <w:rPr>
          <w:noProof/>
        </w:rPr>
        <w:t>ile</w:t>
      </w:r>
      <w:r w:rsidRPr="00853D04">
        <w:rPr>
          <w:noProof/>
        </w:rPr>
        <w:t xml:space="preserve"> są im zapewnione odpowiednie gwarancje finansowe;</w:t>
      </w:r>
    </w:p>
    <w:p w14:paraId="7B474BDE" w14:textId="000AFD90" w:rsidR="00BE7E05" w:rsidRPr="00853D04" w:rsidRDefault="00BE7E05" w:rsidP="00F66EBA">
      <w:pPr>
        <w:pStyle w:val="ListDash2"/>
        <w:rPr>
          <w:noProof/>
        </w:rPr>
      </w:pPr>
      <w:r w:rsidRPr="00853D04">
        <w:rPr>
          <w:noProof/>
        </w:rPr>
        <w:t>¨ podmiotom podlegającym prawu prywatnemu państwa członkowskiego, którym powierzono realizację partnerstwa publiczno-prywatnego</w:t>
      </w:r>
      <w:r w:rsidR="00C13C75" w:rsidRPr="00853D04">
        <w:rPr>
          <w:noProof/>
        </w:rPr>
        <w:t xml:space="preserve"> i</w:t>
      </w:r>
      <w:r w:rsidR="00C13C75">
        <w:rPr>
          <w:noProof/>
        </w:rPr>
        <w:t> </w:t>
      </w:r>
      <w:r w:rsidR="00C13C75" w:rsidRPr="00853D04">
        <w:rPr>
          <w:noProof/>
        </w:rPr>
        <w:t>zap</w:t>
      </w:r>
      <w:r w:rsidRPr="00853D04">
        <w:rPr>
          <w:noProof/>
        </w:rPr>
        <w:t>ewniono odpowiednie gwarancje finansowe;</w:t>
      </w:r>
    </w:p>
    <w:p w14:paraId="79366AF9" w14:textId="03C523DF" w:rsidR="00BE7E05" w:rsidRPr="00853D04" w:rsidRDefault="00BE7E05" w:rsidP="00F66EBA">
      <w:pPr>
        <w:pStyle w:val="ListDash2"/>
        <w:rPr>
          <w:noProof/>
        </w:rPr>
      </w:pPr>
      <w:r w:rsidRPr="00853D04">
        <w:rPr>
          <w:noProof/>
        </w:rPr>
        <w:t>¨ podmiotom lub osobom odpowiedzialnym za wykonanie określonych działań</w:t>
      </w:r>
      <w:r w:rsidR="00C13C75" w:rsidRPr="00853D04">
        <w:rPr>
          <w:noProof/>
        </w:rPr>
        <w:t xml:space="preserve"> w</w:t>
      </w:r>
      <w:r w:rsidR="00C13C75">
        <w:rPr>
          <w:noProof/>
        </w:rPr>
        <w:t> </w:t>
      </w:r>
      <w:r w:rsidR="00C13C75" w:rsidRPr="00853D04">
        <w:rPr>
          <w:noProof/>
        </w:rPr>
        <w:t>dzi</w:t>
      </w:r>
      <w:r w:rsidRPr="00853D04">
        <w:rPr>
          <w:noProof/>
        </w:rPr>
        <w:t>edzinie wspólnej polityki zagranicznej</w:t>
      </w:r>
      <w:r w:rsidR="00C13C75" w:rsidRPr="00853D04">
        <w:rPr>
          <w:noProof/>
        </w:rPr>
        <w:t xml:space="preserve"> i</w:t>
      </w:r>
      <w:r w:rsidR="00C13C75">
        <w:rPr>
          <w:noProof/>
        </w:rPr>
        <w:t> </w:t>
      </w:r>
      <w:r w:rsidR="00C13C75" w:rsidRPr="00853D04">
        <w:rPr>
          <w:noProof/>
        </w:rPr>
        <w:t>bez</w:t>
      </w:r>
      <w:r w:rsidRPr="00853D04">
        <w:rPr>
          <w:noProof/>
        </w:rPr>
        <w:t>pieczeństwa na mocy tytułu V Traktatu</w:t>
      </w:r>
      <w:r w:rsidR="00C13C75" w:rsidRPr="00853D04">
        <w:rPr>
          <w:noProof/>
        </w:rPr>
        <w:t xml:space="preserve"> o</w:t>
      </w:r>
      <w:r w:rsidR="00C13C75">
        <w:rPr>
          <w:noProof/>
        </w:rPr>
        <w:t> </w:t>
      </w:r>
      <w:r w:rsidR="00C13C75" w:rsidRPr="00853D04">
        <w:rPr>
          <w:noProof/>
        </w:rPr>
        <w:t>Uni</w:t>
      </w:r>
      <w:r w:rsidRPr="00853D04">
        <w:rPr>
          <w:noProof/>
        </w:rPr>
        <w:t>i Europejskiej oraz określonym we właściwym podstawowym akcie prawnym.</w:t>
      </w:r>
    </w:p>
    <w:p w14:paraId="37B2BEE1" w14:textId="238C9D40" w:rsidR="00BE7E05" w:rsidRPr="00853D04" w:rsidRDefault="00BE7E05" w:rsidP="00F66EBA">
      <w:pPr>
        <w:pStyle w:val="ListDash2"/>
        <w:rPr>
          <w:i/>
          <w:noProof/>
          <w:sz w:val="18"/>
          <w:u w:val="single"/>
        </w:rPr>
      </w:pPr>
      <w:r w:rsidRPr="00853D04">
        <w:rPr>
          <w:i/>
          <w:noProof/>
          <w:sz w:val="18"/>
        </w:rPr>
        <w:t>W przypadku wskazania więcej niż jednego trybu należy podać dodatkowe informacje</w:t>
      </w:r>
      <w:r w:rsidR="00C13C75" w:rsidRPr="00853D04">
        <w:rPr>
          <w:i/>
          <w:noProof/>
          <w:sz w:val="18"/>
        </w:rPr>
        <w:t xml:space="preserve"> w</w:t>
      </w:r>
      <w:r w:rsidR="00C13C75">
        <w:rPr>
          <w:i/>
          <w:noProof/>
          <w:sz w:val="18"/>
        </w:rPr>
        <w:t> </w:t>
      </w:r>
      <w:r w:rsidR="00C13C75" w:rsidRPr="00853D04">
        <w:rPr>
          <w:i/>
          <w:noProof/>
          <w:sz w:val="18"/>
        </w:rPr>
        <w:t>czę</w:t>
      </w:r>
      <w:r w:rsidRPr="00853D04">
        <w:rPr>
          <w:i/>
          <w:noProof/>
          <w:sz w:val="18"/>
        </w:rPr>
        <w:t>ści „Uwagi”.</w:t>
      </w:r>
    </w:p>
    <w:p w14:paraId="5F519148" w14:textId="77777777" w:rsidR="00BE7E05" w:rsidRPr="00853D04" w:rsidRDefault="00BE7E05">
      <w:pPr>
        <w:rPr>
          <w:noProof/>
        </w:rPr>
      </w:pPr>
      <w:r w:rsidRPr="00853D04">
        <w:rPr>
          <w:noProof/>
        </w:rPr>
        <w:t xml:space="preserve">Uwagi </w:t>
      </w:r>
    </w:p>
    <w:p w14:paraId="573F654D" w14:textId="515DB29C" w:rsidR="00F83724" w:rsidRPr="00853D04" w:rsidRDefault="557A62A4" w:rsidP="6209A4CE">
      <w:pPr>
        <w:pBdr>
          <w:top w:val="single" w:sz="4" w:space="1" w:color="auto"/>
          <w:left w:val="single" w:sz="4" w:space="4" w:color="auto"/>
          <w:bottom w:val="single" w:sz="4" w:space="1" w:color="auto"/>
          <w:right w:val="single" w:sz="4" w:space="4" w:color="auto"/>
        </w:pBdr>
        <w:rPr>
          <w:noProof/>
        </w:rPr>
      </w:pPr>
      <w:r w:rsidRPr="00853D04">
        <w:rPr>
          <w:noProof/>
        </w:rPr>
        <w:t>W konsekwencji wniosku zostaną wykorzystane narzędzia informatyczne, które są już finansowane</w:t>
      </w:r>
      <w:r w:rsidR="00C13C75" w:rsidRPr="00853D04">
        <w:rPr>
          <w:noProof/>
        </w:rPr>
        <w:t xml:space="preserve"> w</w:t>
      </w:r>
      <w:r w:rsidR="00C13C75">
        <w:rPr>
          <w:noProof/>
        </w:rPr>
        <w:t> </w:t>
      </w:r>
      <w:r w:rsidR="00C13C75" w:rsidRPr="00853D04">
        <w:rPr>
          <w:noProof/>
        </w:rPr>
        <w:t>ram</w:t>
      </w:r>
      <w:r w:rsidRPr="00853D04">
        <w:rPr>
          <w:noProof/>
        </w:rPr>
        <w:t>ach Programu na rzecz jednolitego rynku</w:t>
      </w:r>
      <w:r w:rsidR="00C13C75" w:rsidRPr="00853D04">
        <w:rPr>
          <w:noProof/>
        </w:rPr>
        <w:t xml:space="preserve"> i</w:t>
      </w:r>
      <w:r w:rsidR="00C13C75">
        <w:rPr>
          <w:noProof/>
        </w:rPr>
        <w:t> </w:t>
      </w:r>
      <w:r w:rsidR="00C13C75" w:rsidRPr="00853D04">
        <w:rPr>
          <w:noProof/>
        </w:rPr>
        <w:t>zar</w:t>
      </w:r>
      <w:r w:rsidRPr="00853D04">
        <w:rPr>
          <w:noProof/>
        </w:rPr>
        <w:t>ządzane przez Komisję,</w:t>
      </w:r>
      <w:r w:rsidR="00C13C75" w:rsidRPr="00853D04">
        <w:rPr>
          <w:noProof/>
        </w:rPr>
        <w:t xml:space="preserve"> a</w:t>
      </w:r>
      <w:r w:rsidR="00C13C75">
        <w:rPr>
          <w:noProof/>
        </w:rPr>
        <w:t> </w:t>
      </w:r>
      <w:r w:rsidR="00C13C75" w:rsidRPr="00853D04">
        <w:rPr>
          <w:noProof/>
        </w:rPr>
        <w:t>mia</w:t>
      </w:r>
      <w:r w:rsidRPr="00853D04">
        <w:rPr>
          <w:noProof/>
        </w:rPr>
        <w:t>nowicie system IMI na potrzeby współpracy administracyjnej między właściwymi organami państw członkowskich oraz jednolity portal cyfrowy.</w:t>
      </w:r>
    </w:p>
    <w:p w14:paraId="361E1543" w14:textId="77777777" w:rsidR="6209A4CE" w:rsidRPr="00853D04" w:rsidRDefault="6209A4CE" w:rsidP="6209A4CE">
      <w:pPr>
        <w:pBdr>
          <w:top w:val="single" w:sz="4" w:space="1" w:color="auto"/>
          <w:left w:val="single" w:sz="4" w:space="4" w:color="auto"/>
          <w:bottom w:val="single" w:sz="4" w:space="1" w:color="auto"/>
          <w:right w:val="single" w:sz="4" w:space="4" w:color="auto"/>
        </w:pBdr>
        <w:rPr>
          <w:noProof/>
        </w:rPr>
      </w:pPr>
    </w:p>
    <w:p w14:paraId="3B228076" w14:textId="77777777" w:rsidR="00BE7E05" w:rsidRPr="00853D04" w:rsidRDefault="00BE7E05">
      <w:pPr>
        <w:rPr>
          <w:noProof/>
        </w:rPr>
        <w:sectPr w:rsidR="00BE7E05" w:rsidRPr="00853D04" w:rsidSect="002D57EB">
          <w:pgSz w:w="11907" w:h="16840" w:code="9"/>
          <w:pgMar w:top="1134" w:right="1418" w:bottom="1134" w:left="1418" w:header="709" w:footer="709" w:gutter="0"/>
          <w:cols w:space="708"/>
          <w:docGrid w:linePitch="360"/>
        </w:sectPr>
      </w:pPr>
    </w:p>
    <w:p w14:paraId="35A6EF88" w14:textId="77777777" w:rsidR="00BE7E05" w:rsidRPr="00853D04" w:rsidRDefault="00BE7E05">
      <w:pPr>
        <w:pStyle w:val="ManualHeading1"/>
        <w:rPr>
          <w:noProof/>
        </w:rPr>
      </w:pPr>
      <w:bookmarkStart w:id="39" w:name="_Toc514938041"/>
      <w:bookmarkStart w:id="40" w:name="_Toc520485042"/>
      <w:r w:rsidRPr="00853D04">
        <w:rPr>
          <w:noProof/>
        </w:rPr>
        <w:t>2.</w:t>
      </w:r>
      <w:r w:rsidRPr="00853D04">
        <w:rPr>
          <w:noProof/>
        </w:rPr>
        <w:tab/>
        <w:t>ŚRODKI ZARZĄDZANIA</w:t>
      </w:r>
      <w:bookmarkEnd w:id="39"/>
      <w:bookmarkEnd w:id="40"/>
      <w:r w:rsidRPr="00853D04">
        <w:rPr>
          <w:noProof/>
        </w:rPr>
        <w:t xml:space="preserve"> </w:t>
      </w:r>
    </w:p>
    <w:p w14:paraId="604004E1" w14:textId="725892B4" w:rsidR="00BE7E05" w:rsidRPr="00853D04" w:rsidRDefault="00BE7E05">
      <w:pPr>
        <w:pStyle w:val="ManualHeading2"/>
        <w:rPr>
          <w:noProof/>
        </w:rPr>
      </w:pPr>
      <w:bookmarkStart w:id="41" w:name="_Toc514938042"/>
      <w:bookmarkStart w:id="42" w:name="_Toc520485043"/>
      <w:r w:rsidRPr="00853D04">
        <w:rPr>
          <w:noProof/>
        </w:rPr>
        <w:t>2.1.</w:t>
      </w:r>
      <w:r w:rsidRPr="00853D04">
        <w:rPr>
          <w:noProof/>
        </w:rPr>
        <w:tab/>
        <w:t>Zasady nadzoru</w:t>
      </w:r>
      <w:r w:rsidR="00C13C75" w:rsidRPr="00853D04">
        <w:rPr>
          <w:noProof/>
        </w:rPr>
        <w:t xml:space="preserve"> i</w:t>
      </w:r>
      <w:r w:rsidR="00C13C75">
        <w:rPr>
          <w:noProof/>
        </w:rPr>
        <w:t> </w:t>
      </w:r>
      <w:r w:rsidR="00C13C75" w:rsidRPr="00853D04">
        <w:rPr>
          <w:noProof/>
        </w:rPr>
        <w:t>spr</w:t>
      </w:r>
      <w:r w:rsidRPr="00853D04">
        <w:rPr>
          <w:noProof/>
        </w:rPr>
        <w:t>awozdawczości</w:t>
      </w:r>
      <w:bookmarkEnd w:id="41"/>
      <w:bookmarkEnd w:id="42"/>
      <w:r w:rsidRPr="00853D04">
        <w:rPr>
          <w:noProof/>
        </w:rPr>
        <w:t xml:space="preserve"> </w:t>
      </w:r>
    </w:p>
    <w:p w14:paraId="130808BA" w14:textId="029C8001" w:rsidR="00BE7E05" w:rsidRPr="00853D04" w:rsidRDefault="00BE7E05">
      <w:pPr>
        <w:pStyle w:val="Text1"/>
        <w:rPr>
          <w:i/>
          <w:noProof/>
          <w:sz w:val="20"/>
        </w:rPr>
      </w:pPr>
      <w:r w:rsidRPr="00853D04">
        <w:rPr>
          <w:i/>
          <w:noProof/>
          <w:sz w:val="20"/>
        </w:rPr>
        <w:t>Określić częstotliwość</w:t>
      </w:r>
      <w:r w:rsidR="00C13C75" w:rsidRPr="00853D04">
        <w:rPr>
          <w:i/>
          <w:noProof/>
          <w:sz w:val="20"/>
        </w:rPr>
        <w:t xml:space="preserve"> i</w:t>
      </w:r>
      <w:r w:rsidR="00C13C75">
        <w:rPr>
          <w:i/>
          <w:noProof/>
          <w:sz w:val="20"/>
        </w:rPr>
        <w:t> </w:t>
      </w:r>
      <w:r w:rsidR="00C13C75" w:rsidRPr="00853D04">
        <w:rPr>
          <w:i/>
          <w:noProof/>
          <w:sz w:val="20"/>
        </w:rPr>
        <w:t>war</w:t>
      </w:r>
      <w:r w:rsidRPr="00853D04">
        <w:rPr>
          <w:i/>
          <w:noProof/>
          <w:sz w:val="20"/>
        </w:rPr>
        <w:t>unki</w:t>
      </w:r>
    </w:p>
    <w:p w14:paraId="36438B02" w14:textId="730B39D6" w:rsidR="00BE7E05" w:rsidRPr="00853D04" w:rsidRDefault="4B8B69DE"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Komisja przedłoży Parlamentowi Europejskiemu</w:t>
      </w:r>
      <w:r w:rsidR="00C13C75" w:rsidRPr="00853D04">
        <w:rPr>
          <w:noProof/>
        </w:rPr>
        <w:t xml:space="preserve"> i</w:t>
      </w:r>
      <w:r w:rsidR="00C13C75">
        <w:rPr>
          <w:noProof/>
        </w:rPr>
        <w:t> </w:t>
      </w:r>
      <w:r w:rsidR="00C13C75" w:rsidRPr="00853D04">
        <w:rPr>
          <w:noProof/>
        </w:rPr>
        <w:t>Rad</w:t>
      </w:r>
      <w:r w:rsidRPr="00853D04">
        <w:rPr>
          <w:noProof/>
        </w:rPr>
        <w:t>zie pierwsze sprawozdanie</w:t>
      </w:r>
      <w:r w:rsidR="00C13C75" w:rsidRPr="00853D04">
        <w:rPr>
          <w:noProof/>
        </w:rPr>
        <w:t xml:space="preserve"> z</w:t>
      </w:r>
      <w:r w:rsidR="00C13C75">
        <w:rPr>
          <w:noProof/>
        </w:rPr>
        <w:t> </w:t>
      </w:r>
      <w:r w:rsidR="00C13C75" w:rsidRPr="00853D04">
        <w:rPr>
          <w:noProof/>
        </w:rPr>
        <w:t>wdr</w:t>
      </w:r>
      <w:r w:rsidRPr="00853D04">
        <w:rPr>
          <w:noProof/>
        </w:rPr>
        <w:t>ożenia niniejszej dyrektywy po upływie siedmiu lat od terminu transpozycji dyrektywy,</w:t>
      </w:r>
      <w:r w:rsidR="00C13C75" w:rsidRPr="00853D04">
        <w:rPr>
          <w:noProof/>
        </w:rPr>
        <w:t xml:space="preserve"> a</w:t>
      </w:r>
      <w:r w:rsidR="00C13C75">
        <w:rPr>
          <w:noProof/>
        </w:rPr>
        <w:t> </w:t>
      </w:r>
      <w:r w:rsidR="00C13C75" w:rsidRPr="00853D04">
        <w:rPr>
          <w:noProof/>
        </w:rPr>
        <w:t>nas</w:t>
      </w:r>
      <w:r w:rsidRPr="00853D04">
        <w:rPr>
          <w:noProof/>
        </w:rPr>
        <w:t xml:space="preserve">tępnie co pięć lat będzie składać kolejne sprawozdania. </w:t>
      </w:r>
    </w:p>
    <w:p w14:paraId="5838917C" w14:textId="6C8D5FDD" w:rsidR="00BE7E05" w:rsidRPr="00853D04" w:rsidRDefault="07B28604" w:rsidP="188AFA49">
      <w:pPr>
        <w:pStyle w:val="ManualHeading2"/>
        <w:rPr>
          <w:noProof/>
        </w:rPr>
      </w:pPr>
      <w:bookmarkStart w:id="43" w:name="_Toc514938045"/>
      <w:bookmarkStart w:id="44" w:name="_Toc520485044"/>
      <w:r w:rsidRPr="00853D04">
        <w:rPr>
          <w:noProof/>
        </w:rPr>
        <w:t>2.2.</w:t>
      </w:r>
      <w:r w:rsidRPr="00853D04">
        <w:rPr>
          <w:noProof/>
        </w:rPr>
        <w:tab/>
        <w:t>System zarządzania</w:t>
      </w:r>
      <w:r w:rsidR="00C13C75" w:rsidRPr="00853D04">
        <w:rPr>
          <w:noProof/>
        </w:rPr>
        <w:t xml:space="preserve"> i</w:t>
      </w:r>
      <w:r w:rsidR="00C13C75">
        <w:rPr>
          <w:noProof/>
        </w:rPr>
        <w:t> </w:t>
      </w:r>
      <w:r w:rsidR="00C13C75" w:rsidRPr="00853D04">
        <w:rPr>
          <w:noProof/>
        </w:rPr>
        <w:t>kon</w:t>
      </w:r>
      <w:r w:rsidRPr="00853D04">
        <w:rPr>
          <w:noProof/>
        </w:rPr>
        <w:t>troli</w:t>
      </w:r>
      <w:bookmarkEnd w:id="43"/>
      <w:bookmarkEnd w:id="44"/>
      <w:r w:rsidRPr="00853D04">
        <w:rPr>
          <w:noProof/>
        </w:rPr>
        <w:t xml:space="preserve"> </w:t>
      </w:r>
    </w:p>
    <w:p w14:paraId="0D322003" w14:textId="5F88942B" w:rsidR="00BE7E05" w:rsidRPr="00853D04" w:rsidRDefault="00BE7E05">
      <w:pPr>
        <w:pStyle w:val="ManualHeading3"/>
        <w:rPr>
          <w:noProof/>
        </w:rPr>
      </w:pPr>
      <w:bookmarkStart w:id="45" w:name="_Toc514938046"/>
      <w:bookmarkStart w:id="46" w:name="_Toc520485045"/>
      <w:r w:rsidRPr="00853D04">
        <w:rPr>
          <w:noProof/>
        </w:rPr>
        <w:t>2.2.1.</w:t>
      </w:r>
      <w:r w:rsidRPr="00853D04">
        <w:rPr>
          <w:noProof/>
        </w:rPr>
        <w:tab/>
        <w:t>Uzasadnienie dla systemu zarządzania, mechanizmów finansowania wykonania, warunków płatności</w:t>
      </w:r>
      <w:r w:rsidR="00C13C75" w:rsidRPr="00853D04">
        <w:rPr>
          <w:noProof/>
        </w:rPr>
        <w:t xml:space="preserve"> i</w:t>
      </w:r>
      <w:r w:rsidR="00C13C75">
        <w:rPr>
          <w:noProof/>
        </w:rPr>
        <w:t> </w:t>
      </w:r>
      <w:r w:rsidR="00C13C75" w:rsidRPr="00853D04">
        <w:rPr>
          <w:noProof/>
        </w:rPr>
        <w:t>pro</w:t>
      </w:r>
      <w:r w:rsidRPr="00853D04">
        <w:rPr>
          <w:noProof/>
        </w:rPr>
        <w:t>ponowanej strategii kontroli</w:t>
      </w:r>
      <w:bookmarkEnd w:id="45"/>
      <w:bookmarkEnd w:id="46"/>
    </w:p>
    <w:p w14:paraId="5702BE06" w14:textId="7685CD00" w:rsidR="00A81F65" w:rsidRPr="00853D04" w:rsidRDefault="00A81F65" w:rsidP="00A81F65">
      <w:pPr>
        <w:pStyle w:val="Text1"/>
        <w:pBdr>
          <w:top w:val="single" w:sz="4" w:space="1" w:color="auto"/>
          <w:left w:val="single" w:sz="4" w:space="4" w:color="auto"/>
          <w:bottom w:val="single" w:sz="4" w:space="1" w:color="auto"/>
          <w:right w:val="single" w:sz="4" w:space="4" w:color="auto"/>
        </w:pBdr>
        <w:rPr>
          <w:noProof/>
        </w:rPr>
      </w:pPr>
      <w:r w:rsidRPr="00853D04">
        <w:rPr>
          <w:noProof/>
        </w:rPr>
        <w:t>Przewidziana we wniosku współpraca administracyjna między właściwymi organami</w:t>
      </w:r>
      <w:r w:rsidR="00C13C75" w:rsidRPr="00853D04">
        <w:rPr>
          <w:noProof/>
        </w:rPr>
        <w:t xml:space="preserve"> w</w:t>
      </w:r>
      <w:r w:rsidR="00C13C75">
        <w:rPr>
          <w:noProof/>
        </w:rPr>
        <w:t> </w:t>
      </w:r>
      <w:r w:rsidR="00C13C75" w:rsidRPr="00853D04">
        <w:rPr>
          <w:noProof/>
        </w:rPr>
        <w:t>pań</w:t>
      </w:r>
      <w:r w:rsidRPr="00853D04">
        <w:rPr>
          <w:noProof/>
        </w:rPr>
        <w:t>stwach członkowskich będzie odbywać się za pośrednictwem już istniejącego systemu IMI</w:t>
      </w:r>
      <w:r w:rsidR="00C13C75" w:rsidRPr="00853D04">
        <w:rPr>
          <w:noProof/>
        </w:rPr>
        <w:t xml:space="preserve"> i</w:t>
      </w:r>
      <w:r w:rsidR="00C13C75">
        <w:rPr>
          <w:noProof/>
        </w:rPr>
        <w:t> </w:t>
      </w:r>
      <w:r w:rsidR="00C13C75" w:rsidRPr="00853D04">
        <w:rPr>
          <w:noProof/>
        </w:rPr>
        <w:t>jed</w:t>
      </w:r>
      <w:r w:rsidRPr="00853D04">
        <w:rPr>
          <w:noProof/>
        </w:rPr>
        <w:t>nolitego portalu cyfrowego obsługiwanego przez Komisję (Dyrekcja Generalna ds. Rynku Wewnętrznego, Przemysłu, Przedsiębiorczości i MŚP)</w:t>
      </w:r>
      <w:r w:rsidR="00C13C75" w:rsidRPr="00853D04">
        <w:rPr>
          <w:noProof/>
        </w:rPr>
        <w:t>. W</w:t>
      </w:r>
      <w:r w:rsidR="00C13C75">
        <w:rPr>
          <w:noProof/>
        </w:rPr>
        <w:t> </w:t>
      </w:r>
      <w:r w:rsidR="00C13C75" w:rsidRPr="00853D04">
        <w:rPr>
          <w:noProof/>
        </w:rPr>
        <w:t>tym</w:t>
      </w:r>
      <w:r w:rsidRPr="00853D04">
        <w:rPr>
          <w:noProof/>
        </w:rPr>
        <w:t xml:space="preserve"> celu</w:t>
      </w:r>
      <w:r w:rsidR="00C13C75" w:rsidRPr="00853D04">
        <w:rPr>
          <w:noProof/>
        </w:rPr>
        <w:t xml:space="preserve"> w</w:t>
      </w:r>
      <w:r w:rsidR="00C13C75">
        <w:rPr>
          <w:noProof/>
        </w:rPr>
        <w:t> </w:t>
      </w:r>
      <w:r w:rsidR="00C13C75" w:rsidRPr="00853D04">
        <w:rPr>
          <w:noProof/>
        </w:rPr>
        <w:t>ram</w:t>
      </w:r>
      <w:r w:rsidRPr="00853D04">
        <w:rPr>
          <w:noProof/>
        </w:rPr>
        <w:t>ach niniejszego wniosku dotyczącego dyrektywy rozszerza się zakres systemu IMI</w:t>
      </w:r>
      <w:r w:rsidR="00C13C75" w:rsidRPr="00853D04">
        <w:rPr>
          <w:noProof/>
        </w:rPr>
        <w:t xml:space="preserve"> i</w:t>
      </w:r>
      <w:r w:rsidR="00C13C75">
        <w:rPr>
          <w:noProof/>
        </w:rPr>
        <w:t> </w:t>
      </w:r>
      <w:r w:rsidR="00C13C75" w:rsidRPr="00853D04">
        <w:rPr>
          <w:noProof/>
        </w:rPr>
        <w:t>jed</w:t>
      </w:r>
      <w:r w:rsidRPr="00853D04">
        <w:rPr>
          <w:noProof/>
        </w:rPr>
        <w:t>nolitego portalu cyfrowego. Wymaga to udostępnienia zasobów</w:t>
      </w:r>
      <w:r w:rsidR="00C13C75" w:rsidRPr="00853D04">
        <w:rPr>
          <w:noProof/>
        </w:rPr>
        <w:t xml:space="preserve"> w</w:t>
      </w:r>
      <w:r w:rsidR="00C13C75">
        <w:rPr>
          <w:noProof/>
        </w:rPr>
        <w:t> </w:t>
      </w:r>
      <w:r w:rsidR="00C13C75" w:rsidRPr="00853D04">
        <w:rPr>
          <w:noProof/>
        </w:rPr>
        <w:t>cel</w:t>
      </w:r>
      <w:r w:rsidRPr="00853D04">
        <w:rPr>
          <w:noProof/>
        </w:rPr>
        <w:t>u dostosowania systemu IMI do potrzeb proponowanej dyrektywy, chociaż nie uważa się za konieczne dodatkowego udostępnienia zasobów</w:t>
      </w:r>
      <w:r w:rsidR="00C13C75" w:rsidRPr="00853D04">
        <w:rPr>
          <w:noProof/>
        </w:rPr>
        <w:t xml:space="preserve"> w</w:t>
      </w:r>
      <w:r w:rsidR="00C13C75">
        <w:rPr>
          <w:noProof/>
        </w:rPr>
        <w:t> </w:t>
      </w:r>
      <w:r w:rsidR="00C13C75" w:rsidRPr="00853D04">
        <w:rPr>
          <w:noProof/>
        </w:rPr>
        <w:t>cel</w:t>
      </w:r>
      <w:r w:rsidRPr="00853D04">
        <w:rPr>
          <w:noProof/>
        </w:rPr>
        <w:t>u dostosowania pojedynczej bramy cyfrowej.</w:t>
      </w:r>
    </w:p>
    <w:p w14:paraId="1F40C918" w14:textId="77777777" w:rsidR="00BE7E05" w:rsidRPr="00853D04" w:rsidRDefault="00A81F65" w:rsidP="00E76733">
      <w:pPr>
        <w:pStyle w:val="Text1"/>
        <w:pBdr>
          <w:top w:val="single" w:sz="4" w:space="1" w:color="auto"/>
          <w:left w:val="single" w:sz="4" w:space="4" w:color="auto"/>
          <w:bottom w:val="single" w:sz="4" w:space="1" w:color="auto"/>
          <w:right w:val="single" w:sz="4" w:space="4" w:color="auto"/>
        </w:pBdr>
        <w:rPr>
          <w:noProof/>
        </w:rPr>
      </w:pPr>
      <w:r w:rsidRPr="00853D04">
        <w:rPr>
          <w:noProof/>
        </w:rPr>
        <w:t>Niniejszy wniosek nie zmienia trybu zarządzania, mechanizmu finansowania wykonania, warunków płatności ani strategii kontroli, które zostały już wprowadzone do systemu i są stosowane przez Komisję.</w:t>
      </w:r>
    </w:p>
    <w:p w14:paraId="136F5A30" w14:textId="1A6308FD" w:rsidR="00BE7E05" w:rsidRPr="00853D04" w:rsidRDefault="00BE7E05">
      <w:pPr>
        <w:pStyle w:val="ManualHeading3"/>
        <w:rPr>
          <w:noProof/>
        </w:rPr>
      </w:pPr>
      <w:bookmarkStart w:id="47" w:name="_Toc514938047"/>
      <w:bookmarkStart w:id="48" w:name="_Toc520485046"/>
      <w:r w:rsidRPr="00853D04">
        <w:rPr>
          <w:noProof/>
        </w:rPr>
        <w:t>2.2.2.</w:t>
      </w:r>
      <w:r w:rsidRPr="00853D04">
        <w:rPr>
          <w:noProof/>
        </w:rPr>
        <w:tab/>
        <w:t>Informacje dotyczące zidentyfikowanego ryzyka</w:t>
      </w:r>
      <w:r w:rsidR="00C13C75" w:rsidRPr="00853D04">
        <w:rPr>
          <w:noProof/>
        </w:rPr>
        <w:t xml:space="preserve"> i</w:t>
      </w:r>
      <w:r w:rsidR="00C13C75">
        <w:rPr>
          <w:noProof/>
        </w:rPr>
        <w:t> </w:t>
      </w:r>
      <w:r w:rsidR="00C13C75" w:rsidRPr="00853D04">
        <w:rPr>
          <w:noProof/>
        </w:rPr>
        <w:t>sys</w:t>
      </w:r>
      <w:r w:rsidRPr="00853D04">
        <w:rPr>
          <w:noProof/>
        </w:rPr>
        <w:t>temów kontroli wewnętrznej ustanowionych</w:t>
      </w:r>
      <w:r w:rsidR="00C13C75" w:rsidRPr="00853D04">
        <w:rPr>
          <w:noProof/>
        </w:rPr>
        <w:t xml:space="preserve"> w</w:t>
      </w:r>
      <w:r w:rsidR="00C13C75">
        <w:rPr>
          <w:noProof/>
        </w:rPr>
        <w:t> </w:t>
      </w:r>
      <w:r w:rsidR="00C13C75" w:rsidRPr="00853D04">
        <w:rPr>
          <w:noProof/>
        </w:rPr>
        <w:t>cel</w:t>
      </w:r>
      <w:r w:rsidRPr="00853D04">
        <w:rPr>
          <w:noProof/>
        </w:rPr>
        <w:t>u jego ograniczenia</w:t>
      </w:r>
      <w:bookmarkEnd w:id="47"/>
      <w:bookmarkEnd w:id="48"/>
    </w:p>
    <w:p w14:paraId="31E3AD51" w14:textId="070D53F4" w:rsidR="003A53CA" w:rsidRPr="00853D04" w:rsidRDefault="003A53CA" w:rsidP="003A53CA">
      <w:pPr>
        <w:pStyle w:val="Text1"/>
        <w:pBdr>
          <w:top w:val="single" w:sz="4" w:space="1" w:color="auto"/>
          <w:left w:val="single" w:sz="4" w:space="4" w:color="auto"/>
          <w:bottom w:val="single" w:sz="4" w:space="1" w:color="auto"/>
          <w:right w:val="single" w:sz="4" w:space="4" w:color="auto"/>
        </w:pBdr>
        <w:rPr>
          <w:noProof/>
        </w:rPr>
      </w:pPr>
      <w:r w:rsidRPr="00853D04">
        <w:rPr>
          <w:noProof/>
        </w:rPr>
        <w:t>Główne zidentyfikowane ryzyko wiąże się</w:t>
      </w:r>
      <w:r w:rsidR="00C13C75" w:rsidRPr="00853D04">
        <w:rPr>
          <w:noProof/>
        </w:rPr>
        <w:t xml:space="preserve"> z</w:t>
      </w:r>
      <w:r w:rsidR="00C13C75">
        <w:rPr>
          <w:noProof/>
        </w:rPr>
        <w:t> </w:t>
      </w:r>
      <w:r w:rsidR="00C13C75" w:rsidRPr="00853D04">
        <w:rPr>
          <w:noProof/>
        </w:rPr>
        <w:t>prz</w:t>
      </w:r>
      <w:r w:rsidRPr="00853D04">
        <w:rPr>
          <w:noProof/>
        </w:rPr>
        <w:t>ekroczeniem terminu</w:t>
      </w:r>
      <w:r w:rsidR="00C13C75" w:rsidRPr="00853D04">
        <w:rPr>
          <w:noProof/>
        </w:rPr>
        <w:t xml:space="preserve"> i</w:t>
      </w:r>
      <w:r w:rsidR="00C13C75">
        <w:rPr>
          <w:noProof/>
        </w:rPr>
        <w:t> </w:t>
      </w:r>
      <w:r w:rsidR="00C13C75" w:rsidRPr="00853D04">
        <w:rPr>
          <w:noProof/>
        </w:rPr>
        <w:t>kos</w:t>
      </w:r>
      <w:r w:rsidRPr="00853D04">
        <w:rPr>
          <w:noProof/>
        </w:rPr>
        <w:t>ztów</w:t>
      </w:r>
      <w:r w:rsidR="00C13C75" w:rsidRPr="00853D04">
        <w:rPr>
          <w:noProof/>
        </w:rPr>
        <w:t xml:space="preserve"> z</w:t>
      </w:r>
      <w:r w:rsidR="00C13C75">
        <w:rPr>
          <w:noProof/>
        </w:rPr>
        <w:t> </w:t>
      </w:r>
      <w:r w:rsidR="00C13C75" w:rsidRPr="00853D04">
        <w:rPr>
          <w:noProof/>
        </w:rPr>
        <w:t>pow</w:t>
      </w:r>
      <w:r w:rsidRPr="00853D04">
        <w:rPr>
          <w:noProof/>
        </w:rPr>
        <w:t>odu nieprzewidzianych kwestii dotyczących wdrożenia systemu informatycznego</w:t>
      </w:r>
      <w:r w:rsidR="00C13C75" w:rsidRPr="00853D04">
        <w:rPr>
          <w:noProof/>
        </w:rPr>
        <w:t xml:space="preserve"> w</w:t>
      </w:r>
      <w:r w:rsidR="00C13C75">
        <w:rPr>
          <w:noProof/>
        </w:rPr>
        <w:t> </w:t>
      </w:r>
      <w:r w:rsidR="00C13C75" w:rsidRPr="00853D04">
        <w:rPr>
          <w:noProof/>
        </w:rPr>
        <w:t>zwi</w:t>
      </w:r>
      <w:r w:rsidRPr="00853D04">
        <w:rPr>
          <w:noProof/>
        </w:rPr>
        <w:t>ązku</w:t>
      </w:r>
      <w:r w:rsidR="00C13C75" w:rsidRPr="00853D04">
        <w:rPr>
          <w:noProof/>
        </w:rPr>
        <w:t xml:space="preserve"> z</w:t>
      </w:r>
      <w:r w:rsidR="00C13C75">
        <w:rPr>
          <w:noProof/>
        </w:rPr>
        <w:t> </w:t>
      </w:r>
      <w:r w:rsidR="00C13C75" w:rsidRPr="00853D04">
        <w:rPr>
          <w:noProof/>
        </w:rPr>
        <w:t>dos</w:t>
      </w:r>
      <w:r w:rsidRPr="00853D04">
        <w:rPr>
          <w:noProof/>
        </w:rPr>
        <w:t>tosowaniem systemu IMI. Ryzyko to zostaje złagodzone przez fakt, że system IMI już działa,</w:t>
      </w:r>
      <w:r w:rsidR="00C13C75" w:rsidRPr="00853D04">
        <w:rPr>
          <w:noProof/>
        </w:rPr>
        <w:t xml:space="preserve"> a</w:t>
      </w:r>
      <w:r w:rsidR="00C13C75">
        <w:rPr>
          <w:noProof/>
        </w:rPr>
        <w:t> </w:t>
      </w:r>
      <w:r w:rsidR="00C13C75" w:rsidRPr="00853D04">
        <w:rPr>
          <w:noProof/>
        </w:rPr>
        <w:t>odp</w:t>
      </w:r>
      <w:r w:rsidRPr="00853D04">
        <w:rPr>
          <w:noProof/>
        </w:rPr>
        <w:t>owiednie służby Komisji mają wcześniejsze doświadczenie</w:t>
      </w:r>
      <w:r w:rsidR="00C13C75" w:rsidRPr="00853D04">
        <w:rPr>
          <w:noProof/>
        </w:rPr>
        <w:t xml:space="preserve"> w</w:t>
      </w:r>
      <w:r w:rsidR="00C13C75">
        <w:rPr>
          <w:noProof/>
        </w:rPr>
        <w:t> </w:t>
      </w:r>
      <w:r w:rsidR="00C13C75" w:rsidRPr="00853D04">
        <w:rPr>
          <w:noProof/>
        </w:rPr>
        <w:t>dos</w:t>
      </w:r>
      <w:r w:rsidRPr="00853D04">
        <w:rPr>
          <w:noProof/>
        </w:rPr>
        <w:t>tosowywaniu systemu do nowych potrzeb przedsiębiorstw.</w:t>
      </w:r>
    </w:p>
    <w:p w14:paraId="067CDA04" w14:textId="74EB433F" w:rsidR="00BE7E05" w:rsidRPr="00853D04" w:rsidRDefault="07B28604">
      <w:pPr>
        <w:pStyle w:val="ManualHeading3"/>
        <w:rPr>
          <w:noProof/>
        </w:rPr>
      </w:pPr>
      <w:bookmarkStart w:id="49" w:name="_Toc514938048"/>
      <w:bookmarkStart w:id="50" w:name="_Toc520485047"/>
      <w:r w:rsidRPr="00853D04">
        <w:rPr>
          <w:noProof/>
        </w:rPr>
        <w:t>2.2.3.</w:t>
      </w:r>
      <w:r w:rsidRPr="00853D04">
        <w:rPr>
          <w:noProof/>
        </w:rPr>
        <w:tab/>
        <w:t>Oszacowanie</w:t>
      </w:r>
      <w:r w:rsidR="00C13C75" w:rsidRPr="00853D04">
        <w:rPr>
          <w:noProof/>
        </w:rPr>
        <w:t xml:space="preserve"> i</w:t>
      </w:r>
      <w:r w:rsidR="00C13C75">
        <w:rPr>
          <w:noProof/>
        </w:rPr>
        <w:t> </w:t>
      </w:r>
      <w:r w:rsidR="00C13C75" w:rsidRPr="00853D04">
        <w:rPr>
          <w:noProof/>
        </w:rPr>
        <w:t>uza</w:t>
      </w:r>
      <w:r w:rsidRPr="00853D04">
        <w:rPr>
          <w:noProof/>
        </w:rPr>
        <w:t>sadnienie efektywności kosztowej kontroli (relacja kosztów kontroli do wartości zarządzanych funduszy powiązanych) oraz ocena prawdopodobnego ryzyka błędu (przy płatności</w:t>
      </w:r>
      <w:r w:rsidR="00C13C75" w:rsidRPr="00853D04">
        <w:rPr>
          <w:noProof/>
        </w:rPr>
        <w:t xml:space="preserve"> i</w:t>
      </w:r>
      <w:r w:rsidR="00C13C75">
        <w:rPr>
          <w:noProof/>
        </w:rPr>
        <w:t> </w:t>
      </w:r>
      <w:r w:rsidR="00C13C75" w:rsidRPr="00853D04">
        <w:rPr>
          <w:noProof/>
        </w:rPr>
        <w:t>prz</w:t>
      </w:r>
      <w:r w:rsidRPr="00853D04">
        <w:rPr>
          <w:noProof/>
        </w:rPr>
        <w:t>y zamykaniu)</w:t>
      </w:r>
      <w:bookmarkEnd w:id="49"/>
      <w:bookmarkEnd w:id="50"/>
      <w:r w:rsidRPr="00853D04">
        <w:rPr>
          <w:noProof/>
        </w:rPr>
        <w:t xml:space="preserve"> </w:t>
      </w:r>
    </w:p>
    <w:p w14:paraId="7EC479E8" w14:textId="77777777" w:rsidR="00BE7E05" w:rsidRPr="00853D04" w:rsidRDefault="15EA3463" w:rsidP="188AFA49">
      <w:pPr>
        <w:pStyle w:val="Text1"/>
        <w:pBdr>
          <w:top w:val="single" w:sz="4" w:space="1" w:color="auto"/>
          <w:left w:val="single" w:sz="4" w:space="4" w:color="auto"/>
          <w:bottom w:val="single" w:sz="4" w:space="1" w:color="auto"/>
          <w:right w:val="single" w:sz="4" w:space="4" w:color="auto"/>
        </w:pBdr>
        <w:rPr>
          <w:noProof/>
        </w:rPr>
      </w:pPr>
      <w:r w:rsidRPr="00853D04">
        <w:rPr>
          <w:noProof/>
        </w:rPr>
        <w:t xml:space="preserve">Niniejszy wniosek nie ma wpływu na opłacalność istniejących kontroli Komisji. </w:t>
      </w:r>
    </w:p>
    <w:p w14:paraId="5285AACC" w14:textId="77777777" w:rsidR="188AFA49" w:rsidRPr="00853D04" w:rsidRDefault="188AFA49" w:rsidP="188AFA49">
      <w:pPr>
        <w:pStyle w:val="Text1"/>
        <w:pBdr>
          <w:top w:val="single" w:sz="4" w:space="1" w:color="auto"/>
          <w:left w:val="single" w:sz="4" w:space="4" w:color="auto"/>
          <w:bottom w:val="single" w:sz="4" w:space="1" w:color="auto"/>
          <w:right w:val="single" w:sz="4" w:space="4" w:color="auto"/>
        </w:pBdr>
        <w:rPr>
          <w:noProof/>
        </w:rPr>
      </w:pPr>
    </w:p>
    <w:p w14:paraId="6CF63524" w14:textId="7837B576" w:rsidR="00BE7E05" w:rsidRPr="00853D04" w:rsidRDefault="00BE7E05">
      <w:pPr>
        <w:pStyle w:val="ManualHeading2"/>
        <w:rPr>
          <w:noProof/>
        </w:rPr>
      </w:pPr>
      <w:bookmarkStart w:id="51" w:name="_Toc514938049"/>
      <w:bookmarkStart w:id="52" w:name="_Toc520485048"/>
      <w:r w:rsidRPr="00853D04">
        <w:rPr>
          <w:noProof/>
        </w:rPr>
        <w:t>2.3.</w:t>
      </w:r>
      <w:r w:rsidRPr="00853D04">
        <w:rPr>
          <w:noProof/>
        </w:rPr>
        <w:tab/>
        <w:t>Środki zapobiegania nadużyciom finansowym</w:t>
      </w:r>
      <w:r w:rsidR="00C13C75" w:rsidRPr="00853D04">
        <w:rPr>
          <w:noProof/>
        </w:rPr>
        <w:t xml:space="preserve"> i</w:t>
      </w:r>
      <w:r w:rsidR="00C13C75">
        <w:rPr>
          <w:noProof/>
        </w:rPr>
        <w:t> </w:t>
      </w:r>
      <w:r w:rsidR="00C13C75" w:rsidRPr="00853D04">
        <w:rPr>
          <w:noProof/>
        </w:rPr>
        <w:t>nie</w:t>
      </w:r>
      <w:r w:rsidRPr="00853D04">
        <w:rPr>
          <w:noProof/>
        </w:rPr>
        <w:t>prawidłowościom</w:t>
      </w:r>
      <w:bookmarkEnd w:id="51"/>
      <w:bookmarkEnd w:id="52"/>
      <w:r w:rsidRPr="00853D04">
        <w:rPr>
          <w:noProof/>
        </w:rPr>
        <w:t xml:space="preserve"> </w:t>
      </w:r>
    </w:p>
    <w:p w14:paraId="3C618889" w14:textId="06020C3E" w:rsidR="00BE7E05" w:rsidRPr="00853D04" w:rsidRDefault="00BE7E05">
      <w:pPr>
        <w:pStyle w:val="Text1"/>
        <w:rPr>
          <w:i/>
          <w:noProof/>
          <w:sz w:val="20"/>
        </w:rPr>
      </w:pPr>
      <w:r w:rsidRPr="00853D04">
        <w:rPr>
          <w:i/>
          <w:noProof/>
          <w:sz w:val="20"/>
        </w:rPr>
        <w:t>Określić istniejące lub przewidywane środki zapobiegania</w:t>
      </w:r>
      <w:r w:rsidR="00C13C75" w:rsidRPr="00853D04">
        <w:rPr>
          <w:i/>
          <w:noProof/>
          <w:sz w:val="20"/>
        </w:rPr>
        <w:t xml:space="preserve"> i</w:t>
      </w:r>
      <w:r w:rsidR="00C13C75">
        <w:rPr>
          <w:i/>
          <w:noProof/>
          <w:sz w:val="20"/>
        </w:rPr>
        <w:t> </w:t>
      </w:r>
      <w:r w:rsidR="00C13C75" w:rsidRPr="00853D04">
        <w:rPr>
          <w:i/>
          <w:noProof/>
          <w:sz w:val="20"/>
        </w:rPr>
        <w:t>och</w:t>
      </w:r>
      <w:r w:rsidRPr="00853D04">
        <w:rPr>
          <w:i/>
          <w:noProof/>
          <w:sz w:val="20"/>
        </w:rPr>
        <w:t>rony, np. ze strategii zwalczania nadużyć finansowych.</w:t>
      </w:r>
    </w:p>
    <w:p w14:paraId="04BFBD53" w14:textId="05DD5C22" w:rsidR="004F4DCE" w:rsidRPr="00853D04" w:rsidRDefault="004F4DCE" w:rsidP="004F4DCE">
      <w:pPr>
        <w:pStyle w:val="Text1"/>
        <w:pBdr>
          <w:top w:val="single" w:sz="4" w:space="1" w:color="auto"/>
          <w:left w:val="single" w:sz="4" w:space="4" w:color="auto"/>
          <w:bottom w:val="single" w:sz="4" w:space="1" w:color="auto"/>
          <w:right w:val="single" w:sz="4" w:space="4" w:color="auto"/>
        </w:pBdr>
        <w:rPr>
          <w:noProof/>
        </w:rPr>
      </w:pPr>
      <w:r w:rsidRPr="00853D04">
        <w:rPr>
          <w:noProof/>
        </w:rPr>
        <w:t>Niniejsza ocena skutków finansowych regulacji obejmuje wydatki na personel</w:t>
      </w:r>
      <w:r w:rsidR="00C13C75" w:rsidRPr="00853D04">
        <w:rPr>
          <w:noProof/>
        </w:rPr>
        <w:t xml:space="preserve"> i</w:t>
      </w:r>
      <w:r w:rsidR="00C13C75">
        <w:rPr>
          <w:noProof/>
        </w:rPr>
        <w:t> </w:t>
      </w:r>
      <w:r w:rsidR="00C13C75" w:rsidRPr="00853D04">
        <w:rPr>
          <w:noProof/>
        </w:rPr>
        <w:t>zam</w:t>
      </w:r>
      <w:r w:rsidRPr="00853D04">
        <w:rPr>
          <w:noProof/>
        </w:rPr>
        <w:t>ówienia publiczne,</w:t>
      </w:r>
      <w:r w:rsidR="00C13C75" w:rsidRPr="00853D04">
        <w:rPr>
          <w:noProof/>
        </w:rPr>
        <w:t xml:space="preserve"> w</w:t>
      </w:r>
      <w:r w:rsidR="00C13C75">
        <w:rPr>
          <w:noProof/>
        </w:rPr>
        <w:t> </w:t>
      </w:r>
      <w:r w:rsidR="00C13C75" w:rsidRPr="00853D04">
        <w:rPr>
          <w:noProof/>
        </w:rPr>
        <w:t>zwi</w:t>
      </w:r>
      <w:r w:rsidRPr="00853D04">
        <w:rPr>
          <w:noProof/>
        </w:rPr>
        <w:t>ązku</w:t>
      </w:r>
      <w:r w:rsidR="00C13C75" w:rsidRPr="00853D04">
        <w:rPr>
          <w:noProof/>
        </w:rPr>
        <w:t xml:space="preserve"> z</w:t>
      </w:r>
      <w:r w:rsidR="00C13C75">
        <w:rPr>
          <w:noProof/>
        </w:rPr>
        <w:t> </w:t>
      </w:r>
      <w:r w:rsidR="00C13C75" w:rsidRPr="00853D04">
        <w:rPr>
          <w:noProof/>
        </w:rPr>
        <w:t>czy</w:t>
      </w:r>
      <w:r w:rsidRPr="00853D04">
        <w:rPr>
          <w:noProof/>
        </w:rPr>
        <w:t>m zastosowanie mają standardowe zasady dotyczące tego typu wydatków.</w:t>
      </w:r>
    </w:p>
    <w:p w14:paraId="4ACECC8E" w14:textId="77777777" w:rsidR="00BE7E05" w:rsidRPr="00853D04" w:rsidRDefault="00BE7E05" w:rsidP="00A744FD">
      <w:pPr>
        <w:pStyle w:val="FooterLandscape"/>
        <w:pBdr>
          <w:top w:val="single" w:sz="4" w:space="1" w:color="auto"/>
          <w:left w:val="single" w:sz="4" w:space="4" w:color="auto"/>
          <w:bottom w:val="single" w:sz="4" w:space="1" w:color="auto"/>
          <w:right w:val="single" w:sz="4" w:space="4" w:color="auto"/>
        </w:pBdr>
        <w:rPr>
          <w:noProof/>
        </w:rPr>
        <w:sectPr w:rsidR="00BE7E05" w:rsidRPr="00853D04" w:rsidSect="002D57EB">
          <w:pgSz w:w="11907" w:h="16840" w:code="9"/>
          <w:pgMar w:top="1134" w:right="1418" w:bottom="1134" w:left="1418" w:header="709" w:footer="709" w:gutter="0"/>
          <w:cols w:space="708"/>
          <w:docGrid w:linePitch="360"/>
        </w:sectPr>
      </w:pPr>
    </w:p>
    <w:p w14:paraId="7A8A2E49" w14:textId="77777777" w:rsidR="00BE7E05" w:rsidRPr="00853D04" w:rsidRDefault="07B28604" w:rsidP="188AFA49">
      <w:pPr>
        <w:pStyle w:val="ManualHeading1"/>
        <w:rPr>
          <w:noProof/>
        </w:rPr>
      </w:pPr>
      <w:bookmarkStart w:id="53" w:name="_Toc514938050"/>
      <w:bookmarkStart w:id="54" w:name="_Toc520485049"/>
      <w:r w:rsidRPr="00853D04">
        <w:rPr>
          <w:noProof/>
        </w:rPr>
        <w:t>3.</w:t>
      </w:r>
      <w:r w:rsidRPr="00853D04">
        <w:rPr>
          <w:noProof/>
        </w:rPr>
        <w:tab/>
        <w:t>SZACUNKOWY WPŁYW FINANSOWY WNIOSKU/INICJATYWY</w:t>
      </w:r>
      <w:bookmarkEnd w:id="53"/>
      <w:bookmarkEnd w:id="54"/>
      <w:r w:rsidRPr="00853D04">
        <w:rPr>
          <w:noProof/>
        </w:rPr>
        <w:t xml:space="preserve"> </w:t>
      </w:r>
    </w:p>
    <w:p w14:paraId="221EAA65" w14:textId="6395C2E8" w:rsidR="00BE7E05" w:rsidRPr="00853D04" w:rsidRDefault="00BE7E05">
      <w:pPr>
        <w:pStyle w:val="ManualHeading2"/>
        <w:rPr>
          <w:noProof/>
        </w:rPr>
      </w:pPr>
      <w:bookmarkStart w:id="55" w:name="_Toc514938051"/>
      <w:bookmarkStart w:id="56" w:name="_Toc520485050"/>
      <w:r w:rsidRPr="00853D04">
        <w:rPr>
          <w:noProof/>
        </w:rPr>
        <w:t>3.1.</w:t>
      </w:r>
      <w:r w:rsidRPr="00853D04">
        <w:rPr>
          <w:noProof/>
        </w:rPr>
        <w:tab/>
        <w:t>Działy wieloletnich ram finansowych</w:t>
      </w:r>
      <w:r w:rsidR="00C13C75" w:rsidRPr="00853D04">
        <w:rPr>
          <w:noProof/>
        </w:rPr>
        <w:t xml:space="preserve"> i</w:t>
      </w:r>
      <w:r w:rsidR="00C13C75">
        <w:rPr>
          <w:noProof/>
        </w:rPr>
        <w:t> </w:t>
      </w:r>
      <w:r w:rsidR="00C13C75" w:rsidRPr="00853D04">
        <w:rPr>
          <w:noProof/>
        </w:rPr>
        <w:t>lin</w:t>
      </w:r>
      <w:r w:rsidRPr="00853D04">
        <w:rPr>
          <w:noProof/>
        </w:rPr>
        <w:t>ie budżetowe po stronie wydatków, na które wniosek/inicjatywa ma wpływ</w:t>
      </w:r>
      <w:bookmarkEnd w:id="55"/>
      <w:bookmarkEnd w:id="56"/>
      <w:r w:rsidRPr="00853D04">
        <w:rPr>
          <w:noProof/>
        </w:rPr>
        <w:t xml:space="preserve"> </w:t>
      </w:r>
    </w:p>
    <w:p w14:paraId="0D7BB28C" w14:textId="77777777" w:rsidR="00BE7E05" w:rsidRPr="00853D04" w:rsidRDefault="00BE7E05" w:rsidP="00F66EBA">
      <w:pPr>
        <w:pStyle w:val="ListBullet1"/>
        <w:rPr>
          <w:noProof/>
        </w:rPr>
      </w:pPr>
      <w:r w:rsidRPr="00853D04">
        <w:rPr>
          <w:noProof/>
        </w:rPr>
        <w:t xml:space="preserve">Istniejące linie budżetowe </w:t>
      </w:r>
    </w:p>
    <w:p w14:paraId="5D7D4DC5" w14:textId="1A7F0EB4" w:rsidR="00BE7E05" w:rsidRPr="00853D04" w:rsidRDefault="00BE7E05">
      <w:pPr>
        <w:pStyle w:val="Text1"/>
        <w:rPr>
          <w:i/>
          <w:noProof/>
        </w:rPr>
      </w:pPr>
      <w:r w:rsidRPr="00853D04">
        <w:rPr>
          <w:i/>
          <w:noProof/>
          <w:u w:val="single"/>
        </w:rPr>
        <w:t>Według</w:t>
      </w:r>
      <w:r w:rsidRPr="00853D04">
        <w:rPr>
          <w:i/>
          <w:noProof/>
        </w:rPr>
        <w:t xml:space="preserve"> działów wieloletnich ram finansowych</w:t>
      </w:r>
      <w:r w:rsidR="00C13C75" w:rsidRPr="00853D04">
        <w:rPr>
          <w:i/>
          <w:noProof/>
        </w:rPr>
        <w:t xml:space="preserve"> i</w:t>
      </w:r>
      <w:r w:rsidR="00C13C75">
        <w:rPr>
          <w:i/>
          <w:noProof/>
        </w:rPr>
        <w:t> </w:t>
      </w:r>
      <w:r w:rsidR="00C13C75" w:rsidRPr="00853D04">
        <w:rPr>
          <w:i/>
          <w:noProof/>
        </w:rPr>
        <w:t>lin</w:t>
      </w:r>
      <w:r w:rsidRPr="00853D04">
        <w:rPr>
          <w:i/>
          <w:noProof/>
        </w:rPr>
        <w:t>ii budżetowych</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D71986" w:rsidRPr="00853D04" w14:paraId="77670AD0" w14:textId="77777777" w:rsidTr="6E804B18">
        <w:tc>
          <w:tcPr>
            <w:tcW w:w="1080" w:type="dxa"/>
            <w:vMerge w:val="restart"/>
            <w:vAlign w:val="center"/>
          </w:tcPr>
          <w:p w14:paraId="2B1D5F27" w14:textId="77777777" w:rsidR="00BE7E05" w:rsidRPr="00853D04" w:rsidRDefault="00BE7E05">
            <w:pPr>
              <w:spacing w:before="60" w:after="60"/>
              <w:jc w:val="center"/>
              <w:rPr>
                <w:noProof/>
              </w:rPr>
            </w:pPr>
            <w:r w:rsidRPr="00853D04">
              <w:rPr>
                <w:noProof/>
                <w:sz w:val="18"/>
              </w:rPr>
              <w:t>Dział wieloletnich ram finansowych</w:t>
            </w:r>
          </w:p>
        </w:tc>
        <w:tc>
          <w:tcPr>
            <w:tcW w:w="3960" w:type="dxa"/>
            <w:vAlign w:val="center"/>
          </w:tcPr>
          <w:p w14:paraId="20D813D1" w14:textId="77777777" w:rsidR="00BE7E05" w:rsidRPr="00853D04" w:rsidRDefault="00BE7E05">
            <w:pPr>
              <w:spacing w:before="60" w:after="60"/>
              <w:jc w:val="center"/>
              <w:rPr>
                <w:noProof/>
              </w:rPr>
            </w:pPr>
            <w:r w:rsidRPr="00853D04">
              <w:rPr>
                <w:noProof/>
                <w:sz w:val="20"/>
              </w:rPr>
              <w:t>Linia budżetowa</w:t>
            </w:r>
          </w:p>
        </w:tc>
        <w:tc>
          <w:tcPr>
            <w:tcW w:w="1080" w:type="dxa"/>
            <w:vAlign w:val="center"/>
          </w:tcPr>
          <w:p w14:paraId="1C7CF8B1" w14:textId="7BD700D8" w:rsidR="00BE7E05" w:rsidRPr="00853D04" w:rsidRDefault="00BE7E05">
            <w:pPr>
              <w:spacing w:before="60" w:after="60"/>
              <w:jc w:val="center"/>
              <w:rPr>
                <w:noProof/>
              </w:rPr>
            </w:pPr>
            <w:r w:rsidRPr="00853D04">
              <w:rPr>
                <w:noProof/>
                <w:sz w:val="18"/>
              </w:rPr>
              <w:t>Rodza</w:t>
            </w:r>
            <w:r w:rsidRPr="00C13C75">
              <w:rPr>
                <w:noProof/>
                <w:sz w:val="18"/>
              </w:rPr>
              <w:t>j</w:t>
            </w:r>
            <w:r w:rsidR="00C13C75" w:rsidRPr="00C13C75">
              <w:rPr>
                <w:noProof/>
                <w:sz w:val="18"/>
              </w:rPr>
              <w:t xml:space="preserve"> </w:t>
            </w:r>
            <w:r w:rsidRPr="00C13C75">
              <w:rPr>
                <w:noProof/>
              </w:rPr>
              <w:br/>
            </w:r>
            <w:r w:rsidRPr="00853D04">
              <w:rPr>
                <w:noProof/>
                <w:sz w:val="18"/>
              </w:rPr>
              <w:t>środków</w:t>
            </w:r>
          </w:p>
        </w:tc>
        <w:tc>
          <w:tcPr>
            <w:tcW w:w="4440" w:type="dxa"/>
            <w:gridSpan w:val="4"/>
            <w:vAlign w:val="center"/>
          </w:tcPr>
          <w:p w14:paraId="015D67E2" w14:textId="77777777" w:rsidR="00BE7E05" w:rsidRPr="00853D04" w:rsidRDefault="00BE7E05">
            <w:pPr>
              <w:spacing w:before="60" w:after="60"/>
              <w:jc w:val="center"/>
              <w:rPr>
                <w:noProof/>
              </w:rPr>
            </w:pPr>
            <w:r w:rsidRPr="00853D04">
              <w:rPr>
                <w:noProof/>
                <w:sz w:val="20"/>
              </w:rPr>
              <w:t xml:space="preserve">Wkład </w:t>
            </w:r>
          </w:p>
        </w:tc>
      </w:tr>
      <w:tr w:rsidR="00D71986" w:rsidRPr="00853D04" w14:paraId="45CEAE60" w14:textId="77777777" w:rsidTr="6E804B18">
        <w:tc>
          <w:tcPr>
            <w:tcW w:w="1080" w:type="dxa"/>
            <w:vMerge/>
            <w:vAlign w:val="center"/>
          </w:tcPr>
          <w:p w14:paraId="4716B2DE" w14:textId="77777777" w:rsidR="00BE7E05" w:rsidRPr="00853D04" w:rsidRDefault="00BE7E05">
            <w:pPr>
              <w:jc w:val="center"/>
              <w:rPr>
                <w:noProof/>
              </w:rPr>
            </w:pPr>
          </w:p>
        </w:tc>
        <w:tc>
          <w:tcPr>
            <w:tcW w:w="3960" w:type="dxa"/>
            <w:vAlign w:val="center"/>
          </w:tcPr>
          <w:p w14:paraId="4CD8C3D7" w14:textId="77777777" w:rsidR="00BE7E05" w:rsidRPr="00853D04" w:rsidRDefault="583A0F1B">
            <w:pPr>
              <w:rPr>
                <w:noProof/>
              </w:rPr>
            </w:pPr>
            <w:r w:rsidRPr="00853D04">
              <w:rPr>
                <w:noProof/>
              </w:rPr>
              <w:t xml:space="preserve">Program na rzecz jednolitego rynku </w:t>
            </w:r>
            <w:r w:rsidRPr="00853D04">
              <w:rPr>
                <w:noProof/>
              </w:rPr>
              <w:br/>
            </w:r>
          </w:p>
        </w:tc>
        <w:tc>
          <w:tcPr>
            <w:tcW w:w="1080" w:type="dxa"/>
            <w:vAlign w:val="center"/>
          </w:tcPr>
          <w:p w14:paraId="32DDFD1A" w14:textId="77777777" w:rsidR="00BE7E05" w:rsidRPr="00853D04" w:rsidRDefault="00BE7E05">
            <w:pPr>
              <w:jc w:val="center"/>
              <w:rPr>
                <w:noProof/>
              </w:rPr>
            </w:pPr>
            <w:r w:rsidRPr="00853D04">
              <w:rPr>
                <w:noProof/>
                <w:sz w:val="18"/>
              </w:rPr>
              <w:t>Zróżn. / niezróżn.</w:t>
            </w:r>
            <w:r w:rsidRPr="00853D04">
              <w:rPr>
                <w:rStyle w:val="FootnoteReference"/>
                <w:noProof/>
                <w:sz w:val="18"/>
              </w:rPr>
              <w:footnoteReference w:id="52"/>
            </w:r>
          </w:p>
        </w:tc>
        <w:tc>
          <w:tcPr>
            <w:tcW w:w="956" w:type="dxa"/>
            <w:vAlign w:val="center"/>
          </w:tcPr>
          <w:p w14:paraId="09439ACD" w14:textId="77777777" w:rsidR="00BE7E05" w:rsidRPr="00853D04" w:rsidRDefault="00BE7E05">
            <w:pPr>
              <w:jc w:val="center"/>
              <w:rPr>
                <w:b/>
                <w:noProof/>
                <w:sz w:val="18"/>
              </w:rPr>
            </w:pPr>
            <w:r w:rsidRPr="00853D04">
              <w:rPr>
                <w:noProof/>
                <w:sz w:val="18"/>
              </w:rPr>
              <w:t>państw EFTA</w:t>
            </w:r>
            <w:r w:rsidRPr="00853D04">
              <w:rPr>
                <w:rStyle w:val="FootnoteReference"/>
                <w:noProof/>
                <w:sz w:val="18"/>
              </w:rPr>
              <w:footnoteReference w:id="53"/>
            </w:r>
          </w:p>
        </w:tc>
        <w:tc>
          <w:tcPr>
            <w:tcW w:w="1080" w:type="dxa"/>
            <w:vAlign w:val="center"/>
          </w:tcPr>
          <w:p w14:paraId="01966179" w14:textId="4AA7D5B4" w:rsidR="00BE7E05" w:rsidRPr="00853D04" w:rsidRDefault="00BE7E05">
            <w:pPr>
              <w:jc w:val="center"/>
              <w:rPr>
                <w:noProof/>
                <w:sz w:val="18"/>
              </w:rPr>
            </w:pPr>
            <w:r w:rsidRPr="00853D04">
              <w:rPr>
                <w:noProof/>
                <w:sz w:val="18"/>
              </w:rPr>
              <w:t>krajów kandydujących</w:t>
            </w:r>
            <w:r w:rsidR="00C13C75" w:rsidRPr="00853D04">
              <w:rPr>
                <w:noProof/>
                <w:sz w:val="18"/>
              </w:rPr>
              <w:t xml:space="preserve"> i</w:t>
            </w:r>
            <w:r w:rsidR="00C13C75">
              <w:rPr>
                <w:noProof/>
                <w:sz w:val="18"/>
              </w:rPr>
              <w:t> </w:t>
            </w:r>
            <w:r w:rsidR="00C13C75" w:rsidRPr="00853D04">
              <w:rPr>
                <w:noProof/>
                <w:sz w:val="18"/>
              </w:rPr>
              <w:t>pot</w:t>
            </w:r>
            <w:r w:rsidRPr="00853D04">
              <w:rPr>
                <w:noProof/>
                <w:sz w:val="18"/>
              </w:rPr>
              <w:t>encjalnych krajów kandydujących</w:t>
            </w:r>
            <w:r w:rsidRPr="00853D04">
              <w:rPr>
                <w:rStyle w:val="FootnoteReference"/>
                <w:noProof/>
                <w:sz w:val="18"/>
              </w:rPr>
              <w:footnoteReference w:id="54"/>
            </w:r>
          </w:p>
        </w:tc>
        <w:tc>
          <w:tcPr>
            <w:tcW w:w="956" w:type="dxa"/>
            <w:vAlign w:val="center"/>
          </w:tcPr>
          <w:p w14:paraId="01261EE0" w14:textId="77777777" w:rsidR="00BE7E05" w:rsidRPr="00853D04" w:rsidRDefault="00521B69">
            <w:pPr>
              <w:jc w:val="center"/>
              <w:rPr>
                <w:noProof/>
                <w:sz w:val="18"/>
              </w:rPr>
            </w:pPr>
            <w:r w:rsidRPr="00853D04">
              <w:rPr>
                <w:noProof/>
                <w:sz w:val="18"/>
              </w:rPr>
              <w:t>innych państw trzecich</w:t>
            </w:r>
          </w:p>
        </w:tc>
        <w:tc>
          <w:tcPr>
            <w:tcW w:w="1448" w:type="dxa"/>
            <w:vAlign w:val="center"/>
          </w:tcPr>
          <w:p w14:paraId="2E7B2888" w14:textId="156E11B3" w:rsidR="00BE7E05" w:rsidRPr="00853D04" w:rsidRDefault="00BE7E05">
            <w:pPr>
              <w:jc w:val="center"/>
              <w:rPr>
                <w:noProof/>
              </w:rPr>
            </w:pPr>
            <w:r w:rsidRPr="00853D04">
              <w:rPr>
                <w:noProof/>
                <w:sz w:val="18"/>
              </w:rPr>
              <w:t>pochodzący</w:t>
            </w:r>
            <w:r w:rsidR="00C13C75" w:rsidRPr="00853D04">
              <w:rPr>
                <w:noProof/>
                <w:sz w:val="18"/>
              </w:rPr>
              <w:t xml:space="preserve"> z</w:t>
            </w:r>
            <w:r w:rsidR="00C13C75">
              <w:rPr>
                <w:noProof/>
                <w:sz w:val="18"/>
              </w:rPr>
              <w:t> </w:t>
            </w:r>
            <w:r w:rsidR="00C13C75" w:rsidRPr="00853D04">
              <w:rPr>
                <w:noProof/>
                <w:sz w:val="18"/>
              </w:rPr>
              <w:t>poz</w:t>
            </w:r>
            <w:r w:rsidRPr="00853D04">
              <w:rPr>
                <w:noProof/>
                <w:sz w:val="18"/>
              </w:rPr>
              <w:t>ostałych dochodów przeznaczonych na określony cel</w:t>
            </w:r>
          </w:p>
        </w:tc>
      </w:tr>
      <w:tr w:rsidR="006D15B6" w:rsidRPr="00853D04" w14:paraId="4D786290" w14:textId="77777777" w:rsidTr="6E804B18">
        <w:tc>
          <w:tcPr>
            <w:tcW w:w="1080" w:type="dxa"/>
            <w:vAlign w:val="center"/>
          </w:tcPr>
          <w:p w14:paraId="25047693" w14:textId="77777777" w:rsidR="00BE7E05" w:rsidRPr="00853D04" w:rsidRDefault="4FAC800F">
            <w:pPr>
              <w:jc w:val="center"/>
              <w:rPr>
                <w:noProof/>
                <w:color w:val="0000FF"/>
              </w:rPr>
            </w:pPr>
            <w:r w:rsidRPr="00853D04">
              <w:rPr>
                <w:noProof/>
                <w:color w:val="0000FF"/>
              </w:rPr>
              <w:t>1</w:t>
            </w:r>
          </w:p>
        </w:tc>
        <w:tc>
          <w:tcPr>
            <w:tcW w:w="3960" w:type="dxa"/>
            <w:vAlign w:val="center"/>
          </w:tcPr>
          <w:p w14:paraId="3745B188" w14:textId="77777777" w:rsidR="00BE7E05" w:rsidRPr="00853D04" w:rsidRDefault="00BE7E05">
            <w:pPr>
              <w:spacing w:before="60"/>
              <w:rPr>
                <w:noProof/>
              </w:rPr>
            </w:pPr>
            <w:r w:rsidRPr="00853D04">
              <w:rPr>
                <w:noProof/>
                <w:sz w:val="22"/>
              </w:rPr>
              <w:t>[03.02.01.02 – „Narzędzia zarządzania rynkiem wewnętrznym”].</w:t>
            </w:r>
          </w:p>
          <w:p w14:paraId="07B876DE" w14:textId="77777777" w:rsidR="00BE7E05" w:rsidRPr="00853D04" w:rsidRDefault="00BE7E05">
            <w:pPr>
              <w:spacing w:after="60"/>
              <w:rPr>
                <w:noProof/>
              </w:rPr>
            </w:pPr>
          </w:p>
        </w:tc>
        <w:tc>
          <w:tcPr>
            <w:tcW w:w="1080" w:type="dxa"/>
            <w:vAlign w:val="center"/>
          </w:tcPr>
          <w:p w14:paraId="4AB4C890" w14:textId="77777777" w:rsidR="00BE7E05" w:rsidRPr="00853D04" w:rsidRDefault="00BE7E05">
            <w:pPr>
              <w:jc w:val="center"/>
              <w:rPr>
                <w:noProof/>
                <w:color w:val="0000FF"/>
              </w:rPr>
            </w:pPr>
            <w:r w:rsidRPr="00853D04">
              <w:rPr>
                <w:noProof/>
                <w:sz w:val="22"/>
              </w:rPr>
              <w:t xml:space="preserve">Zróżn. / </w:t>
            </w:r>
            <w:r w:rsidRPr="00853D04">
              <w:rPr>
                <w:strike/>
                <w:noProof/>
                <w:sz w:val="22"/>
              </w:rPr>
              <w:t>niezróżn.</w:t>
            </w:r>
          </w:p>
        </w:tc>
        <w:tc>
          <w:tcPr>
            <w:tcW w:w="956" w:type="dxa"/>
            <w:vAlign w:val="center"/>
          </w:tcPr>
          <w:p w14:paraId="147F12B5" w14:textId="77777777" w:rsidR="00BE7E05" w:rsidRPr="00853D04" w:rsidRDefault="72C3A008">
            <w:pPr>
              <w:jc w:val="center"/>
              <w:rPr>
                <w:noProof/>
                <w:sz w:val="20"/>
              </w:rPr>
            </w:pPr>
            <w:r w:rsidRPr="00853D04">
              <w:rPr>
                <w:noProof/>
                <w:sz w:val="20"/>
              </w:rPr>
              <w:t>Tak</w:t>
            </w:r>
          </w:p>
        </w:tc>
        <w:tc>
          <w:tcPr>
            <w:tcW w:w="1080" w:type="dxa"/>
            <w:vAlign w:val="center"/>
          </w:tcPr>
          <w:p w14:paraId="69FD6DC9" w14:textId="77777777" w:rsidR="00BE7E05" w:rsidRPr="00853D04" w:rsidRDefault="00651B12">
            <w:pPr>
              <w:jc w:val="center"/>
              <w:rPr>
                <w:noProof/>
                <w:sz w:val="20"/>
              </w:rPr>
            </w:pPr>
            <w:r w:rsidRPr="00853D04">
              <w:rPr>
                <w:noProof/>
                <w:sz w:val="20"/>
              </w:rPr>
              <w:t>Tak</w:t>
            </w:r>
          </w:p>
        </w:tc>
        <w:tc>
          <w:tcPr>
            <w:tcW w:w="956" w:type="dxa"/>
            <w:vAlign w:val="center"/>
          </w:tcPr>
          <w:p w14:paraId="3A69B586" w14:textId="77777777" w:rsidR="00BE7E05" w:rsidRPr="00853D04" w:rsidRDefault="00BE7E05">
            <w:pPr>
              <w:jc w:val="center"/>
              <w:rPr>
                <w:noProof/>
                <w:sz w:val="20"/>
              </w:rPr>
            </w:pPr>
            <w:r w:rsidRPr="00853D04">
              <w:rPr>
                <w:noProof/>
                <w:sz w:val="20"/>
              </w:rPr>
              <w:t>NIE</w:t>
            </w:r>
          </w:p>
        </w:tc>
        <w:tc>
          <w:tcPr>
            <w:tcW w:w="1448" w:type="dxa"/>
            <w:vAlign w:val="center"/>
          </w:tcPr>
          <w:p w14:paraId="0465B90A" w14:textId="77777777" w:rsidR="00BE7E05" w:rsidRPr="00853D04" w:rsidRDefault="00BE7E05">
            <w:pPr>
              <w:jc w:val="center"/>
              <w:rPr>
                <w:noProof/>
                <w:sz w:val="20"/>
              </w:rPr>
            </w:pPr>
            <w:r w:rsidRPr="00853D04">
              <w:rPr>
                <w:noProof/>
                <w:sz w:val="20"/>
              </w:rPr>
              <w:t>NIE</w:t>
            </w:r>
          </w:p>
        </w:tc>
      </w:tr>
    </w:tbl>
    <w:p w14:paraId="1E6A156B" w14:textId="77777777" w:rsidR="00BE7E05" w:rsidRPr="00853D04" w:rsidRDefault="00BE7E05" w:rsidP="00F66EBA">
      <w:pPr>
        <w:pStyle w:val="ListBullet1"/>
        <w:rPr>
          <w:noProof/>
        </w:rPr>
      </w:pPr>
    </w:p>
    <w:p w14:paraId="66C45AF2" w14:textId="77777777" w:rsidR="6209A4CE" w:rsidRPr="00853D04" w:rsidRDefault="6209A4CE">
      <w:pPr>
        <w:rPr>
          <w:noProof/>
        </w:rPr>
      </w:pPr>
    </w:p>
    <w:p w14:paraId="15E1F525" w14:textId="77777777" w:rsidR="6209A4CE" w:rsidRPr="00853D04" w:rsidRDefault="6209A4CE">
      <w:pPr>
        <w:rPr>
          <w:noProof/>
        </w:rPr>
      </w:pPr>
    </w:p>
    <w:p w14:paraId="18865041" w14:textId="77777777" w:rsidR="00BE7E05" w:rsidRPr="00853D04" w:rsidRDefault="00BE7E05">
      <w:pPr>
        <w:rPr>
          <w:noProof/>
        </w:rPr>
        <w:sectPr w:rsidR="00BE7E05" w:rsidRPr="00853D04" w:rsidSect="002D57EB">
          <w:pgSz w:w="11907" w:h="16840" w:code="1"/>
          <w:pgMar w:top="1134" w:right="1418" w:bottom="1134" w:left="1418" w:header="709" w:footer="709" w:gutter="0"/>
          <w:cols w:space="708"/>
          <w:docGrid w:linePitch="360"/>
        </w:sectPr>
      </w:pPr>
    </w:p>
    <w:p w14:paraId="73C18FD9" w14:textId="77777777" w:rsidR="00BE7E05" w:rsidRPr="00853D04" w:rsidRDefault="00BE7E05">
      <w:pPr>
        <w:pStyle w:val="ManualHeading2"/>
        <w:rPr>
          <w:noProof/>
        </w:rPr>
      </w:pPr>
      <w:bookmarkStart w:id="57" w:name="_Toc514938052"/>
      <w:bookmarkStart w:id="58" w:name="_Toc520485051"/>
      <w:r w:rsidRPr="00853D04">
        <w:rPr>
          <w:noProof/>
        </w:rPr>
        <w:t>3.2.</w:t>
      </w:r>
      <w:r w:rsidRPr="00853D04">
        <w:rPr>
          <w:noProof/>
        </w:rPr>
        <w:tab/>
        <w:t>Szacunkowy wpływ finansowy wniosku na środki</w:t>
      </w:r>
      <w:bookmarkEnd w:id="57"/>
      <w:bookmarkEnd w:id="58"/>
      <w:r w:rsidRPr="00853D04">
        <w:rPr>
          <w:noProof/>
        </w:rPr>
        <w:t xml:space="preserve"> </w:t>
      </w:r>
    </w:p>
    <w:p w14:paraId="63B8678C" w14:textId="77777777" w:rsidR="00BE7E05" w:rsidRPr="00853D04" w:rsidRDefault="00BE7E05">
      <w:pPr>
        <w:pStyle w:val="ManualHeading3"/>
        <w:rPr>
          <w:noProof/>
        </w:rPr>
      </w:pPr>
      <w:bookmarkStart w:id="59" w:name="_Toc514938053"/>
      <w:bookmarkStart w:id="60" w:name="_Toc520485052"/>
      <w:r w:rsidRPr="00853D04">
        <w:rPr>
          <w:noProof/>
        </w:rPr>
        <w:t>3.2.1.</w:t>
      </w:r>
      <w:r w:rsidRPr="00853D04">
        <w:rPr>
          <w:noProof/>
        </w:rPr>
        <w:tab/>
        <w:t>Podsumowanie szacunkowego wpływu na środki operacyjne</w:t>
      </w:r>
      <w:bookmarkEnd w:id="59"/>
      <w:bookmarkEnd w:id="60"/>
      <w:r w:rsidRPr="00853D04">
        <w:rPr>
          <w:noProof/>
        </w:rPr>
        <w:t xml:space="preserve"> </w:t>
      </w:r>
    </w:p>
    <w:p w14:paraId="34695F78" w14:textId="2B5CBF67" w:rsidR="00BE7E05" w:rsidRPr="00853D04" w:rsidRDefault="00BE7E05" w:rsidP="00F66EBA">
      <w:pPr>
        <w:pStyle w:val="ListDash1"/>
        <w:rPr>
          <w:noProof/>
        </w:rPr>
      </w:pPr>
      <w:r w:rsidRPr="00853D04">
        <w:rPr>
          <w:noProof/>
        </w:rPr>
        <w:t>¨</w:t>
      </w:r>
      <w:r w:rsidRPr="00853D04">
        <w:rPr>
          <w:noProof/>
        </w:rPr>
        <w:tab/>
        <w:t>Wniosek/inicjatywa nie wiąże się</w:t>
      </w:r>
      <w:r w:rsidR="00C13C75" w:rsidRPr="00853D04">
        <w:rPr>
          <w:noProof/>
        </w:rPr>
        <w:t xml:space="preserve"> z</w:t>
      </w:r>
      <w:r w:rsidR="00C13C75">
        <w:rPr>
          <w:noProof/>
        </w:rPr>
        <w:t> </w:t>
      </w:r>
      <w:r w:rsidR="00C13C75" w:rsidRPr="00853D04">
        <w:rPr>
          <w:noProof/>
        </w:rPr>
        <w:t>kon</w:t>
      </w:r>
      <w:r w:rsidRPr="00853D04">
        <w:rPr>
          <w:noProof/>
        </w:rPr>
        <w:t xml:space="preserve">iecznością wykorzystania środków operacyjnych </w:t>
      </w:r>
    </w:p>
    <w:p w14:paraId="498050DD" w14:textId="2A53867D" w:rsidR="00BE7E05" w:rsidRPr="00853D04" w:rsidRDefault="00BE7E05" w:rsidP="00F66EBA">
      <w:pPr>
        <w:pStyle w:val="ListDash1"/>
        <w:rPr>
          <w:noProof/>
        </w:rPr>
      </w:pPr>
      <w:r w:rsidRPr="00853D04">
        <w:rPr>
          <w:noProof/>
        </w:rPr>
        <w:t>¨</w:t>
      </w:r>
      <w:r w:rsidRPr="00853D04">
        <w:rPr>
          <w:noProof/>
        </w:rPr>
        <w:tab/>
        <w:t>Wniosek/inicjatywa wiąże się</w:t>
      </w:r>
      <w:r w:rsidR="00C13C75" w:rsidRPr="00853D04">
        <w:rPr>
          <w:noProof/>
        </w:rPr>
        <w:t xml:space="preserve"> z</w:t>
      </w:r>
      <w:r w:rsidR="00C13C75">
        <w:rPr>
          <w:noProof/>
        </w:rPr>
        <w:t> </w:t>
      </w:r>
      <w:r w:rsidR="00C13C75" w:rsidRPr="00853D04">
        <w:rPr>
          <w:noProof/>
        </w:rPr>
        <w:t>kon</w:t>
      </w:r>
      <w:r w:rsidRPr="00853D04">
        <w:rPr>
          <w:noProof/>
        </w:rPr>
        <w:t>iecznością wykorzystania środków operacyjnych, jak określono poniżej:</w:t>
      </w:r>
    </w:p>
    <w:p w14:paraId="5AAB190F" w14:textId="77777777" w:rsidR="00BE7E05" w:rsidRPr="00853D04" w:rsidRDefault="00BE7E05">
      <w:pPr>
        <w:jc w:val="right"/>
        <w:rPr>
          <w:noProof/>
          <w:sz w:val="18"/>
        </w:rPr>
      </w:pPr>
      <w:r w:rsidRPr="00853D04">
        <w:rPr>
          <w:noProof/>
          <w:sz w:val="18"/>
        </w:rPr>
        <w:t>w mln EUR (do trzech miejsc po przecinku)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E7E05" w:rsidRPr="00853D04" w14:paraId="643BD216" w14:textId="77777777" w:rsidTr="6209A4CE">
        <w:trPr>
          <w:jc w:val="center"/>
        </w:trPr>
        <w:tc>
          <w:tcPr>
            <w:tcW w:w="4744" w:type="dxa"/>
            <w:shd w:val="clear" w:color="auto" w:fill="auto"/>
            <w:vAlign w:val="center"/>
          </w:tcPr>
          <w:p w14:paraId="70ED2811" w14:textId="2E3974AA" w:rsidR="00BE7E05" w:rsidRPr="00853D04" w:rsidRDefault="00BE7E05">
            <w:pPr>
              <w:spacing w:before="60" w:after="60"/>
              <w:jc w:val="center"/>
              <w:rPr>
                <w:b/>
                <w:noProof/>
              </w:rPr>
            </w:pPr>
            <w:r w:rsidRPr="00853D04">
              <w:rPr>
                <w:b/>
                <w:noProof/>
                <w:sz w:val="22"/>
              </w:rPr>
              <w:t>Dział wieloletnich ra</w:t>
            </w:r>
            <w:r w:rsidRPr="00C13C75">
              <w:rPr>
                <w:b/>
                <w:noProof/>
                <w:sz w:val="22"/>
              </w:rPr>
              <w:t>m</w:t>
            </w:r>
            <w:r w:rsidR="00C13C75" w:rsidRPr="00C13C75">
              <w:rPr>
                <w:b/>
                <w:noProof/>
                <w:sz w:val="22"/>
              </w:rPr>
              <w:t xml:space="preserve"> </w:t>
            </w:r>
            <w:r w:rsidRPr="00C13C75">
              <w:rPr>
                <w:b/>
                <w:noProof/>
                <w:sz w:val="22"/>
              </w:rPr>
              <w:br/>
            </w:r>
            <w:r w:rsidRPr="00853D04">
              <w:rPr>
                <w:b/>
                <w:noProof/>
                <w:sz w:val="22"/>
              </w:rPr>
              <w:t xml:space="preserve">finansowych </w:t>
            </w:r>
          </w:p>
        </w:tc>
        <w:tc>
          <w:tcPr>
            <w:tcW w:w="1080" w:type="dxa"/>
            <w:vAlign w:val="center"/>
          </w:tcPr>
          <w:p w14:paraId="5527094A" w14:textId="77777777" w:rsidR="00BE7E05" w:rsidRPr="00853D04" w:rsidRDefault="00BE7E05">
            <w:pPr>
              <w:spacing w:before="60" w:after="60"/>
              <w:jc w:val="center"/>
              <w:rPr>
                <w:noProof/>
              </w:rPr>
            </w:pPr>
            <w:r w:rsidRPr="00853D04">
              <w:rPr>
                <w:noProof/>
                <w:sz w:val="22"/>
              </w:rPr>
              <w:t>Numer</w:t>
            </w:r>
          </w:p>
        </w:tc>
        <w:tc>
          <w:tcPr>
            <w:tcW w:w="7817" w:type="dxa"/>
            <w:vAlign w:val="center"/>
          </w:tcPr>
          <w:p w14:paraId="559C3220" w14:textId="187961A5" w:rsidR="00BE7E05" w:rsidRPr="00853D04" w:rsidRDefault="00521B69" w:rsidP="6209A4CE">
            <w:pPr>
              <w:pStyle w:val="ListParagraph"/>
              <w:numPr>
                <w:ilvl w:val="0"/>
                <w:numId w:val="1"/>
              </w:numPr>
              <w:spacing w:before="60" w:after="60"/>
              <w:rPr>
                <w:noProof/>
              </w:rPr>
            </w:pPr>
            <w:r w:rsidRPr="00853D04">
              <w:rPr>
                <w:noProof/>
              </w:rPr>
              <w:t>Jednolity rynek, innowacje</w:t>
            </w:r>
            <w:r w:rsidR="00C13C75" w:rsidRPr="00853D04">
              <w:rPr>
                <w:noProof/>
              </w:rPr>
              <w:t xml:space="preserve"> i</w:t>
            </w:r>
            <w:r w:rsidR="00C13C75">
              <w:rPr>
                <w:noProof/>
              </w:rPr>
              <w:t> </w:t>
            </w:r>
            <w:r w:rsidR="00C13C75" w:rsidRPr="00853D04">
              <w:rPr>
                <w:noProof/>
              </w:rPr>
              <w:t>gos</w:t>
            </w:r>
            <w:r w:rsidRPr="00853D04">
              <w:rPr>
                <w:noProof/>
              </w:rPr>
              <w:t>podarka cyfrowa</w:t>
            </w:r>
          </w:p>
        </w:tc>
      </w:tr>
    </w:tbl>
    <w:p w14:paraId="65F77560" w14:textId="77777777" w:rsidR="00BE7E05" w:rsidRPr="00853D04" w:rsidRDefault="00BE7E05">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0"/>
        <w:gridCol w:w="748"/>
        <w:gridCol w:w="120"/>
        <w:gridCol w:w="748"/>
        <w:gridCol w:w="120"/>
        <w:gridCol w:w="748"/>
        <w:gridCol w:w="120"/>
        <w:gridCol w:w="748"/>
        <w:gridCol w:w="120"/>
        <w:gridCol w:w="748"/>
        <w:gridCol w:w="120"/>
        <w:gridCol w:w="748"/>
        <w:gridCol w:w="120"/>
        <w:gridCol w:w="748"/>
        <w:gridCol w:w="120"/>
        <w:gridCol w:w="1657"/>
        <w:gridCol w:w="252"/>
      </w:tblGrid>
      <w:tr w:rsidR="00D71986" w:rsidRPr="00853D04" w14:paraId="3B4D10D4" w14:textId="77777777" w:rsidTr="6E804B18">
        <w:trPr>
          <w:gridAfter w:val="1"/>
          <w:wAfter w:w="252" w:type="dxa"/>
        </w:trPr>
        <w:tc>
          <w:tcPr>
            <w:tcW w:w="3960" w:type="dxa"/>
            <w:vAlign w:val="center"/>
          </w:tcPr>
          <w:p w14:paraId="615EC67B" w14:textId="77777777" w:rsidR="00BE7E05" w:rsidRPr="00853D04" w:rsidRDefault="00BE7E05" w:rsidP="6209A4CE">
            <w:pPr>
              <w:jc w:val="center"/>
              <w:rPr>
                <w:noProof/>
                <w:sz w:val="22"/>
              </w:rPr>
            </w:pPr>
            <w:r w:rsidRPr="00853D04">
              <w:rPr>
                <w:noProof/>
                <w:sz w:val="22"/>
              </w:rPr>
              <w:t>Dyrekcja Generalna: Dyrekcja Generalna ds. Rynku Wewnętrznego, Przemysłu, Przedsiębiorczości i MŚP</w:t>
            </w:r>
          </w:p>
        </w:tc>
        <w:tc>
          <w:tcPr>
            <w:tcW w:w="1560" w:type="dxa"/>
            <w:gridSpan w:val="2"/>
          </w:tcPr>
          <w:p w14:paraId="0BF13806" w14:textId="77777777" w:rsidR="00BE7E05" w:rsidRPr="00853D04" w:rsidRDefault="00BE7E05">
            <w:pPr>
              <w:rPr>
                <w:noProof/>
                <w:sz w:val="20"/>
              </w:rPr>
            </w:pPr>
          </w:p>
        </w:tc>
        <w:tc>
          <w:tcPr>
            <w:tcW w:w="534" w:type="dxa"/>
          </w:tcPr>
          <w:p w14:paraId="3FFF01C4" w14:textId="77777777" w:rsidR="00BE7E05" w:rsidRPr="00853D04" w:rsidRDefault="00BE7E05">
            <w:pPr>
              <w:jc w:val="center"/>
              <w:rPr>
                <w:noProof/>
                <w:sz w:val="20"/>
              </w:rPr>
            </w:pPr>
          </w:p>
        </w:tc>
        <w:tc>
          <w:tcPr>
            <w:tcW w:w="868" w:type="dxa"/>
            <w:gridSpan w:val="2"/>
            <w:vAlign w:val="center"/>
          </w:tcPr>
          <w:p w14:paraId="34F38FE6" w14:textId="77777777" w:rsidR="00BE7E05" w:rsidRPr="00853D04" w:rsidRDefault="6BB8D0BD" w:rsidP="6209A4CE">
            <w:pPr>
              <w:jc w:val="center"/>
              <w:rPr>
                <w:b/>
                <w:noProof/>
                <w:sz w:val="20"/>
              </w:rPr>
            </w:pPr>
            <w:r w:rsidRPr="00853D04">
              <w:rPr>
                <w:b/>
                <w:noProof/>
                <w:sz w:val="20"/>
              </w:rPr>
              <w:t>2024</w:t>
            </w:r>
          </w:p>
        </w:tc>
        <w:tc>
          <w:tcPr>
            <w:tcW w:w="868" w:type="dxa"/>
            <w:gridSpan w:val="2"/>
            <w:vAlign w:val="center"/>
          </w:tcPr>
          <w:p w14:paraId="7EE44045" w14:textId="77777777" w:rsidR="00BE7E05" w:rsidRPr="00853D04" w:rsidRDefault="5A9EC212" w:rsidP="6209A4CE">
            <w:pPr>
              <w:jc w:val="center"/>
              <w:rPr>
                <w:b/>
                <w:noProof/>
                <w:sz w:val="20"/>
              </w:rPr>
            </w:pPr>
            <w:r w:rsidRPr="00853D04">
              <w:rPr>
                <w:b/>
                <w:noProof/>
                <w:sz w:val="20"/>
              </w:rPr>
              <w:t>2025</w:t>
            </w:r>
          </w:p>
        </w:tc>
        <w:tc>
          <w:tcPr>
            <w:tcW w:w="868" w:type="dxa"/>
            <w:gridSpan w:val="2"/>
            <w:vAlign w:val="center"/>
          </w:tcPr>
          <w:p w14:paraId="15828F7B" w14:textId="77777777" w:rsidR="00BE7E05" w:rsidRPr="00853D04" w:rsidRDefault="5A9EC212" w:rsidP="6209A4CE">
            <w:pPr>
              <w:jc w:val="center"/>
              <w:rPr>
                <w:b/>
                <w:noProof/>
                <w:sz w:val="20"/>
              </w:rPr>
            </w:pPr>
            <w:r w:rsidRPr="00853D04">
              <w:rPr>
                <w:b/>
                <w:noProof/>
                <w:sz w:val="20"/>
              </w:rPr>
              <w:t>2026</w:t>
            </w:r>
          </w:p>
        </w:tc>
        <w:tc>
          <w:tcPr>
            <w:tcW w:w="868" w:type="dxa"/>
            <w:gridSpan w:val="2"/>
            <w:vAlign w:val="center"/>
          </w:tcPr>
          <w:p w14:paraId="4CC71143" w14:textId="77777777" w:rsidR="00BE7E05" w:rsidRPr="00853D04" w:rsidRDefault="5A9EC212" w:rsidP="6209A4CE">
            <w:pPr>
              <w:jc w:val="center"/>
              <w:rPr>
                <w:b/>
                <w:noProof/>
                <w:sz w:val="20"/>
              </w:rPr>
            </w:pPr>
            <w:r w:rsidRPr="00853D04">
              <w:rPr>
                <w:b/>
                <w:noProof/>
                <w:sz w:val="20"/>
              </w:rPr>
              <w:t>2027</w:t>
            </w:r>
          </w:p>
        </w:tc>
        <w:tc>
          <w:tcPr>
            <w:tcW w:w="868" w:type="dxa"/>
            <w:gridSpan w:val="2"/>
            <w:vAlign w:val="center"/>
          </w:tcPr>
          <w:p w14:paraId="0BEE1E4B" w14:textId="77777777" w:rsidR="00BE7E05" w:rsidRPr="00853D04" w:rsidRDefault="5A9EC212" w:rsidP="6209A4CE">
            <w:pPr>
              <w:jc w:val="center"/>
              <w:rPr>
                <w:b/>
                <w:noProof/>
                <w:sz w:val="18"/>
              </w:rPr>
            </w:pPr>
            <w:r w:rsidRPr="00853D04">
              <w:rPr>
                <w:b/>
                <w:noProof/>
                <w:sz w:val="18"/>
              </w:rPr>
              <w:t>2028</w:t>
            </w:r>
          </w:p>
        </w:tc>
        <w:tc>
          <w:tcPr>
            <w:tcW w:w="868" w:type="dxa"/>
            <w:gridSpan w:val="2"/>
            <w:vAlign w:val="center"/>
          </w:tcPr>
          <w:p w14:paraId="490CECC0" w14:textId="77777777" w:rsidR="5A9EC212" w:rsidRPr="00853D04" w:rsidRDefault="5A9EC212" w:rsidP="6209A4CE">
            <w:pPr>
              <w:jc w:val="center"/>
              <w:rPr>
                <w:b/>
                <w:noProof/>
                <w:sz w:val="18"/>
              </w:rPr>
            </w:pPr>
            <w:r w:rsidRPr="00853D04">
              <w:rPr>
                <w:b/>
                <w:noProof/>
                <w:sz w:val="18"/>
              </w:rPr>
              <w:t>2029</w:t>
            </w:r>
          </w:p>
        </w:tc>
        <w:tc>
          <w:tcPr>
            <w:tcW w:w="868" w:type="dxa"/>
            <w:gridSpan w:val="2"/>
            <w:vAlign w:val="center"/>
          </w:tcPr>
          <w:p w14:paraId="0FE362DC" w14:textId="77777777" w:rsidR="5A9EC212" w:rsidRPr="00853D04" w:rsidRDefault="5A9EC212" w:rsidP="6209A4CE">
            <w:pPr>
              <w:jc w:val="center"/>
              <w:rPr>
                <w:b/>
                <w:noProof/>
                <w:sz w:val="18"/>
              </w:rPr>
            </w:pPr>
            <w:r w:rsidRPr="00853D04">
              <w:rPr>
                <w:b/>
                <w:noProof/>
                <w:sz w:val="18"/>
              </w:rPr>
              <w:t>2030</w:t>
            </w:r>
          </w:p>
        </w:tc>
        <w:tc>
          <w:tcPr>
            <w:tcW w:w="1777" w:type="dxa"/>
            <w:gridSpan w:val="2"/>
            <w:vAlign w:val="center"/>
          </w:tcPr>
          <w:p w14:paraId="215454FC" w14:textId="77777777" w:rsidR="00BE7E05" w:rsidRPr="00853D04" w:rsidRDefault="00BE7E05">
            <w:pPr>
              <w:jc w:val="center"/>
              <w:rPr>
                <w:b/>
                <w:noProof/>
                <w:sz w:val="20"/>
              </w:rPr>
            </w:pPr>
            <w:r w:rsidRPr="00853D04">
              <w:rPr>
                <w:b/>
                <w:noProof/>
                <w:sz w:val="20"/>
              </w:rPr>
              <w:t>OGÓŁEM</w:t>
            </w:r>
          </w:p>
        </w:tc>
      </w:tr>
      <w:tr w:rsidR="00D71986" w:rsidRPr="00853D04" w14:paraId="2EC18DFB" w14:textId="77777777" w:rsidTr="6E804B18">
        <w:trPr>
          <w:gridAfter w:val="1"/>
          <w:wAfter w:w="252" w:type="dxa"/>
          <w:trHeight w:val="213"/>
        </w:trPr>
        <w:tc>
          <w:tcPr>
            <w:tcW w:w="6054" w:type="dxa"/>
            <w:gridSpan w:val="4"/>
            <w:vAlign w:val="center"/>
          </w:tcPr>
          <w:p w14:paraId="168B6138" w14:textId="77777777" w:rsidR="00BE7E05" w:rsidRPr="00853D04" w:rsidRDefault="60F04515" w:rsidP="6209A4CE">
            <w:pPr>
              <w:spacing w:before="20" w:after="20"/>
              <w:rPr>
                <w:noProof/>
                <w:sz w:val="21"/>
              </w:rPr>
            </w:pPr>
            <w:r w:rsidRPr="00853D04">
              <w:rPr>
                <w:noProof/>
                <w:sz w:val="21"/>
              </w:rPr>
              <w:t xml:space="preserve">x Środki operacyjne </w:t>
            </w:r>
          </w:p>
        </w:tc>
        <w:tc>
          <w:tcPr>
            <w:tcW w:w="868" w:type="dxa"/>
            <w:gridSpan w:val="2"/>
            <w:vAlign w:val="center"/>
          </w:tcPr>
          <w:p w14:paraId="7C1D70C4" w14:textId="77777777" w:rsidR="00BE7E05" w:rsidRPr="00853D04" w:rsidRDefault="00BE7E05">
            <w:pPr>
              <w:rPr>
                <w:noProof/>
                <w:sz w:val="20"/>
              </w:rPr>
            </w:pPr>
          </w:p>
        </w:tc>
        <w:tc>
          <w:tcPr>
            <w:tcW w:w="868" w:type="dxa"/>
            <w:gridSpan w:val="2"/>
            <w:vAlign w:val="center"/>
          </w:tcPr>
          <w:p w14:paraId="107BFDBA" w14:textId="77777777" w:rsidR="00BE7E05" w:rsidRPr="00853D04" w:rsidRDefault="00BE7E05">
            <w:pPr>
              <w:rPr>
                <w:noProof/>
                <w:sz w:val="20"/>
              </w:rPr>
            </w:pPr>
          </w:p>
        </w:tc>
        <w:tc>
          <w:tcPr>
            <w:tcW w:w="868" w:type="dxa"/>
            <w:gridSpan w:val="2"/>
            <w:vAlign w:val="center"/>
          </w:tcPr>
          <w:p w14:paraId="7FC1790C" w14:textId="77777777" w:rsidR="00BE7E05" w:rsidRPr="00853D04" w:rsidRDefault="00BE7E05">
            <w:pPr>
              <w:rPr>
                <w:noProof/>
                <w:sz w:val="20"/>
              </w:rPr>
            </w:pPr>
          </w:p>
        </w:tc>
        <w:tc>
          <w:tcPr>
            <w:tcW w:w="868" w:type="dxa"/>
            <w:gridSpan w:val="2"/>
            <w:vAlign w:val="center"/>
          </w:tcPr>
          <w:p w14:paraId="3C4DAF34" w14:textId="77777777" w:rsidR="00BE7E05" w:rsidRPr="00853D04" w:rsidRDefault="00BE7E05">
            <w:pPr>
              <w:rPr>
                <w:noProof/>
                <w:sz w:val="20"/>
              </w:rPr>
            </w:pPr>
          </w:p>
        </w:tc>
        <w:tc>
          <w:tcPr>
            <w:tcW w:w="868" w:type="dxa"/>
            <w:gridSpan w:val="2"/>
            <w:vAlign w:val="center"/>
          </w:tcPr>
          <w:p w14:paraId="0B4742D3" w14:textId="77777777" w:rsidR="00BE7E05" w:rsidRPr="00853D04" w:rsidRDefault="00BE7E05">
            <w:pPr>
              <w:rPr>
                <w:noProof/>
                <w:sz w:val="20"/>
              </w:rPr>
            </w:pPr>
          </w:p>
        </w:tc>
        <w:tc>
          <w:tcPr>
            <w:tcW w:w="868" w:type="dxa"/>
            <w:gridSpan w:val="2"/>
            <w:vAlign w:val="center"/>
          </w:tcPr>
          <w:p w14:paraId="47DB3F77" w14:textId="77777777" w:rsidR="00BE7E05" w:rsidRPr="00853D04" w:rsidRDefault="00BE7E05">
            <w:pPr>
              <w:rPr>
                <w:noProof/>
                <w:sz w:val="20"/>
              </w:rPr>
            </w:pPr>
          </w:p>
        </w:tc>
        <w:tc>
          <w:tcPr>
            <w:tcW w:w="868" w:type="dxa"/>
            <w:gridSpan w:val="2"/>
            <w:vAlign w:val="center"/>
          </w:tcPr>
          <w:p w14:paraId="411E9584" w14:textId="77777777" w:rsidR="00BE7E05" w:rsidRPr="00853D04" w:rsidRDefault="00BE7E05">
            <w:pPr>
              <w:rPr>
                <w:b/>
                <w:noProof/>
                <w:sz w:val="20"/>
              </w:rPr>
            </w:pPr>
          </w:p>
        </w:tc>
        <w:tc>
          <w:tcPr>
            <w:tcW w:w="1777" w:type="dxa"/>
            <w:gridSpan w:val="2"/>
            <w:vAlign w:val="center"/>
          </w:tcPr>
          <w:p w14:paraId="4D5AC843" w14:textId="77777777" w:rsidR="00BE7E05" w:rsidRPr="00853D04" w:rsidRDefault="00BE7E05">
            <w:pPr>
              <w:rPr>
                <w:b/>
                <w:noProof/>
                <w:sz w:val="20"/>
              </w:rPr>
            </w:pPr>
          </w:p>
        </w:tc>
      </w:tr>
      <w:tr w:rsidR="006D15B6" w:rsidRPr="00853D04" w14:paraId="48D6F37F" w14:textId="77777777" w:rsidTr="00C0171B">
        <w:tc>
          <w:tcPr>
            <w:tcW w:w="3960" w:type="dxa"/>
            <w:vAlign w:val="center"/>
          </w:tcPr>
          <w:p w14:paraId="52708F47" w14:textId="77777777" w:rsidR="00A54534" w:rsidRPr="00853D04" w:rsidRDefault="00A54534" w:rsidP="00A54534">
            <w:pPr>
              <w:rPr>
                <w:noProof/>
                <w:sz w:val="20"/>
              </w:rPr>
            </w:pPr>
            <w:r w:rsidRPr="00853D04">
              <w:rPr>
                <w:noProof/>
                <w:sz w:val="20"/>
              </w:rPr>
              <w:t>Linia budżetowa 03.020102 – „Narzędzia zarządzania rynkiem wewnętrznym”</w:t>
            </w:r>
          </w:p>
        </w:tc>
        <w:tc>
          <w:tcPr>
            <w:tcW w:w="1440" w:type="dxa"/>
            <w:gridSpan w:val="2"/>
            <w:vAlign w:val="center"/>
          </w:tcPr>
          <w:p w14:paraId="4335805E" w14:textId="77777777" w:rsidR="00A54534" w:rsidRPr="00853D04" w:rsidRDefault="00A54534" w:rsidP="00A54534">
            <w:pPr>
              <w:spacing w:before="20" w:after="20"/>
              <w:rPr>
                <w:noProof/>
                <w:sz w:val="18"/>
              </w:rPr>
            </w:pPr>
            <w:r w:rsidRPr="00853D04">
              <w:rPr>
                <w:noProof/>
                <w:sz w:val="18"/>
              </w:rPr>
              <w:t>Środki na zobowiązania</w:t>
            </w:r>
          </w:p>
        </w:tc>
        <w:tc>
          <w:tcPr>
            <w:tcW w:w="654" w:type="dxa"/>
            <w:gridSpan w:val="2"/>
            <w:vAlign w:val="center"/>
          </w:tcPr>
          <w:p w14:paraId="768A6D5D" w14:textId="77777777" w:rsidR="00A54534" w:rsidRPr="00853D04" w:rsidRDefault="00A54534" w:rsidP="00A54534">
            <w:pPr>
              <w:spacing w:before="20" w:after="20"/>
              <w:jc w:val="center"/>
              <w:rPr>
                <w:noProof/>
                <w:sz w:val="14"/>
              </w:rPr>
            </w:pPr>
            <w:r w:rsidRPr="00853D04">
              <w:rPr>
                <w:noProof/>
                <w:sz w:val="14"/>
              </w:rPr>
              <w:t>(1a)</w:t>
            </w:r>
          </w:p>
        </w:tc>
        <w:tc>
          <w:tcPr>
            <w:tcW w:w="868" w:type="dxa"/>
            <w:gridSpan w:val="2"/>
            <w:vAlign w:val="center"/>
          </w:tcPr>
          <w:p w14:paraId="3792731C" w14:textId="77777777" w:rsidR="00A54534" w:rsidRPr="00853D04" w:rsidRDefault="00A54534" w:rsidP="00A54534">
            <w:pPr>
              <w:spacing w:before="20" w:after="20"/>
              <w:jc w:val="right"/>
              <w:rPr>
                <w:noProof/>
                <w:sz w:val="20"/>
              </w:rPr>
            </w:pPr>
            <w:r w:rsidRPr="00853D04">
              <w:rPr>
                <w:noProof/>
                <w:sz w:val="20"/>
              </w:rPr>
              <w:t>0,425</w:t>
            </w:r>
          </w:p>
        </w:tc>
        <w:tc>
          <w:tcPr>
            <w:tcW w:w="868" w:type="dxa"/>
            <w:gridSpan w:val="2"/>
            <w:vAlign w:val="center"/>
          </w:tcPr>
          <w:p w14:paraId="0856C96C" w14:textId="77777777" w:rsidR="00A54534" w:rsidRPr="00853D04" w:rsidRDefault="00A54534" w:rsidP="00A54534">
            <w:pPr>
              <w:spacing w:before="20" w:after="20"/>
              <w:jc w:val="right"/>
              <w:rPr>
                <w:noProof/>
                <w:sz w:val="20"/>
              </w:rPr>
            </w:pPr>
            <w:r w:rsidRPr="00853D04">
              <w:rPr>
                <w:noProof/>
                <w:sz w:val="20"/>
              </w:rPr>
              <w:t>0,225</w:t>
            </w:r>
          </w:p>
        </w:tc>
        <w:tc>
          <w:tcPr>
            <w:tcW w:w="868" w:type="dxa"/>
            <w:gridSpan w:val="2"/>
            <w:vAlign w:val="center"/>
          </w:tcPr>
          <w:p w14:paraId="0479FC52"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56D17F39"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3E0A98B4"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379119EB"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549C0EC2" w14:textId="77777777" w:rsidR="00A54534" w:rsidRPr="00853D04" w:rsidRDefault="00A54534" w:rsidP="00A54534">
            <w:pPr>
              <w:spacing w:before="20" w:after="20"/>
              <w:jc w:val="right"/>
              <w:rPr>
                <w:noProof/>
                <w:sz w:val="20"/>
              </w:rPr>
            </w:pPr>
          </w:p>
        </w:tc>
        <w:tc>
          <w:tcPr>
            <w:tcW w:w="1777" w:type="dxa"/>
            <w:gridSpan w:val="2"/>
            <w:vAlign w:val="center"/>
          </w:tcPr>
          <w:p w14:paraId="01EEFFC6" w14:textId="77777777" w:rsidR="00A54534" w:rsidRPr="00853D04" w:rsidRDefault="0050698F" w:rsidP="00A54534">
            <w:pPr>
              <w:spacing w:before="20" w:after="20"/>
              <w:jc w:val="right"/>
              <w:rPr>
                <w:b/>
                <w:noProof/>
                <w:sz w:val="20"/>
              </w:rPr>
            </w:pPr>
            <w:r w:rsidRPr="00853D04">
              <w:rPr>
                <w:b/>
                <w:noProof/>
                <w:sz w:val="20"/>
              </w:rPr>
              <w:t>0,850</w:t>
            </w:r>
          </w:p>
        </w:tc>
      </w:tr>
      <w:tr w:rsidR="006D15B6" w:rsidRPr="00853D04" w14:paraId="5B7B849F" w14:textId="77777777" w:rsidTr="00C0171B">
        <w:tc>
          <w:tcPr>
            <w:tcW w:w="3960" w:type="dxa"/>
          </w:tcPr>
          <w:p w14:paraId="79481B30" w14:textId="77777777" w:rsidR="00A54534" w:rsidRPr="00853D04" w:rsidRDefault="00A54534" w:rsidP="00A54534">
            <w:pPr>
              <w:jc w:val="center"/>
              <w:rPr>
                <w:noProof/>
                <w:sz w:val="20"/>
              </w:rPr>
            </w:pPr>
          </w:p>
        </w:tc>
        <w:tc>
          <w:tcPr>
            <w:tcW w:w="1440" w:type="dxa"/>
            <w:gridSpan w:val="2"/>
            <w:vAlign w:val="center"/>
          </w:tcPr>
          <w:p w14:paraId="5E47FF4A" w14:textId="77777777" w:rsidR="00A54534" w:rsidRPr="00853D04" w:rsidRDefault="00A54534" w:rsidP="00A54534">
            <w:pPr>
              <w:spacing w:before="20" w:after="20"/>
              <w:rPr>
                <w:noProof/>
                <w:sz w:val="18"/>
              </w:rPr>
            </w:pPr>
            <w:r w:rsidRPr="00853D04">
              <w:rPr>
                <w:noProof/>
                <w:sz w:val="18"/>
              </w:rPr>
              <w:t>Środki na płatności</w:t>
            </w:r>
          </w:p>
        </w:tc>
        <w:tc>
          <w:tcPr>
            <w:tcW w:w="654" w:type="dxa"/>
            <w:gridSpan w:val="2"/>
            <w:vAlign w:val="center"/>
          </w:tcPr>
          <w:p w14:paraId="0B19A7A8" w14:textId="77777777" w:rsidR="00A54534" w:rsidRPr="00853D04" w:rsidRDefault="00A54534" w:rsidP="00A54534">
            <w:pPr>
              <w:spacing w:before="20" w:after="20"/>
              <w:jc w:val="center"/>
              <w:rPr>
                <w:noProof/>
                <w:sz w:val="14"/>
              </w:rPr>
            </w:pPr>
            <w:r w:rsidRPr="00853D04">
              <w:rPr>
                <w:noProof/>
                <w:sz w:val="14"/>
              </w:rPr>
              <w:t>(2a)</w:t>
            </w:r>
          </w:p>
        </w:tc>
        <w:tc>
          <w:tcPr>
            <w:tcW w:w="868" w:type="dxa"/>
            <w:gridSpan w:val="2"/>
            <w:vAlign w:val="center"/>
          </w:tcPr>
          <w:p w14:paraId="72418F7A" w14:textId="77777777" w:rsidR="00A54534" w:rsidRPr="00853D04" w:rsidRDefault="00A54534" w:rsidP="00A54534">
            <w:pPr>
              <w:spacing w:before="20" w:after="20"/>
              <w:jc w:val="right"/>
              <w:rPr>
                <w:noProof/>
                <w:sz w:val="20"/>
              </w:rPr>
            </w:pPr>
            <w:r w:rsidRPr="00853D04">
              <w:rPr>
                <w:noProof/>
                <w:sz w:val="20"/>
              </w:rPr>
              <w:t>0,425</w:t>
            </w:r>
          </w:p>
        </w:tc>
        <w:tc>
          <w:tcPr>
            <w:tcW w:w="868" w:type="dxa"/>
            <w:gridSpan w:val="2"/>
            <w:vAlign w:val="center"/>
          </w:tcPr>
          <w:p w14:paraId="582A250B" w14:textId="77777777" w:rsidR="00A54534" w:rsidRPr="00853D04" w:rsidRDefault="00A54534" w:rsidP="00A54534">
            <w:pPr>
              <w:spacing w:before="20" w:after="20"/>
              <w:jc w:val="right"/>
              <w:rPr>
                <w:noProof/>
                <w:sz w:val="20"/>
              </w:rPr>
            </w:pPr>
            <w:r w:rsidRPr="00853D04">
              <w:rPr>
                <w:noProof/>
                <w:sz w:val="20"/>
              </w:rPr>
              <w:t>0,225</w:t>
            </w:r>
          </w:p>
        </w:tc>
        <w:tc>
          <w:tcPr>
            <w:tcW w:w="868" w:type="dxa"/>
            <w:gridSpan w:val="2"/>
            <w:vAlign w:val="center"/>
          </w:tcPr>
          <w:p w14:paraId="63DBFC39"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0967FFC3"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75CB8246"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1B51BE9A"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2A09E77F" w14:textId="77777777" w:rsidR="00A54534" w:rsidRPr="00853D04" w:rsidRDefault="00A54534" w:rsidP="00A54534">
            <w:pPr>
              <w:spacing w:before="20" w:after="20"/>
              <w:jc w:val="right"/>
              <w:rPr>
                <w:noProof/>
                <w:sz w:val="20"/>
              </w:rPr>
            </w:pPr>
          </w:p>
        </w:tc>
        <w:tc>
          <w:tcPr>
            <w:tcW w:w="1777" w:type="dxa"/>
            <w:gridSpan w:val="2"/>
            <w:vAlign w:val="center"/>
          </w:tcPr>
          <w:p w14:paraId="5902CCE6" w14:textId="77777777" w:rsidR="00A54534" w:rsidRPr="00853D04" w:rsidRDefault="0050698F" w:rsidP="00A54534">
            <w:pPr>
              <w:spacing w:before="20" w:after="20"/>
              <w:jc w:val="right"/>
              <w:rPr>
                <w:b/>
                <w:noProof/>
                <w:sz w:val="20"/>
              </w:rPr>
            </w:pPr>
            <w:r w:rsidRPr="00853D04">
              <w:rPr>
                <w:b/>
                <w:noProof/>
                <w:sz w:val="20"/>
              </w:rPr>
              <w:t>0,850</w:t>
            </w:r>
          </w:p>
        </w:tc>
      </w:tr>
      <w:tr w:rsidR="00D71986" w:rsidRPr="00853D04" w14:paraId="68368A74" w14:textId="77777777" w:rsidTr="6E804B18">
        <w:trPr>
          <w:gridAfter w:val="1"/>
          <w:wAfter w:w="252" w:type="dxa"/>
          <w:trHeight w:val="231"/>
        </w:trPr>
        <w:tc>
          <w:tcPr>
            <w:tcW w:w="6054" w:type="dxa"/>
            <w:gridSpan w:val="4"/>
            <w:vAlign w:val="center"/>
          </w:tcPr>
          <w:p w14:paraId="2C9BA546" w14:textId="77777777" w:rsidR="00A54534" w:rsidRPr="00853D04" w:rsidRDefault="00A54534" w:rsidP="00A54534">
            <w:pPr>
              <w:spacing w:before="20" w:after="20"/>
              <w:rPr>
                <w:noProof/>
              </w:rPr>
            </w:pPr>
            <w:r w:rsidRPr="00853D04">
              <w:rPr>
                <w:noProof/>
                <w:sz w:val="21"/>
              </w:rPr>
              <w:t>Środki administracyjne finansowane ze środków przydzielonych na określone programy</w:t>
            </w:r>
            <w:r w:rsidRPr="00853D04">
              <w:rPr>
                <w:rStyle w:val="FootnoteReference"/>
                <w:noProof/>
                <w:sz w:val="21"/>
              </w:rPr>
              <w:footnoteReference w:id="55"/>
            </w:r>
            <w:r w:rsidRPr="00853D04">
              <w:rPr>
                <w:noProof/>
                <w:sz w:val="21"/>
              </w:rPr>
              <w:t xml:space="preserve"> </w:t>
            </w:r>
          </w:p>
          <w:p w14:paraId="6A203C47" w14:textId="77777777" w:rsidR="00A54534" w:rsidRPr="00853D04" w:rsidRDefault="00A54534" w:rsidP="00A54534">
            <w:pPr>
              <w:spacing w:before="0" w:after="0"/>
              <w:rPr>
                <w:noProof/>
              </w:rPr>
            </w:pPr>
          </w:p>
        </w:tc>
        <w:tc>
          <w:tcPr>
            <w:tcW w:w="868" w:type="dxa"/>
            <w:gridSpan w:val="2"/>
            <w:vAlign w:val="center"/>
          </w:tcPr>
          <w:p w14:paraId="71B5656D" w14:textId="77777777" w:rsidR="00A54534" w:rsidRPr="00853D04" w:rsidRDefault="00A54534" w:rsidP="00A54534">
            <w:pPr>
              <w:rPr>
                <w:b/>
                <w:noProof/>
                <w:sz w:val="20"/>
              </w:rPr>
            </w:pPr>
          </w:p>
        </w:tc>
        <w:tc>
          <w:tcPr>
            <w:tcW w:w="868" w:type="dxa"/>
            <w:gridSpan w:val="2"/>
            <w:vAlign w:val="center"/>
          </w:tcPr>
          <w:p w14:paraId="57010D8B" w14:textId="77777777" w:rsidR="00A54534" w:rsidRPr="00853D04" w:rsidRDefault="00A54534" w:rsidP="00A54534">
            <w:pPr>
              <w:rPr>
                <w:b/>
                <w:noProof/>
                <w:sz w:val="20"/>
              </w:rPr>
            </w:pPr>
          </w:p>
        </w:tc>
        <w:tc>
          <w:tcPr>
            <w:tcW w:w="868" w:type="dxa"/>
            <w:gridSpan w:val="2"/>
            <w:vAlign w:val="center"/>
          </w:tcPr>
          <w:p w14:paraId="5E716C94" w14:textId="77777777" w:rsidR="00A54534" w:rsidRPr="00853D04" w:rsidRDefault="00A54534" w:rsidP="00A54534">
            <w:pPr>
              <w:rPr>
                <w:b/>
                <w:noProof/>
                <w:sz w:val="20"/>
              </w:rPr>
            </w:pPr>
          </w:p>
        </w:tc>
        <w:tc>
          <w:tcPr>
            <w:tcW w:w="868" w:type="dxa"/>
            <w:gridSpan w:val="2"/>
            <w:vAlign w:val="center"/>
          </w:tcPr>
          <w:p w14:paraId="405F56DD" w14:textId="77777777" w:rsidR="00A54534" w:rsidRPr="00853D04" w:rsidRDefault="00A54534" w:rsidP="00A54534">
            <w:pPr>
              <w:rPr>
                <w:b/>
                <w:noProof/>
                <w:sz w:val="20"/>
              </w:rPr>
            </w:pPr>
          </w:p>
        </w:tc>
        <w:tc>
          <w:tcPr>
            <w:tcW w:w="868" w:type="dxa"/>
            <w:gridSpan w:val="2"/>
            <w:vAlign w:val="center"/>
          </w:tcPr>
          <w:p w14:paraId="249421BF" w14:textId="77777777" w:rsidR="00A54534" w:rsidRPr="00853D04" w:rsidRDefault="00A54534" w:rsidP="00A54534">
            <w:pPr>
              <w:rPr>
                <w:b/>
                <w:noProof/>
                <w:sz w:val="20"/>
              </w:rPr>
            </w:pPr>
          </w:p>
        </w:tc>
        <w:tc>
          <w:tcPr>
            <w:tcW w:w="868" w:type="dxa"/>
            <w:gridSpan w:val="2"/>
            <w:vAlign w:val="center"/>
          </w:tcPr>
          <w:p w14:paraId="61DF5E79" w14:textId="77777777" w:rsidR="00A54534" w:rsidRPr="00853D04" w:rsidRDefault="00A54534" w:rsidP="00A54534">
            <w:pPr>
              <w:rPr>
                <w:b/>
                <w:noProof/>
                <w:sz w:val="20"/>
              </w:rPr>
            </w:pPr>
          </w:p>
        </w:tc>
        <w:tc>
          <w:tcPr>
            <w:tcW w:w="868" w:type="dxa"/>
            <w:gridSpan w:val="2"/>
            <w:vAlign w:val="center"/>
          </w:tcPr>
          <w:p w14:paraId="513829BD" w14:textId="77777777" w:rsidR="00A54534" w:rsidRPr="00853D04" w:rsidRDefault="00A54534" w:rsidP="00A54534">
            <w:pPr>
              <w:rPr>
                <w:noProof/>
                <w:sz w:val="20"/>
              </w:rPr>
            </w:pPr>
          </w:p>
        </w:tc>
        <w:tc>
          <w:tcPr>
            <w:tcW w:w="1777" w:type="dxa"/>
            <w:gridSpan w:val="2"/>
            <w:vAlign w:val="center"/>
          </w:tcPr>
          <w:p w14:paraId="72A61312" w14:textId="77777777" w:rsidR="00A54534" w:rsidRPr="00853D04" w:rsidRDefault="00A54534" w:rsidP="00A54534">
            <w:pPr>
              <w:rPr>
                <w:b/>
                <w:noProof/>
                <w:sz w:val="20"/>
              </w:rPr>
            </w:pPr>
          </w:p>
        </w:tc>
      </w:tr>
      <w:tr w:rsidR="00D71986" w:rsidRPr="00853D04" w14:paraId="7AA61B84" w14:textId="77777777" w:rsidTr="6E804B18">
        <w:trPr>
          <w:gridAfter w:val="1"/>
          <w:wAfter w:w="252" w:type="dxa"/>
          <w:trHeight w:val="319"/>
        </w:trPr>
        <w:tc>
          <w:tcPr>
            <w:tcW w:w="3960" w:type="dxa"/>
            <w:vAlign w:val="center"/>
          </w:tcPr>
          <w:p w14:paraId="0F6A7A28" w14:textId="77777777" w:rsidR="00A54534" w:rsidRPr="00853D04" w:rsidRDefault="00A54534" w:rsidP="00A54534">
            <w:pPr>
              <w:spacing w:before="60" w:after="60"/>
              <w:rPr>
                <w:noProof/>
                <w:sz w:val="20"/>
              </w:rPr>
            </w:pPr>
          </w:p>
        </w:tc>
        <w:tc>
          <w:tcPr>
            <w:tcW w:w="1440" w:type="dxa"/>
            <w:vAlign w:val="center"/>
          </w:tcPr>
          <w:p w14:paraId="02DD073C" w14:textId="77777777" w:rsidR="00A54534" w:rsidRPr="00853D04" w:rsidRDefault="00A54534" w:rsidP="00A54534">
            <w:pPr>
              <w:spacing w:before="40" w:after="40"/>
              <w:jc w:val="right"/>
              <w:rPr>
                <w:noProof/>
                <w:sz w:val="18"/>
              </w:rPr>
            </w:pPr>
          </w:p>
        </w:tc>
        <w:tc>
          <w:tcPr>
            <w:tcW w:w="654" w:type="dxa"/>
            <w:gridSpan w:val="2"/>
            <w:vAlign w:val="center"/>
          </w:tcPr>
          <w:p w14:paraId="746B2CD6" w14:textId="77777777" w:rsidR="00A54534" w:rsidRPr="00853D04" w:rsidRDefault="00A54534" w:rsidP="00A54534">
            <w:pPr>
              <w:spacing w:before="40" w:after="40"/>
              <w:jc w:val="center"/>
              <w:rPr>
                <w:noProof/>
                <w:sz w:val="14"/>
              </w:rPr>
            </w:pPr>
            <w:r w:rsidRPr="00853D04">
              <w:rPr>
                <w:noProof/>
                <w:sz w:val="14"/>
              </w:rPr>
              <w:t>(3)</w:t>
            </w:r>
          </w:p>
        </w:tc>
        <w:tc>
          <w:tcPr>
            <w:tcW w:w="868" w:type="dxa"/>
            <w:gridSpan w:val="2"/>
            <w:vAlign w:val="center"/>
          </w:tcPr>
          <w:p w14:paraId="4EA3F5BF" w14:textId="77777777" w:rsidR="00A54534" w:rsidRPr="00853D04" w:rsidRDefault="00A54534" w:rsidP="00A54534">
            <w:pPr>
              <w:spacing w:before="40" w:after="40"/>
              <w:jc w:val="right"/>
              <w:rPr>
                <w:b/>
                <w:noProof/>
                <w:sz w:val="20"/>
              </w:rPr>
            </w:pPr>
          </w:p>
        </w:tc>
        <w:tc>
          <w:tcPr>
            <w:tcW w:w="868" w:type="dxa"/>
            <w:gridSpan w:val="2"/>
            <w:vAlign w:val="center"/>
          </w:tcPr>
          <w:p w14:paraId="03176F71" w14:textId="77777777" w:rsidR="00A54534" w:rsidRPr="00853D04" w:rsidRDefault="00A54534" w:rsidP="00A54534">
            <w:pPr>
              <w:spacing w:before="40" w:after="40"/>
              <w:jc w:val="right"/>
              <w:rPr>
                <w:b/>
                <w:noProof/>
                <w:sz w:val="20"/>
              </w:rPr>
            </w:pPr>
          </w:p>
        </w:tc>
        <w:tc>
          <w:tcPr>
            <w:tcW w:w="868" w:type="dxa"/>
            <w:gridSpan w:val="2"/>
            <w:vAlign w:val="center"/>
          </w:tcPr>
          <w:p w14:paraId="351AE75E" w14:textId="77777777" w:rsidR="00A54534" w:rsidRPr="00853D04" w:rsidRDefault="00A54534" w:rsidP="00A54534">
            <w:pPr>
              <w:spacing w:before="40" w:after="40"/>
              <w:jc w:val="right"/>
              <w:rPr>
                <w:b/>
                <w:noProof/>
                <w:sz w:val="20"/>
              </w:rPr>
            </w:pPr>
          </w:p>
        </w:tc>
        <w:tc>
          <w:tcPr>
            <w:tcW w:w="868" w:type="dxa"/>
            <w:gridSpan w:val="2"/>
            <w:vAlign w:val="center"/>
          </w:tcPr>
          <w:p w14:paraId="642AC628" w14:textId="77777777" w:rsidR="00A54534" w:rsidRPr="00853D04" w:rsidRDefault="00A54534" w:rsidP="00A54534">
            <w:pPr>
              <w:spacing w:before="40" w:after="40"/>
              <w:jc w:val="right"/>
              <w:rPr>
                <w:b/>
                <w:noProof/>
                <w:sz w:val="20"/>
              </w:rPr>
            </w:pPr>
          </w:p>
        </w:tc>
        <w:tc>
          <w:tcPr>
            <w:tcW w:w="868" w:type="dxa"/>
            <w:gridSpan w:val="2"/>
            <w:vAlign w:val="center"/>
          </w:tcPr>
          <w:p w14:paraId="5800E889" w14:textId="77777777" w:rsidR="00A54534" w:rsidRPr="00853D04" w:rsidRDefault="00A54534" w:rsidP="00A54534">
            <w:pPr>
              <w:spacing w:before="40" w:after="40"/>
              <w:jc w:val="right"/>
              <w:rPr>
                <w:b/>
                <w:noProof/>
                <w:sz w:val="20"/>
              </w:rPr>
            </w:pPr>
          </w:p>
        </w:tc>
        <w:tc>
          <w:tcPr>
            <w:tcW w:w="868" w:type="dxa"/>
            <w:gridSpan w:val="2"/>
            <w:vAlign w:val="center"/>
          </w:tcPr>
          <w:p w14:paraId="35E5C136" w14:textId="77777777" w:rsidR="00A54534" w:rsidRPr="00853D04" w:rsidRDefault="00A54534" w:rsidP="00A54534">
            <w:pPr>
              <w:spacing w:before="40" w:after="40"/>
              <w:jc w:val="right"/>
              <w:rPr>
                <w:b/>
                <w:noProof/>
                <w:sz w:val="20"/>
              </w:rPr>
            </w:pPr>
          </w:p>
        </w:tc>
        <w:tc>
          <w:tcPr>
            <w:tcW w:w="868" w:type="dxa"/>
            <w:gridSpan w:val="2"/>
            <w:vAlign w:val="center"/>
          </w:tcPr>
          <w:p w14:paraId="4A320E9B" w14:textId="77777777" w:rsidR="00A54534" w:rsidRPr="00853D04" w:rsidRDefault="00A54534" w:rsidP="00A54534">
            <w:pPr>
              <w:spacing w:before="40" w:after="40"/>
              <w:jc w:val="right"/>
              <w:rPr>
                <w:noProof/>
                <w:sz w:val="20"/>
              </w:rPr>
            </w:pPr>
          </w:p>
        </w:tc>
        <w:tc>
          <w:tcPr>
            <w:tcW w:w="1777" w:type="dxa"/>
            <w:gridSpan w:val="2"/>
            <w:vAlign w:val="center"/>
          </w:tcPr>
          <w:p w14:paraId="7D672FEA" w14:textId="77777777" w:rsidR="00A54534" w:rsidRPr="00853D04" w:rsidRDefault="00A54534" w:rsidP="00A54534">
            <w:pPr>
              <w:spacing w:before="40" w:after="40"/>
              <w:jc w:val="right"/>
              <w:rPr>
                <w:b/>
                <w:noProof/>
                <w:sz w:val="20"/>
              </w:rPr>
            </w:pPr>
          </w:p>
        </w:tc>
      </w:tr>
      <w:tr w:rsidR="00D71986" w:rsidRPr="00853D04" w14:paraId="72C0026E" w14:textId="77777777" w:rsidTr="00C0171B">
        <w:tc>
          <w:tcPr>
            <w:tcW w:w="3960" w:type="dxa"/>
            <w:vMerge w:val="restart"/>
            <w:vAlign w:val="center"/>
          </w:tcPr>
          <w:p w14:paraId="517A8C5D" w14:textId="77777777" w:rsidR="00A54534" w:rsidRPr="00853D04" w:rsidRDefault="00A54534" w:rsidP="00A54534">
            <w:pPr>
              <w:jc w:val="center"/>
              <w:rPr>
                <w:b/>
                <w:noProof/>
                <w:sz w:val="22"/>
              </w:rPr>
            </w:pPr>
            <w:r w:rsidRPr="00853D04">
              <w:rPr>
                <w:b/>
                <w:noProof/>
                <w:sz w:val="22"/>
              </w:rPr>
              <w:t>OGÓŁEM środki</w:t>
            </w:r>
            <w:r w:rsidRPr="00853D04">
              <w:rPr>
                <w:noProof/>
              </w:rPr>
              <w:t xml:space="preserve"> </w:t>
            </w:r>
            <w:r w:rsidRPr="00853D04">
              <w:rPr>
                <w:noProof/>
              </w:rPr>
              <w:br/>
            </w:r>
            <w:r w:rsidRPr="00853D04">
              <w:rPr>
                <w:b/>
                <w:noProof/>
                <w:sz w:val="22"/>
              </w:rPr>
              <w:t>dla Dyrekcji Generalnej ds. Rynku Wewnętrznego, Przemysłu, Przedsiębiorczości i MŚP</w:t>
            </w:r>
          </w:p>
        </w:tc>
        <w:tc>
          <w:tcPr>
            <w:tcW w:w="1440" w:type="dxa"/>
            <w:gridSpan w:val="2"/>
            <w:vAlign w:val="center"/>
          </w:tcPr>
          <w:p w14:paraId="6567BDE6" w14:textId="77777777" w:rsidR="00A54534" w:rsidRPr="00853D04" w:rsidRDefault="00A54534" w:rsidP="00A54534">
            <w:pPr>
              <w:rPr>
                <w:noProof/>
                <w:sz w:val="18"/>
              </w:rPr>
            </w:pPr>
            <w:r w:rsidRPr="00853D04">
              <w:rPr>
                <w:noProof/>
                <w:sz w:val="18"/>
              </w:rPr>
              <w:t>Środki na zobowiązania</w:t>
            </w:r>
          </w:p>
        </w:tc>
        <w:tc>
          <w:tcPr>
            <w:tcW w:w="654" w:type="dxa"/>
            <w:gridSpan w:val="2"/>
            <w:vAlign w:val="center"/>
          </w:tcPr>
          <w:p w14:paraId="57ED12E5" w14:textId="77777777" w:rsidR="00A54534" w:rsidRPr="00853D04" w:rsidRDefault="00A54534" w:rsidP="00A54534">
            <w:pPr>
              <w:jc w:val="center"/>
              <w:rPr>
                <w:noProof/>
                <w:sz w:val="14"/>
              </w:rPr>
            </w:pPr>
            <w:r w:rsidRPr="00853D04">
              <w:rPr>
                <w:noProof/>
                <w:sz w:val="14"/>
              </w:rPr>
              <w:t>=1a+1b+3</w:t>
            </w:r>
          </w:p>
        </w:tc>
        <w:tc>
          <w:tcPr>
            <w:tcW w:w="868" w:type="dxa"/>
            <w:gridSpan w:val="2"/>
            <w:vAlign w:val="center"/>
          </w:tcPr>
          <w:p w14:paraId="3CFABC13" w14:textId="77777777" w:rsidR="00A54534" w:rsidRPr="00853D04" w:rsidRDefault="00A54534" w:rsidP="00A54534">
            <w:pPr>
              <w:spacing w:before="20" w:after="20"/>
              <w:jc w:val="right"/>
              <w:rPr>
                <w:noProof/>
              </w:rPr>
            </w:pPr>
            <w:r w:rsidRPr="00853D04">
              <w:rPr>
                <w:noProof/>
                <w:sz w:val="20"/>
              </w:rPr>
              <w:t>0,425</w:t>
            </w:r>
          </w:p>
        </w:tc>
        <w:tc>
          <w:tcPr>
            <w:tcW w:w="868" w:type="dxa"/>
            <w:gridSpan w:val="2"/>
            <w:vAlign w:val="center"/>
          </w:tcPr>
          <w:p w14:paraId="7A0DF96B" w14:textId="77777777" w:rsidR="00A54534" w:rsidRPr="00853D04" w:rsidRDefault="00A54534" w:rsidP="00A54534">
            <w:pPr>
              <w:spacing w:before="20" w:after="20"/>
              <w:jc w:val="right"/>
              <w:rPr>
                <w:noProof/>
              </w:rPr>
            </w:pPr>
            <w:r w:rsidRPr="00853D04">
              <w:rPr>
                <w:noProof/>
                <w:sz w:val="20"/>
              </w:rPr>
              <w:t>0,225</w:t>
            </w:r>
          </w:p>
        </w:tc>
        <w:tc>
          <w:tcPr>
            <w:tcW w:w="868" w:type="dxa"/>
            <w:gridSpan w:val="2"/>
            <w:vAlign w:val="center"/>
          </w:tcPr>
          <w:p w14:paraId="052679E2"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301E77E5"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1BEA46CA"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05AA6883"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757814BF" w14:textId="77777777" w:rsidR="00A54534" w:rsidRPr="00853D04" w:rsidRDefault="00A54534" w:rsidP="00A54534">
            <w:pPr>
              <w:spacing w:before="20" w:after="20"/>
              <w:jc w:val="right"/>
              <w:rPr>
                <w:noProof/>
                <w:sz w:val="20"/>
              </w:rPr>
            </w:pPr>
          </w:p>
        </w:tc>
        <w:tc>
          <w:tcPr>
            <w:tcW w:w="1777" w:type="dxa"/>
            <w:gridSpan w:val="2"/>
            <w:vAlign w:val="center"/>
          </w:tcPr>
          <w:p w14:paraId="1AC0D535" w14:textId="77777777" w:rsidR="00A54534" w:rsidRPr="00853D04" w:rsidRDefault="0050698F" w:rsidP="00A54534">
            <w:pPr>
              <w:spacing w:before="20" w:after="20"/>
              <w:jc w:val="right"/>
              <w:rPr>
                <w:b/>
                <w:noProof/>
                <w:sz w:val="20"/>
              </w:rPr>
            </w:pPr>
            <w:r w:rsidRPr="00853D04">
              <w:rPr>
                <w:b/>
                <w:noProof/>
                <w:sz w:val="20"/>
              </w:rPr>
              <w:t>0,850</w:t>
            </w:r>
          </w:p>
        </w:tc>
      </w:tr>
      <w:tr w:rsidR="00D71986" w:rsidRPr="00853D04" w14:paraId="5A451CC4" w14:textId="77777777" w:rsidTr="00C0171B">
        <w:tc>
          <w:tcPr>
            <w:tcW w:w="3960" w:type="dxa"/>
            <w:vMerge/>
          </w:tcPr>
          <w:p w14:paraId="4B2A2E4C" w14:textId="77777777" w:rsidR="00A54534" w:rsidRPr="00853D04" w:rsidRDefault="00A54534" w:rsidP="00A54534">
            <w:pPr>
              <w:rPr>
                <w:noProof/>
                <w:sz w:val="20"/>
              </w:rPr>
            </w:pPr>
          </w:p>
        </w:tc>
        <w:tc>
          <w:tcPr>
            <w:tcW w:w="1440" w:type="dxa"/>
            <w:gridSpan w:val="2"/>
            <w:vAlign w:val="center"/>
          </w:tcPr>
          <w:p w14:paraId="2C3EE8A9" w14:textId="77777777" w:rsidR="00A54534" w:rsidRPr="00853D04" w:rsidRDefault="00A54534" w:rsidP="00A54534">
            <w:pPr>
              <w:rPr>
                <w:noProof/>
                <w:sz w:val="18"/>
              </w:rPr>
            </w:pPr>
            <w:r w:rsidRPr="00853D04">
              <w:rPr>
                <w:noProof/>
                <w:sz w:val="18"/>
              </w:rPr>
              <w:t>Środki na płatności</w:t>
            </w:r>
          </w:p>
        </w:tc>
        <w:tc>
          <w:tcPr>
            <w:tcW w:w="654" w:type="dxa"/>
            <w:gridSpan w:val="2"/>
            <w:vAlign w:val="center"/>
          </w:tcPr>
          <w:p w14:paraId="04706713" w14:textId="77777777" w:rsidR="00A54534" w:rsidRPr="00853D04" w:rsidRDefault="00A54534" w:rsidP="00A54534">
            <w:pPr>
              <w:jc w:val="center"/>
              <w:rPr>
                <w:noProof/>
                <w:sz w:val="14"/>
              </w:rPr>
            </w:pPr>
            <w:r w:rsidRPr="00853D04">
              <w:rPr>
                <w:noProof/>
                <w:sz w:val="14"/>
              </w:rPr>
              <w:t>=2a+2b</w:t>
            </w:r>
          </w:p>
          <w:p w14:paraId="672F08E9" w14:textId="77777777" w:rsidR="00A54534" w:rsidRPr="00853D04" w:rsidRDefault="00A54534" w:rsidP="00A54534">
            <w:pPr>
              <w:jc w:val="center"/>
              <w:rPr>
                <w:noProof/>
                <w:sz w:val="14"/>
              </w:rPr>
            </w:pPr>
            <w:r w:rsidRPr="00853D04">
              <w:rPr>
                <w:noProof/>
                <w:sz w:val="14"/>
              </w:rPr>
              <w:t>+3</w:t>
            </w:r>
          </w:p>
        </w:tc>
        <w:tc>
          <w:tcPr>
            <w:tcW w:w="868" w:type="dxa"/>
            <w:gridSpan w:val="2"/>
            <w:vAlign w:val="center"/>
          </w:tcPr>
          <w:p w14:paraId="1275B7A7" w14:textId="77777777" w:rsidR="00A54534" w:rsidRPr="00853D04" w:rsidRDefault="00A54534" w:rsidP="00A54534">
            <w:pPr>
              <w:spacing w:before="20" w:after="20"/>
              <w:jc w:val="right"/>
              <w:rPr>
                <w:noProof/>
              </w:rPr>
            </w:pPr>
            <w:r w:rsidRPr="00853D04">
              <w:rPr>
                <w:noProof/>
                <w:sz w:val="20"/>
              </w:rPr>
              <w:t>0,425</w:t>
            </w:r>
          </w:p>
        </w:tc>
        <w:tc>
          <w:tcPr>
            <w:tcW w:w="868" w:type="dxa"/>
            <w:gridSpan w:val="2"/>
            <w:vAlign w:val="center"/>
          </w:tcPr>
          <w:p w14:paraId="49132F73" w14:textId="77777777" w:rsidR="00A54534" w:rsidRPr="00853D04" w:rsidRDefault="00A54534" w:rsidP="00A54534">
            <w:pPr>
              <w:spacing w:before="20" w:after="20"/>
              <w:jc w:val="right"/>
              <w:rPr>
                <w:noProof/>
              </w:rPr>
            </w:pPr>
            <w:r w:rsidRPr="00853D04">
              <w:rPr>
                <w:noProof/>
                <w:sz w:val="20"/>
              </w:rPr>
              <w:t>0,225</w:t>
            </w:r>
          </w:p>
        </w:tc>
        <w:tc>
          <w:tcPr>
            <w:tcW w:w="868" w:type="dxa"/>
            <w:gridSpan w:val="2"/>
            <w:vAlign w:val="center"/>
          </w:tcPr>
          <w:p w14:paraId="001027F2"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06D9283D" w14:textId="77777777" w:rsidR="00A54534" w:rsidRPr="00853D04" w:rsidRDefault="00A54534" w:rsidP="00A54534">
            <w:pPr>
              <w:spacing w:before="20" w:after="20"/>
              <w:jc w:val="right"/>
              <w:rPr>
                <w:noProof/>
                <w:sz w:val="20"/>
              </w:rPr>
            </w:pPr>
            <w:r w:rsidRPr="00853D04">
              <w:rPr>
                <w:noProof/>
                <w:sz w:val="20"/>
              </w:rPr>
              <w:t>0,100</w:t>
            </w:r>
          </w:p>
        </w:tc>
        <w:tc>
          <w:tcPr>
            <w:tcW w:w="868" w:type="dxa"/>
            <w:gridSpan w:val="2"/>
            <w:vAlign w:val="center"/>
          </w:tcPr>
          <w:p w14:paraId="53E95DEA"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3AC4B284" w14:textId="77777777" w:rsidR="00A54534" w:rsidRPr="00853D04" w:rsidRDefault="0050698F" w:rsidP="00C0171B">
            <w:pPr>
              <w:spacing w:before="20" w:after="20"/>
              <w:jc w:val="center"/>
              <w:rPr>
                <w:noProof/>
                <w:sz w:val="20"/>
              </w:rPr>
            </w:pPr>
            <w:r w:rsidRPr="00853D04">
              <w:rPr>
                <w:noProof/>
                <w:sz w:val="20"/>
              </w:rPr>
              <w:t>0,00</w:t>
            </w:r>
          </w:p>
        </w:tc>
        <w:tc>
          <w:tcPr>
            <w:tcW w:w="868" w:type="dxa"/>
            <w:gridSpan w:val="2"/>
            <w:vAlign w:val="center"/>
          </w:tcPr>
          <w:p w14:paraId="270157C8" w14:textId="77777777" w:rsidR="00A54534" w:rsidRPr="00853D04" w:rsidRDefault="00A54534" w:rsidP="00A54534">
            <w:pPr>
              <w:spacing w:before="20" w:after="20"/>
              <w:jc w:val="right"/>
              <w:rPr>
                <w:noProof/>
                <w:sz w:val="20"/>
              </w:rPr>
            </w:pPr>
          </w:p>
        </w:tc>
        <w:tc>
          <w:tcPr>
            <w:tcW w:w="1777" w:type="dxa"/>
            <w:gridSpan w:val="2"/>
            <w:vAlign w:val="center"/>
          </w:tcPr>
          <w:p w14:paraId="799167B9" w14:textId="77777777" w:rsidR="00A54534" w:rsidRPr="00853D04" w:rsidRDefault="0050698F" w:rsidP="00A54534">
            <w:pPr>
              <w:spacing w:before="20" w:after="20"/>
              <w:jc w:val="right"/>
              <w:rPr>
                <w:b/>
                <w:noProof/>
                <w:sz w:val="20"/>
              </w:rPr>
            </w:pPr>
            <w:r w:rsidRPr="00853D04">
              <w:rPr>
                <w:b/>
                <w:noProof/>
                <w:sz w:val="20"/>
              </w:rPr>
              <w:t>0,850</w:t>
            </w:r>
          </w:p>
        </w:tc>
      </w:tr>
    </w:tbl>
    <w:p w14:paraId="286D6F16" w14:textId="77777777" w:rsidR="00BE7E05" w:rsidRPr="00853D04" w:rsidRDefault="00BE7E05">
      <w:pPr>
        <w:rPr>
          <w:noProof/>
        </w:rPr>
      </w:pPr>
      <w:r w:rsidRPr="00853D04">
        <w:rPr>
          <w:noProof/>
        </w:rPr>
        <w:t xml:space="preserve"> </w:t>
      </w:r>
      <w:r w:rsidRPr="00853D04">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gridCol w:w="252"/>
      </w:tblGrid>
      <w:tr w:rsidR="00D71986" w:rsidRPr="00853D04" w14:paraId="4405EFA1" w14:textId="77777777">
        <w:trPr>
          <w:trHeight w:val="277"/>
        </w:trPr>
        <w:tc>
          <w:tcPr>
            <w:tcW w:w="3960" w:type="dxa"/>
            <w:vMerge w:val="restart"/>
            <w:vAlign w:val="center"/>
          </w:tcPr>
          <w:p w14:paraId="094B5758" w14:textId="77777777" w:rsidR="00BE7E05" w:rsidRPr="00853D04" w:rsidRDefault="00BE7E05">
            <w:pPr>
              <w:spacing w:before="20" w:after="20"/>
              <w:rPr>
                <w:noProof/>
              </w:rPr>
            </w:pPr>
            <w:r w:rsidRPr="00853D04">
              <w:rPr>
                <w:noProof/>
              </w:rPr>
              <w:br w:type="page"/>
            </w:r>
            <w:r w:rsidRPr="00853D04">
              <w:rPr>
                <w:noProof/>
                <w:sz w:val="21"/>
              </w:rPr>
              <w:t xml:space="preserve">x OGÓŁEM środki operacyjne </w:t>
            </w:r>
          </w:p>
        </w:tc>
        <w:tc>
          <w:tcPr>
            <w:tcW w:w="1440" w:type="dxa"/>
            <w:vAlign w:val="center"/>
          </w:tcPr>
          <w:p w14:paraId="2A626EDC" w14:textId="77777777" w:rsidR="00BE7E05" w:rsidRPr="00853D04" w:rsidRDefault="00BE7E05">
            <w:pPr>
              <w:spacing w:beforeLines="20" w:before="48" w:afterLines="20" w:after="48"/>
              <w:rPr>
                <w:noProof/>
                <w:sz w:val="18"/>
              </w:rPr>
            </w:pPr>
            <w:r w:rsidRPr="00853D04">
              <w:rPr>
                <w:noProof/>
                <w:sz w:val="18"/>
              </w:rPr>
              <w:t>Środki na zobowiązania</w:t>
            </w:r>
          </w:p>
        </w:tc>
        <w:tc>
          <w:tcPr>
            <w:tcW w:w="654" w:type="dxa"/>
            <w:vAlign w:val="center"/>
          </w:tcPr>
          <w:p w14:paraId="1D43C7FD" w14:textId="77777777" w:rsidR="00BE7E05" w:rsidRPr="00853D04" w:rsidRDefault="00BE7E05">
            <w:pPr>
              <w:spacing w:beforeLines="20" w:before="48" w:afterLines="20" w:after="48"/>
              <w:jc w:val="center"/>
              <w:rPr>
                <w:noProof/>
                <w:sz w:val="14"/>
              </w:rPr>
            </w:pPr>
            <w:r w:rsidRPr="00853D04">
              <w:rPr>
                <w:noProof/>
                <w:sz w:val="14"/>
              </w:rPr>
              <w:t>(4)</w:t>
            </w:r>
          </w:p>
        </w:tc>
        <w:tc>
          <w:tcPr>
            <w:tcW w:w="868" w:type="dxa"/>
            <w:vAlign w:val="center"/>
          </w:tcPr>
          <w:p w14:paraId="4C5BF520" w14:textId="77777777" w:rsidR="0F2846C1" w:rsidRPr="00853D04" w:rsidRDefault="0F2846C1" w:rsidP="0F2846C1">
            <w:pPr>
              <w:spacing w:before="20" w:after="20"/>
              <w:jc w:val="right"/>
              <w:rPr>
                <w:noProof/>
                <w:sz w:val="20"/>
              </w:rPr>
            </w:pPr>
            <w:r w:rsidRPr="00853D04">
              <w:rPr>
                <w:noProof/>
                <w:sz w:val="20"/>
              </w:rPr>
              <w:t>0,425</w:t>
            </w:r>
          </w:p>
        </w:tc>
        <w:tc>
          <w:tcPr>
            <w:tcW w:w="868" w:type="dxa"/>
            <w:vAlign w:val="center"/>
          </w:tcPr>
          <w:p w14:paraId="7ED799A6" w14:textId="77777777" w:rsidR="0F2846C1" w:rsidRPr="00853D04" w:rsidRDefault="0F2846C1" w:rsidP="0F2846C1">
            <w:pPr>
              <w:spacing w:before="20" w:after="20"/>
              <w:jc w:val="right"/>
              <w:rPr>
                <w:noProof/>
                <w:sz w:val="20"/>
              </w:rPr>
            </w:pPr>
            <w:r w:rsidRPr="00853D04">
              <w:rPr>
                <w:noProof/>
                <w:sz w:val="20"/>
              </w:rPr>
              <w:t>0,225</w:t>
            </w:r>
          </w:p>
        </w:tc>
        <w:tc>
          <w:tcPr>
            <w:tcW w:w="868" w:type="dxa"/>
            <w:vAlign w:val="center"/>
          </w:tcPr>
          <w:p w14:paraId="302E6B05" w14:textId="77777777" w:rsidR="0F2846C1" w:rsidRPr="00853D04" w:rsidRDefault="0F2846C1" w:rsidP="0F2846C1">
            <w:pPr>
              <w:spacing w:before="20" w:after="20"/>
              <w:jc w:val="right"/>
              <w:rPr>
                <w:noProof/>
                <w:sz w:val="20"/>
              </w:rPr>
            </w:pPr>
            <w:r w:rsidRPr="00853D04">
              <w:rPr>
                <w:noProof/>
                <w:sz w:val="20"/>
              </w:rPr>
              <w:t>0,100</w:t>
            </w:r>
          </w:p>
        </w:tc>
        <w:tc>
          <w:tcPr>
            <w:tcW w:w="868" w:type="dxa"/>
            <w:vAlign w:val="center"/>
          </w:tcPr>
          <w:p w14:paraId="7FCC6013" w14:textId="77777777" w:rsidR="0F2846C1" w:rsidRPr="00853D04" w:rsidRDefault="0F2846C1" w:rsidP="0F2846C1">
            <w:pPr>
              <w:spacing w:before="20" w:after="20"/>
              <w:jc w:val="right"/>
              <w:rPr>
                <w:noProof/>
                <w:sz w:val="20"/>
              </w:rPr>
            </w:pPr>
            <w:r w:rsidRPr="00853D04">
              <w:rPr>
                <w:noProof/>
                <w:sz w:val="20"/>
              </w:rPr>
              <w:t>0,100</w:t>
            </w:r>
          </w:p>
        </w:tc>
        <w:tc>
          <w:tcPr>
            <w:tcW w:w="868" w:type="dxa"/>
          </w:tcPr>
          <w:p w14:paraId="5E8EC11F" w14:textId="77777777" w:rsidR="0F2846C1" w:rsidRPr="00853D04" w:rsidRDefault="0050698F" w:rsidP="0F2846C1">
            <w:pPr>
              <w:spacing w:before="20" w:after="20"/>
              <w:jc w:val="right"/>
              <w:rPr>
                <w:noProof/>
                <w:sz w:val="20"/>
              </w:rPr>
            </w:pPr>
            <w:r w:rsidRPr="00853D04">
              <w:rPr>
                <w:noProof/>
                <w:sz w:val="20"/>
              </w:rPr>
              <w:t>0,00</w:t>
            </w:r>
          </w:p>
        </w:tc>
        <w:tc>
          <w:tcPr>
            <w:tcW w:w="868" w:type="dxa"/>
          </w:tcPr>
          <w:p w14:paraId="2593A4CB" w14:textId="77777777" w:rsidR="0F2846C1" w:rsidRPr="00853D04" w:rsidRDefault="0050698F" w:rsidP="0F2846C1">
            <w:pPr>
              <w:spacing w:before="20" w:after="20"/>
              <w:jc w:val="right"/>
              <w:rPr>
                <w:noProof/>
                <w:sz w:val="20"/>
              </w:rPr>
            </w:pPr>
            <w:r w:rsidRPr="00853D04">
              <w:rPr>
                <w:noProof/>
                <w:sz w:val="20"/>
              </w:rPr>
              <w:t>0,00</w:t>
            </w:r>
          </w:p>
        </w:tc>
        <w:tc>
          <w:tcPr>
            <w:tcW w:w="868" w:type="dxa"/>
            <w:vAlign w:val="center"/>
          </w:tcPr>
          <w:p w14:paraId="2C25D41E" w14:textId="77777777" w:rsidR="0F2846C1" w:rsidRPr="00853D04" w:rsidRDefault="0F2846C1" w:rsidP="0F2846C1">
            <w:pPr>
              <w:spacing w:before="20" w:after="20"/>
              <w:jc w:val="right"/>
              <w:rPr>
                <w:noProof/>
                <w:sz w:val="20"/>
              </w:rPr>
            </w:pPr>
          </w:p>
        </w:tc>
        <w:tc>
          <w:tcPr>
            <w:tcW w:w="1777" w:type="dxa"/>
            <w:gridSpan w:val="2"/>
          </w:tcPr>
          <w:p w14:paraId="42474A9B" w14:textId="77777777" w:rsidR="0F2846C1" w:rsidRPr="00853D04" w:rsidRDefault="0050698F" w:rsidP="0F2846C1">
            <w:pPr>
              <w:spacing w:before="20" w:after="20"/>
              <w:jc w:val="right"/>
              <w:rPr>
                <w:b/>
                <w:noProof/>
                <w:sz w:val="20"/>
              </w:rPr>
            </w:pPr>
            <w:r w:rsidRPr="00853D04">
              <w:rPr>
                <w:b/>
                <w:noProof/>
                <w:sz w:val="20"/>
              </w:rPr>
              <w:t>0,850</w:t>
            </w:r>
          </w:p>
        </w:tc>
      </w:tr>
      <w:tr w:rsidR="00D71986" w:rsidRPr="00853D04" w14:paraId="0A071987" w14:textId="77777777">
        <w:tc>
          <w:tcPr>
            <w:tcW w:w="3960" w:type="dxa"/>
            <w:vMerge/>
          </w:tcPr>
          <w:p w14:paraId="32C6CCBB" w14:textId="77777777" w:rsidR="00BE7E05" w:rsidRPr="00853D04" w:rsidRDefault="00BE7E05">
            <w:pPr>
              <w:jc w:val="center"/>
              <w:rPr>
                <w:noProof/>
                <w:sz w:val="20"/>
              </w:rPr>
            </w:pPr>
          </w:p>
        </w:tc>
        <w:tc>
          <w:tcPr>
            <w:tcW w:w="1440" w:type="dxa"/>
            <w:vAlign w:val="center"/>
          </w:tcPr>
          <w:p w14:paraId="0FA8E23A" w14:textId="77777777" w:rsidR="00BE7E05" w:rsidRPr="00853D04" w:rsidRDefault="00BE7E05">
            <w:pPr>
              <w:spacing w:beforeLines="20" w:before="48" w:afterLines="20" w:after="48"/>
              <w:rPr>
                <w:noProof/>
                <w:sz w:val="18"/>
              </w:rPr>
            </w:pPr>
            <w:r w:rsidRPr="00853D04">
              <w:rPr>
                <w:noProof/>
                <w:sz w:val="18"/>
              </w:rPr>
              <w:t>Środki na płatności</w:t>
            </w:r>
          </w:p>
        </w:tc>
        <w:tc>
          <w:tcPr>
            <w:tcW w:w="654" w:type="dxa"/>
            <w:vAlign w:val="center"/>
          </w:tcPr>
          <w:p w14:paraId="5CFB78B3" w14:textId="77777777" w:rsidR="00BE7E05" w:rsidRPr="00853D04" w:rsidRDefault="00BE7E05">
            <w:pPr>
              <w:spacing w:beforeLines="20" w:before="48" w:afterLines="20" w:after="48"/>
              <w:jc w:val="center"/>
              <w:rPr>
                <w:noProof/>
                <w:sz w:val="14"/>
              </w:rPr>
            </w:pPr>
            <w:r w:rsidRPr="00853D04">
              <w:rPr>
                <w:noProof/>
                <w:sz w:val="14"/>
              </w:rPr>
              <w:t>(5)</w:t>
            </w:r>
          </w:p>
        </w:tc>
        <w:tc>
          <w:tcPr>
            <w:tcW w:w="868" w:type="dxa"/>
            <w:vAlign w:val="center"/>
          </w:tcPr>
          <w:p w14:paraId="36525C9F" w14:textId="77777777" w:rsidR="0F2846C1" w:rsidRPr="00853D04" w:rsidRDefault="0F2846C1" w:rsidP="0F2846C1">
            <w:pPr>
              <w:spacing w:before="20" w:after="20"/>
              <w:jc w:val="right"/>
              <w:rPr>
                <w:noProof/>
                <w:sz w:val="20"/>
              </w:rPr>
            </w:pPr>
            <w:r w:rsidRPr="00853D04">
              <w:rPr>
                <w:noProof/>
                <w:sz w:val="20"/>
              </w:rPr>
              <w:t>0,425</w:t>
            </w:r>
          </w:p>
        </w:tc>
        <w:tc>
          <w:tcPr>
            <w:tcW w:w="868" w:type="dxa"/>
            <w:vAlign w:val="center"/>
          </w:tcPr>
          <w:p w14:paraId="10B80154" w14:textId="77777777" w:rsidR="0F2846C1" w:rsidRPr="00853D04" w:rsidRDefault="0F2846C1" w:rsidP="0F2846C1">
            <w:pPr>
              <w:spacing w:before="20" w:after="20"/>
              <w:jc w:val="right"/>
              <w:rPr>
                <w:noProof/>
                <w:sz w:val="20"/>
              </w:rPr>
            </w:pPr>
            <w:r w:rsidRPr="00853D04">
              <w:rPr>
                <w:noProof/>
                <w:sz w:val="20"/>
              </w:rPr>
              <w:t>0,225</w:t>
            </w:r>
          </w:p>
        </w:tc>
        <w:tc>
          <w:tcPr>
            <w:tcW w:w="868" w:type="dxa"/>
            <w:vAlign w:val="center"/>
          </w:tcPr>
          <w:p w14:paraId="7E17A484" w14:textId="77777777" w:rsidR="0F2846C1" w:rsidRPr="00853D04" w:rsidRDefault="0F2846C1" w:rsidP="0F2846C1">
            <w:pPr>
              <w:spacing w:before="20" w:after="20"/>
              <w:jc w:val="right"/>
              <w:rPr>
                <w:noProof/>
                <w:sz w:val="20"/>
              </w:rPr>
            </w:pPr>
            <w:r w:rsidRPr="00853D04">
              <w:rPr>
                <w:noProof/>
                <w:sz w:val="20"/>
              </w:rPr>
              <w:t>0,100</w:t>
            </w:r>
          </w:p>
        </w:tc>
        <w:tc>
          <w:tcPr>
            <w:tcW w:w="868" w:type="dxa"/>
            <w:vAlign w:val="center"/>
          </w:tcPr>
          <w:p w14:paraId="6C0F5436" w14:textId="77777777" w:rsidR="0F2846C1" w:rsidRPr="00853D04" w:rsidRDefault="0F2846C1" w:rsidP="0F2846C1">
            <w:pPr>
              <w:spacing w:before="20" w:after="20"/>
              <w:jc w:val="right"/>
              <w:rPr>
                <w:noProof/>
                <w:sz w:val="20"/>
              </w:rPr>
            </w:pPr>
            <w:r w:rsidRPr="00853D04">
              <w:rPr>
                <w:noProof/>
                <w:sz w:val="20"/>
              </w:rPr>
              <w:t>0,100</w:t>
            </w:r>
          </w:p>
        </w:tc>
        <w:tc>
          <w:tcPr>
            <w:tcW w:w="868" w:type="dxa"/>
          </w:tcPr>
          <w:p w14:paraId="231E89FD" w14:textId="77777777" w:rsidR="0F2846C1" w:rsidRPr="00853D04" w:rsidRDefault="0050698F" w:rsidP="0F2846C1">
            <w:pPr>
              <w:spacing w:before="20" w:after="20"/>
              <w:jc w:val="right"/>
              <w:rPr>
                <w:noProof/>
                <w:sz w:val="20"/>
              </w:rPr>
            </w:pPr>
            <w:r w:rsidRPr="00853D04">
              <w:rPr>
                <w:noProof/>
                <w:sz w:val="20"/>
              </w:rPr>
              <w:t>0,00</w:t>
            </w:r>
          </w:p>
        </w:tc>
        <w:tc>
          <w:tcPr>
            <w:tcW w:w="868" w:type="dxa"/>
          </w:tcPr>
          <w:p w14:paraId="65A077D0" w14:textId="77777777" w:rsidR="0F2846C1" w:rsidRPr="00853D04" w:rsidRDefault="0050698F" w:rsidP="0F2846C1">
            <w:pPr>
              <w:spacing w:before="20" w:after="20"/>
              <w:jc w:val="right"/>
              <w:rPr>
                <w:noProof/>
                <w:sz w:val="20"/>
              </w:rPr>
            </w:pPr>
            <w:r w:rsidRPr="00853D04">
              <w:rPr>
                <w:noProof/>
                <w:sz w:val="20"/>
              </w:rPr>
              <w:t>0,00</w:t>
            </w:r>
          </w:p>
        </w:tc>
        <w:tc>
          <w:tcPr>
            <w:tcW w:w="868" w:type="dxa"/>
            <w:vAlign w:val="center"/>
          </w:tcPr>
          <w:p w14:paraId="58215CA6" w14:textId="77777777" w:rsidR="0F2846C1" w:rsidRPr="00853D04" w:rsidRDefault="0F2846C1" w:rsidP="0F2846C1">
            <w:pPr>
              <w:spacing w:before="20" w:after="20"/>
              <w:jc w:val="right"/>
              <w:rPr>
                <w:noProof/>
                <w:sz w:val="20"/>
              </w:rPr>
            </w:pPr>
          </w:p>
        </w:tc>
        <w:tc>
          <w:tcPr>
            <w:tcW w:w="1777" w:type="dxa"/>
            <w:gridSpan w:val="2"/>
          </w:tcPr>
          <w:p w14:paraId="12EC3056" w14:textId="77777777" w:rsidR="0F2846C1" w:rsidRPr="00853D04" w:rsidRDefault="0050698F" w:rsidP="0F2846C1">
            <w:pPr>
              <w:spacing w:before="20" w:after="20"/>
              <w:jc w:val="right"/>
              <w:rPr>
                <w:b/>
                <w:noProof/>
                <w:sz w:val="20"/>
              </w:rPr>
            </w:pPr>
            <w:r w:rsidRPr="00853D04">
              <w:rPr>
                <w:b/>
                <w:noProof/>
                <w:sz w:val="20"/>
              </w:rPr>
              <w:t>0,850</w:t>
            </w:r>
          </w:p>
        </w:tc>
      </w:tr>
      <w:tr w:rsidR="006D15B6" w:rsidRPr="00853D04" w14:paraId="06E9EEE4" w14:textId="77777777" w:rsidTr="1E088F50">
        <w:trPr>
          <w:trHeight w:val="533"/>
        </w:trPr>
        <w:tc>
          <w:tcPr>
            <w:tcW w:w="5400" w:type="dxa"/>
            <w:gridSpan w:val="2"/>
            <w:vAlign w:val="center"/>
          </w:tcPr>
          <w:p w14:paraId="4D6B120E" w14:textId="77777777" w:rsidR="00BE7E05" w:rsidRPr="00853D04" w:rsidRDefault="00BE7E05">
            <w:pPr>
              <w:spacing w:beforeLines="20" w:before="48" w:afterLines="20" w:after="48"/>
              <w:rPr>
                <w:noProof/>
              </w:rPr>
            </w:pPr>
            <w:r w:rsidRPr="00853D04">
              <w:rPr>
                <w:noProof/>
                <w:sz w:val="21"/>
              </w:rPr>
              <w:t xml:space="preserve">OGÓŁEM środki administracyjne finansowane ze środków przydzielonych na określone programy </w:t>
            </w:r>
          </w:p>
        </w:tc>
        <w:tc>
          <w:tcPr>
            <w:tcW w:w="654" w:type="dxa"/>
            <w:vAlign w:val="center"/>
          </w:tcPr>
          <w:p w14:paraId="1FA07DE7" w14:textId="77777777" w:rsidR="00BE7E05" w:rsidRPr="00853D04" w:rsidRDefault="00BE7E05">
            <w:pPr>
              <w:spacing w:beforeLines="20" w:before="48" w:afterLines="20" w:after="48"/>
              <w:jc w:val="center"/>
              <w:rPr>
                <w:noProof/>
                <w:sz w:val="14"/>
              </w:rPr>
            </w:pPr>
            <w:r w:rsidRPr="00853D04">
              <w:rPr>
                <w:noProof/>
                <w:sz w:val="14"/>
              </w:rPr>
              <w:t>(6)</w:t>
            </w:r>
          </w:p>
        </w:tc>
        <w:tc>
          <w:tcPr>
            <w:tcW w:w="868" w:type="dxa"/>
            <w:vAlign w:val="center"/>
          </w:tcPr>
          <w:p w14:paraId="6B0AC016" w14:textId="77777777" w:rsidR="00BE7E05" w:rsidRPr="00853D04" w:rsidRDefault="00BE7E05">
            <w:pPr>
              <w:spacing w:before="20" w:after="20"/>
              <w:jc w:val="right"/>
              <w:rPr>
                <w:b/>
                <w:noProof/>
                <w:sz w:val="20"/>
              </w:rPr>
            </w:pPr>
          </w:p>
        </w:tc>
        <w:tc>
          <w:tcPr>
            <w:tcW w:w="868" w:type="dxa"/>
            <w:vAlign w:val="center"/>
          </w:tcPr>
          <w:p w14:paraId="1677FC8A" w14:textId="77777777" w:rsidR="00BE7E05" w:rsidRPr="00853D04" w:rsidRDefault="00BE7E05">
            <w:pPr>
              <w:spacing w:before="20" w:after="20"/>
              <w:jc w:val="right"/>
              <w:rPr>
                <w:b/>
                <w:noProof/>
                <w:sz w:val="20"/>
              </w:rPr>
            </w:pPr>
          </w:p>
        </w:tc>
        <w:tc>
          <w:tcPr>
            <w:tcW w:w="868" w:type="dxa"/>
            <w:vAlign w:val="center"/>
          </w:tcPr>
          <w:p w14:paraId="141FE705" w14:textId="77777777" w:rsidR="00BE7E05" w:rsidRPr="00853D04" w:rsidRDefault="00BE7E05">
            <w:pPr>
              <w:spacing w:before="20" w:after="20"/>
              <w:jc w:val="right"/>
              <w:rPr>
                <w:b/>
                <w:noProof/>
                <w:sz w:val="20"/>
              </w:rPr>
            </w:pPr>
          </w:p>
        </w:tc>
        <w:tc>
          <w:tcPr>
            <w:tcW w:w="868" w:type="dxa"/>
            <w:vAlign w:val="center"/>
          </w:tcPr>
          <w:p w14:paraId="26EE56BA" w14:textId="77777777" w:rsidR="00BE7E05" w:rsidRPr="00853D04" w:rsidRDefault="00BE7E05">
            <w:pPr>
              <w:spacing w:before="20" w:after="20"/>
              <w:jc w:val="right"/>
              <w:rPr>
                <w:b/>
                <w:noProof/>
                <w:sz w:val="20"/>
              </w:rPr>
            </w:pPr>
          </w:p>
        </w:tc>
        <w:tc>
          <w:tcPr>
            <w:tcW w:w="868" w:type="dxa"/>
            <w:vAlign w:val="center"/>
          </w:tcPr>
          <w:p w14:paraId="2081E1FB" w14:textId="77777777" w:rsidR="00BE7E05" w:rsidRPr="00853D04" w:rsidRDefault="00BE7E05">
            <w:pPr>
              <w:spacing w:before="20" w:after="20"/>
              <w:jc w:val="right"/>
              <w:rPr>
                <w:b/>
                <w:noProof/>
                <w:sz w:val="20"/>
              </w:rPr>
            </w:pPr>
          </w:p>
        </w:tc>
        <w:tc>
          <w:tcPr>
            <w:tcW w:w="868" w:type="dxa"/>
            <w:vAlign w:val="center"/>
          </w:tcPr>
          <w:p w14:paraId="31C72DCE" w14:textId="77777777" w:rsidR="00BE7E05" w:rsidRPr="00853D04" w:rsidRDefault="00BE7E05">
            <w:pPr>
              <w:spacing w:before="20" w:after="20"/>
              <w:jc w:val="right"/>
              <w:rPr>
                <w:b/>
                <w:noProof/>
                <w:sz w:val="20"/>
              </w:rPr>
            </w:pPr>
          </w:p>
        </w:tc>
        <w:tc>
          <w:tcPr>
            <w:tcW w:w="868" w:type="dxa"/>
            <w:vAlign w:val="center"/>
          </w:tcPr>
          <w:p w14:paraId="41350696" w14:textId="77777777" w:rsidR="00BE7E05" w:rsidRPr="00853D04" w:rsidRDefault="00BE7E05">
            <w:pPr>
              <w:spacing w:before="20" w:after="20"/>
              <w:jc w:val="right"/>
              <w:rPr>
                <w:b/>
                <w:noProof/>
                <w:sz w:val="20"/>
              </w:rPr>
            </w:pPr>
          </w:p>
        </w:tc>
        <w:tc>
          <w:tcPr>
            <w:tcW w:w="1777" w:type="dxa"/>
            <w:gridSpan w:val="2"/>
            <w:vAlign w:val="center"/>
          </w:tcPr>
          <w:p w14:paraId="2A4A7EA9" w14:textId="77777777" w:rsidR="00BE7E05" w:rsidRPr="00853D04" w:rsidRDefault="00BE7E05">
            <w:pPr>
              <w:spacing w:before="20" w:after="20"/>
              <w:jc w:val="right"/>
              <w:rPr>
                <w:b/>
                <w:noProof/>
                <w:sz w:val="20"/>
              </w:rPr>
            </w:pPr>
          </w:p>
        </w:tc>
      </w:tr>
      <w:tr w:rsidR="00D71986" w:rsidRPr="00853D04" w14:paraId="1D9C268E" w14:textId="77777777" w:rsidTr="00C0171B">
        <w:trPr>
          <w:gridAfter w:val="1"/>
          <w:wAfter w:w="252" w:type="dxa"/>
        </w:trPr>
        <w:tc>
          <w:tcPr>
            <w:tcW w:w="3960" w:type="dxa"/>
            <w:vMerge w:val="restart"/>
            <w:shd w:val="clear" w:color="auto" w:fill="auto"/>
            <w:vAlign w:val="center"/>
          </w:tcPr>
          <w:p w14:paraId="577E5DF8" w14:textId="65A724DB" w:rsidR="00BE7E05" w:rsidRPr="00853D04" w:rsidRDefault="00BE7E05" w:rsidP="6209A4CE">
            <w:pPr>
              <w:jc w:val="center"/>
              <w:rPr>
                <w:b/>
                <w:noProof/>
              </w:rPr>
            </w:pPr>
            <w:r w:rsidRPr="00853D04">
              <w:rPr>
                <w:b/>
                <w:noProof/>
                <w:sz w:val="22"/>
              </w:rPr>
              <w:t>OGÓŁEM środk</w:t>
            </w:r>
            <w:r w:rsidRPr="00C13C75">
              <w:rPr>
                <w:b/>
                <w:noProof/>
                <w:sz w:val="22"/>
              </w:rPr>
              <w:t>i</w:t>
            </w:r>
            <w:r w:rsidR="00C13C75" w:rsidRPr="00C13C75">
              <w:rPr>
                <w:b/>
                <w:noProof/>
                <w:sz w:val="22"/>
              </w:rPr>
              <w:t xml:space="preserve"> </w:t>
            </w:r>
            <w:r w:rsidRPr="00C13C75">
              <w:rPr>
                <w:noProof/>
              </w:rPr>
              <w:br/>
            </w:r>
            <w:r w:rsidRPr="00853D04">
              <w:rPr>
                <w:b/>
                <w:noProof/>
                <w:sz w:val="22"/>
              </w:rPr>
              <w:t>na DZIAŁ 1</w:t>
            </w:r>
            <w:r w:rsidRPr="00853D04">
              <w:rPr>
                <w:noProof/>
              </w:rPr>
              <w:t xml:space="preserve"> </w:t>
            </w:r>
            <w:r w:rsidRPr="00853D04">
              <w:rPr>
                <w:noProof/>
              </w:rPr>
              <w:br/>
            </w:r>
            <w:r w:rsidRPr="00853D04">
              <w:rPr>
                <w:noProof/>
                <w:sz w:val="22"/>
              </w:rPr>
              <w:t>wieloletnich ram finansowych</w:t>
            </w:r>
          </w:p>
        </w:tc>
        <w:tc>
          <w:tcPr>
            <w:tcW w:w="1440" w:type="dxa"/>
            <w:vAlign w:val="center"/>
          </w:tcPr>
          <w:p w14:paraId="25E7D554" w14:textId="77777777" w:rsidR="00BE7E05" w:rsidRPr="00853D04" w:rsidRDefault="00BE7E05">
            <w:pPr>
              <w:rPr>
                <w:noProof/>
                <w:sz w:val="18"/>
              </w:rPr>
            </w:pPr>
            <w:r w:rsidRPr="00853D04">
              <w:rPr>
                <w:noProof/>
                <w:sz w:val="18"/>
              </w:rPr>
              <w:t>Środki na zobowiązania</w:t>
            </w:r>
          </w:p>
        </w:tc>
        <w:tc>
          <w:tcPr>
            <w:tcW w:w="654" w:type="dxa"/>
            <w:vAlign w:val="center"/>
          </w:tcPr>
          <w:p w14:paraId="49EFB003" w14:textId="77777777" w:rsidR="00BE7E05" w:rsidRPr="00853D04" w:rsidRDefault="00BE7E05">
            <w:pPr>
              <w:jc w:val="center"/>
              <w:rPr>
                <w:noProof/>
                <w:sz w:val="14"/>
              </w:rPr>
            </w:pPr>
            <w:r w:rsidRPr="00853D04">
              <w:rPr>
                <w:noProof/>
                <w:sz w:val="14"/>
              </w:rPr>
              <w:t>=4+6</w:t>
            </w:r>
          </w:p>
        </w:tc>
        <w:tc>
          <w:tcPr>
            <w:tcW w:w="868" w:type="dxa"/>
            <w:vAlign w:val="center"/>
          </w:tcPr>
          <w:p w14:paraId="0B403B49" w14:textId="77777777" w:rsidR="0F2846C1" w:rsidRPr="00853D04" w:rsidRDefault="0F2846C1" w:rsidP="0F2846C1">
            <w:pPr>
              <w:spacing w:before="20" w:after="20"/>
              <w:jc w:val="right"/>
              <w:rPr>
                <w:noProof/>
                <w:sz w:val="20"/>
              </w:rPr>
            </w:pPr>
            <w:r w:rsidRPr="00853D04">
              <w:rPr>
                <w:noProof/>
                <w:sz w:val="20"/>
              </w:rPr>
              <w:t>0,425</w:t>
            </w:r>
          </w:p>
        </w:tc>
        <w:tc>
          <w:tcPr>
            <w:tcW w:w="868" w:type="dxa"/>
            <w:vAlign w:val="center"/>
          </w:tcPr>
          <w:p w14:paraId="3A2F0AFB" w14:textId="77777777" w:rsidR="0F2846C1" w:rsidRPr="00853D04" w:rsidRDefault="0F2846C1" w:rsidP="0F2846C1">
            <w:pPr>
              <w:spacing w:before="20" w:after="20"/>
              <w:jc w:val="right"/>
              <w:rPr>
                <w:noProof/>
                <w:sz w:val="20"/>
              </w:rPr>
            </w:pPr>
            <w:r w:rsidRPr="00853D04">
              <w:rPr>
                <w:noProof/>
                <w:sz w:val="20"/>
              </w:rPr>
              <w:t>0,225</w:t>
            </w:r>
          </w:p>
        </w:tc>
        <w:tc>
          <w:tcPr>
            <w:tcW w:w="868" w:type="dxa"/>
            <w:vAlign w:val="center"/>
          </w:tcPr>
          <w:p w14:paraId="39C50026" w14:textId="77777777" w:rsidR="0F2846C1" w:rsidRPr="00853D04" w:rsidRDefault="0F2846C1" w:rsidP="0F2846C1">
            <w:pPr>
              <w:spacing w:before="20" w:after="20"/>
              <w:jc w:val="right"/>
              <w:rPr>
                <w:noProof/>
                <w:sz w:val="20"/>
              </w:rPr>
            </w:pPr>
            <w:r w:rsidRPr="00853D04">
              <w:rPr>
                <w:noProof/>
                <w:sz w:val="20"/>
              </w:rPr>
              <w:t>0,100</w:t>
            </w:r>
          </w:p>
        </w:tc>
        <w:tc>
          <w:tcPr>
            <w:tcW w:w="868" w:type="dxa"/>
            <w:vAlign w:val="center"/>
          </w:tcPr>
          <w:p w14:paraId="55A377C9" w14:textId="77777777" w:rsidR="0F2846C1" w:rsidRPr="00853D04" w:rsidRDefault="0F2846C1" w:rsidP="0F2846C1">
            <w:pPr>
              <w:spacing w:before="20" w:after="20"/>
              <w:jc w:val="right"/>
              <w:rPr>
                <w:noProof/>
                <w:sz w:val="20"/>
              </w:rPr>
            </w:pPr>
            <w:r w:rsidRPr="00853D04">
              <w:rPr>
                <w:noProof/>
                <w:sz w:val="20"/>
              </w:rPr>
              <w:t>0,100</w:t>
            </w:r>
          </w:p>
        </w:tc>
        <w:tc>
          <w:tcPr>
            <w:tcW w:w="868" w:type="dxa"/>
            <w:vAlign w:val="center"/>
          </w:tcPr>
          <w:p w14:paraId="7B374CE2" w14:textId="77777777" w:rsidR="0F2846C1" w:rsidRPr="00853D04" w:rsidRDefault="0050698F" w:rsidP="005D68B9">
            <w:pPr>
              <w:spacing w:before="20" w:after="20"/>
              <w:jc w:val="center"/>
              <w:rPr>
                <w:noProof/>
                <w:sz w:val="20"/>
              </w:rPr>
            </w:pPr>
            <w:r w:rsidRPr="00853D04">
              <w:rPr>
                <w:noProof/>
                <w:sz w:val="20"/>
              </w:rPr>
              <w:t>0,00</w:t>
            </w:r>
          </w:p>
        </w:tc>
        <w:tc>
          <w:tcPr>
            <w:tcW w:w="868" w:type="dxa"/>
            <w:vAlign w:val="center"/>
          </w:tcPr>
          <w:p w14:paraId="138D6567" w14:textId="77777777" w:rsidR="0F2846C1" w:rsidRPr="00853D04" w:rsidRDefault="0050698F" w:rsidP="005D68B9">
            <w:pPr>
              <w:spacing w:before="20" w:after="20"/>
              <w:jc w:val="center"/>
              <w:rPr>
                <w:noProof/>
                <w:sz w:val="20"/>
              </w:rPr>
            </w:pPr>
            <w:r w:rsidRPr="00853D04">
              <w:rPr>
                <w:noProof/>
                <w:sz w:val="20"/>
              </w:rPr>
              <w:t>0,00</w:t>
            </w:r>
          </w:p>
        </w:tc>
        <w:tc>
          <w:tcPr>
            <w:tcW w:w="868" w:type="dxa"/>
            <w:vAlign w:val="center"/>
          </w:tcPr>
          <w:p w14:paraId="3277D817" w14:textId="77777777" w:rsidR="0F2846C1" w:rsidRPr="00853D04" w:rsidRDefault="0F2846C1" w:rsidP="0F2846C1">
            <w:pPr>
              <w:spacing w:before="20" w:after="20"/>
              <w:jc w:val="right"/>
              <w:rPr>
                <w:noProof/>
                <w:sz w:val="20"/>
              </w:rPr>
            </w:pPr>
          </w:p>
        </w:tc>
        <w:tc>
          <w:tcPr>
            <w:tcW w:w="1777" w:type="dxa"/>
          </w:tcPr>
          <w:p w14:paraId="3AA9C29F" w14:textId="77777777" w:rsidR="0F2846C1" w:rsidRPr="00853D04" w:rsidRDefault="0050698F" w:rsidP="0F2846C1">
            <w:pPr>
              <w:spacing w:before="20" w:after="20"/>
              <w:jc w:val="right"/>
              <w:rPr>
                <w:b/>
                <w:noProof/>
                <w:sz w:val="20"/>
              </w:rPr>
            </w:pPr>
            <w:r w:rsidRPr="00853D04">
              <w:rPr>
                <w:b/>
                <w:noProof/>
                <w:sz w:val="20"/>
              </w:rPr>
              <w:t>0,850</w:t>
            </w:r>
          </w:p>
        </w:tc>
      </w:tr>
      <w:tr w:rsidR="00D71986" w:rsidRPr="00853D04" w14:paraId="172FE9CA" w14:textId="77777777" w:rsidTr="00C0171B">
        <w:trPr>
          <w:gridAfter w:val="1"/>
          <w:wAfter w:w="252" w:type="dxa"/>
        </w:trPr>
        <w:tc>
          <w:tcPr>
            <w:tcW w:w="3960" w:type="dxa"/>
            <w:vMerge/>
          </w:tcPr>
          <w:p w14:paraId="0A7FD26E" w14:textId="77777777" w:rsidR="00BE7E05" w:rsidRPr="00853D04" w:rsidRDefault="00BE7E05">
            <w:pPr>
              <w:rPr>
                <w:noProof/>
                <w:sz w:val="20"/>
              </w:rPr>
            </w:pPr>
          </w:p>
        </w:tc>
        <w:tc>
          <w:tcPr>
            <w:tcW w:w="1440" w:type="dxa"/>
            <w:vAlign w:val="center"/>
          </w:tcPr>
          <w:p w14:paraId="64B88C51" w14:textId="77777777" w:rsidR="00BE7E05" w:rsidRPr="00853D04" w:rsidRDefault="00BE7E05">
            <w:pPr>
              <w:rPr>
                <w:noProof/>
                <w:sz w:val="18"/>
              </w:rPr>
            </w:pPr>
            <w:r w:rsidRPr="00853D04">
              <w:rPr>
                <w:noProof/>
                <w:sz w:val="18"/>
              </w:rPr>
              <w:t>Środki na płatności</w:t>
            </w:r>
          </w:p>
        </w:tc>
        <w:tc>
          <w:tcPr>
            <w:tcW w:w="654" w:type="dxa"/>
            <w:vAlign w:val="center"/>
          </w:tcPr>
          <w:p w14:paraId="16EBEEC6" w14:textId="77777777" w:rsidR="00BE7E05" w:rsidRPr="00853D04" w:rsidRDefault="00BE7E05">
            <w:pPr>
              <w:jc w:val="center"/>
              <w:rPr>
                <w:noProof/>
                <w:sz w:val="14"/>
              </w:rPr>
            </w:pPr>
            <w:r w:rsidRPr="00853D04">
              <w:rPr>
                <w:noProof/>
                <w:sz w:val="14"/>
              </w:rPr>
              <w:t>=5+6</w:t>
            </w:r>
          </w:p>
        </w:tc>
        <w:tc>
          <w:tcPr>
            <w:tcW w:w="868" w:type="dxa"/>
            <w:vAlign w:val="center"/>
          </w:tcPr>
          <w:p w14:paraId="7433D241" w14:textId="77777777" w:rsidR="0F2846C1" w:rsidRPr="00853D04" w:rsidRDefault="0F2846C1" w:rsidP="0F2846C1">
            <w:pPr>
              <w:spacing w:before="20" w:after="20"/>
              <w:jc w:val="right"/>
              <w:rPr>
                <w:noProof/>
                <w:sz w:val="20"/>
              </w:rPr>
            </w:pPr>
            <w:r w:rsidRPr="00853D04">
              <w:rPr>
                <w:noProof/>
                <w:sz w:val="20"/>
              </w:rPr>
              <w:t>0,425</w:t>
            </w:r>
          </w:p>
        </w:tc>
        <w:tc>
          <w:tcPr>
            <w:tcW w:w="868" w:type="dxa"/>
            <w:vAlign w:val="center"/>
          </w:tcPr>
          <w:p w14:paraId="03160DE4" w14:textId="77777777" w:rsidR="0F2846C1" w:rsidRPr="00853D04" w:rsidRDefault="0F2846C1" w:rsidP="0F2846C1">
            <w:pPr>
              <w:spacing w:before="20" w:after="20"/>
              <w:jc w:val="right"/>
              <w:rPr>
                <w:noProof/>
                <w:sz w:val="20"/>
              </w:rPr>
            </w:pPr>
            <w:r w:rsidRPr="00853D04">
              <w:rPr>
                <w:noProof/>
                <w:sz w:val="20"/>
              </w:rPr>
              <w:t>0,225</w:t>
            </w:r>
          </w:p>
        </w:tc>
        <w:tc>
          <w:tcPr>
            <w:tcW w:w="868" w:type="dxa"/>
            <w:vAlign w:val="center"/>
          </w:tcPr>
          <w:p w14:paraId="001F8420" w14:textId="77777777" w:rsidR="0F2846C1" w:rsidRPr="00853D04" w:rsidRDefault="0F2846C1" w:rsidP="0F2846C1">
            <w:pPr>
              <w:spacing w:before="20" w:after="20"/>
              <w:jc w:val="right"/>
              <w:rPr>
                <w:noProof/>
                <w:sz w:val="20"/>
              </w:rPr>
            </w:pPr>
            <w:r w:rsidRPr="00853D04">
              <w:rPr>
                <w:noProof/>
                <w:sz w:val="20"/>
              </w:rPr>
              <w:t>0,100</w:t>
            </w:r>
          </w:p>
        </w:tc>
        <w:tc>
          <w:tcPr>
            <w:tcW w:w="868" w:type="dxa"/>
            <w:vAlign w:val="center"/>
          </w:tcPr>
          <w:p w14:paraId="541C7E1E" w14:textId="77777777" w:rsidR="0F2846C1" w:rsidRPr="00853D04" w:rsidRDefault="0F2846C1" w:rsidP="0F2846C1">
            <w:pPr>
              <w:spacing w:before="20" w:after="20"/>
              <w:jc w:val="right"/>
              <w:rPr>
                <w:noProof/>
                <w:sz w:val="20"/>
              </w:rPr>
            </w:pPr>
            <w:r w:rsidRPr="00853D04">
              <w:rPr>
                <w:noProof/>
                <w:sz w:val="20"/>
              </w:rPr>
              <w:t>0,100</w:t>
            </w:r>
          </w:p>
        </w:tc>
        <w:tc>
          <w:tcPr>
            <w:tcW w:w="868" w:type="dxa"/>
            <w:vAlign w:val="center"/>
          </w:tcPr>
          <w:p w14:paraId="641F221A" w14:textId="77777777" w:rsidR="0F2846C1" w:rsidRPr="00853D04" w:rsidRDefault="0050698F" w:rsidP="005D68B9">
            <w:pPr>
              <w:spacing w:before="20" w:after="20"/>
              <w:jc w:val="center"/>
              <w:rPr>
                <w:noProof/>
                <w:sz w:val="20"/>
              </w:rPr>
            </w:pPr>
            <w:r w:rsidRPr="00853D04">
              <w:rPr>
                <w:noProof/>
                <w:sz w:val="20"/>
              </w:rPr>
              <w:t>0,00</w:t>
            </w:r>
          </w:p>
        </w:tc>
        <w:tc>
          <w:tcPr>
            <w:tcW w:w="868" w:type="dxa"/>
            <w:vAlign w:val="center"/>
          </w:tcPr>
          <w:p w14:paraId="196C2DE4" w14:textId="77777777" w:rsidR="0F2846C1" w:rsidRPr="00853D04" w:rsidRDefault="0050698F" w:rsidP="005D68B9">
            <w:pPr>
              <w:spacing w:before="20" w:after="20"/>
              <w:jc w:val="center"/>
              <w:rPr>
                <w:noProof/>
                <w:sz w:val="20"/>
              </w:rPr>
            </w:pPr>
            <w:r w:rsidRPr="00853D04">
              <w:rPr>
                <w:noProof/>
                <w:sz w:val="20"/>
              </w:rPr>
              <w:t>0,00</w:t>
            </w:r>
          </w:p>
        </w:tc>
        <w:tc>
          <w:tcPr>
            <w:tcW w:w="868" w:type="dxa"/>
            <w:vAlign w:val="center"/>
          </w:tcPr>
          <w:p w14:paraId="662953A0" w14:textId="77777777" w:rsidR="0F2846C1" w:rsidRPr="00853D04" w:rsidRDefault="0F2846C1" w:rsidP="0F2846C1">
            <w:pPr>
              <w:spacing w:before="20" w:after="20"/>
              <w:jc w:val="right"/>
              <w:rPr>
                <w:noProof/>
                <w:sz w:val="20"/>
              </w:rPr>
            </w:pPr>
          </w:p>
        </w:tc>
        <w:tc>
          <w:tcPr>
            <w:tcW w:w="1777" w:type="dxa"/>
          </w:tcPr>
          <w:p w14:paraId="5A7A0C1F" w14:textId="77777777" w:rsidR="0F2846C1" w:rsidRPr="00853D04" w:rsidRDefault="0050698F" w:rsidP="0F2846C1">
            <w:pPr>
              <w:spacing w:before="20" w:after="20"/>
              <w:jc w:val="right"/>
              <w:rPr>
                <w:b/>
                <w:noProof/>
                <w:sz w:val="20"/>
              </w:rPr>
            </w:pPr>
            <w:r w:rsidRPr="00853D04">
              <w:rPr>
                <w:b/>
                <w:noProof/>
                <w:sz w:val="20"/>
              </w:rPr>
              <w:t>0,850</w:t>
            </w:r>
          </w:p>
        </w:tc>
      </w:tr>
    </w:tbl>
    <w:p w14:paraId="2428ACC5" w14:textId="77777777" w:rsidR="6209A4CE" w:rsidRPr="00853D04" w:rsidRDefault="6209A4CE" w:rsidP="6209A4CE">
      <w:pPr>
        <w:spacing w:before="0" w:after="0"/>
        <w:jc w:val="left"/>
        <w:rPr>
          <w:noProof/>
        </w:rPr>
      </w:pPr>
    </w:p>
    <w:p w14:paraId="4778D8DC" w14:textId="77777777" w:rsidR="00BE7E05" w:rsidRPr="00853D04" w:rsidRDefault="00BE7E05">
      <w:pPr>
        <w:spacing w:before="0" w:after="0"/>
        <w:jc w:val="left"/>
        <w:rPr>
          <w:noProof/>
        </w:rPr>
      </w:pPr>
      <w:r w:rsidRPr="00853D04">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E7E05" w:rsidRPr="00853D04" w14:paraId="19E9C310" w14:textId="77777777">
        <w:trPr>
          <w:jc w:val="center"/>
        </w:trPr>
        <w:tc>
          <w:tcPr>
            <w:tcW w:w="4744" w:type="dxa"/>
            <w:shd w:val="thinDiagStripe" w:color="C0C0C0" w:fill="auto"/>
            <w:vAlign w:val="center"/>
          </w:tcPr>
          <w:p w14:paraId="02243ADB" w14:textId="5770D4DC" w:rsidR="00BE7E05" w:rsidRPr="00853D04" w:rsidRDefault="00BE7E05">
            <w:pPr>
              <w:spacing w:before="60" w:after="60"/>
              <w:jc w:val="center"/>
              <w:rPr>
                <w:b/>
                <w:noProof/>
              </w:rPr>
            </w:pPr>
            <w:r w:rsidRPr="00853D04">
              <w:rPr>
                <w:noProof/>
              </w:rPr>
              <w:br w:type="page"/>
            </w:r>
            <w:r w:rsidRPr="00853D04">
              <w:rPr>
                <w:b/>
                <w:noProof/>
                <w:sz w:val="22"/>
              </w:rPr>
              <w:t>Dział wieloletnich ra</w:t>
            </w:r>
            <w:r w:rsidRPr="00C13C75">
              <w:rPr>
                <w:b/>
                <w:noProof/>
                <w:sz w:val="22"/>
              </w:rPr>
              <w:t>m</w:t>
            </w:r>
            <w:r w:rsidR="00C13C75" w:rsidRPr="00C13C75">
              <w:rPr>
                <w:b/>
                <w:noProof/>
                <w:sz w:val="22"/>
              </w:rPr>
              <w:t xml:space="preserve"> </w:t>
            </w:r>
            <w:r w:rsidRPr="00C13C75">
              <w:rPr>
                <w:b/>
                <w:noProof/>
                <w:sz w:val="22"/>
              </w:rPr>
              <w:br/>
            </w:r>
            <w:r w:rsidRPr="00853D04">
              <w:rPr>
                <w:b/>
                <w:noProof/>
                <w:sz w:val="22"/>
              </w:rPr>
              <w:t xml:space="preserve">finansowych </w:t>
            </w:r>
          </w:p>
        </w:tc>
        <w:tc>
          <w:tcPr>
            <w:tcW w:w="1080" w:type="dxa"/>
            <w:shd w:val="thinDiagStripe" w:color="C0C0C0" w:fill="auto"/>
            <w:vAlign w:val="center"/>
          </w:tcPr>
          <w:p w14:paraId="42F2893F" w14:textId="77777777" w:rsidR="00BE7E05" w:rsidRPr="00853D04" w:rsidRDefault="00BE7E05">
            <w:pPr>
              <w:spacing w:before="60" w:after="60"/>
              <w:jc w:val="center"/>
              <w:rPr>
                <w:noProof/>
              </w:rPr>
            </w:pPr>
            <w:r w:rsidRPr="00853D04">
              <w:rPr>
                <w:b/>
                <w:noProof/>
                <w:sz w:val="22"/>
              </w:rPr>
              <w:t>7</w:t>
            </w:r>
          </w:p>
        </w:tc>
        <w:tc>
          <w:tcPr>
            <w:tcW w:w="7817" w:type="dxa"/>
            <w:vAlign w:val="center"/>
          </w:tcPr>
          <w:p w14:paraId="6D881DBD" w14:textId="77777777" w:rsidR="00BE7E05" w:rsidRPr="00853D04" w:rsidRDefault="00BE7E05">
            <w:pPr>
              <w:spacing w:before="60" w:after="60"/>
              <w:rPr>
                <w:noProof/>
              </w:rPr>
            </w:pPr>
            <w:r w:rsidRPr="00853D04">
              <w:rPr>
                <w:noProof/>
                <w:sz w:val="22"/>
              </w:rPr>
              <w:t>„Wydatki administracyjne”</w:t>
            </w:r>
          </w:p>
        </w:tc>
      </w:tr>
    </w:tbl>
    <w:p w14:paraId="37ED09C4" w14:textId="67D6D143" w:rsidR="00BE7E05" w:rsidRPr="00853D04" w:rsidRDefault="00BE7E05">
      <w:pPr>
        <w:jc w:val="left"/>
        <w:rPr>
          <w:noProof/>
          <w:sz w:val="20"/>
        </w:rPr>
      </w:pPr>
      <w:r w:rsidRPr="00853D04">
        <w:rPr>
          <w:noProof/>
        </w:rPr>
        <w:t>Niniejszą część uzupełnia się przy użyciu „danych budżetowych</w:t>
      </w:r>
      <w:r w:rsidR="00C13C75" w:rsidRPr="00853D04">
        <w:rPr>
          <w:noProof/>
        </w:rPr>
        <w:t xml:space="preserve"> o</w:t>
      </w:r>
      <w:r w:rsidR="00C13C75">
        <w:rPr>
          <w:noProof/>
        </w:rPr>
        <w:t> </w:t>
      </w:r>
      <w:r w:rsidR="00C13C75" w:rsidRPr="00853D04">
        <w:rPr>
          <w:noProof/>
        </w:rPr>
        <w:t>cha</w:t>
      </w:r>
      <w:r w:rsidRPr="00853D04">
        <w:rPr>
          <w:noProof/>
        </w:rPr>
        <w:t xml:space="preserve">rakterze administracyjnym”, które należy najpierw wprowadzić do </w:t>
      </w:r>
      <w:hyperlink r:id="rId21" w:history="1">
        <w:r w:rsidRPr="00853D04">
          <w:rPr>
            <w:rStyle w:val="Hyperlink"/>
            <w:noProof/>
          </w:rPr>
          <w:t>załącznika do oceny skutków finansowych regulacji</w:t>
        </w:r>
      </w:hyperlink>
      <w:r w:rsidRPr="00853D04">
        <w:rPr>
          <w:noProof/>
        </w:rPr>
        <w:t xml:space="preserve"> (załącznika 5 do decyzji Komisji</w:t>
      </w:r>
      <w:r w:rsidR="00C13C75" w:rsidRPr="00853D04">
        <w:rPr>
          <w:noProof/>
        </w:rPr>
        <w:t xml:space="preserve"> w</w:t>
      </w:r>
      <w:r w:rsidR="00C13C75">
        <w:rPr>
          <w:noProof/>
        </w:rPr>
        <w:t> </w:t>
      </w:r>
      <w:r w:rsidR="00C13C75" w:rsidRPr="00853D04">
        <w:rPr>
          <w:noProof/>
        </w:rPr>
        <w:t>spr</w:t>
      </w:r>
      <w:r w:rsidRPr="00853D04">
        <w:rPr>
          <w:noProof/>
        </w:rPr>
        <w:t>awie przepisów wewnętrznych dotyczących wykonania budżetu ogólnego Unii Europejskiej), przesyłanego do DECIDE</w:t>
      </w:r>
      <w:r w:rsidR="00C13C75" w:rsidRPr="00853D04">
        <w:rPr>
          <w:noProof/>
        </w:rPr>
        <w:t xml:space="preserve"> w</w:t>
      </w:r>
      <w:r w:rsidR="00C13C75">
        <w:rPr>
          <w:noProof/>
        </w:rPr>
        <w:t> </w:t>
      </w:r>
      <w:r w:rsidR="00C13C75" w:rsidRPr="00853D04">
        <w:rPr>
          <w:noProof/>
        </w:rPr>
        <w:t>cel</w:t>
      </w:r>
      <w:r w:rsidRPr="00853D04">
        <w:rPr>
          <w:noProof/>
        </w:rPr>
        <w:t>u konsultacji między służbami.</w:t>
      </w:r>
    </w:p>
    <w:p w14:paraId="1B9C6C96" w14:textId="77777777" w:rsidR="00BE7E05" w:rsidRPr="00853D04" w:rsidRDefault="00BE7E05">
      <w:pPr>
        <w:jc w:val="right"/>
        <w:rPr>
          <w:noProof/>
          <w:sz w:val="20"/>
        </w:rPr>
      </w:pPr>
      <w:r w:rsidRPr="00853D04">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14E83" w:rsidRPr="00853D04" w14:paraId="56AE4E68" w14:textId="77777777" w:rsidTr="6BC96820">
        <w:tc>
          <w:tcPr>
            <w:tcW w:w="3960" w:type="dxa"/>
            <w:tcBorders>
              <w:top w:val="nil"/>
              <w:left w:val="nil"/>
              <w:right w:val="nil"/>
            </w:tcBorders>
            <w:vAlign w:val="center"/>
          </w:tcPr>
          <w:p w14:paraId="5AFE7BCD" w14:textId="77777777" w:rsidR="008B27F5" w:rsidRPr="00853D04" w:rsidRDefault="008B27F5" w:rsidP="008B27F5">
            <w:pPr>
              <w:jc w:val="center"/>
              <w:rPr>
                <w:noProof/>
              </w:rPr>
            </w:pPr>
          </w:p>
        </w:tc>
        <w:tc>
          <w:tcPr>
            <w:tcW w:w="1560" w:type="dxa"/>
            <w:tcBorders>
              <w:top w:val="nil"/>
              <w:left w:val="nil"/>
              <w:right w:val="nil"/>
            </w:tcBorders>
          </w:tcPr>
          <w:p w14:paraId="6FE041FC" w14:textId="77777777" w:rsidR="008B27F5" w:rsidRPr="00853D04" w:rsidRDefault="008B27F5" w:rsidP="008B27F5">
            <w:pPr>
              <w:rPr>
                <w:noProof/>
                <w:sz w:val="20"/>
              </w:rPr>
            </w:pPr>
          </w:p>
        </w:tc>
        <w:tc>
          <w:tcPr>
            <w:tcW w:w="534" w:type="dxa"/>
            <w:tcBorders>
              <w:top w:val="nil"/>
              <w:left w:val="nil"/>
            </w:tcBorders>
          </w:tcPr>
          <w:p w14:paraId="09504A93" w14:textId="77777777" w:rsidR="008B27F5" w:rsidRPr="00853D04" w:rsidRDefault="008B27F5" w:rsidP="008B27F5">
            <w:pPr>
              <w:jc w:val="center"/>
              <w:rPr>
                <w:noProof/>
                <w:sz w:val="20"/>
              </w:rPr>
            </w:pPr>
          </w:p>
        </w:tc>
        <w:tc>
          <w:tcPr>
            <w:tcW w:w="868" w:type="dxa"/>
            <w:vAlign w:val="center"/>
          </w:tcPr>
          <w:p w14:paraId="68499DC6" w14:textId="77777777" w:rsidR="008B27F5" w:rsidRPr="00853D04" w:rsidRDefault="008B27F5" w:rsidP="008B27F5">
            <w:pPr>
              <w:jc w:val="center"/>
              <w:rPr>
                <w:noProof/>
                <w:sz w:val="20"/>
              </w:rPr>
            </w:pPr>
            <w:r w:rsidRPr="00853D04">
              <w:rPr>
                <w:b/>
                <w:noProof/>
                <w:sz w:val="20"/>
              </w:rPr>
              <w:t>2024</w:t>
            </w:r>
          </w:p>
        </w:tc>
        <w:tc>
          <w:tcPr>
            <w:tcW w:w="868" w:type="dxa"/>
            <w:vAlign w:val="center"/>
          </w:tcPr>
          <w:p w14:paraId="6B36B3DB" w14:textId="77777777" w:rsidR="008B27F5" w:rsidRPr="00853D04" w:rsidRDefault="008B27F5" w:rsidP="008B27F5">
            <w:pPr>
              <w:jc w:val="center"/>
              <w:rPr>
                <w:noProof/>
                <w:sz w:val="20"/>
              </w:rPr>
            </w:pPr>
            <w:r w:rsidRPr="00853D04">
              <w:rPr>
                <w:b/>
                <w:noProof/>
                <w:sz w:val="20"/>
              </w:rPr>
              <w:t>2025</w:t>
            </w:r>
          </w:p>
        </w:tc>
        <w:tc>
          <w:tcPr>
            <w:tcW w:w="868" w:type="dxa"/>
            <w:vAlign w:val="center"/>
          </w:tcPr>
          <w:p w14:paraId="2C9ECD39" w14:textId="77777777" w:rsidR="008B27F5" w:rsidRPr="00853D04" w:rsidRDefault="008B27F5" w:rsidP="008B27F5">
            <w:pPr>
              <w:jc w:val="center"/>
              <w:rPr>
                <w:noProof/>
                <w:sz w:val="20"/>
              </w:rPr>
            </w:pPr>
            <w:r w:rsidRPr="00853D04">
              <w:rPr>
                <w:b/>
                <w:noProof/>
                <w:sz w:val="20"/>
              </w:rPr>
              <w:t>2026</w:t>
            </w:r>
          </w:p>
        </w:tc>
        <w:tc>
          <w:tcPr>
            <w:tcW w:w="868" w:type="dxa"/>
            <w:vAlign w:val="center"/>
          </w:tcPr>
          <w:p w14:paraId="6333D680" w14:textId="77777777" w:rsidR="008B27F5" w:rsidRPr="00853D04" w:rsidRDefault="008B27F5" w:rsidP="008B27F5">
            <w:pPr>
              <w:jc w:val="center"/>
              <w:rPr>
                <w:noProof/>
                <w:sz w:val="20"/>
              </w:rPr>
            </w:pPr>
            <w:r w:rsidRPr="00853D04">
              <w:rPr>
                <w:b/>
                <w:noProof/>
                <w:sz w:val="20"/>
              </w:rPr>
              <w:t>2027</w:t>
            </w:r>
          </w:p>
        </w:tc>
        <w:tc>
          <w:tcPr>
            <w:tcW w:w="868" w:type="dxa"/>
            <w:vAlign w:val="center"/>
          </w:tcPr>
          <w:p w14:paraId="56B8E1B0" w14:textId="77777777" w:rsidR="008B27F5" w:rsidRPr="00853D04" w:rsidRDefault="008B27F5" w:rsidP="008B27F5">
            <w:pPr>
              <w:jc w:val="center"/>
              <w:rPr>
                <w:b/>
                <w:noProof/>
                <w:sz w:val="18"/>
              </w:rPr>
            </w:pPr>
            <w:r w:rsidRPr="00853D04">
              <w:rPr>
                <w:b/>
                <w:noProof/>
                <w:sz w:val="18"/>
              </w:rPr>
              <w:t>2028</w:t>
            </w:r>
          </w:p>
        </w:tc>
        <w:tc>
          <w:tcPr>
            <w:tcW w:w="868" w:type="dxa"/>
            <w:vAlign w:val="center"/>
          </w:tcPr>
          <w:p w14:paraId="0DB6FA14" w14:textId="77777777" w:rsidR="008B27F5" w:rsidRPr="00853D04" w:rsidRDefault="008B27F5" w:rsidP="008B27F5">
            <w:pPr>
              <w:jc w:val="center"/>
              <w:rPr>
                <w:b/>
                <w:noProof/>
                <w:sz w:val="18"/>
              </w:rPr>
            </w:pPr>
            <w:r w:rsidRPr="00853D04">
              <w:rPr>
                <w:b/>
                <w:noProof/>
                <w:sz w:val="18"/>
              </w:rPr>
              <w:t>2029</w:t>
            </w:r>
          </w:p>
        </w:tc>
        <w:tc>
          <w:tcPr>
            <w:tcW w:w="868" w:type="dxa"/>
            <w:vAlign w:val="center"/>
          </w:tcPr>
          <w:p w14:paraId="3FA47C46" w14:textId="77777777" w:rsidR="008B27F5" w:rsidRPr="00853D04" w:rsidRDefault="008B27F5" w:rsidP="008B27F5">
            <w:pPr>
              <w:jc w:val="center"/>
              <w:rPr>
                <w:b/>
                <w:noProof/>
                <w:sz w:val="18"/>
              </w:rPr>
            </w:pPr>
            <w:r w:rsidRPr="00853D04">
              <w:rPr>
                <w:b/>
                <w:noProof/>
                <w:sz w:val="18"/>
              </w:rPr>
              <w:t>2030</w:t>
            </w:r>
          </w:p>
        </w:tc>
        <w:tc>
          <w:tcPr>
            <w:tcW w:w="1777" w:type="dxa"/>
            <w:vAlign w:val="center"/>
          </w:tcPr>
          <w:p w14:paraId="24406D50" w14:textId="77777777" w:rsidR="008B27F5" w:rsidRPr="00853D04" w:rsidRDefault="008B27F5" w:rsidP="008B27F5">
            <w:pPr>
              <w:jc w:val="center"/>
              <w:rPr>
                <w:b/>
                <w:noProof/>
                <w:sz w:val="20"/>
              </w:rPr>
            </w:pPr>
            <w:r w:rsidRPr="00853D04">
              <w:rPr>
                <w:b/>
                <w:noProof/>
                <w:sz w:val="20"/>
              </w:rPr>
              <w:t>OGÓŁEM</w:t>
            </w:r>
          </w:p>
        </w:tc>
      </w:tr>
      <w:tr w:rsidR="00D71986" w:rsidRPr="00853D04" w14:paraId="20CE0F1F" w14:textId="77777777" w:rsidTr="6BC96820">
        <w:trPr>
          <w:gridAfter w:val="10"/>
          <w:wAfter w:w="9947" w:type="dxa"/>
        </w:trPr>
        <w:tc>
          <w:tcPr>
            <w:tcW w:w="3960" w:type="dxa"/>
            <w:vAlign w:val="center"/>
          </w:tcPr>
          <w:p w14:paraId="7802DC65" w14:textId="77777777" w:rsidR="008B27F5" w:rsidRPr="00853D04" w:rsidRDefault="008B27F5" w:rsidP="008B27F5">
            <w:pPr>
              <w:spacing w:before="60" w:after="60"/>
              <w:jc w:val="center"/>
              <w:rPr>
                <w:noProof/>
              </w:rPr>
            </w:pPr>
            <w:r w:rsidRPr="00853D04">
              <w:rPr>
                <w:noProof/>
                <w:sz w:val="22"/>
              </w:rPr>
              <w:t>Dyrekcja Generalna ds. Rynku Wewnętrznego, Przemysłu, Przedsiębiorczości i MŚP</w:t>
            </w:r>
          </w:p>
        </w:tc>
      </w:tr>
      <w:tr w:rsidR="006D15B6" w:rsidRPr="00853D04" w14:paraId="319469BC" w14:textId="77777777" w:rsidTr="00C0171B">
        <w:trPr>
          <w:trHeight w:val="313"/>
        </w:trPr>
        <w:tc>
          <w:tcPr>
            <w:tcW w:w="6054" w:type="dxa"/>
            <w:gridSpan w:val="3"/>
            <w:vAlign w:val="center"/>
          </w:tcPr>
          <w:p w14:paraId="1C26D8A1" w14:textId="77777777" w:rsidR="008B27F5" w:rsidRPr="00853D04" w:rsidRDefault="008B27F5" w:rsidP="008B27F5">
            <w:pPr>
              <w:spacing w:before="20" w:after="20"/>
              <w:rPr>
                <w:noProof/>
              </w:rPr>
            </w:pPr>
            <w:r w:rsidRPr="00853D04">
              <w:rPr>
                <w:noProof/>
                <w:sz w:val="22"/>
              </w:rPr>
              <w:t xml:space="preserve">X Zasoby ludzkie </w:t>
            </w:r>
          </w:p>
        </w:tc>
        <w:tc>
          <w:tcPr>
            <w:tcW w:w="868" w:type="dxa"/>
            <w:vAlign w:val="center"/>
          </w:tcPr>
          <w:p w14:paraId="19514D17" w14:textId="77777777" w:rsidR="008B27F5" w:rsidRPr="00853D04" w:rsidRDefault="3ECF6CB1" w:rsidP="008B27F5">
            <w:pPr>
              <w:spacing w:before="20" w:after="20"/>
              <w:jc w:val="right"/>
              <w:rPr>
                <w:noProof/>
                <w:sz w:val="20"/>
              </w:rPr>
            </w:pPr>
            <w:r w:rsidRPr="00853D04">
              <w:rPr>
                <w:noProof/>
                <w:sz w:val="20"/>
              </w:rPr>
              <w:t>0,217</w:t>
            </w:r>
          </w:p>
        </w:tc>
        <w:tc>
          <w:tcPr>
            <w:tcW w:w="868" w:type="dxa"/>
            <w:vAlign w:val="center"/>
          </w:tcPr>
          <w:p w14:paraId="5F073276" w14:textId="77777777" w:rsidR="008B27F5" w:rsidRPr="00853D04" w:rsidRDefault="3ECF6CB1" w:rsidP="008B27F5">
            <w:pPr>
              <w:spacing w:before="20" w:after="20"/>
              <w:jc w:val="right"/>
              <w:rPr>
                <w:noProof/>
                <w:sz w:val="20"/>
              </w:rPr>
            </w:pPr>
            <w:r w:rsidRPr="00853D04">
              <w:rPr>
                <w:noProof/>
                <w:sz w:val="20"/>
              </w:rPr>
              <w:t>0,217</w:t>
            </w:r>
          </w:p>
        </w:tc>
        <w:tc>
          <w:tcPr>
            <w:tcW w:w="868" w:type="dxa"/>
            <w:vAlign w:val="center"/>
          </w:tcPr>
          <w:p w14:paraId="3227C12B" w14:textId="77777777" w:rsidR="008B27F5" w:rsidRPr="00853D04" w:rsidRDefault="3ECF6CB1" w:rsidP="008B27F5">
            <w:pPr>
              <w:spacing w:before="20" w:after="20"/>
              <w:jc w:val="right"/>
              <w:rPr>
                <w:noProof/>
                <w:sz w:val="20"/>
              </w:rPr>
            </w:pPr>
            <w:r w:rsidRPr="00853D04">
              <w:rPr>
                <w:noProof/>
                <w:sz w:val="20"/>
              </w:rPr>
              <w:t>0,155</w:t>
            </w:r>
          </w:p>
        </w:tc>
        <w:tc>
          <w:tcPr>
            <w:tcW w:w="868" w:type="dxa"/>
            <w:vAlign w:val="center"/>
          </w:tcPr>
          <w:p w14:paraId="3A2A6277" w14:textId="77777777" w:rsidR="008B27F5" w:rsidRPr="00853D04" w:rsidRDefault="3ECF6CB1" w:rsidP="008B27F5">
            <w:pPr>
              <w:spacing w:before="20" w:after="20"/>
              <w:jc w:val="right"/>
              <w:rPr>
                <w:noProof/>
                <w:sz w:val="20"/>
              </w:rPr>
            </w:pPr>
            <w:r w:rsidRPr="00853D04">
              <w:rPr>
                <w:noProof/>
                <w:sz w:val="20"/>
              </w:rPr>
              <w:t>0,155</w:t>
            </w:r>
          </w:p>
        </w:tc>
        <w:tc>
          <w:tcPr>
            <w:tcW w:w="868" w:type="dxa"/>
            <w:vAlign w:val="center"/>
          </w:tcPr>
          <w:p w14:paraId="071052E4" w14:textId="77777777" w:rsidR="008B27F5" w:rsidRPr="00853D04" w:rsidRDefault="00AB3800" w:rsidP="005D68B9">
            <w:pPr>
              <w:spacing w:before="20" w:after="20"/>
              <w:jc w:val="center"/>
              <w:rPr>
                <w:noProof/>
                <w:sz w:val="20"/>
              </w:rPr>
            </w:pPr>
            <w:r w:rsidRPr="00853D04">
              <w:rPr>
                <w:noProof/>
                <w:sz w:val="20"/>
              </w:rPr>
              <w:t>0,00</w:t>
            </w:r>
          </w:p>
        </w:tc>
        <w:tc>
          <w:tcPr>
            <w:tcW w:w="868" w:type="dxa"/>
            <w:vAlign w:val="center"/>
          </w:tcPr>
          <w:p w14:paraId="18489846" w14:textId="77777777" w:rsidR="008B27F5" w:rsidRPr="00853D04" w:rsidRDefault="00AB3800" w:rsidP="005D68B9">
            <w:pPr>
              <w:spacing w:before="20" w:after="20"/>
              <w:jc w:val="center"/>
              <w:rPr>
                <w:noProof/>
                <w:sz w:val="20"/>
              </w:rPr>
            </w:pPr>
            <w:r w:rsidRPr="00853D04">
              <w:rPr>
                <w:noProof/>
                <w:sz w:val="20"/>
              </w:rPr>
              <w:t>0,00</w:t>
            </w:r>
          </w:p>
        </w:tc>
        <w:tc>
          <w:tcPr>
            <w:tcW w:w="868" w:type="dxa"/>
            <w:vAlign w:val="center"/>
          </w:tcPr>
          <w:p w14:paraId="340665AF" w14:textId="77777777" w:rsidR="008B27F5" w:rsidRPr="00853D04" w:rsidRDefault="3ECF6CB1" w:rsidP="005D68B9">
            <w:pPr>
              <w:spacing w:before="20" w:after="20"/>
              <w:jc w:val="center"/>
              <w:rPr>
                <w:b/>
                <w:noProof/>
                <w:sz w:val="20"/>
              </w:rPr>
            </w:pPr>
            <w:r w:rsidRPr="00853D04">
              <w:rPr>
                <w:b/>
                <w:noProof/>
                <w:sz w:val="20"/>
              </w:rPr>
              <w:t>0,00</w:t>
            </w:r>
          </w:p>
        </w:tc>
        <w:tc>
          <w:tcPr>
            <w:tcW w:w="1777" w:type="dxa"/>
            <w:vAlign w:val="center"/>
          </w:tcPr>
          <w:p w14:paraId="7477C383" w14:textId="77777777" w:rsidR="008B27F5" w:rsidRPr="00853D04" w:rsidRDefault="00AB3800" w:rsidP="008B27F5">
            <w:pPr>
              <w:spacing w:before="20" w:after="20"/>
              <w:jc w:val="right"/>
              <w:rPr>
                <w:b/>
                <w:noProof/>
                <w:sz w:val="20"/>
              </w:rPr>
            </w:pPr>
            <w:r w:rsidRPr="00853D04">
              <w:rPr>
                <w:b/>
                <w:noProof/>
                <w:sz w:val="20"/>
              </w:rPr>
              <w:t>0,744</w:t>
            </w:r>
          </w:p>
        </w:tc>
      </w:tr>
      <w:tr w:rsidR="006D15B6" w:rsidRPr="00853D04" w14:paraId="77203DE3" w14:textId="77777777" w:rsidTr="00C0171B">
        <w:trPr>
          <w:trHeight w:val="351"/>
        </w:trPr>
        <w:tc>
          <w:tcPr>
            <w:tcW w:w="6054" w:type="dxa"/>
            <w:gridSpan w:val="3"/>
            <w:vAlign w:val="center"/>
          </w:tcPr>
          <w:p w14:paraId="25A90F90" w14:textId="77777777" w:rsidR="00A74C79" w:rsidRPr="00853D04" w:rsidRDefault="00A74C79" w:rsidP="00A74C79">
            <w:pPr>
              <w:spacing w:before="20" w:after="20"/>
              <w:rPr>
                <w:noProof/>
              </w:rPr>
            </w:pPr>
            <w:r w:rsidRPr="00853D04">
              <w:rPr>
                <w:noProof/>
                <w:sz w:val="22"/>
              </w:rPr>
              <w:t xml:space="preserve">X Pozostałe wydatki administracyjne </w:t>
            </w:r>
          </w:p>
        </w:tc>
        <w:tc>
          <w:tcPr>
            <w:tcW w:w="868" w:type="dxa"/>
            <w:vAlign w:val="center"/>
          </w:tcPr>
          <w:p w14:paraId="61C6DEFA" w14:textId="77777777" w:rsidR="00A74C79" w:rsidRPr="00853D04" w:rsidRDefault="00A74C79" w:rsidP="00A74C79">
            <w:pPr>
              <w:spacing w:before="20" w:after="20"/>
              <w:jc w:val="right"/>
              <w:rPr>
                <w:b/>
                <w:noProof/>
                <w:sz w:val="20"/>
              </w:rPr>
            </w:pPr>
            <w:r w:rsidRPr="00853D04">
              <w:rPr>
                <w:noProof/>
                <w:sz w:val="20"/>
              </w:rPr>
              <w:t>0</w:t>
            </w:r>
          </w:p>
        </w:tc>
        <w:tc>
          <w:tcPr>
            <w:tcW w:w="868" w:type="dxa"/>
            <w:vAlign w:val="center"/>
          </w:tcPr>
          <w:p w14:paraId="25650A98" w14:textId="77777777" w:rsidR="00A74C79" w:rsidRPr="00853D04" w:rsidRDefault="00A74C79" w:rsidP="00A74C79">
            <w:pPr>
              <w:spacing w:before="20" w:after="20"/>
              <w:jc w:val="right"/>
              <w:rPr>
                <w:b/>
                <w:noProof/>
                <w:sz w:val="20"/>
              </w:rPr>
            </w:pPr>
            <w:r w:rsidRPr="00853D04">
              <w:rPr>
                <w:noProof/>
                <w:sz w:val="20"/>
              </w:rPr>
              <w:t>0,054</w:t>
            </w:r>
          </w:p>
        </w:tc>
        <w:tc>
          <w:tcPr>
            <w:tcW w:w="868" w:type="dxa"/>
            <w:vAlign w:val="center"/>
          </w:tcPr>
          <w:p w14:paraId="305420AB" w14:textId="77777777" w:rsidR="00A74C79" w:rsidRPr="00853D04" w:rsidRDefault="00A74C79" w:rsidP="00A74C79">
            <w:pPr>
              <w:spacing w:before="20" w:after="20"/>
              <w:jc w:val="right"/>
              <w:rPr>
                <w:b/>
                <w:noProof/>
                <w:sz w:val="20"/>
              </w:rPr>
            </w:pPr>
            <w:r w:rsidRPr="00853D04">
              <w:rPr>
                <w:noProof/>
                <w:sz w:val="20"/>
              </w:rPr>
              <w:t>0,054</w:t>
            </w:r>
          </w:p>
        </w:tc>
        <w:tc>
          <w:tcPr>
            <w:tcW w:w="868" w:type="dxa"/>
            <w:vAlign w:val="center"/>
          </w:tcPr>
          <w:p w14:paraId="2676037C" w14:textId="77777777" w:rsidR="00A74C79" w:rsidRPr="00853D04" w:rsidRDefault="00A74C79" w:rsidP="00A74C79">
            <w:pPr>
              <w:spacing w:before="20" w:after="20"/>
              <w:jc w:val="right"/>
              <w:rPr>
                <w:b/>
                <w:noProof/>
                <w:sz w:val="20"/>
              </w:rPr>
            </w:pPr>
            <w:r w:rsidRPr="00853D04">
              <w:rPr>
                <w:noProof/>
                <w:sz w:val="20"/>
              </w:rPr>
              <w:t>0,054</w:t>
            </w:r>
          </w:p>
        </w:tc>
        <w:tc>
          <w:tcPr>
            <w:tcW w:w="868" w:type="dxa"/>
            <w:vAlign w:val="center"/>
          </w:tcPr>
          <w:p w14:paraId="18706AD7" w14:textId="77777777" w:rsidR="00A74C79" w:rsidRPr="00853D04" w:rsidRDefault="00AB3800" w:rsidP="005D68B9">
            <w:pPr>
              <w:spacing w:before="20" w:after="20"/>
              <w:jc w:val="center"/>
              <w:rPr>
                <w:noProof/>
                <w:sz w:val="20"/>
              </w:rPr>
            </w:pPr>
            <w:r w:rsidRPr="00853D04">
              <w:rPr>
                <w:noProof/>
                <w:sz w:val="20"/>
              </w:rPr>
              <w:t>0,00</w:t>
            </w:r>
          </w:p>
        </w:tc>
        <w:tc>
          <w:tcPr>
            <w:tcW w:w="868" w:type="dxa"/>
            <w:vAlign w:val="center"/>
          </w:tcPr>
          <w:p w14:paraId="2BBF75D3" w14:textId="77777777" w:rsidR="00A74C79" w:rsidRPr="00853D04" w:rsidRDefault="00AB3800" w:rsidP="005D68B9">
            <w:pPr>
              <w:spacing w:before="20" w:after="20"/>
              <w:jc w:val="center"/>
              <w:rPr>
                <w:noProof/>
                <w:sz w:val="20"/>
              </w:rPr>
            </w:pPr>
            <w:r w:rsidRPr="00853D04">
              <w:rPr>
                <w:noProof/>
                <w:sz w:val="20"/>
              </w:rPr>
              <w:t>0,00</w:t>
            </w:r>
          </w:p>
        </w:tc>
        <w:tc>
          <w:tcPr>
            <w:tcW w:w="868" w:type="dxa"/>
            <w:vAlign w:val="center"/>
          </w:tcPr>
          <w:p w14:paraId="6B17F093" w14:textId="77777777" w:rsidR="00A74C79" w:rsidRPr="00853D04" w:rsidRDefault="758C6C9A" w:rsidP="005D68B9">
            <w:pPr>
              <w:spacing w:before="20" w:after="20"/>
              <w:jc w:val="center"/>
              <w:rPr>
                <w:noProof/>
                <w:sz w:val="20"/>
              </w:rPr>
            </w:pPr>
            <w:r w:rsidRPr="00853D04">
              <w:rPr>
                <w:noProof/>
                <w:sz w:val="20"/>
              </w:rPr>
              <w:t>0,00</w:t>
            </w:r>
          </w:p>
        </w:tc>
        <w:tc>
          <w:tcPr>
            <w:tcW w:w="1777" w:type="dxa"/>
            <w:vAlign w:val="center"/>
          </w:tcPr>
          <w:p w14:paraId="107517D7" w14:textId="77777777" w:rsidR="00A74C79" w:rsidRPr="00853D04" w:rsidRDefault="00A74C79" w:rsidP="00A74C79">
            <w:pPr>
              <w:spacing w:before="20" w:after="20"/>
              <w:jc w:val="right"/>
              <w:rPr>
                <w:b/>
                <w:noProof/>
                <w:sz w:val="20"/>
              </w:rPr>
            </w:pPr>
            <w:r w:rsidRPr="00853D04">
              <w:rPr>
                <w:b/>
                <w:noProof/>
                <w:sz w:val="20"/>
              </w:rPr>
              <w:t>0,162</w:t>
            </w:r>
          </w:p>
        </w:tc>
      </w:tr>
      <w:tr w:rsidR="006D15B6" w:rsidRPr="00853D04" w14:paraId="3CE4861C" w14:textId="77777777" w:rsidTr="00C0171B">
        <w:tc>
          <w:tcPr>
            <w:tcW w:w="3960" w:type="dxa"/>
            <w:vAlign w:val="center"/>
          </w:tcPr>
          <w:p w14:paraId="2AF322CE" w14:textId="77777777" w:rsidR="00A74C79" w:rsidRPr="00853D04" w:rsidRDefault="00A74C79" w:rsidP="00A74C79">
            <w:pPr>
              <w:jc w:val="center"/>
              <w:rPr>
                <w:b/>
                <w:noProof/>
              </w:rPr>
            </w:pPr>
            <w:r w:rsidRPr="00853D04">
              <w:rPr>
                <w:b/>
                <w:noProof/>
                <w:sz w:val="22"/>
              </w:rPr>
              <w:t>OGÓŁEM Dyrekcja Generalna ds. Rynku Wewnętrznego, Przemysłu, Przedsiębiorczości i MŚP</w:t>
            </w:r>
          </w:p>
        </w:tc>
        <w:tc>
          <w:tcPr>
            <w:tcW w:w="2094" w:type="dxa"/>
            <w:gridSpan w:val="2"/>
            <w:vAlign w:val="center"/>
          </w:tcPr>
          <w:p w14:paraId="4C8AFDB2" w14:textId="77777777" w:rsidR="00A74C79" w:rsidRPr="00853D04" w:rsidRDefault="00A74C79" w:rsidP="00A74C79">
            <w:pPr>
              <w:rPr>
                <w:noProof/>
                <w:sz w:val="14"/>
              </w:rPr>
            </w:pPr>
            <w:r w:rsidRPr="00853D04">
              <w:rPr>
                <w:noProof/>
                <w:sz w:val="18"/>
              </w:rPr>
              <w:t xml:space="preserve">Środki </w:t>
            </w:r>
          </w:p>
        </w:tc>
        <w:tc>
          <w:tcPr>
            <w:tcW w:w="868" w:type="dxa"/>
            <w:vAlign w:val="center"/>
          </w:tcPr>
          <w:p w14:paraId="0B336CBC" w14:textId="77777777" w:rsidR="00A74C79" w:rsidRPr="00853D04" w:rsidRDefault="10820571" w:rsidP="00A74C79">
            <w:pPr>
              <w:spacing w:before="60" w:after="60"/>
              <w:jc w:val="right"/>
              <w:rPr>
                <w:noProof/>
                <w:sz w:val="20"/>
              </w:rPr>
            </w:pPr>
            <w:r w:rsidRPr="00853D04">
              <w:rPr>
                <w:noProof/>
                <w:sz w:val="20"/>
              </w:rPr>
              <w:t>0,217</w:t>
            </w:r>
          </w:p>
        </w:tc>
        <w:tc>
          <w:tcPr>
            <w:tcW w:w="868" w:type="dxa"/>
            <w:vAlign w:val="center"/>
          </w:tcPr>
          <w:p w14:paraId="4EDF1E52" w14:textId="77777777" w:rsidR="00A74C79" w:rsidRPr="00853D04" w:rsidRDefault="10820571" w:rsidP="00A74C79">
            <w:pPr>
              <w:spacing w:before="20" w:after="20"/>
              <w:jc w:val="right"/>
              <w:rPr>
                <w:noProof/>
                <w:sz w:val="20"/>
              </w:rPr>
            </w:pPr>
            <w:r w:rsidRPr="00853D04">
              <w:rPr>
                <w:noProof/>
                <w:sz w:val="20"/>
              </w:rPr>
              <w:t>0,271</w:t>
            </w:r>
          </w:p>
        </w:tc>
        <w:tc>
          <w:tcPr>
            <w:tcW w:w="868" w:type="dxa"/>
            <w:vAlign w:val="center"/>
          </w:tcPr>
          <w:p w14:paraId="609B0834" w14:textId="77777777" w:rsidR="00A74C79" w:rsidRPr="00853D04" w:rsidRDefault="10820571" w:rsidP="00A74C79">
            <w:pPr>
              <w:spacing w:before="20" w:after="20"/>
              <w:jc w:val="right"/>
              <w:rPr>
                <w:noProof/>
                <w:sz w:val="20"/>
              </w:rPr>
            </w:pPr>
            <w:r w:rsidRPr="00853D04">
              <w:rPr>
                <w:noProof/>
                <w:sz w:val="20"/>
              </w:rPr>
              <w:t>0,209</w:t>
            </w:r>
          </w:p>
        </w:tc>
        <w:tc>
          <w:tcPr>
            <w:tcW w:w="868" w:type="dxa"/>
            <w:vAlign w:val="center"/>
          </w:tcPr>
          <w:p w14:paraId="3696999E" w14:textId="77777777" w:rsidR="00A74C79" w:rsidRPr="00853D04" w:rsidRDefault="10820571" w:rsidP="00A74C79">
            <w:pPr>
              <w:spacing w:before="20" w:after="20"/>
              <w:jc w:val="right"/>
              <w:rPr>
                <w:noProof/>
                <w:sz w:val="20"/>
              </w:rPr>
            </w:pPr>
            <w:r w:rsidRPr="00853D04">
              <w:rPr>
                <w:noProof/>
                <w:sz w:val="20"/>
              </w:rPr>
              <w:t>0,209</w:t>
            </w:r>
          </w:p>
        </w:tc>
        <w:tc>
          <w:tcPr>
            <w:tcW w:w="868" w:type="dxa"/>
            <w:vAlign w:val="center"/>
          </w:tcPr>
          <w:p w14:paraId="4A901D5C" w14:textId="77777777" w:rsidR="00A74C79" w:rsidRPr="00853D04" w:rsidRDefault="00AB3800" w:rsidP="005D68B9">
            <w:pPr>
              <w:spacing w:before="20" w:after="20"/>
              <w:jc w:val="center"/>
              <w:rPr>
                <w:noProof/>
                <w:sz w:val="20"/>
              </w:rPr>
            </w:pPr>
            <w:r w:rsidRPr="00853D04">
              <w:rPr>
                <w:noProof/>
                <w:sz w:val="20"/>
              </w:rPr>
              <w:t>0,00</w:t>
            </w:r>
          </w:p>
        </w:tc>
        <w:tc>
          <w:tcPr>
            <w:tcW w:w="868" w:type="dxa"/>
            <w:vAlign w:val="center"/>
          </w:tcPr>
          <w:p w14:paraId="15C33FE5" w14:textId="77777777" w:rsidR="00A74C79" w:rsidRPr="00853D04" w:rsidRDefault="00AB3800" w:rsidP="005D68B9">
            <w:pPr>
              <w:spacing w:before="20" w:after="20"/>
              <w:jc w:val="center"/>
              <w:rPr>
                <w:noProof/>
                <w:sz w:val="20"/>
              </w:rPr>
            </w:pPr>
            <w:r w:rsidRPr="00853D04">
              <w:rPr>
                <w:noProof/>
                <w:sz w:val="20"/>
              </w:rPr>
              <w:t>0,00</w:t>
            </w:r>
          </w:p>
        </w:tc>
        <w:tc>
          <w:tcPr>
            <w:tcW w:w="868" w:type="dxa"/>
            <w:vAlign w:val="center"/>
          </w:tcPr>
          <w:p w14:paraId="7E76F620" w14:textId="77777777" w:rsidR="00A74C79" w:rsidRPr="00853D04" w:rsidRDefault="10820571" w:rsidP="005D68B9">
            <w:pPr>
              <w:spacing w:before="20" w:after="20"/>
              <w:jc w:val="center"/>
              <w:rPr>
                <w:b/>
                <w:noProof/>
                <w:sz w:val="20"/>
              </w:rPr>
            </w:pPr>
            <w:r w:rsidRPr="00853D04">
              <w:rPr>
                <w:b/>
                <w:noProof/>
                <w:sz w:val="20"/>
              </w:rPr>
              <w:t>0,00</w:t>
            </w:r>
          </w:p>
        </w:tc>
        <w:tc>
          <w:tcPr>
            <w:tcW w:w="1777" w:type="dxa"/>
            <w:vAlign w:val="center"/>
          </w:tcPr>
          <w:p w14:paraId="34CD23D6" w14:textId="77777777" w:rsidR="00A74C79" w:rsidRPr="00853D04" w:rsidRDefault="00AB3800" w:rsidP="00A74C79">
            <w:pPr>
              <w:spacing w:before="20" w:after="20"/>
              <w:jc w:val="right"/>
              <w:rPr>
                <w:b/>
                <w:noProof/>
                <w:sz w:val="20"/>
              </w:rPr>
            </w:pPr>
            <w:r w:rsidRPr="00853D04">
              <w:rPr>
                <w:b/>
                <w:noProof/>
                <w:sz w:val="20"/>
              </w:rPr>
              <w:t>0,906</w:t>
            </w:r>
          </w:p>
        </w:tc>
      </w:tr>
    </w:tbl>
    <w:p w14:paraId="25F9B0F2" w14:textId="77777777" w:rsidR="00BE7E05" w:rsidRPr="00853D04" w:rsidRDefault="00BE7E05">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D71986" w:rsidRPr="00853D04" w14:paraId="7FFF55BF" w14:textId="77777777" w:rsidTr="00C0171B">
        <w:tc>
          <w:tcPr>
            <w:tcW w:w="3960" w:type="dxa"/>
            <w:shd w:val="clear" w:color="auto" w:fill="auto"/>
            <w:vAlign w:val="center"/>
          </w:tcPr>
          <w:p w14:paraId="77060668" w14:textId="77777777" w:rsidR="00BE7E05" w:rsidRPr="00853D04" w:rsidRDefault="00BE7E05">
            <w:pPr>
              <w:jc w:val="center"/>
              <w:rPr>
                <w:b/>
                <w:noProof/>
              </w:rPr>
            </w:pPr>
            <w:r w:rsidRPr="00853D04">
              <w:rPr>
                <w:b/>
                <w:noProof/>
                <w:sz w:val="22"/>
              </w:rPr>
              <w:t>OGÓŁEM środki</w:t>
            </w:r>
            <w:r w:rsidRPr="00853D04">
              <w:rPr>
                <w:noProof/>
              </w:rPr>
              <w:t xml:space="preserve"> </w:t>
            </w:r>
            <w:r w:rsidRPr="00853D04">
              <w:rPr>
                <w:noProof/>
              </w:rPr>
              <w:br/>
            </w:r>
            <w:r w:rsidRPr="00853D04">
              <w:rPr>
                <w:b/>
                <w:noProof/>
                <w:sz w:val="22"/>
              </w:rPr>
              <w:t>na DZIAŁ 7</w:t>
            </w:r>
            <w:r w:rsidRPr="00853D04">
              <w:rPr>
                <w:noProof/>
              </w:rPr>
              <w:t xml:space="preserve"> </w:t>
            </w:r>
            <w:r w:rsidRPr="00853D04">
              <w:rPr>
                <w:noProof/>
              </w:rPr>
              <w:br/>
            </w:r>
            <w:r w:rsidRPr="00853D04">
              <w:rPr>
                <w:noProof/>
                <w:sz w:val="22"/>
              </w:rPr>
              <w:t>wieloletnich ram finansowych</w:t>
            </w:r>
            <w:r w:rsidRPr="00853D04">
              <w:rPr>
                <w:b/>
                <w:noProof/>
                <w:sz w:val="22"/>
              </w:rPr>
              <w:t xml:space="preserve"> </w:t>
            </w:r>
          </w:p>
        </w:tc>
        <w:tc>
          <w:tcPr>
            <w:tcW w:w="2094" w:type="dxa"/>
            <w:vAlign w:val="center"/>
          </w:tcPr>
          <w:p w14:paraId="3D30C376" w14:textId="77777777" w:rsidR="00BE7E05" w:rsidRPr="00853D04" w:rsidRDefault="00BE7E05">
            <w:pPr>
              <w:spacing w:before="40" w:after="40"/>
              <w:rPr>
                <w:noProof/>
              </w:rPr>
            </w:pPr>
            <w:r w:rsidRPr="00853D04">
              <w:rPr>
                <w:noProof/>
                <w:sz w:val="18"/>
              </w:rPr>
              <w:t>(Środki na zobowiązania ogółem = środki na płatności ogółem)</w:t>
            </w:r>
          </w:p>
        </w:tc>
        <w:tc>
          <w:tcPr>
            <w:tcW w:w="868" w:type="dxa"/>
            <w:vAlign w:val="center"/>
          </w:tcPr>
          <w:p w14:paraId="12C74D21" w14:textId="77777777" w:rsidR="00BE7E05" w:rsidRPr="00853D04" w:rsidRDefault="45CAD72C">
            <w:pPr>
              <w:spacing w:before="20" w:after="20"/>
              <w:jc w:val="right"/>
              <w:rPr>
                <w:noProof/>
                <w:sz w:val="20"/>
              </w:rPr>
            </w:pPr>
            <w:r w:rsidRPr="00853D04">
              <w:rPr>
                <w:noProof/>
                <w:sz w:val="20"/>
              </w:rPr>
              <w:t>0,217</w:t>
            </w:r>
          </w:p>
        </w:tc>
        <w:tc>
          <w:tcPr>
            <w:tcW w:w="868" w:type="dxa"/>
            <w:vAlign w:val="center"/>
          </w:tcPr>
          <w:p w14:paraId="02E69481" w14:textId="77777777" w:rsidR="00BE7E05" w:rsidRPr="00853D04" w:rsidRDefault="45CAD72C">
            <w:pPr>
              <w:spacing w:before="20" w:after="20"/>
              <w:jc w:val="right"/>
              <w:rPr>
                <w:noProof/>
                <w:sz w:val="20"/>
              </w:rPr>
            </w:pPr>
            <w:r w:rsidRPr="00853D04">
              <w:rPr>
                <w:noProof/>
                <w:sz w:val="20"/>
              </w:rPr>
              <w:t>0,271</w:t>
            </w:r>
          </w:p>
        </w:tc>
        <w:tc>
          <w:tcPr>
            <w:tcW w:w="868" w:type="dxa"/>
            <w:vAlign w:val="center"/>
          </w:tcPr>
          <w:p w14:paraId="62DBBE1A" w14:textId="77777777" w:rsidR="00BE7E05" w:rsidRPr="00853D04" w:rsidRDefault="45CAD72C">
            <w:pPr>
              <w:spacing w:before="20" w:after="20"/>
              <w:jc w:val="right"/>
              <w:rPr>
                <w:noProof/>
                <w:sz w:val="20"/>
              </w:rPr>
            </w:pPr>
            <w:r w:rsidRPr="00853D04">
              <w:rPr>
                <w:noProof/>
                <w:sz w:val="20"/>
              </w:rPr>
              <w:t>0,209</w:t>
            </w:r>
          </w:p>
        </w:tc>
        <w:tc>
          <w:tcPr>
            <w:tcW w:w="868" w:type="dxa"/>
            <w:vAlign w:val="center"/>
          </w:tcPr>
          <w:p w14:paraId="2318CFDB" w14:textId="77777777" w:rsidR="00BE7E05" w:rsidRPr="00853D04" w:rsidRDefault="45CAD72C">
            <w:pPr>
              <w:spacing w:before="20" w:after="20"/>
              <w:jc w:val="right"/>
              <w:rPr>
                <w:noProof/>
                <w:sz w:val="20"/>
              </w:rPr>
            </w:pPr>
            <w:r w:rsidRPr="00853D04">
              <w:rPr>
                <w:noProof/>
                <w:sz w:val="20"/>
              </w:rPr>
              <w:t>0,209</w:t>
            </w:r>
          </w:p>
        </w:tc>
        <w:tc>
          <w:tcPr>
            <w:tcW w:w="868" w:type="dxa"/>
            <w:vAlign w:val="center"/>
          </w:tcPr>
          <w:p w14:paraId="09EAB7F7" w14:textId="77777777" w:rsidR="00BE7E05" w:rsidRPr="00853D04" w:rsidRDefault="00C000BA" w:rsidP="005D68B9">
            <w:pPr>
              <w:spacing w:before="20" w:after="20"/>
              <w:jc w:val="center"/>
              <w:rPr>
                <w:noProof/>
                <w:sz w:val="20"/>
              </w:rPr>
            </w:pPr>
            <w:r w:rsidRPr="00853D04">
              <w:rPr>
                <w:noProof/>
                <w:sz w:val="20"/>
              </w:rPr>
              <w:t>0,00</w:t>
            </w:r>
          </w:p>
        </w:tc>
        <w:tc>
          <w:tcPr>
            <w:tcW w:w="868" w:type="dxa"/>
            <w:vAlign w:val="center"/>
          </w:tcPr>
          <w:p w14:paraId="0CA02313" w14:textId="77777777" w:rsidR="00BE7E05" w:rsidRPr="00853D04" w:rsidRDefault="00C000BA" w:rsidP="005D68B9">
            <w:pPr>
              <w:spacing w:before="20" w:after="20"/>
              <w:jc w:val="center"/>
              <w:rPr>
                <w:noProof/>
                <w:sz w:val="20"/>
              </w:rPr>
            </w:pPr>
            <w:r w:rsidRPr="00853D04">
              <w:rPr>
                <w:noProof/>
                <w:sz w:val="20"/>
              </w:rPr>
              <w:t>0,00</w:t>
            </w:r>
          </w:p>
        </w:tc>
        <w:tc>
          <w:tcPr>
            <w:tcW w:w="868" w:type="dxa"/>
            <w:vAlign w:val="center"/>
          </w:tcPr>
          <w:p w14:paraId="766E470C" w14:textId="77777777" w:rsidR="00BE7E05" w:rsidRPr="00853D04" w:rsidRDefault="45CAD72C">
            <w:pPr>
              <w:spacing w:before="20" w:after="20"/>
              <w:jc w:val="right"/>
              <w:rPr>
                <w:b/>
                <w:noProof/>
                <w:sz w:val="20"/>
              </w:rPr>
            </w:pPr>
            <w:r w:rsidRPr="00853D04">
              <w:rPr>
                <w:b/>
                <w:noProof/>
                <w:sz w:val="20"/>
              </w:rPr>
              <w:t>0,00</w:t>
            </w:r>
          </w:p>
        </w:tc>
        <w:tc>
          <w:tcPr>
            <w:tcW w:w="1777" w:type="dxa"/>
            <w:vAlign w:val="center"/>
          </w:tcPr>
          <w:p w14:paraId="7FA88B92" w14:textId="77777777" w:rsidR="00BE7E05" w:rsidRPr="00853D04" w:rsidRDefault="00C000BA">
            <w:pPr>
              <w:spacing w:before="20" w:after="20"/>
              <w:jc w:val="right"/>
              <w:rPr>
                <w:b/>
                <w:noProof/>
                <w:sz w:val="20"/>
              </w:rPr>
            </w:pPr>
            <w:r w:rsidRPr="00853D04">
              <w:rPr>
                <w:b/>
                <w:noProof/>
                <w:sz w:val="20"/>
              </w:rPr>
              <w:t>0,906</w:t>
            </w:r>
          </w:p>
        </w:tc>
      </w:tr>
    </w:tbl>
    <w:p w14:paraId="01898E61" w14:textId="77777777" w:rsidR="00BE7E05" w:rsidRPr="00853D04" w:rsidRDefault="00BE7E05">
      <w:pPr>
        <w:jc w:val="right"/>
        <w:rPr>
          <w:noProof/>
          <w:sz w:val="20"/>
        </w:rPr>
      </w:pPr>
      <w:r w:rsidRPr="00853D04">
        <w:rPr>
          <w:noProof/>
          <w:sz w:val="20"/>
        </w:rPr>
        <w:t>w mln EUR (do trzech miejsc po przecinku)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514E83" w:rsidRPr="00853D04" w14:paraId="74FF3A6B" w14:textId="77777777">
        <w:tc>
          <w:tcPr>
            <w:tcW w:w="3960" w:type="dxa"/>
            <w:tcBorders>
              <w:top w:val="nil"/>
              <w:left w:val="nil"/>
              <w:right w:val="nil"/>
            </w:tcBorders>
            <w:vAlign w:val="center"/>
          </w:tcPr>
          <w:p w14:paraId="1527DACF" w14:textId="77777777" w:rsidR="00BE7E05" w:rsidRPr="00853D04" w:rsidRDefault="00BE7E05">
            <w:pPr>
              <w:jc w:val="center"/>
              <w:rPr>
                <w:noProof/>
              </w:rPr>
            </w:pPr>
          </w:p>
        </w:tc>
        <w:tc>
          <w:tcPr>
            <w:tcW w:w="1560" w:type="dxa"/>
            <w:tcBorders>
              <w:top w:val="nil"/>
              <w:left w:val="nil"/>
              <w:right w:val="nil"/>
            </w:tcBorders>
          </w:tcPr>
          <w:p w14:paraId="3501FA30" w14:textId="77777777" w:rsidR="00BE7E05" w:rsidRPr="00853D04" w:rsidRDefault="00BE7E05">
            <w:pPr>
              <w:rPr>
                <w:noProof/>
                <w:sz w:val="20"/>
              </w:rPr>
            </w:pPr>
          </w:p>
        </w:tc>
        <w:tc>
          <w:tcPr>
            <w:tcW w:w="534" w:type="dxa"/>
            <w:tcBorders>
              <w:top w:val="nil"/>
              <w:left w:val="nil"/>
            </w:tcBorders>
          </w:tcPr>
          <w:p w14:paraId="27E7D141" w14:textId="77777777" w:rsidR="00BE7E05" w:rsidRPr="00853D04" w:rsidRDefault="00BE7E05">
            <w:pPr>
              <w:jc w:val="center"/>
              <w:rPr>
                <w:noProof/>
                <w:sz w:val="20"/>
              </w:rPr>
            </w:pPr>
          </w:p>
        </w:tc>
        <w:tc>
          <w:tcPr>
            <w:tcW w:w="868" w:type="dxa"/>
            <w:vAlign w:val="center"/>
          </w:tcPr>
          <w:p w14:paraId="0353633A" w14:textId="77777777" w:rsidR="00BE7E05" w:rsidRPr="00853D04" w:rsidRDefault="000D11B9">
            <w:pPr>
              <w:jc w:val="center"/>
              <w:rPr>
                <w:noProof/>
                <w:sz w:val="20"/>
              </w:rPr>
            </w:pPr>
            <w:r w:rsidRPr="00853D04">
              <w:rPr>
                <w:b/>
                <w:noProof/>
                <w:sz w:val="20"/>
              </w:rPr>
              <w:t>2024</w:t>
            </w:r>
          </w:p>
        </w:tc>
        <w:tc>
          <w:tcPr>
            <w:tcW w:w="868" w:type="dxa"/>
            <w:vAlign w:val="center"/>
          </w:tcPr>
          <w:p w14:paraId="3112512B" w14:textId="77777777" w:rsidR="00BE7E05" w:rsidRPr="00853D04" w:rsidRDefault="000D11B9">
            <w:pPr>
              <w:jc w:val="center"/>
              <w:rPr>
                <w:noProof/>
                <w:sz w:val="20"/>
              </w:rPr>
            </w:pPr>
            <w:r w:rsidRPr="00853D04">
              <w:rPr>
                <w:b/>
                <w:noProof/>
                <w:sz w:val="20"/>
              </w:rPr>
              <w:t>2025</w:t>
            </w:r>
          </w:p>
        </w:tc>
        <w:tc>
          <w:tcPr>
            <w:tcW w:w="868" w:type="dxa"/>
            <w:vAlign w:val="center"/>
          </w:tcPr>
          <w:p w14:paraId="26C0BD72" w14:textId="77777777" w:rsidR="00BE7E05" w:rsidRPr="00853D04" w:rsidRDefault="000D11B9">
            <w:pPr>
              <w:jc w:val="center"/>
              <w:rPr>
                <w:noProof/>
                <w:sz w:val="20"/>
              </w:rPr>
            </w:pPr>
            <w:r w:rsidRPr="00853D04">
              <w:rPr>
                <w:b/>
                <w:noProof/>
                <w:sz w:val="20"/>
              </w:rPr>
              <w:t>2026</w:t>
            </w:r>
          </w:p>
        </w:tc>
        <w:tc>
          <w:tcPr>
            <w:tcW w:w="868" w:type="dxa"/>
            <w:vAlign w:val="center"/>
          </w:tcPr>
          <w:p w14:paraId="4B3096F1" w14:textId="77777777" w:rsidR="00BE7E05" w:rsidRPr="00853D04" w:rsidRDefault="000D11B9">
            <w:pPr>
              <w:jc w:val="center"/>
              <w:rPr>
                <w:noProof/>
                <w:sz w:val="20"/>
              </w:rPr>
            </w:pPr>
            <w:r w:rsidRPr="00853D04">
              <w:rPr>
                <w:b/>
                <w:noProof/>
                <w:sz w:val="20"/>
              </w:rPr>
              <w:t>2027</w:t>
            </w:r>
          </w:p>
        </w:tc>
        <w:tc>
          <w:tcPr>
            <w:tcW w:w="868" w:type="dxa"/>
            <w:vAlign w:val="center"/>
          </w:tcPr>
          <w:p w14:paraId="221B798D" w14:textId="77777777" w:rsidR="000D11B9" w:rsidRPr="00853D04" w:rsidRDefault="000D11B9" w:rsidP="000D11B9">
            <w:pPr>
              <w:jc w:val="center"/>
              <w:rPr>
                <w:b/>
                <w:noProof/>
                <w:sz w:val="18"/>
              </w:rPr>
            </w:pPr>
            <w:r w:rsidRPr="00853D04">
              <w:rPr>
                <w:b/>
                <w:noProof/>
                <w:sz w:val="18"/>
              </w:rPr>
              <w:t>2028</w:t>
            </w:r>
          </w:p>
        </w:tc>
        <w:tc>
          <w:tcPr>
            <w:tcW w:w="868" w:type="dxa"/>
            <w:vAlign w:val="center"/>
          </w:tcPr>
          <w:p w14:paraId="1312D7DD" w14:textId="77777777" w:rsidR="000D11B9" w:rsidRPr="00853D04" w:rsidRDefault="000D11B9" w:rsidP="000D11B9">
            <w:pPr>
              <w:jc w:val="center"/>
              <w:rPr>
                <w:b/>
                <w:noProof/>
                <w:sz w:val="18"/>
              </w:rPr>
            </w:pPr>
            <w:r w:rsidRPr="00853D04">
              <w:rPr>
                <w:b/>
                <w:noProof/>
                <w:sz w:val="18"/>
              </w:rPr>
              <w:t>2029</w:t>
            </w:r>
          </w:p>
        </w:tc>
        <w:tc>
          <w:tcPr>
            <w:tcW w:w="868" w:type="dxa"/>
            <w:vAlign w:val="center"/>
          </w:tcPr>
          <w:p w14:paraId="54EFF141" w14:textId="77777777" w:rsidR="00BE7E05" w:rsidRPr="00853D04" w:rsidRDefault="000D11B9">
            <w:pPr>
              <w:jc w:val="center"/>
              <w:rPr>
                <w:b/>
                <w:noProof/>
                <w:sz w:val="18"/>
              </w:rPr>
            </w:pPr>
            <w:r w:rsidRPr="00853D04">
              <w:rPr>
                <w:b/>
                <w:noProof/>
                <w:sz w:val="18"/>
              </w:rPr>
              <w:t>2030</w:t>
            </w:r>
          </w:p>
        </w:tc>
        <w:tc>
          <w:tcPr>
            <w:tcW w:w="1777" w:type="dxa"/>
            <w:vAlign w:val="center"/>
          </w:tcPr>
          <w:p w14:paraId="14073EC1" w14:textId="77777777" w:rsidR="00BE7E05" w:rsidRPr="00853D04" w:rsidRDefault="00BE7E05">
            <w:pPr>
              <w:jc w:val="center"/>
              <w:rPr>
                <w:b/>
                <w:noProof/>
                <w:sz w:val="20"/>
              </w:rPr>
            </w:pPr>
            <w:r w:rsidRPr="00853D04">
              <w:rPr>
                <w:b/>
                <w:noProof/>
                <w:sz w:val="20"/>
              </w:rPr>
              <w:t>OGÓŁEM</w:t>
            </w:r>
          </w:p>
        </w:tc>
      </w:tr>
      <w:tr w:rsidR="00514E83" w:rsidRPr="00853D04" w14:paraId="270F0B61" w14:textId="77777777">
        <w:tc>
          <w:tcPr>
            <w:tcW w:w="3960" w:type="dxa"/>
            <w:shd w:val="clear" w:color="auto" w:fill="C0C0C0"/>
            <w:vAlign w:val="center"/>
          </w:tcPr>
          <w:p w14:paraId="7E70FF92" w14:textId="0F880D03" w:rsidR="00BE7E05" w:rsidRPr="00853D04" w:rsidRDefault="00BE7E05">
            <w:pPr>
              <w:jc w:val="center"/>
              <w:rPr>
                <w:b/>
                <w:noProof/>
              </w:rPr>
            </w:pPr>
            <w:r w:rsidRPr="00853D04">
              <w:rPr>
                <w:b/>
                <w:noProof/>
                <w:sz w:val="22"/>
              </w:rPr>
              <w:t>OGÓŁEM środk</w:t>
            </w:r>
            <w:r w:rsidRPr="00C13C75">
              <w:rPr>
                <w:b/>
                <w:noProof/>
                <w:sz w:val="22"/>
              </w:rPr>
              <w:t>i</w:t>
            </w:r>
            <w:r w:rsidR="00C13C75" w:rsidRPr="00C13C75">
              <w:rPr>
                <w:b/>
                <w:noProof/>
                <w:sz w:val="22"/>
              </w:rPr>
              <w:t xml:space="preserve"> </w:t>
            </w:r>
            <w:r w:rsidRPr="00C13C75">
              <w:rPr>
                <w:noProof/>
              </w:rPr>
              <w:br/>
            </w:r>
            <w:r w:rsidRPr="00853D04">
              <w:rPr>
                <w:b/>
                <w:noProof/>
                <w:sz w:val="22"/>
              </w:rPr>
              <w:t xml:space="preserve">na DZIAŁY </w:t>
            </w:r>
            <w:r w:rsidRPr="00C13C75">
              <w:rPr>
                <w:b/>
                <w:noProof/>
                <w:sz w:val="22"/>
              </w:rPr>
              <w:t>od</w:t>
            </w:r>
            <w:r w:rsidR="00C13C75" w:rsidRPr="00C13C75">
              <w:rPr>
                <w:b/>
                <w:noProof/>
                <w:sz w:val="22"/>
              </w:rPr>
              <w:t> </w:t>
            </w:r>
            <w:r w:rsidRPr="00C13C75">
              <w:rPr>
                <w:b/>
                <w:noProof/>
                <w:sz w:val="22"/>
              </w:rPr>
              <w:t>1</w:t>
            </w:r>
            <w:r w:rsidRPr="00853D04">
              <w:rPr>
                <w:b/>
                <w:noProof/>
                <w:sz w:val="22"/>
              </w:rPr>
              <w:t xml:space="preserve"> </w:t>
            </w:r>
            <w:r w:rsidRPr="00C13C75">
              <w:rPr>
                <w:b/>
                <w:noProof/>
                <w:sz w:val="22"/>
              </w:rPr>
              <w:t>do</w:t>
            </w:r>
            <w:r w:rsidR="00C13C75" w:rsidRPr="00C13C75">
              <w:rPr>
                <w:b/>
                <w:noProof/>
                <w:sz w:val="22"/>
              </w:rPr>
              <w:t> </w:t>
            </w:r>
            <w:r w:rsidRPr="00C13C75">
              <w:rPr>
                <w:b/>
                <w:noProof/>
                <w:sz w:val="22"/>
              </w:rPr>
              <w:t>7</w:t>
            </w:r>
            <w:r w:rsidRPr="00853D04">
              <w:rPr>
                <w:noProof/>
              </w:rPr>
              <w:t xml:space="preserve"> </w:t>
            </w:r>
            <w:r w:rsidRPr="00853D04">
              <w:rPr>
                <w:noProof/>
              </w:rPr>
              <w:br/>
            </w:r>
            <w:r w:rsidRPr="00853D04">
              <w:rPr>
                <w:noProof/>
                <w:sz w:val="22"/>
              </w:rPr>
              <w:t>wieloletnich ram finansowych</w:t>
            </w:r>
            <w:r w:rsidRPr="00853D04">
              <w:rPr>
                <w:b/>
                <w:noProof/>
                <w:sz w:val="22"/>
              </w:rPr>
              <w:t xml:space="preserve"> </w:t>
            </w:r>
          </w:p>
        </w:tc>
        <w:tc>
          <w:tcPr>
            <w:tcW w:w="2094" w:type="dxa"/>
            <w:gridSpan w:val="2"/>
            <w:vAlign w:val="center"/>
          </w:tcPr>
          <w:p w14:paraId="50098909" w14:textId="77777777" w:rsidR="00BE7E05" w:rsidRPr="00853D04" w:rsidRDefault="00BE7E05">
            <w:pPr>
              <w:rPr>
                <w:noProof/>
                <w:sz w:val="14"/>
              </w:rPr>
            </w:pPr>
            <w:r w:rsidRPr="00853D04">
              <w:rPr>
                <w:noProof/>
                <w:sz w:val="18"/>
              </w:rPr>
              <w:t>Środki na zobowiązania</w:t>
            </w:r>
          </w:p>
        </w:tc>
        <w:tc>
          <w:tcPr>
            <w:tcW w:w="868" w:type="dxa"/>
            <w:vAlign w:val="center"/>
          </w:tcPr>
          <w:p w14:paraId="18DB07FF" w14:textId="77777777" w:rsidR="00BE7E05" w:rsidRPr="00853D04" w:rsidRDefault="43FBD832">
            <w:pPr>
              <w:spacing w:before="60" w:after="60"/>
              <w:jc w:val="right"/>
              <w:rPr>
                <w:noProof/>
                <w:sz w:val="20"/>
              </w:rPr>
            </w:pPr>
            <w:r w:rsidRPr="00853D04">
              <w:rPr>
                <w:noProof/>
                <w:sz w:val="20"/>
              </w:rPr>
              <w:t>0,642</w:t>
            </w:r>
          </w:p>
        </w:tc>
        <w:tc>
          <w:tcPr>
            <w:tcW w:w="868" w:type="dxa"/>
            <w:vAlign w:val="center"/>
          </w:tcPr>
          <w:p w14:paraId="25CE806E" w14:textId="77777777" w:rsidR="00BE7E05" w:rsidRPr="00853D04" w:rsidRDefault="43FBD832">
            <w:pPr>
              <w:spacing w:before="60" w:after="60"/>
              <w:jc w:val="right"/>
              <w:rPr>
                <w:noProof/>
                <w:sz w:val="20"/>
              </w:rPr>
            </w:pPr>
            <w:r w:rsidRPr="00853D04">
              <w:rPr>
                <w:noProof/>
                <w:sz w:val="20"/>
              </w:rPr>
              <w:t>0,496</w:t>
            </w:r>
          </w:p>
        </w:tc>
        <w:tc>
          <w:tcPr>
            <w:tcW w:w="868" w:type="dxa"/>
            <w:vAlign w:val="center"/>
          </w:tcPr>
          <w:p w14:paraId="7E21B7AD" w14:textId="77777777" w:rsidR="00BE7E05" w:rsidRPr="00853D04" w:rsidRDefault="43FBD832">
            <w:pPr>
              <w:spacing w:before="60" w:after="60"/>
              <w:jc w:val="right"/>
              <w:rPr>
                <w:noProof/>
                <w:sz w:val="20"/>
              </w:rPr>
            </w:pPr>
            <w:r w:rsidRPr="00853D04">
              <w:rPr>
                <w:noProof/>
                <w:sz w:val="20"/>
              </w:rPr>
              <w:t>0,309</w:t>
            </w:r>
          </w:p>
        </w:tc>
        <w:tc>
          <w:tcPr>
            <w:tcW w:w="868" w:type="dxa"/>
            <w:vAlign w:val="center"/>
          </w:tcPr>
          <w:p w14:paraId="6E905F22" w14:textId="77777777" w:rsidR="00BE7E05" w:rsidRPr="00853D04" w:rsidRDefault="43FBD832">
            <w:pPr>
              <w:spacing w:before="60" w:after="60"/>
              <w:jc w:val="right"/>
              <w:rPr>
                <w:noProof/>
                <w:sz w:val="20"/>
              </w:rPr>
            </w:pPr>
            <w:r w:rsidRPr="00853D04">
              <w:rPr>
                <w:noProof/>
                <w:sz w:val="20"/>
              </w:rPr>
              <w:t>0,309</w:t>
            </w:r>
          </w:p>
        </w:tc>
        <w:tc>
          <w:tcPr>
            <w:tcW w:w="868" w:type="dxa"/>
          </w:tcPr>
          <w:p w14:paraId="339E7BC9" w14:textId="77777777" w:rsidR="00BE7E05" w:rsidRPr="00853D04" w:rsidRDefault="00C000BA">
            <w:pPr>
              <w:spacing w:before="60" w:after="60"/>
              <w:jc w:val="right"/>
              <w:rPr>
                <w:noProof/>
                <w:sz w:val="20"/>
              </w:rPr>
            </w:pPr>
            <w:r w:rsidRPr="00853D04">
              <w:rPr>
                <w:noProof/>
                <w:sz w:val="20"/>
              </w:rPr>
              <w:t>0,00</w:t>
            </w:r>
          </w:p>
        </w:tc>
        <w:tc>
          <w:tcPr>
            <w:tcW w:w="868" w:type="dxa"/>
          </w:tcPr>
          <w:p w14:paraId="61FF9F2A" w14:textId="77777777" w:rsidR="00BE7E05" w:rsidRPr="00853D04" w:rsidRDefault="00C000BA">
            <w:pPr>
              <w:spacing w:before="60" w:after="60"/>
              <w:jc w:val="right"/>
              <w:rPr>
                <w:noProof/>
                <w:sz w:val="20"/>
              </w:rPr>
            </w:pPr>
            <w:r w:rsidRPr="00853D04">
              <w:rPr>
                <w:noProof/>
                <w:sz w:val="20"/>
              </w:rPr>
              <w:t>0,00</w:t>
            </w:r>
          </w:p>
        </w:tc>
        <w:tc>
          <w:tcPr>
            <w:tcW w:w="868" w:type="dxa"/>
            <w:vAlign w:val="center"/>
          </w:tcPr>
          <w:p w14:paraId="268A0399" w14:textId="77777777" w:rsidR="00BE7E05" w:rsidRPr="00853D04" w:rsidRDefault="43FBD832">
            <w:pPr>
              <w:spacing w:before="60" w:after="60"/>
              <w:jc w:val="right"/>
              <w:rPr>
                <w:b/>
                <w:noProof/>
                <w:sz w:val="20"/>
              </w:rPr>
            </w:pPr>
            <w:r w:rsidRPr="00853D04">
              <w:rPr>
                <w:b/>
                <w:noProof/>
                <w:sz w:val="20"/>
              </w:rPr>
              <w:t>0,00</w:t>
            </w:r>
          </w:p>
        </w:tc>
        <w:tc>
          <w:tcPr>
            <w:tcW w:w="1777" w:type="dxa"/>
            <w:vAlign w:val="center"/>
          </w:tcPr>
          <w:p w14:paraId="17B8C94B" w14:textId="77777777" w:rsidR="00BE7E05" w:rsidRPr="00853D04" w:rsidRDefault="00C000BA">
            <w:pPr>
              <w:spacing w:before="60" w:after="60"/>
              <w:jc w:val="right"/>
              <w:rPr>
                <w:b/>
                <w:noProof/>
                <w:sz w:val="20"/>
              </w:rPr>
            </w:pPr>
            <w:r w:rsidRPr="00853D04">
              <w:rPr>
                <w:b/>
                <w:noProof/>
                <w:sz w:val="20"/>
              </w:rPr>
              <w:t>1,756</w:t>
            </w:r>
          </w:p>
        </w:tc>
      </w:tr>
      <w:tr w:rsidR="00D71986" w:rsidRPr="00853D04" w14:paraId="03583BC8" w14:textId="77777777">
        <w:tc>
          <w:tcPr>
            <w:tcW w:w="3960" w:type="dxa"/>
          </w:tcPr>
          <w:p w14:paraId="07344682" w14:textId="77777777" w:rsidR="00BE7E05" w:rsidRPr="00853D04" w:rsidRDefault="00BE7E05">
            <w:pPr>
              <w:rPr>
                <w:noProof/>
                <w:sz w:val="20"/>
              </w:rPr>
            </w:pPr>
          </w:p>
        </w:tc>
        <w:tc>
          <w:tcPr>
            <w:tcW w:w="2094" w:type="dxa"/>
            <w:gridSpan w:val="2"/>
            <w:vAlign w:val="center"/>
          </w:tcPr>
          <w:p w14:paraId="7B819A87" w14:textId="77777777" w:rsidR="00BE7E05" w:rsidRPr="00853D04" w:rsidRDefault="00BE7E05">
            <w:pPr>
              <w:rPr>
                <w:noProof/>
                <w:sz w:val="14"/>
              </w:rPr>
            </w:pPr>
            <w:r w:rsidRPr="00853D04">
              <w:rPr>
                <w:noProof/>
                <w:sz w:val="18"/>
              </w:rPr>
              <w:t>Środki na płatności</w:t>
            </w:r>
          </w:p>
        </w:tc>
        <w:tc>
          <w:tcPr>
            <w:tcW w:w="868" w:type="dxa"/>
            <w:vAlign w:val="center"/>
          </w:tcPr>
          <w:p w14:paraId="36121AD0" w14:textId="77777777" w:rsidR="00BE7E05" w:rsidRPr="00853D04" w:rsidRDefault="17189AC3">
            <w:pPr>
              <w:spacing w:before="60" w:after="60"/>
              <w:jc w:val="right"/>
              <w:rPr>
                <w:noProof/>
                <w:sz w:val="20"/>
              </w:rPr>
            </w:pPr>
            <w:r w:rsidRPr="00853D04">
              <w:rPr>
                <w:noProof/>
                <w:sz w:val="20"/>
              </w:rPr>
              <w:t>0,642</w:t>
            </w:r>
          </w:p>
        </w:tc>
        <w:tc>
          <w:tcPr>
            <w:tcW w:w="868" w:type="dxa"/>
            <w:vAlign w:val="center"/>
          </w:tcPr>
          <w:p w14:paraId="6F9B7B72" w14:textId="77777777" w:rsidR="00BE7E05" w:rsidRPr="00853D04" w:rsidRDefault="17189AC3">
            <w:pPr>
              <w:spacing w:before="60" w:after="60"/>
              <w:jc w:val="right"/>
              <w:rPr>
                <w:noProof/>
                <w:sz w:val="20"/>
              </w:rPr>
            </w:pPr>
            <w:r w:rsidRPr="00853D04">
              <w:rPr>
                <w:noProof/>
                <w:sz w:val="20"/>
              </w:rPr>
              <w:t>0,496</w:t>
            </w:r>
          </w:p>
        </w:tc>
        <w:tc>
          <w:tcPr>
            <w:tcW w:w="868" w:type="dxa"/>
            <w:vAlign w:val="center"/>
          </w:tcPr>
          <w:p w14:paraId="3ADBB51B" w14:textId="77777777" w:rsidR="00BE7E05" w:rsidRPr="00853D04" w:rsidRDefault="17189AC3">
            <w:pPr>
              <w:spacing w:before="60" w:after="60"/>
              <w:jc w:val="right"/>
              <w:rPr>
                <w:noProof/>
                <w:sz w:val="20"/>
              </w:rPr>
            </w:pPr>
            <w:r w:rsidRPr="00853D04">
              <w:rPr>
                <w:noProof/>
                <w:sz w:val="20"/>
              </w:rPr>
              <w:t>0,309</w:t>
            </w:r>
          </w:p>
        </w:tc>
        <w:tc>
          <w:tcPr>
            <w:tcW w:w="868" w:type="dxa"/>
            <w:vAlign w:val="center"/>
          </w:tcPr>
          <w:p w14:paraId="19BFADD8" w14:textId="77777777" w:rsidR="00BE7E05" w:rsidRPr="00853D04" w:rsidRDefault="17189AC3">
            <w:pPr>
              <w:spacing w:before="60" w:after="60"/>
              <w:jc w:val="right"/>
              <w:rPr>
                <w:noProof/>
                <w:sz w:val="20"/>
              </w:rPr>
            </w:pPr>
            <w:r w:rsidRPr="00853D04">
              <w:rPr>
                <w:noProof/>
                <w:sz w:val="20"/>
              </w:rPr>
              <w:t>0,309</w:t>
            </w:r>
          </w:p>
        </w:tc>
        <w:tc>
          <w:tcPr>
            <w:tcW w:w="868" w:type="dxa"/>
          </w:tcPr>
          <w:p w14:paraId="697CF38F" w14:textId="77777777" w:rsidR="00BE7E05" w:rsidRPr="00853D04" w:rsidRDefault="00C000BA">
            <w:pPr>
              <w:spacing w:before="60" w:after="60"/>
              <w:jc w:val="right"/>
              <w:rPr>
                <w:noProof/>
                <w:sz w:val="20"/>
              </w:rPr>
            </w:pPr>
            <w:r w:rsidRPr="00853D04">
              <w:rPr>
                <w:noProof/>
                <w:sz w:val="20"/>
              </w:rPr>
              <w:t>0,00</w:t>
            </w:r>
          </w:p>
        </w:tc>
        <w:tc>
          <w:tcPr>
            <w:tcW w:w="868" w:type="dxa"/>
          </w:tcPr>
          <w:p w14:paraId="7998A8B6" w14:textId="77777777" w:rsidR="00BE7E05" w:rsidRPr="00853D04" w:rsidRDefault="00C000BA">
            <w:pPr>
              <w:spacing w:before="60" w:after="60"/>
              <w:jc w:val="right"/>
              <w:rPr>
                <w:noProof/>
                <w:sz w:val="20"/>
              </w:rPr>
            </w:pPr>
            <w:r w:rsidRPr="00853D04">
              <w:rPr>
                <w:noProof/>
                <w:sz w:val="20"/>
              </w:rPr>
              <w:t>0,00</w:t>
            </w:r>
          </w:p>
        </w:tc>
        <w:tc>
          <w:tcPr>
            <w:tcW w:w="868" w:type="dxa"/>
            <w:vAlign w:val="center"/>
          </w:tcPr>
          <w:p w14:paraId="708D404E" w14:textId="77777777" w:rsidR="00BE7E05" w:rsidRPr="00853D04" w:rsidRDefault="17189AC3">
            <w:pPr>
              <w:spacing w:before="60" w:after="60"/>
              <w:jc w:val="right"/>
              <w:rPr>
                <w:b/>
                <w:noProof/>
                <w:sz w:val="20"/>
              </w:rPr>
            </w:pPr>
            <w:r w:rsidRPr="00853D04">
              <w:rPr>
                <w:b/>
                <w:noProof/>
                <w:sz w:val="20"/>
              </w:rPr>
              <w:t>0,00</w:t>
            </w:r>
          </w:p>
        </w:tc>
        <w:tc>
          <w:tcPr>
            <w:tcW w:w="1777" w:type="dxa"/>
            <w:vAlign w:val="center"/>
          </w:tcPr>
          <w:p w14:paraId="75E8E9A4" w14:textId="77777777" w:rsidR="00BE7E05" w:rsidRPr="00853D04" w:rsidRDefault="00C000BA">
            <w:pPr>
              <w:spacing w:before="60" w:after="60"/>
              <w:jc w:val="right"/>
              <w:rPr>
                <w:b/>
                <w:noProof/>
                <w:sz w:val="20"/>
              </w:rPr>
            </w:pPr>
            <w:r w:rsidRPr="00853D04">
              <w:rPr>
                <w:b/>
                <w:noProof/>
                <w:sz w:val="20"/>
              </w:rPr>
              <w:t>1,756</w:t>
            </w:r>
          </w:p>
        </w:tc>
      </w:tr>
    </w:tbl>
    <w:p w14:paraId="6AFA1D3A" w14:textId="77777777" w:rsidR="00BE7E05" w:rsidRPr="00853D04" w:rsidRDefault="00BE7E05">
      <w:pPr>
        <w:rPr>
          <w:noProof/>
        </w:rPr>
      </w:pPr>
    </w:p>
    <w:p w14:paraId="18403568" w14:textId="77777777" w:rsidR="00BE7E05" w:rsidRPr="00853D04" w:rsidRDefault="00BE7E05">
      <w:pPr>
        <w:pStyle w:val="ManualHeading3"/>
        <w:rPr>
          <w:noProof/>
        </w:rPr>
      </w:pPr>
      <w:bookmarkStart w:id="61" w:name="_Toc514938054"/>
      <w:bookmarkStart w:id="62" w:name="_Toc520485053"/>
      <w:r w:rsidRPr="00853D04">
        <w:rPr>
          <w:noProof/>
        </w:rPr>
        <w:t>3.2.2.</w:t>
      </w:r>
      <w:r w:rsidRPr="00853D04">
        <w:rPr>
          <w:noProof/>
        </w:rPr>
        <w:tab/>
        <w:t>Przewidywany produkt finansowany ze środków operacyjnych</w:t>
      </w:r>
      <w:bookmarkEnd w:id="61"/>
      <w:bookmarkEnd w:id="62"/>
      <w:r w:rsidRPr="00853D04">
        <w:rPr>
          <w:noProof/>
        </w:rPr>
        <w:t xml:space="preserve"> </w:t>
      </w:r>
    </w:p>
    <w:p w14:paraId="724D89A8" w14:textId="37789E41" w:rsidR="00BE7E05" w:rsidRPr="00853D04" w:rsidRDefault="00BE7E05">
      <w:pPr>
        <w:jc w:val="right"/>
        <w:rPr>
          <w:noProof/>
          <w:sz w:val="20"/>
        </w:rPr>
      </w:pPr>
      <w:r w:rsidRPr="00853D04">
        <w:rPr>
          <w:noProof/>
          <w:sz w:val="20"/>
        </w:rPr>
        <w:t>Środki na zobowiązania</w:t>
      </w:r>
      <w:r w:rsidR="00C13C75" w:rsidRPr="00853D04">
        <w:rPr>
          <w:noProof/>
          <w:sz w:val="20"/>
        </w:rPr>
        <w:t xml:space="preserve"> w</w:t>
      </w:r>
      <w:r w:rsidR="00C13C75">
        <w:rPr>
          <w:noProof/>
          <w:sz w:val="20"/>
        </w:rPr>
        <w:t> </w:t>
      </w:r>
      <w:r w:rsidR="00C13C75" w:rsidRPr="00853D04">
        <w:rPr>
          <w:noProof/>
          <w:sz w:val="20"/>
        </w:rPr>
        <w:t>mln</w:t>
      </w:r>
      <w:r w:rsidRPr="00853D04">
        <w:rPr>
          <w:noProof/>
          <w:sz w:val="20"/>
        </w:rPr>
        <w:t xml:space="preserve"> EUR (do trzech miejsc po przecinku)</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720"/>
        <w:gridCol w:w="540"/>
        <w:gridCol w:w="648"/>
        <w:gridCol w:w="7"/>
        <w:gridCol w:w="425"/>
        <w:gridCol w:w="709"/>
        <w:gridCol w:w="11"/>
        <w:gridCol w:w="540"/>
        <w:gridCol w:w="720"/>
        <w:gridCol w:w="720"/>
        <w:gridCol w:w="900"/>
      </w:tblGrid>
      <w:tr w:rsidR="006F6278" w:rsidRPr="00853D04" w14:paraId="60FC31C4" w14:textId="77777777" w:rsidTr="718FF3BF">
        <w:trPr>
          <w:jc w:val="center"/>
        </w:trPr>
        <w:tc>
          <w:tcPr>
            <w:tcW w:w="1423" w:type="dxa"/>
            <w:vMerge w:val="restart"/>
            <w:vAlign w:val="center"/>
          </w:tcPr>
          <w:p w14:paraId="23A6D8AF" w14:textId="4C29DB2F" w:rsidR="006F6278" w:rsidRPr="00853D04" w:rsidRDefault="006F6278" w:rsidP="006F6278">
            <w:pPr>
              <w:ind w:right="-29"/>
              <w:jc w:val="center"/>
              <w:rPr>
                <w:b/>
                <w:noProof/>
                <w:sz w:val="18"/>
              </w:rPr>
            </w:pPr>
            <w:r w:rsidRPr="00853D04">
              <w:rPr>
                <w:b/>
                <w:noProof/>
                <w:sz w:val="18"/>
              </w:rPr>
              <w:t>Określić cele</w:t>
            </w:r>
            <w:r w:rsidR="00C13C75" w:rsidRPr="00853D04">
              <w:rPr>
                <w:b/>
                <w:noProof/>
                <w:sz w:val="18"/>
              </w:rPr>
              <w:t xml:space="preserve"> i</w:t>
            </w:r>
            <w:r w:rsidR="00C13C75">
              <w:rPr>
                <w:b/>
                <w:noProof/>
                <w:sz w:val="18"/>
              </w:rPr>
              <w:t> </w:t>
            </w:r>
            <w:r w:rsidR="00C13C75" w:rsidRPr="00853D04">
              <w:rPr>
                <w:b/>
                <w:noProof/>
                <w:sz w:val="18"/>
              </w:rPr>
              <w:t>pro</w:t>
            </w:r>
            <w:r w:rsidRPr="00853D04">
              <w:rPr>
                <w:b/>
                <w:noProof/>
                <w:sz w:val="18"/>
              </w:rPr>
              <w:t xml:space="preserve">dukty </w:t>
            </w:r>
          </w:p>
          <w:p w14:paraId="52D385B8" w14:textId="77777777" w:rsidR="006F6278" w:rsidRPr="00853D04" w:rsidRDefault="006F6278" w:rsidP="006F6278">
            <w:pPr>
              <w:ind w:right="-29"/>
              <w:jc w:val="center"/>
              <w:rPr>
                <w:b/>
                <w:noProof/>
                <w:sz w:val="18"/>
              </w:rPr>
            </w:pPr>
          </w:p>
          <w:p w14:paraId="17BDBD03" w14:textId="77777777" w:rsidR="006F6278" w:rsidRPr="00853D04" w:rsidRDefault="006F6278" w:rsidP="006F6278">
            <w:pPr>
              <w:ind w:right="-29"/>
              <w:jc w:val="center"/>
              <w:rPr>
                <w:noProof/>
                <w:sz w:val="18"/>
              </w:rPr>
            </w:pPr>
            <w:r w:rsidRPr="00853D04">
              <w:rPr>
                <w:noProof/>
                <w:sz w:val="18"/>
              </w:rPr>
              <w:t>ò</w:t>
            </w:r>
          </w:p>
        </w:tc>
        <w:tc>
          <w:tcPr>
            <w:tcW w:w="720" w:type="dxa"/>
            <w:vAlign w:val="center"/>
          </w:tcPr>
          <w:p w14:paraId="6508D568" w14:textId="77777777" w:rsidR="006F6278" w:rsidRPr="00853D04" w:rsidRDefault="006F6278" w:rsidP="006F6278">
            <w:pPr>
              <w:ind w:right="-29"/>
              <w:jc w:val="center"/>
              <w:rPr>
                <w:noProof/>
                <w:sz w:val="18"/>
              </w:rPr>
            </w:pPr>
          </w:p>
        </w:tc>
        <w:tc>
          <w:tcPr>
            <w:tcW w:w="701" w:type="dxa"/>
            <w:vAlign w:val="center"/>
          </w:tcPr>
          <w:p w14:paraId="1EEFF543" w14:textId="77777777" w:rsidR="006F6278" w:rsidRPr="00853D04" w:rsidRDefault="006F6278" w:rsidP="006F6278">
            <w:pPr>
              <w:ind w:right="-29"/>
              <w:jc w:val="center"/>
              <w:rPr>
                <w:noProof/>
                <w:sz w:val="18"/>
              </w:rPr>
            </w:pPr>
          </w:p>
        </w:tc>
        <w:tc>
          <w:tcPr>
            <w:tcW w:w="1224" w:type="dxa"/>
            <w:gridSpan w:val="2"/>
            <w:tcBorders>
              <w:left w:val="nil"/>
            </w:tcBorders>
            <w:vAlign w:val="center"/>
          </w:tcPr>
          <w:p w14:paraId="76A0D631" w14:textId="77777777" w:rsidR="006F6278" w:rsidRPr="00853D04" w:rsidRDefault="006F6278" w:rsidP="006F6278">
            <w:pPr>
              <w:ind w:right="-29"/>
              <w:jc w:val="center"/>
              <w:rPr>
                <w:noProof/>
                <w:sz w:val="18"/>
              </w:rPr>
            </w:pPr>
            <w:r w:rsidRPr="00853D04">
              <w:rPr>
                <w:b/>
                <w:noProof/>
                <w:sz w:val="20"/>
              </w:rPr>
              <w:t>2024</w:t>
            </w:r>
          </w:p>
        </w:tc>
        <w:tc>
          <w:tcPr>
            <w:tcW w:w="1260" w:type="dxa"/>
            <w:gridSpan w:val="2"/>
            <w:vAlign w:val="center"/>
          </w:tcPr>
          <w:p w14:paraId="13460140" w14:textId="77777777" w:rsidR="006F6278" w:rsidRPr="00853D04" w:rsidRDefault="006F6278" w:rsidP="006F6278">
            <w:pPr>
              <w:ind w:right="-29"/>
              <w:jc w:val="center"/>
              <w:rPr>
                <w:noProof/>
                <w:sz w:val="18"/>
              </w:rPr>
            </w:pPr>
            <w:r w:rsidRPr="00853D04">
              <w:rPr>
                <w:b/>
                <w:noProof/>
                <w:sz w:val="20"/>
              </w:rPr>
              <w:t>2025</w:t>
            </w:r>
          </w:p>
        </w:tc>
        <w:tc>
          <w:tcPr>
            <w:tcW w:w="1440" w:type="dxa"/>
            <w:gridSpan w:val="2"/>
            <w:vAlign w:val="center"/>
          </w:tcPr>
          <w:p w14:paraId="7FAABA01" w14:textId="77777777" w:rsidR="006F6278" w:rsidRPr="00853D04" w:rsidRDefault="006F6278" w:rsidP="006F6278">
            <w:pPr>
              <w:ind w:right="-29"/>
              <w:jc w:val="center"/>
              <w:rPr>
                <w:noProof/>
                <w:sz w:val="18"/>
              </w:rPr>
            </w:pPr>
            <w:r w:rsidRPr="00853D04">
              <w:rPr>
                <w:b/>
                <w:noProof/>
                <w:sz w:val="20"/>
              </w:rPr>
              <w:t>2026</w:t>
            </w:r>
          </w:p>
        </w:tc>
        <w:tc>
          <w:tcPr>
            <w:tcW w:w="1620" w:type="dxa"/>
            <w:gridSpan w:val="2"/>
            <w:vAlign w:val="center"/>
          </w:tcPr>
          <w:p w14:paraId="53AEBCB0" w14:textId="77777777" w:rsidR="006F6278" w:rsidRPr="00853D04" w:rsidRDefault="006F6278" w:rsidP="006F6278">
            <w:pPr>
              <w:ind w:right="-29"/>
              <w:jc w:val="center"/>
              <w:rPr>
                <w:noProof/>
                <w:sz w:val="18"/>
              </w:rPr>
            </w:pPr>
            <w:r w:rsidRPr="00853D04">
              <w:rPr>
                <w:b/>
                <w:noProof/>
                <w:sz w:val="20"/>
              </w:rPr>
              <w:t>2027</w:t>
            </w:r>
          </w:p>
        </w:tc>
        <w:tc>
          <w:tcPr>
            <w:tcW w:w="1195" w:type="dxa"/>
            <w:gridSpan w:val="3"/>
            <w:vAlign w:val="center"/>
          </w:tcPr>
          <w:p w14:paraId="71897D62" w14:textId="77777777" w:rsidR="006F6278" w:rsidRPr="00853D04" w:rsidRDefault="006F6278" w:rsidP="006F6278">
            <w:pPr>
              <w:jc w:val="center"/>
              <w:rPr>
                <w:b/>
                <w:noProof/>
                <w:sz w:val="18"/>
              </w:rPr>
            </w:pPr>
            <w:r w:rsidRPr="00853D04">
              <w:rPr>
                <w:b/>
                <w:noProof/>
                <w:sz w:val="18"/>
              </w:rPr>
              <w:t>2028</w:t>
            </w:r>
          </w:p>
        </w:tc>
        <w:tc>
          <w:tcPr>
            <w:tcW w:w="1134" w:type="dxa"/>
            <w:gridSpan w:val="2"/>
            <w:vAlign w:val="center"/>
          </w:tcPr>
          <w:p w14:paraId="429C0373" w14:textId="77777777" w:rsidR="006F6278" w:rsidRPr="00853D04" w:rsidRDefault="006F6278" w:rsidP="006F6278">
            <w:pPr>
              <w:jc w:val="center"/>
              <w:rPr>
                <w:b/>
                <w:noProof/>
                <w:sz w:val="18"/>
              </w:rPr>
            </w:pPr>
            <w:r w:rsidRPr="00853D04">
              <w:rPr>
                <w:b/>
                <w:noProof/>
                <w:sz w:val="18"/>
              </w:rPr>
              <w:t>2029</w:t>
            </w:r>
          </w:p>
        </w:tc>
        <w:tc>
          <w:tcPr>
            <w:tcW w:w="1271" w:type="dxa"/>
            <w:gridSpan w:val="3"/>
            <w:vAlign w:val="center"/>
          </w:tcPr>
          <w:p w14:paraId="763D2D83" w14:textId="77777777" w:rsidR="006F6278" w:rsidRPr="00853D04" w:rsidRDefault="006F6278" w:rsidP="006F6278">
            <w:pPr>
              <w:jc w:val="center"/>
              <w:rPr>
                <w:noProof/>
                <w:sz w:val="18"/>
              </w:rPr>
            </w:pPr>
            <w:r w:rsidRPr="00853D04">
              <w:rPr>
                <w:b/>
                <w:noProof/>
                <w:sz w:val="18"/>
              </w:rPr>
              <w:t>2030</w:t>
            </w:r>
          </w:p>
        </w:tc>
        <w:tc>
          <w:tcPr>
            <w:tcW w:w="1620" w:type="dxa"/>
            <w:gridSpan w:val="2"/>
            <w:tcBorders>
              <w:left w:val="nil"/>
              <w:bottom w:val="nil"/>
            </w:tcBorders>
            <w:vAlign w:val="center"/>
          </w:tcPr>
          <w:p w14:paraId="2407F985" w14:textId="77777777" w:rsidR="006F6278" w:rsidRPr="00853D04" w:rsidRDefault="006F6278" w:rsidP="006F6278">
            <w:pPr>
              <w:ind w:right="-29"/>
              <w:jc w:val="center"/>
              <w:rPr>
                <w:noProof/>
                <w:sz w:val="18"/>
              </w:rPr>
            </w:pPr>
            <w:r w:rsidRPr="00853D04">
              <w:rPr>
                <w:b/>
                <w:noProof/>
                <w:sz w:val="18"/>
              </w:rPr>
              <w:t>OGÓŁEM</w:t>
            </w:r>
          </w:p>
        </w:tc>
      </w:tr>
      <w:tr w:rsidR="00BE7E05" w:rsidRPr="00853D04" w14:paraId="1D8A0E90" w14:textId="77777777" w:rsidTr="718FF3BF">
        <w:trPr>
          <w:jc w:val="center"/>
        </w:trPr>
        <w:tc>
          <w:tcPr>
            <w:tcW w:w="1423" w:type="dxa"/>
            <w:vMerge/>
            <w:vAlign w:val="center"/>
          </w:tcPr>
          <w:p w14:paraId="460E0CDC" w14:textId="77777777" w:rsidR="00BE7E05" w:rsidRPr="00853D04" w:rsidRDefault="00BE7E05">
            <w:pPr>
              <w:ind w:right="-29"/>
              <w:jc w:val="center"/>
              <w:rPr>
                <w:noProof/>
                <w:sz w:val="18"/>
              </w:rPr>
            </w:pPr>
          </w:p>
        </w:tc>
        <w:tc>
          <w:tcPr>
            <w:tcW w:w="12185" w:type="dxa"/>
            <w:gridSpan w:val="20"/>
            <w:vAlign w:val="center"/>
          </w:tcPr>
          <w:p w14:paraId="241039E7" w14:textId="77777777" w:rsidR="00BE7E05" w:rsidRPr="00853D04" w:rsidRDefault="00BE7E05">
            <w:pPr>
              <w:spacing w:before="60" w:after="60"/>
              <w:ind w:right="-29"/>
              <w:jc w:val="center"/>
              <w:rPr>
                <w:noProof/>
                <w:sz w:val="18"/>
              </w:rPr>
            </w:pPr>
            <w:r w:rsidRPr="00853D04">
              <w:rPr>
                <w:b/>
                <w:noProof/>
                <w:sz w:val="18"/>
              </w:rPr>
              <w:t>PRODUKT</w:t>
            </w:r>
          </w:p>
        </w:tc>
      </w:tr>
      <w:tr w:rsidR="00BE7E05" w:rsidRPr="00853D04" w14:paraId="1D9FAB14" w14:textId="77777777" w:rsidTr="718FF3BF">
        <w:trPr>
          <w:cantSplit/>
          <w:trHeight w:val="1134"/>
          <w:jc w:val="center"/>
        </w:trPr>
        <w:tc>
          <w:tcPr>
            <w:tcW w:w="1423" w:type="dxa"/>
            <w:vMerge/>
            <w:vAlign w:val="center"/>
          </w:tcPr>
          <w:p w14:paraId="545D7444" w14:textId="77777777" w:rsidR="00BE7E05" w:rsidRPr="00853D04" w:rsidRDefault="00BE7E05">
            <w:pPr>
              <w:rPr>
                <w:noProof/>
                <w:sz w:val="18"/>
              </w:rPr>
            </w:pPr>
          </w:p>
        </w:tc>
        <w:tc>
          <w:tcPr>
            <w:tcW w:w="720" w:type="dxa"/>
            <w:vAlign w:val="center"/>
          </w:tcPr>
          <w:p w14:paraId="20423942" w14:textId="77777777" w:rsidR="00BE7E05" w:rsidRPr="00853D04" w:rsidRDefault="00BE7E05">
            <w:pPr>
              <w:jc w:val="center"/>
              <w:rPr>
                <w:noProof/>
                <w:sz w:val="18"/>
              </w:rPr>
            </w:pPr>
            <w:r w:rsidRPr="00853D04">
              <w:rPr>
                <w:noProof/>
                <w:sz w:val="18"/>
              </w:rPr>
              <w:t>Rodzaj</w:t>
            </w:r>
            <w:r w:rsidRPr="00853D04">
              <w:rPr>
                <w:rStyle w:val="FootnoteReference"/>
                <w:noProof/>
                <w:sz w:val="18"/>
              </w:rPr>
              <w:footnoteReference w:id="56"/>
            </w:r>
          </w:p>
          <w:p w14:paraId="279B69AD" w14:textId="77777777" w:rsidR="00BE7E05" w:rsidRPr="00853D04" w:rsidRDefault="00BE7E05">
            <w:pPr>
              <w:spacing w:before="0" w:after="0"/>
              <w:jc w:val="center"/>
              <w:rPr>
                <w:noProof/>
                <w:sz w:val="18"/>
              </w:rPr>
            </w:pPr>
          </w:p>
        </w:tc>
        <w:tc>
          <w:tcPr>
            <w:tcW w:w="701" w:type="dxa"/>
            <w:vAlign w:val="center"/>
          </w:tcPr>
          <w:p w14:paraId="1031DD61" w14:textId="77777777" w:rsidR="00BE7E05" w:rsidRPr="00853D04" w:rsidRDefault="00BE7E05">
            <w:pPr>
              <w:jc w:val="center"/>
              <w:rPr>
                <w:noProof/>
                <w:sz w:val="18"/>
              </w:rPr>
            </w:pPr>
            <w:r w:rsidRPr="00853D04">
              <w:rPr>
                <w:noProof/>
                <w:sz w:val="18"/>
              </w:rPr>
              <w:t>Średni koszt</w:t>
            </w:r>
          </w:p>
        </w:tc>
        <w:tc>
          <w:tcPr>
            <w:tcW w:w="504" w:type="dxa"/>
            <w:tcBorders>
              <w:left w:val="nil"/>
              <w:right w:val="dashSmallGap" w:sz="4" w:space="0" w:color="auto"/>
            </w:tcBorders>
            <w:shd w:val="clear" w:color="auto" w:fill="auto"/>
            <w:textDirection w:val="btLr"/>
            <w:vAlign w:val="center"/>
          </w:tcPr>
          <w:p w14:paraId="6406894F" w14:textId="77777777" w:rsidR="00BE7E05" w:rsidRPr="00853D04" w:rsidRDefault="00BE7E05">
            <w:pPr>
              <w:ind w:left="113" w:right="113"/>
              <w:jc w:val="center"/>
              <w:rPr>
                <w:noProof/>
                <w:sz w:val="18"/>
              </w:rPr>
            </w:pPr>
            <w:r w:rsidRPr="00853D04">
              <w:rPr>
                <w:noProof/>
                <w:sz w:val="18"/>
              </w:rPr>
              <w:t>Liczba</w:t>
            </w:r>
          </w:p>
        </w:tc>
        <w:tc>
          <w:tcPr>
            <w:tcW w:w="720" w:type="dxa"/>
            <w:tcBorders>
              <w:left w:val="dashSmallGap" w:sz="4" w:space="0" w:color="auto"/>
            </w:tcBorders>
            <w:shd w:val="clear" w:color="auto" w:fill="auto"/>
            <w:vAlign w:val="center"/>
          </w:tcPr>
          <w:p w14:paraId="69CE88F1" w14:textId="77777777" w:rsidR="00BE7E05" w:rsidRPr="00853D04" w:rsidRDefault="00BE7E05">
            <w:pPr>
              <w:jc w:val="center"/>
              <w:rPr>
                <w:noProof/>
                <w:sz w:val="18"/>
              </w:rPr>
            </w:pPr>
            <w:r w:rsidRPr="00853D04">
              <w:rPr>
                <w:noProof/>
                <w:sz w:val="18"/>
              </w:rPr>
              <w:t>Koszt</w:t>
            </w:r>
          </w:p>
        </w:tc>
        <w:tc>
          <w:tcPr>
            <w:tcW w:w="540" w:type="dxa"/>
            <w:tcBorders>
              <w:right w:val="dashSmallGap" w:sz="4" w:space="0" w:color="auto"/>
            </w:tcBorders>
            <w:shd w:val="clear" w:color="auto" w:fill="auto"/>
            <w:textDirection w:val="btLr"/>
            <w:vAlign w:val="center"/>
          </w:tcPr>
          <w:p w14:paraId="33687F4F" w14:textId="77777777" w:rsidR="00BE7E05" w:rsidRPr="00853D04" w:rsidRDefault="00BE7E05">
            <w:pPr>
              <w:ind w:left="113" w:right="113"/>
              <w:jc w:val="center"/>
              <w:rPr>
                <w:noProof/>
                <w:sz w:val="18"/>
              </w:rPr>
            </w:pPr>
            <w:r w:rsidRPr="00853D04">
              <w:rPr>
                <w:noProof/>
                <w:sz w:val="18"/>
              </w:rPr>
              <w:t>Liczba</w:t>
            </w:r>
          </w:p>
        </w:tc>
        <w:tc>
          <w:tcPr>
            <w:tcW w:w="720" w:type="dxa"/>
            <w:tcBorders>
              <w:left w:val="dashSmallGap" w:sz="4" w:space="0" w:color="auto"/>
            </w:tcBorders>
            <w:shd w:val="clear" w:color="auto" w:fill="auto"/>
            <w:vAlign w:val="center"/>
          </w:tcPr>
          <w:p w14:paraId="4AE8D9E8" w14:textId="77777777" w:rsidR="00BE7E05" w:rsidRPr="00853D04" w:rsidRDefault="00BE7E05">
            <w:pPr>
              <w:jc w:val="center"/>
              <w:rPr>
                <w:noProof/>
                <w:sz w:val="18"/>
              </w:rPr>
            </w:pPr>
            <w:r w:rsidRPr="00853D04">
              <w:rPr>
                <w:noProof/>
                <w:sz w:val="18"/>
              </w:rPr>
              <w:t>Koszt</w:t>
            </w:r>
          </w:p>
        </w:tc>
        <w:tc>
          <w:tcPr>
            <w:tcW w:w="720" w:type="dxa"/>
            <w:tcBorders>
              <w:right w:val="dashSmallGap" w:sz="4" w:space="0" w:color="auto"/>
            </w:tcBorders>
            <w:shd w:val="clear" w:color="auto" w:fill="auto"/>
            <w:textDirection w:val="btLr"/>
            <w:vAlign w:val="center"/>
          </w:tcPr>
          <w:p w14:paraId="61FC7BCF" w14:textId="77777777" w:rsidR="00BE7E05" w:rsidRPr="00853D04" w:rsidRDefault="00BE7E05">
            <w:pPr>
              <w:ind w:left="113" w:right="113"/>
              <w:jc w:val="center"/>
              <w:rPr>
                <w:noProof/>
                <w:sz w:val="18"/>
              </w:rPr>
            </w:pPr>
            <w:r w:rsidRPr="00853D04">
              <w:rPr>
                <w:noProof/>
                <w:sz w:val="18"/>
              </w:rPr>
              <w:t>Liczba</w:t>
            </w:r>
          </w:p>
        </w:tc>
        <w:tc>
          <w:tcPr>
            <w:tcW w:w="720" w:type="dxa"/>
            <w:tcBorders>
              <w:left w:val="dashSmallGap" w:sz="4" w:space="0" w:color="auto"/>
            </w:tcBorders>
            <w:shd w:val="clear" w:color="auto" w:fill="auto"/>
            <w:vAlign w:val="center"/>
          </w:tcPr>
          <w:p w14:paraId="2E26AEEF" w14:textId="77777777" w:rsidR="00BE7E05" w:rsidRPr="00853D04" w:rsidRDefault="00BE7E05">
            <w:pPr>
              <w:jc w:val="center"/>
              <w:rPr>
                <w:noProof/>
                <w:sz w:val="18"/>
              </w:rPr>
            </w:pPr>
            <w:r w:rsidRPr="00853D04">
              <w:rPr>
                <w:noProof/>
                <w:sz w:val="18"/>
              </w:rPr>
              <w:t>Koszt</w:t>
            </w:r>
          </w:p>
        </w:tc>
        <w:tc>
          <w:tcPr>
            <w:tcW w:w="900" w:type="dxa"/>
            <w:tcBorders>
              <w:right w:val="dashSmallGap" w:sz="4" w:space="0" w:color="auto"/>
            </w:tcBorders>
            <w:shd w:val="clear" w:color="auto" w:fill="auto"/>
            <w:textDirection w:val="btLr"/>
            <w:vAlign w:val="center"/>
          </w:tcPr>
          <w:p w14:paraId="1D11CE88" w14:textId="77777777" w:rsidR="00BE7E05" w:rsidRPr="00853D04" w:rsidRDefault="00BE7E05">
            <w:pPr>
              <w:ind w:left="113" w:right="113"/>
              <w:jc w:val="center"/>
              <w:rPr>
                <w:noProof/>
                <w:sz w:val="18"/>
              </w:rPr>
            </w:pPr>
            <w:r w:rsidRPr="00853D04">
              <w:rPr>
                <w:noProof/>
                <w:sz w:val="18"/>
              </w:rPr>
              <w:t>Liczba</w:t>
            </w:r>
          </w:p>
        </w:tc>
        <w:tc>
          <w:tcPr>
            <w:tcW w:w="720" w:type="dxa"/>
            <w:tcBorders>
              <w:left w:val="dashSmallGap" w:sz="4" w:space="0" w:color="auto"/>
            </w:tcBorders>
            <w:shd w:val="clear" w:color="auto" w:fill="auto"/>
            <w:vAlign w:val="center"/>
          </w:tcPr>
          <w:p w14:paraId="4F2D0ABA" w14:textId="77777777" w:rsidR="00BE7E05" w:rsidRPr="00853D04" w:rsidRDefault="00BE7E05">
            <w:pPr>
              <w:jc w:val="center"/>
              <w:rPr>
                <w:noProof/>
                <w:sz w:val="18"/>
              </w:rPr>
            </w:pPr>
            <w:r w:rsidRPr="00853D04">
              <w:rPr>
                <w:noProof/>
                <w:sz w:val="18"/>
              </w:rPr>
              <w:t>Koszt</w:t>
            </w:r>
          </w:p>
        </w:tc>
        <w:tc>
          <w:tcPr>
            <w:tcW w:w="540" w:type="dxa"/>
            <w:tcBorders>
              <w:right w:val="dashSmallGap" w:sz="4" w:space="0" w:color="auto"/>
            </w:tcBorders>
            <w:shd w:val="clear" w:color="auto" w:fill="auto"/>
            <w:textDirection w:val="btLr"/>
            <w:vAlign w:val="center"/>
          </w:tcPr>
          <w:p w14:paraId="0E015AD0" w14:textId="77777777" w:rsidR="00BE7E05" w:rsidRPr="00853D04" w:rsidRDefault="00BE7E05">
            <w:pPr>
              <w:ind w:left="113" w:right="113"/>
              <w:jc w:val="center"/>
              <w:rPr>
                <w:noProof/>
                <w:sz w:val="18"/>
              </w:rPr>
            </w:pPr>
            <w:r w:rsidRPr="00853D04">
              <w:rPr>
                <w:noProof/>
                <w:sz w:val="18"/>
              </w:rPr>
              <w:t>Liczba</w:t>
            </w:r>
          </w:p>
        </w:tc>
        <w:tc>
          <w:tcPr>
            <w:tcW w:w="648" w:type="dxa"/>
            <w:tcBorders>
              <w:left w:val="dashSmallGap" w:sz="4" w:space="0" w:color="auto"/>
            </w:tcBorders>
            <w:shd w:val="clear" w:color="auto" w:fill="auto"/>
            <w:vAlign w:val="center"/>
          </w:tcPr>
          <w:p w14:paraId="65059DD9" w14:textId="77777777" w:rsidR="00BE7E05" w:rsidRPr="00853D04" w:rsidRDefault="00BE7E05">
            <w:pPr>
              <w:jc w:val="center"/>
              <w:rPr>
                <w:noProof/>
                <w:sz w:val="18"/>
              </w:rPr>
            </w:pPr>
            <w:r w:rsidRPr="00853D04">
              <w:rPr>
                <w:noProof/>
                <w:sz w:val="18"/>
              </w:rPr>
              <w:t>Koszt</w:t>
            </w:r>
          </w:p>
        </w:tc>
        <w:tc>
          <w:tcPr>
            <w:tcW w:w="432" w:type="dxa"/>
            <w:gridSpan w:val="2"/>
            <w:tcBorders>
              <w:right w:val="dashSmallGap" w:sz="4" w:space="0" w:color="auto"/>
            </w:tcBorders>
            <w:shd w:val="clear" w:color="auto" w:fill="auto"/>
            <w:textDirection w:val="btLr"/>
            <w:vAlign w:val="center"/>
          </w:tcPr>
          <w:p w14:paraId="23858831" w14:textId="77777777" w:rsidR="00BE7E05" w:rsidRPr="00853D04" w:rsidRDefault="00BE7E05">
            <w:pPr>
              <w:ind w:left="113" w:right="113"/>
              <w:jc w:val="center"/>
              <w:rPr>
                <w:noProof/>
                <w:sz w:val="18"/>
              </w:rPr>
            </w:pPr>
            <w:r w:rsidRPr="00853D04">
              <w:rPr>
                <w:noProof/>
                <w:sz w:val="18"/>
              </w:rPr>
              <w:t>Liczba</w:t>
            </w:r>
          </w:p>
        </w:tc>
        <w:tc>
          <w:tcPr>
            <w:tcW w:w="720" w:type="dxa"/>
            <w:gridSpan w:val="2"/>
            <w:tcBorders>
              <w:left w:val="dashSmallGap" w:sz="4" w:space="0" w:color="auto"/>
            </w:tcBorders>
            <w:shd w:val="clear" w:color="auto" w:fill="auto"/>
            <w:vAlign w:val="center"/>
          </w:tcPr>
          <w:p w14:paraId="54C68B07" w14:textId="77777777" w:rsidR="00BE7E05" w:rsidRPr="00853D04" w:rsidRDefault="00BE7E05">
            <w:pPr>
              <w:jc w:val="center"/>
              <w:rPr>
                <w:noProof/>
                <w:sz w:val="18"/>
              </w:rPr>
            </w:pPr>
            <w:r w:rsidRPr="00853D04">
              <w:rPr>
                <w:noProof/>
                <w:sz w:val="18"/>
              </w:rPr>
              <w:t>Koszt</w:t>
            </w:r>
          </w:p>
        </w:tc>
        <w:tc>
          <w:tcPr>
            <w:tcW w:w="540" w:type="dxa"/>
            <w:tcBorders>
              <w:right w:val="dashSmallGap" w:sz="4" w:space="0" w:color="auto"/>
            </w:tcBorders>
            <w:shd w:val="clear" w:color="auto" w:fill="auto"/>
            <w:textDirection w:val="btLr"/>
            <w:vAlign w:val="center"/>
          </w:tcPr>
          <w:p w14:paraId="5FD07378" w14:textId="77777777" w:rsidR="00BE7E05" w:rsidRPr="00853D04" w:rsidRDefault="00BE7E05">
            <w:pPr>
              <w:ind w:left="113" w:right="113"/>
              <w:jc w:val="center"/>
              <w:rPr>
                <w:noProof/>
                <w:sz w:val="18"/>
              </w:rPr>
            </w:pPr>
            <w:r w:rsidRPr="00853D04">
              <w:rPr>
                <w:noProof/>
                <w:sz w:val="18"/>
              </w:rPr>
              <w:t>Liczba</w:t>
            </w:r>
          </w:p>
        </w:tc>
        <w:tc>
          <w:tcPr>
            <w:tcW w:w="720" w:type="dxa"/>
            <w:tcBorders>
              <w:left w:val="dashSmallGap" w:sz="4" w:space="0" w:color="auto"/>
            </w:tcBorders>
            <w:shd w:val="clear" w:color="auto" w:fill="auto"/>
            <w:vAlign w:val="center"/>
          </w:tcPr>
          <w:p w14:paraId="5AEA99F5" w14:textId="77777777" w:rsidR="00BE7E05" w:rsidRPr="00853D04" w:rsidRDefault="00BE7E05">
            <w:pPr>
              <w:jc w:val="center"/>
              <w:rPr>
                <w:noProof/>
                <w:sz w:val="18"/>
              </w:rPr>
            </w:pPr>
            <w:r w:rsidRPr="00853D04">
              <w:rPr>
                <w:noProof/>
                <w:sz w:val="18"/>
              </w:rPr>
              <w:t>Koszt</w:t>
            </w:r>
          </w:p>
        </w:tc>
        <w:tc>
          <w:tcPr>
            <w:tcW w:w="720" w:type="dxa"/>
            <w:tcBorders>
              <w:right w:val="dashSmallGap" w:sz="4" w:space="0" w:color="auto"/>
            </w:tcBorders>
            <w:shd w:val="clear" w:color="auto" w:fill="auto"/>
            <w:vAlign w:val="center"/>
          </w:tcPr>
          <w:p w14:paraId="75214443" w14:textId="77777777" w:rsidR="00BE7E05" w:rsidRPr="00853D04" w:rsidRDefault="00BE7E05">
            <w:pPr>
              <w:jc w:val="center"/>
              <w:rPr>
                <w:noProof/>
                <w:sz w:val="18"/>
              </w:rPr>
            </w:pPr>
            <w:r w:rsidRPr="00853D04">
              <w:rPr>
                <w:noProof/>
                <w:sz w:val="18"/>
              </w:rPr>
              <w:t>Liczba ogółem</w:t>
            </w:r>
          </w:p>
        </w:tc>
        <w:tc>
          <w:tcPr>
            <w:tcW w:w="900" w:type="dxa"/>
            <w:tcBorders>
              <w:left w:val="dashSmallGap" w:sz="4" w:space="0" w:color="auto"/>
            </w:tcBorders>
            <w:shd w:val="clear" w:color="auto" w:fill="auto"/>
            <w:vAlign w:val="center"/>
          </w:tcPr>
          <w:p w14:paraId="1844ACA3" w14:textId="77777777" w:rsidR="00BE7E05" w:rsidRPr="00853D04" w:rsidRDefault="00BE7E05">
            <w:pPr>
              <w:jc w:val="center"/>
              <w:rPr>
                <w:noProof/>
                <w:sz w:val="18"/>
              </w:rPr>
            </w:pPr>
            <w:r w:rsidRPr="00853D04">
              <w:rPr>
                <w:noProof/>
                <w:sz w:val="18"/>
              </w:rPr>
              <w:t>Koszt całkowity</w:t>
            </w:r>
          </w:p>
        </w:tc>
      </w:tr>
      <w:tr w:rsidR="00BE7E05" w:rsidRPr="00853D04" w14:paraId="73478BA8" w14:textId="77777777" w:rsidTr="718FF3BF">
        <w:trPr>
          <w:jc w:val="center"/>
        </w:trPr>
        <w:tc>
          <w:tcPr>
            <w:tcW w:w="2844" w:type="dxa"/>
            <w:gridSpan w:val="3"/>
            <w:vAlign w:val="center"/>
          </w:tcPr>
          <w:p w14:paraId="1172EB25" w14:textId="4EF33932" w:rsidR="00BE7E05" w:rsidRPr="00853D04" w:rsidRDefault="00BE7E05">
            <w:pPr>
              <w:spacing w:before="60" w:after="60"/>
              <w:ind w:right="-29"/>
              <w:jc w:val="center"/>
              <w:rPr>
                <w:noProof/>
                <w:sz w:val="18"/>
              </w:rPr>
            </w:pPr>
            <w:r w:rsidRPr="00853D04">
              <w:rPr>
                <w:noProof/>
                <w:sz w:val="18"/>
              </w:rPr>
              <w:t xml:space="preserve">CELE SZCZEGÓŁOWE </w:t>
            </w:r>
            <w:r w:rsidRPr="00C13C75">
              <w:rPr>
                <w:noProof/>
                <w:sz w:val="18"/>
              </w:rPr>
              <w:t>nr</w:t>
            </w:r>
            <w:r w:rsidR="00C13C75" w:rsidRPr="00C13C75">
              <w:rPr>
                <w:noProof/>
                <w:sz w:val="18"/>
              </w:rPr>
              <w:t> </w:t>
            </w:r>
            <w:r w:rsidRPr="00C13C75">
              <w:rPr>
                <w:noProof/>
                <w:sz w:val="18"/>
              </w:rPr>
              <w:t>1</w:t>
            </w:r>
            <w:r w:rsidR="00C13C75" w:rsidRPr="00853D04">
              <w:rPr>
                <w:noProof/>
                <w:sz w:val="18"/>
              </w:rPr>
              <w:t xml:space="preserve"> i</w:t>
            </w:r>
            <w:r w:rsidR="00C13C75">
              <w:rPr>
                <w:noProof/>
                <w:sz w:val="18"/>
              </w:rPr>
              <w:t> </w:t>
            </w:r>
            <w:r w:rsidR="00C13C75" w:rsidRPr="00853D04">
              <w:rPr>
                <w:noProof/>
                <w:sz w:val="18"/>
              </w:rPr>
              <w:t>2</w:t>
            </w:r>
          </w:p>
        </w:tc>
        <w:tc>
          <w:tcPr>
            <w:tcW w:w="504" w:type="dxa"/>
            <w:tcBorders>
              <w:top w:val="nil"/>
              <w:left w:val="nil"/>
              <w:bottom w:val="nil"/>
              <w:right w:val="nil"/>
            </w:tcBorders>
          </w:tcPr>
          <w:p w14:paraId="00B3ABDC" w14:textId="77777777" w:rsidR="00BE7E05" w:rsidRPr="00853D04" w:rsidRDefault="00BE7E05">
            <w:pPr>
              <w:spacing w:before="60" w:after="60"/>
              <w:ind w:right="-29"/>
              <w:jc w:val="center"/>
              <w:rPr>
                <w:noProof/>
                <w:sz w:val="18"/>
              </w:rPr>
            </w:pPr>
          </w:p>
        </w:tc>
        <w:tc>
          <w:tcPr>
            <w:tcW w:w="720" w:type="dxa"/>
            <w:tcBorders>
              <w:top w:val="nil"/>
              <w:left w:val="nil"/>
              <w:bottom w:val="nil"/>
              <w:right w:val="nil"/>
            </w:tcBorders>
          </w:tcPr>
          <w:p w14:paraId="07D4B9FE" w14:textId="77777777" w:rsidR="00BE7E05" w:rsidRPr="00853D04" w:rsidRDefault="00BE7E05">
            <w:pPr>
              <w:spacing w:before="60" w:after="60"/>
              <w:ind w:right="-29"/>
              <w:jc w:val="center"/>
              <w:rPr>
                <w:noProof/>
                <w:sz w:val="18"/>
              </w:rPr>
            </w:pPr>
          </w:p>
        </w:tc>
        <w:tc>
          <w:tcPr>
            <w:tcW w:w="540" w:type="dxa"/>
            <w:tcBorders>
              <w:top w:val="nil"/>
              <w:left w:val="nil"/>
              <w:bottom w:val="nil"/>
              <w:right w:val="nil"/>
            </w:tcBorders>
          </w:tcPr>
          <w:p w14:paraId="06EFF90E" w14:textId="77777777" w:rsidR="00BE7E05" w:rsidRPr="00853D04" w:rsidRDefault="00BE7E05">
            <w:pPr>
              <w:spacing w:before="60" w:after="60"/>
              <w:ind w:right="-29"/>
              <w:jc w:val="center"/>
              <w:rPr>
                <w:noProof/>
                <w:sz w:val="18"/>
              </w:rPr>
            </w:pPr>
          </w:p>
        </w:tc>
        <w:tc>
          <w:tcPr>
            <w:tcW w:w="720" w:type="dxa"/>
            <w:tcBorders>
              <w:top w:val="nil"/>
              <w:left w:val="nil"/>
              <w:bottom w:val="nil"/>
              <w:right w:val="nil"/>
            </w:tcBorders>
          </w:tcPr>
          <w:p w14:paraId="3F323A68" w14:textId="77777777" w:rsidR="00BE7E05" w:rsidRPr="00853D04" w:rsidRDefault="00BE7E05">
            <w:pPr>
              <w:spacing w:before="60" w:after="60"/>
              <w:ind w:right="-29"/>
              <w:jc w:val="center"/>
              <w:rPr>
                <w:noProof/>
                <w:sz w:val="18"/>
              </w:rPr>
            </w:pPr>
          </w:p>
        </w:tc>
        <w:tc>
          <w:tcPr>
            <w:tcW w:w="720" w:type="dxa"/>
            <w:tcBorders>
              <w:top w:val="nil"/>
              <w:left w:val="nil"/>
              <w:bottom w:val="nil"/>
              <w:right w:val="nil"/>
            </w:tcBorders>
          </w:tcPr>
          <w:p w14:paraId="04F77F57" w14:textId="77777777" w:rsidR="00BE7E05" w:rsidRPr="00853D04" w:rsidRDefault="00BE7E05">
            <w:pPr>
              <w:spacing w:before="60" w:after="60"/>
              <w:ind w:right="-29"/>
              <w:jc w:val="center"/>
              <w:rPr>
                <w:noProof/>
                <w:sz w:val="18"/>
              </w:rPr>
            </w:pPr>
          </w:p>
        </w:tc>
        <w:tc>
          <w:tcPr>
            <w:tcW w:w="720" w:type="dxa"/>
            <w:tcBorders>
              <w:top w:val="nil"/>
              <w:left w:val="nil"/>
              <w:bottom w:val="nil"/>
              <w:right w:val="nil"/>
            </w:tcBorders>
          </w:tcPr>
          <w:p w14:paraId="25DCD66B" w14:textId="77777777" w:rsidR="00BE7E05" w:rsidRPr="00853D04" w:rsidRDefault="00BE7E05">
            <w:pPr>
              <w:spacing w:before="60" w:after="60"/>
              <w:ind w:right="-29"/>
              <w:jc w:val="center"/>
              <w:rPr>
                <w:noProof/>
                <w:sz w:val="18"/>
              </w:rPr>
            </w:pPr>
          </w:p>
        </w:tc>
        <w:tc>
          <w:tcPr>
            <w:tcW w:w="900" w:type="dxa"/>
            <w:tcBorders>
              <w:top w:val="nil"/>
              <w:left w:val="nil"/>
              <w:bottom w:val="nil"/>
              <w:right w:val="nil"/>
            </w:tcBorders>
          </w:tcPr>
          <w:p w14:paraId="241A87FC" w14:textId="77777777" w:rsidR="00BE7E05" w:rsidRPr="00853D04" w:rsidRDefault="00BE7E05">
            <w:pPr>
              <w:spacing w:before="60" w:after="60"/>
              <w:ind w:right="-29"/>
              <w:jc w:val="center"/>
              <w:rPr>
                <w:noProof/>
                <w:sz w:val="18"/>
              </w:rPr>
            </w:pPr>
          </w:p>
        </w:tc>
        <w:tc>
          <w:tcPr>
            <w:tcW w:w="720" w:type="dxa"/>
            <w:tcBorders>
              <w:top w:val="nil"/>
              <w:left w:val="nil"/>
              <w:bottom w:val="nil"/>
              <w:right w:val="nil"/>
            </w:tcBorders>
          </w:tcPr>
          <w:p w14:paraId="28DFA278" w14:textId="77777777" w:rsidR="00BE7E05" w:rsidRPr="00853D04" w:rsidRDefault="00BE7E05">
            <w:pPr>
              <w:spacing w:before="60" w:after="60"/>
              <w:ind w:right="-29"/>
              <w:jc w:val="center"/>
              <w:rPr>
                <w:noProof/>
                <w:sz w:val="18"/>
              </w:rPr>
            </w:pPr>
          </w:p>
        </w:tc>
        <w:tc>
          <w:tcPr>
            <w:tcW w:w="540" w:type="dxa"/>
            <w:tcBorders>
              <w:top w:val="nil"/>
              <w:left w:val="nil"/>
              <w:bottom w:val="nil"/>
              <w:right w:val="nil"/>
            </w:tcBorders>
          </w:tcPr>
          <w:p w14:paraId="266899DB" w14:textId="77777777" w:rsidR="00BE7E05" w:rsidRPr="00853D04" w:rsidRDefault="00BE7E05">
            <w:pPr>
              <w:spacing w:before="60" w:after="60"/>
              <w:ind w:right="-29"/>
              <w:jc w:val="center"/>
              <w:rPr>
                <w:noProof/>
                <w:sz w:val="18"/>
              </w:rPr>
            </w:pPr>
          </w:p>
        </w:tc>
        <w:tc>
          <w:tcPr>
            <w:tcW w:w="648" w:type="dxa"/>
            <w:tcBorders>
              <w:top w:val="nil"/>
              <w:left w:val="nil"/>
              <w:bottom w:val="nil"/>
              <w:right w:val="nil"/>
            </w:tcBorders>
          </w:tcPr>
          <w:p w14:paraId="15E32C3F" w14:textId="77777777" w:rsidR="00BE7E05" w:rsidRPr="00853D04" w:rsidRDefault="00BE7E05">
            <w:pPr>
              <w:spacing w:before="60" w:after="60"/>
              <w:ind w:right="-29"/>
              <w:jc w:val="center"/>
              <w:rPr>
                <w:noProof/>
                <w:sz w:val="18"/>
              </w:rPr>
            </w:pPr>
          </w:p>
        </w:tc>
        <w:tc>
          <w:tcPr>
            <w:tcW w:w="432" w:type="dxa"/>
            <w:gridSpan w:val="2"/>
            <w:tcBorders>
              <w:top w:val="nil"/>
              <w:left w:val="nil"/>
              <w:bottom w:val="nil"/>
              <w:right w:val="nil"/>
            </w:tcBorders>
          </w:tcPr>
          <w:p w14:paraId="47251D84" w14:textId="77777777" w:rsidR="00BE7E05" w:rsidRPr="00853D04" w:rsidRDefault="00BE7E05">
            <w:pPr>
              <w:spacing w:before="60" w:after="60"/>
              <w:ind w:right="-29"/>
              <w:jc w:val="center"/>
              <w:rPr>
                <w:noProof/>
                <w:sz w:val="18"/>
              </w:rPr>
            </w:pPr>
          </w:p>
        </w:tc>
        <w:tc>
          <w:tcPr>
            <w:tcW w:w="720" w:type="dxa"/>
            <w:gridSpan w:val="2"/>
            <w:tcBorders>
              <w:top w:val="nil"/>
              <w:left w:val="nil"/>
              <w:bottom w:val="nil"/>
              <w:right w:val="nil"/>
            </w:tcBorders>
          </w:tcPr>
          <w:p w14:paraId="75EA265E" w14:textId="77777777" w:rsidR="00BE7E05" w:rsidRPr="00853D04" w:rsidRDefault="00BE7E05">
            <w:pPr>
              <w:spacing w:before="60" w:after="60"/>
              <w:ind w:right="-29"/>
              <w:jc w:val="center"/>
              <w:rPr>
                <w:noProof/>
                <w:sz w:val="18"/>
              </w:rPr>
            </w:pPr>
          </w:p>
        </w:tc>
        <w:tc>
          <w:tcPr>
            <w:tcW w:w="540" w:type="dxa"/>
            <w:tcBorders>
              <w:top w:val="nil"/>
              <w:left w:val="nil"/>
              <w:bottom w:val="nil"/>
              <w:right w:val="nil"/>
            </w:tcBorders>
          </w:tcPr>
          <w:p w14:paraId="32CEE70D" w14:textId="77777777" w:rsidR="00BE7E05" w:rsidRPr="00853D04" w:rsidRDefault="00BE7E05">
            <w:pPr>
              <w:spacing w:before="60" w:after="60"/>
              <w:ind w:right="-29"/>
              <w:jc w:val="center"/>
              <w:rPr>
                <w:noProof/>
                <w:sz w:val="18"/>
              </w:rPr>
            </w:pPr>
          </w:p>
        </w:tc>
        <w:tc>
          <w:tcPr>
            <w:tcW w:w="720" w:type="dxa"/>
            <w:tcBorders>
              <w:top w:val="nil"/>
              <w:left w:val="nil"/>
              <w:bottom w:val="nil"/>
              <w:right w:val="nil"/>
            </w:tcBorders>
          </w:tcPr>
          <w:p w14:paraId="46829DC9" w14:textId="77777777" w:rsidR="00BE7E05" w:rsidRPr="00853D04" w:rsidRDefault="00BE7E05">
            <w:pPr>
              <w:spacing w:before="60" w:after="60"/>
              <w:ind w:right="-29"/>
              <w:jc w:val="center"/>
              <w:rPr>
                <w:noProof/>
                <w:sz w:val="18"/>
              </w:rPr>
            </w:pPr>
          </w:p>
        </w:tc>
        <w:tc>
          <w:tcPr>
            <w:tcW w:w="720" w:type="dxa"/>
            <w:tcBorders>
              <w:top w:val="nil"/>
              <w:left w:val="nil"/>
              <w:bottom w:val="nil"/>
              <w:right w:val="nil"/>
            </w:tcBorders>
          </w:tcPr>
          <w:p w14:paraId="1BEC0D7A" w14:textId="77777777" w:rsidR="00BE7E05" w:rsidRPr="00853D04" w:rsidRDefault="00BE7E05">
            <w:pPr>
              <w:spacing w:before="60" w:after="60"/>
              <w:ind w:right="-29"/>
              <w:jc w:val="center"/>
              <w:rPr>
                <w:noProof/>
                <w:sz w:val="18"/>
              </w:rPr>
            </w:pPr>
          </w:p>
        </w:tc>
        <w:tc>
          <w:tcPr>
            <w:tcW w:w="900" w:type="dxa"/>
            <w:tcBorders>
              <w:top w:val="nil"/>
              <w:left w:val="nil"/>
              <w:bottom w:val="nil"/>
              <w:right w:val="nil"/>
            </w:tcBorders>
          </w:tcPr>
          <w:p w14:paraId="49CDB28C" w14:textId="77777777" w:rsidR="00BE7E05" w:rsidRPr="00853D04" w:rsidRDefault="00BE7E05">
            <w:pPr>
              <w:spacing w:before="60" w:after="60"/>
              <w:ind w:right="-29"/>
              <w:jc w:val="center"/>
              <w:rPr>
                <w:noProof/>
                <w:sz w:val="18"/>
              </w:rPr>
            </w:pPr>
          </w:p>
        </w:tc>
      </w:tr>
      <w:tr w:rsidR="00E46E67" w:rsidRPr="00853D04" w14:paraId="26E67AFB" w14:textId="77777777" w:rsidTr="718FF3BF">
        <w:trPr>
          <w:trHeight w:hRule="exact" w:val="864"/>
          <w:jc w:val="center"/>
        </w:trPr>
        <w:tc>
          <w:tcPr>
            <w:tcW w:w="1423" w:type="dxa"/>
            <w:shd w:val="clear" w:color="auto" w:fill="auto"/>
          </w:tcPr>
          <w:p w14:paraId="1AC5B454" w14:textId="77777777" w:rsidR="00E46E67" w:rsidRPr="00853D04" w:rsidRDefault="00E46E67" w:rsidP="00E46E67">
            <w:pPr>
              <w:ind w:right="-29"/>
              <w:rPr>
                <w:noProof/>
                <w:sz w:val="18"/>
              </w:rPr>
            </w:pPr>
            <w:r w:rsidRPr="00853D04">
              <w:rPr>
                <w:noProof/>
                <w:sz w:val="18"/>
              </w:rPr>
              <w:t>Opracowanie modułu IMI</w:t>
            </w:r>
          </w:p>
        </w:tc>
        <w:tc>
          <w:tcPr>
            <w:tcW w:w="720" w:type="dxa"/>
            <w:shd w:val="clear" w:color="auto" w:fill="auto"/>
          </w:tcPr>
          <w:p w14:paraId="2DA3BD94" w14:textId="77777777" w:rsidR="00E46E67" w:rsidRPr="00853D04" w:rsidRDefault="00E46E67" w:rsidP="00E46E67">
            <w:pPr>
              <w:ind w:right="-29"/>
              <w:jc w:val="center"/>
              <w:rPr>
                <w:noProof/>
                <w:sz w:val="18"/>
              </w:rPr>
            </w:pPr>
            <w:r w:rsidRPr="00853D04">
              <w:rPr>
                <w:noProof/>
                <w:sz w:val="18"/>
              </w:rPr>
              <w:t>System informatyczny</w:t>
            </w:r>
          </w:p>
        </w:tc>
        <w:tc>
          <w:tcPr>
            <w:tcW w:w="701" w:type="dxa"/>
          </w:tcPr>
          <w:p w14:paraId="7DACA00B" w14:textId="77777777" w:rsidR="00E46E67" w:rsidRPr="00853D04" w:rsidRDefault="00E46E67" w:rsidP="00E46E67">
            <w:pPr>
              <w:ind w:right="-29"/>
              <w:jc w:val="center"/>
              <w:rPr>
                <w:noProof/>
                <w:sz w:val="18"/>
              </w:rPr>
            </w:pPr>
            <w:r w:rsidRPr="00853D04">
              <w:rPr>
                <w:noProof/>
                <w:sz w:val="20"/>
              </w:rPr>
              <w:t>0,125</w:t>
            </w:r>
          </w:p>
        </w:tc>
        <w:tc>
          <w:tcPr>
            <w:tcW w:w="504" w:type="dxa"/>
            <w:tcBorders>
              <w:right w:val="dashSmallGap" w:sz="4" w:space="0" w:color="auto"/>
            </w:tcBorders>
          </w:tcPr>
          <w:p w14:paraId="6284B88F" w14:textId="77777777" w:rsidR="00E46E67" w:rsidRPr="00853D04" w:rsidRDefault="00E46E67" w:rsidP="00E46E67">
            <w:pPr>
              <w:ind w:right="-29"/>
              <w:jc w:val="center"/>
              <w:rPr>
                <w:noProof/>
                <w:sz w:val="18"/>
              </w:rPr>
            </w:pPr>
            <w:r w:rsidRPr="00853D04">
              <w:rPr>
                <w:noProof/>
                <w:sz w:val="20"/>
              </w:rPr>
              <w:t>1</w:t>
            </w:r>
          </w:p>
        </w:tc>
        <w:tc>
          <w:tcPr>
            <w:tcW w:w="720" w:type="dxa"/>
            <w:tcBorders>
              <w:left w:val="dashSmallGap" w:sz="4" w:space="0" w:color="auto"/>
            </w:tcBorders>
          </w:tcPr>
          <w:p w14:paraId="18A93BD0" w14:textId="77777777" w:rsidR="00E46E67" w:rsidRPr="00853D04" w:rsidRDefault="00E46E67" w:rsidP="00E46E67">
            <w:pPr>
              <w:ind w:right="-29"/>
              <w:jc w:val="center"/>
              <w:rPr>
                <w:noProof/>
                <w:sz w:val="18"/>
              </w:rPr>
            </w:pPr>
            <w:r w:rsidRPr="00853D04">
              <w:rPr>
                <w:noProof/>
                <w:sz w:val="20"/>
              </w:rPr>
              <w:t>0,125</w:t>
            </w:r>
          </w:p>
        </w:tc>
        <w:tc>
          <w:tcPr>
            <w:tcW w:w="540" w:type="dxa"/>
            <w:tcBorders>
              <w:right w:val="dashSmallGap" w:sz="4" w:space="0" w:color="auto"/>
            </w:tcBorders>
          </w:tcPr>
          <w:p w14:paraId="2F6869B0" w14:textId="77777777" w:rsidR="00E46E67" w:rsidRPr="00853D04" w:rsidRDefault="00E46E67" w:rsidP="00E46E67">
            <w:pPr>
              <w:ind w:right="-29"/>
              <w:jc w:val="center"/>
              <w:rPr>
                <w:noProof/>
                <w:sz w:val="18"/>
              </w:rPr>
            </w:pPr>
            <w:r w:rsidRPr="00853D04">
              <w:rPr>
                <w:noProof/>
                <w:sz w:val="20"/>
              </w:rPr>
              <w:t>1</w:t>
            </w:r>
          </w:p>
        </w:tc>
        <w:tc>
          <w:tcPr>
            <w:tcW w:w="720" w:type="dxa"/>
            <w:tcBorders>
              <w:left w:val="dashSmallGap" w:sz="4" w:space="0" w:color="auto"/>
            </w:tcBorders>
          </w:tcPr>
          <w:p w14:paraId="53AB5795" w14:textId="77777777" w:rsidR="00E46E67" w:rsidRPr="00853D04" w:rsidRDefault="00E46E67" w:rsidP="00E46E67">
            <w:pPr>
              <w:ind w:right="-29"/>
              <w:jc w:val="center"/>
              <w:rPr>
                <w:noProof/>
                <w:sz w:val="18"/>
              </w:rPr>
            </w:pPr>
            <w:r w:rsidRPr="00853D04">
              <w:rPr>
                <w:noProof/>
                <w:sz w:val="20"/>
              </w:rPr>
              <w:t>0,125</w:t>
            </w:r>
          </w:p>
        </w:tc>
        <w:tc>
          <w:tcPr>
            <w:tcW w:w="720" w:type="dxa"/>
            <w:tcBorders>
              <w:right w:val="dashSmallGap" w:sz="4" w:space="0" w:color="auto"/>
            </w:tcBorders>
          </w:tcPr>
          <w:p w14:paraId="6F4BD661" w14:textId="77777777" w:rsidR="00E46E67" w:rsidRPr="00853D04" w:rsidRDefault="00E46E67" w:rsidP="00E46E67">
            <w:pPr>
              <w:ind w:right="-29"/>
              <w:jc w:val="center"/>
              <w:rPr>
                <w:noProof/>
                <w:sz w:val="18"/>
              </w:rPr>
            </w:pPr>
          </w:p>
        </w:tc>
        <w:tc>
          <w:tcPr>
            <w:tcW w:w="720" w:type="dxa"/>
            <w:tcBorders>
              <w:left w:val="dashSmallGap" w:sz="4" w:space="0" w:color="auto"/>
            </w:tcBorders>
          </w:tcPr>
          <w:p w14:paraId="4B6C2C9E" w14:textId="77777777" w:rsidR="00E46E67" w:rsidRPr="00853D04" w:rsidRDefault="00E46E67" w:rsidP="00E46E67">
            <w:pPr>
              <w:ind w:right="-29"/>
              <w:jc w:val="center"/>
              <w:rPr>
                <w:noProof/>
                <w:sz w:val="18"/>
              </w:rPr>
            </w:pPr>
          </w:p>
        </w:tc>
        <w:tc>
          <w:tcPr>
            <w:tcW w:w="900" w:type="dxa"/>
            <w:tcBorders>
              <w:right w:val="dashSmallGap" w:sz="4" w:space="0" w:color="auto"/>
            </w:tcBorders>
          </w:tcPr>
          <w:p w14:paraId="0FF87A19" w14:textId="77777777" w:rsidR="00E46E67" w:rsidRPr="00853D04" w:rsidRDefault="00E46E67" w:rsidP="00E46E67">
            <w:pPr>
              <w:ind w:right="-29"/>
              <w:jc w:val="center"/>
              <w:rPr>
                <w:noProof/>
                <w:sz w:val="18"/>
              </w:rPr>
            </w:pPr>
          </w:p>
        </w:tc>
        <w:tc>
          <w:tcPr>
            <w:tcW w:w="720" w:type="dxa"/>
            <w:tcBorders>
              <w:left w:val="dashSmallGap" w:sz="4" w:space="0" w:color="auto"/>
            </w:tcBorders>
          </w:tcPr>
          <w:p w14:paraId="4A70DC9C" w14:textId="77777777" w:rsidR="00E46E67" w:rsidRPr="00853D04" w:rsidRDefault="00E46E67" w:rsidP="00E46E67">
            <w:pPr>
              <w:ind w:right="-29"/>
              <w:jc w:val="center"/>
              <w:rPr>
                <w:noProof/>
                <w:sz w:val="18"/>
              </w:rPr>
            </w:pPr>
          </w:p>
        </w:tc>
        <w:tc>
          <w:tcPr>
            <w:tcW w:w="540" w:type="dxa"/>
            <w:tcBorders>
              <w:right w:val="dashSmallGap" w:sz="4" w:space="0" w:color="auto"/>
            </w:tcBorders>
          </w:tcPr>
          <w:p w14:paraId="66CC2A1B" w14:textId="77777777" w:rsidR="00E46E67" w:rsidRPr="00853D04" w:rsidRDefault="00E46E67" w:rsidP="00E46E67">
            <w:pPr>
              <w:ind w:right="-29"/>
              <w:jc w:val="center"/>
              <w:rPr>
                <w:noProof/>
                <w:sz w:val="18"/>
              </w:rPr>
            </w:pPr>
          </w:p>
        </w:tc>
        <w:tc>
          <w:tcPr>
            <w:tcW w:w="648" w:type="dxa"/>
            <w:tcBorders>
              <w:left w:val="dashSmallGap" w:sz="4" w:space="0" w:color="auto"/>
            </w:tcBorders>
          </w:tcPr>
          <w:p w14:paraId="41783B0E" w14:textId="77777777" w:rsidR="00E46E67" w:rsidRPr="00853D04" w:rsidRDefault="00E46E67" w:rsidP="00E46E67">
            <w:pPr>
              <w:ind w:right="-29"/>
              <w:jc w:val="center"/>
              <w:rPr>
                <w:noProof/>
                <w:sz w:val="18"/>
              </w:rPr>
            </w:pPr>
          </w:p>
        </w:tc>
        <w:tc>
          <w:tcPr>
            <w:tcW w:w="432" w:type="dxa"/>
            <w:gridSpan w:val="2"/>
            <w:tcBorders>
              <w:right w:val="dashSmallGap" w:sz="4" w:space="0" w:color="auto"/>
            </w:tcBorders>
          </w:tcPr>
          <w:p w14:paraId="3C7E5B7B" w14:textId="77777777" w:rsidR="00E46E67" w:rsidRPr="00853D04" w:rsidRDefault="00E46E67" w:rsidP="00E46E67">
            <w:pPr>
              <w:ind w:right="-29"/>
              <w:jc w:val="center"/>
              <w:rPr>
                <w:noProof/>
                <w:sz w:val="18"/>
              </w:rPr>
            </w:pPr>
          </w:p>
        </w:tc>
        <w:tc>
          <w:tcPr>
            <w:tcW w:w="720" w:type="dxa"/>
            <w:gridSpan w:val="2"/>
            <w:tcBorders>
              <w:left w:val="dashSmallGap" w:sz="4" w:space="0" w:color="auto"/>
            </w:tcBorders>
          </w:tcPr>
          <w:p w14:paraId="56885DE4" w14:textId="77777777" w:rsidR="00E46E67" w:rsidRPr="00853D04" w:rsidRDefault="00E46E67" w:rsidP="00E46E67">
            <w:pPr>
              <w:ind w:right="-29"/>
              <w:jc w:val="center"/>
              <w:rPr>
                <w:noProof/>
                <w:sz w:val="18"/>
              </w:rPr>
            </w:pPr>
          </w:p>
        </w:tc>
        <w:tc>
          <w:tcPr>
            <w:tcW w:w="540" w:type="dxa"/>
            <w:tcBorders>
              <w:right w:val="dashSmallGap" w:sz="4" w:space="0" w:color="auto"/>
            </w:tcBorders>
          </w:tcPr>
          <w:p w14:paraId="4886D65C" w14:textId="77777777" w:rsidR="00E46E67" w:rsidRPr="00853D04" w:rsidRDefault="00E46E67" w:rsidP="00E46E67">
            <w:pPr>
              <w:ind w:right="-29"/>
              <w:jc w:val="center"/>
              <w:rPr>
                <w:noProof/>
                <w:sz w:val="18"/>
              </w:rPr>
            </w:pPr>
          </w:p>
        </w:tc>
        <w:tc>
          <w:tcPr>
            <w:tcW w:w="720" w:type="dxa"/>
            <w:tcBorders>
              <w:left w:val="dashSmallGap" w:sz="4" w:space="0" w:color="auto"/>
            </w:tcBorders>
          </w:tcPr>
          <w:p w14:paraId="77DA5BCA" w14:textId="77777777" w:rsidR="00E46E67" w:rsidRPr="00853D04" w:rsidRDefault="00E46E67" w:rsidP="00E46E67">
            <w:pPr>
              <w:ind w:right="-29"/>
              <w:jc w:val="center"/>
              <w:rPr>
                <w:noProof/>
                <w:sz w:val="18"/>
              </w:rPr>
            </w:pPr>
          </w:p>
        </w:tc>
        <w:tc>
          <w:tcPr>
            <w:tcW w:w="720" w:type="dxa"/>
          </w:tcPr>
          <w:p w14:paraId="0F004275" w14:textId="77777777" w:rsidR="00E46E67" w:rsidRPr="00853D04" w:rsidRDefault="00E46E67" w:rsidP="00E46E67">
            <w:pPr>
              <w:ind w:right="-29"/>
              <w:jc w:val="center"/>
              <w:rPr>
                <w:noProof/>
                <w:sz w:val="18"/>
              </w:rPr>
            </w:pPr>
            <w:r w:rsidRPr="00853D04">
              <w:rPr>
                <w:noProof/>
                <w:sz w:val="20"/>
              </w:rPr>
              <w:t>1</w:t>
            </w:r>
          </w:p>
        </w:tc>
        <w:tc>
          <w:tcPr>
            <w:tcW w:w="900" w:type="dxa"/>
          </w:tcPr>
          <w:p w14:paraId="18022F8A" w14:textId="77777777" w:rsidR="00E46E67" w:rsidRPr="00853D04" w:rsidRDefault="00E46E67" w:rsidP="00E46E67">
            <w:pPr>
              <w:ind w:right="-29"/>
              <w:jc w:val="center"/>
              <w:rPr>
                <w:noProof/>
                <w:sz w:val="18"/>
              </w:rPr>
            </w:pPr>
            <w:r w:rsidRPr="00853D04">
              <w:rPr>
                <w:noProof/>
                <w:sz w:val="20"/>
              </w:rPr>
              <w:t>0,25</w:t>
            </w:r>
          </w:p>
        </w:tc>
      </w:tr>
      <w:tr w:rsidR="00EB6834" w:rsidRPr="00853D04" w14:paraId="021C2B93" w14:textId="77777777" w:rsidTr="14572E28">
        <w:trPr>
          <w:trHeight w:val="1212"/>
          <w:jc w:val="center"/>
        </w:trPr>
        <w:tc>
          <w:tcPr>
            <w:tcW w:w="1423" w:type="dxa"/>
            <w:tcBorders>
              <w:top w:val="single" w:sz="4" w:space="0" w:color="auto"/>
              <w:left w:val="single" w:sz="4" w:space="0" w:color="auto"/>
              <w:bottom w:val="single" w:sz="4" w:space="0" w:color="auto"/>
              <w:right w:val="single" w:sz="4" w:space="0" w:color="auto"/>
            </w:tcBorders>
            <w:shd w:val="clear" w:color="auto" w:fill="auto"/>
          </w:tcPr>
          <w:p w14:paraId="7308AB59" w14:textId="77777777" w:rsidR="0085004E" w:rsidRPr="00853D04" w:rsidRDefault="00574385" w:rsidP="0085004E">
            <w:pPr>
              <w:ind w:right="-29"/>
              <w:rPr>
                <w:noProof/>
                <w:sz w:val="18"/>
              </w:rPr>
            </w:pPr>
            <w:r w:rsidRPr="00853D04">
              <w:rPr>
                <w:noProof/>
                <w:sz w:val="18"/>
              </w:rPr>
              <w:t xml:space="preserve">Koszty rozwoju jednolitego portalu cyfrowego/portalu Your Europe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A27011" w14:textId="77777777" w:rsidR="0085004E" w:rsidRPr="00853D04" w:rsidRDefault="00414ED9" w:rsidP="0085004E">
            <w:pPr>
              <w:ind w:right="-29"/>
              <w:jc w:val="center"/>
              <w:rPr>
                <w:noProof/>
                <w:sz w:val="18"/>
              </w:rPr>
            </w:pPr>
            <w:r w:rsidRPr="00853D04">
              <w:rPr>
                <w:noProof/>
                <w:sz w:val="18"/>
              </w:rPr>
              <w:t>System informatyczny</w:t>
            </w:r>
          </w:p>
        </w:tc>
        <w:tc>
          <w:tcPr>
            <w:tcW w:w="701" w:type="dxa"/>
            <w:tcBorders>
              <w:top w:val="single" w:sz="4" w:space="0" w:color="auto"/>
              <w:left w:val="single" w:sz="4" w:space="0" w:color="auto"/>
              <w:bottom w:val="single" w:sz="4" w:space="0" w:color="auto"/>
              <w:right w:val="single" w:sz="4" w:space="0" w:color="auto"/>
            </w:tcBorders>
            <w:vAlign w:val="center"/>
          </w:tcPr>
          <w:p w14:paraId="28B20409" w14:textId="77777777" w:rsidR="0085004E" w:rsidRPr="00853D04" w:rsidRDefault="002D69CF" w:rsidP="00844EA1">
            <w:pPr>
              <w:ind w:right="-29"/>
              <w:rPr>
                <w:noProof/>
                <w:sz w:val="20"/>
              </w:rPr>
            </w:pPr>
            <w:r w:rsidRPr="00853D04">
              <w:rPr>
                <w:noProof/>
                <w:sz w:val="20"/>
              </w:rPr>
              <w:t>0,150</w:t>
            </w:r>
          </w:p>
        </w:tc>
        <w:tc>
          <w:tcPr>
            <w:tcW w:w="504" w:type="dxa"/>
            <w:tcBorders>
              <w:top w:val="single" w:sz="4" w:space="0" w:color="auto"/>
              <w:left w:val="single" w:sz="4" w:space="0" w:color="auto"/>
              <w:bottom w:val="single" w:sz="4" w:space="0" w:color="auto"/>
              <w:right w:val="dashSmallGap" w:sz="4" w:space="0" w:color="auto"/>
            </w:tcBorders>
            <w:vAlign w:val="center"/>
          </w:tcPr>
          <w:p w14:paraId="5051882A" w14:textId="77777777" w:rsidR="0085004E" w:rsidRPr="00853D04" w:rsidRDefault="0085004E" w:rsidP="0085004E">
            <w:pPr>
              <w:ind w:right="-29"/>
              <w:jc w:val="center"/>
              <w:rPr>
                <w:noProof/>
                <w:sz w:val="20"/>
              </w:rPr>
            </w:pPr>
            <w:r w:rsidRPr="00853D04">
              <w:rPr>
                <w:noProof/>
                <w:sz w:val="20"/>
              </w:rPr>
              <w:t>1</w:t>
            </w:r>
          </w:p>
        </w:tc>
        <w:tc>
          <w:tcPr>
            <w:tcW w:w="720" w:type="dxa"/>
            <w:tcBorders>
              <w:top w:val="single" w:sz="4" w:space="0" w:color="auto"/>
              <w:left w:val="dashSmallGap" w:sz="4" w:space="0" w:color="auto"/>
              <w:bottom w:val="single" w:sz="4" w:space="0" w:color="auto"/>
              <w:right w:val="single" w:sz="4" w:space="0" w:color="auto"/>
            </w:tcBorders>
            <w:vAlign w:val="center"/>
          </w:tcPr>
          <w:p w14:paraId="62E18441" w14:textId="77777777" w:rsidR="0085004E" w:rsidRPr="00853D04" w:rsidRDefault="0085004E" w:rsidP="0085004E">
            <w:pPr>
              <w:ind w:right="-29"/>
              <w:jc w:val="center"/>
              <w:rPr>
                <w:noProof/>
                <w:sz w:val="20"/>
              </w:rPr>
            </w:pPr>
            <w:r w:rsidRPr="00853D04">
              <w:rPr>
                <w:rStyle w:val="normaltextrun"/>
                <w:noProof/>
                <w:sz w:val="20"/>
              </w:rPr>
              <w:t>0,300</w:t>
            </w:r>
            <w:r w:rsidRPr="00853D04">
              <w:rPr>
                <w:rStyle w:val="eop"/>
                <w:noProof/>
                <w:sz w:val="20"/>
              </w:rPr>
              <w:t xml:space="preserve"> </w:t>
            </w:r>
          </w:p>
        </w:tc>
        <w:tc>
          <w:tcPr>
            <w:tcW w:w="540" w:type="dxa"/>
            <w:tcBorders>
              <w:top w:val="single" w:sz="4" w:space="0" w:color="auto"/>
              <w:left w:val="single" w:sz="4" w:space="0" w:color="auto"/>
              <w:bottom w:val="single" w:sz="4" w:space="0" w:color="auto"/>
              <w:right w:val="dashSmallGap" w:sz="4" w:space="0" w:color="auto"/>
            </w:tcBorders>
            <w:vAlign w:val="center"/>
          </w:tcPr>
          <w:p w14:paraId="009B9905" w14:textId="77777777" w:rsidR="0085004E" w:rsidRPr="00853D04" w:rsidRDefault="0085004E" w:rsidP="0085004E">
            <w:pPr>
              <w:ind w:right="-29"/>
              <w:jc w:val="center"/>
              <w:rPr>
                <w:noProof/>
                <w:sz w:val="20"/>
              </w:rPr>
            </w:pPr>
            <w:r w:rsidRPr="00853D04">
              <w:rPr>
                <w:noProof/>
                <w:sz w:val="20"/>
              </w:rPr>
              <w:t>1</w:t>
            </w:r>
          </w:p>
        </w:tc>
        <w:tc>
          <w:tcPr>
            <w:tcW w:w="720" w:type="dxa"/>
            <w:tcBorders>
              <w:top w:val="single" w:sz="4" w:space="0" w:color="auto"/>
              <w:left w:val="dashSmallGap" w:sz="4" w:space="0" w:color="auto"/>
              <w:bottom w:val="single" w:sz="4" w:space="0" w:color="auto"/>
              <w:right w:val="single" w:sz="4" w:space="0" w:color="auto"/>
            </w:tcBorders>
            <w:vAlign w:val="center"/>
          </w:tcPr>
          <w:p w14:paraId="6C49FB67" w14:textId="77777777" w:rsidR="0085004E" w:rsidRPr="00853D04" w:rsidRDefault="0085004E" w:rsidP="0085004E">
            <w:pPr>
              <w:ind w:right="-29"/>
              <w:jc w:val="center"/>
              <w:rPr>
                <w:noProof/>
                <w:sz w:val="20"/>
              </w:rPr>
            </w:pPr>
            <w:r w:rsidRPr="00853D04">
              <w:rPr>
                <w:rStyle w:val="normaltextrun"/>
                <w:noProof/>
                <w:sz w:val="20"/>
              </w:rPr>
              <w:t>0,100</w:t>
            </w:r>
            <w:r w:rsidRPr="00853D04">
              <w:rPr>
                <w:rStyle w:val="eop"/>
                <w:noProof/>
                <w:sz w:val="20"/>
              </w:rPr>
              <w:t xml:space="preserve"> </w:t>
            </w:r>
          </w:p>
        </w:tc>
        <w:tc>
          <w:tcPr>
            <w:tcW w:w="720" w:type="dxa"/>
            <w:tcBorders>
              <w:top w:val="single" w:sz="4" w:space="0" w:color="auto"/>
              <w:left w:val="single" w:sz="4" w:space="0" w:color="auto"/>
              <w:bottom w:val="single" w:sz="4" w:space="0" w:color="auto"/>
              <w:right w:val="dashSmallGap" w:sz="4" w:space="0" w:color="auto"/>
            </w:tcBorders>
            <w:vAlign w:val="center"/>
          </w:tcPr>
          <w:p w14:paraId="6D3E8D29" w14:textId="77777777" w:rsidR="0085004E" w:rsidRPr="00853D04" w:rsidRDefault="0085004E" w:rsidP="0085004E">
            <w:pPr>
              <w:ind w:right="-29"/>
              <w:jc w:val="center"/>
              <w:rPr>
                <w:noProof/>
                <w:sz w:val="18"/>
              </w:rPr>
            </w:pPr>
            <w:r w:rsidRPr="00853D04">
              <w:rPr>
                <w:noProof/>
                <w:sz w:val="18"/>
              </w:rPr>
              <w:t>1</w:t>
            </w:r>
          </w:p>
        </w:tc>
        <w:tc>
          <w:tcPr>
            <w:tcW w:w="720" w:type="dxa"/>
            <w:tcBorders>
              <w:top w:val="single" w:sz="4" w:space="0" w:color="auto"/>
              <w:left w:val="dashSmallGap" w:sz="4" w:space="0" w:color="auto"/>
              <w:bottom w:val="single" w:sz="4" w:space="0" w:color="auto"/>
              <w:right w:val="single" w:sz="4" w:space="0" w:color="auto"/>
            </w:tcBorders>
            <w:vAlign w:val="center"/>
          </w:tcPr>
          <w:p w14:paraId="13BA551C" w14:textId="77777777" w:rsidR="0085004E" w:rsidRPr="00853D04" w:rsidRDefault="0085004E" w:rsidP="0085004E">
            <w:pPr>
              <w:ind w:right="-29"/>
              <w:jc w:val="center"/>
              <w:rPr>
                <w:noProof/>
                <w:sz w:val="18"/>
              </w:rPr>
            </w:pPr>
            <w:r w:rsidRPr="00853D04">
              <w:rPr>
                <w:rStyle w:val="normaltextrun"/>
                <w:noProof/>
                <w:sz w:val="20"/>
              </w:rPr>
              <w:t>0,100</w:t>
            </w:r>
            <w:r w:rsidRPr="00853D04">
              <w:rPr>
                <w:rStyle w:val="eop"/>
                <w:noProof/>
                <w:sz w:val="20"/>
              </w:rPr>
              <w:t xml:space="preserve"> </w:t>
            </w:r>
          </w:p>
        </w:tc>
        <w:tc>
          <w:tcPr>
            <w:tcW w:w="900" w:type="dxa"/>
            <w:tcBorders>
              <w:top w:val="single" w:sz="4" w:space="0" w:color="auto"/>
              <w:left w:val="single" w:sz="4" w:space="0" w:color="auto"/>
              <w:bottom w:val="single" w:sz="4" w:space="0" w:color="auto"/>
              <w:right w:val="dashSmallGap" w:sz="4" w:space="0" w:color="auto"/>
            </w:tcBorders>
            <w:vAlign w:val="center"/>
          </w:tcPr>
          <w:p w14:paraId="6E5FC658" w14:textId="77777777" w:rsidR="0085004E" w:rsidRPr="00853D04" w:rsidRDefault="0085004E" w:rsidP="0085004E">
            <w:pPr>
              <w:ind w:right="-29"/>
              <w:jc w:val="center"/>
              <w:rPr>
                <w:noProof/>
                <w:sz w:val="18"/>
              </w:rPr>
            </w:pPr>
            <w:r w:rsidRPr="00853D04">
              <w:rPr>
                <w:noProof/>
                <w:sz w:val="18"/>
              </w:rPr>
              <w:t>1</w:t>
            </w:r>
          </w:p>
        </w:tc>
        <w:tc>
          <w:tcPr>
            <w:tcW w:w="720" w:type="dxa"/>
            <w:tcBorders>
              <w:top w:val="single" w:sz="4" w:space="0" w:color="auto"/>
              <w:left w:val="dashSmallGap" w:sz="4" w:space="0" w:color="auto"/>
              <w:bottom w:val="single" w:sz="4" w:space="0" w:color="auto"/>
              <w:right w:val="single" w:sz="4" w:space="0" w:color="auto"/>
            </w:tcBorders>
            <w:vAlign w:val="center"/>
          </w:tcPr>
          <w:p w14:paraId="6B49207E" w14:textId="77777777" w:rsidR="0085004E" w:rsidRPr="00853D04" w:rsidRDefault="0085004E" w:rsidP="0085004E">
            <w:pPr>
              <w:ind w:right="-29"/>
              <w:jc w:val="center"/>
              <w:rPr>
                <w:noProof/>
                <w:sz w:val="18"/>
              </w:rPr>
            </w:pPr>
            <w:r w:rsidRPr="00853D04">
              <w:rPr>
                <w:rStyle w:val="normaltextrun"/>
                <w:noProof/>
                <w:sz w:val="20"/>
              </w:rPr>
              <w:t>0,100</w:t>
            </w:r>
          </w:p>
        </w:tc>
        <w:tc>
          <w:tcPr>
            <w:tcW w:w="540" w:type="dxa"/>
            <w:tcBorders>
              <w:top w:val="single" w:sz="4" w:space="0" w:color="auto"/>
              <w:left w:val="single" w:sz="4" w:space="0" w:color="auto"/>
              <w:bottom w:val="single" w:sz="4" w:space="0" w:color="auto"/>
              <w:right w:val="dashSmallGap" w:sz="4" w:space="0" w:color="auto"/>
            </w:tcBorders>
            <w:vAlign w:val="center"/>
          </w:tcPr>
          <w:p w14:paraId="6F706BCB" w14:textId="77777777" w:rsidR="0085004E" w:rsidRPr="00853D04" w:rsidRDefault="0085004E" w:rsidP="0085004E">
            <w:pPr>
              <w:ind w:right="-29"/>
              <w:jc w:val="center"/>
              <w:rPr>
                <w:noProof/>
                <w:sz w:val="18"/>
              </w:rPr>
            </w:pPr>
          </w:p>
        </w:tc>
        <w:tc>
          <w:tcPr>
            <w:tcW w:w="648" w:type="dxa"/>
            <w:tcBorders>
              <w:top w:val="single" w:sz="4" w:space="0" w:color="auto"/>
              <w:left w:val="dashSmallGap" w:sz="4" w:space="0" w:color="auto"/>
              <w:bottom w:val="single" w:sz="4" w:space="0" w:color="auto"/>
              <w:right w:val="single" w:sz="4" w:space="0" w:color="auto"/>
            </w:tcBorders>
            <w:vAlign w:val="center"/>
          </w:tcPr>
          <w:p w14:paraId="46E44BD9" w14:textId="77777777" w:rsidR="0085004E" w:rsidRPr="00853D04" w:rsidRDefault="0085004E" w:rsidP="0085004E">
            <w:pPr>
              <w:ind w:right="-29"/>
              <w:jc w:val="center"/>
              <w:rPr>
                <w:noProof/>
                <w:sz w:val="18"/>
              </w:rPr>
            </w:pPr>
          </w:p>
        </w:tc>
        <w:tc>
          <w:tcPr>
            <w:tcW w:w="432" w:type="dxa"/>
            <w:gridSpan w:val="2"/>
            <w:tcBorders>
              <w:top w:val="single" w:sz="4" w:space="0" w:color="auto"/>
              <w:left w:val="single" w:sz="4" w:space="0" w:color="auto"/>
              <w:bottom w:val="single" w:sz="4" w:space="0" w:color="auto"/>
              <w:right w:val="dashSmallGap" w:sz="4" w:space="0" w:color="auto"/>
            </w:tcBorders>
            <w:vAlign w:val="center"/>
          </w:tcPr>
          <w:p w14:paraId="3F3E9C79" w14:textId="77777777" w:rsidR="0085004E" w:rsidRPr="00853D04" w:rsidRDefault="0085004E" w:rsidP="0085004E">
            <w:pPr>
              <w:ind w:right="-29"/>
              <w:jc w:val="center"/>
              <w:rPr>
                <w:noProof/>
                <w:sz w:val="18"/>
              </w:rPr>
            </w:pPr>
          </w:p>
        </w:tc>
        <w:tc>
          <w:tcPr>
            <w:tcW w:w="720" w:type="dxa"/>
            <w:gridSpan w:val="2"/>
            <w:tcBorders>
              <w:top w:val="single" w:sz="4" w:space="0" w:color="auto"/>
              <w:left w:val="dashSmallGap" w:sz="4" w:space="0" w:color="auto"/>
              <w:bottom w:val="single" w:sz="4" w:space="0" w:color="auto"/>
              <w:right w:val="single" w:sz="4" w:space="0" w:color="auto"/>
            </w:tcBorders>
            <w:vAlign w:val="center"/>
          </w:tcPr>
          <w:p w14:paraId="6005A339" w14:textId="77777777" w:rsidR="0085004E" w:rsidRPr="00853D04" w:rsidRDefault="0085004E" w:rsidP="0085004E">
            <w:pPr>
              <w:ind w:right="-29"/>
              <w:jc w:val="center"/>
              <w:rPr>
                <w:noProof/>
                <w:sz w:val="18"/>
              </w:rPr>
            </w:pPr>
          </w:p>
        </w:tc>
        <w:tc>
          <w:tcPr>
            <w:tcW w:w="540" w:type="dxa"/>
            <w:tcBorders>
              <w:top w:val="single" w:sz="4" w:space="0" w:color="auto"/>
              <w:left w:val="single" w:sz="4" w:space="0" w:color="auto"/>
              <w:bottom w:val="single" w:sz="4" w:space="0" w:color="auto"/>
              <w:right w:val="dashSmallGap" w:sz="4" w:space="0" w:color="auto"/>
            </w:tcBorders>
            <w:vAlign w:val="center"/>
          </w:tcPr>
          <w:p w14:paraId="5353B6AB" w14:textId="77777777" w:rsidR="0085004E" w:rsidRPr="00853D04" w:rsidRDefault="0085004E" w:rsidP="0085004E">
            <w:pPr>
              <w:ind w:right="-29"/>
              <w:jc w:val="center"/>
              <w:rPr>
                <w:noProof/>
                <w:sz w:val="18"/>
              </w:rPr>
            </w:pPr>
          </w:p>
        </w:tc>
        <w:tc>
          <w:tcPr>
            <w:tcW w:w="720" w:type="dxa"/>
            <w:tcBorders>
              <w:top w:val="single" w:sz="4" w:space="0" w:color="auto"/>
              <w:left w:val="dashSmallGap" w:sz="4" w:space="0" w:color="auto"/>
              <w:bottom w:val="single" w:sz="4" w:space="0" w:color="auto"/>
              <w:right w:val="single" w:sz="4" w:space="0" w:color="auto"/>
            </w:tcBorders>
            <w:vAlign w:val="center"/>
          </w:tcPr>
          <w:p w14:paraId="4D93ACB7" w14:textId="77777777" w:rsidR="0085004E" w:rsidRPr="00853D04" w:rsidRDefault="0085004E" w:rsidP="0085004E">
            <w:pPr>
              <w:ind w:right="-29"/>
              <w:jc w:val="center"/>
              <w:rPr>
                <w:noProof/>
                <w:sz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555C637" w14:textId="77777777" w:rsidR="0085004E" w:rsidRPr="00853D04" w:rsidRDefault="0085004E" w:rsidP="0085004E">
            <w:pPr>
              <w:ind w:right="-29"/>
              <w:jc w:val="center"/>
              <w:rPr>
                <w:noProof/>
                <w:sz w:val="20"/>
              </w:rPr>
            </w:pPr>
            <w:r w:rsidRPr="00853D04">
              <w:rPr>
                <w:noProof/>
                <w:sz w:val="20"/>
              </w:rPr>
              <w:t>1</w:t>
            </w:r>
          </w:p>
        </w:tc>
        <w:tc>
          <w:tcPr>
            <w:tcW w:w="900" w:type="dxa"/>
            <w:tcBorders>
              <w:top w:val="single" w:sz="4" w:space="0" w:color="auto"/>
              <w:left w:val="single" w:sz="4" w:space="0" w:color="auto"/>
              <w:bottom w:val="single" w:sz="4" w:space="0" w:color="auto"/>
              <w:right w:val="single" w:sz="4" w:space="0" w:color="auto"/>
            </w:tcBorders>
          </w:tcPr>
          <w:p w14:paraId="36A20EBD" w14:textId="77777777" w:rsidR="0085004E" w:rsidRPr="00853D04" w:rsidRDefault="0085004E" w:rsidP="0085004E">
            <w:pPr>
              <w:ind w:right="-29"/>
              <w:jc w:val="center"/>
              <w:rPr>
                <w:noProof/>
                <w:sz w:val="20"/>
              </w:rPr>
            </w:pPr>
            <w:r w:rsidRPr="00853D04">
              <w:rPr>
                <w:noProof/>
                <w:sz w:val="20"/>
              </w:rPr>
              <w:t>0,6</w:t>
            </w:r>
          </w:p>
        </w:tc>
      </w:tr>
      <w:tr w:rsidR="0085004E" w:rsidRPr="00853D04" w14:paraId="152FB5B7" w14:textId="77777777" w:rsidTr="718FF3BF">
        <w:trPr>
          <w:trHeight w:hRule="exact" w:val="717"/>
          <w:jc w:val="center"/>
        </w:trPr>
        <w:tc>
          <w:tcPr>
            <w:tcW w:w="1423" w:type="dxa"/>
            <w:shd w:val="clear" w:color="auto" w:fill="auto"/>
          </w:tcPr>
          <w:p w14:paraId="0DC061C0" w14:textId="77777777" w:rsidR="0085004E" w:rsidRPr="00853D04" w:rsidRDefault="0085004E" w:rsidP="0085004E">
            <w:pPr>
              <w:ind w:right="-29"/>
              <w:jc w:val="center"/>
              <w:rPr>
                <w:noProof/>
                <w:sz w:val="18"/>
              </w:rPr>
            </w:pPr>
          </w:p>
        </w:tc>
        <w:tc>
          <w:tcPr>
            <w:tcW w:w="720" w:type="dxa"/>
            <w:shd w:val="clear" w:color="auto" w:fill="auto"/>
          </w:tcPr>
          <w:p w14:paraId="2872B0D6" w14:textId="77777777" w:rsidR="0085004E" w:rsidRPr="00853D04" w:rsidRDefault="0085004E" w:rsidP="0085004E">
            <w:pPr>
              <w:ind w:right="-29"/>
              <w:jc w:val="center"/>
              <w:rPr>
                <w:noProof/>
                <w:sz w:val="18"/>
              </w:rPr>
            </w:pPr>
          </w:p>
        </w:tc>
        <w:tc>
          <w:tcPr>
            <w:tcW w:w="701" w:type="dxa"/>
          </w:tcPr>
          <w:p w14:paraId="52F6C10E" w14:textId="77777777" w:rsidR="0085004E" w:rsidRPr="00853D04" w:rsidRDefault="0085004E" w:rsidP="0085004E">
            <w:pPr>
              <w:ind w:right="-29"/>
              <w:jc w:val="center"/>
              <w:rPr>
                <w:noProof/>
                <w:sz w:val="18"/>
              </w:rPr>
            </w:pPr>
          </w:p>
        </w:tc>
        <w:tc>
          <w:tcPr>
            <w:tcW w:w="504" w:type="dxa"/>
          </w:tcPr>
          <w:p w14:paraId="5F592295" w14:textId="77777777" w:rsidR="0085004E" w:rsidRPr="00853D04" w:rsidRDefault="0085004E" w:rsidP="0085004E">
            <w:pPr>
              <w:ind w:right="-29"/>
              <w:jc w:val="center"/>
              <w:rPr>
                <w:noProof/>
                <w:sz w:val="18"/>
              </w:rPr>
            </w:pPr>
          </w:p>
        </w:tc>
        <w:tc>
          <w:tcPr>
            <w:tcW w:w="720" w:type="dxa"/>
          </w:tcPr>
          <w:p w14:paraId="79908890" w14:textId="77777777" w:rsidR="0085004E" w:rsidRPr="00853D04" w:rsidRDefault="0085004E" w:rsidP="0085004E">
            <w:pPr>
              <w:ind w:right="-29"/>
              <w:jc w:val="center"/>
              <w:rPr>
                <w:noProof/>
                <w:sz w:val="18"/>
              </w:rPr>
            </w:pPr>
          </w:p>
        </w:tc>
        <w:tc>
          <w:tcPr>
            <w:tcW w:w="540" w:type="dxa"/>
          </w:tcPr>
          <w:p w14:paraId="38D405BB" w14:textId="77777777" w:rsidR="0085004E" w:rsidRPr="00853D04" w:rsidRDefault="0085004E" w:rsidP="0085004E">
            <w:pPr>
              <w:ind w:right="-29"/>
              <w:jc w:val="center"/>
              <w:rPr>
                <w:noProof/>
                <w:sz w:val="18"/>
              </w:rPr>
            </w:pPr>
          </w:p>
        </w:tc>
        <w:tc>
          <w:tcPr>
            <w:tcW w:w="720" w:type="dxa"/>
          </w:tcPr>
          <w:p w14:paraId="38ECB5DE" w14:textId="77777777" w:rsidR="0085004E" w:rsidRPr="00853D04" w:rsidRDefault="0085004E" w:rsidP="0085004E">
            <w:pPr>
              <w:ind w:right="-29"/>
              <w:jc w:val="center"/>
              <w:rPr>
                <w:noProof/>
                <w:sz w:val="18"/>
              </w:rPr>
            </w:pPr>
          </w:p>
        </w:tc>
        <w:tc>
          <w:tcPr>
            <w:tcW w:w="720" w:type="dxa"/>
          </w:tcPr>
          <w:p w14:paraId="6C09E4CE" w14:textId="77777777" w:rsidR="0085004E" w:rsidRPr="00853D04" w:rsidRDefault="0085004E" w:rsidP="0085004E">
            <w:pPr>
              <w:ind w:right="-29"/>
              <w:jc w:val="center"/>
              <w:rPr>
                <w:noProof/>
                <w:sz w:val="18"/>
              </w:rPr>
            </w:pPr>
          </w:p>
        </w:tc>
        <w:tc>
          <w:tcPr>
            <w:tcW w:w="720" w:type="dxa"/>
          </w:tcPr>
          <w:p w14:paraId="529BA6E6" w14:textId="77777777" w:rsidR="0085004E" w:rsidRPr="00853D04" w:rsidRDefault="0085004E" w:rsidP="0085004E">
            <w:pPr>
              <w:ind w:right="-29"/>
              <w:jc w:val="center"/>
              <w:rPr>
                <w:noProof/>
                <w:sz w:val="18"/>
              </w:rPr>
            </w:pPr>
          </w:p>
        </w:tc>
        <w:tc>
          <w:tcPr>
            <w:tcW w:w="900" w:type="dxa"/>
          </w:tcPr>
          <w:p w14:paraId="385EAD55" w14:textId="77777777" w:rsidR="0085004E" w:rsidRPr="00853D04" w:rsidRDefault="0085004E" w:rsidP="0085004E">
            <w:pPr>
              <w:ind w:right="-29"/>
              <w:jc w:val="center"/>
              <w:rPr>
                <w:noProof/>
                <w:sz w:val="18"/>
              </w:rPr>
            </w:pPr>
          </w:p>
        </w:tc>
        <w:tc>
          <w:tcPr>
            <w:tcW w:w="720" w:type="dxa"/>
          </w:tcPr>
          <w:p w14:paraId="232C5F50" w14:textId="77777777" w:rsidR="0085004E" w:rsidRPr="00853D04" w:rsidRDefault="0085004E" w:rsidP="0085004E">
            <w:pPr>
              <w:ind w:right="-29"/>
              <w:jc w:val="center"/>
              <w:rPr>
                <w:noProof/>
                <w:sz w:val="18"/>
              </w:rPr>
            </w:pPr>
          </w:p>
        </w:tc>
        <w:tc>
          <w:tcPr>
            <w:tcW w:w="540" w:type="dxa"/>
          </w:tcPr>
          <w:p w14:paraId="785133D6" w14:textId="77777777" w:rsidR="0085004E" w:rsidRPr="00853D04" w:rsidRDefault="0085004E" w:rsidP="0085004E">
            <w:pPr>
              <w:ind w:right="-29"/>
              <w:jc w:val="center"/>
              <w:rPr>
                <w:noProof/>
                <w:sz w:val="18"/>
              </w:rPr>
            </w:pPr>
          </w:p>
        </w:tc>
        <w:tc>
          <w:tcPr>
            <w:tcW w:w="648" w:type="dxa"/>
          </w:tcPr>
          <w:p w14:paraId="5E3E8649" w14:textId="77777777" w:rsidR="0085004E" w:rsidRPr="00853D04" w:rsidRDefault="0085004E" w:rsidP="0085004E">
            <w:pPr>
              <w:ind w:right="-29"/>
              <w:jc w:val="center"/>
              <w:rPr>
                <w:noProof/>
                <w:sz w:val="18"/>
              </w:rPr>
            </w:pPr>
          </w:p>
        </w:tc>
        <w:tc>
          <w:tcPr>
            <w:tcW w:w="432" w:type="dxa"/>
            <w:gridSpan w:val="2"/>
          </w:tcPr>
          <w:p w14:paraId="1FB28DF1" w14:textId="77777777" w:rsidR="0085004E" w:rsidRPr="00853D04" w:rsidRDefault="0085004E" w:rsidP="0085004E">
            <w:pPr>
              <w:ind w:right="-29"/>
              <w:jc w:val="center"/>
              <w:rPr>
                <w:noProof/>
                <w:sz w:val="18"/>
              </w:rPr>
            </w:pPr>
          </w:p>
        </w:tc>
        <w:tc>
          <w:tcPr>
            <w:tcW w:w="720" w:type="dxa"/>
            <w:gridSpan w:val="2"/>
          </w:tcPr>
          <w:p w14:paraId="1FFC0DDA" w14:textId="77777777" w:rsidR="0085004E" w:rsidRPr="00853D04" w:rsidRDefault="0085004E" w:rsidP="0085004E">
            <w:pPr>
              <w:ind w:right="-29"/>
              <w:jc w:val="center"/>
              <w:rPr>
                <w:noProof/>
                <w:sz w:val="18"/>
              </w:rPr>
            </w:pPr>
          </w:p>
        </w:tc>
        <w:tc>
          <w:tcPr>
            <w:tcW w:w="540" w:type="dxa"/>
          </w:tcPr>
          <w:p w14:paraId="23AC199F" w14:textId="77777777" w:rsidR="0085004E" w:rsidRPr="00853D04" w:rsidRDefault="0085004E" w:rsidP="0085004E">
            <w:pPr>
              <w:ind w:right="-29"/>
              <w:jc w:val="center"/>
              <w:rPr>
                <w:noProof/>
                <w:sz w:val="18"/>
              </w:rPr>
            </w:pPr>
          </w:p>
        </w:tc>
        <w:tc>
          <w:tcPr>
            <w:tcW w:w="720" w:type="dxa"/>
          </w:tcPr>
          <w:p w14:paraId="1C5FAFCC" w14:textId="77777777" w:rsidR="0085004E" w:rsidRPr="00853D04" w:rsidRDefault="0085004E" w:rsidP="0085004E">
            <w:pPr>
              <w:ind w:right="-29"/>
              <w:jc w:val="center"/>
              <w:rPr>
                <w:noProof/>
                <w:sz w:val="18"/>
              </w:rPr>
            </w:pPr>
          </w:p>
        </w:tc>
        <w:tc>
          <w:tcPr>
            <w:tcW w:w="720" w:type="dxa"/>
          </w:tcPr>
          <w:p w14:paraId="1DE7E015" w14:textId="77777777" w:rsidR="0085004E" w:rsidRPr="00853D04" w:rsidRDefault="0085004E" w:rsidP="0085004E">
            <w:pPr>
              <w:ind w:right="-29"/>
              <w:jc w:val="center"/>
              <w:rPr>
                <w:noProof/>
                <w:sz w:val="18"/>
              </w:rPr>
            </w:pPr>
          </w:p>
        </w:tc>
        <w:tc>
          <w:tcPr>
            <w:tcW w:w="900" w:type="dxa"/>
          </w:tcPr>
          <w:p w14:paraId="638C373B" w14:textId="77777777" w:rsidR="0085004E" w:rsidRPr="00853D04" w:rsidRDefault="0085004E" w:rsidP="0085004E">
            <w:pPr>
              <w:ind w:right="-29"/>
              <w:jc w:val="center"/>
              <w:rPr>
                <w:noProof/>
                <w:sz w:val="18"/>
              </w:rPr>
            </w:pPr>
          </w:p>
        </w:tc>
      </w:tr>
      <w:tr w:rsidR="0085004E" w:rsidRPr="00853D04" w14:paraId="504AC538" w14:textId="77777777" w:rsidTr="718FF3BF">
        <w:trPr>
          <w:trHeight w:hRule="exact" w:val="854"/>
          <w:jc w:val="center"/>
        </w:trPr>
        <w:tc>
          <w:tcPr>
            <w:tcW w:w="1423" w:type="dxa"/>
            <w:shd w:val="clear" w:color="auto" w:fill="auto"/>
          </w:tcPr>
          <w:p w14:paraId="625AFACE" w14:textId="77777777" w:rsidR="0085004E" w:rsidRPr="00853D04" w:rsidRDefault="0085004E" w:rsidP="0085004E">
            <w:pPr>
              <w:ind w:right="-29"/>
              <w:jc w:val="center"/>
              <w:rPr>
                <w:noProof/>
                <w:sz w:val="18"/>
              </w:rPr>
            </w:pPr>
          </w:p>
        </w:tc>
        <w:tc>
          <w:tcPr>
            <w:tcW w:w="720" w:type="dxa"/>
            <w:shd w:val="clear" w:color="auto" w:fill="auto"/>
          </w:tcPr>
          <w:p w14:paraId="57549C0F" w14:textId="77777777" w:rsidR="0085004E" w:rsidRPr="00853D04" w:rsidRDefault="0085004E" w:rsidP="0085004E">
            <w:pPr>
              <w:ind w:right="-29"/>
              <w:jc w:val="center"/>
              <w:rPr>
                <w:noProof/>
                <w:sz w:val="18"/>
              </w:rPr>
            </w:pPr>
          </w:p>
        </w:tc>
        <w:tc>
          <w:tcPr>
            <w:tcW w:w="701" w:type="dxa"/>
          </w:tcPr>
          <w:p w14:paraId="63F3C284" w14:textId="77777777" w:rsidR="0085004E" w:rsidRPr="00853D04" w:rsidRDefault="0085004E" w:rsidP="0085004E">
            <w:pPr>
              <w:ind w:right="-29"/>
              <w:jc w:val="center"/>
              <w:rPr>
                <w:noProof/>
                <w:sz w:val="18"/>
              </w:rPr>
            </w:pPr>
          </w:p>
        </w:tc>
        <w:tc>
          <w:tcPr>
            <w:tcW w:w="504" w:type="dxa"/>
          </w:tcPr>
          <w:p w14:paraId="197A1E58" w14:textId="77777777" w:rsidR="0085004E" w:rsidRPr="00853D04" w:rsidRDefault="0085004E" w:rsidP="0085004E">
            <w:pPr>
              <w:ind w:right="-29"/>
              <w:jc w:val="center"/>
              <w:rPr>
                <w:noProof/>
                <w:sz w:val="18"/>
              </w:rPr>
            </w:pPr>
          </w:p>
        </w:tc>
        <w:tc>
          <w:tcPr>
            <w:tcW w:w="720" w:type="dxa"/>
          </w:tcPr>
          <w:p w14:paraId="7CEAC804" w14:textId="77777777" w:rsidR="0085004E" w:rsidRPr="00853D04" w:rsidRDefault="0085004E" w:rsidP="0085004E">
            <w:pPr>
              <w:ind w:right="-29"/>
              <w:jc w:val="center"/>
              <w:rPr>
                <w:noProof/>
                <w:sz w:val="18"/>
              </w:rPr>
            </w:pPr>
          </w:p>
        </w:tc>
        <w:tc>
          <w:tcPr>
            <w:tcW w:w="540" w:type="dxa"/>
          </w:tcPr>
          <w:p w14:paraId="56084E8B" w14:textId="77777777" w:rsidR="0085004E" w:rsidRPr="00853D04" w:rsidRDefault="0085004E" w:rsidP="0085004E">
            <w:pPr>
              <w:ind w:right="-29"/>
              <w:jc w:val="center"/>
              <w:rPr>
                <w:noProof/>
                <w:sz w:val="18"/>
              </w:rPr>
            </w:pPr>
          </w:p>
        </w:tc>
        <w:tc>
          <w:tcPr>
            <w:tcW w:w="720" w:type="dxa"/>
          </w:tcPr>
          <w:p w14:paraId="17BA0589" w14:textId="77777777" w:rsidR="0085004E" w:rsidRPr="00853D04" w:rsidRDefault="0085004E" w:rsidP="0085004E">
            <w:pPr>
              <w:ind w:right="-29"/>
              <w:jc w:val="center"/>
              <w:rPr>
                <w:noProof/>
                <w:sz w:val="18"/>
              </w:rPr>
            </w:pPr>
          </w:p>
        </w:tc>
        <w:tc>
          <w:tcPr>
            <w:tcW w:w="720" w:type="dxa"/>
          </w:tcPr>
          <w:p w14:paraId="567326D8" w14:textId="77777777" w:rsidR="0085004E" w:rsidRPr="00853D04" w:rsidRDefault="0085004E" w:rsidP="0085004E">
            <w:pPr>
              <w:ind w:right="-29"/>
              <w:jc w:val="center"/>
              <w:rPr>
                <w:noProof/>
                <w:sz w:val="18"/>
              </w:rPr>
            </w:pPr>
          </w:p>
        </w:tc>
        <w:tc>
          <w:tcPr>
            <w:tcW w:w="720" w:type="dxa"/>
          </w:tcPr>
          <w:p w14:paraId="1AA610A7" w14:textId="77777777" w:rsidR="0085004E" w:rsidRPr="00853D04" w:rsidRDefault="0085004E" w:rsidP="0085004E">
            <w:pPr>
              <w:ind w:right="-29"/>
              <w:jc w:val="center"/>
              <w:rPr>
                <w:noProof/>
                <w:sz w:val="18"/>
              </w:rPr>
            </w:pPr>
          </w:p>
        </w:tc>
        <w:tc>
          <w:tcPr>
            <w:tcW w:w="900" w:type="dxa"/>
          </w:tcPr>
          <w:p w14:paraId="6FD98486" w14:textId="77777777" w:rsidR="0085004E" w:rsidRPr="00853D04" w:rsidRDefault="0085004E" w:rsidP="0085004E">
            <w:pPr>
              <w:ind w:right="-29"/>
              <w:jc w:val="center"/>
              <w:rPr>
                <w:noProof/>
                <w:sz w:val="18"/>
              </w:rPr>
            </w:pPr>
          </w:p>
        </w:tc>
        <w:tc>
          <w:tcPr>
            <w:tcW w:w="720" w:type="dxa"/>
          </w:tcPr>
          <w:p w14:paraId="06BDE8D1" w14:textId="77777777" w:rsidR="0085004E" w:rsidRPr="00853D04" w:rsidRDefault="0085004E" w:rsidP="0085004E">
            <w:pPr>
              <w:ind w:right="-29"/>
              <w:jc w:val="center"/>
              <w:rPr>
                <w:noProof/>
                <w:sz w:val="18"/>
              </w:rPr>
            </w:pPr>
          </w:p>
        </w:tc>
        <w:tc>
          <w:tcPr>
            <w:tcW w:w="540" w:type="dxa"/>
          </w:tcPr>
          <w:p w14:paraId="3E994F33" w14:textId="77777777" w:rsidR="0085004E" w:rsidRPr="00853D04" w:rsidRDefault="0085004E" w:rsidP="0085004E">
            <w:pPr>
              <w:ind w:right="-29"/>
              <w:jc w:val="center"/>
              <w:rPr>
                <w:noProof/>
                <w:sz w:val="18"/>
              </w:rPr>
            </w:pPr>
          </w:p>
        </w:tc>
        <w:tc>
          <w:tcPr>
            <w:tcW w:w="648" w:type="dxa"/>
          </w:tcPr>
          <w:p w14:paraId="1A8036FD" w14:textId="77777777" w:rsidR="0085004E" w:rsidRPr="00853D04" w:rsidRDefault="0085004E" w:rsidP="0085004E">
            <w:pPr>
              <w:ind w:right="-29"/>
              <w:jc w:val="center"/>
              <w:rPr>
                <w:noProof/>
                <w:sz w:val="18"/>
              </w:rPr>
            </w:pPr>
          </w:p>
        </w:tc>
        <w:tc>
          <w:tcPr>
            <w:tcW w:w="432" w:type="dxa"/>
            <w:gridSpan w:val="2"/>
          </w:tcPr>
          <w:p w14:paraId="43CA4B1F" w14:textId="77777777" w:rsidR="0085004E" w:rsidRPr="00853D04" w:rsidRDefault="0085004E" w:rsidP="0085004E">
            <w:pPr>
              <w:ind w:right="-29"/>
              <w:jc w:val="center"/>
              <w:rPr>
                <w:noProof/>
                <w:sz w:val="18"/>
              </w:rPr>
            </w:pPr>
          </w:p>
        </w:tc>
        <w:tc>
          <w:tcPr>
            <w:tcW w:w="720" w:type="dxa"/>
            <w:gridSpan w:val="2"/>
          </w:tcPr>
          <w:p w14:paraId="42B0BB7A" w14:textId="77777777" w:rsidR="0085004E" w:rsidRPr="00853D04" w:rsidRDefault="0085004E" w:rsidP="0085004E">
            <w:pPr>
              <w:ind w:right="-29"/>
              <w:jc w:val="center"/>
              <w:rPr>
                <w:noProof/>
                <w:sz w:val="18"/>
              </w:rPr>
            </w:pPr>
          </w:p>
        </w:tc>
        <w:tc>
          <w:tcPr>
            <w:tcW w:w="540" w:type="dxa"/>
          </w:tcPr>
          <w:p w14:paraId="111521A6" w14:textId="77777777" w:rsidR="0085004E" w:rsidRPr="00853D04" w:rsidRDefault="0085004E" w:rsidP="0085004E">
            <w:pPr>
              <w:ind w:right="-29"/>
              <w:jc w:val="center"/>
              <w:rPr>
                <w:noProof/>
                <w:sz w:val="18"/>
              </w:rPr>
            </w:pPr>
          </w:p>
        </w:tc>
        <w:tc>
          <w:tcPr>
            <w:tcW w:w="720" w:type="dxa"/>
          </w:tcPr>
          <w:p w14:paraId="72B8871D" w14:textId="77777777" w:rsidR="0085004E" w:rsidRPr="00853D04" w:rsidRDefault="0085004E" w:rsidP="0085004E">
            <w:pPr>
              <w:ind w:right="-29"/>
              <w:jc w:val="center"/>
              <w:rPr>
                <w:noProof/>
                <w:sz w:val="18"/>
              </w:rPr>
            </w:pPr>
          </w:p>
        </w:tc>
        <w:tc>
          <w:tcPr>
            <w:tcW w:w="720" w:type="dxa"/>
          </w:tcPr>
          <w:p w14:paraId="2C244B03" w14:textId="77777777" w:rsidR="0085004E" w:rsidRPr="00853D04" w:rsidRDefault="0085004E" w:rsidP="0085004E">
            <w:pPr>
              <w:ind w:right="-29"/>
              <w:jc w:val="center"/>
              <w:rPr>
                <w:noProof/>
                <w:sz w:val="18"/>
              </w:rPr>
            </w:pPr>
          </w:p>
        </w:tc>
        <w:tc>
          <w:tcPr>
            <w:tcW w:w="900" w:type="dxa"/>
          </w:tcPr>
          <w:p w14:paraId="075E8617" w14:textId="77777777" w:rsidR="0085004E" w:rsidRPr="00853D04" w:rsidRDefault="0085004E" w:rsidP="0085004E">
            <w:pPr>
              <w:ind w:right="-29"/>
              <w:jc w:val="center"/>
              <w:rPr>
                <w:noProof/>
                <w:sz w:val="18"/>
              </w:rPr>
            </w:pPr>
          </w:p>
        </w:tc>
      </w:tr>
      <w:tr w:rsidR="00194CA4" w:rsidRPr="00853D04" w14:paraId="60A06B07" w14:textId="77777777" w:rsidTr="00735109">
        <w:trPr>
          <w:trHeight w:val="77"/>
          <w:jc w:val="center"/>
        </w:trPr>
        <w:tc>
          <w:tcPr>
            <w:tcW w:w="2844" w:type="dxa"/>
            <w:gridSpan w:val="3"/>
            <w:tcBorders>
              <w:bottom w:val="single" w:sz="12" w:space="0" w:color="auto"/>
            </w:tcBorders>
            <w:vAlign w:val="center"/>
          </w:tcPr>
          <w:p w14:paraId="5F7CDD45" w14:textId="67145264" w:rsidR="00194CA4" w:rsidRPr="00853D04" w:rsidRDefault="00194CA4" w:rsidP="00194CA4">
            <w:pPr>
              <w:ind w:right="-29"/>
              <w:jc w:val="center"/>
              <w:rPr>
                <w:noProof/>
                <w:sz w:val="18"/>
              </w:rPr>
            </w:pPr>
            <w:r w:rsidRPr="00853D04">
              <w:rPr>
                <w:noProof/>
                <w:sz w:val="18"/>
              </w:rPr>
              <w:t xml:space="preserve">Cel szczegółowy </w:t>
            </w:r>
            <w:r w:rsidRPr="00C13C75">
              <w:rPr>
                <w:noProof/>
                <w:sz w:val="18"/>
              </w:rPr>
              <w:t>nr</w:t>
            </w:r>
            <w:r w:rsidR="00C13C75" w:rsidRPr="00C13C75">
              <w:rPr>
                <w:noProof/>
                <w:sz w:val="18"/>
              </w:rPr>
              <w:t> </w:t>
            </w:r>
            <w:r w:rsidRPr="00C13C75">
              <w:rPr>
                <w:noProof/>
                <w:sz w:val="18"/>
              </w:rPr>
              <w:t>1</w:t>
            </w:r>
            <w:r w:rsidRPr="00853D04">
              <w:rPr>
                <w:noProof/>
                <w:sz w:val="18"/>
              </w:rPr>
              <w:t xml:space="preserve"> – suma cząstkowa</w:t>
            </w:r>
          </w:p>
        </w:tc>
        <w:tc>
          <w:tcPr>
            <w:tcW w:w="504" w:type="dxa"/>
            <w:tcBorders>
              <w:bottom w:val="single" w:sz="12" w:space="0" w:color="auto"/>
            </w:tcBorders>
          </w:tcPr>
          <w:p w14:paraId="5441776F" w14:textId="77777777" w:rsidR="00194CA4" w:rsidRPr="00853D04" w:rsidRDefault="007F0EFE" w:rsidP="00194CA4">
            <w:pPr>
              <w:ind w:right="-29"/>
              <w:jc w:val="center"/>
              <w:rPr>
                <w:noProof/>
                <w:sz w:val="18"/>
              </w:rPr>
            </w:pPr>
            <w:r w:rsidRPr="00853D04">
              <w:rPr>
                <w:noProof/>
                <w:sz w:val="18"/>
              </w:rPr>
              <w:t>2</w:t>
            </w:r>
          </w:p>
        </w:tc>
        <w:tc>
          <w:tcPr>
            <w:tcW w:w="720" w:type="dxa"/>
            <w:tcBorders>
              <w:bottom w:val="single" w:sz="12" w:space="0" w:color="auto"/>
            </w:tcBorders>
            <w:vAlign w:val="center"/>
          </w:tcPr>
          <w:p w14:paraId="6E8FAF38" w14:textId="77777777" w:rsidR="00194CA4" w:rsidRPr="00853D04" w:rsidRDefault="00194CA4" w:rsidP="00194CA4">
            <w:pPr>
              <w:ind w:right="-29"/>
              <w:jc w:val="center"/>
              <w:rPr>
                <w:noProof/>
                <w:sz w:val="18"/>
              </w:rPr>
            </w:pPr>
            <w:r w:rsidRPr="00853D04">
              <w:rPr>
                <w:noProof/>
                <w:sz w:val="20"/>
              </w:rPr>
              <w:t>0,425</w:t>
            </w:r>
          </w:p>
        </w:tc>
        <w:tc>
          <w:tcPr>
            <w:tcW w:w="540" w:type="dxa"/>
            <w:tcBorders>
              <w:bottom w:val="single" w:sz="12" w:space="0" w:color="auto"/>
            </w:tcBorders>
            <w:vAlign w:val="center"/>
          </w:tcPr>
          <w:p w14:paraId="1941E5A4" w14:textId="77777777" w:rsidR="00194CA4" w:rsidRPr="00853D04" w:rsidRDefault="007F0EFE" w:rsidP="00194CA4">
            <w:pPr>
              <w:ind w:right="-29"/>
              <w:jc w:val="center"/>
              <w:rPr>
                <w:noProof/>
                <w:sz w:val="18"/>
              </w:rPr>
            </w:pPr>
            <w:r w:rsidRPr="00853D04">
              <w:rPr>
                <w:noProof/>
                <w:sz w:val="18"/>
              </w:rPr>
              <w:t>2</w:t>
            </w:r>
          </w:p>
        </w:tc>
        <w:tc>
          <w:tcPr>
            <w:tcW w:w="720" w:type="dxa"/>
            <w:tcBorders>
              <w:bottom w:val="single" w:sz="12" w:space="0" w:color="auto"/>
            </w:tcBorders>
            <w:vAlign w:val="center"/>
          </w:tcPr>
          <w:p w14:paraId="10138671" w14:textId="77777777" w:rsidR="00194CA4" w:rsidRPr="00853D04" w:rsidRDefault="00194CA4" w:rsidP="00194CA4">
            <w:pPr>
              <w:ind w:right="-29"/>
              <w:jc w:val="center"/>
              <w:rPr>
                <w:noProof/>
                <w:sz w:val="18"/>
              </w:rPr>
            </w:pPr>
            <w:r w:rsidRPr="00853D04">
              <w:rPr>
                <w:noProof/>
                <w:sz w:val="20"/>
              </w:rPr>
              <w:t>0,225</w:t>
            </w:r>
          </w:p>
        </w:tc>
        <w:tc>
          <w:tcPr>
            <w:tcW w:w="720" w:type="dxa"/>
            <w:tcBorders>
              <w:bottom w:val="single" w:sz="12" w:space="0" w:color="auto"/>
            </w:tcBorders>
            <w:vAlign w:val="center"/>
          </w:tcPr>
          <w:p w14:paraId="581969ED" w14:textId="77777777" w:rsidR="00194CA4" w:rsidRPr="00853D04" w:rsidRDefault="007F0EFE" w:rsidP="00844EA1">
            <w:pPr>
              <w:ind w:right="-29"/>
              <w:rPr>
                <w:noProof/>
                <w:sz w:val="18"/>
              </w:rPr>
            </w:pPr>
            <w:r w:rsidRPr="00853D04">
              <w:rPr>
                <w:noProof/>
                <w:sz w:val="18"/>
              </w:rPr>
              <w:t>1</w:t>
            </w:r>
          </w:p>
        </w:tc>
        <w:tc>
          <w:tcPr>
            <w:tcW w:w="720" w:type="dxa"/>
            <w:tcBorders>
              <w:bottom w:val="single" w:sz="12" w:space="0" w:color="auto"/>
            </w:tcBorders>
            <w:vAlign w:val="center"/>
          </w:tcPr>
          <w:p w14:paraId="620190DF" w14:textId="77777777" w:rsidR="00194CA4" w:rsidRPr="00853D04" w:rsidRDefault="00194CA4" w:rsidP="00194CA4">
            <w:pPr>
              <w:ind w:right="-29"/>
              <w:jc w:val="center"/>
              <w:rPr>
                <w:noProof/>
                <w:sz w:val="18"/>
              </w:rPr>
            </w:pPr>
            <w:r w:rsidRPr="00853D04">
              <w:rPr>
                <w:noProof/>
                <w:sz w:val="20"/>
              </w:rPr>
              <w:t>0,100</w:t>
            </w:r>
          </w:p>
        </w:tc>
        <w:tc>
          <w:tcPr>
            <w:tcW w:w="900" w:type="dxa"/>
            <w:tcBorders>
              <w:bottom w:val="single" w:sz="12" w:space="0" w:color="auto"/>
            </w:tcBorders>
            <w:vAlign w:val="center"/>
          </w:tcPr>
          <w:p w14:paraId="711FAACD" w14:textId="77777777" w:rsidR="00194CA4" w:rsidRPr="00853D04" w:rsidRDefault="007F0EFE" w:rsidP="00194CA4">
            <w:pPr>
              <w:ind w:right="-29"/>
              <w:jc w:val="center"/>
              <w:rPr>
                <w:noProof/>
                <w:sz w:val="18"/>
              </w:rPr>
            </w:pPr>
            <w:r w:rsidRPr="00853D04">
              <w:rPr>
                <w:noProof/>
                <w:sz w:val="18"/>
              </w:rPr>
              <w:t>1</w:t>
            </w:r>
          </w:p>
        </w:tc>
        <w:tc>
          <w:tcPr>
            <w:tcW w:w="720" w:type="dxa"/>
            <w:tcBorders>
              <w:bottom w:val="single" w:sz="12" w:space="0" w:color="auto"/>
            </w:tcBorders>
            <w:vAlign w:val="center"/>
          </w:tcPr>
          <w:p w14:paraId="66E87AF9" w14:textId="77777777" w:rsidR="00194CA4" w:rsidRPr="00853D04" w:rsidRDefault="00194CA4" w:rsidP="00194CA4">
            <w:pPr>
              <w:ind w:right="-29"/>
              <w:jc w:val="center"/>
              <w:rPr>
                <w:noProof/>
                <w:sz w:val="18"/>
              </w:rPr>
            </w:pPr>
            <w:r w:rsidRPr="00853D04">
              <w:rPr>
                <w:noProof/>
                <w:sz w:val="20"/>
              </w:rPr>
              <w:t>0,100</w:t>
            </w:r>
          </w:p>
        </w:tc>
        <w:tc>
          <w:tcPr>
            <w:tcW w:w="540" w:type="dxa"/>
            <w:tcBorders>
              <w:bottom w:val="single" w:sz="12" w:space="0" w:color="auto"/>
            </w:tcBorders>
          </w:tcPr>
          <w:p w14:paraId="7FC29013" w14:textId="77777777" w:rsidR="00194CA4" w:rsidRPr="00853D04" w:rsidRDefault="00194CA4" w:rsidP="00194CA4">
            <w:pPr>
              <w:ind w:right="-29"/>
              <w:jc w:val="center"/>
              <w:rPr>
                <w:noProof/>
                <w:sz w:val="18"/>
              </w:rPr>
            </w:pPr>
          </w:p>
        </w:tc>
        <w:tc>
          <w:tcPr>
            <w:tcW w:w="648" w:type="dxa"/>
            <w:tcBorders>
              <w:bottom w:val="single" w:sz="12" w:space="0" w:color="auto"/>
            </w:tcBorders>
          </w:tcPr>
          <w:p w14:paraId="661E1F23" w14:textId="77777777" w:rsidR="00194CA4" w:rsidRPr="00853D04" w:rsidRDefault="00194CA4" w:rsidP="00194CA4">
            <w:pPr>
              <w:ind w:right="-29"/>
              <w:jc w:val="center"/>
              <w:rPr>
                <w:noProof/>
                <w:sz w:val="18"/>
              </w:rPr>
            </w:pPr>
          </w:p>
        </w:tc>
        <w:tc>
          <w:tcPr>
            <w:tcW w:w="432" w:type="dxa"/>
            <w:gridSpan w:val="2"/>
            <w:tcBorders>
              <w:bottom w:val="single" w:sz="12" w:space="0" w:color="auto"/>
            </w:tcBorders>
          </w:tcPr>
          <w:p w14:paraId="2C9D73D5" w14:textId="77777777" w:rsidR="00194CA4" w:rsidRPr="00853D04" w:rsidRDefault="00194CA4" w:rsidP="00194CA4">
            <w:pPr>
              <w:ind w:right="-29"/>
              <w:jc w:val="center"/>
              <w:rPr>
                <w:noProof/>
                <w:sz w:val="18"/>
              </w:rPr>
            </w:pPr>
          </w:p>
        </w:tc>
        <w:tc>
          <w:tcPr>
            <w:tcW w:w="720" w:type="dxa"/>
            <w:gridSpan w:val="2"/>
            <w:tcBorders>
              <w:bottom w:val="single" w:sz="12" w:space="0" w:color="auto"/>
            </w:tcBorders>
          </w:tcPr>
          <w:p w14:paraId="2F717E5C" w14:textId="77777777" w:rsidR="00194CA4" w:rsidRPr="00853D04" w:rsidRDefault="00194CA4" w:rsidP="00194CA4">
            <w:pPr>
              <w:ind w:right="-29"/>
              <w:jc w:val="center"/>
              <w:rPr>
                <w:noProof/>
                <w:sz w:val="18"/>
              </w:rPr>
            </w:pPr>
          </w:p>
        </w:tc>
        <w:tc>
          <w:tcPr>
            <w:tcW w:w="540" w:type="dxa"/>
            <w:tcBorders>
              <w:bottom w:val="single" w:sz="12" w:space="0" w:color="auto"/>
            </w:tcBorders>
          </w:tcPr>
          <w:p w14:paraId="300949F1" w14:textId="77777777" w:rsidR="00194CA4" w:rsidRPr="00853D04" w:rsidRDefault="00194CA4" w:rsidP="00194CA4">
            <w:pPr>
              <w:ind w:right="-29"/>
              <w:jc w:val="center"/>
              <w:rPr>
                <w:noProof/>
                <w:sz w:val="18"/>
              </w:rPr>
            </w:pPr>
          </w:p>
        </w:tc>
        <w:tc>
          <w:tcPr>
            <w:tcW w:w="720" w:type="dxa"/>
            <w:tcBorders>
              <w:bottom w:val="single" w:sz="12" w:space="0" w:color="auto"/>
            </w:tcBorders>
          </w:tcPr>
          <w:p w14:paraId="6F667711" w14:textId="77777777" w:rsidR="00194CA4" w:rsidRPr="00853D04" w:rsidRDefault="00194CA4" w:rsidP="00194CA4">
            <w:pPr>
              <w:ind w:right="-29"/>
              <w:jc w:val="center"/>
              <w:rPr>
                <w:noProof/>
                <w:sz w:val="18"/>
              </w:rPr>
            </w:pPr>
          </w:p>
        </w:tc>
        <w:tc>
          <w:tcPr>
            <w:tcW w:w="720" w:type="dxa"/>
            <w:tcBorders>
              <w:bottom w:val="single" w:sz="12" w:space="0" w:color="auto"/>
            </w:tcBorders>
          </w:tcPr>
          <w:p w14:paraId="48F2C32F" w14:textId="77777777" w:rsidR="00194CA4" w:rsidRPr="00853D04" w:rsidRDefault="00194CA4" w:rsidP="00194CA4">
            <w:pPr>
              <w:ind w:right="-29"/>
              <w:jc w:val="center"/>
              <w:rPr>
                <w:noProof/>
                <w:sz w:val="18"/>
              </w:rPr>
            </w:pPr>
          </w:p>
        </w:tc>
        <w:tc>
          <w:tcPr>
            <w:tcW w:w="900" w:type="dxa"/>
            <w:tcBorders>
              <w:bottom w:val="single" w:sz="12" w:space="0" w:color="auto"/>
            </w:tcBorders>
          </w:tcPr>
          <w:p w14:paraId="2436AD3B" w14:textId="77777777" w:rsidR="00194CA4" w:rsidRPr="00853D04" w:rsidRDefault="00C17A43" w:rsidP="00194CA4">
            <w:pPr>
              <w:ind w:right="-29"/>
              <w:jc w:val="center"/>
              <w:rPr>
                <w:noProof/>
                <w:sz w:val="18"/>
              </w:rPr>
            </w:pPr>
            <w:r w:rsidRPr="00853D04">
              <w:rPr>
                <w:noProof/>
                <w:sz w:val="18"/>
              </w:rPr>
              <w:t>0,85</w:t>
            </w:r>
          </w:p>
        </w:tc>
      </w:tr>
      <w:tr w:rsidR="00194CA4" w:rsidRPr="00853D04" w14:paraId="03C23AE2" w14:textId="77777777" w:rsidTr="718FF3BF">
        <w:trPr>
          <w:jc w:val="center"/>
        </w:trPr>
        <w:tc>
          <w:tcPr>
            <w:tcW w:w="2844" w:type="dxa"/>
            <w:gridSpan w:val="3"/>
            <w:tcBorders>
              <w:top w:val="single" w:sz="12" w:space="0" w:color="auto"/>
              <w:left w:val="single" w:sz="12" w:space="0" w:color="auto"/>
              <w:bottom w:val="single" w:sz="12" w:space="0" w:color="auto"/>
            </w:tcBorders>
            <w:vAlign w:val="center"/>
          </w:tcPr>
          <w:p w14:paraId="0536C709" w14:textId="77777777" w:rsidR="00194CA4" w:rsidRPr="00853D04" w:rsidRDefault="00194CA4" w:rsidP="00194CA4">
            <w:pPr>
              <w:ind w:right="-29"/>
              <w:jc w:val="center"/>
              <w:rPr>
                <w:noProof/>
                <w:sz w:val="18"/>
              </w:rPr>
            </w:pPr>
            <w:r w:rsidRPr="00853D04">
              <w:rPr>
                <w:b/>
                <w:noProof/>
                <w:sz w:val="18"/>
              </w:rPr>
              <w:t>OGÓŁEM</w:t>
            </w:r>
          </w:p>
        </w:tc>
        <w:tc>
          <w:tcPr>
            <w:tcW w:w="504" w:type="dxa"/>
            <w:tcBorders>
              <w:top w:val="single" w:sz="12" w:space="0" w:color="auto"/>
              <w:bottom w:val="single" w:sz="12" w:space="0" w:color="auto"/>
            </w:tcBorders>
          </w:tcPr>
          <w:p w14:paraId="217E4F6E" w14:textId="77777777" w:rsidR="00194CA4" w:rsidRPr="00853D04" w:rsidRDefault="00194CA4" w:rsidP="00194CA4">
            <w:pPr>
              <w:spacing w:before="180" w:after="180"/>
              <w:ind w:right="-29"/>
              <w:jc w:val="center"/>
              <w:rPr>
                <w:noProof/>
                <w:sz w:val="18"/>
              </w:rPr>
            </w:pPr>
          </w:p>
        </w:tc>
        <w:tc>
          <w:tcPr>
            <w:tcW w:w="720" w:type="dxa"/>
            <w:tcBorders>
              <w:top w:val="single" w:sz="12" w:space="0" w:color="auto"/>
              <w:bottom w:val="single" w:sz="12" w:space="0" w:color="auto"/>
            </w:tcBorders>
          </w:tcPr>
          <w:p w14:paraId="05B9FA6B" w14:textId="77777777" w:rsidR="00194CA4" w:rsidRPr="00853D04" w:rsidRDefault="00194CA4" w:rsidP="00194CA4">
            <w:pPr>
              <w:spacing w:before="180" w:after="180"/>
              <w:ind w:right="-29"/>
              <w:jc w:val="center"/>
              <w:rPr>
                <w:noProof/>
                <w:sz w:val="18"/>
              </w:rPr>
            </w:pPr>
          </w:p>
        </w:tc>
        <w:tc>
          <w:tcPr>
            <w:tcW w:w="540" w:type="dxa"/>
            <w:tcBorders>
              <w:top w:val="single" w:sz="12" w:space="0" w:color="auto"/>
              <w:bottom w:val="single" w:sz="12" w:space="0" w:color="auto"/>
            </w:tcBorders>
          </w:tcPr>
          <w:p w14:paraId="4AC88AFA" w14:textId="77777777" w:rsidR="00194CA4" w:rsidRPr="00853D04" w:rsidRDefault="00194CA4" w:rsidP="00194CA4">
            <w:pPr>
              <w:spacing w:before="180" w:after="180"/>
              <w:ind w:right="-29"/>
              <w:jc w:val="center"/>
              <w:rPr>
                <w:noProof/>
                <w:sz w:val="18"/>
              </w:rPr>
            </w:pPr>
          </w:p>
        </w:tc>
        <w:tc>
          <w:tcPr>
            <w:tcW w:w="720" w:type="dxa"/>
            <w:tcBorders>
              <w:top w:val="single" w:sz="12" w:space="0" w:color="auto"/>
              <w:bottom w:val="single" w:sz="12" w:space="0" w:color="auto"/>
            </w:tcBorders>
          </w:tcPr>
          <w:p w14:paraId="0A8863D4" w14:textId="77777777" w:rsidR="00194CA4" w:rsidRPr="00853D04" w:rsidRDefault="00194CA4" w:rsidP="00194CA4">
            <w:pPr>
              <w:spacing w:before="180" w:after="180"/>
              <w:ind w:right="-29"/>
              <w:jc w:val="center"/>
              <w:rPr>
                <w:noProof/>
                <w:sz w:val="18"/>
              </w:rPr>
            </w:pPr>
          </w:p>
        </w:tc>
        <w:tc>
          <w:tcPr>
            <w:tcW w:w="720" w:type="dxa"/>
            <w:tcBorders>
              <w:top w:val="single" w:sz="12" w:space="0" w:color="auto"/>
              <w:bottom w:val="single" w:sz="12" w:space="0" w:color="auto"/>
            </w:tcBorders>
          </w:tcPr>
          <w:p w14:paraId="2D6A68AD" w14:textId="77777777" w:rsidR="00194CA4" w:rsidRPr="00853D04" w:rsidRDefault="00194CA4" w:rsidP="00194CA4">
            <w:pPr>
              <w:spacing w:before="180" w:after="180"/>
              <w:ind w:right="-29"/>
              <w:jc w:val="center"/>
              <w:rPr>
                <w:noProof/>
                <w:sz w:val="18"/>
              </w:rPr>
            </w:pPr>
          </w:p>
        </w:tc>
        <w:tc>
          <w:tcPr>
            <w:tcW w:w="720" w:type="dxa"/>
            <w:tcBorders>
              <w:top w:val="single" w:sz="12" w:space="0" w:color="auto"/>
              <w:bottom w:val="single" w:sz="12" w:space="0" w:color="auto"/>
            </w:tcBorders>
          </w:tcPr>
          <w:p w14:paraId="663E7236" w14:textId="77777777" w:rsidR="00194CA4" w:rsidRPr="00853D04" w:rsidRDefault="00194CA4" w:rsidP="00194CA4">
            <w:pPr>
              <w:spacing w:before="180" w:after="180"/>
              <w:ind w:right="-29"/>
              <w:jc w:val="center"/>
              <w:rPr>
                <w:noProof/>
                <w:sz w:val="18"/>
              </w:rPr>
            </w:pPr>
          </w:p>
        </w:tc>
        <w:tc>
          <w:tcPr>
            <w:tcW w:w="900" w:type="dxa"/>
            <w:tcBorders>
              <w:top w:val="single" w:sz="12" w:space="0" w:color="auto"/>
              <w:bottom w:val="single" w:sz="12" w:space="0" w:color="auto"/>
            </w:tcBorders>
          </w:tcPr>
          <w:p w14:paraId="04B078C2" w14:textId="77777777" w:rsidR="00194CA4" w:rsidRPr="00853D04" w:rsidRDefault="00194CA4" w:rsidP="00194CA4">
            <w:pPr>
              <w:spacing w:before="180" w:after="180"/>
              <w:ind w:right="-29"/>
              <w:jc w:val="center"/>
              <w:rPr>
                <w:noProof/>
                <w:sz w:val="18"/>
              </w:rPr>
            </w:pPr>
          </w:p>
        </w:tc>
        <w:tc>
          <w:tcPr>
            <w:tcW w:w="720" w:type="dxa"/>
            <w:tcBorders>
              <w:top w:val="single" w:sz="12" w:space="0" w:color="auto"/>
              <w:bottom w:val="single" w:sz="12" w:space="0" w:color="auto"/>
            </w:tcBorders>
          </w:tcPr>
          <w:p w14:paraId="0115569D" w14:textId="77777777" w:rsidR="00194CA4" w:rsidRPr="00853D04" w:rsidRDefault="00194CA4" w:rsidP="00194CA4">
            <w:pPr>
              <w:spacing w:before="180" w:after="180"/>
              <w:ind w:right="-29"/>
              <w:jc w:val="center"/>
              <w:rPr>
                <w:noProof/>
                <w:sz w:val="18"/>
              </w:rPr>
            </w:pPr>
          </w:p>
        </w:tc>
        <w:tc>
          <w:tcPr>
            <w:tcW w:w="540" w:type="dxa"/>
            <w:tcBorders>
              <w:top w:val="single" w:sz="12" w:space="0" w:color="auto"/>
              <w:bottom w:val="single" w:sz="12" w:space="0" w:color="auto"/>
            </w:tcBorders>
          </w:tcPr>
          <w:p w14:paraId="2AA877FD" w14:textId="77777777" w:rsidR="00194CA4" w:rsidRPr="00853D04" w:rsidRDefault="00194CA4" w:rsidP="00194CA4">
            <w:pPr>
              <w:spacing w:before="180" w:after="180"/>
              <w:ind w:right="-29"/>
              <w:rPr>
                <w:noProof/>
                <w:sz w:val="18"/>
              </w:rPr>
            </w:pPr>
          </w:p>
        </w:tc>
        <w:tc>
          <w:tcPr>
            <w:tcW w:w="648" w:type="dxa"/>
            <w:tcBorders>
              <w:top w:val="single" w:sz="12" w:space="0" w:color="auto"/>
              <w:bottom w:val="single" w:sz="12" w:space="0" w:color="auto"/>
            </w:tcBorders>
          </w:tcPr>
          <w:p w14:paraId="1C0FEC2C" w14:textId="77777777" w:rsidR="00194CA4" w:rsidRPr="00853D04" w:rsidRDefault="00194CA4" w:rsidP="00194CA4">
            <w:pPr>
              <w:spacing w:before="180" w:after="180"/>
              <w:ind w:right="-29"/>
              <w:jc w:val="center"/>
              <w:rPr>
                <w:noProof/>
                <w:sz w:val="18"/>
              </w:rPr>
            </w:pPr>
          </w:p>
        </w:tc>
        <w:tc>
          <w:tcPr>
            <w:tcW w:w="432" w:type="dxa"/>
            <w:gridSpan w:val="2"/>
            <w:tcBorders>
              <w:top w:val="single" w:sz="12" w:space="0" w:color="auto"/>
              <w:bottom w:val="single" w:sz="12" w:space="0" w:color="auto"/>
            </w:tcBorders>
          </w:tcPr>
          <w:p w14:paraId="29E408FF" w14:textId="77777777" w:rsidR="00194CA4" w:rsidRPr="00853D04" w:rsidRDefault="00194CA4" w:rsidP="00194CA4">
            <w:pPr>
              <w:spacing w:before="180" w:after="180"/>
              <w:ind w:right="-29"/>
              <w:jc w:val="center"/>
              <w:rPr>
                <w:noProof/>
                <w:sz w:val="18"/>
              </w:rPr>
            </w:pPr>
          </w:p>
        </w:tc>
        <w:tc>
          <w:tcPr>
            <w:tcW w:w="720" w:type="dxa"/>
            <w:gridSpan w:val="2"/>
            <w:tcBorders>
              <w:top w:val="single" w:sz="12" w:space="0" w:color="auto"/>
              <w:bottom w:val="single" w:sz="12" w:space="0" w:color="auto"/>
            </w:tcBorders>
          </w:tcPr>
          <w:p w14:paraId="2C39F8E4" w14:textId="77777777" w:rsidR="00194CA4" w:rsidRPr="00853D04" w:rsidRDefault="00194CA4" w:rsidP="00194CA4">
            <w:pPr>
              <w:spacing w:before="180" w:after="180"/>
              <w:ind w:right="-29"/>
              <w:jc w:val="center"/>
              <w:rPr>
                <w:noProof/>
                <w:sz w:val="18"/>
              </w:rPr>
            </w:pPr>
          </w:p>
        </w:tc>
        <w:tc>
          <w:tcPr>
            <w:tcW w:w="540" w:type="dxa"/>
            <w:tcBorders>
              <w:top w:val="single" w:sz="12" w:space="0" w:color="auto"/>
              <w:bottom w:val="single" w:sz="12" w:space="0" w:color="auto"/>
            </w:tcBorders>
          </w:tcPr>
          <w:p w14:paraId="470E0148" w14:textId="77777777" w:rsidR="00194CA4" w:rsidRPr="00853D04" w:rsidRDefault="00194CA4" w:rsidP="00194CA4">
            <w:pPr>
              <w:spacing w:before="180" w:after="180"/>
              <w:ind w:right="-29"/>
              <w:jc w:val="center"/>
              <w:rPr>
                <w:noProof/>
                <w:sz w:val="18"/>
              </w:rPr>
            </w:pPr>
          </w:p>
        </w:tc>
        <w:tc>
          <w:tcPr>
            <w:tcW w:w="720" w:type="dxa"/>
            <w:tcBorders>
              <w:top w:val="single" w:sz="12" w:space="0" w:color="auto"/>
              <w:bottom w:val="single" w:sz="12" w:space="0" w:color="auto"/>
            </w:tcBorders>
          </w:tcPr>
          <w:p w14:paraId="7F53FD0F" w14:textId="77777777" w:rsidR="00194CA4" w:rsidRPr="00853D04" w:rsidRDefault="00194CA4" w:rsidP="00194CA4">
            <w:pPr>
              <w:spacing w:before="180" w:after="180"/>
              <w:ind w:right="-29"/>
              <w:jc w:val="center"/>
              <w:rPr>
                <w:noProof/>
                <w:sz w:val="18"/>
              </w:rPr>
            </w:pPr>
          </w:p>
        </w:tc>
        <w:tc>
          <w:tcPr>
            <w:tcW w:w="720" w:type="dxa"/>
            <w:tcBorders>
              <w:top w:val="single" w:sz="12" w:space="0" w:color="auto"/>
              <w:bottom w:val="single" w:sz="12" w:space="0" w:color="auto"/>
            </w:tcBorders>
          </w:tcPr>
          <w:p w14:paraId="54201F22" w14:textId="77777777" w:rsidR="00194CA4" w:rsidRPr="00853D04" w:rsidRDefault="00194CA4" w:rsidP="00194CA4">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6F5750C3" w14:textId="77777777" w:rsidR="00194CA4" w:rsidRPr="00853D04" w:rsidRDefault="00194CA4" w:rsidP="00194CA4">
            <w:pPr>
              <w:spacing w:before="180" w:after="180"/>
              <w:ind w:right="-29"/>
              <w:jc w:val="center"/>
              <w:rPr>
                <w:b/>
                <w:noProof/>
                <w:sz w:val="18"/>
              </w:rPr>
            </w:pPr>
          </w:p>
        </w:tc>
      </w:tr>
    </w:tbl>
    <w:p w14:paraId="4D59B543" w14:textId="77777777" w:rsidR="00BE7E05" w:rsidRPr="00853D04" w:rsidRDefault="00BE7E05">
      <w:pPr>
        <w:rPr>
          <w:noProof/>
        </w:rPr>
        <w:sectPr w:rsidR="00BE7E05" w:rsidRPr="00853D04" w:rsidSect="002D57EB">
          <w:headerReference w:type="default" r:id="rId22"/>
          <w:footerReference w:type="default" r:id="rId23"/>
          <w:headerReference w:type="first" r:id="rId24"/>
          <w:footerReference w:type="first" r:id="rId25"/>
          <w:pgSz w:w="16840" w:h="11907" w:orient="landscape" w:code="9"/>
          <w:pgMar w:top="1134" w:right="1418" w:bottom="567" w:left="1418" w:header="709" w:footer="709" w:gutter="0"/>
          <w:cols w:space="708"/>
          <w:docGrid w:linePitch="360"/>
        </w:sectPr>
      </w:pPr>
    </w:p>
    <w:p w14:paraId="058B97EC" w14:textId="77777777" w:rsidR="00BE7E05" w:rsidRPr="00853D04" w:rsidRDefault="00BE7E05">
      <w:pPr>
        <w:pStyle w:val="ManualHeading3"/>
        <w:rPr>
          <w:noProof/>
        </w:rPr>
      </w:pPr>
      <w:bookmarkStart w:id="63" w:name="_Toc514938055"/>
      <w:bookmarkStart w:id="64" w:name="_Toc520485054"/>
      <w:r w:rsidRPr="00853D04">
        <w:rPr>
          <w:noProof/>
        </w:rPr>
        <w:t>3.2.3.</w:t>
      </w:r>
      <w:r w:rsidRPr="00853D04">
        <w:rPr>
          <w:noProof/>
        </w:rPr>
        <w:tab/>
        <w:t>Podsumowanie szacunkowego wpływu na środki administracyjne</w:t>
      </w:r>
      <w:bookmarkEnd w:id="63"/>
      <w:bookmarkEnd w:id="64"/>
      <w:r w:rsidRPr="00853D04">
        <w:rPr>
          <w:noProof/>
        </w:rPr>
        <w:t xml:space="preserve"> </w:t>
      </w:r>
    </w:p>
    <w:p w14:paraId="574FDE46" w14:textId="40385570" w:rsidR="00BE7E05" w:rsidRPr="00853D04" w:rsidRDefault="00BE7E05" w:rsidP="00F66EBA">
      <w:pPr>
        <w:pStyle w:val="ListDash1"/>
        <w:rPr>
          <w:noProof/>
        </w:rPr>
      </w:pPr>
      <w:r w:rsidRPr="00853D04">
        <w:rPr>
          <w:noProof/>
        </w:rPr>
        <w:t>¨</w:t>
      </w:r>
      <w:r w:rsidRPr="00853D04">
        <w:rPr>
          <w:noProof/>
        </w:rPr>
        <w:tab/>
        <w:t>Wniosek/inicjatywa nie wiąże się</w:t>
      </w:r>
      <w:r w:rsidR="00C13C75" w:rsidRPr="00853D04">
        <w:rPr>
          <w:noProof/>
        </w:rPr>
        <w:t xml:space="preserve"> z</w:t>
      </w:r>
      <w:r w:rsidR="00C13C75">
        <w:rPr>
          <w:noProof/>
        </w:rPr>
        <w:t> </w:t>
      </w:r>
      <w:r w:rsidR="00C13C75" w:rsidRPr="00853D04">
        <w:rPr>
          <w:noProof/>
        </w:rPr>
        <w:t>kon</w:t>
      </w:r>
      <w:r w:rsidRPr="00853D04">
        <w:rPr>
          <w:noProof/>
        </w:rPr>
        <w:t xml:space="preserve">iecznością wykorzystania środków administracyjnych </w:t>
      </w:r>
    </w:p>
    <w:p w14:paraId="2E0EFD58" w14:textId="6ABAE5FE" w:rsidR="00BE7E05" w:rsidRPr="00853D04" w:rsidRDefault="001E408D" w:rsidP="00F66EBA">
      <w:pPr>
        <w:pStyle w:val="ListDash1"/>
        <w:rPr>
          <w:noProof/>
        </w:rPr>
      </w:pPr>
      <w:r w:rsidRPr="00853D04">
        <w:rPr>
          <w:noProof/>
        </w:rPr>
        <w:t>X</w:t>
      </w:r>
      <w:r w:rsidRPr="00853D04">
        <w:rPr>
          <w:noProof/>
        </w:rPr>
        <w:tab/>
        <w:t>Wniosek/inicjatywa wiąże się</w:t>
      </w:r>
      <w:r w:rsidR="00C13C75" w:rsidRPr="00853D04">
        <w:rPr>
          <w:noProof/>
        </w:rPr>
        <w:t xml:space="preserve"> z</w:t>
      </w:r>
      <w:r w:rsidR="00C13C75">
        <w:rPr>
          <w:noProof/>
        </w:rPr>
        <w:t> </w:t>
      </w:r>
      <w:r w:rsidR="00C13C75" w:rsidRPr="00853D04">
        <w:rPr>
          <w:noProof/>
        </w:rPr>
        <w:t>kon</w:t>
      </w:r>
      <w:r w:rsidRPr="00853D04">
        <w:rPr>
          <w:noProof/>
        </w:rPr>
        <w:t>iecznością wykorzystania środków administracyjnych, jak określono poniżej:</w:t>
      </w:r>
    </w:p>
    <w:p w14:paraId="1019F19D" w14:textId="77777777" w:rsidR="00BE7E05" w:rsidRPr="00853D04" w:rsidRDefault="00BE7E05">
      <w:pPr>
        <w:jc w:val="right"/>
        <w:rPr>
          <w:noProof/>
          <w:sz w:val="20"/>
        </w:rPr>
      </w:pPr>
      <w:r w:rsidRPr="00853D04">
        <w:rPr>
          <w:noProof/>
          <w:sz w:val="20"/>
        </w:rPr>
        <w:t>w mln EUR (do trzech miejsc po przecinku)</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3"/>
        <w:gridCol w:w="1134"/>
        <w:gridCol w:w="1023"/>
        <w:gridCol w:w="1080"/>
      </w:tblGrid>
      <w:tr w:rsidR="006D15B6" w:rsidRPr="00853D04" w14:paraId="56B67D61" w14:textId="77777777" w:rsidTr="007F49AC">
        <w:trPr>
          <w:trHeight w:val="585"/>
        </w:trPr>
        <w:tc>
          <w:tcPr>
            <w:tcW w:w="1980" w:type="dxa"/>
          </w:tcPr>
          <w:p w14:paraId="4E56C2F1" w14:textId="77777777" w:rsidR="007F49AC" w:rsidRPr="00853D04" w:rsidRDefault="007F49AC" w:rsidP="007F49AC">
            <w:pPr>
              <w:spacing w:before="60" w:after="60" w:line="200" w:lineRule="exact"/>
              <w:rPr>
                <w:noProof/>
                <w:sz w:val="16"/>
              </w:rPr>
            </w:pPr>
          </w:p>
        </w:tc>
        <w:tc>
          <w:tcPr>
            <w:tcW w:w="1080" w:type="dxa"/>
            <w:vAlign w:val="center"/>
          </w:tcPr>
          <w:p w14:paraId="71816626" w14:textId="77777777" w:rsidR="007F49AC" w:rsidRPr="00853D04" w:rsidRDefault="007F49AC" w:rsidP="007F49AC">
            <w:pPr>
              <w:spacing w:before="60" w:after="60" w:line="200" w:lineRule="exact"/>
              <w:jc w:val="center"/>
              <w:rPr>
                <w:noProof/>
                <w:sz w:val="16"/>
              </w:rPr>
            </w:pPr>
            <w:r w:rsidRPr="00853D04">
              <w:rPr>
                <w:b/>
                <w:noProof/>
                <w:sz w:val="20"/>
              </w:rPr>
              <w:t>2024</w:t>
            </w:r>
          </w:p>
        </w:tc>
        <w:tc>
          <w:tcPr>
            <w:tcW w:w="1080" w:type="dxa"/>
            <w:vAlign w:val="center"/>
          </w:tcPr>
          <w:p w14:paraId="0C38AE67" w14:textId="77777777" w:rsidR="007F49AC" w:rsidRPr="00853D04" w:rsidRDefault="007F49AC" w:rsidP="007F49AC">
            <w:pPr>
              <w:spacing w:before="60" w:after="60" w:line="200" w:lineRule="exact"/>
              <w:jc w:val="center"/>
              <w:rPr>
                <w:noProof/>
                <w:sz w:val="16"/>
              </w:rPr>
            </w:pPr>
            <w:r w:rsidRPr="00853D04">
              <w:rPr>
                <w:b/>
                <w:noProof/>
                <w:sz w:val="20"/>
              </w:rPr>
              <w:t>2025</w:t>
            </w:r>
          </w:p>
        </w:tc>
        <w:tc>
          <w:tcPr>
            <w:tcW w:w="1080" w:type="dxa"/>
            <w:vAlign w:val="center"/>
          </w:tcPr>
          <w:p w14:paraId="75875CC9" w14:textId="77777777" w:rsidR="007F49AC" w:rsidRPr="00853D04" w:rsidRDefault="007F49AC" w:rsidP="007F49AC">
            <w:pPr>
              <w:spacing w:before="60" w:after="60" w:line="200" w:lineRule="exact"/>
              <w:jc w:val="center"/>
              <w:rPr>
                <w:noProof/>
                <w:sz w:val="16"/>
              </w:rPr>
            </w:pPr>
            <w:r w:rsidRPr="00853D04">
              <w:rPr>
                <w:b/>
                <w:noProof/>
                <w:sz w:val="20"/>
              </w:rPr>
              <w:t>2026</w:t>
            </w:r>
          </w:p>
        </w:tc>
        <w:tc>
          <w:tcPr>
            <w:tcW w:w="1080" w:type="dxa"/>
            <w:vAlign w:val="center"/>
          </w:tcPr>
          <w:p w14:paraId="64FF9423" w14:textId="77777777" w:rsidR="007F49AC" w:rsidRPr="00853D04" w:rsidRDefault="007F49AC" w:rsidP="007F49AC">
            <w:pPr>
              <w:spacing w:before="60" w:after="60" w:line="200" w:lineRule="exact"/>
              <w:jc w:val="center"/>
              <w:rPr>
                <w:noProof/>
                <w:sz w:val="16"/>
              </w:rPr>
            </w:pPr>
            <w:r w:rsidRPr="00853D04">
              <w:rPr>
                <w:b/>
                <w:noProof/>
                <w:sz w:val="20"/>
              </w:rPr>
              <w:t>2027</w:t>
            </w:r>
          </w:p>
        </w:tc>
        <w:tc>
          <w:tcPr>
            <w:tcW w:w="1083" w:type="dxa"/>
            <w:vAlign w:val="center"/>
          </w:tcPr>
          <w:p w14:paraId="3BE2EC24" w14:textId="77777777" w:rsidR="007F49AC" w:rsidRPr="00853D04" w:rsidRDefault="007F49AC" w:rsidP="007F49AC">
            <w:pPr>
              <w:spacing w:line="200" w:lineRule="exact"/>
              <w:jc w:val="center"/>
              <w:rPr>
                <w:b/>
                <w:noProof/>
                <w:sz w:val="18"/>
              </w:rPr>
            </w:pPr>
            <w:r w:rsidRPr="00853D04">
              <w:rPr>
                <w:b/>
                <w:noProof/>
                <w:sz w:val="18"/>
              </w:rPr>
              <w:t>2028</w:t>
            </w:r>
          </w:p>
        </w:tc>
        <w:tc>
          <w:tcPr>
            <w:tcW w:w="1134" w:type="dxa"/>
            <w:vAlign w:val="center"/>
          </w:tcPr>
          <w:p w14:paraId="0B89EA5D" w14:textId="77777777" w:rsidR="007F49AC" w:rsidRPr="00853D04" w:rsidRDefault="007F49AC" w:rsidP="007F49AC">
            <w:pPr>
              <w:spacing w:line="200" w:lineRule="exact"/>
              <w:jc w:val="center"/>
              <w:rPr>
                <w:b/>
                <w:noProof/>
                <w:sz w:val="18"/>
              </w:rPr>
            </w:pPr>
            <w:r w:rsidRPr="00853D04">
              <w:rPr>
                <w:b/>
                <w:noProof/>
                <w:sz w:val="18"/>
              </w:rPr>
              <w:t>2029</w:t>
            </w:r>
          </w:p>
        </w:tc>
        <w:tc>
          <w:tcPr>
            <w:tcW w:w="1023" w:type="dxa"/>
            <w:vAlign w:val="center"/>
          </w:tcPr>
          <w:p w14:paraId="44F097A0" w14:textId="77777777" w:rsidR="007F49AC" w:rsidRPr="00853D04" w:rsidRDefault="007F49AC" w:rsidP="007F49AC">
            <w:pPr>
              <w:spacing w:line="200" w:lineRule="exact"/>
              <w:jc w:val="center"/>
              <w:rPr>
                <w:b/>
                <w:noProof/>
                <w:sz w:val="16"/>
              </w:rPr>
            </w:pPr>
            <w:r w:rsidRPr="00853D04">
              <w:rPr>
                <w:b/>
                <w:noProof/>
                <w:sz w:val="18"/>
              </w:rPr>
              <w:t>2030</w:t>
            </w:r>
          </w:p>
        </w:tc>
        <w:tc>
          <w:tcPr>
            <w:tcW w:w="1080" w:type="dxa"/>
            <w:vAlign w:val="center"/>
          </w:tcPr>
          <w:p w14:paraId="5CF5A48C" w14:textId="77777777" w:rsidR="007F49AC" w:rsidRPr="00853D04" w:rsidRDefault="007F49AC" w:rsidP="007F49AC">
            <w:pPr>
              <w:spacing w:before="60" w:after="60" w:line="200" w:lineRule="exact"/>
              <w:jc w:val="center"/>
              <w:rPr>
                <w:b/>
                <w:noProof/>
                <w:sz w:val="16"/>
              </w:rPr>
            </w:pPr>
            <w:r w:rsidRPr="00853D04">
              <w:rPr>
                <w:b/>
                <w:noProof/>
                <w:sz w:val="16"/>
              </w:rPr>
              <w:t>OGÓŁEM</w:t>
            </w:r>
          </w:p>
        </w:tc>
      </w:tr>
    </w:tbl>
    <w:p w14:paraId="31F4C902" w14:textId="77777777" w:rsidR="00BE7E05" w:rsidRPr="00853D04" w:rsidRDefault="00BE7E05">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4E83" w:rsidRPr="00853D04" w14:paraId="6868B9C9" w14:textId="77777777">
        <w:trPr>
          <w:trHeight w:val="585"/>
        </w:trPr>
        <w:tc>
          <w:tcPr>
            <w:tcW w:w="1980" w:type="dxa"/>
            <w:shd w:val="clear" w:color="auto" w:fill="CCCCCC"/>
            <w:vAlign w:val="center"/>
          </w:tcPr>
          <w:p w14:paraId="16D0123E" w14:textId="77777777" w:rsidR="00BE7E05" w:rsidRPr="00853D04" w:rsidRDefault="00BE7E05">
            <w:pPr>
              <w:spacing w:before="60" w:after="60" w:line="200" w:lineRule="exact"/>
              <w:jc w:val="center"/>
              <w:rPr>
                <w:b/>
                <w:noProof/>
                <w:sz w:val="16"/>
              </w:rPr>
            </w:pPr>
            <w:r w:rsidRPr="00853D04">
              <w:rPr>
                <w:b/>
                <w:noProof/>
                <w:sz w:val="16"/>
              </w:rPr>
              <w:t>DZIAŁ 7</w:t>
            </w:r>
            <w:r w:rsidRPr="00853D04">
              <w:rPr>
                <w:noProof/>
              </w:rPr>
              <w:t xml:space="preserve"> </w:t>
            </w:r>
            <w:r w:rsidRPr="00853D04">
              <w:rPr>
                <w:noProof/>
              </w:rPr>
              <w:br/>
            </w:r>
            <w:r w:rsidRPr="00853D04">
              <w:rPr>
                <w:b/>
                <w:noProof/>
                <w:sz w:val="16"/>
              </w:rPr>
              <w:t>wieloletnich ram finansowych</w:t>
            </w:r>
          </w:p>
        </w:tc>
        <w:tc>
          <w:tcPr>
            <w:tcW w:w="1080" w:type="dxa"/>
            <w:vAlign w:val="center"/>
          </w:tcPr>
          <w:p w14:paraId="4758970F" w14:textId="77777777" w:rsidR="00BE7E05" w:rsidRPr="00853D04" w:rsidRDefault="00BE7E05">
            <w:pPr>
              <w:spacing w:before="60" w:after="60" w:line="200" w:lineRule="exact"/>
              <w:jc w:val="right"/>
              <w:rPr>
                <w:noProof/>
                <w:sz w:val="16"/>
              </w:rPr>
            </w:pPr>
          </w:p>
        </w:tc>
        <w:tc>
          <w:tcPr>
            <w:tcW w:w="1080" w:type="dxa"/>
            <w:vAlign w:val="center"/>
          </w:tcPr>
          <w:p w14:paraId="2CA7FFAE" w14:textId="77777777" w:rsidR="00BE7E05" w:rsidRPr="00853D04" w:rsidRDefault="00BE7E05">
            <w:pPr>
              <w:spacing w:before="60" w:after="60" w:line="200" w:lineRule="exact"/>
              <w:jc w:val="right"/>
              <w:rPr>
                <w:noProof/>
                <w:sz w:val="16"/>
              </w:rPr>
            </w:pPr>
          </w:p>
        </w:tc>
        <w:tc>
          <w:tcPr>
            <w:tcW w:w="1080" w:type="dxa"/>
            <w:vAlign w:val="center"/>
          </w:tcPr>
          <w:p w14:paraId="440878E6" w14:textId="77777777" w:rsidR="00BE7E05" w:rsidRPr="00853D04" w:rsidRDefault="00BE7E05">
            <w:pPr>
              <w:spacing w:before="60" w:after="60" w:line="200" w:lineRule="exact"/>
              <w:jc w:val="right"/>
              <w:rPr>
                <w:noProof/>
                <w:sz w:val="16"/>
              </w:rPr>
            </w:pPr>
          </w:p>
        </w:tc>
        <w:tc>
          <w:tcPr>
            <w:tcW w:w="1080" w:type="dxa"/>
            <w:vAlign w:val="center"/>
          </w:tcPr>
          <w:p w14:paraId="1412DC5C" w14:textId="77777777" w:rsidR="00BE7E05" w:rsidRPr="00853D04" w:rsidRDefault="00BE7E05">
            <w:pPr>
              <w:spacing w:before="60" w:after="60" w:line="200" w:lineRule="exact"/>
              <w:jc w:val="right"/>
              <w:rPr>
                <w:noProof/>
                <w:sz w:val="16"/>
              </w:rPr>
            </w:pPr>
          </w:p>
        </w:tc>
        <w:tc>
          <w:tcPr>
            <w:tcW w:w="1080" w:type="dxa"/>
            <w:vAlign w:val="center"/>
          </w:tcPr>
          <w:p w14:paraId="329C6FDE" w14:textId="77777777" w:rsidR="00BE7E05" w:rsidRPr="00853D04" w:rsidRDefault="00BE7E05">
            <w:pPr>
              <w:spacing w:before="60" w:after="60" w:line="200" w:lineRule="exact"/>
              <w:jc w:val="right"/>
              <w:rPr>
                <w:noProof/>
                <w:sz w:val="16"/>
              </w:rPr>
            </w:pPr>
          </w:p>
        </w:tc>
        <w:tc>
          <w:tcPr>
            <w:tcW w:w="1080" w:type="dxa"/>
            <w:vAlign w:val="center"/>
          </w:tcPr>
          <w:p w14:paraId="367C6533" w14:textId="77777777" w:rsidR="00BE7E05" w:rsidRPr="00853D04" w:rsidRDefault="00BE7E05">
            <w:pPr>
              <w:spacing w:before="60" w:after="60" w:line="200" w:lineRule="exact"/>
              <w:jc w:val="right"/>
              <w:rPr>
                <w:noProof/>
                <w:sz w:val="16"/>
              </w:rPr>
            </w:pPr>
          </w:p>
        </w:tc>
        <w:tc>
          <w:tcPr>
            <w:tcW w:w="1080" w:type="dxa"/>
            <w:vAlign w:val="center"/>
          </w:tcPr>
          <w:p w14:paraId="5D432F4A" w14:textId="77777777" w:rsidR="00BE7E05" w:rsidRPr="00853D04" w:rsidRDefault="00BE7E05">
            <w:pPr>
              <w:spacing w:before="60" w:after="60" w:line="200" w:lineRule="exact"/>
              <w:jc w:val="right"/>
              <w:rPr>
                <w:b/>
                <w:noProof/>
                <w:sz w:val="16"/>
              </w:rPr>
            </w:pPr>
          </w:p>
        </w:tc>
        <w:tc>
          <w:tcPr>
            <w:tcW w:w="1080" w:type="dxa"/>
            <w:vAlign w:val="center"/>
          </w:tcPr>
          <w:p w14:paraId="757A1AF2" w14:textId="77777777" w:rsidR="00BE7E05" w:rsidRPr="00853D04" w:rsidRDefault="00BE7E05">
            <w:pPr>
              <w:spacing w:before="60" w:after="60" w:line="200" w:lineRule="exact"/>
              <w:jc w:val="right"/>
              <w:rPr>
                <w:b/>
                <w:noProof/>
                <w:sz w:val="16"/>
              </w:rPr>
            </w:pPr>
          </w:p>
        </w:tc>
      </w:tr>
      <w:tr w:rsidR="006D15B6" w:rsidRPr="00853D04" w14:paraId="29188072" w14:textId="77777777">
        <w:trPr>
          <w:trHeight w:val="585"/>
        </w:trPr>
        <w:tc>
          <w:tcPr>
            <w:tcW w:w="1980" w:type="dxa"/>
            <w:vAlign w:val="center"/>
          </w:tcPr>
          <w:p w14:paraId="14AC483C" w14:textId="77777777" w:rsidR="00BE7E05" w:rsidRPr="00853D04" w:rsidRDefault="00BE7E05">
            <w:pPr>
              <w:spacing w:before="60" w:after="60" w:line="200" w:lineRule="exact"/>
              <w:ind w:left="72"/>
              <w:jc w:val="left"/>
              <w:rPr>
                <w:noProof/>
                <w:sz w:val="16"/>
              </w:rPr>
            </w:pPr>
            <w:r w:rsidRPr="00853D04">
              <w:rPr>
                <w:noProof/>
                <w:sz w:val="16"/>
              </w:rPr>
              <w:t xml:space="preserve">Zasoby ludzkie </w:t>
            </w:r>
          </w:p>
        </w:tc>
        <w:tc>
          <w:tcPr>
            <w:tcW w:w="1080" w:type="dxa"/>
            <w:vAlign w:val="center"/>
          </w:tcPr>
          <w:p w14:paraId="305BF513" w14:textId="77777777" w:rsidR="00BE7E05" w:rsidRPr="00853D04" w:rsidRDefault="45F08B70">
            <w:pPr>
              <w:spacing w:before="60" w:after="60" w:line="200" w:lineRule="exact"/>
              <w:jc w:val="right"/>
              <w:rPr>
                <w:noProof/>
                <w:sz w:val="16"/>
              </w:rPr>
            </w:pPr>
            <w:r w:rsidRPr="00853D04">
              <w:rPr>
                <w:noProof/>
                <w:sz w:val="16"/>
              </w:rPr>
              <w:t>0,217</w:t>
            </w:r>
          </w:p>
        </w:tc>
        <w:tc>
          <w:tcPr>
            <w:tcW w:w="1080" w:type="dxa"/>
            <w:vAlign w:val="center"/>
          </w:tcPr>
          <w:p w14:paraId="52D5941F" w14:textId="77777777" w:rsidR="00BE7E05" w:rsidRPr="00853D04" w:rsidRDefault="45F08B70">
            <w:pPr>
              <w:spacing w:before="60" w:after="60" w:line="200" w:lineRule="exact"/>
              <w:jc w:val="right"/>
              <w:rPr>
                <w:noProof/>
                <w:sz w:val="16"/>
              </w:rPr>
            </w:pPr>
            <w:r w:rsidRPr="00853D04">
              <w:rPr>
                <w:noProof/>
                <w:sz w:val="16"/>
              </w:rPr>
              <w:t>0,217</w:t>
            </w:r>
          </w:p>
        </w:tc>
        <w:tc>
          <w:tcPr>
            <w:tcW w:w="1080" w:type="dxa"/>
            <w:vAlign w:val="center"/>
          </w:tcPr>
          <w:p w14:paraId="66A04845" w14:textId="77777777" w:rsidR="00BE7E05" w:rsidRPr="00853D04" w:rsidRDefault="45F08B70">
            <w:pPr>
              <w:spacing w:before="60" w:after="60" w:line="200" w:lineRule="exact"/>
              <w:jc w:val="right"/>
              <w:rPr>
                <w:noProof/>
                <w:sz w:val="16"/>
              </w:rPr>
            </w:pPr>
            <w:r w:rsidRPr="00853D04">
              <w:rPr>
                <w:noProof/>
                <w:sz w:val="16"/>
              </w:rPr>
              <w:t>0,155</w:t>
            </w:r>
          </w:p>
        </w:tc>
        <w:tc>
          <w:tcPr>
            <w:tcW w:w="1080" w:type="dxa"/>
            <w:vAlign w:val="center"/>
          </w:tcPr>
          <w:p w14:paraId="2E016532" w14:textId="77777777" w:rsidR="00BE7E05" w:rsidRPr="00853D04" w:rsidRDefault="45F08B70">
            <w:pPr>
              <w:spacing w:before="60" w:after="60" w:line="200" w:lineRule="exact"/>
              <w:jc w:val="right"/>
              <w:rPr>
                <w:noProof/>
                <w:sz w:val="16"/>
              </w:rPr>
            </w:pPr>
            <w:r w:rsidRPr="00853D04">
              <w:rPr>
                <w:noProof/>
                <w:sz w:val="16"/>
              </w:rPr>
              <w:t>0,155</w:t>
            </w:r>
          </w:p>
        </w:tc>
        <w:tc>
          <w:tcPr>
            <w:tcW w:w="1080" w:type="dxa"/>
            <w:vAlign w:val="center"/>
          </w:tcPr>
          <w:p w14:paraId="0693F8BF" w14:textId="77777777" w:rsidR="00BE7E05" w:rsidRPr="00853D04" w:rsidRDefault="00BE7E05">
            <w:pPr>
              <w:spacing w:before="60" w:after="60" w:line="200" w:lineRule="exact"/>
              <w:jc w:val="right"/>
              <w:rPr>
                <w:noProof/>
                <w:sz w:val="16"/>
              </w:rPr>
            </w:pPr>
          </w:p>
        </w:tc>
        <w:tc>
          <w:tcPr>
            <w:tcW w:w="1080" w:type="dxa"/>
            <w:vAlign w:val="center"/>
          </w:tcPr>
          <w:p w14:paraId="75BA7919" w14:textId="77777777" w:rsidR="00BE7E05" w:rsidRPr="00853D04" w:rsidRDefault="00BE7E05">
            <w:pPr>
              <w:spacing w:before="60" w:after="60" w:line="200" w:lineRule="exact"/>
              <w:jc w:val="right"/>
              <w:rPr>
                <w:noProof/>
                <w:sz w:val="16"/>
              </w:rPr>
            </w:pPr>
          </w:p>
        </w:tc>
        <w:tc>
          <w:tcPr>
            <w:tcW w:w="1080" w:type="dxa"/>
            <w:vAlign w:val="center"/>
          </w:tcPr>
          <w:p w14:paraId="0DC49963" w14:textId="77777777" w:rsidR="00BE7E05" w:rsidRPr="00853D04" w:rsidRDefault="00BE7E05">
            <w:pPr>
              <w:spacing w:before="60" w:after="60" w:line="200" w:lineRule="exact"/>
              <w:jc w:val="right"/>
              <w:rPr>
                <w:b/>
                <w:noProof/>
                <w:sz w:val="16"/>
              </w:rPr>
            </w:pPr>
          </w:p>
        </w:tc>
        <w:tc>
          <w:tcPr>
            <w:tcW w:w="1080" w:type="dxa"/>
            <w:vAlign w:val="center"/>
          </w:tcPr>
          <w:p w14:paraId="4A3D349E" w14:textId="77777777" w:rsidR="00BE7E05" w:rsidRPr="00853D04" w:rsidRDefault="00687EA2">
            <w:pPr>
              <w:spacing w:before="60" w:after="60" w:line="200" w:lineRule="exact"/>
              <w:jc w:val="right"/>
              <w:rPr>
                <w:b/>
                <w:noProof/>
                <w:sz w:val="16"/>
              </w:rPr>
            </w:pPr>
            <w:r w:rsidRPr="00853D04">
              <w:rPr>
                <w:b/>
                <w:noProof/>
                <w:sz w:val="16"/>
              </w:rPr>
              <w:t>0,744</w:t>
            </w:r>
          </w:p>
        </w:tc>
      </w:tr>
      <w:tr w:rsidR="006D15B6" w:rsidRPr="00853D04" w14:paraId="026D92AC" w14:textId="77777777">
        <w:trPr>
          <w:trHeight w:val="585"/>
        </w:trPr>
        <w:tc>
          <w:tcPr>
            <w:tcW w:w="1980" w:type="dxa"/>
            <w:vAlign w:val="center"/>
          </w:tcPr>
          <w:p w14:paraId="2C04503C" w14:textId="77777777" w:rsidR="008516B0" w:rsidRPr="00853D04" w:rsidRDefault="008516B0" w:rsidP="008516B0">
            <w:pPr>
              <w:spacing w:before="60" w:after="60" w:line="200" w:lineRule="exact"/>
              <w:ind w:left="72"/>
              <w:jc w:val="left"/>
              <w:rPr>
                <w:noProof/>
                <w:sz w:val="16"/>
              </w:rPr>
            </w:pPr>
            <w:r w:rsidRPr="00853D04">
              <w:rPr>
                <w:noProof/>
                <w:sz w:val="16"/>
              </w:rPr>
              <w:t xml:space="preserve">Pozostałe wydatki administracyjne </w:t>
            </w:r>
          </w:p>
        </w:tc>
        <w:tc>
          <w:tcPr>
            <w:tcW w:w="1080" w:type="dxa"/>
            <w:vAlign w:val="center"/>
          </w:tcPr>
          <w:p w14:paraId="3C86D7D4" w14:textId="77777777" w:rsidR="008516B0" w:rsidRPr="00853D04" w:rsidRDefault="00F73EA8" w:rsidP="008516B0">
            <w:pPr>
              <w:spacing w:before="60" w:after="60" w:line="200" w:lineRule="exact"/>
              <w:jc w:val="right"/>
              <w:rPr>
                <w:noProof/>
                <w:sz w:val="16"/>
              </w:rPr>
            </w:pPr>
            <w:r w:rsidRPr="00853D04">
              <w:rPr>
                <w:noProof/>
                <w:sz w:val="16"/>
              </w:rPr>
              <w:t>0</w:t>
            </w:r>
          </w:p>
        </w:tc>
        <w:tc>
          <w:tcPr>
            <w:tcW w:w="1080" w:type="dxa"/>
            <w:vAlign w:val="center"/>
          </w:tcPr>
          <w:p w14:paraId="1C12A52D" w14:textId="77777777" w:rsidR="008516B0" w:rsidRPr="00853D04" w:rsidRDefault="008516B0" w:rsidP="008516B0">
            <w:pPr>
              <w:spacing w:before="60" w:after="60" w:line="200" w:lineRule="exact"/>
              <w:jc w:val="right"/>
              <w:rPr>
                <w:noProof/>
                <w:sz w:val="16"/>
              </w:rPr>
            </w:pPr>
            <w:r w:rsidRPr="00853D04">
              <w:rPr>
                <w:noProof/>
                <w:sz w:val="16"/>
              </w:rPr>
              <w:t>0,054</w:t>
            </w:r>
          </w:p>
        </w:tc>
        <w:tc>
          <w:tcPr>
            <w:tcW w:w="1080" w:type="dxa"/>
            <w:vAlign w:val="center"/>
          </w:tcPr>
          <w:p w14:paraId="12577BED" w14:textId="77777777" w:rsidR="008516B0" w:rsidRPr="00853D04" w:rsidRDefault="008516B0" w:rsidP="008516B0">
            <w:pPr>
              <w:spacing w:before="60" w:after="60" w:line="200" w:lineRule="exact"/>
              <w:jc w:val="right"/>
              <w:rPr>
                <w:noProof/>
                <w:sz w:val="16"/>
              </w:rPr>
            </w:pPr>
            <w:r w:rsidRPr="00853D04">
              <w:rPr>
                <w:noProof/>
                <w:sz w:val="16"/>
              </w:rPr>
              <w:t>0,054</w:t>
            </w:r>
          </w:p>
        </w:tc>
        <w:tc>
          <w:tcPr>
            <w:tcW w:w="1080" w:type="dxa"/>
            <w:vAlign w:val="center"/>
          </w:tcPr>
          <w:p w14:paraId="4139FF00" w14:textId="77777777" w:rsidR="008516B0" w:rsidRPr="00853D04" w:rsidRDefault="008516B0" w:rsidP="008516B0">
            <w:pPr>
              <w:spacing w:before="60" w:after="60" w:line="200" w:lineRule="exact"/>
              <w:jc w:val="right"/>
              <w:rPr>
                <w:noProof/>
                <w:sz w:val="16"/>
              </w:rPr>
            </w:pPr>
            <w:r w:rsidRPr="00853D04">
              <w:rPr>
                <w:noProof/>
                <w:sz w:val="16"/>
              </w:rPr>
              <w:t>0,054</w:t>
            </w:r>
          </w:p>
        </w:tc>
        <w:tc>
          <w:tcPr>
            <w:tcW w:w="1080" w:type="dxa"/>
            <w:vAlign w:val="center"/>
          </w:tcPr>
          <w:p w14:paraId="68F87CE9" w14:textId="77777777" w:rsidR="008516B0" w:rsidRPr="00853D04" w:rsidRDefault="008516B0" w:rsidP="008516B0">
            <w:pPr>
              <w:spacing w:before="60" w:after="60" w:line="200" w:lineRule="exact"/>
              <w:jc w:val="right"/>
              <w:rPr>
                <w:noProof/>
                <w:sz w:val="16"/>
              </w:rPr>
            </w:pPr>
          </w:p>
        </w:tc>
        <w:tc>
          <w:tcPr>
            <w:tcW w:w="1080" w:type="dxa"/>
            <w:vAlign w:val="center"/>
          </w:tcPr>
          <w:p w14:paraId="1FDCF5A6" w14:textId="77777777" w:rsidR="008516B0" w:rsidRPr="00853D04" w:rsidRDefault="008516B0" w:rsidP="008516B0">
            <w:pPr>
              <w:spacing w:before="60" w:after="60" w:line="200" w:lineRule="exact"/>
              <w:jc w:val="right"/>
              <w:rPr>
                <w:noProof/>
                <w:sz w:val="16"/>
              </w:rPr>
            </w:pPr>
          </w:p>
        </w:tc>
        <w:tc>
          <w:tcPr>
            <w:tcW w:w="1080" w:type="dxa"/>
            <w:vAlign w:val="center"/>
          </w:tcPr>
          <w:p w14:paraId="7AC8B692" w14:textId="77777777" w:rsidR="008516B0" w:rsidRPr="00853D04" w:rsidRDefault="008516B0" w:rsidP="008516B0">
            <w:pPr>
              <w:spacing w:before="60" w:after="60" w:line="200" w:lineRule="exact"/>
              <w:jc w:val="right"/>
              <w:rPr>
                <w:b/>
                <w:noProof/>
                <w:sz w:val="16"/>
              </w:rPr>
            </w:pPr>
          </w:p>
        </w:tc>
        <w:tc>
          <w:tcPr>
            <w:tcW w:w="1080" w:type="dxa"/>
            <w:vAlign w:val="center"/>
          </w:tcPr>
          <w:p w14:paraId="0110F402" w14:textId="77777777" w:rsidR="008516B0" w:rsidRPr="00853D04" w:rsidRDefault="000904A1" w:rsidP="005D68B9">
            <w:pPr>
              <w:spacing w:before="60" w:after="60" w:line="200" w:lineRule="exact"/>
              <w:jc w:val="right"/>
              <w:rPr>
                <w:b/>
                <w:noProof/>
                <w:sz w:val="16"/>
              </w:rPr>
            </w:pPr>
            <w:r w:rsidRPr="00853D04">
              <w:rPr>
                <w:b/>
                <w:noProof/>
                <w:sz w:val="16"/>
              </w:rPr>
              <w:t>0,162</w:t>
            </w:r>
          </w:p>
        </w:tc>
      </w:tr>
      <w:tr w:rsidR="00514E83" w:rsidRPr="00853D04" w14:paraId="454B5E0F" w14:textId="77777777">
        <w:trPr>
          <w:trHeight w:val="585"/>
        </w:trPr>
        <w:tc>
          <w:tcPr>
            <w:tcW w:w="1980" w:type="dxa"/>
            <w:shd w:val="clear" w:color="auto" w:fill="CCCCCC"/>
            <w:vAlign w:val="center"/>
          </w:tcPr>
          <w:p w14:paraId="40A08ED4" w14:textId="77777777" w:rsidR="008516B0" w:rsidRPr="00853D04" w:rsidRDefault="008516B0" w:rsidP="008516B0">
            <w:pPr>
              <w:spacing w:before="60" w:after="60" w:line="200" w:lineRule="exact"/>
              <w:jc w:val="center"/>
              <w:rPr>
                <w:b/>
                <w:noProof/>
                <w:sz w:val="16"/>
              </w:rPr>
            </w:pPr>
            <w:r w:rsidRPr="00853D04">
              <w:rPr>
                <w:b/>
                <w:noProof/>
                <w:sz w:val="16"/>
              </w:rPr>
              <w:t>Suma cząstkowa DZIAŁU 7</w:t>
            </w:r>
            <w:r w:rsidRPr="00853D04">
              <w:rPr>
                <w:noProof/>
              </w:rPr>
              <w:t xml:space="preserve"> </w:t>
            </w:r>
            <w:r w:rsidRPr="00853D04">
              <w:rPr>
                <w:noProof/>
              </w:rPr>
              <w:br/>
            </w:r>
            <w:r w:rsidRPr="00853D04">
              <w:rPr>
                <w:b/>
                <w:noProof/>
                <w:sz w:val="16"/>
              </w:rPr>
              <w:t xml:space="preserve">wieloletnich ram finansowych </w:t>
            </w:r>
          </w:p>
        </w:tc>
        <w:tc>
          <w:tcPr>
            <w:tcW w:w="1080" w:type="dxa"/>
            <w:vAlign w:val="center"/>
          </w:tcPr>
          <w:p w14:paraId="6A941EC9" w14:textId="77777777" w:rsidR="008516B0" w:rsidRPr="00853D04" w:rsidRDefault="090B069B" w:rsidP="008516B0">
            <w:pPr>
              <w:spacing w:before="60" w:after="60" w:line="200" w:lineRule="exact"/>
              <w:jc w:val="right"/>
              <w:rPr>
                <w:noProof/>
                <w:sz w:val="16"/>
              </w:rPr>
            </w:pPr>
            <w:r w:rsidRPr="00853D04">
              <w:rPr>
                <w:noProof/>
                <w:sz w:val="16"/>
              </w:rPr>
              <w:t>0,217</w:t>
            </w:r>
          </w:p>
        </w:tc>
        <w:tc>
          <w:tcPr>
            <w:tcW w:w="1080" w:type="dxa"/>
            <w:vAlign w:val="center"/>
          </w:tcPr>
          <w:p w14:paraId="4F6DE65A" w14:textId="77777777" w:rsidR="008516B0" w:rsidRPr="00853D04" w:rsidRDefault="090B069B" w:rsidP="008516B0">
            <w:pPr>
              <w:spacing w:before="60" w:after="60" w:line="200" w:lineRule="exact"/>
              <w:jc w:val="right"/>
              <w:rPr>
                <w:noProof/>
                <w:sz w:val="16"/>
              </w:rPr>
            </w:pPr>
            <w:r w:rsidRPr="00853D04">
              <w:rPr>
                <w:noProof/>
                <w:sz w:val="16"/>
              </w:rPr>
              <w:t>0,271</w:t>
            </w:r>
          </w:p>
        </w:tc>
        <w:tc>
          <w:tcPr>
            <w:tcW w:w="1080" w:type="dxa"/>
            <w:vAlign w:val="center"/>
          </w:tcPr>
          <w:p w14:paraId="462AE2A9" w14:textId="77777777" w:rsidR="008516B0" w:rsidRPr="00853D04" w:rsidRDefault="090B069B" w:rsidP="008516B0">
            <w:pPr>
              <w:spacing w:before="60" w:after="60" w:line="200" w:lineRule="exact"/>
              <w:jc w:val="right"/>
              <w:rPr>
                <w:noProof/>
                <w:sz w:val="16"/>
              </w:rPr>
            </w:pPr>
            <w:r w:rsidRPr="00853D04">
              <w:rPr>
                <w:noProof/>
                <w:sz w:val="16"/>
              </w:rPr>
              <w:t>0,209</w:t>
            </w:r>
          </w:p>
        </w:tc>
        <w:tc>
          <w:tcPr>
            <w:tcW w:w="1080" w:type="dxa"/>
            <w:vAlign w:val="center"/>
          </w:tcPr>
          <w:p w14:paraId="764650AC" w14:textId="77777777" w:rsidR="008516B0" w:rsidRPr="00853D04" w:rsidRDefault="090B069B" w:rsidP="008516B0">
            <w:pPr>
              <w:spacing w:before="60" w:after="60" w:line="200" w:lineRule="exact"/>
              <w:jc w:val="right"/>
              <w:rPr>
                <w:noProof/>
                <w:sz w:val="16"/>
              </w:rPr>
            </w:pPr>
            <w:r w:rsidRPr="00853D04">
              <w:rPr>
                <w:noProof/>
                <w:sz w:val="16"/>
              </w:rPr>
              <w:t>0,209</w:t>
            </w:r>
          </w:p>
        </w:tc>
        <w:tc>
          <w:tcPr>
            <w:tcW w:w="1080" w:type="dxa"/>
            <w:vAlign w:val="center"/>
          </w:tcPr>
          <w:p w14:paraId="0291CA2D" w14:textId="77777777" w:rsidR="008516B0" w:rsidRPr="00853D04" w:rsidRDefault="008516B0" w:rsidP="008516B0">
            <w:pPr>
              <w:spacing w:before="60" w:after="60" w:line="200" w:lineRule="exact"/>
              <w:jc w:val="right"/>
              <w:rPr>
                <w:noProof/>
                <w:sz w:val="16"/>
              </w:rPr>
            </w:pPr>
          </w:p>
        </w:tc>
        <w:tc>
          <w:tcPr>
            <w:tcW w:w="1080" w:type="dxa"/>
            <w:vAlign w:val="center"/>
          </w:tcPr>
          <w:p w14:paraId="2E05E535" w14:textId="77777777" w:rsidR="008516B0" w:rsidRPr="00853D04" w:rsidRDefault="008516B0" w:rsidP="008516B0">
            <w:pPr>
              <w:spacing w:before="60" w:after="60" w:line="200" w:lineRule="exact"/>
              <w:jc w:val="right"/>
              <w:rPr>
                <w:noProof/>
                <w:sz w:val="16"/>
              </w:rPr>
            </w:pPr>
          </w:p>
        </w:tc>
        <w:tc>
          <w:tcPr>
            <w:tcW w:w="1080" w:type="dxa"/>
            <w:vAlign w:val="center"/>
          </w:tcPr>
          <w:p w14:paraId="3336F953" w14:textId="77777777" w:rsidR="008516B0" w:rsidRPr="00853D04" w:rsidRDefault="008516B0" w:rsidP="008516B0">
            <w:pPr>
              <w:spacing w:before="60" w:after="60" w:line="200" w:lineRule="exact"/>
              <w:jc w:val="right"/>
              <w:rPr>
                <w:b/>
                <w:noProof/>
                <w:sz w:val="16"/>
              </w:rPr>
            </w:pPr>
          </w:p>
        </w:tc>
        <w:tc>
          <w:tcPr>
            <w:tcW w:w="1080" w:type="dxa"/>
            <w:vAlign w:val="center"/>
          </w:tcPr>
          <w:p w14:paraId="5F07B22D" w14:textId="77777777" w:rsidR="008516B0" w:rsidRPr="00853D04" w:rsidRDefault="00693322" w:rsidP="008516B0">
            <w:pPr>
              <w:spacing w:before="60" w:after="60" w:line="200" w:lineRule="exact"/>
              <w:jc w:val="right"/>
              <w:rPr>
                <w:b/>
                <w:noProof/>
                <w:sz w:val="16"/>
              </w:rPr>
            </w:pPr>
            <w:r w:rsidRPr="00853D04">
              <w:rPr>
                <w:b/>
                <w:noProof/>
                <w:sz w:val="16"/>
              </w:rPr>
              <w:t>0,906</w:t>
            </w:r>
          </w:p>
        </w:tc>
      </w:tr>
    </w:tbl>
    <w:p w14:paraId="77644CFF" w14:textId="77777777" w:rsidR="00BE7E05" w:rsidRPr="00853D04" w:rsidRDefault="00BE7E05">
      <w:pPr>
        <w:spacing w:line="200" w:lineRule="exact"/>
        <w:rPr>
          <w:noProof/>
          <w:sz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4E83" w:rsidRPr="00853D04" w14:paraId="6C80249B" w14:textId="77777777" w:rsidTr="6E804B18">
        <w:trPr>
          <w:trHeight w:val="585"/>
        </w:trPr>
        <w:tc>
          <w:tcPr>
            <w:tcW w:w="1980" w:type="dxa"/>
            <w:shd w:val="clear" w:color="auto" w:fill="CCCCCC"/>
            <w:vAlign w:val="center"/>
          </w:tcPr>
          <w:p w14:paraId="5DEAD3E3" w14:textId="77777777" w:rsidR="00BE7E05" w:rsidRPr="00853D04" w:rsidRDefault="00BE7E05">
            <w:pPr>
              <w:spacing w:before="60" w:after="60" w:line="200" w:lineRule="exact"/>
              <w:jc w:val="center"/>
              <w:rPr>
                <w:noProof/>
                <w:sz w:val="16"/>
              </w:rPr>
            </w:pPr>
            <w:r w:rsidRPr="00853D04">
              <w:rPr>
                <w:b/>
                <w:noProof/>
                <w:sz w:val="16"/>
              </w:rPr>
              <w:t>Poza DZIAŁEM 7</w:t>
            </w:r>
            <w:r w:rsidRPr="00853D04">
              <w:rPr>
                <w:rStyle w:val="FootnoteReference"/>
                <w:b/>
                <w:noProof/>
                <w:sz w:val="16"/>
              </w:rPr>
              <w:footnoteReference w:id="57"/>
            </w:r>
            <w:r w:rsidRPr="00853D04">
              <w:rPr>
                <w:noProof/>
              </w:rPr>
              <w:t xml:space="preserve"> </w:t>
            </w:r>
            <w:r w:rsidRPr="00853D04">
              <w:rPr>
                <w:noProof/>
              </w:rPr>
              <w:br/>
            </w:r>
            <w:r w:rsidRPr="00853D04">
              <w:rPr>
                <w:b/>
                <w:noProof/>
                <w:sz w:val="16"/>
              </w:rPr>
              <w:t xml:space="preserve">wieloletnich ram finansowych </w:t>
            </w:r>
          </w:p>
          <w:p w14:paraId="14CF920B" w14:textId="77777777" w:rsidR="00BE7E05" w:rsidRPr="00853D04" w:rsidRDefault="00BE7E05">
            <w:pPr>
              <w:spacing w:before="0" w:after="0" w:line="200" w:lineRule="exact"/>
              <w:jc w:val="center"/>
              <w:rPr>
                <w:b/>
                <w:noProof/>
                <w:sz w:val="16"/>
              </w:rPr>
            </w:pPr>
          </w:p>
        </w:tc>
        <w:tc>
          <w:tcPr>
            <w:tcW w:w="1080" w:type="dxa"/>
            <w:vAlign w:val="center"/>
          </w:tcPr>
          <w:p w14:paraId="7A227D05" w14:textId="77777777" w:rsidR="00BE7E05" w:rsidRPr="00853D04" w:rsidRDefault="00BE7E05">
            <w:pPr>
              <w:spacing w:before="60" w:after="60" w:line="200" w:lineRule="exact"/>
              <w:jc w:val="right"/>
              <w:rPr>
                <w:noProof/>
                <w:sz w:val="16"/>
              </w:rPr>
            </w:pPr>
          </w:p>
        </w:tc>
        <w:tc>
          <w:tcPr>
            <w:tcW w:w="1080" w:type="dxa"/>
            <w:vAlign w:val="center"/>
          </w:tcPr>
          <w:p w14:paraId="18231E88" w14:textId="77777777" w:rsidR="00BE7E05" w:rsidRPr="00853D04" w:rsidRDefault="00BE7E05">
            <w:pPr>
              <w:spacing w:before="60" w:after="60" w:line="200" w:lineRule="exact"/>
              <w:jc w:val="right"/>
              <w:rPr>
                <w:noProof/>
                <w:sz w:val="16"/>
              </w:rPr>
            </w:pPr>
          </w:p>
        </w:tc>
        <w:tc>
          <w:tcPr>
            <w:tcW w:w="1080" w:type="dxa"/>
            <w:vAlign w:val="center"/>
          </w:tcPr>
          <w:p w14:paraId="165708AC" w14:textId="77777777" w:rsidR="00BE7E05" w:rsidRPr="00853D04" w:rsidRDefault="00BE7E05">
            <w:pPr>
              <w:spacing w:before="60" w:after="60" w:line="200" w:lineRule="exact"/>
              <w:jc w:val="right"/>
              <w:rPr>
                <w:noProof/>
                <w:sz w:val="16"/>
              </w:rPr>
            </w:pPr>
          </w:p>
        </w:tc>
        <w:tc>
          <w:tcPr>
            <w:tcW w:w="1080" w:type="dxa"/>
            <w:vAlign w:val="center"/>
          </w:tcPr>
          <w:p w14:paraId="23F469FB" w14:textId="77777777" w:rsidR="00BE7E05" w:rsidRPr="00853D04" w:rsidRDefault="00BE7E05">
            <w:pPr>
              <w:spacing w:before="60" w:after="60" w:line="200" w:lineRule="exact"/>
              <w:jc w:val="right"/>
              <w:rPr>
                <w:noProof/>
                <w:sz w:val="16"/>
              </w:rPr>
            </w:pPr>
          </w:p>
        </w:tc>
        <w:tc>
          <w:tcPr>
            <w:tcW w:w="1080" w:type="dxa"/>
            <w:vAlign w:val="center"/>
          </w:tcPr>
          <w:p w14:paraId="72927E33" w14:textId="77777777" w:rsidR="00BE7E05" w:rsidRPr="00853D04" w:rsidRDefault="00BE7E05">
            <w:pPr>
              <w:spacing w:before="60" w:after="60" w:line="200" w:lineRule="exact"/>
              <w:jc w:val="right"/>
              <w:rPr>
                <w:noProof/>
                <w:sz w:val="16"/>
              </w:rPr>
            </w:pPr>
          </w:p>
        </w:tc>
        <w:tc>
          <w:tcPr>
            <w:tcW w:w="1080" w:type="dxa"/>
            <w:vAlign w:val="center"/>
          </w:tcPr>
          <w:p w14:paraId="79005752" w14:textId="77777777" w:rsidR="00BE7E05" w:rsidRPr="00853D04" w:rsidRDefault="00BE7E05">
            <w:pPr>
              <w:spacing w:before="60" w:after="60" w:line="200" w:lineRule="exact"/>
              <w:jc w:val="right"/>
              <w:rPr>
                <w:noProof/>
                <w:sz w:val="16"/>
              </w:rPr>
            </w:pPr>
          </w:p>
        </w:tc>
        <w:tc>
          <w:tcPr>
            <w:tcW w:w="1080" w:type="dxa"/>
            <w:vAlign w:val="center"/>
          </w:tcPr>
          <w:p w14:paraId="1D22DB1A" w14:textId="77777777" w:rsidR="00BE7E05" w:rsidRPr="00853D04" w:rsidRDefault="00BE7E05">
            <w:pPr>
              <w:spacing w:before="60" w:after="60" w:line="200" w:lineRule="exact"/>
              <w:jc w:val="right"/>
              <w:rPr>
                <w:b/>
                <w:noProof/>
                <w:sz w:val="16"/>
              </w:rPr>
            </w:pPr>
          </w:p>
        </w:tc>
        <w:tc>
          <w:tcPr>
            <w:tcW w:w="1080" w:type="dxa"/>
            <w:vAlign w:val="center"/>
          </w:tcPr>
          <w:p w14:paraId="5D3C4717" w14:textId="77777777" w:rsidR="00BE7E05" w:rsidRPr="00853D04" w:rsidRDefault="00BE7E05">
            <w:pPr>
              <w:spacing w:before="60" w:after="60" w:line="200" w:lineRule="exact"/>
              <w:jc w:val="right"/>
              <w:rPr>
                <w:b/>
                <w:noProof/>
                <w:sz w:val="16"/>
              </w:rPr>
            </w:pPr>
          </w:p>
        </w:tc>
      </w:tr>
      <w:tr w:rsidR="006D15B6" w:rsidRPr="00853D04" w14:paraId="08B36530" w14:textId="77777777" w:rsidTr="6E804B18">
        <w:trPr>
          <w:trHeight w:val="585"/>
        </w:trPr>
        <w:tc>
          <w:tcPr>
            <w:tcW w:w="1980" w:type="dxa"/>
            <w:vAlign w:val="center"/>
          </w:tcPr>
          <w:p w14:paraId="0B0933B1" w14:textId="77777777" w:rsidR="00BE7E05" w:rsidRPr="00853D04" w:rsidRDefault="00BE7E05">
            <w:pPr>
              <w:spacing w:before="60" w:after="60" w:line="200" w:lineRule="exact"/>
              <w:ind w:left="72"/>
              <w:jc w:val="left"/>
              <w:rPr>
                <w:noProof/>
                <w:sz w:val="16"/>
              </w:rPr>
            </w:pPr>
            <w:r w:rsidRPr="00853D04">
              <w:rPr>
                <w:noProof/>
                <w:sz w:val="16"/>
              </w:rPr>
              <w:t xml:space="preserve">Zasoby ludzkie </w:t>
            </w:r>
          </w:p>
        </w:tc>
        <w:tc>
          <w:tcPr>
            <w:tcW w:w="1080" w:type="dxa"/>
            <w:vAlign w:val="center"/>
          </w:tcPr>
          <w:p w14:paraId="7B10B7A2" w14:textId="77777777" w:rsidR="00BE7E05" w:rsidRPr="00853D04" w:rsidRDefault="00BE7E05">
            <w:pPr>
              <w:spacing w:before="60" w:after="60" w:line="200" w:lineRule="exact"/>
              <w:jc w:val="right"/>
              <w:rPr>
                <w:noProof/>
                <w:sz w:val="16"/>
              </w:rPr>
            </w:pPr>
          </w:p>
        </w:tc>
        <w:tc>
          <w:tcPr>
            <w:tcW w:w="1080" w:type="dxa"/>
            <w:vAlign w:val="center"/>
          </w:tcPr>
          <w:p w14:paraId="4B61B3BE" w14:textId="77777777" w:rsidR="00BE7E05" w:rsidRPr="00853D04" w:rsidRDefault="00BE7E05">
            <w:pPr>
              <w:spacing w:before="60" w:after="60" w:line="200" w:lineRule="exact"/>
              <w:jc w:val="right"/>
              <w:rPr>
                <w:noProof/>
                <w:sz w:val="16"/>
              </w:rPr>
            </w:pPr>
          </w:p>
        </w:tc>
        <w:tc>
          <w:tcPr>
            <w:tcW w:w="1080" w:type="dxa"/>
            <w:vAlign w:val="center"/>
          </w:tcPr>
          <w:p w14:paraId="7E395D75" w14:textId="77777777" w:rsidR="00BE7E05" w:rsidRPr="00853D04" w:rsidRDefault="00BE7E05">
            <w:pPr>
              <w:spacing w:before="60" w:after="60" w:line="200" w:lineRule="exact"/>
              <w:jc w:val="right"/>
              <w:rPr>
                <w:noProof/>
                <w:sz w:val="16"/>
              </w:rPr>
            </w:pPr>
          </w:p>
        </w:tc>
        <w:tc>
          <w:tcPr>
            <w:tcW w:w="1080" w:type="dxa"/>
            <w:vAlign w:val="center"/>
          </w:tcPr>
          <w:p w14:paraId="79C33EBF" w14:textId="77777777" w:rsidR="00BE7E05" w:rsidRPr="00853D04" w:rsidRDefault="00BE7E05">
            <w:pPr>
              <w:spacing w:before="60" w:after="60" w:line="200" w:lineRule="exact"/>
              <w:jc w:val="right"/>
              <w:rPr>
                <w:noProof/>
                <w:sz w:val="16"/>
              </w:rPr>
            </w:pPr>
          </w:p>
        </w:tc>
        <w:tc>
          <w:tcPr>
            <w:tcW w:w="1080" w:type="dxa"/>
            <w:vAlign w:val="center"/>
          </w:tcPr>
          <w:p w14:paraId="524B1F4B" w14:textId="77777777" w:rsidR="00BE7E05" w:rsidRPr="00853D04" w:rsidRDefault="00BE7E05">
            <w:pPr>
              <w:spacing w:before="60" w:after="60" w:line="200" w:lineRule="exact"/>
              <w:jc w:val="right"/>
              <w:rPr>
                <w:noProof/>
                <w:sz w:val="16"/>
              </w:rPr>
            </w:pPr>
          </w:p>
        </w:tc>
        <w:tc>
          <w:tcPr>
            <w:tcW w:w="1080" w:type="dxa"/>
            <w:vAlign w:val="center"/>
          </w:tcPr>
          <w:p w14:paraId="26FC6E78" w14:textId="77777777" w:rsidR="00BE7E05" w:rsidRPr="00853D04" w:rsidRDefault="00BE7E05">
            <w:pPr>
              <w:spacing w:before="60" w:after="60" w:line="200" w:lineRule="exact"/>
              <w:jc w:val="right"/>
              <w:rPr>
                <w:noProof/>
                <w:sz w:val="16"/>
              </w:rPr>
            </w:pPr>
          </w:p>
        </w:tc>
        <w:tc>
          <w:tcPr>
            <w:tcW w:w="1080" w:type="dxa"/>
            <w:vAlign w:val="center"/>
          </w:tcPr>
          <w:p w14:paraId="3D26AC7D" w14:textId="77777777" w:rsidR="00BE7E05" w:rsidRPr="00853D04" w:rsidRDefault="00BE7E05">
            <w:pPr>
              <w:spacing w:before="60" w:after="60" w:line="200" w:lineRule="exact"/>
              <w:jc w:val="right"/>
              <w:rPr>
                <w:b/>
                <w:noProof/>
                <w:sz w:val="16"/>
              </w:rPr>
            </w:pPr>
          </w:p>
        </w:tc>
        <w:tc>
          <w:tcPr>
            <w:tcW w:w="1080" w:type="dxa"/>
            <w:vAlign w:val="center"/>
          </w:tcPr>
          <w:p w14:paraId="0FB40869" w14:textId="77777777" w:rsidR="00BE7E05" w:rsidRPr="00853D04" w:rsidRDefault="00BE7E05">
            <w:pPr>
              <w:spacing w:before="60" w:after="60" w:line="200" w:lineRule="exact"/>
              <w:jc w:val="right"/>
              <w:rPr>
                <w:b/>
                <w:noProof/>
                <w:sz w:val="16"/>
              </w:rPr>
            </w:pPr>
          </w:p>
        </w:tc>
      </w:tr>
      <w:tr w:rsidR="006D15B6" w:rsidRPr="00853D04" w14:paraId="7F5A800D" w14:textId="77777777" w:rsidTr="6E804B18">
        <w:trPr>
          <w:trHeight w:val="585"/>
        </w:trPr>
        <w:tc>
          <w:tcPr>
            <w:tcW w:w="1980" w:type="dxa"/>
            <w:vAlign w:val="center"/>
          </w:tcPr>
          <w:p w14:paraId="653D8906" w14:textId="42A3A4DF" w:rsidR="00BE7E05" w:rsidRPr="00853D04" w:rsidRDefault="00BE7E05">
            <w:pPr>
              <w:spacing w:before="60" w:after="60" w:line="200" w:lineRule="exact"/>
              <w:ind w:left="72"/>
              <w:jc w:val="left"/>
              <w:rPr>
                <w:noProof/>
                <w:sz w:val="16"/>
              </w:rPr>
            </w:pPr>
            <w:r w:rsidRPr="00853D04">
              <w:rPr>
                <w:noProof/>
                <w:sz w:val="16"/>
              </w:rPr>
              <w:t>Pozostałe wydatk</w:t>
            </w:r>
            <w:r w:rsidRPr="00C13C75">
              <w:rPr>
                <w:noProof/>
                <w:sz w:val="16"/>
              </w:rPr>
              <w:t>i</w:t>
            </w:r>
            <w:r w:rsidR="00C13C75" w:rsidRPr="00C13C75">
              <w:rPr>
                <w:noProof/>
                <w:sz w:val="16"/>
              </w:rPr>
              <w:t xml:space="preserve"> </w:t>
            </w:r>
            <w:r w:rsidRPr="00C13C75">
              <w:rPr>
                <w:noProof/>
              </w:rPr>
              <w:br/>
            </w:r>
            <w:r w:rsidRPr="00853D04">
              <w:rPr>
                <w:noProof/>
                <w:sz w:val="16"/>
              </w:rPr>
              <w:t>o charakterze administracyjnym</w:t>
            </w:r>
          </w:p>
        </w:tc>
        <w:tc>
          <w:tcPr>
            <w:tcW w:w="1080" w:type="dxa"/>
            <w:vAlign w:val="center"/>
          </w:tcPr>
          <w:p w14:paraId="04BE99ED" w14:textId="77777777" w:rsidR="00BE7E05" w:rsidRPr="00853D04" w:rsidRDefault="00BE7E05">
            <w:pPr>
              <w:spacing w:before="60" w:after="60" w:line="200" w:lineRule="exact"/>
              <w:jc w:val="right"/>
              <w:rPr>
                <w:noProof/>
                <w:sz w:val="16"/>
              </w:rPr>
            </w:pPr>
          </w:p>
        </w:tc>
        <w:tc>
          <w:tcPr>
            <w:tcW w:w="1080" w:type="dxa"/>
            <w:vAlign w:val="center"/>
          </w:tcPr>
          <w:p w14:paraId="1F23DE69" w14:textId="77777777" w:rsidR="00BE7E05" w:rsidRPr="00853D04" w:rsidRDefault="00BE7E05">
            <w:pPr>
              <w:spacing w:before="60" w:after="60" w:line="200" w:lineRule="exact"/>
              <w:jc w:val="right"/>
              <w:rPr>
                <w:noProof/>
                <w:sz w:val="16"/>
              </w:rPr>
            </w:pPr>
          </w:p>
        </w:tc>
        <w:tc>
          <w:tcPr>
            <w:tcW w:w="1080" w:type="dxa"/>
            <w:vAlign w:val="center"/>
          </w:tcPr>
          <w:p w14:paraId="3E18164C" w14:textId="77777777" w:rsidR="00BE7E05" w:rsidRPr="00853D04" w:rsidRDefault="00BE7E05">
            <w:pPr>
              <w:spacing w:before="60" w:after="60" w:line="200" w:lineRule="exact"/>
              <w:jc w:val="right"/>
              <w:rPr>
                <w:noProof/>
                <w:sz w:val="16"/>
              </w:rPr>
            </w:pPr>
          </w:p>
        </w:tc>
        <w:tc>
          <w:tcPr>
            <w:tcW w:w="1080" w:type="dxa"/>
            <w:vAlign w:val="center"/>
          </w:tcPr>
          <w:p w14:paraId="3D1C2545" w14:textId="77777777" w:rsidR="00BE7E05" w:rsidRPr="00853D04" w:rsidRDefault="00BE7E05">
            <w:pPr>
              <w:spacing w:before="60" w:after="60" w:line="200" w:lineRule="exact"/>
              <w:jc w:val="right"/>
              <w:rPr>
                <w:noProof/>
                <w:sz w:val="16"/>
              </w:rPr>
            </w:pPr>
          </w:p>
        </w:tc>
        <w:tc>
          <w:tcPr>
            <w:tcW w:w="1080" w:type="dxa"/>
            <w:vAlign w:val="center"/>
          </w:tcPr>
          <w:p w14:paraId="7BCEA2BA" w14:textId="77777777" w:rsidR="00BE7E05" w:rsidRPr="00853D04" w:rsidRDefault="00BE7E05">
            <w:pPr>
              <w:spacing w:before="60" w:after="60" w:line="200" w:lineRule="exact"/>
              <w:jc w:val="right"/>
              <w:rPr>
                <w:noProof/>
                <w:sz w:val="16"/>
              </w:rPr>
            </w:pPr>
          </w:p>
        </w:tc>
        <w:tc>
          <w:tcPr>
            <w:tcW w:w="1080" w:type="dxa"/>
            <w:vAlign w:val="center"/>
          </w:tcPr>
          <w:p w14:paraId="4145B188" w14:textId="77777777" w:rsidR="00BE7E05" w:rsidRPr="00853D04" w:rsidRDefault="00BE7E05">
            <w:pPr>
              <w:spacing w:before="60" w:after="60" w:line="200" w:lineRule="exact"/>
              <w:jc w:val="right"/>
              <w:rPr>
                <w:noProof/>
                <w:sz w:val="16"/>
              </w:rPr>
            </w:pPr>
          </w:p>
        </w:tc>
        <w:tc>
          <w:tcPr>
            <w:tcW w:w="1080" w:type="dxa"/>
            <w:vAlign w:val="center"/>
          </w:tcPr>
          <w:p w14:paraId="29B880E7" w14:textId="77777777" w:rsidR="00BE7E05" w:rsidRPr="00853D04" w:rsidRDefault="00BE7E05">
            <w:pPr>
              <w:spacing w:before="60" w:after="60" w:line="200" w:lineRule="exact"/>
              <w:jc w:val="right"/>
              <w:rPr>
                <w:b/>
                <w:noProof/>
                <w:sz w:val="16"/>
              </w:rPr>
            </w:pPr>
          </w:p>
        </w:tc>
        <w:tc>
          <w:tcPr>
            <w:tcW w:w="1080" w:type="dxa"/>
            <w:vAlign w:val="center"/>
          </w:tcPr>
          <w:p w14:paraId="2635F73C" w14:textId="77777777" w:rsidR="00BE7E05" w:rsidRPr="00853D04" w:rsidRDefault="00BE7E05">
            <w:pPr>
              <w:spacing w:before="60" w:after="60" w:line="200" w:lineRule="exact"/>
              <w:jc w:val="right"/>
              <w:rPr>
                <w:b/>
                <w:noProof/>
                <w:sz w:val="16"/>
              </w:rPr>
            </w:pPr>
          </w:p>
        </w:tc>
      </w:tr>
      <w:tr w:rsidR="00514E83" w:rsidRPr="00853D04" w14:paraId="54E73B13" w14:textId="77777777" w:rsidTr="6E804B18">
        <w:trPr>
          <w:trHeight w:val="585"/>
        </w:trPr>
        <w:tc>
          <w:tcPr>
            <w:tcW w:w="1980" w:type="dxa"/>
            <w:shd w:val="clear" w:color="auto" w:fill="CCCCCC"/>
            <w:vAlign w:val="center"/>
          </w:tcPr>
          <w:p w14:paraId="4DEF68F6" w14:textId="556ACE79" w:rsidR="00BE7E05" w:rsidRPr="00853D04" w:rsidRDefault="00BE7E05">
            <w:pPr>
              <w:spacing w:before="60" w:after="60" w:line="200" w:lineRule="exact"/>
              <w:jc w:val="center"/>
              <w:rPr>
                <w:b/>
                <w:noProof/>
                <w:sz w:val="16"/>
              </w:rPr>
            </w:pPr>
            <w:r w:rsidRPr="00853D04">
              <w:rPr>
                <w:b/>
                <w:noProof/>
                <w:sz w:val="16"/>
              </w:rPr>
              <w:t>Suma cząstkow</w:t>
            </w:r>
            <w:r w:rsidRPr="00C13C75">
              <w:rPr>
                <w:b/>
                <w:noProof/>
                <w:sz w:val="16"/>
              </w:rPr>
              <w:t>a</w:t>
            </w:r>
            <w:r w:rsidR="00C13C75" w:rsidRPr="00C13C75">
              <w:rPr>
                <w:b/>
                <w:noProof/>
                <w:sz w:val="16"/>
              </w:rPr>
              <w:t xml:space="preserve"> </w:t>
            </w:r>
            <w:r w:rsidRPr="00C13C75">
              <w:rPr>
                <w:noProof/>
              </w:rPr>
              <w:br/>
            </w:r>
            <w:r w:rsidRPr="00853D04">
              <w:rPr>
                <w:b/>
                <w:noProof/>
                <w:sz w:val="16"/>
              </w:rPr>
              <w:t>poza DZIAŁEM 7</w:t>
            </w:r>
            <w:r w:rsidRPr="00853D04">
              <w:rPr>
                <w:noProof/>
              </w:rPr>
              <w:t xml:space="preserve"> </w:t>
            </w:r>
            <w:r w:rsidRPr="00853D04">
              <w:rPr>
                <w:noProof/>
              </w:rPr>
              <w:br/>
            </w:r>
            <w:r w:rsidRPr="00853D04">
              <w:rPr>
                <w:b/>
                <w:noProof/>
                <w:sz w:val="16"/>
              </w:rPr>
              <w:t xml:space="preserve">wieloletnich ram finansowych </w:t>
            </w:r>
          </w:p>
        </w:tc>
        <w:tc>
          <w:tcPr>
            <w:tcW w:w="1080" w:type="dxa"/>
            <w:vAlign w:val="center"/>
          </w:tcPr>
          <w:p w14:paraId="749A711E" w14:textId="77777777" w:rsidR="00BE7E05" w:rsidRPr="00853D04" w:rsidRDefault="00BE7E05">
            <w:pPr>
              <w:spacing w:before="60" w:after="60" w:line="200" w:lineRule="exact"/>
              <w:jc w:val="right"/>
              <w:rPr>
                <w:noProof/>
                <w:sz w:val="16"/>
              </w:rPr>
            </w:pPr>
          </w:p>
        </w:tc>
        <w:tc>
          <w:tcPr>
            <w:tcW w:w="1080" w:type="dxa"/>
            <w:vAlign w:val="center"/>
          </w:tcPr>
          <w:p w14:paraId="63F27E3D" w14:textId="77777777" w:rsidR="00BE7E05" w:rsidRPr="00853D04" w:rsidRDefault="00BE7E05">
            <w:pPr>
              <w:spacing w:before="60" w:after="60" w:line="200" w:lineRule="exact"/>
              <w:jc w:val="right"/>
              <w:rPr>
                <w:noProof/>
                <w:sz w:val="16"/>
              </w:rPr>
            </w:pPr>
          </w:p>
        </w:tc>
        <w:tc>
          <w:tcPr>
            <w:tcW w:w="1080" w:type="dxa"/>
            <w:vAlign w:val="center"/>
          </w:tcPr>
          <w:p w14:paraId="68E1CB31" w14:textId="77777777" w:rsidR="00BE7E05" w:rsidRPr="00853D04" w:rsidRDefault="00BE7E05">
            <w:pPr>
              <w:spacing w:before="60" w:after="60" w:line="200" w:lineRule="exact"/>
              <w:jc w:val="right"/>
              <w:rPr>
                <w:noProof/>
                <w:sz w:val="16"/>
              </w:rPr>
            </w:pPr>
          </w:p>
        </w:tc>
        <w:tc>
          <w:tcPr>
            <w:tcW w:w="1080" w:type="dxa"/>
            <w:vAlign w:val="center"/>
          </w:tcPr>
          <w:p w14:paraId="393CF942" w14:textId="77777777" w:rsidR="00BE7E05" w:rsidRPr="00853D04" w:rsidRDefault="00BE7E05">
            <w:pPr>
              <w:spacing w:before="60" w:after="60" w:line="200" w:lineRule="exact"/>
              <w:jc w:val="right"/>
              <w:rPr>
                <w:noProof/>
                <w:sz w:val="16"/>
              </w:rPr>
            </w:pPr>
          </w:p>
        </w:tc>
        <w:tc>
          <w:tcPr>
            <w:tcW w:w="1080" w:type="dxa"/>
            <w:vAlign w:val="center"/>
          </w:tcPr>
          <w:p w14:paraId="73332660" w14:textId="77777777" w:rsidR="00BE7E05" w:rsidRPr="00853D04" w:rsidRDefault="00BE7E05">
            <w:pPr>
              <w:spacing w:before="60" w:after="60" w:line="200" w:lineRule="exact"/>
              <w:jc w:val="right"/>
              <w:rPr>
                <w:noProof/>
                <w:sz w:val="16"/>
              </w:rPr>
            </w:pPr>
          </w:p>
        </w:tc>
        <w:tc>
          <w:tcPr>
            <w:tcW w:w="1080" w:type="dxa"/>
            <w:vAlign w:val="center"/>
          </w:tcPr>
          <w:p w14:paraId="0C542312" w14:textId="77777777" w:rsidR="00BE7E05" w:rsidRPr="00853D04" w:rsidRDefault="00BE7E05">
            <w:pPr>
              <w:spacing w:before="60" w:after="60" w:line="200" w:lineRule="exact"/>
              <w:jc w:val="right"/>
              <w:rPr>
                <w:noProof/>
                <w:sz w:val="16"/>
              </w:rPr>
            </w:pPr>
          </w:p>
        </w:tc>
        <w:tc>
          <w:tcPr>
            <w:tcW w:w="1080" w:type="dxa"/>
            <w:vAlign w:val="center"/>
          </w:tcPr>
          <w:p w14:paraId="12D21620" w14:textId="77777777" w:rsidR="00BE7E05" w:rsidRPr="00853D04" w:rsidRDefault="00BE7E05">
            <w:pPr>
              <w:spacing w:before="60" w:after="60" w:line="200" w:lineRule="exact"/>
              <w:jc w:val="right"/>
              <w:rPr>
                <w:b/>
                <w:noProof/>
                <w:sz w:val="16"/>
              </w:rPr>
            </w:pPr>
          </w:p>
        </w:tc>
        <w:tc>
          <w:tcPr>
            <w:tcW w:w="1080" w:type="dxa"/>
            <w:vAlign w:val="center"/>
          </w:tcPr>
          <w:p w14:paraId="20A78006" w14:textId="77777777" w:rsidR="00BE7E05" w:rsidRPr="00853D04" w:rsidRDefault="00BE7E05">
            <w:pPr>
              <w:spacing w:before="60" w:after="60" w:line="200" w:lineRule="exact"/>
              <w:jc w:val="right"/>
              <w:rPr>
                <w:b/>
                <w:noProof/>
                <w:sz w:val="16"/>
              </w:rPr>
            </w:pPr>
          </w:p>
        </w:tc>
      </w:tr>
    </w:tbl>
    <w:p w14:paraId="45D21A06" w14:textId="77777777" w:rsidR="00BE7E05" w:rsidRPr="00853D04" w:rsidRDefault="00BE7E05">
      <w:pPr>
        <w:spacing w:line="200" w:lineRule="exact"/>
        <w:rPr>
          <w:noProof/>
          <w:sz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D25B9" w:rsidRPr="00853D04" w14:paraId="0B01AC23" w14:textId="77777777" w:rsidTr="20B2B65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283D3505" w14:textId="77777777" w:rsidR="00BE7E05" w:rsidRPr="00853D04" w:rsidRDefault="00BE7E05">
            <w:pPr>
              <w:spacing w:before="60" w:after="60" w:line="200" w:lineRule="exact"/>
              <w:jc w:val="center"/>
              <w:rPr>
                <w:noProof/>
                <w:sz w:val="16"/>
              </w:rPr>
            </w:pPr>
            <w:r w:rsidRPr="00853D04">
              <w:rPr>
                <w:b/>
                <w:noProof/>
                <w:sz w:val="16"/>
              </w:rPr>
              <w:t>OGÓŁEM</w:t>
            </w:r>
          </w:p>
        </w:tc>
        <w:tc>
          <w:tcPr>
            <w:tcW w:w="1080" w:type="dxa"/>
            <w:tcBorders>
              <w:top w:val="single" w:sz="12" w:space="0" w:color="auto"/>
              <w:left w:val="single" w:sz="2" w:space="0" w:color="auto"/>
              <w:bottom w:val="single" w:sz="12" w:space="0" w:color="auto"/>
              <w:right w:val="single" w:sz="2" w:space="0" w:color="auto"/>
            </w:tcBorders>
            <w:vAlign w:val="center"/>
          </w:tcPr>
          <w:p w14:paraId="4F27B651" w14:textId="77777777" w:rsidR="00BE7E05" w:rsidRPr="00853D04" w:rsidRDefault="7FB62382">
            <w:pPr>
              <w:spacing w:before="60" w:after="60" w:line="200" w:lineRule="exact"/>
              <w:jc w:val="right"/>
              <w:rPr>
                <w:b/>
                <w:noProof/>
                <w:sz w:val="16"/>
              </w:rPr>
            </w:pPr>
            <w:r w:rsidRPr="00853D04">
              <w:rPr>
                <w:b/>
                <w:noProof/>
                <w:sz w:val="16"/>
              </w:rPr>
              <w:t>0,217</w:t>
            </w:r>
          </w:p>
        </w:tc>
        <w:tc>
          <w:tcPr>
            <w:tcW w:w="1080" w:type="dxa"/>
            <w:tcBorders>
              <w:top w:val="single" w:sz="12" w:space="0" w:color="auto"/>
              <w:left w:val="single" w:sz="2" w:space="0" w:color="auto"/>
              <w:bottom w:val="single" w:sz="12" w:space="0" w:color="auto"/>
              <w:right w:val="single" w:sz="2" w:space="0" w:color="auto"/>
            </w:tcBorders>
            <w:vAlign w:val="center"/>
          </w:tcPr>
          <w:p w14:paraId="418A0F6D" w14:textId="77777777" w:rsidR="00BE7E05" w:rsidRPr="00853D04" w:rsidRDefault="7FB62382">
            <w:pPr>
              <w:spacing w:before="60" w:after="60" w:line="200" w:lineRule="exact"/>
              <w:jc w:val="right"/>
              <w:rPr>
                <w:b/>
                <w:noProof/>
                <w:sz w:val="16"/>
              </w:rPr>
            </w:pPr>
            <w:r w:rsidRPr="00853D04">
              <w:rPr>
                <w:b/>
                <w:noProof/>
                <w:sz w:val="16"/>
              </w:rPr>
              <w:t>0,271</w:t>
            </w:r>
          </w:p>
        </w:tc>
        <w:tc>
          <w:tcPr>
            <w:tcW w:w="1080" w:type="dxa"/>
            <w:tcBorders>
              <w:top w:val="single" w:sz="12" w:space="0" w:color="auto"/>
              <w:left w:val="single" w:sz="2" w:space="0" w:color="auto"/>
              <w:bottom w:val="single" w:sz="12" w:space="0" w:color="auto"/>
              <w:right w:val="single" w:sz="2" w:space="0" w:color="auto"/>
            </w:tcBorders>
            <w:vAlign w:val="center"/>
          </w:tcPr>
          <w:p w14:paraId="687EA5CE" w14:textId="77777777" w:rsidR="00BE7E05" w:rsidRPr="00853D04" w:rsidRDefault="7FB62382">
            <w:pPr>
              <w:spacing w:before="60" w:after="60" w:line="200" w:lineRule="exact"/>
              <w:jc w:val="right"/>
              <w:rPr>
                <w:b/>
                <w:noProof/>
                <w:sz w:val="16"/>
              </w:rPr>
            </w:pPr>
            <w:r w:rsidRPr="00853D04">
              <w:rPr>
                <w:b/>
                <w:noProof/>
                <w:sz w:val="16"/>
              </w:rPr>
              <w:t>0,209</w:t>
            </w:r>
          </w:p>
        </w:tc>
        <w:tc>
          <w:tcPr>
            <w:tcW w:w="1080" w:type="dxa"/>
            <w:tcBorders>
              <w:top w:val="single" w:sz="12" w:space="0" w:color="auto"/>
              <w:left w:val="single" w:sz="2" w:space="0" w:color="auto"/>
              <w:bottom w:val="single" w:sz="12" w:space="0" w:color="auto"/>
              <w:right w:val="single" w:sz="2" w:space="0" w:color="auto"/>
            </w:tcBorders>
            <w:vAlign w:val="center"/>
          </w:tcPr>
          <w:p w14:paraId="5DABCE8A" w14:textId="77777777" w:rsidR="00BE7E05" w:rsidRPr="00853D04" w:rsidRDefault="7FB62382">
            <w:pPr>
              <w:spacing w:before="60" w:after="60" w:line="200" w:lineRule="exact"/>
              <w:jc w:val="right"/>
              <w:rPr>
                <w:b/>
                <w:noProof/>
                <w:sz w:val="16"/>
              </w:rPr>
            </w:pPr>
            <w:r w:rsidRPr="00853D04">
              <w:rPr>
                <w:b/>
                <w:noProof/>
                <w:sz w:val="16"/>
              </w:rPr>
              <w:t>0,209</w:t>
            </w:r>
          </w:p>
        </w:tc>
        <w:tc>
          <w:tcPr>
            <w:tcW w:w="1080" w:type="dxa"/>
            <w:tcBorders>
              <w:top w:val="single" w:sz="12" w:space="0" w:color="auto"/>
              <w:left w:val="single" w:sz="2" w:space="0" w:color="auto"/>
              <w:bottom w:val="single" w:sz="12" w:space="0" w:color="auto"/>
              <w:right w:val="single" w:sz="2" w:space="0" w:color="auto"/>
            </w:tcBorders>
            <w:vAlign w:val="center"/>
          </w:tcPr>
          <w:p w14:paraId="231F63E5" w14:textId="77777777" w:rsidR="00BE7E05" w:rsidRPr="00853D04" w:rsidRDefault="7FB62382">
            <w:pPr>
              <w:spacing w:before="60" w:after="60" w:line="200" w:lineRule="exact"/>
              <w:jc w:val="right"/>
              <w:rPr>
                <w:b/>
                <w:noProof/>
                <w:sz w:val="16"/>
              </w:rPr>
            </w:pPr>
            <w:r w:rsidRPr="00853D04">
              <w:rPr>
                <w:b/>
                <w:noProof/>
                <w:sz w:val="16"/>
              </w:rPr>
              <w:t>0,209</w:t>
            </w:r>
          </w:p>
        </w:tc>
        <w:tc>
          <w:tcPr>
            <w:tcW w:w="1080" w:type="dxa"/>
            <w:tcBorders>
              <w:top w:val="single" w:sz="12" w:space="0" w:color="auto"/>
              <w:left w:val="single" w:sz="2" w:space="0" w:color="auto"/>
              <w:bottom w:val="single" w:sz="12" w:space="0" w:color="auto"/>
              <w:right w:val="single" w:sz="2" w:space="0" w:color="auto"/>
            </w:tcBorders>
            <w:vAlign w:val="center"/>
          </w:tcPr>
          <w:p w14:paraId="064800EA" w14:textId="77777777" w:rsidR="00BE7E05" w:rsidRPr="00853D04" w:rsidRDefault="7FB62382">
            <w:pPr>
              <w:spacing w:before="60" w:after="60" w:line="200" w:lineRule="exact"/>
              <w:jc w:val="right"/>
              <w:rPr>
                <w:b/>
                <w:noProof/>
                <w:sz w:val="16"/>
              </w:rPr>
            </w:pPr>
            <w:r w:rsidRPr="00853D04">
              <w:rPr>
                <w:b/>
                <w:noProof/>
                <w:sz w:val="16"/>
              </w:rPr>
              <w:t>0,209</w:t>
            </w:r>
          </w:p>
        </w:tc>
        <w:tc>
          <w:tcPr>
            <w:tcW w:w="1080" w:type="dxa"/>
            <w:tcBorders>
              <w:top w:val="single" w:sz="12" w:space="0" w:color="auto"/>
              <w:left w:val="single" w:sz="2" w:space="0" w:color="auto"/>
              <w:bottom w:val="single" w:sz="12" w:space="0" w:color="auto"/>
              <w:right w:val="single" w:sz="2" w:space="0" w:color="auto"/>
            </w:tcBorders>
            <w:vAlign w:val="center"/>
          </w:tcPr>
          <w:p w14:paraId="1357D7BE" w14:textId="77777777" w:rsidR="00BE7E05" w:rsidRPr="00853D04" w:rsidRDefault="00BE7E05">
            <w:pPr>
              <w:spacing w:before="60" w:after="60" w:line="200" w:lineRule="exact"/>
              <w:jc w:val="right"/>
              <w:rPr>
                <w:b/>
                <w:noProof/>
                <w:sz w:val="16"/>
              </w:rPr>
            </w:pPr>
          </w:p>
        </w:tc>
        <w:tc>
          <w:tcPr>
            <w:tcW w:w="1080" w:type="dxa"/>
            <w:tcBorders>
              <w:top w:val="single" w:sz="12" w:space="0" w:color="auto"/>
              <w:left w:val="single" w:sz="2" w:space="0" w:color="auto"/>
              <w:bottom w:val="single" w:sz="12" w:space="0" w:color="auto"/>
              <w:right w:val="single" w:sz="12" w:space="0" w:color="auto"/>
            </w:tcBorders>
            <w:vAlign w:val="center"/>
          </w:tcPr>
          <w:p w14:paraId="2BFC597C" w14:textId="77777777" w:rsidR="00BE7E05" w:rsidRPr="00853D04" w:rsidRDefault="7FB62382">
            <w:pPr>
              <w:spacing w:before="60" w:after="60" w:line="200" w:lineRule="exact"/>
              <w:jc w:val="right"/>
              <w:rPr>
                <w:b/>
                <w:noProof/>
                <w:sz w:val="16"/>
              </w:rPr>
            </w:pPr>
            <w:r w:rsidRPr="00853D04">
              <w:rPr>
                <w:b/>
                <w:noProof/>
                <w:sz w:val="16"/>
              </w:rPr>
              <w:t>1,324</w:t>
            </w:r>
          </w:p>
        </w:tc>
      </w:tr>
    </w:tbl>
    <w:p w14:paraId="5A357622" w14:textId="087B6495" w:rsidR="00BE7E05" w:rsidRPr="00853D04" w:rsidRDefault="00BE7E05">
      <w:pPr>
        <w:rPr>
          <w:noProof/>
          <w:sz w:val="18"/>
        </w:rPr>
      </w:pPr>
      <w:r w:rsidRPr="00853D04">
        <w:rPr>
          <w:noProof/>
          <w:sz w:val="18"/>
        </w:rPr>
        <w:t>Potrzeby</w:t>
      </w:r>
      <w:r w:rsidR="00C13C75" w:rsidRPr="00853D04">
        <w:rPr>
          <w:noProof/>
          <w:sz w:val="18"/>
        </w:rPr>
        <w:t xml:space="preserve"> w</w:t>
      </w:r>
      <w:r w:rsidR="00C13C75">
        <w:rPr>
          <w:noProof/>
          <w:sz w:val="18"/>
        </w:rPr>
        <w:t> </w:t>
      </w:r>
      <w:r w:rsidR="00C13C75" w:rsidRPr="00853D04">
        <w:rPr>
          <w:noProof/>
          <w:sz w:val="18"/>
        </w:rPr>
        <w:t>zak</w:t>
      </w:r>
      <w:r w:rsidRPr="00853D04">
        <w:rPr>
          <w:noProof/>
          <w:sz w:val="18"/>
        </w:rPr>
        <w:t>resie środków na zasoby ludzkie</w:t>
      </w:r>
      <w:r w:rsidR="00C13C75" w:rsidRPr="00853D04">
        <w:rPr>
          <w:noProof/>
          <w:sz w:val="18"/>
        </w:rPr>
        <w:t xml:space="preserve"> i</w:t>
      </w:r>
      <w:r w:rsidR="00C13C75">
        <w:rPr>
          <w:noProof/>
          <w:sz w:val="18"/>
        </w:rPr>
        <w:t> </w:t>
      </w:r>
      <w:r w:rsidR="00C13C75" w:rsidRPr="00853D04">
        <w:rPr>
          <w:noProof/>
          <w:sz w:val="18"/>
        </w:rPr>
        <w:t>inn</w:t>
      </w:r>
      <w:r w:rsidRPr="00853D04">
        <w:rPr>
          <w:noProof/>
          <w:sz w:val="18"/>
        </w:rPr>
        <w:t>e wydatki</w:t>
      </w:r>
      <w:r w:rsidR="00C13C75" w:rsidRPr="00853D04">
        <w:rPr>
          <w:noProof/>
          <w:sz w:val="18"/>
        </w:rPr>
        <w:t xml:space="preserve"> o</w:t>
      </w:r>
      <w:r w:rsidR="00C13C75">
        <w:rPr>
          <w:noProof/>
          <w:sz w:val="18"/>
        </w:rPr>
        <w:t> </w:t>
      </w:r>
      <w:r w:rsidR="00C13C75" w:rsidRPr="00853D04">
        <w:rPr>
          <w:noProof/>
          <w:sz w:val="18"/>
        </w:rPr>
        <w:t>cha</w:t>
      </w:r>
      <w:r w:rsidRPr="00853D04">
        <w:rPr>
          <w:noProof/>
          <w:sz w:val="18"/>
        </w:rPr>
        <w:t>rakterze administracyjnym zostaną pokryte</w:t>
      </w:r>
      <w:r w:rsidR="00C13C75" w:rsidRPr="00853D04">
        <w:rPr>
          <w:noProof/>
          <w:sz w:val="18"/>
        </w:rPr>
        <w:t xml:space="preserve"> z</w:t>
      </w:r>
      <w:r w:rsidR="00C13C75">
        <w:rPr>
          <w:noProof/>
          <w:sz w:val="18"/>
        </w:rPr>
        <w:t> </w:t>
      </w:r>
      <w:r w:rsidR="00C13C75" w:rsidRPr="00853D04">
        <w:rPr>
          <w:noProof/>
          <w:sz w:val="18"/>
        </w:rPr>
        <w:t>zas</w:t>
      </w:r>
      <w:r w:rsidRPr="00853D04">
        <w:rPr>
          <w:noProof/>
          <w:sz w:val="18"/>
        </w:rPr>
        <w:t>obów dyrekcji generalnej już przydzielonych na zarządzanie tym działaniem lub przesuniętych</w:t>
      </w:r>
      <w:r w:rsidR="00C13C75" w:rsidRPr="00853D04">
        <w:rPr>
          <w:noProof/>
          <w:sz w:val="18"/>
        </w:rPr>
        <w:t xml:space="preserve"> w</w:t>
      </w:r>
      <w:r w:rsidR="00C13C75">
        <w:rPr>
          <w:noProof/>
          <w:sz w:val="18"/>
        </w:rPr>
        <w:t> </w:t>
      </w:r>
      <w:r w:rsidR="00C13C75" w:rsidRPr="00853D04">
        <w:rPr>
          <w:noProof/>
          <w:sz w:val="18"/>
        </w:rPr>
        <w:t>ram</w:t>
      </w:r>
      <w:r w:rsidRPr="00853D04">
        <w:rPr>
          <w:noProof/>
          <w:sz w:val="18"/>
        </w:rPr>
        <w:t>ach dyrekcji generalnej, uzupełnionych</w:t>
      </w:r>
      <w:r w:rsidR="00C13C75" w:rsidRPr="00853D04">
        <w:rPr>
          <w:noProof/>
          <w:sz w:val="18"/>
        </w:rPr>
        <w:t xml:space="preserve"> w</w:t>
      </w:r>
      <w:r w:rsidR="00C13C75">
        <w:rPr>
          <w:noProof/>
          <w:sz w:val="18"/>
        </w:rPr>
        <w:t> </w:t>
      </w:r>
      <w:r w:rsidR="00C13C75" w:rsidRPr="00853D04">
        <w:rPr>
          <w:noProof/>
          <w:sz w:val="18"/>
        </w:rPr>
        <w:t>raz</w:t>
      </w:r>
      <w:r w:rsidRPr="00853D04">
        <w:rPr>
          <w:noProof/>
          <w:sz w:val="18"/>
        </w:rPr>
        <w:t>ie potrzeby wszelkimi dodatkowymi zasobami, które mogą zostać przydzielone zarządzającej dyrekcji generalnej</w:t>
      </w:r>
      <w:r w:rsidR="00C13C75" w:rsidRPr="00853D04">
        <w:rPr>
          <w:noProof/>
          <w:sz w:val="18"/>
        </w:rPr>
        <w:t xml:space="preserve"> w</w:t>
      </w:r>
      <w:r w:rsidR="00C13C75">
        <w:rPr>
          <w:noProof/>
          <w:sz w:val="18"/>
        </w:rPr>
        <w:t> </w:t>
      </w:r>
      <w:r w:rsidR="00C13C75" w:rsidRPr="00853D04">
        <w:rPr>
          <w:noProof/>
          <w:sz w:val="18"/>
        </w:rPr>
        <w:t>ram</w:t>
      </w:r>
      <w:r w:rsidRPr="00853D04">
        <w:rPr>
          <w:noProof/>
          <w:sz w:val="18"/>
        </w:rPr>
        <w:t>ach procedury rocznego przydziału środków oraz</w:t>
      </w:r>
      <w:r w:rsidR="00C13C75" w:rsidRPr="00853D04">
        <w:rPr>
          <w:noProof/>
          <w:sz w:val="18"/>
        </w:rPr>
        <w:t xml:space="preserve"> w</w:t>
      </w:r>
      <w:r w:rsidR="00C13C75">
        <w:rPr>
          <w:noProof/>
          <w:sz w:val="18"/>
        </w:rPr>
        <w:t> </w:t>
      </w:r>
      <w:r w:rsidR="00C13C75" w:rsidRPr="00853D04">
        <w:rPr>
          <w:noProof/>
          <w:sz w:val="18"/>
        </w:rPr>
        <w:t>świ</w:t>
      </w:r>
      <w:r w:rsidRPr="00853D04">
        <w:rPr>
          <w:noProof/>
          <w:sz w:val="18"/>
        </w:rPr>
        <w:t>etle istniejących ograniczeń budżetowych.</w:t>
      </w:r>
    </w:p>
    <w:p w14:paraId="5001D1C3" w14:textId="77777777" w:rsidR="00BE7E05" w:rsidRPr="00853D04" w:rsidRDefault="00BE7E05">
      <w:pPr>
        <w:rPr>
          <w:noProof/>
          <w:sz w:val="18"/>
        </w:rPr>
        <w:sectPr w:rsidR="00BE7E05" w:rsidRPr="00853D04" w:rsidSect="002D57EB">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14:paraId="70D916C1" w14:textId="77777777" w:rsidR="00BE7E05" w:rsidRPr="00853D04" w:rsidRDefault="00BE7E05">
      <w:pPr>
        <w:pStyle w:val="ManualHeading4"/>
        <w:rPr>
          <w:noProof/>
        </w:rPr>
      </w:pPr>
      <w:bookmarkStart w:id="65" w:name="_Toc82C9CE6E4E1F470F8F09B4938A67F539"/>
      <w:r w:rsidRPr="00853D04">
        <w:rPr>
          <w:noProof/>
        </w:rPr>
        <w:t>3.2.3.1.</w:t>
      </w:r>
      <w:r w:rsidRPr="00853D04">
        <w:rPr>
          <w:noProof/>
        </w:rPr>
        <w:tab/>
        <w:t xml:space="preserve">Szacowane zapotrzebowanie na zasoby ludzkie </w:t>
      </w:r>
      <w:bookmarkEnd w:id="65"/>
    </w:p>
    <w:p w14:paraId="534AE00D" w14:textId="552D028E" w:rsidR="00BE7E05" w:rsidRPr="00853D04" w:rsidRDefault="00BE7E05" w:rsidP="00F66EBA">
      <w:pPr>
        <w:pStyle w:val="ListDash1"/>
        <w:rPr>
          <w:noProof/>
        </w:rPr>
      </w:pPr>
      <w:r w:rsidRPr="00853D04">
        <w:rPr>
          <w:noProof/>
        </w:rPr>
        <w:t>¨</w:t>
      </w:r>
      <w:r w:rsidRPr="00853D04">
        <w:rPr>
          <w:noProof/>
        </w:rPr>
        <w:tab/>
        <w:t>Wniosek/inicjatywa nie wiąże się</w:t>
      </w:r>
      <w:r w:rsidR="00C13C75" w:rsidRPr="00853D04">
        <w:rPr>
          <w:noProof/>
        </w:rPr>
        <w:t xml:space="preserve"> z</w:t>
      </w:r>
      <w:r w:rsidR="00C13C75">
        <w:rPr>
          <w:noProof/>
        </w:rPr>
        <w:t> </w:t>
      </w:r>
      <w:r w:rsidR="00C13C75" w:rsidRPr="00853D04">
        <w:rPr>
          <w:noProof/>
        </w:rPr>
        <w:t>kon</w:t>
      </w:r>
      <w:r w:rsidRPr="00853D04">
        <w:rPr>
          <w:noProof/>
        </w:rPr>
        <w:t xml:space="preserve">iecznością wykorzystania zasobów ludzkich. </w:t>
      </w:r>
    </w:p>
    <w:p w14:paraId="7A8228F6" w14:textId="3A31D334" w:rsidR="00BE7E05" w:rsidRPr="00853D04" w:rsidRDefault="00F06E5D" w:rsidP="00F66EBA">
      <w:pPr>
        <w:pStyle w:val="ListDash1"/>
        <w:rPr>
          <w:noProof/>
        </w:rPr>
      </w:pPr>
      <w:r w:rsidRPr="00853D04">
        <w:rPr>
          <w:noProof/>
        </w:rPr>
        <w:t>X Wniosek/inicjatywa wiąże się</w:t>
      </w:r>
      <w:r w:rsidR="00C13C75" w:rsidRPr="00853D04">
        <w:rPr>
          <w:noProof/>
        </w:rPr>
        <w:t xml:space="preserve"> z</w:t>
      </w:r>
      <w:r w:rsidR="00C13C75">
        <w:rPr>
          <w:noProof/>
        </w:rPr>
        <w:t> </w:t>
      </w:r>
      <w:r w:rsidR="00C13C75" w:rsidRPr="00853D04">
        <w:rPr>
          <w:noProof/>
        </w:rPr>
        <w:t>kon</w:t>
      </w:r>
      <w:r w:rsidRPr="00853D04">
        <w:rPr>
          <w:noProof/>
        </w:rPr>
        <w:t>iecznością wykorzystania zasobów ludzkich, jak określono poniżej:</w:t>
      </w:r>
    </w:p>
    <w:p w14:paraId="6E6A6831" w14:textId="67324EA6" w:rsidR="00BE7E05" w:rsidRPr="00853D04" w:rsidRDefault="00BE7E05">
      <w:pPr>
        <w:spacing w:after="60"/>
        <w:jc w:val="right"/>
        <w:rPr>
          <w:i/>
          <w:noProof/>
          <w:sz w:val="20"/>
        </w:rPr>
      </w:pPr>
      <w:r w:rsidRPr="00853D04">
        <w:rPr>
          <w:i/>
          <w:noProof/>
          <w:sz w:val="20"/>
        </w:rPr>
        <w:t>Wartości szacunkowe należy wyrazić</w:t>
      </w:r>
      <w:r w:rsidR="00C13C75" w:rsidRPr="00853D04">
        <w:rPr>
          <w:i/>
          <w:noProof/>
          <w:sz w:val="20"/>
        </w:rPr>
        <w:t xml:space="preserve"> w</w:t>
      </w:r>
      <w:r w:rsidR="00C13C75">
        <w:rPr>
          <w:i/>
          <w:noProof/>
          <w:sz w:val="20"/>
        </w:rPr>
        <w:t> </w:t>
      </w:r>
      <w:r w:rsidR="00C13C75" w:rsidRPr="00853D04">
        <w:rPr>
          <w:i/>
          <w:noProof/>
          <w:sz w:val="20"/>
        </w:rPr>
        <w:t>ekw</w:t>
      </w:r>
      <w:r w:rsidRPr="00853D04">
        <w:rPr>
          <w:i/>
          <w:noProof/>
          <w:sz w:val="20"/>
        </w:rPr>
        <w:t>iwalentach pełnego czasu pracy</w:t>
      </w:r>
    </w:p>
    <w:tbl>
      <w:tblPr>
        <w:tblW w:w="9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178"/>
        <w:gridCol w:w="15"/>
        <w:gridCol w:w="742"/>
        <w:gridCol w:w="15"/>
        <w:gridCol w:w="742"/>
        <w:gridCol w:w="15"/>
        <w:gridCol w:w="1047"/>
        <w:gridCol w:w="731"/>
        <w:gridCol w:w="731"/>
        <w:gridCol w:w="731"/>
        <w:gridCol w:w="731"/>
        <w:gridCol w:w="757"/>
        <w:gridCol w:w="757"/>
        <w:gridCol w:w="757"/>
      </w:tblGrid>
      <w:tr w:rsidR="00E47D76" w:rsidRPr="00853D04" w14:paraId="069F4667" w14:textId="77777777" w:rsidTr="6209A4CE">
        <w:trPr>
          <w:gridBefore w:val="1"/>
          <w:wBefore w:w="15" w:type="dxa"/>
          <w:trHeight w:val="289"/>
          <w:jc w:val="center"/>
        </w:trPr>
        <w:tc>
          <w:tcPr>
            <w:tcW w:w="4754" w:type="dxa"/>
            <w:gridSpan w:val="7"/>
            <w:shd w:val="clear" w:color="auto" w:fill="auto"/>
          </w:tcPr>
          <w:p w14:paraId="032BFF57" w14:textId="77777777" w:rsidR="00E47D76" w:rsidRPr="00853D04" w:rsidRDefault="00E47D76">
            <w:pPr>
              <w:pStyle w:val="Text1"/>
              <w:spacing w:before="40" w:after="40"/>
              <w:ind w:left="0"/>
              <w:jc w:val="center"/>
              <w:rPr>
                <w:i/>
                <w:noProof/>
                <w:sz w:val="16"/>
              </w:rPr>
            </w:pPr>
          </w:p>
        </w:tc>
        <w:tc>
          <w:tcPr>
            <w:tcW w:w="731" w:type="dxa"/>
            <w:shd w:val="clear" w:color="auto" w:fill="auto"/>
            <w:vAlign w:val="center"/>
          </w:tcPr>
          <w:p w14:paraId="49EF507F" w14:textId="77777777" w:rsidR="00E47D76" w:rsidRPr="00853D04" w:rsidRDefault="00E47D76">
            <w:pPr>
              <w:spacing w:before="20" w:after="20"/>
              <w:jc w:val="center"/>
              <w:rPr>
                <w:noProof/>
                <w:sz w:val="16"/>
              </w:rPr>
            </w:pPr>
            <w:r w:rsidRPr="00853D04">
              <w:rPr>
                <w:noProof/>
                <w:sz w:val="16"/>
              </w:rPr>
              <w:t>Rok</w:t>
            </w:r>
            <w:r w:rsidRPr="00853D04">
              <w:rPr>
                <w:noProof/>
              </w:rPr>
              <w:t xml:space="preserve"> </w:t>
            </w:r>
            <w:r w:rsidRPr="00853D04">
              <w:rPr>
                <w:noProof/>
              </w:rPr>
              <w:br/>
            </w:r>
            <w:r w:rsidRPr="00853D04">
              <w:rPr>
                <w:b/>
                <w:noProof/>
                <w:sz w:val="16"/>
              </w:rPr>
              <w:t xml:space="preserve">2024 </w:t>
            </w:r>
          </w:p>
        </w:tc>
        <w:tc>
          <w:tcPr>
            <w:tcW w:w="731" w:type="dxa"/>
            <w:shd w:val="clear" w:color="auto" w:fill="auto"/>
            <w:vAlign w:val="center"/>
          </w:tcPr>
          <w:p w14:paraId="7CEFF233" w14:textId="77777777" w:rsidR="00E47D76" w:rsidRPr="00853D04" w:rsidRDefault="00E47D76">
            <w:pPr>
              <w:spacing w:before="20" w:after="20"/>
              <w:jc w:val="center"/>
              <w:rPr>
                <w:noProof/>
                <w:sz w:val="16"/>
              </w:rPr>
            </w:pPr>
            <w:r w:rsidRPr="00853D04">
              <w:rPr>
                <w:noProof/>
                <w:sz w:val="16"/>
              </w:rPr>
              <w:t>Rok</w:t>
            </w:r>
            <w:r w:rsidRPr="00853D04">
              <w:rPr>
                <w:noProof/>
              </w:rPr>
              <w:t xml:space="preserve"> </w:t>
            </w:r>
            <w:r w:rsidRPr="00853D04">
              <w:rPr>
                <w:noProof/>
              </w:rPr>
              <w:br/>
            </w:r>
            <w:r w:rsidRPr="00853D04">
              <w:rPr>
                <w:b/>
                <w:noProof/>
                <w:sz w:val="16"/>
              </w:rPr>
              <w:t>2025</w:t>
            </w:r>
          </w:p>
        </w:tc>
        <w:tc>
          <w:tcPr>
            <w:tcW w:w="731" w:type="dxa"/>
            <w:shd w:val="clear" w:color="auto" w:fill="auto"/>
            <w:vAlign w:val="center"/>
          </w:tcPr>
          <w:p w14:paraId="1C2B8C1C" w14:textId="77777777" w:rsidR="00E47D76" w:rsidRPr="00853D04" w:rsidRDefault="00E47D76">
            <w:pPr>
              <w:spacing w:before="20" w:after="20"/>
              <w:jc w:val="center"/>
              <w:rPr>
                <w:noProof/>
                <w:sz w:val="16"/>
              </w:rPr>
            </w:pPr>
            <w:r w:rsidRPr="00853D04">
              <w:rPr>
                <w:noProof/>
                <w:sz w:val="16"/>
              </w:rPr>
              <w:t xml:space="preserve">Rok </w:t>
            </w:r>
            <w:r w:rsidRPr="00853D04">
              <w:rPr>
                <w:b/>
                <w:noProof/>
                <w:sz w:val="16"/>
              </w:rPr>
              <w:t>2026</w:t>
            </w:r>
          </w:p>
        </w:tc>
        <w:tc>
          <w:tcPr>
            <w:tcW w:w="731" w:type="dxa"/>
            <w:shd w:val="clear" w:color="auto" w:fill="auto"/>
            <w:vAlign w:val="center"/>
          </w:tcPr>
          <w:p w14:paraId="4DAAD222" w14:textId="77777777" w:rsidR="00E47D76" w:rsidRPr="00853D04" w:rsidRDefault="00E47D76">
            <w:pPr>
              <w:spacing w:before="20" w:after="20"/>
              <w:jc w:val="center"/>
              <w:rPr>
                <w:noProof/>
                <w:sz w:val="16"/>
              </w:rPr>
            </w:pPr>
            <w:r w:rsidRPr="00853D04">
              <w:rPr>
                <w:noProof/>
                <w:sz w:val="16"/>
              </w:rPr>
              <w:t xml:space="preserve">Rok 2027 </w:t>
            </w:r>
          </w:p>
        </w:tc>
        <w:tc>
          <w:tcPr>
            <w:tcW w:w="757" w:type="dxa"/>
          </w:tcPr>
          <w:p w14:paraId="2D4C3287" w14:textId="77777777" w:rsidR="00E47D76" w:rsidRPr="00853D04" w:rsidRDefault="00E47D76" w:rsidP="00A67309">
            <w:pPr>
              <w:rPr>
                <w:noProof/>
                <w:sz w:val="16"/>
              </w:rPr>
            </w:pPr>
            <w:r w:rsidRPr="00853D04">
              <w:rPr>
                <w:noProof/>
                <w:sz w:val="16"/>
              </w:rPr>
              <w:t>Rok 2028</w:t>
            </w:r>
          </w:p>
        </w:tc>
        <w:tc>
          <w:tcPr>
            <w:tcW w:w="757" w:type="dxa"/>
          </w:tcPr>
          <w:p w14:paraId="5F3B2627" w14:textId="2D1BBFB6" w:rsidR="00E47D76" w:rsidRPr="00853D04" w:rsidRDefault="00FB55E7" w:rsidP="00145F5C">
            <w:pPr>
              <w:rPr>
                <w:noProof/>
                <w:sz w:val="16"/>
              </w:rPr>
            </w:pPr>
            <w:r w:rsidRPr="00853D04">
              <w:rPr>
                <w:noProof/>
                <w:sz w:val="16"/>
              </w:rPr>
              <w:t>Ro</w:t>
            </w:r>
            <w:r w:rsidRPr="00C13C75">
              <w:rPr>
                <w:noProof/>
                <w:sz w:val="16"/>
              </w:rPr>
              <w:t>k</w:t>
            </w:r>
            <w:r w:rsidR="00C13C75" w:rsidRPr="00C13C75">
              <w:rPr>
                <w:noProof/>
                <w:sz w:val="16"/>
              </w:rPr>
              <w:t xml:space="preserve"> </w:t>
            </w:r>
            <w:r w:rsidRPr="00C13C75">
              <w:rPr>
                <w:noProof/>
              </w:rPr>
              <w:br/>
            </w:r>
            <w:r w:rsidRPr="00853D04">
              <w:rPr>
                <w:noProof/>
                <w:sz w:val="16"/>
              </w:rPr>
              <w:t>2029</w:t>
            </w:r>
          </w:p>
        </w:tc>
        <w:tc>
          <w:tcPr>
            <w:tcW w:w="757" w:type="dxa"/>
          </w:tcPr>
          <w:p w14:paraId="7B33A073" w14:textId="5416CF17" w:rsidR="00E47D76" w:rsidRPr="00853D04" w:rsidRDefault="00FB55E7" w:rsidP="00145F5C">
            <w:pPr>
              <w:rPr>
                <w:noProof/>
                <w:sz w:val="16"/>
              </w:rPr>
            </w:pPr>
            <w:r w:rsidRPr="00853D04">
              <w:rPr>
                <w:noProof/>
                <w:sz w:val="16"/>
              </w:rPr>
              <w:t>Ro</w:t>
            </w:r>
            <w:r w:rsidRPr="00C13C75">
              <w:rPr>
                <w:noProof/>
                <w:sz w:val="16"/>
              </w:rPr>
              <w:t>k</w:t>
            </w:r>
            <w:r w:rsidR="00C13C75" w:rsidRPr="00C13C75">
              <w:rPr>
                <w:noProof/>
                <w:sz w:val="16"/>
              </w:rPr>
              <w:t xml:space="preserve"> </w:t>
            </w:r>
            <w:r w:rsidRPr="00C13C75">
              <w:rPr>
                <w:noProof/>
              </w:rPr>
              <w:br/>
            </w:r>
            <w:r w:rsidRPr="00853D04">
              <w:rPr>
                <w:noProof/>
                <w:sz w:val="16"/>
              </w:rPr>
              <w:t>2030</w:t>
            </w:r>
          </w:p>
        </w:tc>
      </w:tr>
      <w:tr w:rsidR="00E47D76" w:rsidRPr="00853D04" w14:paraId="39AA698C" w14:textId="77777777" w:rsidTr="6209A4CE">
        <w:trPr>
          <w:gridBefore w:val="1"/>
          <w:gridAfter w:val="8"/>
          <w:wBefore w:w="15" w:type="dxa"/>
          <w:wAfter w:w="6242" w:type="dxa"/>
          <w:trHeight w:val="289"/>
          <w:jc w:val="center"/>
        </w:trPr>
        <w:tc>
          <w:tcPr>
            <w:tcW w:w="2193" w:type="dxa"/>
            <w:gridSpan w:val="2"/>
          </w:tcPr>
          <w:p w14:paraId="275CA32E" w14:textId="77777777" w:rsidR="00E47D76" w:rsidRPr="00853D04" w:rsidRDefault="00E47D76">
            <w:pPr>
              <w:jc w:val="left"/>
              <w:rPr>
                <w:b/>
                <w:noProof/>
                <w:sz w:val="16"/>
              </w:rPr>
            </w:pPr>
          </w:p>
        </w:tc>
        <w:tc>
          <w:tcPr>
            <w:tcW w:w="757" w:type="dxa"/>
            <w:gridSpan w:val="2"/>
          </w:tcPr>
          <w:p w14:paraId="27ECD34F" w14:textId="77777777" w:rsidR="00E47D76" w:rsidRPr="00853D04" w:rsidRDefault="00E47D76">
            <w:pPr>
              <w:jc w:val="left"/>
              <w:rPr>
                <w:b/>
                <w:noProof/>
                <w:sz w:val="16"/>
              </w:rPr>
            </w:pPr>
          </w:p>
        </w:tc>
        <w:tc>
          <w:tcPr>
            <w:tcW w:w="757" w:type="dxa"/>
            <w:gridSpan w:val="2"/>
          </w:tcPr>
          <w:p w14:paraId="43734EFF" w14:textId="77777777" w:rsidR="00E47D76" w:rsidRPr="00853D04" w:rsidRDefault="00E47D76">
            <w:pPr>
              <w:jc w:val="left"/>
              <w:rPr>
                <w:b/>
                <w:noProof/>
                <w:sz w:val="16"/>
              </w:rPr>
            </w:pPr>
          </w:p>
        </w:tc>
      </w:tr>
      <w:tr w:rsidR="0072639A" w:rsidRPr="00853D04" w14:paraId="2E1F6DAF" w14:textId="77777777" w:rsidTr="005D68B9">
        <w:trPr>
          <w:gridBefore w:val="1"/>
          <w:wBefore w:w="15" w:type="dxa"/>
          <w:trHeight w:val="289"/>
          <w:jc w:val="center"/>
        </w:trPr>
        <w:tc>
          <w:tcPr>
            <w:tcW w:w="4754" w:type="dxa"/>
            <w:gridSpan w:val="7"/>
            <w:shd w:val="clear" w:color="auto" w:fill="auto"/>
            <w:vAlign w:val="center"/>
          </w:tcPr>
          <w:p w14:paraId="59A002B0" w14:textId="55DD76F8" w:rsidR="0072639A" w:rsidRPr="00853D04" w:rsidRDefault="0072639A" w:rsidP="0072639A">
            <w:pPr>
              <w:pStyle w:val="Text1"/>
              <w:spacing w:beforeLines="20" w:before="48" w:afterLines="20" w:after="48"/>
              <w:ind w:left="134"/>
              <w:jc w:val="left"/>
              <w:rPr>
                <w:b/>
                <w:noProof/>
                <w:sz w:val="16"/>
              </w:rPr>
            </w:pPr>
            <w:r w:rsidRPr="00853D04">
              <w:rPr>
                <w:noProof/>
                <w:sz w:val="16"/>
              </w:rPr>
              <w:t>20 01 02 01</w:t>
            </w:r>
            <w:r w:rsidRPr="00853D04">
              <w:rPr>
                <w:noProof/>
                <w:color w:val="000000" w:themeColor="text1"/>
                <w:sz w:val="20"/>
              </w:rPr>
              <w:t xml:space="preserve"> </w:t>
            </w:r>
            <w:r w:rsidRPr="00853D04">
              <w:rPr>
                <w:noProof/>
                <w:sz w:val="16"/>
              </w:rPr>
              <w:t>(w centrali</w:t>
            </w:r>
            <w:r w:rsidR="00C13C75" w:rsidRPr="00853D04">
              <w:rPr>
                <w:noProof/>
                <w:sz w:val="16"/>
              </w:rPr>
              <w:t xml:space="preserve"> i</w:t>
            </w:r>
            <w:r w:rsidR="00C13C75">
              <w:rPr>
                <w:noProof/>
                <w:sz w:val="16"/>
              </w:rPr>
              <w:t> </w:t>
            </w:r>
            <w:r w:rsidR="00C13C75" w:rsidRPr="00853D04">
              <w:rPr>
                <w:noProof/>
                <w:sz w:val="16"/>
              </w:rPr>
              <w:t>w</w:t>
            </w:r>
            <w:r w:rsidR="00C13C75">
              <w:rPr>
                <w:noProof/>
                <w:sz w:val="16"/>
              </w:rPr>
              <w:t> </w:t>
            </w:r>
            <w:r w:rsidR="00C13C75" w:rsidRPr="00853D04">
              <w:rPr>
                <w:noProof/>
                <w:sz w:val="16"/>
              </w:rPr>
              <w:t>biu</w:t>
            </w:r>
            <w:r w:rsidRPr="00853D04">
              <w:rPr>
                <w:noProof/>
                <w:sz w:val="16"/>
              </w:rPr>
              <w:t>rach przedstawicielstw Komisji)</w:t>
            </w:r>
          </w:p>
        </w:tc>
        <w:tc>
          <w:tcPr>
            <w:tcW w:w="731" w:type="dxa"/>
            <w:shd w:val="clear" w:color="auto" w:fill="auto"/>
            <w:vAlign w:val="center"/>
          </w:tcPr>
          <w:p w14:paraId="6A940A2E" w14:textId="77777777" w:rsidR="0072639A" w:rsidRPr="00853D04" w:rsidRDefault="0072639A" w:rsidP="0072639A">
            <w:pPr>
              <w:spacing w:beforeLines="20" w:before="48" w:afterLines="20" w:after="48"/>
              <w:rPr>
                <w:noProof/>
                <w:sz w:val="16"/>
              </w:rPr>
            </w:pPr>
            <w:r w:rsidRPr="00853D04">
              <w:rPr>
                <w:noProof/>
                <w:sz w:val="16"/>
              </w:rPr>
              <w:t>1,5</w:t>
            </w:r>
          </w:p>
        </w:tc>
        <w:tc>
          <w:tcPr>
            <w:tcW w:w="731" w:type="dxa"/>
            <w:shd w:val="clear" w:color="auto" w:fill="auto"/>
            <w:vAlign w:val="center"/>
          </w:tcPr>
          <w:p w14:paraId="4C57644C" w14:textId="77777777" w:rsidR="0072639A" w:rsidRPr="00853D04" w:rsidRDefault="0072639A" w:rsidP="0072639A">
            <w:pPr>
              <w:spacing w:beforeLines="20" w:before="48" w:afterLines="20" w:after="48"/>
              <w:rPr>
                <w:noProof/>
                <w:sz w:val="16"/>
              </w:rPr>
            </w:pPr>
            <w:r w:rsidRPr="00853D04">
              <w:rPr>
                <w:noProof/>
                <w:sz w:val="16"/>
              </w:rPr>
              <w:t>1,5</w:t>
            </w:r>
          </w:p>
        </w:tc>
        <w:tc>
          <w:tcPr>
            <w:tcW w:w="731" w:type="dxa"/>
            <w:shd w:val="clear" w:color="auto" w:fill="auto"/>
            <w:vAlign w:val="center"/>
          </w:tcPr>
          <w:p w14:paraId="4FAF8C6D" w14:textId="77777777" w:rsidR="0072639A" w:rsidRPr="00853D04" w:rsidRDefault="0072639A" w:rsidP="0072639A">
            <w:pPr>
              <w:spacing w:beforeLines="20" w:before="48" w:afterLines="20" w:after="48"/>
              <w:rPr>
                <w:noProof/>
                <w:sz w:val="16"/>
              </w:rPr>
            </w:pPr>
            <w:r w:rsidRPr="00853D04">
              <w:rPr>
                <w:noProof/>
                <w:sz w:val="16"/>
              </w:rPr>
              <w:t>1</w:t>
            </w:r>
          </w:p>
        </w:tc>
        <w:tc>
          <w:tcPr>
            <w:tcW w:w="731" w:type="dxa"/>
            <w:shd w:val="clear" w:color="auto" w:fill="auto"/>
            <w:vAlign w:val="center"/>
          </w:tcPr>
          <w:p w14:paraId="1CAB231E" w14:textId="77777777" w:rsidR="0072639A" w:rsidRPr="00853D04" w:rsidRDefault="0072639A" w:rsidP="0072639A">
            <w:pPr>
              <w:spacing w:beforeLines="20" w:before="48" w:afterLines="20" w:after="48"/>
              <w:rPr>
                <w:noProof/>
                <w:sz w:val="16"/>
              </w:rPr>
            </w:pPr>
            <w:r w:rsidRPr="00853D04">
              <w:rPr>
                <w:noProof/>
                <w:sz w:val="16"/>
              </w:rPr>
              <w:t>1</w:t>
            </w:r>
          </w:p>
        </w:tc>
        <w:tc>
          <w:tcPr>
            <w:tcW w:w="757" w:type="dxa"/>
            <w:vAlign w:val="center"/>
          </w:tcPr>
          <w:p w14:paraId="6C6EF07D" w14:textId="77777777" w:rsidR="0072639A" w:rsidRPr="00853D04" w:rsidRDefault="00792509" w:rsidP="005D68B9">
            <w:pPr>
              <w:spacing w:beforeLines="20" w:before="48" w:afterLines="20" w:after="48"/>
              <w:jc w:val="center"/>
              <w:rPr>
                <w:noProof/>
                <w:sz w:val="16"/>
              </w:rPr>
            </w:pPr>
            <w:r w:rsidRPr="00853D04">
              <w:rPr>
                <w:noProof/>
                <w:sz w:val="16"/>
              </w:rPr>
              <w:t>1</w:t>
            </w:r>
          </w:p>
        </w:tc>
        <w:tc>
          <w:tcPr>
            <w:tcW w:w="757" w:type="dxa"/>
            <w:vAlign w:val="center"/>
          </w:tcPr>
          <w:p w14:paraId="770CED42" w14:textId="77777777" w:rsidR="0072639A" w:rsidRPr="00853D04" w:rsidRDefault="00792509" w:rsidP="005D68B9">
            <w:pPr>
              <w:spacing w:beforeLines="20" w:before="48" w:afterLines="20" w:after="48"/>
              <w:jc w:val="center"/>
              <w:rPr>
                <w:noProof/>
                <w:sz w:val="16"/>
              </w:rPr>
            </w:pPr>
            <w:r w:rsidRPr="00853D04">
              <w:rPr>
                <w:noProof/>
                <w:sz w:val="16"/>
              </w:rPr>
              <w:t>1</w:t>
            </w:r>
          </w:p>
        </w:tc>
        <w:tc>
          <w:tcPr>
            <w:tcW w:w="757" w:type="dxa"/>
            <w:vAlign w:val="center"/>
          </w:tcPr>
          <w:p w14:paraId="45F6F4F0" w14:textId="77777777" w:rsidR="0072639A" w:rsidRPr="00853D04" w:rsidRDefault="00792509" w:rsidP="005D68B9">
            <w:pPr>
              <w:spacing w:beforeLines="20" w:before="48" w:afterLines="20" w:after="48"/>
              <w:jc w:val="center"/>
              <w:rPr>
                <w:noProof/>
                <w:sz w:val="16"/>
              </w:rPr>
            </w:pPr>
            <w:r w:rsidRPr="00853D04">
              <w:rPr>
                <w:noProof/>
                <w:sz w:val="16"/>
              </w:rPr>
              <w:t>1</w:t>
            </w:r>
          </w:p>
        </w:tc>
      </w:tr>
      <w:tr w:rsidR="00E47D76" w:rsidRPr="00853D04" w14:paraId="7541B7DC" w14:textId="77777777" w:rsidTr="6209A4CE">
        <w:trPr>
          <w:gridBefore w:val="1"/>
          <w:wBefore w:w="15" w:type="dxa"/>
          <w:trHeight w:val="289"/>
          <w:jc w:val="center"/>
        </w:trPr>
        <w:tc>
          <w:tcPr>
            <w:tcW w:w="4754" w:type="dxa"/>
            <w:gridSpan w:val="7"/>
            <w:shd w:val="clear" w:color="auto" w:fill="auto"/>
            <w:vAlign w:val="center"/>
          </w:tcPr>
          <w:p w14:paraId="06BFABE4" w14:textId="77777777" w:rsidR="00E47D76" w:rsidRPr="00853D04" w:rsidRDefault="00E47D76">
            <w:pPr>
              <w:pStyle w:val="Text1"/>
              <w:spacing w:beforeLines="20" w:before="48" w:afterLines="20" w:after="48"/>
              <w:ind w:left="134"/>
              <w:jc w:val="left"/>
              <w:rPr>
                <w:noProof/>
                <w:sz w:val="16"/>
              </w:rPr>
            </w:pPr>
            <w:r w:rsidRPr="00853D04">
              <w:rPr>
                <w:noProof/>
                <w:sz w:val="16"/>
              </w:rPr>
              <w:t>20 01 02 03 (w delegaturach)</w:t>
            </w:r>
          </w:p>
        </w:tc>
        <w:tc>
          <w:tcPr>
            <w:tcW w:w="731" w:type="dxa"/>
            <w:shd w:val="clear" w:color="auto" w:fill="auto"/>
            <w:vAlign w:val="center"/>
          </w:tcPr>
          <w:p w14:paraId="02321117"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55C648DD"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32E63841"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4508EAA8" w14:textId="77777777" w:rsidR="00E47D76" w:rsidRPr="00853D04" w:rsidRDefault="00E47D76">
            <w:pPr>
              <w:spacing w:beforeLines="20" w:before="48" w:afterLines="20" w:after="48"/>
              <w:jc w:val="center"/>
              <w:rPr>
                <w:noProof/>
                <w:sz w:val="16"/>
              </w:rPr>
            </w:pPr>
          </w:p>
        </w:tc>
        <w:tc>
          <w:tcPr>
            <w:tcW w:w="757" w:type="dxa"/>
          </w:tcPr>
          <w:p w14:paraId="021F0F18" w14:textId="77777777" w:rsidR="00E47D76" w:rsidRPr="00853D04" w:rsidRDefault="00E47D76">
            <w:pPr>
              <w:spacing w:beforeLines="20" w:before="48" w:afterLines="20" w:after="48"/>
              <w:jc w:val="center"/>
              <w:rPr>
                <w:noProof/>
                <w:sz w:val="16"/>
              </w:rPr>
            </w:pPr>
          </w:p>
        </w:tc>
        <w:tc>
          <w:tcPr>
            <w:tcW w:w="757" w:type="dxa"/>
          </w:tcPr>
          <w:p w14:paraId="7C92B9F2" w14:textId="77777777" w:rsidR="00E47D76" w:rsidRPr="00853D04" w:rsidRDefault="00E47D76">
            <w:pPr>
              <w:spacing w:beforeLines="20" w:before="48" w:afterLines="20" w:after="48"/>
              <w:jc w:val="center"/>
              <w:rPr>
                <w:noProof/>
                <w:sz w:val="16"/>
              </w:rPr>
            </w:pPr>
          </w:p>
        </w:tc>
        <w:tc>
          <w:tcPr>
            <w:tcW w:w="757" w:type="dxa"/>
          </w:tcPr>
          <w:p w14:paraId="23F47BE5" w14:textId="77777777" w:rsidR="00E47D76" w:rsidRPr="00853D04" w:rsidRDefault="00E47D76">
            <w:pPr>
              <w:spacing w:beforeLines="20" w:before="48" w:afterLines="20" w:after="48"/>
              <w:jc w:val="center"/>
              <w:rPr>
                <w:noProof/>
                <w:sz w:val="16"/>
              </w:rPr>
            </w:pPr>
          </w:p>
        </w:tc>
      </w:tr>
      <w:tr w:rsidR="00E47D76" w:rsidRPr="00853D04" w14:paraId="2407B926" w14:textId="77777777" w:rsidTr="6209A4CE">
        <w:trPr>
          <w:gridBefore w:val="1"/>
          <w:wBefore w:w="15" w:type="dxa"/>
          <w:trHeight w:val="289"/>
          <w:jc w:val="center"/>
        </w:trPr>
        <w:tc>
          <w:tcPr>
            <w:tcW w:w="4754" w:type="dxa"/>
            <w:gridSpan w:val="7"/>
            <w:shd w:val="clear" w:color="auto" w:fill="auto"/>
            <w:vAlign w:val="center"/>
          </w:tcPr>
          <w:p w14:paraId="7537718C" w14:textId="77777777" w:rsidR="00E47D76" w:rsidRPr="00853D04" w:rsidRDefault="00E47D76">
            <w:pPr>
              <w:pStyle w:val="Text1"/>
              <w:spacing w:beforeLines="20" w:before="48" w:afterLines="20" w:after="48"/>
              <w:ind w:left="134"/>
              <w:jc w:val="left"/>
              <w:rPr>
                <w:noProof/>
                <w:sz w:val="16"/>
              </w:rPr>
            </w:pPr>
            <w:r w:rsidRPr="00853D04">
              <w:rPr>
                <w:noProof/>
                <w:sz w:val="16"/>
              </w:rPr>
              <w:t>01 01 01 01</w:t>
            </w:r>
            <w:r w:rsidRPr="00853D04">
              <w:rPr>
                <w:noProof/>
                <w:sz w:val="20"/>
              </w:rPr>
              <w:t xml:space="preserve"> </w:t>
            </w:r>
            <w:r w:rsidRPr="00853D04">
              <w:rPr>
                <w:noProof/>
                <w:sz w:val="16"/>
              </w:rPr>
              <w:t>(pośrednie badania naukowe)</w:t>
            </w:r>
          </w:p>
        </w:tc>
        <w:tc>
          <w:tcPr>
            <w:tcW w:w="731" w:type="dxa"/>
            <w:shd w:val="clear" w:color="auto" w:fill="auto"/>
            <w:vAlign w:val="center"/>
          </w:tcPr>
          <w:p w14:paraId="6B0C0729"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477BA11C"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6CE09AB1"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7F9B6B3D" w14:textId="77777777" w:rsidR="00E47D76" w:rsidRPr="00853D04" w:rsidRDefault="00E47D76">
            <w:pPr>
              <w:spacing w:beforeLines="20" w:before="48" w:afterLines="20" w:after="48"/>
              <w:jc w:val="center"/>
              <w:rPr>
                <w:noProof/>
                <w:sz w:val="16"/>
              </w:rPr>
            </w:pPr>
          </w:p>
        </w:tc>
        <w:tc>
          <w:tcPr>
            <w:tcW w:w="757" w:type="dxa"/>
          </w:tcPr>
          <w:p w14:paraId="086DF594" w14:textId="77777777" w:rsidR="00E47D76" w:rsidRPr="00853D04" w:rsidRDefault="00E47D76">
            <w:pPr>
              <w:spacing w:beforeLines="20" w:before="48" w:afterLines="20" w:after="48"/>
              <w:jc w:val="center"/>
              <w:rPr>
                <w:noProof/>
                <w:sz w:val="16"/>
              </w:rPr>
            </w:pPr>
          </w:p>
        </w:tc>
        <w:tc>
          <w:tcPr>
            <w:tcW w:w="757" w:type="dxa"/>
          </w:tcPr>
          <w:p w14:paraId="7D72F053" w14:textId="77777777" w:rsidR="00E47D76" w:rsidRPr="00853D04" w:rsidRDefault="00E47D76">
            <w:pPr>
              <w:spacing w:beforeLines="20" w:before="48" w:afterLines="20" w:after="48"/>
              <w:jc w:val="center"/>
              <w:rPr>
                <w:noProof/>
                <w:sz w:val="16"/>
              </w:rPr>
            </w:pPr>
          </w:p>
        </w:tc>
        <w:tc>
          <w:tcPr>
            <w:tcW w:w="757" w:type="dxa"/>
          </w:tcPr>
          <w:p w14:paraId="3D7A9DE2" w14:textId="77777777" w:rsidR="00E47D76" w:rsidRPr="00853D04" w:rsidRDefault="00E47D76">
            <w:pPr>
              <w:spacing w:beforeLines="20" w:before="48" w:afterLines="20" w:after="48"/>
              <w:jc w:val="center"/>
              <w:rPr>
                <w:noProof/>
                <w:sz w:val="16"/>
              </w:rPr>
            </w:pPr>
          </w:p>
        </w:tc>
      </w:tr>
      <w:tr w:rsidR="00E47D76" w:rsidRPr="00853D04" w14:paraId="774690E8" w14:textId="77777777" w:rsidTr="6209A4CE">
        <w:trPr>
          <w:gridBefore w:val="1"/>
          <w:wBefore w:w="15" w:type="dxa"/>
          <w:trHeight w:val="289"/>
          <w:jc w:val="center"/>
        </w:trPr>
        <w:tc>
          <w:tcPr>
            <w:tcW w:w="4754" w:type="dxa"/>
            <w:gridSpan w:val="7"/>
            <w:shd w:val="clear" w:color="auto" w:fill="auto"/>
            <w:vAlign w:val="center"/>
          </w:tcPr>
          <w:p w14:paraId="5756BCAC" w14:textId="77777777" w:rsidR="00E47D76" w:rsidRPr="00853D04" w:rsidRDefault="00E47D76">
            <w:pPr>
              <w:pStyle w:val="Text1"/>
              <w:spacing w:beforeLines="20" w:before="48" w:afterLines="20" w:after="48"/>
              <w:ind w:left="134"/>
              <w:jc w:val="left"/>
              <w:rPr>
                <w:noProof/>
                <w:sz w:val="16"/>
              </w:rPr>
            </w:pPr>
            <w:r w:rsidRPr="00853D04">
              <w:rPr>
                <w:noProof/>
                <w:sz w:val="16"/>
              </w:rPr>
              <w:t xml:space="preserve"> 01 01 01 11 (bezpośrednie badania naukowe)</w:t>
            </w:r>
          </w:p>
        </w:tc>
        <w:tc>
          <w:tcPr>
            <w:tcW w:w="731" w:type="dxa"/>
            <w:shd w:val="clear" w:color="auto" w:fill="auto"/>
            <w:vAlign w:val="center"/>
          </w:tcPr>
          <w:p w14:paraId="3590F278"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14B2B339"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26924C14"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557D61D9" w14:textId="77777777" w:rsidR="00E47D76" w:rsidRPr="00853D04" w:rsidRDefault="00E47D76">
            <w:pPr>
              <w:spacing w:beforeLines="20" w:before="48" w:afterLines="20" w:after="48"/>
              <w:jc w:val="center"/>
              <w:rPr>
                <w:noProof/>
                <w:sz w:val="16"/>
              </w:rPr>
            </w:pPr>
          </w:p>
        </w:tc>
        <w:tc>
          <w:tcPr>
            <w:tcW w:w="757" w:type="dxa"/>
          </w:tcPr>
          <w:p w14:paraId="461F9FB8" w14:textId="77777777" w:rsidR="00E47D76" w:rsidRPr="00853D04" w:rsidRDefault="00E47D76">
            <w:pPr>
              <w:spacing w:beforeLines="20" w:before="48" w:afterLines="20" w:after="48"/>
              <w:jc w:val="center"/>
              <w:rPr>
                <w:noProof/>
                <w:sz w:val="16"/>
              </w:rPr>
            </w:pPr>
          </w:p>
        </w:tc>
        <w:tc>
          <w:tcPr>
            <w:tcW w:w="757" w:type="dxa"/>
          </w:tcPr>
          <w:p w14:paraId="463F202C" w14:textId="77777777" w:rsidR="00E47D76" w:rsidRPr="00853D04" w:rsidRDefault="00E47D76">
            <w:pPr>
              <w:spacing w:beforeLines="20" w:before="48" w:afterLines="20" w:after="48"/>
              <w:jc w:val="center"/>
              <w:rPr>
                <w:noProof/>
                <w:sz w:val="16"/>
              </w:rPr>
            </w:pPr>
          </w:p>
        </w:tc>
        <w:tc>
          <w:tcPr>
            <w:tcW w:w="757" w:type="dxa"/>
          </w:tcPr>
          <w:p w14:paraId="7EC21903" w14:textId="77777777" w:rsidR="00E47D76" w:rsidRPr="00853D04" w:rsidRDefault="00E47D76">
            <w:pPr>
              <w:spacing w:beforeLines="20" w:before="48" w:afterLines="20" w:after="48"/>
              <w:jc w:val="center"/>
              <w:rPr>
                <w:noProof/>
                <w:sz w:val="16"/>
              </w:rPr>
            </w:pPr>
          </w:p>
        </w:tc>
      </w:tr>
      <w:tr w:rsidR="00E47D76" w:rsidRPr="00853D04" w14:paraId="311B9402" w14:textId="77777777" w:rsidTr="6209A4CE">
        <w:trPr>
          <w:gridBefore w:val="1"/>
          <w:wBefore w:w="15" w:type="dxa"/>
          <w:trHeight w:val="289"/>
          <w:jc w:val="center"/>
        </w:trPr>
        <w:tc>
          <w:tcPr>
            <w:tcW w:w="4754" w:type="dxa"/>
            <w:gridSpan w:val="7"/>
            <w:shd w:val="clear" w:color="auto" w:fill="auto"/>
            <w:vAlign w:val="center"/>
          </w:tcPr>
          <w:p w14:paraId="69320831" w14:textId="77777777" w:rsidR="00E47D76" w:rsidRPr="00853D04" w:rsidRDefault="00E47D76">
            <w:pPr>
              <w:pStyle w:val="Text1"/>
              <w:spacing w:beforeLines="20" w:before="48" w:afterLines="20" w:after="48"/>
              <w:ind w:left="134"/>
              <w:jc w:val="left"/>
              <w:rPr>
                <w:noProof/>
                <w:sz w:val="16"/>
              </w:rPr>
            </w:pPr>
            <w:r w:rsidRPr="00853D04">
              <w:rPr>
                <w:noProof/>
                <w:sz w:val="16"/>
              </w:rPr>
              <w:t>Inna linia budżetowa (określić)</w:t>
            </w:r>
          </w:p>
        </w:tc>
        <w:tc>
          <w:tcPr>
            <w:tcW w:w="731" w:type="dxa"/>
            <w:shd w:val="clear" w:color="auto" w:fill="auto"/>
            <w:vAlign w:val="center"/>
          </w:tcPr>
          <w:p w14:paraId="3F714001"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76B13808"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07BF8AAA"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5A3743B1" w14:textId="77777777" w:rsidR="00E47D76" w:rsidRPr="00853D04" w:rsidRDefault="00E47D76">
            <w:pPr>
              <w:spacing w:beforeLines="20" w:before="48" w:afterLines="20" w:after="48"/>
              <w:jc w:val="center"/>
              <w:rPr>
                <w:noProof/>
                <w:sz w:val="16"/>
              </w:rPr>
            </w:pPr>
          </w:p>
        </w:tc>
        <w:tc>
          <w:tcPr>
            <w:tcW w:w="757" w:type="dxa"/>
          </w:tcPr>
          <w:p w14:paraId="152CD663" w14:textId="77777777" w:rsidR="00E47D76" w:rsidRPr="00853D04" w:rsidRDefault="00E47D76">
            <w:pPr>
              <w:spacing w:beforeLines="20" w:before="48" w:afterLines="20" w:after="48"/>
              <w:jc w:val="center"/>
              <w:rPr>
                <w:noProof/>
                <w:sz w:val="16"/>
              </w:rPr>
            </w:pPr>
          </w:p>
        </w:tc>
        <w:tc>
          <w:tcPr>
            <w:tcW w:w="757" w:type="dxa"/>
          </w:tcPr>
          <w:p w14:paraId="74295BD1" w14:textId="77777777" w:rsidR="00E47D76" w:rsidRPr="00853D04" w:rsidRDefault="00E47D76">
            <w:pPr>
              <w:spacing w:beforeLines="20" w:before="48" w:afterLines="20" w:after="48"/>
              <w:jc w:val="center"/>
              <w:rPr>
                <w:noProof/>
                <w:sz w:val="16"/>
              </w:rPr>
            </w:pPr>
          </w:p>
        </w:tc>
        <w:tc>
          <w:tcPr>
            <w:tcW w:w="757" w:type="dxa"/>
          </w:tcPr>
          <w:p w14:paraId="71B4688B" w14:textId="77777777" w:rsidR="00E47D76" w:rsidRPr="00853D04" w:rsidRDefault="00E47D76">
            <w:pPr>
              <w:spacing w:beforeLines="20" w:before="48" w:afterLines="20" w:after="48"/>
              <w:jc w:val="center"/>
              <w:rPr>
                <w:noProof/>
                <w:sz w:val="16"/>
              </w:rPr>
            </w:pPr>
          </w:p>
        </w:tc>
      </w:tr>
      <w:tr w:rsidR="00E47D76" w:rsidRPr="00853D04" w14:paraId="0E35FB3D" w14:textId="77777777" w:rsidTr="6209A4CE">
        <w:trPr>
          <w:gridAfter w:val="9"/>
          <w:wAfter w:w="6257" w:type="dxa"/>
          <w:trHeight w:val="248"/>
          <w:jc w:val="center"/>
        </w:trPr>
        <w:tc>
          <w:tcPr>
            <w:tcW w:w="2193" w:type="dxa"/>
            <w:gridSpan w:val="2"/>
          </w:tcPr>
          <w:p w14:paraId="0A09DFC8" w14:textId="77777777" w:rsidR="00E47D76" w:rsidRPr="00853D04" w:rsidRDefault="00E47D76">
            <w:pPr>
              <w:pStyle w:val="Text1"/>
              <w:spacing w:before="60" w:after="60"/>
              <w:ind w:left="0"/>
              <w:jc w:val="left"/>
              <w:rPr>
                <w:b/>
                <w:noProof/>
                <w:sz w:val="16"/>
              </w:rPr>
            </w:pPr>
          </w:p>
        </w:tc>
        <w:tc>
          <w:tcPr>
            <w:tcW w:w="757" w:type="dxa"/>
            <w:gridSpan w:val="2"/>
          </w:tcPr>
          <w:p w14:paraId="37DAA0F9" w14:textId="77777777" w:rsidR="00E47D76" w:rsidRPr="00853D04" w:rsidRDefault="00E47D76">
            <w:pPr>
              <w:pStyle w:val="Text1"/>
              <w:spacing w:before="60" w:after="60"/>
              <w:ind w:left="0"/>
              <w:jc w:val="left"/>
              <w:rPr>
                <w:b/>
                <w:noProof/>
                <w:sz w:val="16"/>
              </w:rPr>
            </w:pPr>
          </w:p>
        </w:tc>
        <w:tc>
          <w:tcPr>
            <w:tcW w:w="757" w:type="dxa"/>
            <w:gridSpan w:val="2"/>
          </w:tcPr>
          <w:p w14:paraId="595E3577" w14:textId="77777777" w:rsidR="00E47D76" w:rsidRPr="00853D04" w:rsidRDefault="00E47D76">
            <w:pPr>
              <w:pStyle w:val="Text1"/>
              <w:spacing w:before="60" w:after="60"/>
              <w:ind w:left="0"/>
              <w:jc w:val="left"/>
              <w:rPr>
                <w:b/>
                <w:noProof/>
                <w:sz w:val="16"/>
              </w:rPr>
            </w:pPr>
          </w:p>
        </w:tc>
      </w:tr>
      <w:tr w:rsidR="00E47D76" w:rsidRPr="00853D04" w14:paraId="2C998335" w14:textId="77777777" w:rsidTr="6209A4CE">
        <w:trPr>
          <w:gridBefore w:val="1"/>
          <w:wBefore w:w="15" w:type="dxa"/>
          <w:trHeight w:val="289"/>
          <w:jc w:val="center"/>
        </w:trPr>
        <w:tc>
          <w:tcPr>
            <w:tcW w:w="4754" w:type="dxa"/>
            <w:gridSpan w:val="7"/>
            <w:shd w:val="clear" w:color="auto" w:fill="auto"/>
            <w:vAlign w:val="center"/>
          </w:tcPr>
          <w:p w14:paraId="47F400F1" w14:textId="609F0057" w:rsidR="00E47D76" w:rsidRPr="00853D04" w:rsidRDefault="00E47D76">
            <w:pPr>
              <w:pStyle w:val="Text1"/>
              <w:spacing w:beforeLines="20" w:before="48" w:afterLines="20" w:after="48"/>
              <w:ind w:left="136"/>
              <w:jc w:val="left"/>
              <w:rPr>
                <w:b/>
                <w:noProof/>
                <w:sz w:val="16"/>
              </w:rPr>
            </w:pPr>
            <w:r w:rsidRPr="00853D04">
              <w:rPr>
                <w:noProof/>
                <w:sz w:val="16"/>
              </w:rPr>
              <w:t>20 02 01</w:t>
            </w:r>
            <w:r w:rsidRPr="00853D04">
              <w:rPr>
                <w:noProof/>
                <w:sz w:val="20"/>
              </w:rPr>
              <w:t xml:space="preserve"> </w:t>
            </w:r>
            <w:r w:rsidRPr="00853D04">
              <w:rPr>
                <w:noProof/>
                <w:sz w:val="16"/>
              </w:rPr>
              <w:t>(CA, SNE, INT</w:t>
            </w:r>
            <w:r w:rsidR="00C13C75" w:rsidRPr="00853D04">
              <w:rPr>
                <w:noProof/>
                <w:sz w:val="16"/>
              </w:rPr>
              <w:t xml:space="preserve"> z</w:t>
            </w:r>
            <w:r w:rsidR="00C13C75">
              <w:rPr>
                <w:noProof/>
                <w:sz w:val="16"/>
              </w:rPr>
              <w:t> </w:t>
            </w:r>
            <w:r w:rsidR="00C13C75" w:rsidRPr="00853D04">
              <w:rPr>
                <w:noProof/>
                <w:sz w:val="16"/>
              </w:rPr>
              <w:t>glo</w:t>
            </w:r>
            <w:r w:rsidRPr="00853D04">
              <w:rPr>
                <w:noProof/>
                <w:sz w:val="16"/>
              </w:rPr>
              <w:t>balnej koperty finansowej)</w:t>
            </w:r>
          </w:p>
        </w:tc>
        <w:tc>
          <w:tcPr>
            <w:tcW w:w="731" w:type="dxa"/>
            <w:shd w:val="clear" w:color="auto" w:fill="auto"/>
            <w:vAlign w:val="center"/>
          </w:tcPr>
          <w:p w14:paraId="76D4F6B6"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6309AA29"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04D1E574"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035C3E9A" w14:textId="77777777" w:rsidR="00E47D76" w:rsidRPr="00853D04" w:rsidRDefault="00E47D76">
            <w:pPr>
              <w:spacing w:beforeLines="20" w:before="48" w:afterLines="20" w:after="48"/>
              <w:jc w:val="center"/>
              <w:rPr>
                <w:noProof/>
                <w:sz w:val="16"/>
              </w:rPr>
            </w:pPr>
          </w:p>
        </w:tc>
        <w:tc>
          <w:tcPr>
            <w:tcW w:w="757" w:type="dxa"/>
          </w:tcPr>
          <w:p w14:paraId="04DA5AE9" w14:textId="77777777" w:rsidR="00E47D76" w:rsidRPr="00853D04" w:rsidRDefault="00E47D76">
            <w:pPr>
              <w:spacing w:beforeLines="20" w:before="48" w:afterLines="20" w:after="48"/>
              <w:jc w:val="center"/>
              <w:rPr>
                <w:noProof/>
                <w:sz w:val="16"/>
              </w:rPr>
            </w:pPr>
          </w:p>
        </w:tc>
        <w:tc>
          <w:tcPr>
            <w:tcW w:w="757" w:type="dxa"/>
          </w:tcPr>
          <w:p w14:paraId="47DE62A1" w14:textId="77777777" w:rsidR="00E47D76" w:rsidRPr="00853D04" w:rsidRDefault="00E47D76">
            <w:pPr>
              <w:spacing w:beforeLines="20" w:before="48" w:afterLines="20" w:after="48"/>
              <w:jc w:val="center"/>
              <w:rPr>
                <w:noProof/>
                <w:sz w:val="16"/>
              </w:rPr>
            </w:pPr>
          </w:p>
        </w:tc>
        <w:tc>
          <w:tcPr>
            <w:tcW w:w="757" w:type="dxa"/>
          </w:tcPr>
          <w:p w14:paraId="397A86FE" w14:textId="77777777" w:rsidR="00E47D76" w:rsidRPr="00853D04" w:rsidRDefault="00E47D76">
            <w:pPr>
              <w:spacing w:beforeLines="20" w:before="48" w:afterLines="20" w:after="48"/>
              <w:jc w:val="center"/>
              <w:rPr>
                <w:noProof/>
                <w:sz w:val="16"/>
              </w:rPr>
            </w:pPr>
          </w:p>
        </w:tc>
      </w:tr>
      <w:tr w:rsidR="00E47D76" w:rsidRPr="00853D04" w14:paraId="26E1FA33" w14:textId="77777777" w:rsidTr="6209A4CE">
        <w:trPr>
          <w:gridBefore w:val="1"/>
          <w:wBefore w:w="15" w:type="dxa"/>
          <w:trHeight w:val="289"/>
          <w:jc w:val="center"/>
        </w:trPr>
        <w:tc>
          <w:tcPr>
            <w:tcW w:w="4754" w:type="dxa"/>
            <w:gridSpan w:val="7"/>
            <w:shd w:val="clear" w:color="auto" w:fill="auto"/>
            <w:vAlign w:val="center"/>
          </w:tcPr>
          <w:p w14:paraId="184B664B" w14:textId="4E4B8610" w:rsidR="00E47D76" w:rsidRPr="00853D04" w:rsidRDefault="00E47D76">
            <w:pPr>
              <w:pStyle w:val="Text1"/>
              <w:spacing w:beforeLines="20" w:before="48" w:afterLines="20" w:after="48"/>
              <w:ind w:left="136"/>
              <w:jc w:val="left"/>
              <w:rPr>
                <w:noProof/>
                <w:sz w:val="16"/>
              </w:rPr>
            </w:pPr>
            <w:r w:rsidRPr="00853D04">
              <w:rPr>
                <w:noProof/>
                <w:sz w:val="16"/>
              </w:rPr>
              <w:t>20 02 03 (CA, LA, SNE, INT i JPD</w:t>
            </w:r>
            <w:r w:rsidR="00C13C75" w:rsidRPr="00853D04">
              <w:rPr>
                <w:noProof/>
                <w:sz w:val="16"/>
              </w:rPr>
              <w:t xml:space="preserve"> w</w:t>
            </w:r>
            <w:r w:rsidR="00C13C75">
              <w:rPr>
                <w:noProof/>
                <w:sz w:val="16"/>
              </w:rPr>
              <w:t> </w:t>
            </w:r>
            <w:r w:rsidR="00C13C75" w:rsidRPr="00853D04">
              <w:rPr>
                <w:noProof/>
                <w:sz w:val="16"/>
              </w:rPr>
              <w:t>del</w:t>
            </w:r>
            <w:r w:rsidRPr="00853D04">
              <w:rPr>
                <w:noProof/>
                <w:sz w:val="16"/>
              </w:rPr>
              <w:t>egaturach)</w:t>
            </w:r>
          </w:p>
        </w:tc>
        <w:tc>
          <w:tcPr>
            <w:tcW w:w="731" w:type="dxa"/>
            <w:shd w:val="clear" w:color="auto" w:fill="auto"/>
            <w:vAlign w:val="center"/>
          </w:tcPr>
          <w:p w14:paraId="1F9FFD27"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57BF7398"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66C2716C" w14:textId="77777777" w:rsidR="00E47D76" w:rsidRPr="00853D04" w:rsidRDefault="00E47D76">
            <w:pPr>
              <w:spacing w:beforeLines="20" w:before="48" w:afterLines="20" w:after="48"/>
              <w:jc w:val="center"/>
              <w:rPr>
                <w:noProof/>
                <w:sz w:val="16"/>
              </w:rPr>
            </w:pPr>
          </w:p>
        </w:tc>
        <w:tc>
          <w:tcPr>
            <w:tcW w:w="731" w:type="dxa"/>
            <w:shd w:val="clear" w:color="auto" w:fill="auto"/>
            <w:vAlign w:val="center"/>
          </w:tcPr>
          <w:p w14:paraId="4C8628F4" w14:textId="77777777" w:rsidR="00E47D76" w:rsidRPr="00853D04" w:rsidRDefault="00E47D76">
            <w:pPr>
              <w:spacing w:beforeLines="20" w:before="48" w:afterLines="20" w:after="48"/>
              <w:jc w:val="center"/>
              <w:rPr>
                <w:noProof/>
                <w:sz w:val="16"/>
              </w:rPr>
            </w:pPr>
          </w:p>
        </w:tc>
        <w:tc>
          <w:tcPr>
            <w:tcW w:w="757" w:type="dxa"/>
          </w:tcPr>
          <w:p w14:paraId="51DE07FC" w14:textId="77777777" w:rsidR="00E47D76" w:rsidRPr="00853D04" w:rsidRDefault="00E47D76">
            <w:pPr>
              <w:spacing w:beforeLines="20" w:before="48" w:afterLines="20" w:after="48"/>
              <w:jc w:val="center"/>
              <w:rPr>
                <w:noProof/>
                <w:sz w:val="16"/>
              </w:rPr>
            </w:pPr>
          </w:p>
        </w:tc>
        <w:tc>
          <w:tcPr>
            <w:tcW w:w="757" w:type="dxa"/>
          </w:tcPr>
          <w:p w14:paraId="4DE5253D" w14:textId="77777777" w:rsidR="00E47D76" w:rsidRPr="00853D04" w:rsidRDefault="00E47D76">
            <w:pPr>
              <w:spacing w:beforeLines="20" w:before="48" w:afterLines="20" w:after="48"/>
              <w:jc w:val="center"/>
              <w:rPr>
                <w:noProof/>
                <w:sz w:val="16"/>
              </w:rPr>
            </w:pPr>
          </w:p>
        </w:tc>
        <w:tc>
          <w:tcPr>
            <w:tcW w:w="757" w:type="dxa"/>
          </w:tcPr>
          <w:p w14:paraId="6AD27511" w14:textId="77777777" w:rsidR="00E47D76" w:rsidRPr="00853D04" w:rsidRDefault="00E47D76">
            <w:pPr>
              <w:spacing w:beforeLines="20" w:before="48" w:afterLines="20" w:after="48"/>
              <w:jc w:val="center"/>
              <w:rPr>
                <w:noProof/>
                <w:sz w:val="16"/>
              </w:rPr>
            </w:pPr>
          </w:p>
        </w:tc>
      </w:tr>
      <w:tr w:rsidR="001E7DFF" w:rsidRPr="00853D04" w14:paraId="53EBE122" w14:textId="77777777" w:rsidTr="6209A4CE">
        <w:trPr>
          <w:gridBefore w:val="1"/>
          <w:wBefore w:w="15" w:type="dxa"/>
          <w:trHeight w:val="289"/>
          <w:jc w:val="center"/>
        </w:trPr>
        <w:tc>
          <w:tcPr>
            <w:tcW w:w="4754" w:type="dxa"/>
            <w:gridSpan w:val="7"/>
            <w:shd w:val="clear" w:color="auto" w:fill="auto"/>
            <w:vAlign w:val="center"/>
          </w:tcPr>
          <w:p w14:paraId="46483518" w14:textId="77777777" w:rsidR="001E7DFF" w:rsidRPr="00853D04" w:rsidRDefault="001E7DFF" w:rsidP="001E7DFF">
            <w:pPr>
              <w:pStyle w:val="Text1"/>
              <w:spacing w:beforeLines="20" w:before="48" w:afterLines="20" w:after="48"/>
              <w:ind w:left="136"/>
              <w:jc w:val="left"/>
              <w:rPr>
                <w:noProof/>
                <w:sz w:val="16"/>
              </w:rPr>
            </w:pPr>
            <w:r w:rsidRPr="00853D04">
              <w:rPr>
                <w:noProof/>
                <w:sz w:val="16"/>
              </w:rPr>
              <w:t>01 01 01 02</w:t>
            </w:r>
            <w:r w:rsidRPr="00853D04">
              <w:rPr>
                <w:noProof/>
                <w:sz w:val="20"/>
              </w:rPr>
              <w:t xml:space="preserve"> </w:t>
            </w:r>
            <w:r w:rsidRPr="00853D04">
              <w:rPr>
                <w:noProof/>
                <w:sz w:val="16"/>
              </w:rPr>
              <w:t>(CA, SNE, INT – pośrednie badania naukowe)</w:t>
            </w:r>
          </w:p>
        </w:tc>
        <w:tc>
          <w:tcPr>
            <w:tcW w:w="731" w:type="dxa"/>
            <w:shd w:val="clear" w:color="auto" w:fill="auto"/>
            <w:vAlign w:val="center"/>
          </w:tcPr>
          <w:p w14:paraId="5B29A6E5"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67F47C7A"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295833A1"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37C18320" w14:textId="77777777" w:rsidR="001E7DFF" w:rsidRPr="00853D04" w:rsidRDefault="001E7DFF" w:rsidP="001E7DFF">
            <w:pPr>
              <w:spacing w:beforeLines="20" w:before="48" w:afterLines="20" w:after="48"/>
              <w:jc w:val="center"/>
              <w:rPr>
                <w:noProof/>
                <w:sz w:val="16"/>
              </w:rPr>
            </w:pPr>
          </w:p>
        </w:tc>
        <w:tc>
          <w:tcPr>
            <w:tcW w:w="757" w:type="dxa"/>
          </w:tcPr>
          <w:p w14:paraId="15D04216" w14:textId="77777777" w:rsidR="001E7DFF" w:rsidRPr="00853D04" w:rsidRDefault="001E7DFF" w:rsidP="001E7DFF">
            <w:pPr>
              <w:spacing w:beforeLines="20" w:before="48" w:afterLines="20" w:after="48"/>
              <w:jc w:val="center"/>
              <w:rPr>
                <w:noProof/>
                <w:sz w:val="16"/>
              </w:rPr>
            </w:pPr>
          </w:p>
        </w:tc>
        <w:tc>
          <w:tcPr>
            <w:tcW w:w="757" w:type="dxa"/>
          </w:tcPr>
          <w:p w14:paraId="71840933" w14:textId="77777777" w:rsidR="001E7DFF" w:rsidRPr="00853D04" w:rsidRDefault="001E7DFF" w:rsidP="001E7DFF">
            <w:pPr>
              <w:spacing w:beforeLines="20" w:before="48" w:afterLines="20" w:after="48"/>
              <w:jc w:val="center"/>
              <w:rPr>
                <w:noProof/>
                <w:sz w:val="16"/>
              </w:rPr>
            </w:pPr>
          </w:p>
        </w:tc>
        <w:tc>
          <w:tcPr>
            <w:tcW w:w="757" w:type="dxa"/>
          </w:tcPr>
          <w:p w14:paraId="7161E71B" w14:textId="77777777" w:rsidR="001E7DFF" w:rsidRPr="00853D04" w:rsidRDefault="001E7DFF" w:rsidP="001E7DFF">
            <w:pPr>
              <w:spacing w:beforeLines="20" w:before="48" w:afterLines="20" w:after="48"/>
              <w:jc w:val="center"/>
              <w:rPr>
                <w:noProof/>
                <w:sz w:val="16"/>
              </w:rPr>
            </w:pPr>
          </w:p>
        </w:tc>
      </w:tr>
      <w:tr w:rsidR="001E7DFF" w:rsidRPr="00853D04" w14:paraId="636F8577" w14:textId="77777777" w:rsidTr="6209A4CE">
        <w:trPr>
          <w:gridBefore w:val="1"/>
          <w:wBefore w:w="15" w:type="dxa"/>
          <w:trHeight w:val="289"/>
          <w:jc w:val="center"/>
        </w:trPr>
        <w:tc>
          <w:tcPr>
            <w:tcW w:w="4754" w:type="dxa"/>
            <w:gridSpan w:val="7"/>
            <w:shd w:val="clear" w:color="auto" w:fill="auto"/>
            <w:vAlign w:val="center"/>
          </w:tcPr>
          <w:p w14:paraId="1B28A59A" w14:textId="77777777" w:rsidR="001E7DFF" w:rsidRPr="00853D04" w:rsidRDefault="001E7DFF" w:rsidP="001E7DFF">
            <w:pPr>
              <w:pStyle w:val="Text1"/>
              <w:spacing w:beforeLines="20" w:before="48" w:afterLines="20" w:after="48"/>
              <w:ind w:left="136"/>
              <w:jc w:val="left"/>
              <w:rPr>
                <w:noProof/>
                <w:color w:val="FF0000"/>
                <w:sz w:val="16"/>
              </w:rPr>
            </w:pPr>
            <w:r w:rsidRPr="00853D04">
              <w:rPr>
                <w:noProof/>
                <w:sz w:val="16"/>
              </w:rPr>
              <w:t xml:space="preserve"> 01 01 01 12 (CA, INT, SNE – bezpośrednie badania naukowe)</w:t>
            </w:r>
          </w:p>
        </w:tc>
        <w:tc>
          <w:tcPr>
            <w:tcW w:w="731" w:type="dxa"/>
            <w:shd w:val="clear" w:color="auto" w:fill="auto"/>
            <w:vAlign w:val="center"/>
          </w:tcPr>
          <w:p w14:paraId="0165CD08"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39775558"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3211D59B"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713C68EE" w14:textId="77777777" w:rsidR="001E7DFF" w:rsidRPr="00853D04" w:rsidRDefault="001E7DFF" w:rsidP="001E7DFF">
            <w:pPr>
              <w:spacing w:beforeLines="20" w:before="48" w:afterLines="20" w:after="48"/>
              <w:jc w:val="center"/>
              <w:rPr>
                <w:noProof/>
                <w:sz w:val="16"/>
              </w:rPr>
            </w:pPr>
          </w:p>
        </w:tc>
        <w:tc>
          <w:tcPr>
            <w:tcW w:w="757" w:type="dxa"/>
          </w:tcPr>
          <w:p w14:paraId="3592798F" w14:textId="77777777" w:rsidR="001E7DFF" w:rsidRPr="00853D04" w:rsidRDefault="001E7DFF" w:rsidP="001E7DFF">
            <w:pPr>
              <w:spacing w:beforeLines="20" w:before="48" w:afterLines="20" w:after="48"/>
              <w:jc w:val="center"/>
              <w:rPr>
                <w:noProof/>
                <w:sz w:val="16"/>
              </w:rPr>
            </w:pPr>
          </w:p>
        </w:tc>
        <w:tc>
          <w:tcPr>
            <w:tcW w:w="757" w:type="dxa"/>
          </w:tcPr>
          <w:p w14:paraId="4F4E299B" w14:textId="77777777" w:rsidR="001E7DFF" w:rsidRPr="00853D04" w:rsidRDefault="001E7DFF" w:rsidP="001E7DFF">
            <w:pPr>
              <w:spacing w:beforeLines="20" w:before="48" w:afterLines="20" w:after="48"/>
              <w:jc w:val="center"/>
              <w:rPr>
                <w:noProof/>
                <w:sz w:val="16"/>
              </w:rPr>
            </w:pPr>
          </w:p>
        </w:tc>
        <w:tc>
          <w:tcPr>
            <w:tcW w:w="757" w:type="dxa"/>
          </w:tcPr>
          <w:p w14:paraId="049F042B" w14:textId="77777777" w:rsidR="001E7DFF" w:rsidRPr="00853D04" w:rsidRDefault="001E7DFF" w:rsidP="001E7DFF">
            <w:pPr>
              <w:spacing w:beforeLines="20" w:before="48" w:afterLines="20" w:after="48"/>
              <w:jc w:val="center"/>
              <w:rPr>
                <w:noProof/>
                <w:sz w:val="16"/>
              </w:rPr>
            </w:pPr>
          </w:p>
        </w:tc>
      </w:tr>
      <w:tr w:rsidR="001E7DFF" w:rsidRPr="00853D04" w14:paraId="4D4FD0E6" w14:textId="77777777" w:rsidTr="6209A4CE">
        <w:trPr>
          <w:gridBefore w:val="1"/>
          <w:wBefore w:w="15" w:type="dxa"/>
          <w:trHeight w:val="289"/>
          <w:jc w:val="center"/>
        </w:trPr>
        <w:tc>
          <w:tcPr>
            <w:tcW w:w="4754" w:type="dxa"/>
            <w:gridSpan w:val="7"/>
            <w:shd w:val="clear" w:color="auto" w:fill="auto"/>
            <w:vAlign w:val="center"/>
          </w:tcPr>
          <w:p w14:paraId="486007A3" w14:textId="77777777" w:rsidR="001E7DFF" w:rsidRPr="00853D04" w:rsidRDefault="001E7DFF" w:rsidP="001E7DFF">
            <w:pPr>
              <w:pStyle w:val="Text1"/>
              <w:spacing w:beforeLines="20" w:before="48" w:afterLines="20" w:after="48"/>
              <w:ind w:left="136"/>
              <w:jc w:val="left"/>
              <w:rPr>
                <w:noProof/>
                <w:sz w:val="16"/>
              </w:rPr>
            </w:pPr>
            <w:r w:rsidRPr="00853D04">
              <w:rPr>
                <w:noProof/>
                <w:sz w:val="16"/>
              </w:rPr>
              <w:t>Inna linia budżetowa (określić)</w:t>
            </w:r>
          </w:p>
        </w:tc>
        <w:tc>
          <w:tcPr>
            <w:tcW w:w="731" w:type="dxa"/>
            <w:shd w:val="clear" w:color="auto" w:fill="auto"/>
            <w:vAlign w:val="center"/>
          </w:tcPr>
          <w:p w14:paraId="2711D727"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7277ABF6"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740CF06E" w14:textId="77777777" w:rsidR="001E7DFF" w:rsidRPr="00853D04" w:rsidRDefault="001E7DFF" w:rsidP="001E7DFF">
            <w:pPr>
              <w:spacing w:beforeLines="20" w:before="48" w:afterLines="20" w:after="48"/>
              <w:jc w:val="center"/>
              <w:rPr>
                <w:noProof/>
                <w:sz w:val="16"/>
              </w:rPr>
            </w:pPr>
          </w:p>
        </w:tc>
        <w:tc>
          <w:tcPr>
            <w:tcW w:w="731" w:type="dxa"/>
            <w:shd w:val="clear" w:color="auto" w:fill="auto"/>
            <w:vAlign w:val="center"/>
          </w:tcPr>
          <w:p w14:paraId="2F7093BD" w14:textId="77777777" w:rsidR="001E7DFF" w:rsidRPr="00853D04" w:rsidRDefault="001E7DFF" w:rsidP="001E7DFF">
            <w:pPr>
              <w:spacing w:beforeLines="20" w:before="48" w:afterLines="20" w:after="48"/>
              <w:jc w:val="center"/>
              <w:rPr>
                <w:noProof/>
                <w:sz w:val="16"/>
              </w:rPr>
            </w:pPr>
          </w:p>
        </w:tc>
        <w:tc>
          <w:tcPr>
            <w:tcW w:w="757" w:type="dxa"/>
          </w:tcPr>
          <w:p w14:paraId="0CE0832B" w14:textId="77777777" w:rsidR="001E7DFF" w:rsidRPr="00853D04" w:rsidRDefault="001E7DFF" w:rsidP="001E7DFF">
            <w:pPr>
              <w:spacing w:beforeLines="20" w:before="48" w:afterLines="20" w:after="48"/>
              <w:jc w:val="center"/>
              <w:rPr>
                <w:noProof/>
                <w:sz w:val="16"/>
              </w:rPr>
            </w:pPr>
          </w:p>
        </w:tc>
        <w:tc>
          <w:tcPr>
            <w:tcW w:w="757" w:type="dxa"/>
          </w:tcPr>
          <w:p w14:paraId="1C14C35E" w14:textId="77777777" w:rsidR="001E7DFF" w:rsidRPr="00853D04" w:rsidRDefault="001E7DFF" w:rsidP="001E7DFF">
            <w:pPr>
              <w:spacing w:beforeLines="20" w:before="48" w:afterLines="20" w:after="48"/>
              <w:jc w:val="center"/>
              <w:rPr>
                <w:noProof/>
                <w:sz w:val="16"/>
              </w:rPr>
            </w:pPr>
          </w:p>
        </w:tc>
        <w:tc>
          <w:tcPr>
            <w:tcW w:w="757" w:type="dxa"/>
          </w:tcPr>
          <w:p w14:paraId="6397B035" w14:textId="77777777" w:rsidR="001E7DFF" w:rsidRPr="00853D04" w:rsidRDefault="001E7DFF" w:rsidP="001E7DFF">
            <w:pPr>
              <w:spacing w:beforeLines="20" w:before="48" w:afterLines="20" w:after="48"/>
              <w:jc w:val="center"/>
              <w:rPr>
                <w:noProof/>
                <w:sz w:val="16"/>
              </w:rPr>
            </w:pPr>
          </w:p>
        </w:tc>
      </w:tr>
      <w:tr w:rsidR="00792509" w:rsidRPr="00853D04" w14:paraId="3C045DBE" w14:textId="77777777" w:rsidTr="005D68B9">
        <w:trPr>
          <w:gridBefore w:val="1"/>
          <w:wBefore w:w="15" w:type="dxa"/>
          <w:trHeight w:val="289"/>
          <w:jc w:val="center"/>
        </w:trPr>
        <w:tc>
          <w:tcPr>
            <w:tcW w:w="4754" w:type="dxa"/>
            <w:gridSpan w:val="7"/>
            <w:tcBorders>
              <w:top w:val="double" w:sz="4" w:space="0" w:color="auto"/>
            </w:tcBorders>
            <w:shd w:val="clear" w:color="auto" w:fill="auto"/>
            <w:vAlign w:val="center"/>
          </w:tcPr>
          <w:p w14:paraId="0A0DD3C3" w14:textId="77777777" w:rsidR="00792509" w:rsidRPr="00853D04" w:rsidRDefault="00792509" w:rsidP="00792509">
            <w:pPr>
              <w:pStyle w:val="Text1"/>
              <w:spacing w:beforeLines="20" w:before="48" w:afterLines="20" w:after="48"/>
              <w:ind w:left="136"/>
              <w:jc w:val="left"/>
              <w:rPr>
                <w:noProof/>
                <w:sz w:val="16"/>
              </w:rPr>
            </w:pPr>
            <w:r w:rsidRPr="00853D04">
              <w:rPr>
                <w:b/>
                <w:noProof/>
                <w:sz w:val="16"/>
              </w:rPr>
              <w:t>OGÓŁEM</w:t>
            </w:r>
          </w:p>
        </w:tc>
        <w:tc>
          <w:tcPr>
            <w:tcW w:w="731" w:type="dxa"/>
            <w:tcBorders>
              <w:top w:val="double" w:sz="4" w:space="0" w:color="auto"/>
            </w:tcBorders>
            <w:shd w:val="clear" w:color="auto" w:fill="auto"/>
            <w:vAlign w:val="center"/>
          </w:tcPr>
          <w:p w14:paraId="4F8188E6" w14:textId="77777777" w:rsidR="00792509" w:rsidRPr="00853D04" w:rsidRDefault="00792509" w:rsidP="00792509">
            <w:pPr>
              <w:spacing w:beforeLines="20" w:before="48" w:afterLines="20" w:after="48"/>
              <w:jc w:val="center"/>
              <w:rPr>
                <w:b/>
                <w:noProof/>
                <w:sz w:val="16"/>
              </w:rPr>
            </w:pPr>
            <w:r w:rsidRPr="00853D04">
              <w:rPr>
                <w:noProof/>
                <w:sz w:val="16"/>
              </w:rPr>
              <w:t>1,5</w:t>
            </w:r>
          </w:p>
        </w:tc>
        <w:tc>
          <w:tcPr>
            <w:tcW w:w="731" w:type="dxa"/>
            <w:tcBorders>
              <w:top w:val="double" w:sz="4" w:space="0" w:color="auto"/>
            </w:tcBorders>
            <w:shd w:val="clear" w:color="auto" w:fill="auto"/>
            <w:vAlign w:val="center"/>
          </w:tcPr>
          <w:p w14:paraId="376DCE13" w14:textId="77777777" w:rsidR="00792509" w:rsidRPr="00853D04" w:rsidRDefault="00792509" w:rsidP="00792509">
            <w:pPr>
              <w:spacing w:beforeLines="20" w:before="48" w:afterLines="20" w:after="48"/>
              <w:jc w:val="center"/>
              <w:rPr>
                <w:b/>
                <w:noProof/>
                <w:sz w:val="16"/>
              </w:rPr>
            </w:pPr>
            <w:r w:rsidRPr="00853D04">
              <w:rPr>
                <w:noProof/>
                <w:sz w:val="16"/>
              </w:rPr>
              <w:t>1,5</w:t>
            </w:r>
          </w:p>
        </w:tc>
        <w:tc>
          <w:tcPr>
            <w:tcW w:w="731" w:type="dxa"/>
            <w:tcBorders>
              <w:top w:val="double" w:sz="4" w:space="0" w:color="auto"/>
            </w:tcBorders>
            <w:shd w:val="clear" w:color="auto" w:fill="auto"/>
            <w:vAlign w:val="center"/>
          </w:tcPr>
          <w:p w14:paraId="0A8785AC" w14:textId="77777777" w:rsidR="00792509" w:rsidRPr="00853D04" w:rsidRDefault="00792509" w:rsidP="00792509">
            <w:pPr>
              <w:spacing w:beforeLines="20" w:before="48" w:afterLines="20" w:after="48"/>
              <w:jc w:val="center"/>
              <w:rPr>
                <w:b/>
                <w:noProof/>
                <w:sz w:val="16"/>
              </w:rPr>
            </w:pPr>
            <w:r w:rsidRPr="00853D04">
              <w:rPr>
                <w:noProof/>
                <w:sz w:val="16"/>
              </w:rPr>
              <w:t>1</w:t>
            </w:r>
          </w:p>
        </w:tc>
        <w:tc>
          <w:tcPr>
            <w:tcW w:w="731" w:type="dxa"/>
            <w:tcBorders>
              <w:top w:val="double" w:sz="4" w:space="0" w:color="auto"/>
            </w:tcBorders>
            <w:shd w:val="clear" w:color="auto" w:fill="auto"/>
            <w:vAlign w:val="center"/>
          </w:tcPr>
          <w:p w14:paraId="0C1FD800" w14:textId="77777777" w:rsidR="00792509" w:rsidRPr="00853D04" w:rsidRDefault="00792509" w:rsidP="00792509">
            <w:pPr>
              <w:spacing w:beforeLines="20" w:before="48" w:afterLines="20" w:after="48"/>
              <w:jc w:val="center"/>
              <w:rPr>
                <w:b/>
                <w:noProof/>
                <w:sz w:val="16"/>
              </w:rPr>
            </w:pPr>
            <w:r w:rsidRPr="00853D04">
              <w:rPr>
                <w:noProof/>
                <w:sz w:val="16"/>
              </w:rPr>
              <w:t>1</w:t>
            </w:r>
          </w:p>
        </w:tc>
        <w:tc>
          <w:tcPr>
            <w:tcW w:w="757" w:type="dxa"/>
            <w:tcBorders>
              <w:top w:val="double" w:sz="4" w:space="0" w:color="auto"/>
            </w:tcBorders>
            <w:vAlign w:val="center"/>
          </w:tcPr>
          <w:p w14:paraId="3CAE3A89" w14:textId="77777777" w:rsidR="00792509" w:rsidRPr="00853D04" w:rsidRDefault="00792509" w:rsidP="00792509">
            <w:pPr>
              <w:spacing w:beforeLines="20" w:before="48" w:afterLines="20" w:after="48"/>
              <w:jc w:val="center"/>
              <w:rPr>
                <w:b/>
                <w:noProof/>
                <w:sz w:val="16"/>
              </w:rPr>
            </w:pPr>
            <w:r w:rsidRPr="00853D04">
              <w:rPr>
                <w:noProof/>
                <w:sz w:val="16"/>
              </w:rPr>
              <w:t>1</w:t>
            </w:r>
          </w:p>
        </w:tc>
        <w:tc>
          <w:tcPr>
            <w:tcW w:w="757" w:type="dxa"/>
            <w:tcBorders>
              <w:top w:val="double" w:sz="4" w:space="0" w:color="auto"/>
            </w:tcBorders>
            <w:vAlign w:val="center"/>
          </w:tcPr>
          <w:p w14:paraId="03087F00" w14:textId="77777777" w:rsidR="00792509" w:rsidRPr="00853D04" w:rsidRDefault="00792509" w:rsidP="00792509">
            <w:pPr>
              <w:spacing w:beforeLines="20" w:before="48" w:afterLines="20" w:after="48"/>
              <w:jc w:val="center"/>
              <w:rPr>
                <w:b/>
                <w:noProof/>
                <w:sz w:val="16"/>
              </w:rPr>
            </w:pPr>
            <w:r w:rsidRPr="00853D04">
              <w:rPr>
                <w:noProof/>
                <w:sz w:val="16"/>
              </w:rPr>
              <w:t>1</w:t>
            </w:r>
          </w:p>
        </w:tc>
        <w:tc>
          <w:tcPr>
            <w:tcW w:w="757" w:type="dxa"/>
            <w:tcBorders>
              <w:top w:val="double" w:sz="4" w:space="0" w:color="auto"/>
            </w:tcBorders>
            <w:vAlign w:val="center"/>
          </w:tcPr>
          <w:p w14:paraId="77FCE5AF" w14:textId="77777777" w:rsidR="00792509" w:rsidRPr="00853D04" w:rsidRDefault="00792509" w:rsidP="00792509">
            <w:pPr>
              <w:spacing w:beforeLines="20" w:before="48" w:afterLines="20" w:after="48"/>
              <w:jc w:val="center"/>
              <w:rPr>
                <w:b/>
                <w:noProof/>
                <w:sz w:val="16"/>
              </w:rPr>
            </w:pPr>
            <w:r w:rsidRPr="00853D04">
              <w:rPr>
                <w:noProof/>
                <w:sz w:val="16"/>
              </w:rPr>
              <w:t>1</w:t>
            </w:r>
          </w:p>
        </w:tc>
      </w:tr>
    </w:tbl>
    <w:p w14:paraId="0E8D1379" w14:textId="7C572AF7" w:rsidR="00BE7E05" w:rsidRPr="00853D04" w:rsidRDefault="00BE7E05">
      <w:pPr>
        <w:pStyle w:val="Text1"/>
        <w:spacing w:before="60" w:after="60"/>
        <w:ind w:left="851"/>
        <w:rPr>
          <w:noProof/>
          <w:sz w:val="18"/>
        </w:rPr>
      </w:pPr>
      <w:r w:rsidRPr="00853D04">
        <w:rPr>
          <w:b/>
          <w:noProof/>
          <w:sz w:val="18"/>
        </w:rPr>
        <w:t>XX</w:t>
      </w:r>
      <w:r w:rsidRPr="00853D04">
        <w:rPr>
          <w:noProof/>
          <w:sz w:val="18"/>
        </w:rPr>
        <w:t xml:space="preserve"> oznacza odpowiedni obszar polityki lub odpowiedni tytuł</w:t>
      </w:r>
      <w:r w:rsidR="00C13C75" w:rsidRPr="00853D04">
        <w:rPr>
          <w:noProof/>
          <w:sz w:val="18"/>
        </w:rPr>
        <w:t xml:space="preserve"> w</w:t>
      </w:r>
      <w:r w:rsidR="00C13C75">
        <w:rPr>
          <w:noProof/>
          <w:sz w:val="18"/>
        </w:rPr>
        <w:t> </w:t>
      </w:r>
      <w:r w:rsidR="00C13C75" w:rsidRPr="00853D04">
        <w:rPr>
          <w:noProof/>
          <w:sz w:val="18"/>
        </w:rPr>
        <w:t>bud</w:t>
      </w:r>
      <w:r w:rsidRPr="00853D04">
        <w:rPr>
          <w:noProof/>
          <w:sz w:val="18"/>
        </w:rPr>
        <w:t>żecie.</w:t>
      </w:r>
    </w:p>
    <w:p w14:paraId="5530CD71" w14:textId="4E36DD45" w:rsidR="00BE7E05" w:rsidRPr="00853D04" w:rsidRDefault="00BE7E05">
      <w:pPr>
        <w:pStyle w:val="Text1"/>
        <w:rPr>
          <w:noProof/>
          <w:sz w:val="18"/>
        </w:rPr>
      </w:pPr>
      <w:r w:rsidRPr="00853D04">
        <w:rPr>
          <w:noProof/>
          <w:sz w:val="18"/>
        </w:rPr>
        <w:t>Potrzeby</w:t>
      </w:r>
      <w:r w:rsidR="00C13C75" w:rsidRPr="00853D04">
        <w:rPr>
          <w:noProof/>
          <w:sz w:val="18"/>
        </w:rPr>
        <w:t xml:space="preserve"> w</w:t>
      </w:r>
      <w:r w:rsidR="00C13C75">
        <w:rPr>
          <w:noProof/>
          <w:sz w:val="18"/>
        </w:rPr>
        <w:t> </w:t>
      </w:r>
      <w:r w:rsidR="00C13C75" w:rsidRPr="00853D04">
        <w:rPr>
          <w:noProof/>
          <w:sz w:val="18"/>
        </w:rPr>
        <w:t>zak</w:t>
      </w:r>
      <w:r w:rsidRPr="00853D04">
        <w:rPr>
          <w:noProof/>
          <w:sz w:val="18"/>
        </w:rPr>
        <w:t>resie zasobów ludzkich zostaną pokryte</w:t>
      </w:r>
      <w:r w:rsidR="00C13C75" w:rsidRPr="00853D04">
        <w:rPr>
          <w:noProof/>
          <w:sz w:val="18"/>
        </w:rPr>
        <w:t xml:space="preserve"> z</w:t>
      </w:r>
      <w:r w:rsidR="00C13C75">
        <w:rPr>
          <w:noProof/>
          <w:sz w:val="18"/>
        </w:rPr>
        <w:t> </w:t>
      </w:r>
      <w:r w:rsidR="00C13C75" w:rsidRPr="00853D04">
        <w:rPr>
          <w:noProof/>
          <w:sz w:val="18"/>
        </w:rPr>
        <w:t>zas</w:t>
      </w:r>
      <w:r w:rsidRPr="00853D04">
        <w:rPr>
          <w:noProof/>
          <w:sz w:val="18"/>
        </w:rPr>
        <w:t>obów dyrekcji generalnej już przydzielonych na zarządzanie tym działaniem lub przesuniętych</w:t>
      </w:r>
      <w:r w:rsidR="00C13C75" w:rsidRPr="00853D04">
        <w:rPr>
          <w:noProof/>
          <w:sz w:val="18"/>
        </w:rPr>
        <w:t xml:space="preserve"> w</w:t>
      </w:r>
      <w:r w:rsidR="00C13C75">
        <w:rPr>
          <w:noProof/>
          <w:sz w:val="18"/>
        </w:rPr>
        <w:t> </w:t>
      </w:r>
      <w:r w:rsidR="00C13C75" w:rsidRPr="00853D04">
        <w:rPr>
          <w:noProof/>
          <w:sz w:val="18"/>
        </w:rPr>
        <w:t>ram</w:t>
      </w:r>
      <w:r w:rsidRPr="00853D04">
        <w:rPr>
          <w:noProof/>
          <w:sz w:val="18"/>
        </w:rPr>
        <w:t>ach dyrekcji generalnej, uzupełnionych</w:t>
      </w:r>
      <w:r w:rsidR="00C13C75" w:rsidRPr="00853D04">
        <w:rPr>
          <w:noProof/>
          <w:sz w:val="18"/>
        </w:rPr>
        <w:t xml:space="preserve"> w</w:t>
      </w:r>
      <w:r w:rsidR="00C13C75">
        <w:rPr>
          <w:noProof/>
          <w:sz w:val="18"/>
        </w:rPr>
        <w:t> </w:t>
      </w:r>
      <w:r w:rsidR="00C13C75" w:rsidRPr="00853D04">
        <w:rPr>
          <w:noProof/>
          <w:sz w:val="18"/>
        </w:rPr>
        <w:t>raz</w:t>
      </w:r>
      <w:r w:rsidRPr="00853D04">
        <w:rPr>
          <w:noProof/>
          <w:sz w:val="18"/>
        </w:rPr>
        <w:t>ie potrzeby wszelkimi dodatkowymi zasobami, które mogą zostać przydzielone zarządzającej dyrekcji generalnej</w:t>
      </w:r>
      <w:r w:rsidR="00C13C75" w:rsidRPr="00853D04">
        <w:rPr>
          <w:noProof/>
          <w:sz w:val="18"/>
        </w:rPr>
        <w:t xml:space="preserve"> w</w:t>
      </w:r>
      <w:r w:rsidR="00C13C75">
        <w:rPr>
          <w:noProof/>
          <w:sz w:val="18"/>
        </w:rPr>
        <w:t> </w:t>
      </w:r>
      <w:r w:rsidR="00C13C75" w:rsidRPr="00853D04">
        <w:rPr>
          <w:noProof/>
          <w:sz w:val="18"/>
        </w:rPr>
        <w:t>ram</w:t>
      </w:r>
      <w:r w:rsidRPr="00853D04">
        <w:rPr>
          <w:noProof/>
          <w:sz w:val="18"/>
        </w:rPr>
        <w:t>ach procedury rocznego przydziału środków oraz</w:t>
      </w:r>
      <w:r w:rsidR="00C13C75" w:rsidRPr="00853D04">
        <w:rPr>
          <w:noProof/>
          <w:sz w:val="18"/>
        </w:rPr>
        <w:t xml:space="preserve"> w</w:t>
      </w:r>
      <w:r w:rsidR="00C13C75">
        <w:rPr>
          <w:noProof/>
          <w:sz w:val="18"/>
        </w:rPr>
        <w:t> </w:t>
      </w:r>
      <w:r w:rsidR="00C13C75" w:rsidRPr="00853D04">
        <w:rPr>
          <w:noProof/>
          <w:sz w:val="18"/>
        </w:rPr>
        <w:t>świ</w:t>
      </w:r>
      <w:r w:rsidRPr="00853D04">
        <w:rPr>
          <w:noProof/>
          <w:sz w:val="18"/>
        </w:rPr>
        <w:t>etle istniejących ograniczeń budżetowych.</w:t>
      </w:r>
    </w:p>
    <w:p w14:paraId="4C4642A3" w14:textId="77777777" w:rsidR="00BE7E05" w:rsidRPr="00853D04" w:rsidRDefault="00BE7E05">
      <w:pPr>
        <w:rPr>
          <w:noProof/>
          <w:sz w:val="20"/>
        </w:rPr>
      </w:pPr>
      <w:r w:rsidRPr="00853D04">
        <w:rPr>
          <w:noProof/>
          <w:sz w:val="20"/>
        </w:rPr>
        <w:t>Opis zadań do wykonania:</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71986" w:rsidRPr="00853D04" w14:paraId="56EDC714" w14:textId="77777777" w:rsidTr="6209A4CE">
        <w:tc>
          <w:tcPr>
            <w:tcW w:w="3240" w:type="dxa"/>
          </w:tcPr>
          <w:p w14:paraId="3E775835" w14:textId="04912251" w:rsidR="00BE7E05" w:rsidRPr="00853D04" w:rsidRDefault="00BE7E05">
            <w:pPr>
              <w:rPr>
                <w:noProof/>
                <w:sz w:val="20"/>
              </w:rPr>
            </w:pPr>
            <w:r w:rsidRPr="00853D04">
              <w:rPr>
                <w:noProof/>
                <w:sz w:val="20"/>
              </w:rPr>
              <w:t>Urzędnicy</w:t>
            </w:r>
            <w:r w:rsidR="00C13C75" w:rsidRPr="00853D04">
              <w:rPr>
                <w:noProof/>
                <w:sz w:val="20"/>
              </w:rPr>
              <w:t xml:space="preserve"> i</w:t>
            </w:r>
            <w:r w:rsidR="00C13C75">
              <w:rPr>
                <w:noProof/>
                <w:sz w:val="20"/>
              </w:rPr>
              <w:t> </w:t>
            </w:r>
            <w:r w:rsidR="00C13C75" w:rsidRPr="00853D04">
              <w:rPr>
                <w:noProof/>
                <w:sz w:val="20"/>
              </w:rPr>
              <w:t>pra</w:t>
            </w:r>
            <w:r w:rsidRPr="00853D04">
              <w:rPr>
                <w:noProof/>
                <w:sz w:val="20"/>
              </w:rPr>
              <w:t>cownicy zatrudnieni na czas określony</w:t>
            </w:r>
          </w:p>
        </w:tc>
        <w:tc>
          <w:tcPr>
            <w:tcW w:w="7200" w:type="dxa"/>
          </w:tcPr>
          <w:p w14:paraId="037FBFCD" w14:textId="29AEEE69" w:rsidR="00BE7E05" w:rsidRPr="00853D04" w:rsidRDefault="5917999C" w:rsidP="6209A4CE">
            <w:pPr>
              <w:rPr>
                <w:noProof/>
                <w:sz w:val="20"/>
              </w:rPr>
            </w:pPr>
            <w:r w:rsidRPr="00853D04">
              <w:rPr>
                <w:noProof/>
                <w:sz w:val="20"/>
              </w:rPr>
              <w:t>1,5 EPC na potrzeby sekretariatu komitetu procedury komitetowej oraz na potrzeby nadzorowania wdrażania wniosku,</w:t>
            </w:r>
            <w:r w:rsidR="00C13C75" w:rsidRPr="00853D04">
              <w:rPr>
                <w:noProof/>
                <w:sz w:val="20"/>
              </w:rPr>
              <w:t xml:space="preserve"> a</w:t>
            </w:r>
            <w:r w:rsidR="00C13C75">
              <w:rPr>
                <w:noProof/>
                <w:sz w:val="20"/>
              </w:rPr>
              <w:t> </w:t>
            </w:r>
            <w:r w:rsidR="00C13C75" w:rsidRPr="00853D04">
              <w:rPr>
                <w:noProof/>
                <w:sz w:val="20"/>
              </w:rPr>
              <w:t>tak</w:t>
            </w:r>
            <w:r w:rsidRPr="00853D04">
              <w:rPr>
                <w:noProof/>
                <w:sz w:val="20"/>
              </w:rPr>
              <w:t>że na potrzeby wspierania zespołu ds. systemu IMI</w:t>
            </w:r>
            <w:r w:rsidR="00C13C75" w:rsidRPr="00853D04">
              <w:rPr>
                <w:noProof/>
                <w:sz w:val="20"/>
              </w:rPr>
              <w:t xml:space="preserve"> i</w:t>
            </w:r>
            <w:r w:rsidR="00C13C75">
              <w:rPr>
                <w:noProof/>
                <w:sz w:val="20"/>
              </w:rPr>
              <w:t> </w:t>
            </w:r>
            <w:r w:rsidR="00C13C75" w:rsidRPr="00853D04">
              <w:rPr>
                <w:noProof/>
                <w:sz w:val="20"/>
              </w:rPr>
              <w:t>zes</w:t>
            </w:r>
            <w:r w:rsidRPr="00853D04">
              <w:rPr>
                <w:noProof/>
                <w:sz w:val="20"/>
              </w:rPr>
              <w:t>połu ds. jednolitego portalu cyfrowego/portalu Your Europe</w:t>
            </w:r>
            <w:r w:rsidR="00C13C75" w:rsidRPr="00853D04">
              <w:rPr>
                <w:noProof/>
                <w:sz w:val="20"/>
              </w:rPr>
              <w:t xml:space="preserve"> w</w:t>
            </w:r>
            <w:r w:rsidR="00C13C75">
              <w:rPr>
                <w:noProof/>
                <w:sz w:val="20"/>
              </w:rPr>
              <w:t> </w:t>
            </w:r>
            <w:r w:rsidR="00C13C75" w:rsidRPr="00853D04">
              <w:rPr>
                <w:noProof/>
                <w:sz w:val="20"/>
              </w:rPr>
              <w:t>zak</w:t>
            </w:r>
            <w:r w:rsidRPr="00853D04">
              <w:rPr>
                <w:noProof/>
                <w:sz w:val="20"/>
              </w:rPr>
              <w:t>resie polityki</w:t>
            </w:r>
            <w:r w:rsidR="00C13C75" w:rsidRPr="00853D04">
              <w:rPr>
                <w:noProof/>
                <w:sz w:val="20"/>
              </w:rPr>
              <w:t xml:space="preserve"> i</w:t>
            </w:r>
            <w:r w:rsidR="00C13C75">
              <w:rPr>
                <w:noProof/>
                <w:sz w:val="20"/>
              </w:rPr>
              <w:t> </w:t>
            </w:r>
            <w:r w:rsidR="00C13C75" w:rsidRPr="00853D04">
              <w:rPr>
                <w:noProof/>
                <w:sz w:val="20"/>
              </w:rPr>
              <w:t>wkł</w:t>
            </w:r>
            <w:r w:rsidRPr="00853D04">
              <w:rPr>
                <w:noProof/>
                <w:sz w:val="20"/>
              </w:rPr>
              <w:t>adu biznesowego zarówno podczas wdrażania projektu, jak i po uruchomieniu modułu systemu IMI.</w:t>
            </w:r>
          </w:p>
        </w:tc>
      </w:tr>
      <w:tr w:rsidR="00D71986" w:rsidRPr="00853D04" w14:paraId="6E7C390E" w14:textId="77777777" w:rsidTr="6209A4CE">
        <w:tc>
          <w:tcPr>
            <w:tcW w:w="3240" w:type="dxa"/>
          </w:tcPr>
          <w:p w14:paraId="7AFB3F86" w14:textId="77777777" w:rsidR="00BE7E05" w:rsidRPr="00853D04" w:rsidRDefault="00BE7E05">
            <w:pPr>
              <w:spacing w:before="60" w:after="60"/>
              <w:rPr>
                <w:noProof/>
                <w:sz w:val="20"/>
              </w:rPr>
            </w:pPr>
            <w:r w:rsidRPr="00853D04">
              <w:rPr>
                <w:noProof/>
                <w:sz w:val="20"/>
              </w:rPr>
              <w:t>Personel zewnętrzny</w:t>
            </w:r>
          </w:p>
        </w:tc>
        <w:tc>
          <w:tcPr>
            <w:tcW w:w="7200" w:type="dxa"/>
          </w:tcPr>
          <w:p w14:paraId="13C10226" w14:textId="77777777" w:rsidR="00BE7E05" w:rsidRPr="00853D04" w:rsidRDefault="00BE7E05">
            <w:pPr>
              <w:rPr>
                <w:noProof/>
                <w:sz w:val="20"/>
              </w:rPr>
            </w:pPr>
          </w:p>
        </w:tc>
      </w:tr>
    </w:tbl>
    <w:p w14:paraId="2EA5B257" w14:textId="77777777" w:rsidR="00BE7E05" w:rsidRPr="00853D04" w:rsidRDefault="00BE7E05">
      <w:pPr>
        <w:rPr>
          <w:noProof/>
        </w:rPr>
        <w:sectPr w:rsidR="00BE7E05" w:rsidRPr="00853D04" w:rsidSect="002D57EB">
          <w:pgSz w:w="11907" w:h="16840"/>
          <w:pgMar w:top="1134" w:right="1418" w:bottom="1134" w:left="1418" w:header="709" w:footer="709" w:gutter="0"/>
          <w:cols w:space="708"/>
          <w:docGrid w:linePitch="360"/>
        </w:sectPr>
      </w:pPr>
    </w:p>
    <w:p w14:paraId="25B78EF2" w14:textId="04BBDE6A" w:rsidR="00BE7E05" w:rsidRPr="00853D04" w:rsidRDefault="00BE7E05">
      <w:pPr>
        <w:pStyle w:val="ManualHeading3"/>
        <w:rPr>
          <w:noProof/>
        </w:rPr>
      </w:pPr>
      <w:bookmarkStart w:id="66" w:name="_Toc514938056"/>
      <w:bookmarkStart w:id="67" w:name="_Toc520485055"/>
      <w:r w:rsidRPr="00853D04">
        <w:rPr>
          <w:noProof/>
        </w:rPr>
        <w:t>3.2.4.</w:t>
      </w:r>
      <w:r w:rsidRPr="00853D04">
        <w:rPr>
          <w:noProof/>
        </w:rPr>
        <w:tab/>
        <w:t>Zgodność</w:t>
      </w:r>
      <w:r w:rsidR="00C13C75" w:rsidRPr="00853D04">
        <w:rPr>
          <w:noProof/>
        </w:rPr>
        <w:t xml:space="preserve"> z</w:t>
      </w:r>
      <w:r w:rsidR="00C13C75">
        <w:rPr>
          <w:noProof/>
        </w:rPr>
        <w:t> </w:t>
      </w:r>
      <w:r w:rsidR="00C13C75" w:rsidRPr="00853D04">
        <w:rPr>
          <w:noProof/>
        </w:rPr>
        <w:t>obo</w:t>
      </w:r>
      <w:r w:rsidRPr="00853D04">
        <w:rPr>
          <w:noProof/>
        </w:rPr>
        <w:t>wiązującymi wieloletnimi ramami finansowymi</w:t>
      </w:r>
      <w:bookmarkEnd w:id="66"/>
      <w:bookmarkEnd w:id="67"/>
      <w:r w:rsidRPr="00853D04">
        <w:rPr>
          <w:noProof/>
        </w:rPr>
        <w:t xml:space="preserve"> </w:t>
      </w:r>
    </w:p>
    <w:p w14:paraId="0DF39D81" w14:textId="77777777" w:rsidR="00BE7E05" w:rsidRPr="00853D04" w:rsidRDefault="00BE7E05">
      <w:pPr>
        <w:pStyle w:val="Text1"/>
        <w:rPr>
          <w:noProof/>
        </w:rPr>
      </w:pPr>
      <w:r w:rsidRPr="00853D04">
        <w:rPr>
          <w:noProof/>
        </w:rPr>
        <w:t>Wniosek/inicjatywa:</w:t>
      </w:r>
    </w:p>
    <w:p w14:paraId="55EE0B32" w14:textId="39D37635" w:rsidR="00BE7E05" w:rsidRPr="00853D04" w:rsidRDefault="00304F03" w:rsidP="00F66EBA">
      <w:pPr>
        <w:pStyle w:val="ListDash1"/>
        <w:rPr>
          <w:noProof/>
        </w:rPr>
      </w:pPr>
      <w:r w:rsidRPr="00853D04">
        <w:rPr>
          <w:noProof/>
        </w:rPr>
        <w:t>X</w:t>
      </w:r>
      <w:r w:rsidRPr="00853D04">
        <w:rPr>
          <w:noProof/>
        </w:rPr>
        <w:tab/>
        <w:t>może zostać</w:t>
      </w:r>
      <w:r w:rsidR="00C13C75" w:rsidRPr="00853D04">
        <w:rPr>
          <w:noProof/>
        </w:rPr>
        <w:t xml:space="preserve"> w</w:t>
      </w:r>
      <w:r w:rsidR="00C13C75">
        <w:rPr>
          <w:noProof/>
        </w:rPr>
        <w:t> </w:t>
      </w:r>
      <w:r w:rsidR="00C13C75" w:rsidRPr="00853D04">
        <w:rPr>
          <w:noProof/>
        </w:rPr>
        <w:t>peł</w:t>
      </w:r>
      <w:r w:rsidRPr="00853D04">
        <w:rPr>
          <w:noProof/>
        </w:rPr>
        <w:t>ni sfinansowany(a) przez przegrupowanie środków</w:t>
      </w:r>
      <w:r w:rsidR="00C13C75" w:rsidRPr="00853D04">
        <w:rPr>
          <w:noProof/>
        </w:rPr>
        <w:t xml:space="preserve"> w</w:t>
      </w:r>
      <w:r w:rsidR="00C13C75">
        <w:rPr>
          <w:noProof/>
        </w:rPr>
        <w:t> </w:t>
      </w:r>
      <w:r w:rsidR="00C13C75" w:rsidRPr="00853D04">
        <w:rPr>
          <w:noProof/>
        </w:rPr>
        <w:t>ram</w:t>
      </w:r>
      <w:r w:rsidRPr="00853D04">
        <w:rPr>
          <w:noProof/>
        </w:rPr>
        <w:t>ach odpowiedniego działu wieloletnich ram finansowych (WRF).</w:t>
      </w:r>
    </w:p>
    <w:p w14:paraId="283052E2" w14:textId="7ECE128E" w:rsidR="00BE7E05" w:rsidRPr="00853D04" w:rsidRDefault="00BE628C">
      <w:pPr>
        <w:pStyle w:val="Text1"/>
        <w:pBdr>
          <w:top w:val="single" w:sz="4" w:space="1" w:color="auto"/>
          <w:left w:val="single" w:sz="4" w:space="4" w:color="auto"/>
          <w:bottom w:val="single" w:sz="4" w:space="1" w:color="auto"/>
          <w:right w:val="single" w:sz="4" w:space="4" w:color="auto"/>
        </w:pBdr>
        <w:rPr>
          <w:noProof/>
          <w:sz w:val="20"/>
        </w:rPr>
      </w:pPr>
      <w:r w:rsidRPr="00853D04">
        <w:rPr>
          <w:noProof/>
          <w:sz w:val="20"/>
        </w:rPr>
        <w:t>Komisja wykorzysta środki finansowe</w:t>
      </w:r>
      <w:r w:rsidR="00C13C75" w:rsidRPr="00853D04">
        <w:rPr>
          <w:noProof/>
          <w:sz w:val="20"/>
        </w:rPr>
        <w:t xml:space="preserve"> z</w:t>
      </w:r>
      <w:r w:rsidR="00C13C75">
        <w:rPr>
          <w:noProof/>
          <w:sz w:val="20"/>
        </w:rPr>
        <w:t> </w:t>
      </w:r>
      <w:r w:rsidR="00C13C75" w:rsidRPr="00853D04">
        <w:rPr>
          <w:noProof/>
          <w:sz w:val="20"/>
        </w:rPr>
        <w:t>Pro</w:t>
      </w:r>
      <w:r w:rsidRPr="00853D04">
        <w:rPr>
          <w:noProof/>
          <w:sz w:val="20"/>
        </w:rPr>
        <w:t>gramu na rzecz jednolitego rynku na wsparcie tej inicjatywy, linia budżetowa 03.020102 „Narzędzia zarządzania rynkiem wewnętrznym”.</w:t>
      </w:r>
    </w:p>
    <w:p w14:paraId="60E87A25" w14:textId="5BD6C469" w:rsidR="00BE7E05" w:rsidRPr="00853D04" w:rsidRDefault="00BE7E05" w:rsidP="00F66EBA">
      <w:pPr>
        <w:pStyle w:val="ListDash1"/>
        <w:rPr>
          <w:noProof/>
        </w:rPr>
      </w:pPr>
      <w:r w:rsidRPr="00853D04">
        <w:rPr>
          <w:noProof/>
        </w:rPr>
        <w:t>¨</w:t>
      </w:r>
      <w:r w:rsidRPr="00853D04">
        <w:rPr>
          <w:noProof/>
        </w:rPr>
        <w:tab/>
        <w:t>wymaga zastosowania nieprzydzielonego marginesu środków</w:t>
      </w:r>
      <w:r w:rsidR="00C13C75" w:rsidRPr="00853D04">
        <w:rPr>
          <w:noProof/>
        </w:rPr>
        <w:t xml:space="preserve"> w</w:t>
      </w:r>
      <w:r w:rsidR="00C13C75">
        <w:rPr>
          <w:noProof/>
        </w:rPr>
        <w:t> </w:t>
      </w:r>
      <w:r w:rsidR="00C13C75" w:rsidRPr="00853D04">
        <w:rPr>
          <w:noProof/>
        </w:rPr>
        <w:t>ram</w:t>
      </w:r>
      <w:r w:rsidRPr="00853D04">
        <w:rPr>
          <w:noProof/>
        </w:rPr>
        <w:t>ach odpowiedniego działu WRF lub zastosowania specjalnych instrumentów zdefiniowanych</w:t>
      </w:r>
      <w:r w:rsidR="00C13C75" w:rsidRPr="00853D04">
        <w:rPr>
          <w:noProof/>
        </w:rPr>
        <w:t xml:space="preserve"> w</w:t>
      </w:r>
      <w:r w:rsidR="00C13C75">
        <w:rPr>
          <w:noProof/>
        </w:rPr>
        <w:t> </w:t>
      </w:r>
      <w:r w:rsidR="00C13C75" w:rsidRPr="00853D04">
        <w:rPr>
          <w:noProof/>
        </w:rPr>
        <w:t>roz</w:t>
      </w:r>
      <w:r w:rsidRPr="00853D04">
        <w:rPr>
          <w:noProof/>
        </w:rPr>
        <w:t>porządzeniu</w:t>
      </w:r>
      <w:r w:rsidR="00C13C75" w:rsidRPr="00853D04">
        <w:rPr>
          <w:noProof/>
        </w:rPr>
        <w:t xml:space="preserve"> w</w:t>
      </w:r>
      <w:r w:rsidR="00C13C75">
        <w:rPr>
          <w:noProof/>
        </w:rPr>
        <w:t> </w:t>
      </w:r>
      <w:r w:rsidR="00C13C75" w:rsidRPr="00853D04">
        <w:rPr>
          <w:noProof/>
        </w:rPr>
        <w:t>spr</w:t>
      </w:r>
      <w:r w:rsidRPr="00853D04">
        <w:rPr>
          <w:noProof/>
        </w:rPr>
        <w:t>awie WRF.</w:t>
      </w:r>
    </w:p>
    <w:p w14:paraId="51A2D9AC" w14:textId="75B5C823" w:rsidR="00BE7E05" w:rsidRPr="00853D04" w:rsidRDefault="00BE7E05">
      <w:pPr>
        <w:pStyle w:val="Text1"/>
        <w:pBdr>
          <w:top w:val="single" w:sz="4" w:space="1" w:color="auto"/>
          <w:left w:val="single" w:sz="4" w:space="4" w:color="auto"/>
          <w:bottom w:val="single" w:sz="4" w:space="1" w:color="auto"/>
          <w:right w:val="single" w:sz="4" w:space="4" w:color="auto"/>
        </w:pBdr>
        <w:rPr>
          <w:noProof/>
          <w:sz w:val="20"/>
        </w:rPr>
      </w:pPr>
      <w:r w:rsidRPr="00853D04">
        <w:rPr>
          <w:noProof/>
          <w:sz w:val="20"/>
        </w:rPr>
        <w:t>Należy wyjaśnić, który wariant jest konieczny, określając działy</w:t>
      </w:r>
      <w:r w:rsidR="00C13C75" w:rsidRPr="00853D04">
        <w:rPr>
          <w:noProof/>
          <w:sz w:val="20"/>
        </w:rPr>
        <w:t xml:space="preserve"> i</w:t>
      </w:r>
      <w:r w:rsidR="00C13C75">
        <w:rPr>
          <w:noProof/>
          <w:sz w:val="20"/>
        </w:rPr>
        <w:t> </w:t>
      </w:r>
      <w:r w:rsidR="00C13C75" w:rsidRPr="00853D04">
        <w:rPr>
          <w:noProof/>
          <w:sz w:val="20"/>
        </w:rPr>
        <w:t>lin</w:t>
      </w:r>
      <w:r w:rsidRPr="00853D04">
        <w:rPr>
          <w:noProof/>
          <w:sz w:val="20"/>
        </w:rPr>
        <w:t>ie budżetowe, których ma dotyczyć, odpowiadające im kwoty oraz proponowane instrumenty, które należy zastosować.</w:t>
      </w:r>
    </w:p>
    <w:p w14:paraId="6F857B77" w14:textId="77777777" w:rsidR="00BE7E05" w:rsidRPr="00853D04" w:rsidRDefault="00BE7E05" w:rsidP="00F66EBA">
      <w:pPr>
        <w:pStyle w:val="ListDash1"/>
        <w:rPr>
          <w:noProof/>
        </w:rPr>
      </w:pPr>
      <w:r w:rsidRPr="00853D04">
        <w:rPr>
          <w:noProof/>
        </w:rPr>
        <w:t>¨</w:t>
      </w:r>
      <w:r w:rsidRPr="00853D04">
        <w:rPr>
          <w:noProof/>
        </w:rPr>
        <w:tab/>
        <w:t>wymaga rewizji WRF.</w:t>
      </w:r>
    </w:p>
    <w:p w14:paraId="6EDE7838" w14:textId="77777777" w:rsidR="00BE7E05" w:rsidRPr="00853D04" w:rsidRDefault="00BE7E05">
      <w:pPr>
        <w:pStyle w:val="Text1"/>
        <w:pBdr>
          <w:top w:val="single" w:sz="4" w:space="1" w:color="auto"/>
          <w:left w:val="single" w:sz="4" w:space="4" w:color="auto"/>
          <w:bottom w:val="single" w:sz="4" w:space="1" w:color="auto"/>
          <w:right w:val="single" w:sz="4" w:space="4" w:color="auto"/>
        </w:pBdr>
        <w:rPr>
          <w:noProof/>
          <w:sz w:val="20"/>
        </w:rPr>
      </w:pPr>
      <w:r w:rsidRPr="00853D04">
        <w:rPr>
          <w:noProof/>
          <w:sz w:val="20"/>
        </w:rPr>
        <w:t>Należy wyjaśnić, który wariant jest konieczny, określając linie budżetowe, których ma on dotyczyć, oraz podając odpowiednie kwoty.</w:t>
      </w:r>
    </w:p>
    <w:p w14:paraId="67B6DD13" w14:textId="0B7B87B1" w:rsidR="00BE7E05" w:rsidRPr="00853D04" w:rsidRDefault="00BE7E05">
      <w:pPr>
        <w:pStyle w:val="ManualHeading3"/>
        <w:rPr>
          <w:noProof/>
        </w:rPr>
      </w:pPr>
      <w:bookmarkStart w:id="68" w:name="_Toc514938058"/>
      <w:bookmarkStart w:id="69" w:name="_Toc520485056"/>
      <w:r w:rsidRPr="00853D04">
        <w:rPr>
          <w:noProof/>
        </w:rPr>
        <w:t>3.2.5.</w:t>
      </w:r>
      <w:r w:rsidRPr="00853D04">
        <w:rPr>
          <w:noProof/>
        </w:rPr>
        <w:tab/>
        <w:t>Udział osób trzecich</w:t>
      </w:r>
      <w:r w:rsidR="00C13C75" w:rsidRPr="00853D04">
        <w:rPr>
          <w:noProof/>
        </w:rPr>
        <w:t xml:space="preserve"> w</w:t>
      </w:r>
      <w:r w:rsidR="00C13C75">
        <w:rPr>
          <w:noProof/>
        </w:rPr>
        <w:t> </w:t>
      </w:r>
      <w:r w:rsidR="00C13C75" w:rsidRPr="00853D04">
        <w:rPr>
          <w:noProof/>
        </w:rPr>
        <w:t>fin</w:t>
      </w:r>
      <w:r w:rsidRPr="00853D04">
        <w:rPr>
          <w:noProof/>
        </w:rPr>
        <w:t>ansowaniu</w:t>
      </w:r>
      <w:bookmarkEnd w:id="68"/>
      <w:bookmarkEnd w:id="69"/>
      <w:r w:rsidRPr="00853D04">
        <w:rPr>
          <w:noProof/>
        </w:rPr>
        <w:t xml:space="preserve"> </w:t>
      </w:r>
    </w:p>
    <w:p w14:paraId="6D4C0EEC" w14:textId="77777777" w:rsidR="00BE7E05" w:rsidRPr="00853D04" w:rsidRDefault="00BE7E05">
      <w:pPr>
        <w:pStyle w:val="Text1"/>
        <w:rPr>
          <w:noProof/>
        </w:rPr>
      </w:pPr>
      <w:r w:rsidRPr="00853D04">
        <w:rPr>
          <w:noProof/>
        </w:rPr>
        <w:t>Wniosek/inicjatywa:</w:t>
      </w:r>
    </w:p>
    <w:p w14:paraId="19E55897" w14:textId="77777777" w:rsidR="00BE7E05" w:rsidRPr="00C13C75" w:rsidRDefault="00137C1D" w:rsidP="00F66EBA">
      <w:pPr>
        <w:pStyle w:val="ListDash1"/>
        <w:rPr>
          <w:noProof/>
        </w:rPr>
      </w:pPr>
      <w:r w:rsidRPr="00853D04">
        <w:rPr>
          <w:noProof/>
        </w:rPr>
        <w:t>X</w:t>
      </w:r>
      <w:r w:rsidRPr="00853D04">
        <w:rPr>
          <w:noProof/>
        </w:rPr>
        <w:tab/>
        <w:t>nie przewiduje współfinansowania ze strony osób trzecich</w:t>
      </w:r>
    </w:p>
    <w:p w14:paraId="0E845F37" w14:textId="60F67F0B" w:rsidR="00BE7E05" w:rsidRPr="00853D04" w:rsidRDefault="00137C1D" w:rsidP="00F66EBA">
      <w:pPr>
        <w:pStyle w:val="ListDash1"/>
        <w:rPr>
          <w:noProof/>
        </w:rPr>
      </w:pPr>
      <w:r w:rsidRPr="00C13C75">
        <w:rPr>
          <w:noProof/>
        </w:rPr>
        <w:t>p</w:t>
      </w:r>
      <w:r w:rsidRPr="00853D04">
        <w:rPr>
          <w:noProof/>
        </w:rPr>
        <w:t>rzewiduje współfinansowanie ze strony osób trzecich szacowane zgodnie</w:t>
      </w:r>
      <w:r w:rsidR="00C13C75" w:rsidRPr="00853D04">
        <w:rPr>
          <w:noProof/>
        </w:rPr>
        <w:t xml:space="preserve"> z</w:t>
      </w:r>
      <w:r w:rsidR="00C13C75">
        <w:rPr>
          <w:noProof/>
        </w:rPr>
        <w:t> </w:t>
      </w:r>
      <w:r w:rsidR="00C13C75" w:rsidRPr="00853D04">
        <w:rPr>
          <w:noProof/>
        </w:rPr>
        <w:t>pon</w:t>
      </w:r>
      <w:r w:rsidRPr="00853D04">
        <w:rPr>
          <w:noProof/>
        </w:rPr>
        <w:t>iższymi szacunkami:</w:t>
      </w:r>
    </w:p>
    <w:p w14:paraId="074589F7" w14:textId="76229A0F" w:rsidR="00BE7E05" w:rsidRPr="00853D04" w:rsidRDefault="00BE7E05">
      <w:pPr>
        <w:jc w:val="right"/>
        <w:rPr>
          <w:noProof/>
          <w:sz w:val="20"/>
        </w:rPr>
      </w:pPr>
      <w:r w:rsidRPr="00853D04">
        <w:rPr>
          <w:noProof/>
          <w:sz w:val="20"/>
        </w:rPr>
        <w:t>środki</w:t>
      </w:r>
      <w:r w:rsidR="00C13C75" w:rsidRPr="00853D04">
        <w:rPr>
          <w:noProof/>
          <w:sz w:val="20"/>
        </w:rPr>
        <w:t xml:space="preserve"> w</w:t>
      </w:r>
      <w:r w:rsidR="00C13C75">
        <w:rPr>
          <w:noProof/>
          <w:sz w:val="20"/>
        </w:rPr>
        <w:t> </w:t>
      </w:r>
      <w:r w:rsidR="00C13C75" w:rsidRPr="00853D04">
        <w:rPr>
          <w:noProof/>
          <w:sz w:val="20"/>
        </w:rPr>
        <w:t>mln</w:t>
      </w:r>
      <w:r w:rsidRPr="00853D04">
        <w:rPr>
          <w:noProof/>
          <w:sz w:val="20"/>
        </w:rPr>
        <w:t xml:space="preserve"> EUR (do trzech miejsc po przecinku)</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D71986" w:rsidRPr="00853D04" w14:paraId="12CE59FC" w14:textId="77777777" w:rsidTr="6E804B18">
        <w:trPr>
          <w:cantSplit/>
        </w:trPr>
        <w:tc>
          <w:tcPr>
            <w:tcW w:w="2340" w:type="dxa"/>
          </w:tcPr>
          <w:p w14:paraId="11CA7910" w14:textId="77777777" w:rsidR="00BE7E05" w:rsidRPr="00853D04" w:rsidRDefault="00BE7E05">
            <w:pPr>
              <w:spacing w:before="60" w:after="60"/>
              <w:rPr>
                <w:noProof/>
                <w:sz w:val="20"/>
              </w:rPr>
            </w:pPr>
          </w:p>
        </w:tc>
        <w:tc>
          <w:tcPr>
            <w:tcW w:w="964" w:type="dxa"/>
            <w:vAlign w:val="center"/>
          </w:tcPr>
          <w:p w14:paraId="1F93145C" w14:textId="77777777" w:rsidR="00BE7E05" w:rsidRPr="00853D04" w:rsidRDefault="00BE7E05">
            <w:pPr>
              <w:jc w:val="center"/>
              <w:rPr>
                <w:noProof/>
                <w:sz w:val="20"/>
              </w:rPr>
            </w:pPr>
            <w:r w:rsidRPr="00853D04">
              <w:rPr>
                <w:noProof/>
                <w:sz w:val="20"/>
              </w:rPr>
              <w:t>Rok</w:t>
            </w:r>
            <w:r w:rsidRPr="00853D04">
              <w:rPr>
                <w:noProof/>
              </w:rPr>
              <w:t xml:space="preserve"> </w:t>
            </w:r>
            <w:r w:rsidRPr="00853D04">
              <w:rPr>
                <w:noProof/>
              </w:rPr>
              <w:br/>
            </w:r>
            <w:r w:rsidRPr="00853D04">
              <w:rPr>
                <w:b/>
                <w:noProof/>
                <w:sz w:val="20"/>
              </w:rPr>
              <w:t>N</w:t>
            </w:r>
            <w:r w:rsidRPr="00853D04">
              <w:rPr>
                <w:rStyle w:val="FootnoteReference"/>
                <w:b/>
                <w:noProof/>
                <w:sz w:val="20"/>
              </w:rPr>
              <w:footnoteReference w:id="58"/>
            </w:r>
          </w:p>
        </w:tc>
        <w:tc>
          <w:tcPr>
            <w:tcW w:w="964" w:type="dxa"/>
            <w:vAlign w:val="center"/>
          </w:tcPr>
          <w:p w14:paraId="6880D414" w14:textId="77777777" w:rsidR="00BE7E05" w:rsidRPr="00853D04" w:rsidRDefault="00BE7E05">
            <w:pPr>
              <w:jc w:val="center"/>
              <w:rPr>
                <w:noProof/>
                <w:sz w:val="20"/>
              </w:rPr>
            </w:pPr>
            <w:r w:rsidRPr="00853D04">
              <w:rPr>
                <w:noProof/>
                <w:sz w:val="20"/>
              </w:rPr>
              <w:t>Rok</w:t>
            </w:r>
            <w:r w:rsidRPr="00853D04">
              <w:rPr>
                <w:noProof/>
              </w:rPr>
              <w:t xml:space="preserve"> </w:t>
            </w:r>
            <w:r w:rsidRPr="00853D04">
              <w:rPr>
                <w:noProof/>
              </w:rPr>
              <w:br/>
            </w:r>
            <w:r w:rsidRPr="00853D04">
              <w:rPr>
                <w:b/>
                <w:noProof/>
                <w:sz w:val="20"/>
              </w:rPr>
              <w:t>N+1</w:t>
            </w:r>
          </w:p>
        </w:tc>
        <w:tc>
          <w:tcPr>
            <w:tcW w:w="964" w:type="dxa"/>
            <w:vAlign w:val="center"/>
          </w:tcPr>
          <w:p w14:paraId="3154E81F" w14:textId="77777777" w:rsidR="00BE7E05" w:rsidRPr="00853D04" w:rsidRDefault="00BE7E05">
            <w:pPr>
              <w:jc w:val="center"/>
              <w:rPr>
                <w:noProof/>
                <w:sz w:val="20"/>
              </w:rPr>
            </w:pPr>
            <w:r w:rsidRPr="00853D04">
              <w:rPr>
                <w:noProof/>
                <w:sz w:val="20"/>
              </w:rPr>
              <w:t>Rok</w:t>
            </w:r>
            <w:r w:rsidRPr="00853D04">
              <w:rPr>
                <w:noProof/>
              </w:rPr>
              <w:t xml:space="preserve"> </w:t>
            </w:r>
            <w:r w:rsidRPr="00853D04">
              <w:rPr>
                <w:noProof/>
              </w:rPr>
              <w:br/>
            </w:r>
            <w:r w:rsidRPr="00853D04">
              <w:rPr>
                <w:b/>
                <w:noProof/>
                <w:sz w:val="20"/>
              </w:rPr>
              <w:t>N+2</w:t>
            </w:r>
          </w:p>
        </w:tc>
        <w:tc>
          <w:tcPr>
            <w:tcW w:w="964" w:type="dxa"/>
            <w:vAlign w:val="center"/>
          </w:tcPr>
          <w:p w14:paraId="2159B379" w14:textId="77777777" w:rsidR="00BE7E05" w:rsidRPr="00853D04" w:rsidRDefault="00BE7E05">
            <w:pPr>
              <w:jc w:val="center"/>
              <w:rPr>
                <w:noProof/>
                <w:sz w:val="20"/>
              </w:rPr>
            </w:pPr>
            <w:r w:rsidRPr="00853D04">
              <w:rPr>
                <w:noProof/>
                <w:sz w:val="20"/>
              </w:rPr>
              <w:t>Rok</w:t>
            </w:r>
            <w:r w:rsidRPr="00853D04">
              <w:rPr>
                <w:noProof/>
              </w:rPr>
              <w:t xml:space="preserve"> </w:t>
            </w:r>
            <w:r w:rsidRPr="00853D04">
              <w:rPr>
                <w:noProof/>
              </w:rPr>
              <w:br/>
            </w:r>
            <w:r w:rsidRPr="00853D04">
              <w:rPr>
                <w:b/>
                <w:noProof/>
                <w:sz w:val="20"/>
              </w:rPr>
              <w:t>N+3</w:t>
            </w:r>
          </w:p>
        </w:tc>
        <w:tc>
          <w:tcPr>
            <w:tcW w:w="2892" w:type="dxa"/>
            <w:gridSpan w:val="3"/>
            <w:vAlign w:val="center"/>
          </w:tcPr>
          <w:p w14:paraId="0946E401" w14:textId="33CE5F28" w:rsidR="00BE7E05" w:rsidRPr="00853D04" w:rsidRDefault="00BE7E05">
            <w:pPr>
              <w:jc w:val="center"/>
              <w:rPr>
                <w:b/>
                <w:noProof/>
                <w:sz w:val="20"/>
              </w:rPr>
            </w:pPr>
            <w:r w:rsidRPr="00853D04">
              <w:rPr>
                <w:noProof/>
                <w:sz w:val="20"/>
              </w:rPr>
              <w:t xml:space="preserve">Wprowadzić taką liczbę kolumn dla poszczególnych lat, jaka jest niezbędna, by odzwierciedlić cały okres wpływu (por. </w:t>
            </w:r>
            <w:r w:rsidRPr="00C13C75">
              <w:rPr>
                <w:noProof/>
                <w:sz w:val="20"/>
              </w:rPr>
              <w:t>pkt</w:t>
            </w:r>
            <w:r w:rsidR="00C13C75" w:rsidRPr="00C13C75">
              <w:rPr>
                <w:noProof/>
                <w:sz w:val="20"/>
              </w:rPr>
              <w:t> </w:t>
            </w:r>
            <w:r w:rsidRPr="00C13C75">
              <w:rPr>
                <w:noProof/>
                <w:sz w:val="20"/>
              </w:rPr>
              <w:t>1</w:t>
            </w:r>
            <w:r w:rsidRPr="00853D04">
              <w:rPr>
                <w:noProof/>
                <w:sz w:val="20"/>
              </w:rPr>
              <w:t>.6)</w:t>
            </w:r>
          </w:p>
        </w:tc>
        <w:tc>
          <w:tcPr>
            <w:tcW w:w="1158" w:type="dxa"/>
            <w:vAlign w:val="center"/>
          </w:tcPr>
          <w:p w14:paraId="7FA5B2EE" w14:textId="77777777" w:rsidR="00BE7E05" w:rsidRPr="00853D04" w:rsidRDefault="00BE7E05">
            <w:pPr>
              <w:spacing w:before="60" w:after="60"/>
              <w:jc w:val="center"/>
              <w:rPr>
                <w:noProof/>
                <w:sz w:val="20"/>
              </w:rPr>
            </w:pPr>
            <w:r w:rsidRPr="00853D04">
              <w:rPr>
                <w:noProof/>
                <w:sz w:val="20"/>
              </w:rPr>
              <w:t>Ogółem</w:t>
            </w:r>
          </w:p>
        </w:tc>
      </w:tr>
      <w:tr w:rsidR="00D71986" w:rsidRPr="00853D04" w14:paraId="6D0AEA8A" w14:textId="77777777" w:rsidTr="6E804B18">
        <w:trPr>
          <w:cantSplit/>
        </w:trPr>
        <w:tc>
          <w:tcPr>
            <w:tcW w:w="2340" w:type="dxa"/>
          </w:tcPr>
          <w:p w14:paraId="115EE667" w14:textId="77777777" w:rsidR="00BE7E05" w:rsidRPr="00853D04" w:rsidRDefault="00BE7E05">
            <w:pPr>
              <w:rPr>
                <w:noProof/>
              </w:rPr>
            </w:pPr>
            <w:r w:rsidRPr="00853D04">
              <w:rPr>
                <w:noProof/>
                <w:sz w:val="20"/>
              </w:rPr>
              <w:t>Określić organ współfinansujący</w:t>
            </w:r>
            <w:r w:rsidRPr="00853D04">
              <w:rPr>
                <w:i/>
                <w:noProof/>
                <w:sz w:val="20"/>
              </w:rPr>
              <w:t xml:space="preserve"> </w:t>
            </w:r>
          </w:p>
        </w:tc>
        <w:tc>
          <w:tcPr>
            <w:tcW w:w="964" w:type="dxa"/>
            <w:vAlign w:val="center"/>
          </w:tcPr>
          <w:p w14:paraId="00B9A655" w14:textId="77777777" w:rsidR="00BE7E05" w:rsidRPr="00853D04" w:rsidRDefault="00BE7E05">
            <w:pPr>
              <w:spacing w:before="60" w:after="60"/>
              <w:jc w:val="center"/>
              <w:rPr>
                <w:noProof/>
                <w:sz w:val="20"/>
              </w:rPr>
            </w:pPr>
          </w:p>
        </w:tc>
        <w:tc>
          <w:tcPr>
            <w:tcW w:w="964" w:type="dxa"/>
            <w:vAlign w:val="center"/>
          </w:tcPr>
          <w:p w14:paraId="6D2EC519" w14:textId="77777777" w:rsidR="00BE7E05" w:rsidRPr="00853D04" w:rsidRDefault="00BE7E05">
            <w:pPr>
              <w:spacing w:before="60" w:after="60"/>
              <w:jc w:val="center"/>
              <w:rPr>
                <w:noProof/>
                <w:sz w:val="20"/>
              </w:rPr>
            </w:pPr>
          </w:p>
        </w:tc>
        <w:tc>
          <w:tcPr>
            <w:tcW w:w="964" w:type="dxa"/>
            <w:vAlign w:val="center"/>
          </w:tcPr>
          <w:p w14:paraId="364C2F18" w14:textId="77777777" w:rsidR="00BE7E05" w:rsidRPr="00853D04" w:rsidRDefault="00BE7E05">
            <w:pPr>
              <w:spacing w:before="60" w:after="60"/>
              <w:jc w:val="center"/>
              <w:rPr>
                <w:noProof/>
                <w:sz w:val="20"/>
              </w:rPr>
            </w:pPr>
          </w:p>
        </w:tc>
        <w:tc>
          <w:tcPr>
            <w:tcW w:w="964" w:type="dxa"/>
            <w:vAlign w:val="center"/>
          </w:tcPr>
          <w:p w14:paraId="23B77706" w14:textId="77777777" w:rsidR="00BE7E05" w:rsidRPr="00853D04" w:rsidRDefault="00BE7E05">
            <w:pPr>
              <w:spacing w:before="60" w:after="60"/>
              <w:jc w:val="center"/>
              <w:rPr>
                <w:noProof/>
                <w:sz w:val="20"/>
              </w:rPr>
            </w:pPr>
          </w:p>
        </w:tc>
        <w:tc>
          <w:tcPr>
            <w:tcW w:w="964" w:type="dxa"/>
            <w:vAlign w:val="center"/>
          </w:tcPr>
          <w:p w14:paraId="505DE9B6" w14:textId="77777777" w:rsidR="00BE7E05" w:rsidRPr="00853D04" w:rsidRDefault="00BE7E05">
            <w:pPr>
              <w:spacing w:before="60" w:after="60"/>
              <w:jc w:val="center"/>
              <w:rPr>
                <w:noProof/>
                <w:sz w:val="20"/>
              </w:rPr>
            </w:pPr>
          </w:p>
        </w:tc>
        <w:tc>
          <w:tcPr>
            <w:tcW w:w="964" w:type="dxa"/>
            <w:vAlign w:val="center"/>
          </w:tcPr>
          <w:p w14:paraId="3DDBBE5D" w14:textId="77777777" w:rsidR="00BE7E05" w:rsidRPr="00853D04" w:rsidRDefault="00BE7E05">
            <w:pPr>
              <w:spacing w:before="60" w:after="60"/>
              <w:jc w:val="center"/>
              <w:rPr>
                <w:noProof/>
                <w:sz w:val="20"/>
              </w:rPr>
            </w:pPr>
          </w:p>
        </w:tc>
        <w:tc>
          <w:tcPr>
            <w:tcW w:w="964" w:type="dxa"/>
            <w:vAlign w:val="center"/>
          </w:tcPr>
          <w:p w14:paraId="3222C80F" w14:textId="77777777" w:rsidR="00BE7E05" w:rsidRPr="00853D04" w:rsidRDefault="00BE7E05">
            <w:pPr>
              <w:spacing w:before="60" w:after="60"/>
              <w:jc w:val="center"/>
              <w:rPr>
                <w:noProof/>
                <w:sz w:val="20"/>
              </w:rPr>
            </w:pPr>
          </w:p>
        </w:tc>
        <w:tc>
          <w:tcPr>
            <w:tcW w:w="1158" w:type="dxa"/>
            <w:vAlign w:val="center"/>
          </w:tcPr>
          <w:p w14:paraId="7B61ABDB" w14:textId="77777777" w:rsidR="00BE7E05" w:rsidRPr="00853D04" w:rsidRDefault="00BE7E05">
            <w:pPr>
              <w:spacing w:before="60" w:after="60"/>
              <w:jc w:val="center"/>
              <w:rPr>
                <w:noProof/>
                <w:sz w:val="20"/>
              </w:rPr>
            </w:pPr>
          </w:p>
        </w:tc>
      </w:tr>
      <w:tr w:rsidR="00D71986" w:rsidRPr="00853D04" w14:paraId="34282E1B" w14:textId="77777777" w:rsidTr="6E804B18">
        <w:trPr>
          <w:cantSplit/>
        </w:trPr>
        <w:tc>
          <w:tcPr>
            <w:tcW w:w="2340" w:type="dxa"/>
          </w:tcPr>
          <w:p w14:paraId="56D4A53F" w14:textId="77777777" w:rsidR="00BE7E05" w:rsidRPr="00853D04" w:rsidRDefault="00BE7E05">
            <w:pPr>
              <w:spacing w:before="60" w:after="60"/>
              <w:jc w:val="left"/>
              <w:rPr>
                <w:noProof/>
                <w:sz w:val="20"/>
              </w:rPr>
            </w:pPr>
            <w:r w:rsidRPr="00853D04">
              <w:rPr>
                <w:noProof/>
                <w:sz w:val="20"/>
              </w:rPr>
              <w:t xml:space="preserve">OGÓŁEM środki objęte współfinansowaniem </w:t>
            </w:r>
          </w:p>
        </w:tc>
        <w:tc>
          <w:tcPr>
            <w:tcW w:w="964" w:type="dxa"/>
            <w:vAlign w:val="center"/>
          </w:tcPr>
          <w:p w14:paraId="36D43821" w14:textId="77777777" w:rsidR="00BE7E05" w:rsidRPr="00853D04" w:rsidRDefault="00BE7E05">
            <w:pPr>
              <w:spacing w:before="60" w:after="60"/>
              <w:jc w:val="center"/>
              <w:rPr>
                <w:noProof/>
                <w:sz w:val="20"/>
              </w:rPr>
            </w:pPr>
          </w:p>
        </w:tc>
        <w:tc>
          <w:tcPr>
            <w:tcW w:w="964" w:type="dxa"/>
            <w:vAlign w:val="center"/>
          </w:tcPr>
          <w:p w14:paraId="067A2674" w14:textId="77777777" w:rsidR="00BE7E05" w:rsidRPr="00853D04" w:rsidRDefault="00BE7E05">
            <w:pPr>
              <w:spacing w:before="60" w:after="60"/>
              <w:jc w:val="center"/>
              <w:rPr>
                <w:noProof/>
                <w:sz w:val="20"/>
              </w:rPr>
            </w:pPr>
          </w:p>
        </w:tc>
        <w:tc>
          <w:tcPr>
            <w:tcW w:w="964" w:type="dxa"/>
            <w:vAlign w:val="center"/>
          </w:tcPr>
          <w:p w14:paraId="1721E92A" w14:textId="77777777" w:rsidR="00BE7E05" w:rsidRPr="00853D04" w:rsidRDefault="00BE7E05">
            <w:pPr>
              <w:spacing w:before="60" w:after="60"/>
              <w:jc w:val="center"/>
              <w:rPr>
                <w:noProof/>
                <w:sz w:val="20"/>
              </w:rPr>
            </w:pPr>
          </w:p>
        </w:tc>
        <w:tc>
          <w:tcPr>
            <w:tcW w:w="964" w:type="dxa"/>
            <w:vAlign w:val="center"/>
          </w:tcPr>
          <w:p w14:paraId="0AFAAC81" w14:textId="77777777" w:rsidR="00BE7E05" w:rsidRPr="00853D04" w:rsidRDefault="00BE7E05">
            <w:pPr>
              <w:spacing w:before="60" w:after="60"/>
              <w:jc w:val="center"/>
              <w:rPr>
                <w:noProof/>
                <w:sz w:val="20"/>
              </w:rPr>
            </w:pPr>
          </w:p>
        </w:tc>
        <w:tc>
          <w:tcPr>
            <w:tcW w:w="964" w:type="dxa"/>
            <w:vAlign w:val="center"/>
          </w:tcPr>
          <w:p w14:paraId="4DB885D6" w14:textId="77777777" w:rsidR="00BE7E05" w:rsidRPr="00853D04" w:rsidRDefault="00BE7E05">
            <w:pPr>
              <w:spacing w:before="60" w:after="60"/>
              <w:jc w:val="center"/>
              <w:rPr>
                <w:noProof/>
                <w:sz w:val="20"/>
              </w:rPr>
            </w:pPr>
          </w:p>
        </w:tc>
        <w:tc>
          <w:tcPr>
            <w:tcW w:w="964" w:type="dxa"/>
            <w:vAlign w:val="center"/>
          </w:tcPr>
          <w:p w14:paraId="3AF34CB1" w14:textId="77777777" w:rsidR="00BE7E05" w:rsidRPr="00853D04" w:rsidRDefault="00BE7E05">
            <w:pPr>
              <w:spacing w:before="60" w:after="60"/>
              <w:jc w:val="center"/>
              <w:rPr>
                <w:noProof/>
                <w:sz w:val="20"/>
              </w:rPr>
            </w:pPr>
          </w:p>
        </w:tc>
        <w:tc>
          <w:tcPr>
            <w:tcW w:w="964" w:type="dxa"/>
            <w:vAlign w:val="center"/>
          </w:tcPr>
          <w:p w14:paraId="22D1F5FF" w14:textId="77777777" w:rsidR="00BE7E05" w:rsidRPr="00853D04" w:rsidRDefault="00BE7E05">
            <w:pPr>
              <w:spacing w:before="60" w:after="60"/>
              <w:jc w:val="center"/>
              <w:rPr>
                <w:noProof/>
                <w:sz w:val="20"/>
              </w:rPr>
            </w:pPr>
          </w:p>
        </w:tc>
        <w:tc>
          <w:tcPr>
            <w:tcW w:w="1158" w:type="dxa"/>
            <w:vAlign w:val="center"/>
          </w:tcPr>
          <w:p w14:paraId="6BD70D5A" w14:textId="77777777" w:rsidR="00BE7E05" w:rsidRPr="00853D04" w:rsidRDefault="00BE7E05">
            <w:pPr>
              <w:spacing w:before="60" w:after="60"/>
              <w:jc w:val="center"/>
              <w:rPr>
                <w:noProof/>
                <w:sz w:val="20"/>
              </w:rPr>
            </w:pPr>
          </w:p>
        </w:tc>
      </w:tr>
    </w:tbl>
    <w:p w14:paraId="047D97C1" w14:textId="77777777" w:rsidR="00BE7E05" w:rsidRPr="00853D04" w:rsidRDefault="00BE7E05">
      <w:pPr>
        <w:rPr>
          <w:noProof/>
        </w:rPr>
      </w:pPr>
      <w:r w:rsidRPr="00853D04">
        <w:rPr>
          <w:noProof/>
        </w:rPr>
        <w:t xml:space="preserve"> </w:t>
      </w:r>
      <w:r w:rsidRPr="00853D04">
        <w:rPr>
          <w:noProof/>
        </w:rPr>
        <w:br/>
      </w:r>
    </w:p>
    <w:p w14:paraId="613387B3" w14:textId="77777777" w:rsidR="00BE7E05" w:rsidRPr="00853D04" w:rsidRDefault="00BE7E05">
      <w:pPr>
        <w:pStyle w:val="ManualHeading2"/>
        <w:rPr>
          <w:noProof/>
        </w:rPr>
      </w:pPr>
      <w:r w:rsidRPr="00853D04">
        <w:rPr>
          <w:noProof/>
        </w:rPr>
        <w:br w:type="page"/>
      </w:r>
      <w:bookmarkStart w:id="70" w:name="_Toc514938059"/>
      <w:bookmarkStart w:id="71" w:name="_Toc520485057"/>
      <w:r w:rsidRPr="00853D04">
        <w:rPr>
          <w:noProof/>
        </w:rPr>
        <w:t>3.3.</w:t>
      </w:r>
      <w:r w:rsidRPr="00853D04">
        <w:rPr>
          <w:noProof/>
        </w:rPr>
        <w:tab/>
        <w:t>Szacunkowy wpływ na dochody</w:t>
      </w:r>
      <w:bookmarkEnd w:id="70"/>
      <w:bookmarkEnd w:id="71"/>
      <w:r w:rsidRPr="00853D04">
        <w:rPr>
          <w:noProof/>
        </w:rPr>
        <w:t xml:space="preserve"> </w:t>
      </w:r>
    </w:p>
    <w:p w14:paraId="10E9CDE6" w14:textId="77777777" w:rsidR="00BE7E05" w:rsidRPr="00853D04" w:rsidRDefault="00137C1D" w:rsidP="00F66EBA">
      <w:pPr>
        <w:pStyle w:val="ListDash1"/>
        <w:rPr>
          <w:noProof/>
        </w:rPr>
      </w:pPr>
      <w:r w:rsidRPr="00853D04">
        <w:rPr>
          <w:noProof/>
        </w:rPr>
        <w:t>X</w:t>
      </w:r>
      <w:r w:rsidRPr="00853D04">
        <w:rPr>
          <w:noProof/>
        </w:rPr>
        <w:tab/>
        <w:t>Wniosek/inicjatywa nie ma wpływu finansowego na dochody</w:t>
      </w:r>
    </w:p>
    <w:p w14:paraId="748CAB4C" w14:textId="77777777" w:rsidR="00BE7E05" w:rsidRPr="00853D04" w:rsidRDefault="00BE7E05" w:rsidP="00F66EBA">
      <w:pPr>
        <w:pStyle w:val="ListDash1"/>
        <w:rPr>
          <w:noProof/>
        </w:rPr>
      </w:pPr>
      <w:r w:rsidRPr="00853D04">
        <w:rPr>
          <w:noProof/>
        </w:rPr>
        <w:tab/>
        <w:t>Wniosek/inicjatywa ma wpływ finansowy określony poniżej:</w:t>
      </w:r>
    </w:p>
    <w:p w14:paraId="53946C08" w14:textId="77777777" w:rsidR="00BE7E05" w:rsidRPr="00853D04" w:rsidRDefault="00BE7E05" w:rsidP="00F66EBA">
      <w:pPr>
        <w:pStyle w:val="ListNumberLevel3"/>
        <w:rPr>
          <w:noProof/>
        </w:rPr>
      </w:pPr>
      <w:r w:rsidRPr="00853D04">
        <w:rPr>
          <w:noProof/>
        </w:rPr>
        <w:t>¨</w:t>
      </w:r>
      <w:r w:rsidRPr="00853D04">
        <w:rPr>
          <w:noProof/>
        </w:rPr>
        <w:tab/>
        <w:t xml:space="preserve">wpływ na zasoby własne </w:t>
      </w:r>
    </w:p>
    <w:p w14:paraId="00015EA1" w14:textId="77777777" w:rsidR="00BE7E05" w:rsidRPr="00853D04" w:rsidRDefault="00BE7E05" w:rsidP="00F66EBA">
      <w:pPr>
        <w:pStyle w:val="ListNumberLevel3"/>
        <w:rPr>
          <w:noProof/>
        </w:rPr>
      </w:pPr>
      <w:r w:rsidRPr="00853D04">
        <w:rPr>
          <w:noProof/>
        </w:rPr>
        <w:t>¨</w:t>
      </w:r>
      <w:r w:rsidRPr="00853D04">
        <w:rPr>
          <w:noProof/>
        </w:rPr>
        <w:tab/>
        <w:t>wpływ na dochody inne</w:t>
      </w:r>
    </w:p>
    <w:p w14:paraId="4F97F34B" w14:textId="77777777" w:rsidR="00BE7E05" w:rsidRPr="00853D04" w:rsidRDefault="00BE7E05" w:rsidP="00F66EBA">
      <w:pPr>
        <w:pStyle w:val="ListNumberLevel3"/>
        <w:rPr>
          <w:noProof/>
        </w:rPr>
      </w:pPr>
      <w:r w:rsidRPr="00853D04">
        <w:rPr>
          <w:noProof/>
        </w:rPr>
        <w:t>Wskazać, czy dochody są przypisane do linii budżetowej po stronie wydatków</w:t>
      </w:r>
      <w:r w:rsidRPr="00853D04">
        <w:rPr>
          <w:noProof/>
        </w:rPr>
        <w:tab/>
      </w:r>
    </w:p>
    <w:p w14:paraId="135D75EB" w14:textId="3506E6BB" w:rsidR="00BE7E05" w:rsidRPr="00853D04" w:rsidRDefault="00C13C75">
      <w:pPr>
        <w:ind w:left="4320"/>
        <w:rPr>
          <w:i/>
          <w:noProof/>
          <w:sz w:val="20"/>
        </w:rPr>
      </w:pPr>
      <w:r w:rsidRPr="00853D04">
        <w:rPr>
          <w:noProof/>
        </w:rPr>
        <w:t>w</w:t>
      </w:r>
      <w:r>
        <w:rPr>
          <w:noProof/>
        </w:rPr>
        <w:t> </w:t>
      </w:r>
      <w:r w:rsidRPr="00853D04">
        <w:rPr>
          <w:noProof/>
        </w:rPr>
        <w:t>mln</w:t>
      </w:r>
      <w:r w:rsidR="00BE7E05" w:rsidRPr="00853D04">
        <w:rPr>
          <w:noProof/>
        </w:rPr>
        <w:t xml:space="preserve"> EUR (do trzech miejsc po przecinku)</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D71986" w:rsidRPr="00853D04" w14:paraId="7C1A7582" w14:textId="77777777" w:rsidTr="6E804B18">
        <w:trPr>
          <w:trHeight w:val="388"/>
        </w:trPr>
        <w:tc>
          <w:tcPr>
            <w:tcW w:w="2144" w:type="dxa"/>
            <w:vMerge w:val="restart"/>
            <w:vAlign w:val="center"/>
          </w:tcPr>
          <w:p w14:paraId="03816867" w14:textId="77777777" w:rsidR="00BE7E05" w:rsidRPr="00853D04" w:rsidRDefault="00BE7E05">
            <w:pPr>
              <w:spacing w:before="40" w:after="40"/>
              <w:rPr>
                <w:noProof/>
                <w:sz w:val="18"/>
              </w:rPr>
            </w:pPr>
            <w:r w:rsidRPr="00853D04">
              <w:rPr>
                <w:noProof/>
                <w:sz w:val="18"/>
              </w:rPr>
              <w:t>Linia budżetowa po stronie dochodów</w:t>
            </w:r>
          </w:p>
        </w:tc>
        <w:tc>
          <w:tcPr>
            <w:tcW w:w="1325" w:type="dxa"/>
            <w:vMerge w:val="restart"/>
            <w:vAlign w:val="center"/>
          </w:tcPr>
          <w:p w14:paraId="168EFB75" w14:textId="6734EEFC" w:rsidR="00BE7E05" w:rsidRPr="00853D04" w:rsidRDefault="00BE7E05">
            <w:pPr>
              <w:jc w:val="center"/>
              <w:rPr>
                <w:noProof/>
                <w:sz w:val="18"/>
              </w:rPr>
            </w:pPr>
            <w:r w:rsidRPr="00853D04">
              <w:rPr>
                <w:noProof/>
                <w:sz w:val="18"/>
              </w:rPr>
              <w:t>Środki zapisane</w:t>
            </w:r>
            <w:r w:rsidR="00C13C75" w:rsidRPr="00853D04">
              <w:rPr>
                <w:noProof/>
                <w:sz w:val="18"/>
              </w:rPr>
              <w:t xml:space="preserve"> w</w:t>
            </w:r>
            <w:r w:rsidR="00C13C75">
              <w:rPr>
                <w:noProof/>
                <w:sz w:val="18"/>
              </w:rPr>
              <w:t> </w:t>
            </w:r>
            <w:r w:rsidR="00C13C75" w:rsidRPr="00853D04">
              <w:rPr>
                <w:noProof/>
                <w:sz w:val="18"/>
              </w:rPr>
              <w:t>bud</w:t>
            </w:r>
            <w:r w:rsidRPr="00853D04">
              <w:rPr>
                <w:noProof/>
                <w:sz w:val="18"/>
              </w:rPr>
              <w:t>żecie na bieżący rok budżetowy</w:t>
            </w:r>
          </w:p>
        </w:tc>
        <w:tc>
          <w:tcPr>
            <w:tcW w:w="7151" w:type="dxa"/>
            <w:gridSpan w:val="7"/>
            <w:vAlign w:val="center"/>
          </w:tcPr>
          <w:p w14:paraId="06516849" w14:textId="77777777" w:rsidR="00BE7E05" w:rsidRPr="00853D04" w:rsidRDefault="00BE7E05">
            <w:pPr>
              <w:jc w:val="center"/>
              <w:rPr>
                <w:noProof/>
                <w:sz w:val="18"/>
              </w:rPr>
            </w:pPr>
            <w:r w:rsidRPr="00853D04">
              <w:rPr>
                <w:noProof/>
                <w:sz w:val="18"/>
              </w:rPr>
              <w:t>Wpływ wniosku/inicjatywy</w:t>
            </w:r>
            <w:r w:rsidRPr="00853D04">
              <w:rPr>
                <w:rStyle w:val="FootnoteReference"/>
                <w:noProof/>
                <w:sz w:val="18"/>
              </w:rPr>
              <w:footnoteReference w:id="59"/>
            </w:r>
          </w:p>
        </w:tc>
      </w:tr>
      <w:tr w:rsidR="00D71986" w:rsidRPr="00853D04" w14:paraId="62D3866D" w14:textId="77777777" w:rsidTr="6E804B18">
        <w:trPr>
          <w:trHeight w:val="388"/>
        </w:trPr>
        <w:tc>
          <w:tcPr>
            <w:tcW w:w="2144" w:type="dxa"/>
            <w:vMerge/>
          </w:tcPr>
          <w:p w14:paraId="1E1AF6E3" w14:textId="77777777" w:rsidR="00BE7E05" w:rsidRPr="00853D04" w:rsidRDefault="00BE7E05">
            <w:pPr>
              <w:spacing w:before="40" w:after="40"/>
              <w:rPr>
                <w:noProof/>
                <w:sz w:val="18"/>
              </w:rPr>
            </w:pPr>
          </w:p>
        </w:tc>
        <w:tc>
          <w:tcPr>
            <w:tcW w:w="1325" w:type="dxa"/>
            <w:vMerge/>
          </w:tcPr>
          <w:p w14:paraId="0B7E2348" w14:textId="77777777" w:rsidR="00BE7E05" w:rsidRPr="00853D04" w:rsidRDefault="00BE7E05">
            <w:pPr>
              <w:spacing w:beforeLines="40" w:before="96" w:afterLines="40" w:after="96"/>
              <w:rPr>
                <w:i/>
                <w:noProof/>
                <w:sz w:val="18"/>
              </w:rPr>
            </w:pPr>
          </w:p>
        </w:tc>
        <w:tc>
          <w:tcPr>
            <w:tcW w:w="1031" w:type="dxa"/>
            <w:vAlign w:val="center"/>
          </w:tcPr>
          <w:p w14:paraId="011C3935" w14:textId="77777777" w:rsidR="00BE7E05" w:rsidRPr="00853D04" w:rsidRDefault="00BE7E05">
            <w:pPr>
              <w:jc w:val="center"/>
              <w:rPr>
                <w:noProof/>
                <w:sz w:val="18"/>
              </w:rPr>
            </w:pPr>
            <w:r w:rsidRPr="00853D04">
              <w:rPr>
                <w:noProof/>
                <w:sz w:val="18"/>
              </w:rPr>
              <w:t>Rok</w:t>
            </w:r>
            <w:r w:rsidRPr="00853D04">
              <w:rPr>
                <w:noProof/>
              </w:rPr>
              <w:t xml:space="preserve"> </w:t>
            </w:r>
            <w:r w:rsidRPr="00853D04">
              <w:rPr>
                <w:noProof/>
              </w:rPr>
              <w:br/>
            </w:r>
            <w:r w:rsidRPr="00853D04">
              <w:rPr>
                <w:b/>
                <w:noProof/>
                <w:sz w:val="18"/>
              </w:rPr>
              <w:t>N</w:t>
            </w:r>
          </w:p>
        </w:tc>
        <w:tc>
          <w:tcPr>
            <w:tcW w:w="900" w:type="dxa"/>
            <w:vAlign w:val="center"/>
          </w:tcPr>
          <w:p w14:paraId="32CB54A3" w14:textId="77777777" w:rsidR="00BE7E05" w:rsidRPr="00853D04" w:rsidRDefault="00BE7E05">
            <w:pPr>
              <w:jc w:val="center"/>
              <w:rPr>
                <w:noProof/>
                <w:sz w:val="18"/>
              </w:rPr>
            </w:pPr>
            <w:r w:rsidRPr="00853D04">
              <w:rPr>
                <w:noProof/>
                <w:sz w:val="18"/>
              </w:rPr>
              <w:t>Rok</w:t>
            </w:r>
            <w:r w:rsidRPr="00853D04">
              <w:rPr>
                <w:noProof/>
              </w:rPr>
              <w:t xml:space="preserve"> </w:t>
            </w:r>
            <w:r w:rsidRPr="00853D04">
              <w:rPr>
                <w:noProof/>
              </w:rPr>
              <w:br/>
            </w:r>
            <w:r w:rsidRPr="00853D04">
              <w:rPr>
                <w:b/>
                <w:noProof/>
                <w:sz w:val="18"/>
              </w:rPr>
              <w:t>N+1</w:t>
            </w:r>
          </w:p>
        </w:tc>
        <w:tc>
          <w:tcPr>
            <w:tcW w:w="900" w:type="dxa"/>
            <w:vAlign w:val="center"/>
          </w:tcPr>
          <w:p w14:paraId="3D7AB567" w14:textId="77777777" w:rsidR="00BE7E05" w:rsidRPr="00853D04" w:rsidRDefault="00BE7E05">
            <w:pPr>
              <w:jc w:val="center"/>
              <w:rPr>
                <w:noProof/>
                <w:sz w:val="18"/>
              </w:rPr>
            </w:pPr>
            <w:r w:rsidRPr="00853D04">
              <w:rPr>
                <w:noProof/>
                <w:sz w:val="18"/>
              </w:rPr>
              <w:t>Rok</w:t>
            </w:r>
            <w:r w:rsidRPr="00853D04">
              <w:rPr>
                <w:noProof/>
              </w:rPr>
              <w:t xml:space="preserve"> </w:t>
            </w:r>
            <w:r w:rsidRPr="00853D04">
              <w:rPr>
                <w:noProof/>
              </w:rPr>
              <w:br/>
            </w:r>
            <w:r w:rsidRPr="00853D04">
              <w:rPr>
                <w:b/>
                <w:noProof/>
                <w:sz w:val="18"/>
              </w:rPr>
              <w:t>N+2</w:t>
            </w:r>
          </w:p>
        </w:tc>
        <w:tc>
          <w:tcPr>
            <w:tcW w:w="1080" w:type="dxa"/>
            <w:vAlign w:val="center"/>
          </w:tcPr>
          <w:p w14:paraId="278DFAA3" w14:textId="77777777" w:rsidR="00BE7E05" w:rsidRPr="00853D04" w:rsidRDefault="00BE7E05">
            <w:pPr>
              <w:jc w:val="center"/>
              <w:rPr>
                <w:noProof/>
                <w:sz w:val="18"/>
              </w:rPr>
            </w:pPr>
            <w:r w:rsidRPr="00853D04">
              <w:rPr>
                <w:noProof/>
                <w:sz w:val="18"/>
              </w:rPr>
              <w:t>Rok</w:t>
            </w:r>
            <w:r w:rsidRPr="00853D04">
              <w:rPr>
                <w:noProof/>
              </w:rPr>
              <w:t xml:space="preserve"> </w:t>
            </w:r>
            <w:r w:rsidRPr="00853D04">
              <w:rPr>
                <w:noProof/>
              </w:rPr>
              <w:br/>
            </w:r>
            <w:r w:rsidRPr="00853D04">
              <w:rPr>
                <w:b/>
                <w:noProof/>
                <w:sz w:val="18"/>
              </w:rPr>
              <w:t>N+3</w:t>
            </w:r>
          </w:p>
        </w:tc>
        <w:tc>
          <w:tcPr>
            <w:tcW w:w="3240" w:type="dxa"/>
            <w:gridSpan w:val="3"/>
            <w:vAlign w:val="center"/>
          </w:tcPr>
          <w:p w14:paraId="0CD502A7" w14:textId="2499FAEE" w:rsidR="00BE7E05" w:rsidRPr="00853D04" w:rsidRDefault="00BE7E05">
            <w:pPr>
              <w:jc w:val="center"/>
              <w:rPr>
                <w:b/>
                <w:noProof/>
                <w:sz w:val="18"/>
              </w:rPr>
            </w:pPr>
            <w:r w:rsidRPr="00853D04">
              <w:rPr>
                <w:noProof/>
                <w:sz w:val="18"/>
              </w:rPr>
              <w:t xml:space="preserve">Wprowadzić taką liczbę kolumn dla poszczególnych lat, jaka jest niezbędna, by odzwierciedlić cały okres wpływu (por. </w:t>
            </w:r>
            <w:r w:rsidRPr="00C13C75">
              <w:rPr>
                <w:noProof/>
                <w:sz w:val="18"/>
              </w:rPr>
              <w:t>pkt</w:t>
            </w:r>
            <w:r w:rsidR="00C13C75" w:rsidRPr="00C13C75">
              <w:rPr>
                <w:noProof/>
                <w:sz w:val="18"/>
              </w:rPr>
              <w:t> </w:t>
            </w:r>
            <w:r w:rsidRPr="00C13C75">
              <w:rPr>
                <w:noProof/>
                <w:sz w:val="18"/>
              </w:rPr>
              <w:t>1</w:t>
            </w:r>
            <w:r w:rsidRPr="00853D04">
              <w:rPr>
                <w:noProof/>
                <w:sz w:val="18"/>
              </w:rPr>
              <w:t>.6)</w:t>
            </w:r>
          </w:p>
        </w:tc>
      </w:tr>
      <w:tr w:rsidR="006D15B6" w:rsidRPr="00853D04" w14:paraId="65D232B6" w14:textId="77777777" w:rsidTr="6E804B18">
        <w:trPr>
          <w:trHeight w:val="388"/>
        </w:trPr>
        <w:tc>
          <w:tcPr>
            <w:tcW w:w="2144" w:type="dxa"/>
            <w:vAlign w:val="center"/>
          </w:tcPr>
          <w:p w14:paraId="67D8E18E" w14:textId="77777777" w:rsidR="00BE7E05" w:rsidRPr="00853D04" w:rsidRDefault="00BE7E05">
            <w:pPr>
              <w:spacing w:before="40" w:after="40"/>
              <w:rPr>
                <w:noProof/>
                <w:sz w:val="18"/>
              </w:rPr>
            </w:pPr>
            <w:r w:rsidRPr="00853D04">
              <w:rPr>
                <w:noProof/>
                <w:sz w:val="18"/>
              </w:rPr>
              <w:t>Artykuł ………….</w:t>
            </w:r>
          </w:p>
        </w:tc>
        <w:tc>
          <w:tcPr>
            <w:tcW w:w="1325" w:type="dxa"/>
          </w:tcPr>
          <w:p w14:paraId="0651FC40" w14:textId="77777777" w:rsidR="00BE7E05" w:rsidRPr="00853D04" w:rsidRDefault="00BE7E05">
            <w:pPr>
              <w:spacing w:beforeLines="40" w:before="96" w:afterLines="40" w:after="96"/>
              <w:jc w:val="center"/>
              <w:rPr>
                <w:i/>
                <w:noProof/>
                <w:sz w:val="18"/>
              </w:rPr>
            </w:pPr>
          </w:p>
        </w:tc>
        <w:tc>
          <w:tcPr>
            <w:tcW w:w="1031" w:type="dxa"/>
          </w:tcPr>
          <w:p w14:paraId="1246D9CD" w14:textId="77777777" w:rsidR="00BE7E05" w:rsidRPr="00853D04" w:rsidRDefault="00BE7E05">
            <w:pPr>
              <w:spacing w:beforeLines="40" w:before="96" w:afterLines="40" w:after="96"/>
              <w:jc w:val="center"/>
              <w:rPr>
                <w:noProof/>
                <w:sz w:val="18"/>
              </w:rPr>
            </w:pPr>
          </w:p>
        </w:tc>
        <w:tc>
          <w:tcPr>
            <w:tcW w:w="900" w:type="dxa"/>
          </w:tcPr>
          <w:p w14:paraId="431E49F1" w14:textId="77777777" w:rsidR="00BE7E05" w:rsidRPr="00853D04" w:rsidRDefault="00BE7E05">
            <w:pPr>
              <w:spacing w:beforeLines="40" w:before="96" w:afterLines="40" w:after="96"/>
              <w:jc w:val="center"/>
              <w:rPr>
                <w:noProof/>
                <w:sz w:val="18"/>
              </w:rPr>
            </w:pPr>
          </w:p>
        </w:tc>
        <w:tc>
          <w:tcPr>
            <w:tcW w:w="900" w:type="dxa"/>
          </w:tcPr>
          <w:p w14:paraId="7C076C6D" w14:textId="77777777" w:rsidR="00BE7E05" w:rsidRPr="00853D04" w:rsidRDefault="00BE7E05">
            <w:pPr>
              <w:spacing w:beforeLines="40" w:before="96" w:afterLines="40" w:after="96"/>
              <w:jc w:val="center"/>
              <w:rPr>
                <w:noProof/>
                <w:sz w:val="18"/>
              </w:rPr>
            </w:pPr>
          </w:p>
        </w:tc>
        <w:tc>
          <w:tcPr>
            <w:tcW w:w="1080" w:type="dxa"/>
          </w:tcPr>
          <w:p w14:paraId="43D7958C" w14:textId="77777777" w:rsidR="00BE7E05" w:rsidRPr="00853D04" w:rsidRDefault="00BE7E05">
            <w:pPr>
              <w:spacing w:beforeLines="40" w:before="96" w:afterLines="40" w:after="96"/>
              <w:jc w:val="center"/>
              <w:rPr>
                <w:noProof/>
                <w:sz w:val="18"/>
              </w:rPr>
            </w:pPr>
          </w:p>
        </w:tc>
        <w:tc>
          <w:tcPr>
            <w:tcW w:w="1080" w:type="dxa"/>
          </w:tcPr>
          <w:p w14:paraId="4090F0C1" w14:textId="77777777" w:rsidR="00BE7E05" w:rsidRPr="00853D04" w:rsidRDefault="00BE7E05">
            <w:pPr>
              <w:spacing w:beforeLines="40" w:before="96" w:afterLines="40" w:after="96"/>
              <w:jc w:val="center"/>
              <w:rPr>
                <w:noProof/>
                <w:sz w:val="18"/>
              </w:rPr>
            </w:pPr>
          </w:p>
        </w:tc>
        <w:tc>
          <w:tcPr>
            <w:tcW w:w="1080" w:type="dxa"/>
          </w:tcPr>
          <w:p w14:paraId="1370EE3D" w14:textId="77777777" w:rsidR="00BE7E05" w:rsidRPr="00853D04" w:rsidRDefault="00BE7E05">
            <w:pPr>
              <w:spacing w:beforeLines="40" w:before="96" w:afterLines="40" w:after="96"/>
              <w:jc w:val="center"/>
              <w:rPr>
                <w:noProof/>
                <w:sz w:val="18"/>
              </w:rPr>
            </w:pPr>
          </w:p>
        </w:tc>
        <w:tc>
          <w:tcPr>
            <w:tcW w:w="1080" w:type="dxa"/>
          </w:tcPr>
          <w:p w14:paraId="6E7050A1" w14:textId="77777777" w:rsidR="00BE7E05" w:rsidRPr="00853D04" w:rsidRDefault="00BE7E05">
            <w:pPr>
              <w:spacing w:beforeLines="40" w:before="96" w:afterLines="40" w:after="96"/>
              <w:jc w:val="center"/>
              <w:rPr>
                <w:noProof/>
                <w:sz w:val="18"/>
              </w:rPr>
            </w:pPr>
          </w:p>
        </w:tc>
      </w:tr>
    </w:tbl>
    <w:p w14:paraId="4BF064A1" w14:textId="77777777" w:rsidR="00BE7E05" w:rsidRPr="00853D04" w:rsidRDefault="00BE7E05">
      <w:pPr>
        <w:pStyle w:val="Text1"/>
        <w:rPr>
          <w:noProof/>
          <w:sz w:val="20"/>
        </w:rPr>
      </w:pPr>
      <w:r w:rsidRPr="00853D04">
        <w:rPr>
          <w:noProof/>
          <w:sz w:val="20"/>
        </w:rPr>
        <w:t>W przypadku wpływu na dochody przeznaczone na określony cel należy wskazać linie budżetowe po stronie wydatków, które ten wpływ obejmie.</w:t>
      </w:r>
    </w:p>
    <w:p w14:paraId="60515FA2" w14:textId="7E1326D3" w:rsidR="00BE7E05" w:rsidRPr="00853D04" w:rsidRDefault="00BE7E05">
      <w:pPr>
        <w:pStyle w:val="Text1"/>
        <w:pBdr>
          <w:top w:val="single" w:sz="4" w:space="1" w:color="auto"/>
          <w:left w:val="single" w:sz="4" w:space="4" w:color="auto"/>
          <w:bottom w:val="single" w:sz="4" w:space="1" w:color="auto"/>
          <w:right w:val="single" w:sz="4" w:space="4" w:color="auto"/>
        </w:pBdr>
        <w:rPr>
          <w:noProof/>
        </w:rPr>
      </w:pPr>
    </w:p>
    <w:p w14:paraId="2CCEC051" w14:textId="77777777" w:rsidR="00BE7E05" w:rsidRPr="00853D04" w:rsidRDefault="00BE7E05">
      <w:pPr>
        <w:pStyle w:val="Text1"/>
        <w:rPr>
          <w:noProof/>
          <w:sz w:val="20"/>
        </w:rPr>
      </w:pPr>
      <w:r w:rsidRPr="00853D04">
        <w:rPr>
          <w:noProof/>
          <w:sz w:val="20"/>
        </w:rPr>
        <w:t>Pozostałe uwagi (np. metoda/wzór użyte do obliczenia wpływu na dochody albo inne informacje).</w:t>
      </w:r>
    </w:p>
    <w:p w14:paraId="12B49D93" w14:textId="3FC573E6" w:rsidR="00BE7E05" w:rsidRPr="00853D04" w:rsidRDefault="00BE7E05">
      <w:pPr>
        <w:pStyle w:val="Text1"/>
        <w:pBdr>
          <w:top w:val="single" w:sz="4" w:space="1" w:color="auto"/>
          <w:left w:val="single" w:sz="4" w:space="4" w:color="auto"/>
          <w:bottom w:val="single" w:sz="4" w:space="1" w:color="auto"/>
          <w:right w:val="single" w:sz="4" w:space="4" w:color="auto"/>
        </w:pBdr>
        <w:rPr>
          <w:noProof/>
        </w:rPr>
      </w:pPr>
      <w:bookmarkStart w:id="72" w:name="_InMacro_"/>
      <w:bookmarkEnd w:id="72"/>
    </w:p>
    <w:sectPr w:rsidR="00BE7E05" w:rsidRPr="00853D04" w:rsidSect="002D57EB">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4CD82" w14:textId="77777777" w:rsidR="00DE2626" w:rsidRDefault="00DE2626" w:rsidP="00BE7E05">
      <w:pPr>
        <w:spacing w:before="0" w:after="0"/>
      </w:pPr>
      <w:r>
        <w:separator/>
      </w:r>
    </w:p>
  </w:endnote>
  <w:endnote w:type="continuationSeparator" w:id="0">
    <w:p w14:paraId="39518595" w14:textId="77777777" w:rsidR="00DE2626" w:rsidRDefault="00DE2626" w:rsidP="00BE7E05">
      <w:pPr>
        <w:spacing w:before="0" w:after="0"/>
      </w:pPr>
      <w:r>
        <w:continuationSeparator/>
      </w:r>
    </w:p>
  </w:endnote>
  <w:endnote w:type="continuationNotice" w:id="1">
    <w:p w14:paraId="1A2789C9" w14:textId="77777777" w:rsidR="00DE2626" w:rsidRDefault="00DE26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Light">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667D" w14:textId="5B0AA54A" w:rsidR="00853D04" w:rsidRPr="002D57EB" w:rsidRDefault="002D57EB" w:rsidP="002D57EB">
    <w:pPr>
      <w:pStyle w:val="Footer"/>
      <w:rPr>
        <w:rFonts w:ascii="Arial" w:hAnsi="Arial" w:cs="Arial"/>
        <w:b/>
        <w:sz w:val="48"/>
      </w:rPr>
    </w:pPr>
    <w:r w:rsidRPr="002D57EB">
      <w:rPr>
        <w:rFonts w:ascii="Arial" w:hAnsi="Arial" w:cs="Arial"/>
        <w:b/>
        <w:sz w:val="48"/>
      </w:rPr>
      <w:t>PL</w:t>
    </w:r>
    <w:r w:rsidRPr="002D57EB">
      <w:rPr>
        <w:rFonts w:ascii="Arial" w:hAnsi="Arial" w:cs="Arial"/>
        <w:b/>
        <w:sz w:val="48"/>
      </w:rPr>
      <w:tab/>
    </w:r>
    <w:r w:rsidRPr="002D57EB">
      <w:rPr>
        <w:rFonts w:ascii="Arial" w:hAnsi="Arial" w:cs="Arial"/>
        <w:b/>
        <w:sz w:val="48"/>
      </w:rPr>
      <w:tab/>
    </w:r>
    <w:r w:rsidRPr="002D57EB">
      <w:tab/>
    </w:r>
    <w:r w:rsidRPr="002D57EB">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95DE" w14:textId="5E1A175C" w:rsidR="002D57EB" w:rsidRPr="002D57EB" w:rsidRDefault="002D57EB" w:rsidP="002D57EB">
    <w:pPr>
      <w:pStyle w:val="Footer"/>
      <w:rPr>
        <w:rFonts w:ascii="Arial" w:hAnsi="Arial" w:cs="Arial"/>
        <w:b/>
        <w:sz w:val="48"/>
      </w:rPr>
    </w:pPr>
    <w:r w:rsidRPr="002D57EB">
      <w:rPr>
        <w:rFonts w:ascii="Arial" w:hAnsi="Arial" w:cs="Arial"/>
        <w:b/>
        <w:sz w:val="48"/>
      </w:rPr>
      <w:t>PL</w:t>
    </w:r>
    <w:r w:rsidRPr="002D57EB">
      <w:rPr>
        <w:rFonts w:ascii="Arial" w:hAnsi="Arial" w:cs="Arial"/>
        <w:b/>
        <w:sz w:val="48"/>
      </w:rPr>
      <w:tab/>
    </w:r>
    <w:r>
      <w:fldChar w:fldCharType="begin"/>
    </w:r>
    <w:r>
      <w:instrText xml:space="preserve"> PAGE  \* MERGEFORMAT </w:instrText>
    </w:r>
    <w:r>
      <w:fldChar w:fldCharType="separate"/>
    </w:r>
    <w:r w:rsidR="003F669A">
      <w:rPr>
        <w:noProof/>
      </w:rPr>
      <w:t>46</w:t>
    </w:r>
    <w:r>
      <w:fldChar w:fldCharType="end"/>
    </w:r>
    <w:r>
      <w:tab/>
    </w:r>
    <w:r w:rsidRPr="002D57EB">
      <w:tab/>
    </w:r>
    <w:r w:rsidRPr="002D57EB">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9F9A" w14:textId="77777777" w:rsidR="002D57EB" w:rsidRPr="002D57EB" w:rsidRDefault="002D57EB" w:rsidP="002D57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8218" w14:textId="23A6F663" w:rsidR="002D57EB" w:rsidRPr="002D57EB" w:rsidRDefault="002D57EB" w:rsidP="002D57EB">
    <w:pPr>
      <w:pStyle w:val="FooterLandscape"/>
      <w:rPr>
        <w:rFonts w:ascii="Arial" w:hAnsi="Arial" w:cs="Arial"/>
        <w:b/>
        <w:sz w:val="48"/>
      </w:rPr>
    </w:pPr>
    <w:r w:rsidRPr="002D57EB">
      <w:rPr>
        <w:rFonts w:ascii="Arial" w:hAnsi="Arial" w:cs="Arial"/>
        <w:b/>
        <w:sz w:val="48"/>
      </w:rPr>
      <w:t>PL</w:t>
    </w:r>
    <w:r w:rsidRPr="002D57E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D57EB">
      <w:tab/>
    </w:r>
    <w:r w:rsidRPr="002D57EB">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660F" w14:textId="77777777" w:rsidR="002D57EB" w:rsidRPr="002D57EB" w:rsidRDefault="002D57EB" w:rsidP="002D57EB">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31B7" w14:textId="0A6D7B07" w:rsidR="00D13195" w:rsidRPr="002D57EB" w:rsidRDefault="002D57EB" w:rsidP="002D57EB">
    <w:pPr>
      <w:pStyle w:val="Footer"/>
      <w:rPr>
        <w:rFonts w:ascii="Arial" w:hAnsi="Arial" w:cs="Arial"/>
        <w:b/>
        <w:sz w:val="48"/>
      </w:rPr>
    </w:pPr>
    <w:r w:rsidRPr="002D57EB">
      <w:rPr>
        <w:rFonts w:ascii="Arial" w:hAnsi="Arial" w:cs="Arial"/>
        <w:b/>
        <w:sz w:val="48"/>
      </w:rPr>
      <w:t>PL</w:t>
    </w:r>
    <w:r w:rsidRPr="002D57EB">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D57EB">
      <w:tab/>
    </w:r>
    <w:r w:rsidRPr="002D57EB">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F17A" w14:textId="77777777" w:rsidR="002D57EB" w:rsidRPr="002D57EB" w:rsidRDefault="002D57EB" w:rsidP="002D5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624C" w14:textId="77777777" w:rsidR="00DE2626" w:rsidRDefault="00DE2626" w:rsidP="00BE7E05">
      <w:pPr>
        <w:spacing w:before="0" w:after="0"/>
      </w:pPr>
      <w:r>
        <w:separator/>
      </w:r>
    </w:p>
  </w:footnote>
  <w:footnote w:type="continuationSeparator" w:id="0">
    <w:p w14:paraId="000BCD2F" w14:textId="77777777" w:rsidR="00DE2626" w:rsidRDefault="00DE2626" w:rsidP="00BE7E05">
      <w:pPr>
        <w:spacing w:before="0" w:after="0"/>
      </w:pPr>
      <w:r>
        <w:continuationSeparator/>
      </w:r>
    </w:p>
  </w:footnote>
  <w:footnote w:type="continuationNotice" w:id="1">
    <w:p w14:paraId="0F394F44" w14:textId="77777777" w:rsidR="00DE2626" w:rsidRDefault="00DE2626">
      <w:pPr>
        <w:spacing w:before="0" w:after="0"/>
      </w:pPr>
    </w:p>
  </w:footnote>
  <w:footnote w:id="2">
    <w:p w14:paraId="48866F16" w14:textId="2859B1C5" w:rsidR="00C8422A" w:rsidRPr="004C0056" w:rsidRDefault="00C8422A" w:rsidP="00594AB3">
      <w:pPr>
        <w:pStyle w:val="FootnoteText"/>
      </w:pPr>
      <w:r>
        <w:rPr>
          <w:rStyle w:val="FootnoteReference"/>
        </w:rPr>
        <w:footnoteRef/>
      </w:r>
      <w:r>
        <w:tab/>
        <w:t>Pozostałymi podmiotami prawnymi występującymi</w:t>
      </w:r>
      <w:r w:rsidR="00C13C75">
        <w:t xml:space="preserve"> w gos</w:t>
      </w:r>
      <w:r>
        <w:t>podarce społecznej są spółdzielnie, towarzystwa pomocy wzajemnej (tj. towarzystwa wzajemne)</w:t>
      </w:r>
      <w:r w:rsidR="00C13C75">
        <w:t xml:space="preserve"> i fun</w:t>
      </w:r>
      <w:r>
        <w:t>dacje.</w:t>
      </w:r>
    </w:p>
  </w:footnote>
  <w:footnote w:id="3">
    <w:p w14:paraId="68606892" w14:textId="3CE6B709" w:rsidR="00C8422A" w:rsidRPr="004C0056" w:rsidRDefault="00C8422A">
      <w:pPr>
        <w:pStyle w:val="FootnoteText"/>
      </w:pPr>
      <w:r>
        <w:rPr>
          <w:rStyle w:val="FootnoteReference"/>
        </w:rPr>
        <w:footnoteRef/>
      </w:r>
      <w:r>
        <w:tab/>
        <w:t>W Irlandii, Danii</w:t>
      </w:r>
      <w:r w:rsidR="00C13C75">
        <w:t xml:space="preserve"> i Szw</w:t>
      </w:r>
      <w:r>
        <w:t>ecji stowarzyszenia podlegają zasadom wypracowanym na podstawie doktryny</w:t>
      </w:r>
      <w:r w:rsidR="00C13C75">
        <w:t xml:space="preserve"> i orz</w:t>
      </w:r>
      <w:r>
        <w:t xml:space="preserve">ecznictwa. </w:t>
      </w:r>
      <w:r>
        <w:tab/>
      </w:r>
    </w:p>
  </w:footnote>
  <w:footnote w:id="4">
    <w:p w14:paraId="5598911D" w14:textId="77777777" w:rsidR="00C8422A" w:rsidRPr="004E20DD" w:rsidRDefault="00C8422A" w:rsidP="00215691">
      <w:pPr>
        <w:pStyle w:val="FootnoteText"/>
      </w:pPr>
      <w:r>
        <w:rPr>
          <w:rStyle w:val="FootnoteReference"/>
        </w:rPr>
        <w:footnoteRef/>
      </w:r>
      <w:r>
        <w:tab/>
      </w:r>
      <w:hyperlink r:id="rId1" w:history="1">
        <w:r>
          <w:t>Gospodarka służąca ludziom (europa.eu)</w:t>
        </w:r>
      </w:hyperlink>
      <w:r>
        <w:t>.</w:t>
      </w:r>
    </w:p>
  </w:footnote>
  <w:footnote w:id="5">
    <w:p w14:paraId="5903EAD6" w14:textId="0A111413" w:rsidR="00C8422A" w:rsidRPr="004E20DD" w:rsidRDefault="00C8422A">
      <w:pPr>
        <w:pStyle w:val="FootnoteText"/>
      </w:pPr>
      <w:r>
        <w:rPr>
          <w:rStyle w:val="FootnoteReference"/>
        </w:rPr>
        <w:footnoteRef/>
      </w:r>
      <w:r>
        <w:tab/>
        <w:t>Komunikat Komisji do Parlamentu Europejskiego, Rady, Europejskiego Komitetu Ekonomiczno-Społecznego</w:t>
      </w:r>
      <w:r w:rsidR="00C13C75">
        <w:t xml:space="preserve"> i Kom</w:t>
      </w:r>
      <w:r>
        <w:t>itetu Regionów „Budowanie gospodarki służącej ludziom: plan działania na rzecz gospodarki społecznej”, COM(2021) 778 final.</w:t>
      </w:r>
    </w:p>
  </w:footnote>
  <w:footnote w:id="6">
    <w:p w14:paraId="065503C4" w14:textId="04A260D5" w:rsidR="00C8422A" w:rsidRPr="004E20DD" w:rsidRDefault="00C8422A" w:rsidP="00215691">
      <w:pPr>
        <w:pStyle w:val="FootnoteText"/>
      </w:pPr>
      <w:r>
        <w:rPr>
          <w:rStyle w:val="FootnoteReference"/>
        </w:rPr>
        <w:footnoteRef/>
      </w:r>
      <w:r>
        <w:tab/>
        <w:t>Zalecenie Rady</w:t>
      </w:r>
      <w:r w:rsidR="00C13C75">
        <w:t xml:space="preserve"> w spr</w:t>
      </w:r>
      <w:r>
        <w:t>awie opracowania warunków ramowych gospodarki społecznej, COM(2023) 316 final</w:t>
      </w:r>
      <w:r w:rsidR="00C13C75">
        <w:t xml:space="preserve"> z 1</w:t>
      </w:r>
      <w:r>
        <w:t>3.06.2023.</w:t>
      </w:r>
    </w:p>
  </w:footnote>
  <w:footnote w:id="7">
    <w:p w14:paraId="067E1886" w14:textId="4A92D784" w:rsidR="00C8422A" w:rsidRPr="004E20DD" w:rsidRDefault="00C8422A">
      <w:pPr>
        <w:pStyle w:val="FootnoteText"/>
      </w:pPr>
      <w:r>
        <w:rPr>
          <w:rStyle w:val="FootnoteReference"/>
        </w:rPr>
        <w:footnoteRef/>
      </w:r>
      <w:r>
        <w:tab/>
        <w:t>Dokument roboczy służb Komisji „Odpowiednie ramy podatkowe dla podmiotów gospodarki społecznej”, SWD(2023) 211 final</w:t>
      </w:r>
      <w:r w:rsidR="00C13C75">
        <w:t xml:space="preserve"> z 1</w:t>
      </w:r>
      <w:r>
        <w:t>3.6.2023.</w:t>
      </w:r>
    </w:p>
  </w:footnote>
  <w:footnote w:id="8">
    <w:p w14:paraId="2E7F8780" w14:textId="183F2BD3" w:rsidR="00C8422A" w:rsidRPr="00BC12EB" w:rsidRDefault="00C8422A">
      <w:pPr>
        <w:pStyle w:val="FootnoteText"/>
      </w:pPr>
      <w:r>
        <w:rPr>
          <w:rStyle w:val="FootnoteReference"/>
        </w:rPr>
        <w:footnoteRef/>
      </w:r>
      <w:r>
        <w:tab/>
      </w:r>
      <w:r>
        <w:rPr>
          <w:rStyle w:val="Hyperlink"/>
        </w:rPr>
        <w:t>Dokument roboczy służb Komisji „Niedyskryminacyjne opodatkowanie organizacji charytatywnych</w:t>
      </w:r>
      <w:r w:rsidR="00C13C75">
        <w:rPr>
          <w:rStyle w:val="Hyperlink"/>
        </w:rPr>
        <w:t xml:space="preserve"> i ich</w:t>
      </w:r>
      <w:r>
        <w:rPr>
          <w:rStyle w:val="Hyperlink"/>
        </w:rPr>
        <w:t xml:space="preserve"> darczyńców: zasady wynikające</w:t>
      </w:r>
      <w:r w:rsidR="00C13C75">
        <w:rPr>
          <w:rStyle w:val="Hyperlink"/>
        </w:rPr>
        <w:t xml:space="preserve"> z orz</w:t>
      </w:r>
      <w:r>
        <w:rPr>
          <w:rStyle w:val="Hyperlink"/>
        </w:rPr>
        <w:t>ecznictwa UE”, SWD(2023) 212 final</w:t>
      </w:r>
      <w:r w:rsidR="00C13C75">
        <w:rPr>
          <w:rStyle w:val="Hyperlink"/>
        </w:rPr>
        <w:t xml:space="preserve"> z 1</w:t>
      </w:r>
      <w:r>
        <w:rPr>
          <w:rStyle w:val="Hyperlink"/>
        </w:rPr>
        <w:t>3.6.2023.</w:t>
      </w:r>
    </w:p>
  </w:footnote>
  <w:footnote w:id="9">
    <w:p w14:paraId="6D7E0387" w14:textId="51E78F4D" w:rsidR="00C8422A" w:rsidRPr="00BC12EB" w:rsidRDefault="00C8422A">
      <w:pPr>
        <w:pStyle w:val="FootnoteText"/>
      </w:pPr>
      <w:r>
        <w:rPr>
          <w:rStyle w:val="FootnoteReference"/>
        </w:rPr>
        <w:footnoteRef/>
      </w:r>
      <w:r>
        <w:tab/>
        <w:t>Celem przepisów UE</w:t>
      </w:r>
      <w:r w:rsidR="00C13C75">
        <w:t xml:space="preserve"> w dzi</w:t>
      </w:r>
      <w:r>
        <w:t>edzinie prawa spółek jest zapewnienie ochrony akcjonariuszom</w:t>
      </w:r>
      <w:r w:rsidR="00C13C75">
        <w:t xml:space="preserve"> i inn</w:t>
      </w:r>
      <w:r>
        <w:t>ym stronom szczególnie zainteresowanym spółkami, takim jak pracownicy</w:t>
      </w:r>
      <w:r w:rsidR="00C13C75">
        <w:t xml:space="preserve"> i wie</w:t>
      </w:r>
      <w:r>
        <w:t>rzyciele, zwiększenie wydajności, konkurencyjności</w:t>
      </w:r>
      <w:r w:rsidR="00C13C75">
        <w:t xml:space="preserve"> i zró</w:t>
      </w:r>
      <w:r>
        <w:t>wnoważonego charakteru działalności</w:t>
      </w:r>
      <w:r w:rsidR="00C13C75">
        <w:t xml:space="preserve"> w per</w:t>
      </w:r>
      <w:r>
        <w:t>spektywie długoterminowej oraz zachęcanie przedsiębiorstw</w:t>
      </w:r>
      <w:r w:rsidR="00C13C75">
        <w:t xml:space="preserve"> z sie</w:t>
      </w:r>
      <w:r>
        <w:t>dzibą</w:t>
      </w:r>
      <w:r w:rsidR="00C13C75">
        <w:t xml:space="preserve"> w róż</w:t>
      </w:r>
      <w:r>
        <w:t>nych krajach UE do wzajemnej współpracy. Uzupełnienie tych ram prawnych stanowią unijne przepisy dotyczące sprawozdawczości, audytu</w:t>
      </w:r>
      <w:r w:rsidR="00C13C75">
        <w:t xml:space="preserve"> i prz</w:t>
      </w:r>
      <w:r>
        <w:t xml:space="preserve">ejrzystości przedsiębiorstw. </w:t>
      </w:r>
    </w:p>
  </w:footnote>
  <w:footnote w:id="10">
    <w:p w14:paraId="165A3D91" w14:textId="39E4831C" w:rsidR="00C8422A" w:rsidRPr="00BC12EB" w:rsidRDefault="00C8422A">
      <w:pPr>
        <w:pStyle w:val="FootnoteText"/>
      </w:pPr>
      <w:r>
        <w:rPr>
          <w:rStyle w:val="FootnoteReference"/>
        </w:rPr>
        <w:footnoteRef/>
      </w:r>
      <w:r>
        <w:tab/>
        <w:t>Dyrektywa Parlamentu Europejskiego</w:t>
      </w:r>
      <w:r w:rsidR="00C13C75">
        <w:t xml:space="preserve"> i Rad</w:t>
      </w:r>
      <w:r>
        <w:t>y (UE) 2017/1132</w:t>
      </w:r>
      <w:r w:rsidR="00C13C75">
        <w:t xml:space="preserve"> z dni</w:t>
      </w:r>
      <w:r>
        <w:t>a 14 czerwca 20</w:t>
      </w:r>
      <w:r w:rsidRPr="00C13C75">
        <w:t>17</w:t>
      </w:r>
      <w:r w:rsidR="00C13C75" w:rsidRPr="00C13C75">
        <w:t> </w:t>
      </w:r>
      <w:r w:rsidRPr="00C13C75">
        <w:t>r.</w:t>
      </w:r>
      <w:r w:rsidR="00C13C75">
        <w:t xml:space="preserve"> w spr</w:t>
      </w:r>
      <w:r>
        <w:t>awie niektórych aspektów prawa spółek (Dz.U. L 169</w:t>
      </w:r>
      <w:r w:rsidR="00C13C75">
        <w:t xml:space="preserve"> z 3</w:t>
      </w:r>
      <w:r>
        <w:t xml:space="preserve">0.6.2017, s. 46). </w:t>
      </w:r>
    </w:p>
  </w:footnote>
  <w:footnote w:id="11">
    <w:p w14:paraId="1EF8B054" w14:textId="414D766B" w:rsidR="00C8422A" w:rsidRPr="00BC12EB" w:rsidRDefault="00C8422A">
      <w:pPr>
        <w:pStyle w:val="FootnoteText"/>
      </w:pPr>
      <w:r>
        <w:rPr>
          <w:rStyle w:val="FootnoteReference"/>
        </w:rPr>
        <w:footnoteRef/>
      </w:r>
      <w:r>
        <w:tab/>
        <w:t>Dyrektywa 2006/123/WE Parlamentu Europejskiego</w:t>
      </w:r>
      <w:r w:rsidR="00C13C75">
        <w:t xml:space="preserve"> i Rad</w:t>
      </w:r>
      <w:r>
        <w:t>y</w:t>
      </w:r>
      <w:r w:rsidR="00C13C75">
        <w:t xml:space="preserve"> z dni</w:t>
      </w:r>
      <w:r>
        <w:t>a 12 grudnia 20</w:t>
      </w:r>
      <w:r w:rsidRPr="00C13C75">
        <w:t>06</w:t>
      </w:r>
      <w:r w:rsidR="00C13C75" w:rsidRPr="00C13C75">
        <w:t> </w:t>
      </w:r>
      <w:r w:rsidRPr="00C13C75">
        <w:t>r.</w:t>
      </w:r>
      <w:r>
        <w:t xml:space="preserve"> dotycząca usług na rynku wewnętrznym (Dz.U. L 376</w:t>
      </w:r>
      <w:r w:rsidR="00C13C75">
        <w:t xml:space="preserve"> z 2</w:t>
      </w:r>
      <w:r>
        <w:t xml:space="preserve">7.12.2006, s. 36). </w:t>
      </w:r>
    </w:p>
  </w:footnote>
  <w:footnote w:id="12">
    <w:p w14:paraId="45915963" w14:textId="3F58E9BC" w:rsidR="00C8422A" w:rsidRPr="00BC12EB" w:rsidRDefault="00C8422A">
      <w:pPr>
        <w:pStyle w:val="FootnoteText"/>
      </w:pPr>
      <w:r>
        <w:rPr>
          <w:rStyle w:val="FootnoteReference"/>
        </w:rPr>
        <w:footnoteRef/>
      </w:r>
      <w:r>
        <w:tab/>
      </w:r>
      <w:r>
        <w:rPr>
          <w:rStyle w:val="FootnoteReference"/>
          <w:vertAlign w:val="baseline"/>
        </w:rPr>
        <w:t>W ocenie skutków stwierdzono, że</w:t>
      </w:r>
      <w:r w:rsidR="00C13C75">
        <w:rPr>
          <w:rStyle w:val="FootnoteReference"/>
          <w:vertAlign w:val="baseline"/>
        </w:rPr>
        <w:t xml:space="preserve"> w wię</w:t>
      </w:r>
      <w:r>
        <w:rPr>
          <w:rStyle w:val="FootnoteReference"/>
          <w:vertAlign w:val="baseline"/>
        </w:rPr>
        <w:t>kszości państw członkowskich stowarzyszenia podlegają specjalnym przepisom. Zasadniczo są to kompleksowe przepisy szczegółowo regulujące działalność stowarzyszeń. Aspekty transgraniczne istotne dla mobilności</w:t>
      </w:r>
      <w:r w:rsidR="00C13C75">
        <w:rPr>
          <w:rStyle w:val="FootnoteReference"/>
          <w:vertAlign w:val="baseline"/>
        </w:rPr>
        <w:t xml:space="preserve"> i dzi</w:t>
      </w:r>
      <w:r>
        <w:rPr>
          <w:rStyle w:val="FootnoteReference"/>
          <w:vertAlign w:val="baseline"/>
        </w:rPr>
        <w:t>ałalności stowarzyszeń nie są jednak kompleksowo uregulowane</w:t>
      </w:r>
      <w:r w:rsidR="00C13C75">
        <w:rPr>
          <w:rStyle w:val="FootnoteReference"/>
          <w:vertAlign w:val="baseline"/>
        </w:rPr>
        <w:t xml:space="preserve"> w żad</w:t>
      </w:r>
      <w:r>
        <w:rPr>
          <w:rStyle w:val="FootnoteReference"/>
          <w:vertAlign w:val="baseline"/>
        </w:rPr>
        <w:t>nym państwie członkowskim.</w:t>
      </w:r>
    </w:p>
  </w:footnote>
  <w:footnote w:id="13">
    <w:p w14:paraId="741F00C1" w14:textId="51C9E2DA" w:rsidR="00C8422A" w:rsidRPr="004E20DD" w:rsidRDefault="00C8422A" w:rsidP="00574B71">
      <w:pPr>
        <w:pStyle w:val="FootnoteText"/>
      </w:pPr>
      <w:r>
        <w:rPr>
          <w:rStyle w:val="FootnoteReference"/>
        </w:rPr>
        <w:footnoteRef/>
      </w:r>
      <w:r>
        <w:tab/>
      </w:r>
      <w:r>
        <w:rPr>
          <w:rStyle w:val="FootnoteReference"/>
          <w:vertAlign w:val="baseline"/>
        </w:rPr>
        <w:t>Wniosek dotyczący rozporządzenia Rady</w:t>
      </w:r>
      <w:r w:rsidR="00C13C75">
        <w:rPr>
          <w:rStyle w:val="FootnoteReference"/>
          <w:vertAlign w:val="baseline"/>
        </w:rPr>
        <w:t xml:space="preserve"> w spr</w:t>
      </w:r>
      <w:r>
        <w:rPr>
          <w:rStyle w:val="FootnoteReference"/>
          <w:vertAlign w:val="baseline"/>
        </w:rPr>
        <w:t xml:space="preserve">awie statutu stowarzyszenia europejskiego (91/273). Na podstawie </w:t>
      </w:r>
      <w:r w:rsidRPr="00C13C75">
        <w:rPr>
          <w:rStyle w:val="FootnoteReference"/>
          <w:vertAlign w:val="baseline"/>
        </w:rPr>
        <w:t>art.</w:t>
      </w:r>
      <w:r w:rsidR="00C13C75" w:rsidRPr="00C13C75">
        <w:rPr>
          <w:rStyle w:val="FootnoteReference"/>
          <w:vertAlign w:val="baseline"/>
        </w:rPr>
        <w:t> </w:t>
      </w:r>
      <w:r w:rsidRPr="00C13C75">
        <w:rPr>
          <w:rStyle w:val="FootnoteReference"/>
          <w:vertAlign w:val="baseline"/>
        </w:rPr>
        <w:t>1</w:t>
      </w:r>
      <w:r>
        <w:rPr>
          <w:rStyle w:val="FootnoteReference"/>
          <w:vertAlign w:val="baseline"/>
        </w:rPr>
        <w:t>14 TFUE we wniosku określono przepisy dotyczące zakładania, rejestracji, ustanawiania, funkcjonowania, finansowania, rozwiązywania, likwidacji</w:t>
      </w:r>
      <w:r w:rsidR="00C13C75">
        <w:rPr>
          <w:rStyle w:val="FootnoteReference"/>
          <w:vertAlign w:val="baseline"/>
        </w:rPr>
        <w:t xml:space="preserve"> i upa</w:t>
      </w:r>
      <w:r>
        <w:rPr>
          <w:rStyle w:val="FootnoteReference"/>
          <w:vertAlign w:val="baseline"/>
        </w:rPr>
        <w:t>dłości stowarzyszenia. Wniosek został wycofany</w:t>
      </w:r>
      <w:r w:rsidR="00C13C75">
        <w:rPr>
          <w:rStyle w:val="FootnoteReference"/>
          <w:vertAlign w:val="baseline"/>
        </w:rPr>
        <w:t xml:space="preserve"> w 2</w:t>
      </w:r>
      <w:r>
        <w:rPr>
          <w:rStyle w:val="FootnoteReference"/>
          <w:vertAlign w:val="baseline"/>
        </w:rPr>
        <w:t>0</w:t>
      </w:r>
      <w:r w:rsidRPr="00C13C75">
        <w:rPr>
          <w:rStyle w:val="FootnoteReference"/>
          <w:vertAlign w:val="baseline"/>
        </w:rPr>
        <w:t>05</w:t>
      </w:r>
      <w:r w:rsidR="00C13C75" w:rsidRPr="00C13C75">
        <w:rPr>
          <w:rStyle w:val="FootnoteReference"/>
          <w:vertAlign w:val="baseline"/>
        </w:rPr>
        <w:t> </w:t>
      </w:r>
      <w:r w:rsidRPr="00C13C75">
        <w:rPr>
          <w:rStyle w:val="FootnoteReference"/>
          <w:vertAlign w:val="baseline"/>
        </w:rPr>
        <w:t>r.</w:t>
      </w:r>
    </w:p>
  </w:footnote>
  <w:footnote w:id="14">
    <w:p w14:paraId="646CEB7D" w14:textId="252C0BEE" w:rsidR="00C8422A" w:rsidRPr="004E20DD" w:rsidRDefault="00C8422A">
      <w:pPr>
        <w:pStyle w:val="FootnoteText"/>
      </w:pPr>
      <w:r>
        <w:rPr>
          <w:rStyle w:val="FootnoteReference"/>
        </w:rPr>
        <w:footnoteRef/>
      </w:r>
      <w:r>
        <w:tab/>
        <w:t xml:space="preserve">Rozporządzenie Rady (EWG) </w:t>
      </w:r>
      <w:r w:rsidRPr="00C13C75">
        <w:t>nr</w:t>
      </w:r>
      <w:r w:rsidR="00C13C75" w:rsidRPr="00C13C75">
        <w:t> </w:t>
      </w:r>
      <w:r w:rsidRPr="00C13C75">
        <w:t>2</w:t>
      </w:r>
      <w:r>
        <w:t>137/85</w:t>
      </w:r>
      <w:r w:rsidR="00C13C75">
        <w:t xml:space="preserve"> z dni</w:t>
      </w:r>
      <w:r>
        <w:t>a 25 lipca 19</w:t>
      </w:r>
      <w:r w:rsidRPr="00C13C75">
        <w:t>85</w:t>
      </w:r>
      <w:r w:rsidR="00C13C75" w:rsidRPr="00C13C75">
        <w:t> </w:t>
      </w:r>
      <w:r w:rsidRPr="00C13C75">
        <w:t>r.</w:t>
      </w:r>
      <w:r w:rsidR="00C13C75">
        <w:t xml:space="preserve"> w spr</w:t>
      </w:r>
      <w:r>
        <w:t>awie europejskiego ugrupowania interesów gospodarczych (EUIG) (Dz.U. L 199</w:t>
      </w:r>
      <w:r w:rsidR="00C13C75">
        <w:t xml:space="preserve"> z 3</w:t>
      </w:r>
      <w:r>
        <w:t>1.7.1985, s. 1).</w:t>
      </w:r>
    </w:p>
  </w:footnote>
  <w:footnote w:id="15">
    <w:p w14:paraId="41931285" w14:textId="484A5583" w:rsidR="00C8422A" w:rsidRPr="004E20DD" w:rsidRDefault="00C8422A">
      <w:pPr>
        <w:pStyle w:val="FootnoteText"/>
      </w:pPr>
      <w:r>
        <w:rPr>
          <w:rStyle w:val="FootnoteReference"/>
        </w:rPr>
        <w:footnoteRef/>
      </w:r>
      <w:r>
        <w:tab/>
        <w:t xml:space="preserve">Rozporządzenie (WE) </w:t>
      </w:r>
      <w:r w:rsidRPr="00C13C75">
        <w:t>nr</w:t>
      </w:r>
      <w:r w:rsidR="00C13C75" w:rsidRPr="00C13C75">
        <w:t> </w:t>
      </w:r>
      <w:r w:rsidRPr="00C13C75">
        <w:t>1</w:t>
      </w:r>
      <w:r>
        <w:t>082/2006 Parlamentu Europejskiego</w:t>
      </w:r>
      <w:r w:rsidR="00C13C75">
        <w:t xml:space="preserve"> i Rad</w:t>
      </w:r>
      <w:r>
        <w:t>y</w:t>
      </w:r>
      <w:r w:rsidR="00C13C75">
        <w:t xml:space="preserve"> z dni</w:t>
      </w:r>
      <w:r>
        <w:t>a 5 lipca 20</w:t>
      </w:r>
      <w:r w:rsidRPr="00C13C75">
        <w:t>06</w:t>
      </w:r>
      <w:r w:rsidR="00C13C75" w:rsidRPr="00C13C75">
        <w:t> </w:t>
      </w:r>
      <w:r w:rsidRPr="00C13C75">
        <w:t>r.</w:t>
      </w:r>
      <w:r w:rsidR="00C13C75">
        <w:t xml:space="preserve"> w spr</w:t>
      </w:r>
      <w:r>
        <w:t>awie europejskiego ugrupowania współpracy terytorialnej (EUWT) (Dz.U. L 210</w:t>
      </w:r>
      <w:r w:rsidR="00C13C75">
        <w:t xml:space="preserve"> z 3</w:t>
      </w:r>
      <w:r>
        <w:t>1.7.2006, s. 19).</w:t>
      </w:r>
    </w:p>
  </w:footnote>
  <w:footnote w:id="16">
    <w:p w14:paraId="423A58AD" w14:textId="446D6C41" w:rsidR="00C8422A" w:rsidRPr="004E20DD" w:rsidRDefault="00C8422A">
      <w:pPr>
        <w:pStyle w:val="FootnoteText"/>
      </w:pPr>
      <w:r>
        <w:rPr>
          <w:rStyle w:val="FootnoteReference"/>
        </w:rPr>
        <w:footnoteRef/>
      </w:r>
      <w:r>
        <w:tab/>
        <w:t xml:space="preserve">Rozporządzenie Rady (WE) </w:t>
      </w:r>
      <w:r w:rsidRPr="00C13C75">
        <w:t>nr</w:t>
      </w:r>
      <w:r w:rsidR="00C13C75" w:rsidRPr="00C13C75">
        <w:t> </w:t>
      </w:r>
      <w:r w:rsidRPr="00C13C75">
        <w:t>7</w:t>
      </w:r>
      <w:r>
        <w:t>23/2009</w:t>
      </w:r>
      <w:r w:rsidR="00C13C75">
        <w:t xml:space="preserve"> z dni</w:t>
      </w:r>
      <w:r>
        <w:t>a 25 czerwca 20</w:t>
      </w:r>
      <w:r w:rsidRPr="00C13C75">
        <w:t>09</w:t>
      </w:r>
      <w:r w:rsidR="00C13C75" w:rsidRPr="00C13C75">
        <w:t> </w:t>
      </w:r>
      <w:r w:rsidRPr="00C13C75">
        <w:t>r.</w:t>
      </w:r>
      <w:r w:rsidR="00C13C75">
        <w:t xml:space="preserve"> w spr</w:t>
      </w:r>
      <w:r>
        <w:t>awie wspólnotowych ram prawnych konsorcjum na rzecz europejskiej infrastruktury badawczej (ERIC) (Dz.U. L 206</w:t>
      </w:r>
      <w:r w:rsidR="00C13C75">
        <w:t xml:space="preserve"> z 8</w:t>
      </w:r>
      <w:r>
        <w:t>.8.2009, s. 1).</w:t>
      </w:r>
    </w:p>
  </w:footnote>
  <w:footnote w:id="17">
    <w:p w14:paraId="5368AEF3" w14:textId="6E1D388A" w:rsidR="00C8422A" w:rsidRPr="004C0056" w:rsidRDefault="00C8422A">
      <w:pPr>
        <w:pStyle w:val="FootnoteText"/>
      </w:pPr>
      <w:r>
        <w:rPr>
          <w:rStyle w:val="FootnoteReference"/>
        </w:rPr>
        <w:footnoteRef/>
      </w:r>
      <w:r>
        <w:tab/>
      </w:r>
      <w:r>
        <w:rPr>
          <w:rStyle w:val="FootnoteReference"/>
          <w:vertAlign w:val="baseline"/>
        </w:rPr>
        <w:t>Decyzja Parlamentu Europejskiego</w:t>
      </w:r>
      <w:r w:rsidR="00C13C75">
        <w:rPr>
          <w:rStyle w:val="FootnoteReference"/>
          <w:vertAlign w:val="baseline"/>
        </w:rPr>
        <w:t xml:space="preserve"> i Rad</w:t>
      </w:r>
      <w:r>
        <w:rPr>
          <w:rStyle w:val="FootnoteReference"/>
          <w:vertAlign w:val="baseline"/>
        </w:rPr>
        <w:t>y (UE) 2022/2481</w:t>
      </w:r>
      <w:r w:rsidR="00C13C75">
        <w:rPr>
          <w:rStyle w:val="FootnoteReference"/>
          <w:vertAlign w:val="baseline"/>
        </w:rPr>
        <w:t xml:space="preserve"> z dni</w:t>
      </w:r>
      <w:r>
        <w:rPr>
          <w:rStyle w:val="FootnoteReference"/>
          <w:vertAlign w:val="baseline"/>
        </w:rPr>
        <w:t>a 14 grudnia 20</w:t>
      </w:r>
      <w:r w:rsidRPr="00C13C75">
        <w:rPr>
          <w:rStyle w:val="FootnoteReference"/>
          <w:vertAlign w:val="baseline"/>
        </w:rPr>
        <w:t>22</w:t>
      </w:r>
      <w:r w:rsidR="00C13C75" w:rsidRPr="00C13C75">
        <w:rPr>
          <w:rStyle w:val="FootnoteReference"/>
          <w:vertAlign w:val="baseline"/>
        </w:rPr>
        <w:t> </w:t>
      </w:r>
      <w:r w:rsidRPr="00C13C75">
        <w:rPr>
          <w:rStyle w:val="FootnoteReference"/>
          <w:vertAlign w:val="baseline"/>
        </w:rPr>
        <w:t>r.</w:t>
      </w:r>
      <w:r>
        <w:rPr>
          <w:rStyle w:val="FootnoteReference"/>
          <w:vertAlign w:val="baseline"/>
        </w:rPr>
        <w:t xml:space="preserve"> ustanawiająca program polityki „Droga ku cyfrowej dekadzie” </w:t>
      </w:r>
      <w:r w:rsidRPr="00C13C75">
        <w:rPr>
          <w:rStyle w:val="FootnoteReference"/>
          <w:vertAlign w:val="baseline"/>
        </w:rPr>
        <w:t>do</w:t>
      </w:r>
      <w:r w:rsidR="00C13C75" w:rsidRPr="00C13C75">
        <w:rPr>
          <w:rStyle w:val="FootnoteReference"/>
          <w:vertAlign w:val="baseline"/>
        </w:rPr>
        <w:t> </w:t>
      </w:r>
      <w:r w:rsidRPr="00C13C75">
        <w:rPr>
          <w:rStyle w:val="FootnoteReference"/>
          <w:vertAlign w:val="baseline"/>
        </w:rPr>
        <w:t>2</w:t>
      </w:r>
      <w:r>
        <w:rPr>
          <w:rStyle w:val="FootnoteReference"/>
          <w:vertAlign w:val="baseline"/>
        </w:rPr>
        <w:t>0</w:t>
      </w:r>
      <w:r w:rsidRPr="00C13C75">
        <w:rPr>
          <w:rStyle w:val="FootnoteReference"/>
          <w:vertAlign w:val="baseline"/>
        </w:rPr>
        <w:t>30</w:t>
      </w:r>
      <w:r w:rsidR="00C13C75" w:rsidRPr="00C13C75">
        <w:rPr>
          <w:rStyle w:val="FootnoteReference"/>
          <w:vertAlign w:val="baseline"/>
        </w:rPr>
        <w:t> </w:t>
      </w:r>
      <w:r w:rsidRPr="00C13C75">
        <w:rPr>
          <w:rStyle w:val="FootnoteReference"/>
          <w:vertAlign w:val="baseline"/>
        </w:rPr>
        <w:t>r.</w:t>
      </w:r>
      <w:r>
        <w:rPr>
          <w:rStyle w:val="FootnoteReference"/>
          <w:vertAlign w:val="baseline"/>
        </w:rPr>
        <w:t xml:space="preserve"> (Dz.U. L 323</w:t>
      </w:r>
      <w:r w:rsidR="00C13C75">
        <w:rPr>
          <w:rStyle w:val="FootnoteReference"/>
          <w:vertAlign w:val="baseline"/>
        </w:rPr>
        <w:t xml:space="preserve"> z 1</w:t>
      </w:r>
      <w:r>
        <w:rPr>
          <w:rStyle w:val="FootnoteReference"/>
          <w:vertAlign w:val="baseline"/>
        </w:rPr>
        <w:t>9.12.2022, s. 4).</w:t>
      </w:r>
    </w:p>
  </w:footnote>
  <w:footnote w:id="18">
    <w:p w14:paraId="720C92C4" w14:textId="4EF6545A" w:rsidR="00C8422A" w:rsidRPr="004E20DD" w:rsidRDefault="00C8422A">
      <w:pPr>
        <w:pStyle w:val="FootnoteText"/>
      </w:pPr>
      <w:r>
        <w:rPr>
          <w:rStyle w:val="FootnoteReference"/>
        </w:rPr>
        <w:footnoteRef/>
      </w:r>
      <w:r>
        <w:tab/>
      </w:r>
      <w:r>
        <w:rPr>
          <w:rStyle w:val="FootnoteReference"/>
          <w:vertAlign w:val="baseline"/>
        </w:rPr>
        <w:t>Ich potencjalne obszary działalności</w:t>
      </w:r>
      <w:r w:rsidR="00C13C75">
        <w:rPr>
          <w:rStyle w:val="FootnoteReference"/>
          <w:vertAlign w:val="baseline"/>
        </w:rPr>
        <w:t xml:space="preserve"> i cel</w:t>
      </w:r>
      <w:r>
        <w:rPr>
          <w:rStyle w:val="FootnoteReference"/>
          <w:vertAlign w:val="baseline"/>
        </w:rPr>
        <w:t xml:space="preserve"> są ograniczone odpowiednim rozporządzeniem.</w:t>
      </w:r>
    </w:p>
  </w:footnote>
  <w:footnote w:id="19">
    <w:p w14:paraId="67675805" w14:textId="77777777" w:rsidR="00C8422A" w:rsidRPr="004E20DD" w:rsidRDefault="00C8422A">
      <w:pPr>
        <w:pStyle w:val="FootnoteText"/>
      </w:pPr>
      <w:r>
        <w:rPr>
          <w:rStyle w:val="FootnoteReference"/>
        </w:rPr>
        <w:footnoteRef/>
      </w:r>
      <w:r>
        <w:tab/>
        <w:t>Są one otwarte wyłącznie dla krajów, organizacji międzyrządowych (ERIC) albo organów państw członkowskich (EUWT).</w:t>
      </w:r>
    </w:p>
  </w:footnote>
  <w:footnote w:id="20">
    <w:p w14:paraId="02A8AA89" w14:textId="77777777" w:rsidR="00C8422A" w:rsidRPr="004E20DD" w:rsidRDefault="00C8422A" w:rsidP="00513682">
      <w:pPr>
        <w:pStyle w:val="FootnoteText"/>
      </w:pPr>
      <w:r>
        <w:rPr>
          <w:rStyle w:val="FootnoteReference"/>
        </w:rPr>
        <w:footnoteRef/>
      </w:r>
      <w:r>
        <w:tab/>
      </w:r>
      <w:hyperlink r:id="rId2" w:anchor=":~:text=A%20Europe%20fit%20for%20the%20digital%20age%20Empowering,its%20target%20of%20a%20climate-neutral%20Europe%20by%202050." w:history="1">
        <w:r>
          <w:rPr>
            <w:rStyle w:val="FootnoteReference"/>
            <w:vertAlign w:val="baseline"/>
          </w:rPr>
          <w:t>Europa na miarę ery cyfrowej (europa.eu)</w:t>
        </w:r>
      </w:hyperlink>
      <w:r>
        <w:t>.</w:t>
      </w:r>
    </w:p>
  </w:footnote>
  <w:footnote w:id="21">
    <w:p w14:paraId="1BA300C5" w14:textId="77777777" w:rsidR="00C8422A" w:rsidRPr="004E20DD" w:rsidRDefault="00C8422A" w:rsidP="00594AB3">
      <w:pPr>
        <w:pStyle w:val="FootnoteText"/>
      </w:pPr>
      <w:r>
        <w:rPr>
          <w:rStyle w:val="FootnoteReference"/>
        </w:rPr>
        <w:footnoteRef/>
      </w:r>
      <w:r>
        <w:tab/>
      </w:r>
      <w:r>
        <w:rPr>
          <w:rStyle w:val="FootnoteReference"/>
          <w:vertAlign w:val="baseline"/>
        </w:rPr>
        <w:t>https://commission.europa.eu/aid-development-cooperation-fundamental-rights/your-rights-eu/eu-charter-fundamental-rights/application-charter/annual-reports-application-charter_pl</w:t>
      </w:r>
    </w:p>
  </w:footnote>
  <w:footnote w:id="22">
    <w:p w14:paraId="5761457B" w14:textId="105E2BC3" w:rsidR="00C8422A" w:rsidRPr="004E20DD" w:rsidRDefault="00C8422A" w:rsidP="00594AB3">
      <w:pPr>
        <w:pStyle w:val="FootnoteText"/>
      </w:pPr>
      <w:r>
        <w:rPr>
          <w:rStyle w:val="FootnoteReference"/>
        </w:rPr>
        <w:footnoteRef/>
      </w:r>
      <w:r>
        <w:tab/>
      </w:r>
      <w:hyperlink r:id="rId3" w:tgtFrame="_blank" w:history="1">
        <w:r>
          <w:rPr>
            <w:rStyle w:val="FootnoteReference"/>
            <w:vertAlign w:val="baseline"/>
          </w:rPr>
          <w:t>Konferencja</w:t>
        </w:r>
        <w:r w:rsidR="00C13C75">
          <w:rPr>
            <w:rStyle w:val="FootnoteReference"/>
            <w:vertAlign w:val="baseline"/>
          </w:rPr>
          <w:t xml:space="preserve"> w spr</w:t>
        </w:r>
        <w:r>
          <w:rPr>
            <w:rStyle w:val="FootnoteReference"/>
            <w:vertAlign w:val="baseline"/>
          </w:rPr>
          <w:t>awie przyszłości Europy – sprawozdanie</w:t>
        </w:r>
        <w:r w:rsidR="00C13C75">
          <w:rPr>
            <w:rStyle w:val="FootnoteReference"/>
            <w:vertAlign w:val="baseline"/>
          </w:rPr>
          <w:t xml:space="preserve"> z wyn</w:t>
        </w:r>
        <w:r>
          <w:rPr>
            <w:rStyle w:val="FootnoteReference"/>
            <w:vertAlign w:val="baseline"/>
          </w:rPr>
          <w:t>ików końcowych</w:t>
        </w:r>
      </w:hyperlink>
      <w:r>
        <w:rPr>
          <w:rStyle w:val="FootnoteReference"/>
          <w:vertAlign w:val="baseline"/>
        </w:rPr>
        <w:t xml:space="preserve">, </w:t>
      </w:r>
      <w:r w:rsidRPr="00C13C75">
        <w:rPr>
          <w:rStyle w:val="FootnoteReference"/>
          <w:vertAlign w:val="baseline"/>
        </w:rPr>
        <w:t>maj</w:t>
      </w:r>
      <w:r w:rsidR="00C13C75" w:rsidRPr="00C13C75">
        <w:rPr>
          <w:rStyle w:val="FootnoteReference"/>
          <w:vertAlign w:val="baseline"/>
        </w:rPr>
        <w:t> </w:t>
      </w:r>
      <w:r w:rsidRPr="00C13C75">
        <w:rPr>
          <w:rStyle w:val="FootnoteReference"/>
          <w:vertAlign w:val="baseline"/>
        </w:rPr>
        <w:t>2</w:t>
      </w:r>
      <w:r>
        <w:rPr>
          <w:rStyle w:val="FootnoteReference"/>
          <w:vertAlign w:val="baseline"/>
        </w:rPr>
        <w:t>0</w:t>
      </w:r>
      <w:r w:rsidRPr="00C13C75">
        <w:rPr>
          <w:rStyle w:val="FootnoteReference"/>
          <w:vertAlign w:val="baseline"/>
        </w:rPr>
        <w:t>22</w:t>
      </w:r>
      <w:r w:rsidR="00C13C75" w:rsidRPr="00C13C75">
        <w:rPr>
          <w:rStyle w:val="FootnoteReference"/>
          <w:vertAlign w:val="baseline"/>
        </w:rPr>
        <w:t> </w:t>
      </w:r>
      <w:r w:rsidRPr="00C13C75">
        <w:rPr>
          <w:rStyle w:val="FootnoteReference"/>
          <w:vertAlign w:val="baseline"/>
        </w:rPr>
        <w:t>r.</w:t>
      </w:r>
    </w:p>
  </w:footnote>
  <w:footnote w:id="23">
    <w:p w14:paraId="49B36E34" w14:textId="5487E715" w:rsidR="00C8422A" w:rsidRPr="004E20DD" w:rsidRDefault="00C8422A">
      <w:pPr>
        <w:pStyle w:val="FootnoteText"/>
      </w:pPr>
      <w:r>
        <w:rPr>
          <w:rStyle w:val="FootnoteReference"/>
        </w:rPr>
        <w:footnoteRef/>
      </w:r>
      <w:r>
        <w:tab/>
        <w:t xml:space="preserve">Zob. </w:t>
      </w:r>
      <w:hyperlink r:id="rId4" w:history="1">
        <w:r>
          <w:rPr>
            <w:rStyle w:val="Hyperlink"/>
          </w:rPr>
          <w:t>komunikat Komisji</w:t>
        </w:r>
        <w:r w:rsidR="00C13C75">
          <w:rPr>
            <w:rStyle w:val="Hyperlink"/>
          </w:rPr>
          <w:t xml:space="preserve"> w spr</w:t>
        </w:r>
        <w:r>
          <w:rPr>
            <w:rStyle w:val="Hyperlink"/>
          </w:rPr>
          <w:t>awie Europejskiej strategii na rzecz szkół wyższych</w:t>
        </w:r>
      </w:hyperlink>
      <w:r w:rsidR="00C13C75">
        <w:t xml:space="preserve"> z dni</w:t>
      </w:r>
      <w:r>
        <w:t>a 18.01.20</w:t>
      </w:r>
      <w:r w:rsidRPr="00C13C75">
        <w:t>22</w:t>
      </w:r>
      <w:r w:rsidR="00C13C75" w:rsidRPr="00C13C75">
        <w:t> </w:t>
      </w:r>
      <w:r w:rsidRPr="00C13C75">
        <w:t>r.</w:t>
      </w:r>
      <w:r>
        <w:t xml:space="preserve">, COM(2022) 16 final, oraz </w:t>
      </w:r>
      <w:hyperlink r:id="rId5" w:history="1">
        <w:r>
          <w:rPr>
            <w:rStyle w:val="Hyperlink"/>
          </w:rPr>
          <w:t>„Inicjatywa Uniwersytety Europejskie”</w:t>
        </w:r>
      </w:hyperlink>
      <w:r>
        <w:t>.</w:t>
      </w:r>
    </w:p>
  </w:footnote>
  <w:footnote w:id="24">
    <w:p w14:paraId="039797A9" w14:textId="2DF1454F" w:rsidR="00C8422A" w:rsidRPr="004C0056" w:rsidRDefault="00C8422A" w:rsidP="00945994">
      <w:pPr>
        <w:pStyle w:val="FootnoteText"/>
      </w:pPr>
      <w:r>
        <w:rPr>
          <w:rStyle w:val="FootnoteReference"/>
        </w:rPr>
        <w:footnoteRef/>
      </w:r>
      <w:r>
        <w:tab/>
      </w:r>
      <w:r>
        <w:rPr>
          <w:rStyle w:val="FootnoteReference"/>
          <w:vertAlign w:val="baseline"/>
        </w:rPr>
        <w:t xml:space="preserve">Zob. </w:t>
      </w:r>
      <w:hyperlink r:id="rId6" w:history="1">
        <w:r>
          <w:rPr>
            <w:rStyle w:val="FootnoteReference"/>
            <w:vertAlign w:val="baseline"/>
          </w:rPr>
          <w:t>zaproszenie do zgłaszania uwag</w:t>
        </w:r>
      </w:hyperlink>
      <w:r w:rsidR="00C13C75">
        <w:rPr>
          <w:rStyle w:val="FootnoteReference"/>
          <w:vertAlign w:val="baseline"/>
        </w:rPr>
        <w:t xml:space="preserve"> z 1</w:t>
      </w:r>
      <w:r>
        <w:rPr>
          <w:rStyle w:val="FootnoteReference"/>
          <w:vertAlign w:val="baseline"/>
        </w:rPr>
        <w:t>6 lutego 20</w:t>
      </w:r>
      <w:r w:rsidRPr="00C13C75">
        <w:rPr>
          <w:rStyle w:val="FootnoteReference"/>
          <w:vertAlign w:val="baseline"/>
        </w:rPr>
        <w:t>23</w:t>
      </w:r>
      <w:r w:rsidR="00C13C75" w:rsidRPr="00C13C75">
        <w:rPr>
          <w:rStyle w:val="FootnoteReference"/>
          <w:vertAlign w:val="baseline"/>
        </w:rPr>
        <w:t> </w:t>
      </w:r>
      <w:r w:rsidRPr="00C13C75">
        <w:rPr>
          <w:rStyle w:val="FootnoteReference"/>
          <w:vertAlign w:val="baseline"/>
        </w:rPr>
        <w:t>r.</w:t>
      </w:r>
    </w:p>
  </w:footnote>
  <w:footnote w:id="25">
    <w:p w14:paraId="69A1EEE8" w14:textId="606FFD6D" w:rsidR="00C8422A" w:rsidRPr="008F227B" w:rsidRDefault="00C8422A">
      <w:pPr>
        <w:pStyle w:val="FootnoteText"/>
      </w:pPr>
      <w:r>
        <w:rPr>
          <w:rStyle w:val="FootnoteReference"/>
        </w:rPr>
        <w:footnoteRef/>
      </w:r>
      <w:r>
        <w:tab/>
        <w:t>Rozporządzenie Parlamentu Europejskiego</w:t>
      </w:r>
      <w:r w:rsidR="00C13C75">
        <w:t xml:space="preserve"> i Rad</w:t>
      </w:r>
      <w:r>
        <w:t xml:space="preserve">y (UE) </w:t>
      </w:r>
      <w:r w:rsidRPr="00C13C75">
        <w:t>nr</w:t>
      </w:r>
      <w:r w:rsidR="00C13C75" w:rsidRPr="00C13C75">
        <w:t> </w:t>
      </w:r>
      <w:r w:rsidRPr="00C13C75">
        <w:t>1</w:t>
      </w:r>
      <w:r>
        <w:t>024/2012</w:t>
      </w:r>
      <w:r w:rsidR="00C13C75">
        <w:t xml:space="preserve"> z dni</w:t>
      </w:r>
      <w:r>
        <w:t>a 25 października 20</w:t>
      </w:r>
      <w:r w:rsidRPr="00C13C75">
        <w:t>12</w:t>
      </w:r>
      <w:r w:rsidR="00C13C75" w:rsidRPr="00C13C75">
        <w:t> </w:t>
      </w:r>
      <w:r w:rsidRPr="00C13C75">
        <w:t>r.</w:t>
      </w:r>
      <w:r w:rsidR="00C13C75">
        <w:t xml:space="preserve"> w spr</w:t>
      </w:r>
      <w:r>
        <w:t>awie współpracy administracyjnej za pośrednictwem systemu wymiany informacji na rynku wewnętrznym</w:t>
      </w:r>
      <w:r w:rsidR="00C13C75">
        <w:t xml:space="preserve"> i uch</w:t>
      </w:r>
      <w:r>
        <w:t>ylające decyzję Komisji 2008/49/WE (Dz.U. L 316</w:t>
      </w:r>
      <w:r w:rsidR="00C13C75">
        <w:t xml:space="preserve"> z 1</w:t>
      </w:r>
      <w:r>
        <w:t xml:space="preserve">4.11.2012, s. 1). </w:t>
      </w:r>
    </w:p>
  </w:footnote>
  <w:footnote w:id="26">
    <w:p w14:paraId="0457232F" w14:textId="091D76A9" w:rsidR="00C8422A" w:rsidRPr="008F227B" w:rsidRDefault="00C8422A">
      <w:pPr>
        <w:pStyle w:val="FootnoteText"/>
      </w:pPr>
      <w:r>
        <w:rPr>
          <w:rStyle w:val="FootnoteReference"/>
        </w:rPr>
        <w:footnoteRef/>
      </w:r>
      <w:r>
        <w:tab/>
        <w:t>Rozporządzenie Parlamentu Europejskiego</w:t>
      </w:r>
      <w:r w:rsidR="00C13C75">
        <w:t xml:space="preserve"> i Rad</w:t>
      </w:r>
      <w:r>
        <w:t>y (UE) 2018/1724</w:t>
      </w:r>
      <w:r w:rsidR="00C13C75">
        <w:t xml:space="preserve"> z dni</w:t>
      </w:r>
      <w:r>
        <w:t>a 2 października 20</w:t>
      </w:r>
      <w:r w:rsidRPr="00C13C75">
        <w:t>18</w:t>
      </w:r>
      <w:r w:rsidR="00C13C75" w:rsidRPr="00C13C75">
        <w:t> </w:t>
      </w:r>
      <w:r w:rsidRPr="00C13C75">
        <w:t>r.</w:t>
      </w:r>
      <w:r w:rsidR="00C13C75">
        <w:t xml:space="preserve"> w spr</w:t>
      </w:r>
      <w:r>
        <w:t>awie utworzenia jednolitego portalu cyfrowego</w:t>
      </w:r>
      <w:r w:rsidR="00C13C75">
        <w:t xml:space="preserve"> w cel</w:t>
      </w:r>
      <w:r>
        <w:t>u zapewnienia dostępu do informacji, procedur oraz usług wsparcia</w:t>
      </w:r>
      <w:r w:rsidR="00C13C75">
        <w:t xml:space="preserve"> i roz</w:t>
      </w:r>
      <w:r>
        <w:t>wiązywania problemów,</w:t>
      </w:r>
      <w:r w:rsidR="00C13C75">
        <w:t xml:space="preserve"> a tak</w:t>
      </w:r>
      <w:r>
        <w:t xml:space="preserve">że zmieniające rozporządzenie (UE) </w:t>
      </w:r>
      <w:r w:rsidRPr="00C13C75">
        <w:t>nr</w:t>
      </w:r>
      <w:r w:rsidR="00C13C75" w:rsidRPr="00C13C75">
        <w:t> </w:t>
      </w:r>
      <w:r w:rsidRPr="00C13C75">
        <w:t>1</w:t>
      </w:r>
      <w:r>
        <w:t>024/2012 (Dz.U. L 295</w:t>
      </w:r>
      <w:r w:rsidR="00C13C75">
        <w:t xml:space="preserve"> z 2</w:t>
      </w:r>
      <w:r>
        <w:t>1.11.2018, s. 1).</w:t>
      </w:r>
    </w:p>
  </w:footnote>
  <w:footnote w:id="27">
    <w:p w14:paraId="1DED80F1" w14:textId="236A876B" w:rsidR="00C8422A" w:rsidRPr="004E20DD" w:rsidRDefault="00C8422A" w:rsidP="00215691">
      <w:pPr>
        <w:pStyle w:val="FootnoteText"/>
      </w:pPr>
      <w:r>
        <w:rPr>
          <w:rStyle w:val="FootnoteReference"/>
        </w:rPr>
        <w:footnoteRef/>
      </w:r>
      <w:r>
        <w:tab/>
      </w:r>
      <w:hyperlink r:id="rId7" w:tgtFrame="_blank" w:history="1">
        <w:r>
          <w:rPr>
            <w:rStyle w:val="normaltextrun"/>
          </w:rPr>
          <w:t>Jednolity rynek – wniosek dotyczący inicjatywy ustawodawczej</w:t>
        </w:r>
        <w:r w:rsidR="00C13C75">
          <w:rPr>
            <w:rStyle w:val="normaltextrun"/>
          </w:rPr>
          <w:t xml:space="preserve"> w spr</w:t>
        </w:r>
        <w:r>
          <w:rPr>
            <w:rStyle w:val="normaltextrun"/>
          </w:rPr>
          <w:t>awie transgranicznej działalności stowarzyszeń (europa.eu)</w:t>
        </w:r>
      </w:hyperlink>
      <w:r>
        <w:rPr>
          <w:rStyle w:val="normaltextrun"/>
        </w:rPr>
        <w:t>.</w:t>
      </w:r>
    </w:p>
  </w:footnote>
  <w:footnote w:id="28">
    <w:p w14:paraId="3B78603D" w14:textId="378FBDE8" w:rsidR="00C8422A" w:rsidRPr="004E20DD" w:rsidRDefault="00C8422A" w:rsidP="00215691">
      <w:pPr>
        <w:pStyle w:val="FootnoteText"/>
      </w:pPr>
      <w:r>
        <w:rPr>
          <w:rStyle w:val="FootnoteReference"/>
        </w:rPr>
        <w:footnoteRef/>
      </w:r>
      <w:r>
        <w:tab/>
      </w:r>
      <w:r>
        <w:rPr>
          <w:rStyle w:val="FootnoteReference"/>
          <w:vertAlign w:val="baseline"/>
        </w:rPr>
        <w:t>Przykładowo</w:t>
      </w:r>
      <w:r w:rsidR="00C13C75">
        <w:rPr>
          <w:rStyle w:val="FootnoteReference"/>
          <w:vertAlign w:val="baseline"/>
        </w:rPr>
        <w:t xml:space="preserve"> w kon</w:t>
      </w:r>
      <w:r>
        <w:rPr>
          <w:rStyle w:val="FootnoteReference"/>
          <w:vertAlign w:val="baseline"/>
        </w:rPr>
        <w:t>sultacjach publicznych (64 odpowiedzi) większość respondentów (</w:t>
      </w:r>
      <w:r w:rsidRPr="00C13C75">
        <w:rPr>
          <w:rStyle w:val="FootnoteReference"/>
          <w:vertAlign w:val="baseline"/>
        </w:rPr>
        <w:t>tj.</w:t>
      </w:r>
      <w:r w:rsidR="00C13C75" w:rsidRPr="00C13C75">
        <w:rPr>
          <w:rStyle w:val="FootnoteReference"/>
          <w:vertAlign w:val="baseline"/>
        </w:rPr>
        <w:t> </w:t>
      </w:r>
      <w:r w:rsidRPr="00C13C75">
        <w:rPr>
          <w:rStyle w:val="FootnoteReference"/>
          <w:vertAlign w:val="baseline"/>
        </w:rPr>
        <w:t>73</w:t>
      </w:r>
      <w:r w:rsidR="00C13C75" w:rsidRPr="00C13C75">
        <w:rPr>
          <w:rStyle w:val="FootnoteReference"/>
          <w:vertAlign w:val="baseline"/>
        </w:rPr>
        <w:t> </w:t>
      </w:r>
      <w:r w:rsidRPr="00C13C75">
        <w:rPr>
          <w:rStyle w:val="FootnoteReference"/>
          <w:vertAlign w:val="baseline"/>
        </w:rPr>
        <w:t>%</w:t>
      </w:r>
      <w:r>
        <w:rPr>
          <w:rStyle w:val="FootnoteReference"/>
          <w:vertAlign w:val="baseline"/>
        </w:rPr>
        <w:t>; 47 spośród 64) poparła działania UE mające na celu ułatwienie transgranicznej działalności stowarzyszeń na jednolitym rynku</w:t>
      </w:r>
    </w:p>
  </w:footnote>
  <w:footnote w:id="29">
    <w:p w14:paraId="1410D0F7" w14:textId="72268BFF" w:rsidR="00C8422A" w:rsidRPr="004E20DD" w:rsidRDefault="00C8422A" w:rsidP="00594AB3">
      <w:pPr>
        <w:pStyle w:val="FootnoteText"/>
      </w:pPr>
      <w:r>
        <w:rPr>
          <w:rStyle w:val="FootnoteReference"/>
        </w:rPr>
        <w:footnoteRef/>
      </w:r>
      <w:r>
        <w:tab/>
      </w:r>
      <w:hyperlink r:id="rId8" w:history="1">
        <w:r>
          <w:rPr>
            <w:rStyle w:val="Hyperlink"/>
            <w:u w:val="none"/>
          </w:rPr>
          <w:t>Statut europejskich transgranicznych stowarzyszeń</w:t>
        </w:r>
        <w:r w:rsidR="00C13C75">
          <w:rPr>
            <w:rStyle w:val="Hyperlink"/>
            <w:u w:val="none"/>
          </w:rPr>
          <w:t xml:space="preserve"> i org</w:t>
        </w:r>
        <w:r>
          <w:rPr>
            <w:rStyle w:val="Hyperlink"/>
            <w:u w:val="none"/>
          </w:rPr>
          <w:t>anizacji nienastawionych na zysk. Potencjalne korzyści |</w:t>
        </w:r>
      </w:hyperlink>
      <w:hyperlink r:id="rId9" w:history="1">
        <w:r>
          <w:rPr>
            <w:rStyle w:val="Hyperlink"/>
            <w:u w:val="none"/>
          </w:rPr>
          <w:t xml:space="preserve"> Think Tank |</w:t>
        </w:r>
      </w:hyperlink>
      <w:hyperlink r:id="rId10" w:history="1">
        <w:r>
          <w:rPr>
            <w:rStyle w:val="Hyperlink"/>
            <w:u w:val="none"/>
          </w:rPr>
          <w:t xml:space="preserve"> Parlament Europejski (europa.eu)</w:t>
        </w:r>
      </w:hyperlink>
      <w:r>
        <w:rPr>
          <w:rStyle w:val="Hyperlink"/>
          <w:u w:val="none"/>
        </w:rPr>
        <w:t>.</w:t>
      </w:r>
    </w:p>
  </w:footnote>
  <w:footnote w:id="30">
    <w:p w14:paraId="642D4E2C" w14:textId="4AF91B78" w:rsidR="00C8422A" w:rsidRPr="004E20DD" w:rsidRDefault="00C8422A">
      <w:pPr>
        <w:pStyle w:val="FootnoteText"/>
      </w:pPr>
      <w:r>
        <w:rPr>
          <w:rStyle w:val="FootnoteReference"/>
        </w:rPr>
        <w:footnoteRef/>
      </w:r>
      <w:r>
        <w:tab/>
        <w:t>Jak opisano</w:t>
      </w:r>
      <w:r w:rsidR="00C13C75">
        <w:t xml:space="preserve"> w sek</w:t>
      </w:r>
      <w:r>
        <w:t>cji 6</w:t>
      </w:r>
      <w:r w:rsidR="00C13C75">
        <w:t xml:space="preserve"> i 7</w:t>
      </w:r>
      <w:r>
        <w:t xml:space="preserve"> sprawozdania</w:t>
      </w:r>
      <w:r w:rsidR="00C13C75">
        <w:t xml:space="preserve"> z oce</w:t>
      </w:r>
      <w:r>
        <w:t>ny skutków.</w:t>
      </w:r>
    </w:p>
  </w:footnote>
  <w:footnote w:id="31">
    <w:p w14:paraId="391CE1E6" w14:textId="5F1F51CB" w:rsidR="00C8422A" w:rsidRPr="004C0056" w:rsidRDefault="00C8422A">
      <w:pPr>
        <w:pStyle w:val="FootnoteText"/>
      </w:pPr>
      <w:r>
        <w:rPr>
          <w:rStyle w:val="FootnoteReference"/>
        </w:rPr>
        <w:footnoteRef/>
      </w:r>
      <w:r>
        <w:tab/>
        <w:t>Zob. sprawozdanie</w:t>
      </w:r>
      <w:r w:rsidR="00C13C75">
        <w:t xml:space="preserve"> z oce</w:t>
      </w:r>
      <w:r>
        <w:t>ny skutków, sekcja 6.3 „WS3: Stworzenie dodatkowej krajowej formy prawnej stowarzyszenia przeznaczonej na potrzeby transgranicznego członkostwa lub transgranicznych celów lub działań”, s. 64–67. Dalsze wyjaśnienia dotyczące obliczeń, których wynikiem są dane liczbowe przedstawione</w:t>
      </w:r>
      <w:r w:rsidR="00C13C75">
        <w:t xml:space="preserve"> w sek</w:t>
      </w:r>
      <w:r>
        <w:t>cji 6.3 (oraz inne dane liczbowe przedstawione</w:t>
      </w:r>
      <w:r w:rsidR="00C13C75">
        <w:t xml:space="preserve"> w kon</w:t>
      </w:r>
      <w:r>
        <w:t>tekście oceny skutków towarzyszącej niniejszej inicjatywie ustawodawczej) można znaleźć</w:t>
      </w:r>
      <w:r w:rsidR="00C13C75">
        <w:t xml:space="preserve"> w sek</w:t>
      </w:r>
      <w:r>
        <w:t>cjach 2, 6, 7</w:t>
      </w:r>
      <w:r w:rsidR="00C13C75">
        <w:t xml:space="preserve"> i 8</w:t>
      </w:r>
      <w:r>
        <w:t xml:space="preserve"> sprawozdania</w:t>
      </w:r>
      <w:r w:rsidR="00C13C75">
        <w:t xml:space="preserve"> z oce</w:t>
      </w:r>
      <w:r>
        <w:t>ny skutków oraz</w:t>
      </w:r>
      <w:r w:rsidR="00C13C75">
        <w:t xml:space="preserve"> w zał</w:t>
      </w:r>
      <w:r>
        <w:t>ącznikach 3, 4</w:t>
      </w:r>
      <w:r w:rsidR="00C13C75">
        <w:t xml:space="preserve"> i 6</w:t>
      </w:r>
      <w:r>
        <w:t xml:space="preserve"> do sprawozdania</w:t>
      </w:r>
      <w:r w:rsidR="00C13C75">
        <w:t xml:space="preserve"> z oce</w:t>
      </w:r>
      <w:r>
        <w:t>ny skutków.</w:t>
      </w:r>
    </w:p>
  </w:footnote>
  <w:footnote w:id="32">
    <w:p w14:paraId="24130E52" w14:textId="010039E5" w:rsidR="00C8422A" w:rsidRPr="004E20DD" w:rsidRDefault="00C8422A">
      <w:pPr>
        <w:pStyle w:val="FootnoteText"/>
      </w:pPr>
      <w:r>
        <w:rPr>
          <w:rStyle w:val="FootnoteReference"/>
        </w:rPr>
        <w:footnoteRef/>
      </w:r>
      <w:r>
        <w:tab/>
        <w:t>Rozporządzenie Parlamentu Europejskiego</w:t>
      </w:r>
      <w:r w:rsidR="00C13C75">
        <w:t xml:space="preserve"> i Rad</w:t>
      </w:r>
      <w:r>
        <w:t>y (UE) 2018/1724</w:t>
      </w:r>
      <w:r w:rsidR="00C13C75">
        <w:t xml:space="preserve"> z dni</w:t>
      </w:r>
      <w:r>
        <w:t>a 2 października 20</w:t>
      </w:r>
      <w:r w:rsidRPr="00C13C75">
        <w:t>18</w:t>
      </w:r>
      <w:r w:rsidR="00C13C75" w:rsidRPr="00C13C75">
        <w:t> </w:t>
      </w:r>
      <w:r w:rsidRPr="00C13C75">
        <w:t>r.</w:t>
      </w:r>
      <w:r w:rsidR="00C13C75">
        <w:t xml:space="preserve"> w spr</w:t>
      </w:r>
      <w:r>
        <w:t>awie utworzenia jednolitego portalu cyfrowego</w:t>
      </w:r>
      <w:r w:rsidR="00C13C75">
        <w:t xml:space="preserve"> w cel</w:t>
      </w:r>
      <w:r>
        <w:t>u zapewnienia dostępu do informacji, procedur oraz usług wsparcia</w:t>
      </w:r>
      <w:r w:rsidR="00C13C75">
        <w:t xml:space="preserve"> i roz</w:t>
      </w:r>
      <w:r>
        <w:t>wiązywania problemów,</w:t>
      </w:r>
      <w:r w:rsidR="00C13C75">
        <w:t xml:space="preserve"> a tak</w:t>
      </w:r>
      <w:r>
        <w:t xml:space="preserve">że zmieniające rozporządzenie (UE) </w:t>
      </w:r>
      <w:r w:rsidRPr="00C13C75">
        <w:t>nr</w:t>
      </w:r>
      <w:r w:rsidR="00C13C75" w:rsidRPr="00C13C75">
        <w:t> </w:t>
      </w:r>
      <w:r w:rsidRPr="00C13C75">
        <w:t>1</w:t>
      </w:r>
      <w:r>
        <w:t>024/2012 (Dz.U. L 295</w:t>
      </w:r>
      <w:r w:rsidR="00C13C75">
        <w:t xml:space="preserve"> z 2</w:t>
      </w:r>
      <w:r>
        <w:t>1.11.2018, s. 1).</w:t>
      </w:r>
    </w:p>
  </w:footnote>
  <w:footnote w:id="33">
    <w:p w14:paraId="0A192A7F" w14:textId="7A67DC85" w:rsidR="00C8422A" w:rsidRPr="004E20DD" w:rsidRDefault="00C8422A">
      <w:pPr>
        <w:pStyle w:val="FootnoteText"/>
      </w:pPr>
      <w:r>
        <w:rPr>
          <w:rStyle w:val="FootnoteReference"/>
        </w:rPr>
        <w:footnoteRef/>
      </w:r>
      <w:r>
        <w:tab/>
        <w:t xml:space="preserve">Sygn. </w:t>
      </w:r>
      <w:r w:rsidR="009C6834">
        <w:t>O</w:t>
      </w:r>
      <w:r>
        <w:t>pinii</w:t>
      </w:r>
      <w:r w:rsidR="009C6834">
        <w:t>.</w:t>
      </w:r>
    </w:p>
  </w:footnote>
  <w:footnote w:id="34">
    <w:p w14:paraId="0280014A" w14:textId="213EAE6C" w:rsidR="00C8422A" w:rsidRPr="00EF1CD5" w:rsidRDefault="00C8422A">
      <w:pPr>
        <w:pStyle w:val="FootnoteText"/>
      </w:pPr>
      <w:r>
        <w:rPr>
          <w:rStyle w:val="FootnoteReference"/>
        </w:rPr>
        <w:footnoteRef/>
      </w:r>
      <w:r>
        <w:tab/>
        <w:t>Statut europejskich transgranicznych stowarzyszeń</w:t>
      </w:r>
      <w:r w:rsidR="00C13C75">
        <w:t xml:space="preserve"> i org</w:t>
      </w:r>
      <w:r>
        <w:t>anizacji nienastawionych na zysk. Rezolucja Parlamentu Europejskiego</w:t>
      </w:r>
      <w:r w:rsidR="00C13C75">
        <w:t xml:space="preserve"> z dni</w:t>
      </w:r>
      <w:r>
        <w:t>a 17 lutego 20</w:t>
      </w:r>
      <w:r w:rsidRPr="00C13C75">
        <w:t>22</w:t>
      </w:r>
      <w:r w:rsidR="00C13C75" w:rsidRPr="00C13C75">
        <w:t> </w:t>
      </w:r>
      <w:r w:rsidRPr="00C13C75">
        <w:t>r.</w:t>
      </w:r>
      <w:r>
        <w:t xml:space="preserve"> zawierająca zalecenia dla Komisji</w:t>
      </w:r>
      <w:r w:rsidR="00C13C75">
        <w:t xml:space="preserve"> w spr</w:t>
      </w:r>
      <w:r>
        <w:t>awie statutu europejskich stowarzyszeń transgranicznych</w:t>
      </w:r>
      <w:r w:rsidR="00C13C75">
        <w:t xml:space="preserve"> i org</w:t>
      </w:r>
      <w:r>
        <w:t>anizacji niekomercyjnych (2020/2026(INL)) (2022/C 342/17) (Dz.U. C 342</w:t>
      </w:r>
      <w:r w:rsidR="00C13C75">
        <w:t xml:space="preserve"> z 6</w:t>
      </w:r>
      <w:r>
        <w:t>.9.2022, s. 225).</w:t>
      </w:r>
    </w:p>
  </w:footnote>
  <w:footnote w:id="35">
    <w:p w14:paraId="03BE1B60" w14:textId="2A7EC614" w:rsidR="00C8422A" w:rsidRPr="00132789" w:rsidRDefault="00C8422A" w:rsidP="00E176A8">
      <w:pPr>
        <w:pStyle w:val="FootnoteText"/>
      </w:pPr>
      <w:r>
        <w:rPr>
          <w:rStyle w:val="FootnoteReference"/>
        </w:rPr>
        <w:footnoteRef/>
      </w:r>
      <w:r>
        <w:tab/>
        <w:t>Komunikat Komisji do Parlamentu Europejskiego, Rady, Europejskiego Komitetu Ekonomiczno-Społecznego</w:t>
      </w:r>
      <w:r w:rsidR="00C13C75">
        <w:t xml:space="preserve"> i Kom</w:t>
      </w:r>
      <w:r>
        <w:t>itetu Regionów „Budowanie gospodarki służącej ludziom: plan działania na rzecz gospodarki społecznej”, COM(2021) 778 final.</w:t>
      </w:r>
    </w:p>
  </w:footnote>
  <w:footnote w:id="36">
    <w:p w14:paraId="2F2CDACA" w14:textId="3A48E1B2" w:rsidR="00C8422A" w:rsidRPr="00132789" w:rsidRDefault="00C8422A">
      <w:pPr>
        <w:pStyle w:val="FootnoteText"/>
      </w:pPr>
      <w:r>
        <w:rPr>
          <w:rStyle w:val="FootnoteReference"/>
        </w:rPr>
        <w:footnoteRef/>
      </w:r>
      <w:r>
        <w:tab/>
        <w:t>Rezolucja Parlamentu Europejskiego</w:t>
      </w:r>
      <w:r w:rsidR="00C13C75">
        <w:t xml:space="preserve"> z dni</w:t>
      </w:r>
      <w:r>
        <w:t>a 6 lipca 20</w:t>
      </w:r>
      <w:r w:rsidRPr="00C13C75">
        <w:t>22</w:t>
      </w:r>
      <w:r w:rsidR="00C13C75" w:rsidRPr="00C13C75">
        <w:t> </w:t>
      </w:r>
      <w:r w:rsidRPr="00C13C75">
        <w:t>r.</w:t>
      </w:r>
      <w:r w:rsidR="00C13C75">
        <w:t xml:space="preserve"> w spr</w:t>
      </w:r>
      <w:r>
        <w:t>awie planu działania UE na rzecz gospodarki społecznej (2021/2179(INI)).</w:t>
      </w:r>
    </w:p>
  </w:footnote>
  <w:footnote w:id="37">
    <w:p w14:paraId="66D24898" w14:textId="517D01A0" w:rsidR="00C8422A" w:rsidRPr="00132789" w:rsidRDefault="00C8422A">
      <w:pPr>
        <w:pStyle w:val="FootnoteText"/>
      </w:pPr>
      <w:r>
        <w:rPr>
          <w:rStyle w:val="FootnoteReference"/>
        </w:rPr>
        <w:footnoteRef/>
      </w:r>
      <w:r>
        <w:tab/>
        <w:t>Zalecenie Rady</w:t>
      </w:r>
      <w:r w:rsidR="00C13C75">
        <w:t xml:space="preserve"> w spr</w:t>
      </w:r>
      <w:r>
        <w:t xml:space="preserve">awie opracowania warunków ramowych gospodarki społecznej, COM(2023) 316 final. </w:t>
      </w:r>
    </w:p>
  </w:footnote>
  <w:footnote w:id="38">
    <w:p w14:paraId="2C37DC47" w14:textId="77777777" w:rsidR="00C8422A" w:rsidRPr="00132789" w:rsidRDefault="00C8422A">
      <w:pPr>
        <w:pStyle w:val="FootnoteText"/>
      </w:pPr>
      <w:r>
        <w:rPr>
          <w:rStyle w:val="FootnoteReference"/>
        </w:rPr>
        <w:footnoteRef/>
      </w:r>
      <w:r>
        <w:tab/>
        <w:t>Dokument roboczy służb Komisji „Odpowiednie ramy podatkowe dla podmiotów gospodarki społecznej”, SWD(2023) 211 final.</w:t>
      </w:r>
    </w:p>
  </w:footnote>
  <w:footnote w:id="39">
    <w:p w14:paraId="760A64E9" w14:textId="465CADE1" w:rsidR="00C8422A" w:rsidRPr="00132789" w:rsidRDefault="00C8422A">
      <w:pPr>
        <w:pStyle w:val="FootnoteText"/>
      </w:pPr>
      <w:r>
        <w:rPr>
          <w:rStyle w:val="FootnoteReference"/>
        </w:rPr>
        <w:footnoteRef/>
      </w:r>
      <w:r>
        <w:tab/>
        <w:t>Dokument roboczy służb Komisji „Niedyskryminacyjne opodatkowanie organizacji charytatywnych</w:t>
      </w:r>
      <w:r w:rsidR="00C13C75">
        <w:t xml:space="preserve"> i ich</w:t>
      </w:r>
      <w:r>
        <w:t xml:space="preserve"> darczyńców: zasady wynikające</w:t>
      </w:r>
      <w:r w:rsidR="00C13C75">
        <w:t xml:space="preserve"> z orz</w:t>
      </w:r>
      <w:r>
        <w:t>ecznictwa UE”, SWD(2023) 212 final.</w:t>
      </w:r>
    </w:p>
  </w:footnote>
  <w:footnote w:id="40">
    <w:p w14:paraId="07CE25AD" w14:textId="155DE910" w:rsidR="00C8422A" w:rsidRPr="00132789" w:rsidRDefault="00C8422A">
      <w:pPr>
        <w:pStyle w:val="FootnoteText"/>
      </w:pPr>
      <w:r>
        <w:rPr>
          <w:rStyle w:val="FootnoteReference"/>
        </w:rPr>
        <w:footnoteRef/>
      </w:r>
      <w:r>
        <w:tab/>
        <w:t>Rozporządzenie Parlamentu Europejskiego</w:t>
      </w:r>
      <w:r w:rsidR="00C13C75">
        <w:t xml:space="preserve"> i Rad</w:t>
      </w:r>
      <w:r>
        <w:t xml:space="preserve">y (UE, Euratom) </w:t>
      </w:r>
      <w:r w:rsidRPr="00C13C75">
        <w:t>nr</w:t>
      </w:r>
      <w:r w:rsidR="00C13C75" w:rsidRPr="00C13C75">
        <w:t> </w:t>
      </w:r>
      <w:r w:rsidRPr="00C13C75">
        <w:t>1</w:t>
      </w:r>
      <w:r>
        <w:t>141/2014</w:t>
      </w:r>
      <w:r w:rsidR="00C13C75">
        <w:t xml:space="preserve"> z dni</w:t>
      </w:r>
      <w:r>
        <w:t>a 22 października 20</w:t>
      </w:r>
      <w:r w:rsidRPr="00C13C75">
        <w:t>14</w:t>
      </w:r>
      <w:r w:rsidR="00C13C75" w:rsidRPr="00C13C75">
        <w:t> </w:t>
      </w:r>
      <w:r w:rsidRPr="00C13C75">
        <w:t>r.</w:t>
      </w:r>
      <w:r w:rsidR="00C13C75">
        <w:t xml:space="preserve"> w spr</w:t>
      </w:r>
      <w:r>
        <w:t>awie statusu</w:t>
      </w:r>
      <w:r w:rsidR="00C13C75">
        <w:t xml:space="preserve"> i fin</w:t>
      </w:r>
      <w:r>
        <w:t>ansowania europejskich partii politycznych</w:t>
      </w:r>
      <w:r w:rsidR="00C13C75">
        <w:t xml:space="preserve"> i eur</w:t>
      </w:r>
      <w:r>
        <w:t>opejskich fundacji politycznych (Dz.U. L 317</w:t>
      </w:r>
      <w:r w:rsidR="00C13C75">
        <w:t xml:space="preserve"> z 4</w:t>
      </w:r>
      <w:r>
        <w:t>.11.2014, s. 1).</w:t>
      </w:r>
    </w:p>
  </w:footnote>
  <w:footnote w:id="41">
    <w:p w14:paraId="0A880809" w14:textId="468A4336" w:rsidR="00C8422A" w:rsidRPr="007C1BC0" w:rsidRDefault="00C8422A">
      <w:pPr>
        <w:pStyle w:val="FootnoteText"/>
      </w:pPr>
      <w:r>
        <w:rPr>
          <w:rStyle w:val="FootnoteReference"/>
        </w:rPr>
        <w:footnoteRef/>
      </w:r>
      <w:r>
        <w:tab/>
        <w:t>Dyrektywa Parlamentu Europejskiego</w:t>
      </w:r>
      <w:r w:rsidR="00C13C75">
        <w:t xml:space="preserve"> i Rad</w:t>
      </w:r>
      <w:r>
        <w:t>y (UE) 2018/1673</w:t>
      </w:r>
      <w:r w:rsidR="00C13C75">
        <w:t xml:space="preserve"> z dni</w:t>
      </w:r>
      <w:r>
        <w:t>a 23 października 20</w:t>
      </w:r>
      <w:r w:rsidRPr="00C13C75">
        <w:t>18</w:t>
      </w:r>
      <w:r w:rsidR="00C13C75" w:rsidRPr="00C13C75">
        <w:t> </w:t>
      </w:r>
      <w:r w:rsidRPr="00C13C75">
        <w:t>r.</w:t>
      </w:r>
      <w:r w:rsidR="00C13C75">
        <w:t xml:space="preserve"> w spr</w:t>
      </w:r>
      <w:r>
        <w:t>awie zwalczania prania pieniędzy za pomocą środków prawnokarnych, Dz.U. L 284</w:t>
      </w:r>
      <w:r w:rsidR="00C13C75">
        <w:t xml:space="preserve"> z 1</w:t>
      </w:r>
      <w:r>
        <w:t>2.11.2018, s. 22.</w:t>
      </w:r>
    </w:p>
  </w:footnote>
  <w:footnote w:id="42">
    <w:p w14:paraId="1FA8FEDD" w14:textId="45362E8D" w:rsidR="00C8422A" w:rsidRPr="002127DA" w:rsidRDefault="00C8422A">
      <w:pPr>
        <w:pStyle w:val="FootnoteText"/>
      </w:pPr>
      <w:r>
        <w:rPr>
          <w:rStyle w:val="FootnoteReference"/>
        </w:rPr>
        <w:footnoteRef/>
      </w:r>
      <w:r>
        <w:tab/>
        <w:t>Dyrektywa 2006/123/WE Parlamentu Europejskiego</w:t>
      </w:r>
      <w:r w:rsidR="00C13C75">
        <w:t xml:space="preserve"> i Rad</w:t>
      </w:r>
      <w:r>
        <w:t>y</w:t>
      </w:r>
      <w:r w:rsidR="00C13C75">
        <w:t xml:space="preserve"> z dni</w:t>
      </w:r>
      <w:r>
        <w:t>a 12 grudnia 20</w:t>
      </w:r>
      <w:r w:rsidRPr="00C13C75">
        <w:t>06</w:t>
      </w:r>
      <w:r w:rsidR="00C13C75" w:rsidRPr="00C13C75">
        <w:t> </w:t>
      </w:r>
      <w:r w:rsidRPr="00C13C75">
        <w:t>r.</w:t>
      </w:r>
      <w:r>
        <w:t xml:space="preserve"> dotycząca usług na rynku wewnętrznym (Dz.U. L 376</w:t>
      </w:r>
      <w:r w:rsidR="00C13C75">
        <w:t xml:space="preserve"> z 2</w:t>
      </w:r>
      <w:r>
        <w:t>7.12.2006, s. 36).</w:t>
      </w:r>
    </w:p>
  </w:footnote>
  <w:footnote w:id="43">
    <w:p w14:paraId="3146239A" w14:textId="121E8B22" w:rsidR="00C8422A" w:rsidRPr="00EA480E" w:rsidRDefault="00C8422A">
      <w:pPr>
        <w:pStyle w:val="FootnoteText"/>
      </w:pPr>
      <w:r>
        <w:rPr>
          <w:rStyle w:val="FootnoteReference"/>
        </w:rPr>
        <w:footnoteRef/>
      </w:r>
      <w:r>
        <w:tab/>
        <w:t>COM(2022) 720.</w:t>
      </w:r>
    </w:p>
  </w:footnote>
  <w:footnote w:id="44">
    <w:p w14:paraId="6AD09113" w14:textId="51FFBE3B" w:rsidR="00C8422A" w:rsidRPr="004E20DD" w:rsidRDefault="00C8422A" w:rsidP="00E27C0A">
      <w:pPr>
        <w:pStyle w:val="FootnoteText"/>
      </w:pPr>
      <w:r>
        <w:rPr>
          <w:rStyle w:val="FootnoteReference"/>
        </w:rPr>
        <w:footnoteRef/>
      </w:r>
      <w:r>
        <w:tab/>
        <w:t>Rozporządzenie Parlamentu Europejskiego</w:t>
      </w:r>
      <w:r w:rsidR="00C13C75">
        <w:t xml:space="preserve"> i Rad</w:t>
      </w:r>
      <w:r>
        <w:t>y (UE) 2016/679</w:t>
      </w:r>
      <w:r w:rsidR="00C13C75">
        <w:t xml:space="preserve"> z dni</w:t>
      </w:r>
      <w:r>
        <w:t>a 27 kwietnia 20</w:t>
      </w:r>
      <w:r w:rsidRPr="00C13C75">
        <w:t>16</w:t>
      </w:r>
      <w:r w:rsidR="00C13C75" w:rsidRPr="00C13C75">
        <w:t> </w:t>
      </w:r>
      <w:r w:rsidRPr="00C13C75">
        <w:t>r.</w:t>
      </w:r>
      <w:r w:rsidR="00C13C75">
        <w:t xml:space="preserve"> w spr</w:t>
      </w:r>
      <w:r>
        <w:t>awie ochrony osób fizycznych</w:t>
      </w:r>
      <w:r w:rsidR="00C13C75">
        <w:t xml:space="preserve"> w zwi</w:t>
      </w:r>
      <w:r>
        <w:t>ązku</w:t>
      </w:r>
      <w:r w:rsidR="00C13C75">
        <w:t xml:space="preserve"> z prz</w:t>
      </w:r>
      <w:r>
        <w:t>etwarzaniem danych osobowych</w:t>
      </w:r>
      <w:r w:rsidR="00C13C75">
        <w:t xml:space="preserve"> i w spr</w:t>
      </w:r>
      <w:r>
        <w:t>awie swobodnego przepływu takich danych oraz uchylenia dyrektywy 95/46/WE (Dz.U. L 119</w:t>
      </w:r>
      <w:r w:rsidR="00C13C75">
        <w:t xml:space="preserve"> z 4</w:t>
      </w:r>
      <w:r>
        <w:t>.5.2016, s. 1).</w:t>
      </w:r>
    </w:p>
  </w:footnote>
  <w:footnote w:id="45">
    <w:p w14:paraId="5E5A86B4" w14:textId="72E459F4" w:rsidR="00C8422A" w:rsidRPr="004E20DD" w:rsidRDefault="00C8422A" w:rsidP="00445E47">
      <w:pPr>
        <w:pStyle w:val="FootnoteText"/>
      </w:pPr>
      <w:r>
        <w:rPr>
          <w:rStyle w:val="FootnoteReference"/>
        </w:rPr>
        <w:footnoteRef/>
      </w:r>
      <w:r>
        <w:tab/>
        <w:t>Rozporządzenie Parlamentu Europejskiego</w:t>
      </w:r>
      <w:r w:rsidR="00C13C75">
        <w:t xml:space="preserve"> i Rad</w:t>
      </w:r>
      <w:r>
        <w:t>y (UE) 2018/1725</w:t>
      </w:r>
      <w:r w:rsidR="00C13C75">
        <w:t xml:space="preserve"> z dni</w:t>
      </w:r>
      <w:r>
        <w:t>a 23 października 20</w:t>
      </w:r>
      <w:r w:rsidRPr="00C13C75">
        <w:t>18</w:t>
      </w:r>
      <w:r w:rsidR="00C13C75" w:rsidRPr="00C13C75">
        <w:t> </w:t>
      </w:r>
      <w:r w:rsidRPr="00C13C75">
        <w:t>r.</w:t>
      </w:r>
      <w:r w:rsidR="00C13C75">
        <w:t xml:space="preserve"> w spr</w:t>
      </w:r>
      <w:r>
        <w:t>awie ochrony osób fizycznych</w:t>
      </w:r>
      <w:r w:rsidR="00C13C75">
        <w:t xml:space="preserve"> w zwi</w:t>
      </w:r>
      <w:r>
        <w:t>ązku</w:t>
      </w:r>
      <w:r w:rsidR="00C13C75">
        <w:t xml:space="preserve"> z prz</w:t>
      </w:r>
      <w:r>
        <w:t>etwarzaniem danych osobowych przez instytucje, organy</w:t>
      </w:r>
      <w:r w:rsidR="00C13C75">
        <w:t xml:space="preserve"> i jed</w:t>
      </w:r>
      <w:r>
        <w:t>nostki organizacyjne Unii</w:t>
      </w:r>
      <w:r w:rsidR="00C13C75">
        <w:t xml:space="preserve"> i swo</w:t>
      </w:r>
      <w:r>
        <w:t xml:space="preserve">bodnego przepływu takich danych oraz uchylenia rozporządzenia (WE) </w:t>
      </w:r>
      <w:r w:rsidRPr="00C13C75">
        <w:t>nr</w:t>
      </w:r>
      <w:r w:rsidR="00C13C75" w:rsidRPr="00C13C75">
        <w:t> </w:t>
      </w:r>
      <w:r w:rsidRPr="00C13C75">
        <w:t>4</w:t>
      </w:r>
      <w:r>
        <w:t>5/2001</w:t>
      </w:r>
      <w:r w:rsidR="00C13C75">
        <w:t xml:space="preserve"> i dec</w:t>
      </w:r>
      <w:r>
        <w:t xml:space="preserve">yzji </w:t>
      </w:r>
      <w:r w:rsidRPr="00C13C75">
        <w:t>nr</w:t>
      </w:r>
      <w:r w:rsidR="00C13C75" w:rsidRPr="00C13C75">
        <w:t> </w:t>
      </w:r>
      <w:r w:rsidRPr="00C13C75">
        <w:t>1</w:t>
      </w:r>
      <w:r>
        <w:t>247/2002/WE (Dz.U. L 295</w:t>
      </w:r>
      <w:r w:rsidR="00C13C75">
        <w:t xml:space="preserve"> z 2</w:t>
      </w:r>
      <w:r>
        <w:t>1.11.2018, s. 39).</w:t>
      </w:r>
    </w:p>
  </w:footnote>
  <w:footnote w:id="46">
    <w:p w14:paraId="51EE8A85" w14:textId="3085B283" w:rsidR="00C8422A" w:rsidRPr="004C0056" w:rsidRDefault="00C8422A" w:rsidP="0017617E">
      <w:pPr>
        <w:pStyle w:val="FootnoteText"/>
      </w:pPr>
      <w:r>
        <w:rPr>
          <w:rStyle w:val="FootnoteReference"/>
        </w:rPr>
        <w:footnoteRef/>
      </w:r>
      <w:r>
        <w:tab/>
        <w:t>Rozporządzenie Parlamentu Europejskiego</w:t>
      </w:r>
      <w:r w:rsidR="00C13C75">
        <w:t xml:space="preserve"> i Rad</w:t>
      </w:r>
      <w:r>
        <w:t xml:space="preserve">y (UE) </w:t>
      </w:r>
      <w:r w:rsidRPr="00C13C75">
        <w:t>nr</w:t>
      </w:r>
      <w:r w:rsidR="00C13C75" w:rsidRPr="00C13C75">
        <w:t> </w:t>
      </w:r>
      <w:r w:rsidRPr="00C13C75">
        <w:t>1</w:t>
      </w:r>
      <w:r>
        <w:t>024/2012</w:t>
      </w:r>
      <w:r w:rsidR="00C13C75">
        <w:t xml:space="preserve"> z dni</w:t>
      </w:r>
      <w:r>
        <w:t>a 25 października 20</w:t>
      </w:r>
      <w:r w:rsidRPr="00C13C75">
        <w:t>12</w:t>
      </w:r>
      <w:r w:rsidR="00C13C75" w:rsidRPr="00C13C75">
        <w:t> </w:t>
      </w:r>
      <w:r w:rsidRPr="00C13C75">
        <w:t>r.</w:t>
      </w:r>
      <w:r w:rsidR="00C13C75">
        <w:t xml:space="preserve"> w spr</w:t>
      </w:r>
      <w:r>
        <w:t>awie współpracy administracyjnej za pośrednictwem systemu wymiany informacji na rynku wewnętrznym</w:t>
      </w:r>
      <w:r w:rsidR="00C13C75">
        <w:t xml:space="preserve"> i uch</w:t>
      </w:r>
      <w:r>
        <w:t>ylające decyzję Komisji 2008/49/WE (Dz.U. L 316</w:t>
      </w:r>
      <w:r w:rsidR="00C13C75">
        <w:t xml:space="preserve"> z 1</w:t>
      </w:r>
      <w:r>
        <w:t xml:space="preserve">4.11.2012, s. 1). </w:t>
      </w:r>
    </w:p>
  </w:footnote>
  <w:footnote w:id="47">
    <w:p w14:paraId="4744F612" w14:textId="786552C0" w:rsidR="00C8422A" w:rsidRPr="004C0056" w:rsidRDefault="00C8422A" w:rsidP="0017617E">
      <w:pPr>
        <w:pStyle w:val="FootnoteText"/>
      </w:pPr>
      <w:r>
        <w:rPr>
          <w:rStyle w:val="FootnoteReference"/>
        </w:rPr>
        <w:footnoteRef/>
      </w:r>
      <w:r>
        <w:tab/>
        <w:t>Dyrektywa 2002/14/WE Parlamentu Europejskiego</w:t>
      </w:r>
      <w:r w:rsidR="00C13C75">
        <w:t xml:space="preserve"> i Rad</w:t>
      </w:r>
      <w:r>
        <w:t>y</w:t>
      </w:r>
      <w:r w:rsidR="00C13C75">
        <w:t xml:space="preserve"> z dni</w:t>
      </w:r>
      <w:r>
        <w:t>a 11 marca 20</w:t>
      </w:r>
      <w:r w:rsidRPr="00C13C75">
        <w:t>02</w:t>
      </w:r>
      <w:r w:rsidR="00C13C75" w:rsidRPr="00C13C75">
        <w:t> </w:t>
      </w:r>
      <w:r w:rsidRPr="00C13C75">
        <w:t>r.</w:t>
      </w:r>
      <w:r>
        <w:t xml:space="preserve"> ustanawiająca ogólne ramowe warunki informowania</w:t>
      </w:r>
      <w:r w:rsidR="00C13C75">
        <w:t xml:space="preserve"> i prz</w:t>
      </w:r>
      <w:r>
        <w:t>eprowadzania konsultacji</w:t>
      </w:r>
      <w:r w:rsidR="00C13C75">
        <w:t xml:space="preserve"> z pra</w:t>
      </w:r>
      <w:r>
        <w:t>cownikami we Wspólnocie Europejskiej – Wspólna deklaracja Parlamentu Europejskiego, Rady</w:t>
      </w:r>
      <w:r w:rsidR="00C13C75">
        <w:t xml:space="preserve"> i Kom</w:t>
      </w:r>
      <w:r>
        <w:t>isji</w:t>
      </w:r>
      <w:r w:rsidR="00C13C75">
        <w:t xml:space="preserve"> w spr</w:t>
      </w:r>
      <w:r>
        <w:t>awie reprezentacji pracowniczej (Dz.U. L 80</w:t>
      </w:r>
      <w:r w:rsidR="00C13C75">
        <w:t xml:space="preserve"> z 2</w:t>
      </w:r>
      <w:r>
        <w:t xml:space="preserve">3.3.2002, s. 39). </w:t>
      </w:r>
    </w:p>
  </w:footnote>
  <w:footnote w:id="48">
    <w:p w14:paraId="3BA0DDA4" w14:textId="6D38FB5A" w:rsidR="00C8422A" w:rsidRPr="004823EE" w:rsidRDefault="00C8422A">
      <w:pPr>
        <w:pStyle w:val="FootnoteText"/>
      </w:pPr>
      <w:r>
        <w:rPr>
          <w:rStyle w:val="FootnoteReference"/>
        </w:rPr>
        <w:footnoteRef/>
      </w:r>
      <w:r>
        <w:tab/>
        <w:t>Rozporządzenie Parlamentu Europejskiego</w:t>
      </w:r>
      <w:r w:rsidR="00C13C75">
        <w:t xml:space="preserve"> i Rad</w:t>
      </w:r>
      <w:r>
        <w:t>y (UE) 2015/848</w:t>
      </w:r>
      <w:r w:rsidR="00C13C75">
        <w:t xml:space="preserve"> z dni</w:t>
      </w:r>
      <w:r>
        <w:t>a 20 maja 20</w:t>
      </w:r>
      <w:r w:rsidRPr="00C13C75">
        <w:t>15</w:t>
      </w:r>
      <w:r w:rsidR="00C13C75" w:rsidRPr="00C13C75">
        <w:t> </w:t>
      </w:r>
      <w:r w:rsidRPr="00C13C75">
        <w:t>r.</w:t>
      </w:r>
      <w:r w:rsidR="00C13C75">
        <w:t xml:space="preserve"> w spr</w:t>
      </w:r>
      <w:r>
        <w:t>awie postępowania upadłościowego (EIR 2105), Dz.U. L 141</w:t>
      </w:r>
      <w:r w:rsidR="00C13C75">
        <w:t xml:space="preserve"> z 5</w:t>
      </w:r>
      <w:r>
        <w:t>.6.2015.</w:t>
      </w:r>
    </w:p>
  </w:footnote>
  <w:footnote w:id="49">
    <w:p w14:paraId="2563B2E6" w14:textId="40A79600" w:rsidR="00C8422A" w:rsidRPr="0076031C" w:rsidRDefault="00C8422A" w:rsidP="0076031C">
      <w:pPr>
        <w:pStyle w:val="FootnoteText"/>
      </w:pPr>
      <w:r>
        <w:rPr>
          <w:rStyle w:val="FootnoteReference"/>
        </w:rPr>
        <w:footnoteRef/>
      </w:r>
      <w:r>
        <w:tab/>
        <w:t>Rozporządzenie Parlamentu Europejskiego</w:t>
      </w:r>
      <w:r w:rsidR="00C13C75">
        <w:t xml:space="preserve"> i Rad</w:t>
      </w:r>
      <w:r>
        <w:t xml:space="preserve">y (UE) </w:t>
      </w:r>
      <w:r w:rsidRPr="00C13C75">
        <w:t>nr</w:t>
      </w:r>
      <w:r w:rsidR="00C13C75" w:rsidRPr="00C13C75">
        <w:t> </w:t>
      </w:r>
      <w:r w:rsidRPr="00C13C75">
        <w:t>1</w:t>
      </w:r>
      <w:r>
        <w:t>82/2011</w:t>
      </w:r>
      <w:r w:rsidR="00C13C75">
        <w:t xml:space="preserve"> z dni</w:t>
      </w:r>
      <w:r>
        <w:t>a 16 lutego 20</w:t>
      </w:r>
      <w:r w:rsidRPr="00C13C75">
        <w:t>11</w:t>
      </w:r>
      <w:r w:rsidR="00C13C75" w:rsidRPr="00C13C75">
        <w:t> </w:t>
      </w:r>
      <w:r w:rsidRPr="00C13C75">
        <w:t>r.</w:t>
      </w:r>
      <w:r>
        <w:t xml:space="preserve"> ustanawiające przepisy</w:t>
      </w:r>
      <w:r w:rsidR="00C13C75">
        <w:t xml:space="preserve"> i zas</w:t>
      </w:r>
      <w:r>
        <w:t>ady ogólne dotyczące trybu kontroli przez państwa członkowskie wykonywania uprawnień wykonawczych przez Komisję, Dz.U. L 55</w:t>
      </w:r>
      <w:r w:rsidR="00C13C75">
        <w:t xml:space="preserve"> z 2</w:t>
      </w:r>
      <w:r>
        <w:t>8.2.2011.</w:t>
      </w:r>
    </w:p>
  </w:footnote>
  <w:footnote w:id="50">
    <w:p w14:paraId="40B35506" w14:textId="459B1251" w:rsidR="00C8422A" w:rsidRPr="004E20DD" w:rsidRDefault="00C8422A">
      <w:pPr>
        <w:pStyle w:val="FootnoteText"/>
      </w:pPr>
      <w:r>
        <w:rPr>
          <w:rStyle w:val="FootnoteReference"/>
        </w:rPr>
        <w:footnoteRef/>
      </w:r>
      <w:r>
        <w:tab/>
        <w:t>O którym mowa</w:t>
      </w:r>
      <w:r w:rsidR="00C13C75">
        <w:t xml:space="preserve"> w </w:t>
      </w:r>
      <w:r w:rsidR="00C13C75" w:rsidRPr="00C13C75">
        <w:t>art</w:t>
      </w:r>
      <w:r w:rsidRPr="00C13C75">
        <w:t>.</w:t>
      </w:r>
      <w:r w:rsidR="00C13C75" w:rsidRPr="00C13C75">
        <w:t> </w:t>
      </w:r>
      <w:r w:rsidRPr="00C13C75">
        <w:t>5</w:t>
      </w:r>
      <w:r>
        <w:t xml:space="preserve">8 </w:t>
      </w:r>
      <w:r w:rsidRPr="00C13C75">
        <w:t>ust.</w:t>
      </w:r>
      <w:r w:rsidR="00C13C75" w:rsidRPr="00C13C75">
        <w:t> </w:t>
      </w:r>
      <w:r w:rsidRPr="00C13C75">
        <w:t>2</w:t>
      </w:r>
      <w:r>
        <w:t xml:space="preserve"> </w:t>
      </w:r>
      <w:r w:rsidRPr="00C13C75">
        <w:t>lit.</w:t>
      </w:r>
      <w:r w:rsidR="00C13C75" w:rsidRPr="00C13C75">
        <w:t> </w:t>
      </w:r>
      <w:r w:rsidRPr="00C13C75">
        <w:t>a)</w:t>
      </w:r>
      <w:r>
        <w:t xml:space="preserve"> lub b) rozporządzenia finansowego.</w:t>
      </w:r>
    </w:p>
  </w:footnote>
  <w:footnote w:id="51">
    <w:p w14:paraId="3AD1AA4F" w14:textId="77777777" w:rsidR="00C8422A" w:rsidRPr="004E20DD" w:rsidRDefault="00C8422A">
      <w:pPr>
        <w:pStyle w:val="FootnoteText"/>
        <w:jc w:val="left"/>
      </w:pPr>
      <w:r>
        <w:rPr>
          <w:rStyle w:val="FootnoteReference"/>
        </w:rPr>
        <w:footnoteRef/>
      </w:r>
      <w:r>
        <w:tab/>
        <w:t xml:space="preserve">Szczegóły dotyczące metod wykonania budżetu oraz odniesienia do rozporządzenia finansowego znajdują się na stronie BUDGpedia: </w:t>
      </w:r>
      <w:hyperlink r:id="rId11" w:history="1">
        <w:r>
          <w:rPr>
            <w:rStyle w:val="Hyperlink"/>
          </w:rPr>
          <w:t>https://myintracomm.ec.europa.eu/corp/budget/financial-rules/budget-implementation/Pages/implementation-methods.aspx</w:t>
        </w:r>
      </w:hyperlink>
    </w:p>
  </w:footnote>
  <w:footnote w:id="52">
    <w:p w14:paraId="187F7E74" w14:textId="77777777" w:rsidR="00C8422A" w:rsidRPr="004E20DD" w:rsidRDefault="00C8422A">
      <w:pPr>
        <w:pStyle w:val="FootnoteText"/>
      </w:pPr>
      <w:r>
        <w:rPr>
          <w:rStyle w:val="FootnoteReference"/>
        </w:rPr>
        <w:footnoteRef/>
      </w:r>
      <w:r>
        <w:tab/>
        <w:t>Środki zróżnicowane/środki niezróżnicowane.</w:t>
      </w:r>
    </w:p>
  </w:footnote>
  <w:footnote w:id="53">
    <w:p w14:paraId="6E22F53D" w14:textId="77777777" w:rsidR="00C8422A" w:rsidRPr="004E20DD" w:rsidRDefault="00C8422A">
      <w:pPr>
        <w:pStyle w:val="FootnoteText"/>
      </w:pPr>
      <w:r>
        <w:rPr>
          <w:rStyle w:val="FootnoteReference"/>
        </w:rPr>
        <w:footnoteRef/>
      </w:r>
      <w:r>
        <w:tab/>
        <w:t xml:space="preserve">EFTA: Europejskie Stowarzyszenie Wolnego Handlu. </w:t>
      </w:r>
    </w:p>
  </w:footnote>
  <w:footnote w:id="54">
    <w:p w14:paraId="4E2721D7" w14:textId="402C825C" w:rsidR="00C8422A" w:rsidRPr="004E20DD" w:rsidRDefault="00C8422A">
      <w:pPr>
        <w:pStyle w:val="FootnoteText"/>
      </w:pPr>
      <w:r>
        <w:rPr>
          <w:rStyle w:val="FootnoteReference"/>
        </w:rPr>
        <w:footnoteRef/>
      </w:r>
      <w:r>
        <w:tab/>
        <w:t>Kraje kandydujące oraz</w:t>
      </w:r>
      <w:r w:rsidR="00C13C75">
        <w:t xml:space="preserve"> w sto</w:t>
      </w:r>
      <w:r>
        <w:t>sownych przypadkach potencjalne kraje kandydujące Bałkanów Zachodnich.</w:t>
      </w:r>
    </w:p>
  </w:footnote>
  <w:footnote w:id="55">
    <w:p w14:paraId="4E4A1889" w14:textId="77777777" w:rsidR="00C8422A" w:rsidRPr="004E20DD" w:rsidRDefault="00C8422A">
      <w:pPr>
        <w:pStyle w:val="FootnoteText"/>
      </w:pPr>
      <w:r>
        <w:rPr>
          <w:rStyle w:val="FootnoteReference"/>
        </w:rPr>
        <w:footnoteRef/>
      </w:r>
      <w:r>
        <w:tab/>
      </w:r>
      <w:r>
        <w:rPr>
          <w:sz w:val="18"/>
        </w:rPr>
        <w:t>Wsparcie techniczne lub administracyjne oraz wydatki na wsparcie realizacji programów lub działań UE (dawne linie „BA”), pośrednie badania naukowe, bezpośrednie badania naukowe.</w:t>
      </w:r>
    </w:p>
  </w:footnote>
  <w:footnote w:id="56">
    <w:p w14:paraId="0B9C1B09" w14:textId="2C32972B" w:rsidR="00C8422A" w:rsidRPr="004E20DD" w:rsidRDefault="00C8422A">
      <w:pPr>
        <w:pStyle w:val="FootnoteText"/>
      </w:pPr>
      <w:r>
        <w:rPr>
          <w:rStyle w:val="FootnoteReference"/>
        </w:rPr>
        <w:footnoteRef/>
      </w:r>
      <w:r>
        <w:tab/>
        <w:t>Produkty odnoszą się do produktów</w:t>
      </w:r>
      <w:r w:rsidR="00C13C75">
        <w:t xml:space="preserve"> i usł</w:t>
      </w:r>
      <w:r>
        <w:t>ug, które mają zostać zapewnione (np. liczba sfinansowanych wymian studentów, liczba kilometrów zbudowanych dróg itp.).</w:t>
      </w:r>
    </w:p>
  </w:footnote>
  <w:footnote w:id="57">
    <w:p w14:paraId="7EC5E4E2" w14:textId="77777777" w:rsidR="00C8422A" w:rsidRPr="004E20DD" w:rsidRDefault="00C8422A">
      <w:pPr>
        <w:pStyle w:val="FootnoteText"/>
      </w:pPr>
      <w:r>
        <w:rPr>
          <w:rStyle w:val="FootnoteReference"/>
        </w:rPr>
        <w:footnoteRef/>
      </w:r>
      <w:r>
        <w:tab/>
      </w:r>
      <w:r>
        <w:rPr>
          <w:sz w:val="18"/>
        </w:rPr>
        <w:t>Wsparcie techniczne lub administracyjne oraz wydatki na wsparcie realizacji programów lub działań UE (dawne linie „BA”), pośrednie badania naukowe, bezpośrednie badania naukowe.</w:t>
      </w:r>
    </w:p>
  </w:footnote>
  <w:footnote w:id="58">
    <w:p w14:paraId="08EAB049" w14:textId="258E42D7" w:rsidR="00C8422A" w:rsidRPr="004E20DD" w:rsidRDefault="00C8422A">
      <w:pPr>
        <w:pStyle w:val="FootnoteText"/>
      </w:pPr>
      <w:r>
        <w:rPr>
          <w:rStyle w:val="FootnoteReference"/>
        </w:rPr>
        <w:footnoteRef/>
      </w:r>
      <w:r>
        <w:tab/>
        <w:t>Rok N jest rokiem,</w:t>
      </w:r>
      <w:r w:rsidR="00C13C75">
        <w:t xml:space="preserve"> w któ</w:t>
      </w:r>
      <w:r>
        <w:t>rym rozpoczyna się wprowadzanie</w:t>
      </w:r>
      <w:r w:rsidR="00C13C75">
        <w:t xml:space="preserve"> w życ</w:t>
      </w:r>
      <w:r>
        <w:t>ie wniosku/inicjatywy. . „N” należy zastąpić oczekiwanym pierwszym rokiem realizacji (np.: 2021). Tak samo należy postąpić dla kolejnych lat.</w:t>
      </w:r>
    </w:p>
  </w:footnote>
  <w:footnote w:id="59">
    <w:p w14:paraId="2E798F80" w14:textId="6E6DF5C9" w:rsidR="00C8422A" w:rsidRPr="004E20DD" w:rsidRDefault="00C8422A">
      <w:pPr>
        <w:pStyle w:val="FootnoteText"/>
      </w:pPr>
      <w:r>
        <w:rPr>
          <w:rStyle w:val="FootnoteReference"/>
        </w:rPr>
        <w:footnoteRef/>
      </w:r>
      <w:r>
        <w:tab/>
        <w:t>W przypadku tradycyjnych zasobów własnych (opłaty celne, opłaty wyrównawcze od cukru) należy wskazać kwoty netto, tzn. kwoty brutto po odliczeniu 2</w:t>
      </w:r>
      <w:r w:rsidRPr="00C13C75">
        <w:t>0</w:t>
      </w:r>
      <w:r w:rsidR="00C13C75" w:rsidRPr="00C13C75">
        <w:t> </w:t>
      </w:r>
      <w:r w:rsidRPr="00C13C75">
        <w:t>%</w:t>
      </w:r>
      <w:r>
        <w:t xml:space="preserve"> na poczet kosztów poboru.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608D" w14:textId="77777777" w:rsidR="002D57EB" w:rsidRPr="002D57EB" w:rsidRDefault="002D57EB" w:rsidP="002D57EB">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1C1C" w14:textId="77777777" w:rsidR="002D57EB" w:rsidRPr="002D57EB" w:rsidRDefault="002D57EB" w:rsidP="002D57EB">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8235D" w14:textId="77777777" w:rsidR="00D13195" w:rsidRPr="00D13195" w:rsidRDefault="00D13195" w:rsidP="002D57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AE16" w14:textId="77777777" w:rsidR="002D57EB" w:rsidRPr="002D57EB" w:rsidRDefault="002D57EB" w:rsidP="002D5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Yu Mincho Light" w:hAnsi="Yu Mincho Light"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Calibri" w:hAnsi="Calibri"/>
      </w:r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CF27D0"/>
    <w:multiLevelType w:val="hybridMultilevel"/>
    <w:tmpl w:val="F7E4A02A"/>
    <w:lvl w:ilvl="0" w:tplc="06B6B4AE">
      <w:start w:val="1"/>
      <w:numFmt w:val="decimal"/>
      <w:pStyle w:val="Num"/>
      <w:lvlText w:val="%1."/>
      <w:lvlJc w:val="left"/>
      <w:pPr>
        <w:ind w:left="1215" w:hanging="85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Calibri" w:hAnsi="Calibri" w:cs="Calibri"/>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Calibri"/>
      </w:rPr>
    </w:lvl>
    <w:lvl w:ilvl="1">
      <w:start w:val="1"/>
      <w:numFmt w:val="lowerLetter"/>
      <w:pStyle w:val="ListNumber3Level2"/>
      <w:lvlText w:val="(%2)"/>
      <w:lvlJc w:val="left"/>
      <w:pPr>
        <w:tabs>
          <w:tab w:val="num" w:pos="2268"/>
        </w:tabs>
        <w:ind w:left="2268" w:hanging="708"/>
      </w:pPr>
      <w:rPr>
        <w:rFonts w:cs="Calibri"/>
      </w:rPr>
    </w:lvl>
    <w:lvl w:ilvl="2">
      <w:start w:val="1"/>
      <w:numFmt w:val="bullet"/>
      <w:pStyle w:val="ListNumber3Level3"/>
      <w:lvlText w:val="–"/>
      <w:lvlJc w:val="left"/>
      <w:pPr>
        <w:tabs>
          <w:tab w:val="num" w:pos="2977"/>
        </w:tabs>
        <w:ind w:left="2977" w:hanging="709"/>
      </w:pPr>
      <w:rPr>
        <w:rFonts w:ascii="Calibri" w:hAnsi="Calibri"/>
      </w:rPr>
    </w:lvl>
    <w:lvl w:ilvl="3">
      <w:start w:val="1"/>
      <w:numFmt w:val="bullet"/>
      <w:pStyle w:val="ListNumber3Level4"/>
      <w:lvlText w:val=""/>
      <w:lvlJc w:val="left"/>
      <w:pPr>
        <w:tabs>
          <w:tab w:val="num" w:pos="3686"/>
        </w:tabs>
        <w:ind w:left="3686" w:hanging="709"/>
      </w:pPr>
      <w:rPr>
        <w:rFonts w:ascii="Yu Mincho Light" w:hAnsi="Yu Mincho Light" w:hint="default"/>
      </w:rPr>
    </w:lvl>
    <w:lvl w:ilvl="4">
      <w:start w:val="1"/>
      <w:numFmt w:val="lowerLetter"/>
      <w:lvlText w:val="(%5)"/>
      <w:lvlJc w:val="left"/>
      <w:pPr>
        <w:tabs>
          <w:tab w:val="num" w:pos="1800"/>
        </w:tabs>
        <w:ind w:left="1800" w:hanging="360"/>
      </w:pPr>
      <w:rPr>
        <w:rFonts w:cs="Calibri"/>
      </w:rPr>
    </w:lvl>
    <w:lvl w:ilvl="5">
      <w:start w:val="1"/>
      <w:numFmt w:val="lowerRoman"/>
      <w:lvlText w:val="(%6)"/>
      <w:lvlJc w:val="left"/>
      <w:pPr>
        <w:tabs>
          <w:tab w:val="num" w:pos="2160"/>
        </w:tabs>
        <w:ind w:left="2160" w:hanging="360"/>
      </w:pPr>
      <w:rPr>
        <w:rFonts w:cs="Calibri"/>
      </w:rPr>
    </w:lvl>
    <w:lvl w:ilvl="6">
      <w:start w:val="1"/>
      <w:numFmt w:val="decimal"/>
      <w:lvlText w:val="%7."/>
      <w:lvlJc w:val="left"/>
      <w:pPr>
        <w:tabs>
          <w:tab w:val="num" w:pos="2520"/>
        </w:tabs>
        <w:ind w:left="2520" w:hanging="360"/>
      </w:pPr>
      <w:rPr>
        <w:rFonts w:cs="Calibri"/>
      </w:rPr>
    </w:lvl>
    <w:lvl w:ilvl="7">
      <w:start w:val="1"/>
      <w:numFmt w:val="lowerLetter"/>
      <w:lvlText w:val="%8."/>
      <w:lvlJc w:val="left"/>
      <w:pPr>
        <w:tabs>
          <w:tab w:val="num" w:pos="2880"/>
        </w:tabs>
        <w:ind w:left="2880" w:hanging="360"/>
      </w:pPr>
      <w:rPr>
        <w:rFonts w:cs="Calibri"/>
      </w:rPr>
    </w:lvl>
    <w:lvl w:ilvl="8">
      <w:start w:val="1"/>
      <w:numFmt w:val="lowerRoman"/>
      <w:lvlText w:val="%9."/>
      <w:lvlJc w:val="left"/>
      <w:pPr>
        <w:tabs>
          <w:tab w:val="num" w:pos="3240"/>
        </w:tabs>
        <w:ind w:left="3240" w:hanging="360"/>
      </w:pPr>
      <w:rPr>
        <w:rFonts w:cs="Calibri"/>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Calibri" w:hAnsi="Calibri"/>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Calibri"/>
      </w:rPr>
    </w:lvl>
    <w:lvl w:ilvl="1">
      <w:start w:val="1"/>
      <w:numFmt w:val="lowerLetter"/>
      <w:pStyle w:val="ListNumber2Level2"/>
      <w:lvlText w:val="(%2)"/>
      <w:lvlJc w:val="left"/>
      <w:pPr>
        <w:tabs>
          <w:tab w:val="num" w:pos="2268"/>
        </w:tabs>
        <w:ind w:left="2268" w:hanging="708"/>
      </w:pPr>
      <w:rPr>
        <w:rFonts w:cs="Calibri"/>
      </w:rPr>
    </w:lvl>
    <w:lvl w:ilvl="2">
      <w:start w:val="1"/>
      <w:numFmt w:val="bullet"/>
      <w:pStyle w:val="ListNumber2Level3"/>
      <w:lvlText w:val="–"/>
      <w:lvlJc w:val="left"/>
      <w:pPr>
        <w:tabs>
          <w:tab w:val="num" w:pos="2977"/>
        </w:tabs>
        <w:ind w:left="2977" w:hanging="709"/>
      </w:pPr>
      <w:rPr>
        <w:rFonts w:ascii="Calibri" w:hAnsi="Calibri"/>
      </w:rPr>
    </w:lvl>
    <w:lvl w:ilvl="3">
      <w:start w:val="1"/>
      <w:numFmt w:val="bullet"/>
      <w:pStyle w:val="ListNumber2Level4"/>
      <w:lvlText w:val=""/>
      <w:lvlJc w:val="left"/>
      <w:pPr>
        <w:tabs>
          <w:tab w:val="num" w:pos="3686"/>
        </w:tabs>
        <w:ind w:left="3686" w:hanging="709"/>
      </w:pPr>
      <w:rPr>
        <w:rFonts w:ascii="Yu Mincho Light" w:hAnsi="Yu Mincho Light" w:hint="default"/>
      </w:rPr>
    </w:lvl>
    <w:lvl w:ilvl="4">
      <w:start w:val="1"/>
      <w:numFmt w:val="lowerLetter"/>
      <w:lvlText w:val="(%5)"/>
      <w:lvlJc w:val="left"/>
      <w:pPr>
        <w:tabs>
          <w:tab w:val="num" w:pos="1800"/>
        </w:tabs>
        <w:ind w:left="1800" w:hanging="360"/>
      </w:pPr>
      <w:rPr>
        <w:rFonts w:cs="Calibri"/>
      </w:rPr>
    </w:lvl>
    <w:lvl w:ilvl="5">
      <w:start w:val="1"/>
      <w:numFmt w:val="lowerRoman"/>
      <w:lvlText w:val="(%6)"/>
      <w:lvlJc w:val="left"/>
      <w:pPr>
        <w:tabs>
          <w:tab w:val="num" w:pos="2160"/>
        </w:tabs>
        <w:ind w:left="2160" w:hanging="360"/>
      </w:pPr>
      <w:rPr>
        <w:rFonts w:cs="Calibri"/>
      </w:rPr>
    </w:lvl>
    <w:lvl w:ilvl="6">
      <w:start w:val="1"/>
      <w:numFmt w:val="decimal"/>
      <w:lvlText w:val="%7."/>
      <w:lvlJc w:val="left"/>
      <w:pPr>
        <w:tabs>
          <w:tab w:val="num" w:pos="2520"/>
        </w:tabs>
        <w:ind w:left="2520" w:hanging="360"/>
      </w:pPr>
      <w:rPr>
        <w:rFonts w:cs="Calibri"/>
      </w:rPr>
    </w:lvl>
    <w:lvl w:ilvl="7">
      <w:start w:val="1"/>
      <w:numFmt w:val="lowerLetter"/>
      <w:lvlText w:val="%8."/>
      <w:lvlJc w:val="left"/>
      <w:pPr>
        <w:tabs>
          <w:tab w:val="num" w:pos="2880"/>
        </w:tabs>
        <w:ind w:left="2880" w:hanging="360"/>
      </w:pPr>
      <w:rPr>
        <w:rFonts w:cs="Calibri"/>
      </w:rPr>
    </w:lvl>
    <w:lvl w:ilvl="8">
      <w:start w:val="1"/>
      <w:numFmt w:val="lowerRoman"/>
      <w:lvlText w:val="%9."/>
      <w:lvlJc w:val="left"/>
      <w:pPr>
        <w:tabs>
          <w:tab w:val="num" w:pos="3240"/>
        </w:tabs>
        <w:ind w:left="3240" w:hanging="360"/>
      </w:pPr>
      <w:rPr>
        <w:rFonts w:cs="Calibri"/>
      </w:rPr>
    </w:lvl>
  </w:abstractNum>
  <w:abstractNum w:abstractNumId="11" w15:restartNumberingAfterBreak="0">
    <w:nsid w:val="3EE1EF9C"/>
    <w:multiLevelType w:val="hybridMultilevel"/>
    <w:tmpl w:val="FFFFFFFF"/>
    <w:lvl w:ilvl="0" w:tplc="D0C6D666">
      <w:start w:val="1"/>
      <w:numFmt w:val="decimal"/>
      <w:lvlText w:val="%1."/>
      <w:lvlJc w:val="left"/>
      <w:pPr>
        <w:ind w:left="720" w:hanging="360"/>
      </w:pPr>
    </w:lvl>
    <w:lvl w:ilvl="1" w:tplc="8348E7B0">
      <w:start w:val="1"/>
      <w:numFmt w:val="lowerLetter"/>
      <w:lvlText w:val="%2."/>
      <w:lvlJc w:val="left"/>
      <w:pPr>
        <w:ind w:left="1440" w:hanging="360"/>
      </w:pPr>
    </w:lvl>
    <w:lvl w:ilvl="2" w:tplc="E272EF94">
      <w:start w:val="1"/>
      <w:numFmt w:val="lowerRoman"/>
      <w:lvlText w:val="%3."/>
      <w:lvlJc w:val="right"/>
      <w:pPr>
        <w:ind w:left="2160" w:hanging="180"/>
      </w:pPr>
    </w:lvl>
    <w:lvl w:ilvl="3" w:tplc="CA62BB30">
      <w:start w:val="1"/>
      <w:numFmt w:val="decimal"/>
      <w:lvlText w:val="%4."/>
      <w:lvlJc w:val="left"/>
      <w:pPr>
        <w:ind w:left="2880" w:hanging="360"/>
      </w:pPr>
    </w:lvl>
    <w:lvl w:ilvl="4" w:tplc="B818E0C6">
      <w:start w:val="1"/>
      <w:numFmt w:val="lowerLetter"/>
      <w:lvlText w:val="%5."/>
      <w:lvlJc w:val="left"/>
      <w:pPr>
        <w:ind w:left="3600" w:hanging="360"/>
      </w:pPr>
    </w:lvl>
    <w:lvl w:ilvl="5" w:tplc="AFC6E518">
      <w:start w:val="1"/>
      <w:numFmt w:val="lowerRoman"/>
      <w:lvlText w:val="%6."/>
      <w:lvlJc w:val="right"/>
      <w:pPr>
        <w:ind w:left="4320" w:hanging="180"/>
      </w:pPr>
    </w:lvl>
    <w:lvl w:ilvl="6" w:tplc="6C0A3E92">
      <w:start w:val="1"/>
      <w:numFmt w:val="decimal"/>
      <w:lvlText w:val="%7."/>
      <w:lvlJc w:val="left"/>
      <w:pPr>
        <w:ind w:left="5040" w:hanging="360"/>
      </w:pPr>
    </w:lvl>
    <w:lvl w:ilvl="7" w:tplc="C53E8848">
      <w:start w:val="1"/>
      <w:numFmt w:val="lowerLetter"/>
      <w:lvlText w:val="%8."/>
      <w:lvlJc w:val="left"/>
      <w:pPr>
        <w:ind w:left="5760" w:hanging="360"/>
      </w:pPr>
    </w:lvl>
    <w:lvl w:ilvl="8" w:tplc="B7A00442">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Calibri" w:hAnsi="Calibri" w:cs="Calibri"/>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Calibri" w:hAnsi="Calibri" w:cs="Calibri"/>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Calibri"/>
      </w:rPr>
    </w:lvl>
    <w:lvl w:ilvl="1">
      <w:start w:val="1"/>
      <w:numFmt w:val="lowerLetter"/>
      <w:pStyle w:val="ListNumber4Level2"/>
      <w:lvlText w:val="(%2)"/>
      <w:lvlJc w:val="left"/>
      <w:pPr>
        <w:tabs>
          <w:tab w:val="num" w:pos="2268"/>
        </w:tabs>
        <w:ind w:left="2268" w:hanging="708"/>
      </w:pPr>
      <w:rPr>
        <w:rFonts w:cs="Calibri"/>
      </w:rPr>
    </w:lvl>
    <w:lvl w:ilvl="2">
      <w:start w:val="1"/>
      <w:numFmt w:val="bullet"/>
      <w:pStyle w:val="ListNumber4Level3"/>
      <w:lvlText w:val="–"/>
      <w:lvlJc w:val="left"/>
      <w:pPr>
        <w:tabs>
          <w:tab w:val="num" w:pos="2977"/>
        </w:tabs>
        <w:ind w:left="2977" w:hanging="709"/>
      </w:pPr>
      <w:rPr>
        <w:rFonts w:ascii="Calibri" w:hAnsi="Calibri"/>
      </w:rPr>
    </w:lvl>
    <w:lvl w:ilvl="3">
      <w:start w:val="1"/>
      <w:numFmt w:val="bullet"/>
      <w:pStyle w:val="ListNumber4Level4"/>
      <w:lvlText w:val=""/>
      <w:lvlJc w:val="left"/>
      <w:pPr>
        <w:tabs>
          <w:tab w:val="num" w:pos="3686"/>
        </w:tabs>
        <w:ind w:left="3686" w:hanging="709"/>
      </w:pPr>
      <w:rPr>
        <w:rFonts w:ascii="Yu Mincho Light" w:hAnsi="Yu Mincho Light" w:hint="default"/>
      </w:rPr>
    </w:lvl>
    <w:lvl w:ilvl="4">
      <w:start w:val="1"/>
      <w:numFmt w:val="lowerLetter"/>
      <w:lvlText w:val="(%5)"/>
      <w:lvlJc w:val="left"/>
      <w:pPr>
        <w:tabs>
          <w:tab w:val="num" w:pos="1800"/>
        </w:tabs>
        <w:ind w:left="1800" w:hanging="360"/>
      </w:pPr>
      <w:rPr>
        <w:rFonts w:cs="Calibri"/>
      </w:rPr>
    </w:lvl>
    <w:lvl w:ilvl="5">
      <w:start w:val="1"/>
      <w:numFmt w:val="lowerRoman"/>
      <w:lvlText w:val="(%6)"/>
      <w:lvlJc w:val="left"/>
      <w:pPr>
        <w:tabs>
          <w:tab w:val="num" w:pos="2160"/>
        </w:tabs>
        <w:ind w:left="2160" w:hanging="360"/>
      </w:pPr>
      <w:rPr>
        <w:rFonts w:cs="Calibri"/>
      </w:rPr>
    </w:lvl>
    <w:lvl w:ilvl="6">
      <w:start w:val="1"/>
      <w:numFmt w:val="decimal"/>
      <w:lvlText w:val="%7."/>
      <w:lvlJc w:val="left"/>
      <w:pPr>
        <w:tabs>
          <w:tab w:val="num" w:pos="2520"/>
        </w:tabs>
        <w:ind w:left="2520" w:hanging="360"/>
      </w:pPr>
      <w:rPr>
        <w:rFonts w:cs="Calibri"/>
      </w:rPr>
    </w:lvl>
    <w:lvl w:ilvl="7">
      <w:start w:val="1"/>
      <w:numFmt w:val="lowerLetter"/>
      <w:lvlText w:val="%8."/>
      <w:lvlJc w:val="left"/>
      <w:pPr>
        <w:tabs>
          <w:tab w:val="num" w:pos="2880"/>
        </w:tabs>
        <w:ind w:left="2880" w:hanging="360"/>
      </w:pPr>
      <w:rPr>
        <w:rFonts w:cs="Calibri"/>
      </w:rPr>
    </w:lvl>
    <w:lvl w:ilvl="8">
      <w:start w:val="1"/>
      <w:numFmt w:val="lowerRoman"/>
      <w:lvlText w:val="%9."/>
      <w:lvlJc w:val="left"/>
      <w:pPr>
        <w:tabs>
          <w:tab w:val="num" w:pos="3240"/>
        </w:tabs>
        <w:ind w:left="3240" w:hanging="360"/>
      </w:pPr>
      <w:rPr>
        <w:rFonts w:cs="Calibri"/>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Yu Mincho Light" w:hAnsi="Yu Mincho Light"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Yu Mincho Light" w:hAnsi="Yu Mincho Light"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Yu Mincho Light" w:hAnsi="Yu Mincho Light" w:hint="default"/>
      </w:rPr>
    </w:lvl>
  </w:abstractNum>
  <w:abstractNum w:abstractNumId="28"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Yu Mincho Light" w:hAnsi="Yu Mincho Light"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0"/>
  </w:num>
  <w:num w:numId="3">
    <w:abstractNumId w:val="20"/>
  </w:num>
  <w:num w:numId="4">
    <w:abstractNumId w:val="7"/>
  </w:num>
  <w:num w:numId="5">
    <w:abstractNumId w:val="17"/>
  </w:num>
  <w:num w:numId="6">
    <w:abstractNumId w:val="16"/>
  </w:num>
  <w:num w:numId="7">
    <w:abstractNumId w:val="24"/>
  </w:num>
  <w:num w:numId="8">
    <w:abstractNumId w:val="27"/>
  </w:num>
  <w:num w:numId="9">
    <w:abstractNumId w:val="28"/>
  </w:num>
  <w:num w:numId="10">
    <w:abstractNumId w:val="1"/>
  </w:num>
  <w:num w:numId="11">
    <w:abstractNumId w:val="9"/>
  </w:num>
  <w:num w:numId="12">
    <w:abstractNumId w:val="10"/>
  </w:num>
  <w:num w:numId="13">
    <w:abstractNumId w:val="8"/>
  </w:num>
  <w:num w:numId="14">
    <w:abstractNumId w:val="18"/>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num>
  <w:num w:numId="39">
    <w:abstractNumId w:val="23"/>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2"/>
  </w:num>
  <w:num w:numId="45">
    <w:abstractNumId w:val="26"/>
  </w:num>
  <w:num w:numId="46">
    <w:abstractNumId w:val="6"/>
  </w:num>
  <w:num w:numId="47">
    <w:abstractNumId w:val="13"/>
  </w:num>
  <w:num w:numId="48">
    <w:abstractNumId w:val="14"/>
  </w:num>
  <w:num w:numId="49">
    <w:abstractNumId w:val="3"/>
  </w:num>
  <w:num w:numId="50">
    <w:abstractNumId w:val="25"/>
  </w:num>
  <w:num w:numId="51">
    <w:abstractNumId w:val="2"/>
  </w:num>
  <w:num w:numId="52">
    <w:abstractNumId w:val="15"/>
  </w:num>
  <w:num w:numId="53">
    <w:abstractNumId w:val="21"/>
  </w:num>
  <w:num w:numId="54">
    <w:abstractNumId w:val="22"/>
  </w:num>
  <w:num w:numId="55">
    <w:abstractNumId w:val="5"/>
  </w:num>
  <w:num w:numId="56">
    <w:abstractNumId w:val="19"/>
  </w:num>
  <w:num w:numId="5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pl-P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9-22 16:55:4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561E886-7A0F-45AE-81E9-4C59AC35433A"/>
    <w:docVar w:name="LW_COVERPAGE_TYPE" w:val="1"/>
    <w:docVar w:name="LW_CROSSREFERENCE" w:val="{SEC(2023) 306 final} - {SWD(2023) 292 final} - {SWD(2023) 293 final} - {SWD(2023) 294 final}"/>
    <w:docVar w:name="LW_DocType" w:val="COM"/>
    <w:docVar w:name="LW_EMISSION" w:val="5.9.2023"/>
    <w:docVar w:name="LW_EMISSION_ISODATE" w:val="2023-09-05"/>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SERT_EXP.MOTIFS.NEW" w:val="1"/>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315"/>
    <w:docVar w:name="LW_REF.II.NEW.CP_YEAR" w:val="2023"/>
    <w:docVar w:name="LW_REF.INST.NEW" w:val="COM"/>
    <w:docVar w:name="LW_REF.INST.NEW_ADOPTED" w:val="final"/>
    <w:docVar w:name="LW_REF.INST.NEW_TEXT" w:val="(2023) 51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europejskich stowarzyszeń transgranicznych"/>
    <w:docVar w:name="LW_TYPE.DOC.CP" w:val="DYREKTYWA PARLAMENTU EUROPEJSKIEGO I RADY"/>
    <w:docVar w:name="LwApiVersions" w:val="LW4CoDe 1.23.2.0; LW 8.0, Build 20211117"/>
  </w:docVars>
  <w:rsids>
    <w:rsidRoot w:val="00BE7E05"/>
    <w:rsid w:val="00000039"/>
    <w:rsid w:val="000000D1"/>
    <w:rsid w:val="000004C3"/>
    <w:rsid w:val="000005BF"/>
    <w:rsid w:val="00000837"/>
    <w:rsid w:val="00000D95"/>
    <w:rsid w:val="00001451"/>
    <w:rsid w:val="00001463"/>
    <w:rsid w:val="00001585"/>
    <w:rsid w:val="000018F0"/>
    <w:rsid w:val="00001A67"/>
    <w:rsid w:val="00001A9B"/>
    <w:rsid w:val="00001CD5"/>
    <w:rsid w:val="00001E54"/>
    <w:rsid w:val="00001E71"/>
    <w:rsid w:val="00002039"/>
    <w:rsid w:val="00002140"/>
    <w:rsid w:val="00002156"/>
    <w:rsid w:val="000022F2"/>
    <w:rsid w:val="0000280E"/>
    <w:rsid w:val="0000294C"/>
    <w:rsid w:val="000029BE"/>
    <w:rsid w:val="00002D38"/>
    <w:rsid w:val="00002DB0"/>
    <w:rsid w:val="00002E73"/>
    <w:rsid w:val="00002F8E"/>
    <w:rsid w:val="000031A0"/>
    <w:rsid w:val="0000326B"/>
    <w:rsid w:val="000032C2"/>
    <w:rsid w:val="000033F2"/>
    <w:rsid w:val="00003612"/>
    <w:rsid w:val="00003698"/>
    <w:rsid w:val="0000378A"/>
    <w:rsid w:val="00003B6C"/>
    <w:rsid w:val="00003B99"/>
    <w:rsid w:val="00003BBE"/>
    <w:rsid w:val="00003C6E"/>
    <w:rsid w:val="00003DA5"/>
    <w:rsid w:val="00003FDE"/>
    <w:rsid w:val="00004053"/>
    <w:rsid w:val="000040FF"/>
    <w:rsid w:val="00004275"/>
    <w:rsid w:val="00004582"/>
    <w:rsid w:val="000048E1"/>
    <w:rsid w:val="00004A97"/>
    <w:rsid w:val="00004F82"/>
    <w:rsid w:val="0000551A"/>
    <w:rsid w:val="000056BB"/>
    <w:rsid w:val="00005773"/>
    <w:rsid w:val="00005E86"/>
    <w:rsid w:val="00005E9B"/>
    <w:rsid w:val="00005F07"/>
    <w:rsid w:val="00005F21"/>
    <w:rsid w:val="00005F70"/>
    <w:rsid w:val="0000623E"/>
    <w:rsid w:val="00006534"/>
    <w:rsid w:val="00006628"/>
    <w:rsid w:val="00006926"/>
    <w:rsid w:val="0000696D"/>
    <w:rsid w:val="00006BB3"/>
    <w:rsid w:val="00006D7C"/>
    <w:rsid w:val="00006EAC"/>
    <w:rsid w:val="00006F06"/>
    <w:rsid w:val="00006F82"/>
    <w:rsid w:val="00007567"/>
    <w:rsid w:val="00007900"/>
    <w:rsid w:val="0000791B"/>
    <w:rsid w:val="00007A39"/>
    <w:rsid w:val="00007B59"/>
    <w:rsid w:val="00007C0A"/>
    <w:rsid w:val="00007CC2"/>
    <w:rsid w:val="00007D6A"/>
    <w:rsid w:val="00007F2C"/>
    <w:rsid w:val="000100DD"/>
    <w:rsid w:val="00010435"/>
    <w:rsid w:val="0001057F"/>
    <w:rsid w:val="000106D8"/>
    <w:rsid w:val="00010920"/>
    <w:rsid w:val="000109A2"/>
    <w:rsid w:val="000109BD"/>
    <w:rsid w:val="00010A00"/>
    <w:rsid w:val="00010CC0"/>
    <w:rsid w:val="00010F90"/>
    <w:rsid w:val="00010FE4"/>
    <w:rsid w:val="0001117B"/>
    <w:rsid w:val="0001135B"/>
    <w:rsid w:val="000113CF"/>
    <w:rsid w:val="0001152E"/>
    <w:rsid w:val="00011563"/>
    <w:rsid w:val="00011766"/>
    <w:rsid w:val="0001178E"/>
    <w:rsid w:val="000119BA"/>
    <w:rsid w:val="00011AF6"/>
    <w:rsid w:val="00011B0C"/>
    <w:rsid w:val="00011C41"/>
    <w:rsid w:val="00011C7B"/>
    <w:rsid w:val="00011CC6"/>
    <w:rsid w:val="00011D54"/>
    <w:rsid w:val="00011EA6"/>
    <w:rsid w:val="000125D0"/>
    <w:rsid w:val="00012664"/>
    <w:rsid w:val="00012B4B"/>
    <w:rsid w:val="00012BB3"/>
    <w:rsid w:val="00012CCE"/>
    <w:rsid w:val="00012D65"/>
    <w:rsid w:val="00013063"/>
    <w:rsid w:val="0001316F"/>
    <w:rsid w:val="00013325"/>
    <w:rsid w:val="000134A1"/>
    <w:rsid w:val="00013541"/>
    <w:rsid w:val="00013575"/>
    <w:rsid w:val="00013643"/>
    <w:rsid w:val="0001369A"/>
    <w:rsid w:val="00013AC3"/>
    <w:rsid w:val="0001420F"/>
    <w:rsid w:val="0001431B"/>
    <w:rsid w:val="0001454B"/>
    <w:rsid w:val="0001455F"/>
    <w:rsid w:val="0001459B"/>
    <w:rsid w:val="000146B4"/>
    <w:rsid w:val="000146D2"/>
    <w:rsid w:val="00014D6A"/>
    <w:rsid w:val="0001507D"/>
    <w:rsid w:val="0001516B"/>
    <w:rsid w:val="000152AD"/>
    <w:rsid w:val="0001549D"/>
    <w:rsid w:val="000154E8"/>
    <w:rsid w:val="00015613"/>
    <w:rsid w:val="0001566F"/>
    <w:rsid w:val="000158C7"/>
    <w:rsid w:val="00015957"/>
    <w:rsid w:val="000159E2"/>
    <w:rsid w:val="00015DDB"/>
    <w:rsid w:val="00015E7F"/>
    <w:rsid w:val="00015EA9"/>
    <w:rsid w:val="00015F17"/>
    <w:rsid w:val="0001624D"/>
    <w:rsid w:val="000163DF"/>
    <w:rsid w:val="000164E3"/>
    <w:rsid w:val="00016606"/>
    <w:rsid w:val="00016633"/>
    <w:rsid w:val="000167AE"/>
    <w:rsid w:val="000167EA"/>
    <w:rsid w:val="00016A4A"/>
    <w:rsid w:val="00016BF6"/>
    <w:rsid w:val="00016E6A"/>
    <w:rsid w:val="000171F2"/>
    <w:rsid w:val="00017559"/>
    <w:rsid w:val="00017967"/>
    <w:rsid w:val="00017ACD"/>
    <w:rsid w:val="00017C63"/>
    <w:rsid w:val="00017DD6"/>
    <w:rsid w:val="00017EB6"/>
    <w:rsid w:val="00017EE2"/>
    <w:rsid w:val="00020066"/>
    <w:rsid w:val="00020081"/>
    <w:rsid w:val="000200A6"/>
    <w:rsid w:val="000201F7"/>
    <w:rsid w:val="0002035A"/>
    <w:rsid w:val="000203C1"/>
    <w:rsid w:val="000203C4"/>
    <w:rsid w:val="000203DC"/>
    <w:rsid w:val="00020510"/>
    <w:rsid w:val="00020652"/>
    <w:rsid w:val="000208F6"/>
    <w:rsid w:val="00020964"/>
    <w:rsid w:val="000209BE"/>
    <w:rsid w:val="00020A2C"/>
    <w:rsid w:val="00020A38"/>
    <w:rsid w:val="00020DC0"/>
    <w:rsid w:val="00020DEF"/>
    <w:rsid w:val="00020F96"/>
    <w:rsid w:val="00020F99"/>
    <w:rsid w:val="0002102A"/>
    <w:rsid w:val="0002115F"/>
    <w:rsid w:val="00021921"/>
    <w:rsid w:val="0002195A"/>
    <w:rsid w:val="00021AAC"/>
    <w:rsid w:val="00021BFC"/>
    <w:rsid w:val="00021D01"/>
    <w:rsid w:val="00021D0C"/>
    <w:rsid w:val="00021EF4"/>
    <w:rsid w:val="00022064"/>
    <w:rsid w:val="000220FE"/>
    <w:rsid w:val="00022159"/>
    <w:rsid w:val="00022216"/>
    <w:rsid w:val="000222F2"/>
    <w:rsid w:val="000223C0"/>
    <w:rsid w:val="0002251C"/>
    <w:rsid w:val="00022521"/>
    <w:rsid w:val="000225C5"/>
    <w:rsid w:val="0002268A"/>
    <w:rsid w:val="000226CA"/>
    <w:rsid w:val="0002272D"/>
    <w:rsid w:val="00022BC3"/>
    <w:rsid w:val="00022EEF"/>
    <w:rsid w:val="0002325E"/>
    <w:rsid w:val="000232AB"/>
    <w:rsid w:val="0002335C"/>
    <w:rsid w:val="00023697"/>
    <w:rsid w:val="00023770"/>
    <w:rsid w:val="00023880"/>
    <w:rsid w:val="00023A76"/>
    <w:rsid w:val="00023B0B"/>
    <w:rsid w:val="00023C35"/>
    <w:rsid w:val="00023E5F"/>
    <w:rsid w:val="00023F58"/>
    <w:rsid w:val="0002433B"/>
    <w:rsid w:val="000247D3"/>
    <w:rsid w:val="0002497A"/>
    <w:rsid w:val="00024A45"/>
    <w:rsid w:val="00024AE4"/>
    <w:rsid w:val="00024D08"/>
    <w:rsid w:val="00024F0B"/>
    <w:rsid w:val="00025051"/>
    <w:rsid w:val="00025081"/>
    <w:rsid w:val="00025371"/>
    <w:rsid w:val="000255A1"/>
    <w:rsid w:val="00025A08"/>
    <w:rsid w:val="00025B02"/>
    <w:rsid w:val="00025C1F"/>
    <w:rsid w:val="00025E11"/>
    <w:rsid w:val="00025E42"/>
    <w:rsid w:val="0002602E"/>
    <w:rsid w:val="0002623C"/>
    <w:rsid w:val="00026297"/>
    <w:rsid w:val="000263AB"/>
    <w:rsid w:val="0002640E"/>
    <w:rsid w:val="000264E0"/>
    <w:rsid w:val="000264F7"/>
    <w:rsid w:val="0002653D"/>
    <w:rsid w:val="00026C7A"/>
    <w:rsid w:val="00026CC7"/>
    <w:rsid w:val="00026E82"/>
    <w:rsid w:val="00027130"/>
    <w:rsid w:val="000274E8"/>
    <w:rsid w:val="00027502"/>
    <w:rsid w:val="0002797A"/>
    <w:rsid w:val="00027993"/>
    <w:rsid w:val="00027B44"/>
    <w:rsid w:val="00027D56"/>
    <w:rsid w:val="00027EB9"/>
    <w:rsid w:val="00027F4E"/>
    <w:rsid w:val="0003010F"/>
    <w:rsid w:val="000301E3"/>
    <w:rsid w:val="0003021D"/>
    <w:rsid w:val="00030312"/>
    <w:rsid w:val="00030575"/>
    <w:rsid w:val="00030636"/>
    <w:rsid w:val="000306AB"/>
    <w:rsid w:val="00030787"/>
    <w:rsid w:val="000307DD"/>
    <w:rsid w:val="0003088F"/>
    <w:rsid w:val="000308AD"/>
    <w:rsid w:val="000308EF"/>
    <w:rsid w:val="0003094F"/>
    <w:rsid w:val="00030AC3"/>
    <w:rsid w:val="00030AD6"/>
    <w:rsid w:val="00030B8C"/>
    <w:rsid w:val="00030B93"/>
    <w:rsid w:val="00030DDB"/>
    <w:rsid w:val="00030DF0"/>
    <w:rsid w:val="00030FE3"/>
    <w:rsid w:val="00031029"/>
    <w:rsid w:val="00031239"/>
    <w:rsid w:val="000315C0"/>
    <w:rsid w:val="000315DE"/>
    <w:rsid w:val="00031627"/>
    <w:rsid w:val="00031827"/>
    <w:rsid w:val="000319CD"/>
    <w:rsid w:val="00031D56"/>
    <w:rsid w:val="00032150"/>
    <w:rsid w:val="000324A5"/>
    <w:rsid w:val="00032563"/>
    <w:rsid w:val="00032648"/>
    <w:rsid w:val="0003264C"/>
    <w:rsid w:val="00032897"/>
    <w:rsid w:val="000328C7"/>
    <w:rsid w:val="000328D6"/>
    <w:rsid w:val="00032A13"/>
    <w:rsid w:val="00032F6A"/>
    <w:rsid w:val="00033062"/>
    <w:rsid w:val="00033143"/>
    <w:rsid w:val="000331A7"/>
    <w:rsid w:val="000331B3"/>
    <w:rsid w:val="000332AC"/>
    <w:rsid w:val="00033389"/>
    <w:rsid w:val="00033412"/>
    <w:rsid w:val="00033475"/>
    <w:rsid w:val="00033615"/>
    <w:rsid w:val="0003363E"/>
    <w:rsid w:val="0003368B"/>
    <w:rsid w:val="000337B0"/>
    <w:rsid w:val="000338B7"/>
    <w:rsid w:val="00033B30"/>
    <w:rsid w:val="00033C43"/>
    <w:rsid w:val="00033DCB"/>
    <w:rsid w:val="00033F4C"/>
    <w:rsid w:val="00033FAB"/>
    <w:rsid w:val="000340FB"/>
    <w:rsid w:val="00034237"/>
    <w:rsid w:val="0003425B"/>
    <w:rsid w:val="0003431D"/>
    <w:rsid w:val="0003472D"/>
    <w:rsid w:val="00034883"/>
    <w:rsid w:val="00034D2E"/>
    <w:rsid w:val="00034E8A"/>
    <w:rsid w:val="00034EF0"/>
    <w:rsid w:val="0003506B"/>
    <w:rsid w:val="0003527D"/>
    <w:rsid w:val="00035414"/>
    <w:rsid w:val="00035439"/>
    <w:rsid w:val="000354DC"/>
    <w:rsid w:val="000356C1"/>
    <w:rsid w:val="00035716"/>
    <w:rsid w:val="00035753"/>
    <w:rsid w:val="0003588F"/>
    <w:rsid w:val="00035C3F"/>
    <w:rsid w:val="00035C6B"/>
    <w:rsid w:val="00035EEB"/>
    <w:rsid w:val="00035FCB"/>
    <w:rsid w:val="00036236"/>
    <w:rsid w:val="00036345"/>
    <w:rsid w:val="000363A5"/>
    <w:rsid w:val="00036479"/>
    <w:rsid w:val="0003660A"/>
    <w:rsid w:val="0003675E"/>
    <w:rsid w:val="00036817"/>
    <w:rsid w:val="000369ED"/>
    <w:rsid w:val="00036A1A"/>
    <w:rsid w:val="00036A76"/>
    <w:rsid w:val="00036AF2"/>
    <w:rsid w:val="00036D4E"/>
    <w:rsid w:val="00036EE7"/>
    <w:rsid w:val="00036F90"/>
    <w:rsid w:val="0003700B"/>
    <w:rsid w:val="000370A1"/>
    <w:rsid w:val="00037182"/>
    <w:rsid w:val="0003718D"/>
    <w:rsid w:val="00037231"/>
    <w:rsid w:val="00037245"/>
    <w:rsid w:val="0003727C"/>
    <w:rsid w:val="00037432"/>
    <w:rsid w:val="00037508"/>
    <w:rsid w:val="00037905"/>
    <w:rsid w:val="00037967"/>
    <w:rsid w:val="00037A6B"/>
    <w:rsid w:val="00037C71"/>
    <w:rsid w:val="00037D73"/>
    <w:rsid w:val="00037E1E"/>
    <w:rsid w:val="000400CB"/>
    <w:rsid w:val="0004014B"/>
    <w:rsid w:val="00040252"/>
    <w:rsid w:val="00040563"/>
    <w:rsid w:val="0004069A"/>
    <w:rsid w:val="000407B0"/>
    <w:rsid w:val="00040F40"/>
    <w:rsid w:val="000410E2"/>
    <w:rsid w:val="0004130D"/>
    <w:rsid w:val="0004136F"/>
    <w:rsid w:val="00041409"/>
    <w:rsid w:val="00041486"/>
    <w:rsid w:val="0004165D"/>
    <w:rsid w:val="000416D0"/>
    <w:rsid w:val="00041774"/>
    <w:rsid w:val="00041A0F"/>
    <w:rsid w:val="00041B86"/>
    <w:rsid w:val="00041E52"/>
    <w:rsid w:val="00041ECE"/>
    <w:rsid w:val="000420E8"/>
    <w:rsid w:val="000423BC"/>
    <w:rsid w:val="0004245A"/>
    <w:rsid w:val="000426ED"/>
    <w:rsid w:val="0004278B"/>
    <w:rsid w:val="00042835"/>
    <w:rsid w:val="000428D0"/>
    <w:rsid w:val="00042BF8"/>
    <w:rsid w:val="0004328A"/>
    <w:rsid w:val="00043485"/>
    <w:rsid w:val="000435AC"/>
    <w:rsid w:val="00043639"/>
    <w:rsid w:val="000438D2"/>
    <w:rsid w:val="000438DA"/>
    <w:rsid w:val="0004406D"/>
    <w:rsid w:val="0004407C"/>
    <w:rsid w:val="00044180"/>
    <w:rsid w:val="000442B5"/>
    <w:rsid w:val="0004432D"/>
    <w:rsid w:val="00044421"/>
    <w:rsid w:val="000446D7"/>
    <w:rsid w:val="00044A33"/>
    <w:rsid w:val="00044B09"/>
    <w:rsid w:val="00044C53"/>
    <w:rsid w:val="00044CDC"/>
    <w:rsid w:val="00044D2D"/>
    <w:rsid w:val="00044D6A"/>
    <w:rsid w:val="00044D7F"/>
    <w:rsid w:val="00044E3B"/>
    <w:rsid w:val="00044EF6"/>
    <w:rsid w:val="00045195"/>
    <w:rsid w:val="0004534E"/>
    <w:rsid w:val="000454B2"/>
    <w:rsid w:val="00045693"/>
    <w:rsid w:val="0004577F"/>
    <w:rsid w:val="000457D4"/>
    <w:rsid w:val="00045842"/>
    <w:rsid w:val="00045892"/>
    <w:rsid w:val="000458DF"/>
    <w:rsid w:val="00045E80"/>
    <w:rsid w:val="00045ED3"/>
    <w:rsid w:val="00045EEF"/>
    <w:rsid w:val="000461DA"/>
    <w:rsid w:val="000461E0"/>
    <w:rsid w:val="000462C5"/>
    <w:rsid w:val="00046659"/>
    <w:rsid w:val="0004678A"/>
    <w:rsid w:val="00046920"/>
    <w:rsid w:val="0004699F"/>
    <w:rsid w:val="00046A59"/>
    <w:rsid w:val="00046EC3"/>
    <w:rsid w:val="000471E0"/>
    <w:rsid w:val="000473E9"/>
    <w:rsid w:val="0004754A"/>
    <w:rsid w:val="0004775D"/>
    <w:rsid w:val="00047A5E"/>
    <w:rsid w:val="00047B2A"/>
    <w:rsid w:val="00047BDC"/>
    <w:rsid w:val="00047C07"/>
    <w:rsid w:val="00047D3B"/>
    <w:rsid w:val="0005022B"/>
    <w:rsid w:val="0005031E"/>
    <w:rsid w:val="000503E2"/>
    <w:rsid w:val="00050498"/>
    <w:rsid w:val="000505EB"/>
    <w:rsid w:val="00050DC2"/>
    <w:rsid w:val="00050E49"/>
    <w:rsid w:val="00050E94"/>
    <w:rsid w:val="000510E4"/>
    <w:rsid w:val="00051211"/>
    <w:rsid w:val="00051451"/>
    <w:rsid w:val="000516D7"/>
    <w:rsid w:val="000516D8"/>
    <w:rsid w:val="000517D8"/>
    <w:rsid w:val="000519B9"/>
    <w:rsid w:val="00051A3D"/>
    <w:rsid w:val="00051D21"/>
    <w:rsid w:val="00051D2F"/>
    <w:rsid w:val="000524F1"/>
    <w:rsid w:val="00052733"/>
    <w:rsid w:val="000527C0"/>
    <w:rsid w:val="0005283E"/>
    <w:rsid w:val="0005330B"/>
    <w:rsid w:val="0005368F"/>
    <w:rsid w:val="00053F93"/>
    <w:rsid w:val="0005410E"/>
    <w:rsid w:val="000541FE"/>
    <w:rsid w:val="00054283"/>
    <w:rsid w:val="00054558"/>
    <w:rsid w:val="00054783"/>
    <w:rsid w:val="00054A47"/>
    <w:rsid w:val="00054AD9"/>
    <w:rsid w:val="00054DF7"/>
    <w:rsid w:val="000550C4"/>
    <w:rsid w:val="000551DD"/>
    <w:rsid w:val="0005529B"/>
    <w:rsid w:val="0005555D"/>
    <w:rsid w:val="00055587"/>
    <w:rsid w:val="00055A10"/>
    <w:rsid w:val="00055C40"/>
    <w:rsid w:val="00055CC0"/>
    <w:rsid w:val="000560ED"/>
    <w:rsid w:val="000562AC"/>
    <w:rsid w:val="000563CA"/>
    <w:rsid w:val="000566C2"/>
    <w:rsid w:val="000566E4"/>
    <w:rsid w:val="00056B12"/>
    <w:rsid w:val="00056E32"/>
    <w:rsid w:val="00056F4B"/>
    <w:rsid w:val="00056F60"/>
    <w:rsid w:val="00057008"/>
    <w:rsid w:val="00057085"/>
    <w:rsid w:val="000575B7"/>
    <w:rsid w:val="00057698"/>
    <w:rsid w:val="00057842"/>
    <w:rsid w:val="00057B21"/>
    <w:rsid w:val="00057E47"/>
    <w:rsid w:val="00060099"/>
    <w:rsid w:val="000601C8"/>
    <w:rsid w:val="00060227"/>
    <w:rsid w:val="000604B7"/>
    <w:rsid w:val="00060502"/>
    <w:rsid w:val="00060656"/>
    <w:rsid w:val="000609D1"/>
    <w:rsid w:val="00060B8C"/>
    <w:rsid w:val="00060C19"/>
    <w:rsid w:val="00060C24"/>
    <w:rsid w:val="00060CFE"/>
    <w:rsid w:val="00060D0F"/>
    <w:rsid w:val="00060E22"/>
    <w:rsid w:val="00060EC0"/>
    <w:rsid w:val="00060FFD"/>
    <w:rsid w:val="0006114D"/>
    <w:rsid w:val="00061186"/>
    <w:rsid w:val="00061256"/>
    <w:rsid w:val="000612DB"/>
    <w:rsid w:val="00061476"/>
    <w:rsid w:val="000617F6"/>
    <w:rsid w:val="000618CD"/>
    <w:rsid w:val="0006196D"/>
    <w:rsid w:val="000619BD"/>
    <w:rsid w:val="00061E84"/>
    <w:rsid w:val="0006250B"/>
    <w:rsid w:val="00062669"/>
    <w:rsid w:val="00063035"/>
    <w:rsid w:val="0006338C"/>
    <w:rsid w:val="000633F5"/>
    <w:rsid w:val="0006367C"/>
    <w:rsid w:val="000639FD"/>
    <w:rsid w:val="00063AD7"/>
    <w:rsid w:val="00063D41"/>
    <w:rsid w:val="00063DF2"/>
    <w:rsid w:val="00063FDB"/>
    <w:rsid w:val="00063FEA"/>
    <w:rsid w:val="0006408D"/>
    <w:rsid w:val="000640D5"/>
    <w:rsid w:val="00064100"/>
    <w:rsid w:val="00064159"/>
    <w:rsid w:val="00064169"/>
    <w:rsid w:val="00064656"/>
    <w:rsid w:val="00064668"/>
    <w:rsid w:val="0006489A"/>
    <w:rsid w:val="00064A8F"/>
    <w:rsid w:val="00064BA6"/>
    <w:rsid w:val="00064E20"/>
    <w:rsid w:val="0006536B"/>
    <w:rsid w:val="000653C0"/>
    <w:rsid w:val="00065574"/>
    <w:rsid w:val="00065578"/>
    <w:rsid w:val="0006563A"/>
    <w:rsid w:val="000656D3"/>
    <w:rsid w:val="00065865"/>
    <w:rsid w:val="00065C11"/>
    <w:rsid w:val="00065C64"/>
    <w:rsid w:val="00065CFC"/>
    <w:rsid w:val="00065DC8"/>
    <w:rsid w:val="00066090"/>
    <w:rsid w:val="0006620B"/>
    <w:rsid w:val="0006628D"/>
    <w:rsid w:val="00066313"/>
    <w:rsid w:val="0006631B"/>
    <w:rsid w:val="0006674C"/>
    <w:rsid w:val="000668E5"/>
    <w:rsid w:val="00066CEC"/>
    <w:rsid w:val="00066F60"/>
    <w:rsid w:val="00066FB1"/>
    <w:rsid w:val="00067050"/>
    <w:rsid w:val="000676C3"/>
    <w:rsid w:val="0006770B"/>
    <w:rsid w:val="00067865"/>
    <w:rsid w:val="000678C0"/>
    <w:rsid w:val="00067AEC"/>
    <w:rsid w:val="00067B2E"/>
    <w:rsid w:val="00067BBE"/>
    <w:rsid w:val="00067C12"/>
    <w:rsid w:val="00067EB5"/>
    <w:rsid w:val="00067FD9"/>
    <w:rsid w:val="00070050"/>
    <w:rsid w:val="000704D9"/>
    <w:rsid w:val="00070534"/>
    <w:rsid w:val="00070593"/>
    <w:rsid w:val="00070646"/>
    <w:rsid w:val="00070703"/>
    <w:rsid w:val="0007070A"/>
    <w:rsid w:val="0007078E"/>
    <w:rsid w:val="00070926"/>
    <w:rsid w:val="000709CF"/>
    <w:rsid w:val="00070E13"/>
    <w:rsid w:val="00070E61"/>
    <w:rsid w:val="00070FB8"/>
    <w:rsid w:val="0007117D"/>
    <w:rsid w:val="000712DF"/>
    <w:rsid w:val="00071583"/>
    <w:rsid w:val="000715D3"/>
    <w:rsid w:val="0007171B"/>
    <w:rsid w:val="000718EB"/>
    <w:rsid w:val="00071AFB"/>
    <w:rsid w:val="00071CE2"/>
    <w:rsid w:val="000722F3"/>
    <w:rsid w:val="0007244B"/>
    <w:rsid w:val="000724A6"/>
    <w:rsid w:val="000724CA"/>
    <w:rsid w:val="0007267A"/>
    <w:rsid w:val="0007280A"/>
    <w:rsid w:val="00072844"/>
    <w:rsid w:val="00072869"/>
    <w:rsid w:val="000728E7"/>
    <w:rsid w:val="000728E8"/>
    <w:rsid w:val="0007291E"/>
    <w:rsid w:val="00072A56"/>
    <w:rsid w:val="00072C1A"/>
    <w:rsid w:val="00072F62"/>
    <w:rsid w:val="000730DC"/>
    <w:rsid w:val="00073369"/>
    <w:rsid w:val="000733A0"/>
    <w:rsid w:val="000737B9"/>
    <w:rsid w:val="00073909"/>
    <w:rsid w:val="0007394D"/>
    <w:rsid w:val="000739CB"/>
    <w:rsid w:val="000739F0"/>
    <w:rsid w:val="00073B6D"/>
    <w:rsid w:val="00073BD0"/>
    <w:rsid w:val="00073C0C"/>
    <w:rsid w:val="00073E6B"/>
    <w:rsid w:val="00073E89"/>
    <w:rsid w:val="000742C4"/>
    <w:rsid w:val="000743DF"/>
    <w:rsid w:val="000744F6"/>
    <w:rsid w:val="000745EB"/>
    <w:rsid w:val="000749FE"/>
    <w:rsid w:val="00074CBE"/>
    <w:rsid w:val="00074CF9"/>
    <w:rsid w:val="00074D9A"/>
    <w:rsid w:val="00075224"/>
    <w:rsid w:val="0007538A"/>
    <w:rsid w:val="000757C4"/>
    <w:rsid w:val="00075A68"/>
    <w:rsid w:val="00075B7E"/>
    <w:rsid w:val="00075C5A"/>
    <w:rsid w:val="00075DA7"/>
    <w:rsid w:val="00075E34"/>
    <w:rsid w:val="00075F82"/>
    <w:rsid w:val="000760E5"/>
    <w:rsid w:val="000761C3"/>
    <w:rsid w:val="00076324"/>
    <w:rsid w:val="000763D2"/>
    <w:rsid w:val="00076403"/>
    <w:rsid w:val="00076556"/>
    <w:rsid w:val="0007673E"/>
    <w:rsid w:val="00076747"/>
    <w:rsid w:val="00076D0F"/>
    <w:rsid w:val="00076E49"/>
    <w:rsid w:val="00076E65"/>
    <w:rsid w:val="00076F44"/>
    <w:rsid w:val="00077019"/>
    <w:rsid w:val="000773E7"/>
    <w:rsid w:val="00077404"/>
    <w:rsid w:val="000775DE"/>
    <w:rsid w:val="00077738"/>
    <w:rsid w:val="00077901"/>
    <w:rsid w:val="0007794B"/>
    <w:rsid w:val="00077C29"/>
    <w:rsid w:val="00077D4D"/>
    <w:rsid w:val="00077EC7"/>
    <w:rsid w:val="00077F59"/>
    <w:rsid w:val="00080189"/>
    <w:rsid w:val="0008020C"/>
    <w:rsid w:val="00080238"/>
    <w:rsid w:val="000802F6"/>
    <w:rsid w:val="000803C9"/>
    <w:rsid w:val="000804E8"/>
    <w:rsid w:val="000806A9"/>
    <w:rsid w:val="0008075A"/>
    <w:rsid w:val="000809A9"/>
    <w:rsid w:val="00080A04"/>
    <w:rsid w:val="00080A38"/>
    <w:rsid w:val="00080A74"/>
    <w:rsid w:val="00080A97"/>
    <w:rsid w:val="00080ACA"/>
    <w:rsid w:val="00080EEF"/>
    <w:rsid w:val="00080F3A"/>
    <w:rsid w:val="00080F68"/>
    <w:rsid w:val="00081114"/>
    <w:rsid w:val="000811F1"/>
    <w:rsid w:val="00081237"/>
    <w:rsid w:val="000813D3"/>
    <w:rsid w:val="0008154A"/>
    <w:rsid w:val="00081754"/>
    <w:rsid w:val="0008194D"/>
    <w:rsid w:val="00081A52"/>
    <w:rsid w:val="00081A92"/>
    <w:rsid w:val="00081AE9"/>
    <w:rsid w:val="00081CF5"/>
    <w:rsid w:val="00081D06"/>
    <w:rsid w:val="00081D2D"/>
    <w:rsid w:val="00081E6D"/>
    <w:rsid w:val="00081E8D"/>
    <w:rsid w:val="00082343"/>
    <w:rsid w:val="00082390"/>
    <w:rsid w:val="000823EB"/>
    <w:rsid w:val="0008244D"/>
    <w:rsid w:val="00082522"/>
    <w:rsid w:val="0008252B"/>
    <w:rsid w:val="000825C9"/>
    <w:rsid w:val="000825FE"/>
    <w:rsid w:val="0008269D"/>
    <w:rsid w:val="000827F7"/>
    <w:rsid w:val="00082C6C"/>
    <w:rsid w:val="00082C9F"/>
    <w:rsid w:val="00082CA0"/>
    <w:rsid w:val="00082E97"/>
    <w:rsid w:val="0008308B"/>
    <w:rsid w:val="00083182"/>
    <w:rsid w:val="000833A6"/>
    <w:rsid w:val="0008348F"/>
    <w:rsid w:val="000835E4"/>
    <w:rsid w:val="000835FD"/>
    <w:rsid w:val="0008379D"/>
    <w:rsid w:val="000839B5"/>
    <w:rsid w:val="00083AB8"/>
    <w:rsid w:val="00083E88"/>
    <w:rsid w:val="0008411A"/>
    <w:rsid w:val="0008417C"/>
    <w:rsid w:val="000841BF"/>
    <w:rsid w:val="000842EA"/>
    <w:rsid w:val="00084476"/>
    <w:rsid w:val="000845F8"/>
    <w:rsid w:val="00084B2A"/>
    <w:rsid w:val="00084F1A"/>
    <w:rsid w:val="000855B9"/>
    <w:rsid w:val="00085620"/>
    <w:rsid w:val="00085857"/>
    <w:rsid w:val="00085919"/>
    <w:rsid w:val="000859CC"/>
    <w:rsid w:val="000859E6"/>
    <w:rsid w:val="00085AB3"/>
    <w:rsid w:val="00085AB5"/>
    <w:rsid w:val="00085B41"/>
    <w:rsid w:val="00085CBB"/>
    <w:rsid w:val="00085D6C"/>
    <w:rsid w:val="00085D79"/>
    <w:rsid w:val="00085DAB"/>
    <w:rsid w:val="00085E96"/>
    <w:rsid w:val="00086452"/>
    <w:rsid w:val="0008652C"/>
    <w:rsid w:val="000865DE"/>
    <w:rsid w:val="00086A1B"/>
    <w:rsid w:val="00086B91"/>
    <w:rsid w:val="000873C5"/>
    <w:rsid w:val="000873CD"/>
    <w:rsid w:val="000877FA"/>
    <w:rsid w:val="00087803"/>
    <w:rsid w:val="000879C9"/>
    <w:rsid w:val="00087A04"/>
    <w:rsid w:val="00087ABE"/>
    <w:rsid w:val="00087DCE"/>
    <w:rsid w:val="00087E8B"/>
    <w:rsid w:val="00087ED3"/>
    <w:rsid w:val="00087FD6"/>
    <w:rsid w:val="00090231"/>
    <w:rsid w:val="00090290"/>
    <w:rsid w:val="0009040C"/>
    <w:rsid w:val="000904A1"/>
    <w:rsid w:val="000905A1"/>
    <w:rsid w:val="00090789"/>
    <w:rsid w:val="00090939"/>
    <w:rsid w:val="00090942"/>
    <w:rsid w:val="00090D56"/>
    <w:rsid w:val="00090E04"/>
    <w:rsid w:val="00090F71"/>
    <w:rsid w:val="00090FF3"/>
    <w:rsid w:val="000910FB"/>
    <w:rsid w:val="0009130C"/>
    <w:rsid w:val="000913A0"/>
    <w:rsid w:val="000915B7"/>
    <w:rsid w:val="000916CB"/>
    <w:rsid w:val="00091751"/>
    <w:rsid w:val="00091784"/>
    <w:rsid w:val="000918F2"/>
    <w:rsid w:val="00091912"/>
    <w:rsid w:val="00091B27"/>
    <w:rsid w:val="00091C0C"/>
    <w:rsid w:val="00091C6C"/>
    <w:rsid w:val="00091C71"/>
    <w:rsid w:val="00091C88"/>
    <w:rsid w:val="00091CF7"/>
    <w:rsid w:val="00092078"/>
    <w:rsid w:val="000924B6"/>
    <w:rsid w:val="00092719"/>
    <w:rsid w:val="00092822"/>
    <w:rsid w:val="00092866"/>
    <w:rsid w:val="000928C3"/>
    <w:rsid w:val="00092952"/>
    <w:rsid w:val="00092C8E"/>
    <w:rsid w:val="00092D14"/>
    <w:rsid w:val="00092F85"/>
    <w:rsid w:val="0009305C"/>
    <w:rsid w:val="00093571"/>
    <w:rsid w:val="000935B6"/>
    <w:rsid w:val="000937D7"/>
    <w:rsid w:val="000938FB"/>
    <w:rsid w:val="0009396A"/>
    <w:rsid w:val="00093AB0"/>
    <w:rsid w:val="00093FA8"/>
    <w:rsid w:val="00094031"/>
    <w:rsid w:val="0009417F"/>
    <w:rsid w:val="000945A5"/>
    <w:rsid w:val="00094AA0"/>
    <w:rsid w:val="00094D32"/>
    <w:rsid w:val="00094E53"/>
    <w:rsid w:val="0009515F"/>
    <w:rsid w:val="00095250"/>
    <w:rsid w:val="000952CA"/>
    <w:rsid w:val="00095681"/>
    <w:rsid w:val="00095711"/>
    <w:rsid w:val="000957D6"/>
    <w:rsid w:val="0009581D"/>
    <w:rsid w:val="00095992"/>
    <w:rsid w:val="00095A20"/>
    <w:rsid w:val="00095A55"/>
    <w:rsid w:val="00095C1A"/>
    <w:rsid w:val="00095CD3"/>
    <w:rsid w:val="00095E37"/>
    <w:rsid w:val="0009607B"/>
    <w:rsid w:val="000960DF"/>
    <w:rsid w:val="00096265"/>
    <w:rsid w:val="00096448"/>
    <w:rsid w:val="0009661D"/>
    <w:rsid w:val="00096637"/>
    <w:rsid w:val="000968D6"/>
    <w:rsid w:val="00096AA1"/>
    <w:rsid w:val="00096B5E"/>
    <w:rsid w:val="00096D77"/>
    <w:rsid w:val="00096D83"/>
    <w:rsid w:val="000970D7"/>
    <w:rsid w:val="0009711C"/>
    <w:rsid w:val="0009756C"/>
    <w:rsid w:val="000976E8"/>
    <w:rsid w:val="000976F1"/>
    <w:rsid w:val="00097944"/>
    <w:rsid w:val="00097DB1"/>
    <w:rsid w:val="00097E15"/>
    <w:rsid w:val="000A04C6"/>
    <w:rsid w:val="000A04E3"/>
    <w:rsid w:val="000A060B"/>
    <w:rsid w:val="000A0A17"/>
    <w:rsid w:val="000A0A18"/>
    <w:rsid w:val="000A0E09"/>
    <w:rsid w:val="000A0F77"/>
    <w:rsid w:val="000A10A0"/>
    <w:rsid w:val="000A10FD"/>
    <w:rsid w:val="000A1582"/>
    <w:rsid w:val="000A1765"/>
    <w:rsid w:val="000A1A8C"/>
    <w:rsid w:val="000A1A93"/>
    <w:rsid w:val="000A1F84"/>
    <w:rsid w:val="000A2246"/>
    <w:rsid w:val="000A2310"/>
    <w:rsid w:val="000A2369"/>
    <w:rsid w:val="000A254B"/>
    <w:rsid w:val="000A2573"/>
    <w:rsid w:val="000A259F"/>
    <w:rsid w:val="000A26D0"/>
    <w:rsid w:val="000A2764"/>
    <w:rsid w:val="000A27A9"/>
    <w:rsid w:val="000A28B2"/>
    <w:rsid w:val="000A2BE8"/>
    <w:rsid w:val="000A2D74"/>
    <w:rsid w:val="000A2DE7"/>
    <w:rsid w:val="000A2E13"/>
    <w:rsid w:val="000A2F30"/>
    <w:rsid w:val="000A3045"/>
    <w:rsid w:val="000A30C8"/>
    <w:rsid w:val="000A31EC"/>
    <w:rsid w:val="000A3285"/>
    <w:rsid w:val="000A33CD"/>
    <w:rsid w:val="000A33CF"/>
    <w:rsid w:val="000A356D"/>
    <w:rsid w:val="000A3792"/>
    <w:rsid w:val="000A3ABF"/>
    <w:rsid w:val="000A3BF1"/>
    <w:rsid w:val="000A3BF2"/>
    <w:rsid w:val="000A3C16"/>
    <w:rsid w:val="000A3C8D"/>
    <w:rsid w:val="000A40A7"/>
    <w:rsid w:val="000A4497"/>
    <w:rsid w:val="000A4521"/>
    <w:rsid w:val="000A4792"/>
    <w:rsid w:val="000A49B7"/>
    <w:rsid w:val="000A4BF5"/>
    <w:rsid w:val="000A4C1D"/>
    <w:rsid w:val="000A4D03"/>
    <w:rsid w:val="000A51BC"/>
    <w:rsid w:val="000A5246"/>
    <w:rsid w:val="000A525A"/>
    <w:rsid w:val="000A527B"/>
    <w:rsid w:val="000A5493"/>
    <w:rsid w:val="000A557E"/>
    <w:rsid w:val="000A56EF"/>
    <w:rsid w:val="000A584C"/>
    <w:rsid w:val="000A5A23"/>
    <w:rsid w:val="000A5D9E"/>
    <w:rsid w:val="000A5F08"/>
    <w:rsid w:val="000A5F12"/>
    <w:rsid w:val="000A5F34"/>
    <w:rsid w:val="000A60AE"/>
    <w:rsid w:val="000A6295"/>
    <w:rsid w:val="000A646F"/>
    <w:rsid w:val="000A64FE"/>
    <w:rsid w:val="000A65E9"/>
    <w:rsid w:val="000A6688"/>
    <w:rsid w:val="000A6B1F"/>
    <w:rsid w:val="000A6CA2"/>
    <w:rsid w:val="000A6CB5"/>
    <w:rsid w:val="000A6DDE"/>
    <w:rsid w:val="000A73D0"/>
    <w:rsid w:val="000A7694"/>
    <w:rsid w:val="000A7894"/>
    <w:rsid w:val="000A78E7"/>
    <w:rsid w:val="000A7926"/>
    <w:rsid w:val="000A796B"/>
    <w:rsid w:val="000A7CAF"/>
    <w:rsid w:val="000A7D9F"/>
    <w:rsid w:val="000A7E42"/>
    <w:rsid w:val="000B0341"/>
    <w:rsid w:val="000B06E8"/>
    <w:rsid w:val="000B089F"/>
    <w:rsid w:val="000B08F8"/>
    <w:rsid w:val="000B09EF"/>
    <w:rsid w:val="000B0B6D"/>
    <w:rsid w:val="000B0E30"/>
    <w:rsid w:val="000B0EA5"/>
    <w:rsid w:val="000B0FAD"/>
    <w:rsid w:val="000B1233"/>
    <w:rsid w:val="000B1235"/>
    <w:rsid w:val="000B1319"/>
    <w:rsid w:val="000B13EC"/>
    <w:rsid w:val="000B1438"/>
    <w:rsid w:val="000B15BF"/>
    <w:rsid w:val="000B16DF"/>
    <w:rsid w:val="000B1B94"/>
    <w:rsid w:val="000B1BB9"/>
    <w:rsid w:val="000B1D05"/>
    <w:rsid w:val="000B1E00"/>
    <w:rsid w:val="000B202F"/>
    <w:rsid w:val="000B2318"/>
    <w:rsid w:val="000B254F"/>
    <w:rsid w:val="000B2591"/>
    <w:rsid w:val="000B26A2"/>
    <w:rsid w:val="000B2954"/>
    <w:rsid w:val="000B29DA"/>
    <w:rsid w:val="000B2A95"/>
    <w:rsid w:val="000B2B14"/>
    <w:rsid w:val="000B2B58"/>
    <w:rsid w:val="000B2C31"/>
    <w:rsid w:val="000B2C3C"/>
    <w:rsid w:val="000B2EAD"/>
    <w:rsid w:val="000B3013"/>
    <w:rsid w:val="000B3407"/>
    <w:rsid w:val="000B3527"/>
    <w:rsid w:val="000B3783"/>
    <w:rsid w:val="000B39D4"/>
    <w:rsid w:val="000B3B0E"/>
    <w:rsid w:val="000B3BB4"/>
    <w:rsid w:val="000B3C57"/>
    <w:rsid w:val="000B3D7A"/>
    <w:rsid w:val="000B4073"/>
    <w:rsid w:val="000B41B7"/>
    <w:rsid w:val="000B42E6"/>
    <w:rsid w:val="000B43EF"/>
    <w:rsid w:val="000B45B6"/>
    <w:rsid w:val="000B4691"/>
    <w:rsid w:val="000B46A6"/>
    <w:rsid w:val="000B47CF"/>
    <w:rsid w:val="000B4ADC"/>
    <w:rsid w:val="000B4F97"/>
    <w:rsid w:val="000B5291"/>
    <w:rsid w:val="000B5473"/>
    <w:rsid w:val="000B54E7"/>
    <w:rsid w:val="000B56BC"/>
    <w:rsid w:val="000B56D0"/>
    <w:rsid w:val="000B5752"/>
    <w:rsid w:val="000B5762"/>
    <w:rsid w:val="000B5838"/>
    <w:rsid w:val="000B5AB3"/>
    <w:rsid w:val="000B5C24"/>
    <w:rsid w:val="000B5DCA"/>
    <w:rsid w:val="000B5E47"/>
    <w:rsid w:val="000B5EB6"/>
    <w:rsid w:val="000B5F2B"/>
    <w:rsid w:val="000B5F30"/>
    <w:rsid w:val="000B5F8A"/>
    <w:rsid w:val="000B6094"/>
    <w:rsid w:val="000B6270"/>
    <w:rsid w:val="000B63F7"/>
    <w:rsid w:val="000B6431"/>
    <w:rsid w:val="000B64CE"/>
    <w:rsid w:val="000B6711"/>
    <w:rsid w:val="000B6748"/>
    <w:rsid w:val="000B69DA"/>
    <w:rsid w:val="000B69EA"/>
    <w:rsid w:val="000B6A01"/>
    <w:rsid w:val="000B6A55"/>
    <w:rsid w:val="000B6AF7"/>
    <w:rsid w:val="000B6FA1"/>
    <w:rsid w:val="000B6FC3"/>
    <w:rsid w:val="000B71E6"/>
    <w:rsid w:val="000B72AC"/>
    <w:rsid w:val="000B73C6"/>
    <w:rsid w:val="000B7448"/>
    <w:rsid w:val="000B7491"/>
    <w:rsid w:val="000B77BB"/>
    <w:rsid w:val="000B77DB"/>
    <w:rsid w:val="000B7B24"/>
    <w:rsid w:val="000B7BD2"/>
    <w:rsid w:val="000B7E9E"/>
    <w:rsid w:val="000C00F2"/>
    <w:rsid w:val="000C0172"/>
    <w:rsid w:val="000C0293"/>
    <w:rsid w:val="000C03AA"/>
    <w:rsid w:val="000C03F1"/>
    <w:rsid w:val="000C04CF"/>
    <w:rsid w:val="000C04EC"/>
    <w:rsid w:val="000C0774"/>
    <w:rsid w:val="000C0DD0"/>
    <w:rsid w:val="000C0DE0"/>
    <w:rsid w:val="000C0EDB"/>
    <w:rsid w:val="000C0EDE"/>
    <w:rsid w:val="000C1127"/>
    <w:rsid w:val="000C141F"/>
    <w:rsid w:val="000C14A6"/>
    <w:rsid w:val="000C153E"/>
    <w:rsid w:val="000C1681"/>
    <w:rsid w:val="000C17E6"/>
    <w:rsid w:val="000C1816"/>
    <w:rsid w:val="000C190B"/>
    <w:rsid w:val="000C1963"/>
    <w:rsid w:val="000C197B"/>
    <w:rsid w:val="000C19A0"/>
    <w:rsid w:val="000C19DC"/>
    <w:rsid w:val="000C1CD3"/>
    <w:rsid w:val="000C1D06"/>
    <w:rsid w:val="000C1D11"/>
    <w:rsid w:val="000C2151"/>
    <w:rsid w:val="000C23FE"/>
    <w:rsid w:val="000C2409"/>
    <w:rsid w:val="000C2550"/>
    <w:rsid w:val="000C2736"/>
    <w:rsid w:val="000C2AC5"/>
    <w:rsid w:val="000C2B39"/>
    <w:rsid w:val="000C2BD0"/>
    <w:rsid w:val="000C2D5A"/>
    <w:rsid w:val="000C2EC7"/>
    <w:rsid w:val="000C2F96"/>
    <w:rsid w:val="000C3051"/>
    <w:rsid w:val="000C31FB"/>
    <w:rsid w:val="000C328E"/>
    <w:rsid w:val="000C3433"/>
    <w:rsid w:val="000C343D"/>
    <w:rsid w:val="000C34C5"/>
    <w:rsid w:val="000C3770"/>
    <w:rsid w:val="000C378C"/>
    <w:rsid w:val="000C39CC"/>
    <w:rsid w:val="000C3A04"/>
    <w:rsid w:val="000C3C6C"/>
    <w:rsid w:val="000C3E0B"/>
    <w:rsid w:val="000C3E94"/>
    <w:rsid w:val="000C3F62"/>
    <w:rsid w:val="000C3FAB"/>
    <w:rsid w:val="000C40D2"/>
    <w:rsid w:val="000C48F8"/>
    <w:rsid w:val="000C498C"/>
    <w:rsid w:val="000C4B02"/>
    <w:rsid w:val="000C4D62"/>
    <w:rsid w:val="000C4D99"/>
    <w:rsid w:val="000C4E36"/>
    <w:rsid w:val="000C4E5E"/>
    <w:rsid w:val="000C4F76"/>
    <w:rsid w:val="000C4FEE"/>
    <w:rsid w:val="000C50CB"/>
    <w:rsid w:val="000C548E"/>
    <w:rsid w:val="000C5589"/>
    <w:rsid w:val="000C56BE"/>
    <w:rsid w:val="000C575E"/>
    <w:rsid w:val="000C58CC"/>
    <w:rsid w:val="000C5C37"/>
    <w:rsid w:val="000C5C39"/>
    <w:rsid w:val="000C5D64"/>
    <w:rsid w:val="000C5EB4"/>
    <w:rsid w:val="000C5FDF"/>
    <w:rsid w:val="000C6499"/>
    <w:rsid w:val="000C6663"/>
    <w:rsid w:val="000C674E"/>
    <w:rsid w:val="000C67AD"/>
    <w:rsid w:val="000C67C6"/>
    <w:rsid w:val="000C67E9"/>
    <w:rsid w:val="000C684C"/>
    <w:rsid w:val="000C68E8"/>
    <w:rsid w:val="000C6AB3"/>
    <w:rsid w:val="000C6AE2"/>
    <w:rsid w:val="000C6B6A"/>
    <w:rsid w:val="000C6C73"/>
    <w:rsid w:val="000C6E95"/>
    <w:rsid w:val="000C6F41"/>
    <w:rsid w:val="000C7094"/>
    <w:rsid w:val="000C72A0"/>
    <w:rsid w:val="000C7333"/>
    <w:rsid w:val="000C76B4"/>
    <w:rsid w:val="000C7907"/>
    <w:rsid w:val="000C79DD"/>
    <w:rsid w:val="000C7B3E"/>
    <w:rsid w:val="000C7B5A"/>
    <w:rsid w:val="000C7C8B"/>
    <w:rsid w:val="000C7CF5"/>
    <w:rsid w:val="000C7DB3"/>
    <w:rsid w:val="000C7F2F"/>
    <w:rsid w:val="000D00CB"/>
    <w:rsid w:val="000D0239"/>
    <w:rsid w:val="000D0240"/>
    <w:rsid w:val="000D02D0"/>
    <w:rsid w:val="000D064E"/>
    <w:rsid w:val="000D0692"/>
    <w:rsid w:val="000D08FA"/>
    <w:rsid w:val="000D0AC7"/>
    <w:rsid w:val="000D0B1A"/>
    <w:rsid w:val="000D0CEB"/>
    <w:rsid w:val="000D10D4"/>
    <w:rsid w:val="000D11B9"/>
    <w:rsid w:val="000D1345"/>
    <w:rsid w:val="000D1349"/>
    <w:rsid w:val="000D165B"/>
    <w:rsid w:val="000D1676"/>
    <w:rsid w:val="000D18F4"/>
    <w:rsid w:val="000D1E98"/>
    <w:rsid w:val="000D1EED"/>
    <w:rsid w:val="000D1F6C"/>
    <w:rsid w:val="000D1FBE"/>
    <w:rsid w:val="000D21B8"/>
    <w:rsid w:val="000D21EB"/>
    <w:rsid w:val="000D2267"/>
    <w:rsid w:val="000D26B3"/>
    <w:rsid w:val="000D26BF"/>
    <w:rsid w:val="000D27AC"/>
    <w:rsid w:val="000D293E"/>
    <w:rsid w:val="000D2AB9"/>
    <w:rsid w:val="000D2C87"/>
    <w:rsid w:val="000D2CCC"/>
    <w:rsid w:val="000D2F89"/>
    <w:rsid w:val="000D3011"/>
    <w:rsid w:val="000D3257"/>
    <w:rsid w:val="000D32F1"/>
    <w:rsid w:val="000D38D6"/>
    <w:rsid w:val="000D38F4"/>
    <w:rsid w:val="000D3C34"/>
    <w:rsid w:val="000D3DBA"/>
    <w:rsid w:val="000D3E19"/>
    <w:rsid w:val="000D3EC6"/>
    <w:rsid w:val="000D3F03"/>
    <w:rsid w:val="000D3F25"/>
    <w:rsid w:val="000D3FB9"/>
    <w:rsid w:val="000D4035"/>
    <w:rsid w:val="000D4325"/>
    <w:rsid w:val="000D446F"/>
    <w:rsid w:val="000D4489"/>
    <w:rsid w:val="000D45CF"/>
    <w:rsid w:val="000D4741"/>
    <w:rsid w:val="000D4791"/>
    <w:rsid w:val="000D4BCE"/>
    <w:rsid w:val="000D4E77"/>
    <w:rsid w:val="000D54E9"/>
    <w:rsid w:val="000D55AB"/>
    <w:rsid w:val="000D5692"/>
    <w:rsid w:val="000D5872"/>
    <w:rsid w:val="000D5BA5"/>
    <w:rsid w:val="000D5F48"/>
    <w:rsid w:val="000D5F7B"/>
    <w:rsid w:val="000D6141"/>
    <w:rsid w:val="000D62DD"/>
    <w:rsid w:val="000D6410"/>
    <w:rsid w:val="000D65AA"/>
    <w:rsid w:val="000D65C4"/>
    <w:rsid w:val="000D6790"/>
    <w:rsid w:val="000D67AE"/>
    <w:rsid w:val="000D6900"/>
    <w:rsid w:val="000D692A"/>
    <w:rsid w:val="000D699B"/>
    <w:rsid w:val="000D6A39"/>
    <w:rsid w:val="000D6B03"/>
    <w:rsid w:val="000D6DAF"/>
    <w:rsid w:val="000D6E5E"/>
    <w:rsid w:val="000D708D"/>
    <w:rsid w:val="000D736F"/>
    <w:rsid w:val="000D73E8"/>
    <w:rsid w:val="000D7606"/>
    <w:rsid w:val="000D7624"/>
    <w:rsid w:val="000D7840"/>
    <w:rsid w:val="000D786E"/>
    <w:rsid w:val="000D7A90"/>
    <w:rsid w:val="000D7CAD"/>
    <w:rsid w:val="000D7CD4"/>
    <w:rsid w:val="000D7CD6"/>
    <w:rsid w:val="000D7D91"/>
    <w:rsid w:val="000D7DE9"/>
    <w:rsid w:val="000D7DFC"/>
    <w:rsid w:val="000D7EFF"/>
    <w:rsid w:val="000E005E"/>
    <w:rsid w:val="000E06D6"/>
    <w:rsid w:val="000E07C8"/>
    <w:rsid w:val="000E09EE"/>
    <w:rsid w:val="000E0A67"/>
    <w:rsid w:val="000E0B34"/>
    <w:rsid w:val="000E0B88"/>
    <w:rsid w:val="000E0DED"/>
    <w:rsid w:val="000E0E2C"/>
    <w:rsid w:val="000E0F27"/>
    <w:rsid w:val="000E107C"/>
    <w:rsid w:val="000E11BD"/>
    <w:rsid w:val="000E12E8"/>
    <w:rsid w:val="000E14B4"/>
    <w:rsid w:val="000E15EC"/>
    <w:rsid w:val="000E16CC"/>
    <w:rsid w:val="000E187C"/>
    <w:rsid w:val="000E188A"/>
    <w:rsid w:val="000E18E8"/>
    <w:rsid w:val="000E1967"/>
    <w:rsid w:val="000E1A30"/>
    <w:rsid w:val="000E1B99"/>
    <w:rsid w:val="000E1CCC"/>
    <w:rsid w:val="000E1DB7"/>
    <w:rsid w:val="000E1E7D"/>
    <w:rsid w:val="000E1F14"/>
    <w:rsid w:val="000E2087"/>
    <w:rsid w:val="000E20FE"/>
    <w:rsid w:val="000E212C"/>
    <w:rsid w:val="000E22F4"/>
    <w:rsid w:val="000E2335"/>
    <w:rsid w:val="000E24A1"/>
    <w:rsid w:val="000E2841"/>
    <w:rsid w:val="000E2848"/>
    <w:rsid w:val="000E29DE"/>
    <w:rsid w:val="000E2A09"/>
    <w:rsid w:val="000E2ACC"/>
    <w:rsid w:val="000E2C88"/>
    <w:rsid w:val="000E2D1C"/>
    <w:rsid w:val="000E30F0"/>
    <w:rsid w:val="000E3272"/>
    <w:rsid w:val="000E32B1"/>
    <w:rsid w:val="000E3448"/>
    <w:rsid w:val="000E3776"/>
    <w:rsid w:val="000E37BB"/>
    <w:rsid w:val="000E397E"/>
    <w:rsid w:val="000E3DBE"/>
    <w:rsid w:val="000E4184"/>
    <w:rsid w:val="000E4368"/>
    <w:rsid w:val="000E43AC"/>
    <w:rsid w:val="000E45E9"/>
    <w:rsid w:val="000E488A"/>
    <w:rsid w:val="000E4C83"/>
    <w:rsid w:val="000E4E37"/>
    <w:rsid w:val="000E4E87"/>
    <w:rsid w:val="000E502D"/>
    <w:rsid w:val="000E516C"/>
    <w:rsid w:val="000E52B2"/>
    <w:rsid w:val="000E5405"/>
    <w:rsid w:val="000E5547"/>
    <w:rsid w:val="000E562A"/>
    <w:rsid w:val="000E58F6"/>
    <w:rsid w:val="000E5948"/>
    <w:rsid w:val="000E5A52"/>
    <w:rsid w:val="000E5A85"/>
    <w:rsid w:val="000E5B31"/>
    <w:rsid w:val="000E5C36"/>
    <w:rsid w:val="000E5CC0"/>
    <w:rsid w:val="000E5E1D"/>
    <w:rsid w:val="000E5FB4"/>
    <w:rsid w:val="000E605F"/>
    <w:rsid w:val="000E60EC"/>
    <w:rsid w:val="000E6105"/>
    <w:rsid w:val="000E6299"/>
    <w:rsid w:val="000E63E7"/>
    <w:rsid w:val="000E6491"/>
    <w:rsid w:val="000E64AB"/>
    <w:rsid w:val="000E686D"/>
    <w:rsid w:val="000E697C"/>
    <w:rsid w:val="000E6B64"/>
    <w:rsid w:val="000E6C2E"/>
    <w:rsid w:val="000E70CA"/>
    <w:rsid w:val="000E716E"/>
    <w:rsid w:val="000E73AA"/>
    <w:rsid w:val="000E7559"/>
    <w:rsid w:val="000E7728"/>
    <w:rsid w:val="000E788F"/>
    <w:rsid w:val="000E793B"/>
    <w:rsid w:val="000E7ACA"/>
    <w:rsid w:val="000E7AEF"/>
    <w:rsid w:val="000E7B03"/>
    <w:rsid w:val="000E7BCA"/>
    <w:rsid w:val="000E7BF6"/>
    <w:rsid w:val="000E7D5E"/>
    <w:rsid w:val="000E7D63"/>
    <w:rsid w:val="000F034E"/>
    <w:rsid w:val="000F0364"/>
    <w:rsid w:val="000F09D3"/>
    <w:rsid w:val="000F0AAA"/>
    <w:rsid w:val="000F0AE5"/>
    <w:rsid w:val="000F128F"/>
    <w:rsid w:val="000F1401"/>
    <w:rsid w:val="000F1590"/>
    <w:rsid w:val="000F15AB"/>
    <w:rsid w:val="000F1A35"/>
    <w:rsid w:val="000F1C1F"/>
    <w:rsid w:val="000F1D99"/>
    <w:rsid w:val="000F2277"/>
    <w:rsid w:val="000F23C3"/>
    <w:rsid w:val="000F263D"/>
    <w:rsid w:val="000F2A16"/>
    <w:rsid w:val="000F2A3D"/>
    <w:rsid w:val="000F2C1E"/>
    <w:rsid w:val="000F2D17"/>
    <w:rsid w:val="000F2F25"/>
    <w:rsid w:val="000F2FD4"/>
    <w:rsid w:val="000F312F"/>
    <w:rsid w:val="000F32AC"/>
    <w:rsid w:val="000F32B8"/>
    <w:rsid w:val="000F3720"/>
    <w:rsid w:val="000F3C99"/>
    <w:rsid w:val="000F3CE2"/>
    <w:rsid w:val="000F3DAC"/>
    <w:rsid w:val="000F3EF0"/>
    <w:rsid w:val="000F4261"/>
    <w:rsid w:val="000F4377"/>
    <w:rsid w:val="000F45C8"/>
    <w:rsid w:val="000F4872"/>
    <w:rsid w:val="000F4A90"/>
    <w:rsid w:val="000F4D4C"/>
    <w:rsid w:val="000F4FE1"/>
    <w:rsid w:val="000F51BE"/>
    <w:rsid w:val="000F533D"/>
    <w:rsid w:val="000F554F"/>
    <w:rsid w:val="000F56E3"/>
    <w:rsid w:val="000F57D8"/>
    <w:rsid w:val="000F5A9D"/>
    <w:rsid w:val="000F5E2C"/>
    <w:rsid w:val="000F5F32"/>
    <w:rsid w:val="000F608B"/>
    <w:rsid w:val="000F66BC"/>
    <w:rsid w:val="000F6FCD"/>
    <w:rsid w:val="000F6FDF"/>
    <w:rsid w:val="000F7018"/>
    <w:rsid w:val="000F76D3"/>
    <w:rsid w:val="000F7823"/>
    <w:rsid w:val="000F7833"/>
    <w:rsid w:val="000F7874"/>
    <w:rsid w:val="000F7AB5"/>
    <w:rsid w:val="000F7AE9"/>
    <w:rsid w:val="00100197"/>
    <w:rsid w:val="001002AF"/>
    <w:rsid w:val="00100313"/>
    <w:rsid w:val="00100332"/>
    <w:rsid w:val="0010040D"/>
    <w:rsid w:val="00100469"/>
    <w:rsid w:val="001004CA"/>
    <w:rsid w:val="001009B4"/>
    <w:rsid w:val="00100B00"/>
    <w:rsid w:val="00100C15"/>
    <w:rsid w:val="00100D0F"/>
    <w:rsid w:val="001016EC"/>
    <w:rsid w:val="00101894"/>
    <w:rsid w:val="0010199A"/>
    <w:rsid w:val="001019AB"/>
    <w:rsid w:val="00101A80"/>
    <w:rsid w:val="00101C18"/>
    <w:rsid w:val="00101C2C"/>
    <w:rsid w:val="00102135"/>
    <w:rsid w:val="001021F6"/>
    <w:rsid w:val="0010221D"/>
    <w:rsid w:val="001022B8"/>
    <w:rsid w:val="00102338"/>
    <w:rsid w:val="001025A8"/>
    <w:rsid w:val="00102620"/>
    <w:rsid w:val="00102844"/>
    <w:rsid w:val="00102D99"/>
    <w:rsid w:val="00102E43"/>
    <w:rsid w:val="00103080"/>
    <w:rsid w:val="001032D7"/>
    <w:rsid w:val="001035EB"/>
    <w:rsid w:val="001035F1"/>
    <w:rsid w:val="00103609"/>
    <w:rsid w:val="001036F5"/>
    <w:rsid w:val="001038B0"/>
    <w:rsid w:val="001039BB"/>
    <w:rsid w:val="00103B4B"/>
    <w:rsid w:val="00103D43"/>
    <w:rsid w:val="00103EE1"/>
    <w:rsid w:val="0010408C"/>
    <w:rsid w:val="0010416C"/>
    <w:rsid w:val="00104344"/>
    <w:rsid w:val="00104378"/>
    <w:rsid w:val="00104389"/>
    <w:rsid w:val="0010438E"/>
    <w:rsid w:val="001043CE"/>
    <w:rsid w:val="00104459"/>
    <w:rsid w:val="0010456E"/>
    <w:rsid w:val="001045F7"/>
    <w:rsid w:val="00104636"/>
    <w:rsid w:val="00104664"/>
    <w:rsid w:val="0010478A"/>
    <w:rsid w:val="00104AA1"/>
    <w:rsid w:val="00104D6A"/>
    <w:rsid w:val="00105012"/>
    <w:rsid w:val="00105021"/>
    <w:rsid w:val="00105165"/>
    <w:rsid w:val="00105238"/>
    <w:rsid w:val="0010523C"/>
    <w:rsid w:val="001052CD"/>
    <w:rsid w:val="001054D9"/>
    <w:rsid w:val="001055BE"/>
    <w:rsid w:val="00105813"/>
    <w:rsid w:val="00105838"/>
    <w:rsid w:val="001058B1"/>
    <w:rsid w:val="00105966"/>
    <w:rsid w:val="0010596E"/>
    <w:rsid w:val="001059C0"/>
    <w:rsid w:val="00105CD7"/>
    <w:rsid w:val="00105D07"/>
    <w:rsid w:val="00105DE7"/>
    <w:rsid w:val="00105FD9"/>
    <w:rsid w:val="00106036"/>
    <w:rsid w:val="001060C9"/>
    <w:rsid w:val="001061F2"/>
    <w:rsid w:val="00106249"/>
    <w:rsid w:val="00106265"/>
    <w:rsid w:val="00106291"/>
    <w:rsid w:val="001062C3"/>
    <w:rsid w:val="0010655B"/>
    <w:rsid w:val="001065F5"/>
    <w:rsid w:val="0010667B"/>
    <w:rsid w:val="00106B5A"/>
    <w:rsid w:val="00106C5D"/>
    <w:rsid w:val="00106D19"/>
    <w:rsid w:val="00106E8A"/>
    <w:rsid w:val="00106EE6"/>
    <w:rsid w:val="00107321"/>
    <w:rsid w:val="00107380"/>
    <w:rsid w:val="001073F6"/>
    <w:rsid w:val="0010767C"/>
    <w:rsid w:val="00107685"/>
    <w:rsid w:val="001077D0"/>
    <w:rsid w:val="00107A60"/>
    <w:rsid w:val="00107C2E"/>
    <w:rsid w:val="00107ED1"/>
    <w:rsid w:val="0011003A"/>
    <w:rsid w:val="0011021D"/>
    <w:rsid w:val="00110498"/>
    <w:rsid w:val="0011051D"/>
    <w:rsid w:val="0011055A"/>
    <w:rsid w:val="0011055E"/>
    <w:rsid w:val="00110649"/>
    <w:rsid w:val="00110730"/>
    <w:rsid w:val="0011085A"/>
    <w:rsid w:val="00110BD1"/>
    <w:rsid w:val="00110CE3"/>
    <w:rsid w:val="00110E8B"/>
    <w:rsid w:val="00110EED"/>
    <w:rsid w:val="00111164"/>
    <w:rsid w:val="001111CC"/>
    <w:rsid w:val="001112BC"/>
    <w:rsid w:val="001112CD"/>
    <w:rsid w:val="00111309"/>
    <w:rsid w:val="00111739"/>
    <w:rsid w:val="001117CC"/>
    <w:rsid w:val="00111A06"/>
    <w:rsid w:val="00111A0C"/>
    <w:rsid w:val="00111A72"/>
    <w:rsid w:val="00111BCE"/>
    <w:rsid w:val="00111D11"/>
    <w:rsid w:val="00111F27"/>
    <w:rsid w:val="00112453"/>
    <w:rsid w:val="001124EC"/>
    <w:rsid w:val="00112529"/>
    <w:rsid w:val="0011254E"/>
    <w:rsid w:val="001126FC"/>
    <w:rsid w:val="001128EE"/>
    <w:rsid w:val="001128FD"/>
    <w:rsid w:val="001129EC"/>
    <w:rsid w:val="00112A0D"/>
    <w:rsid w:val="00112BC5"/>
    <w:rsid w:val="00112C29"/>
    <w:rsid w:val="00112C54"/>
    <w:rsid w:val="00112F72"/>
    <w:rsid w:val="00112F76"/>
    <w:rsid w:val="001130C3"/>
    <w:rsid w:val="00113119"/>
    <w:rsid w:val="001131D0"/>
    <w:rsid w:val="0011332C"/>
    <w:rsid w:val="0011346B"/>
    <w:rsid w:val="001137E8"/>
    <w:rsid w:val="00113817"/>
    <w:rsid w:val="00113BFC"/>
    <w:rsid w:val="00113DF3"/>
    <w:rsid w:val="00113E97"/>
    <w:rsid w:val="00113ED1"/>
    <w:rsid w:val="001140B2"/>
    <w:rsid w:val="001140BC"/>
    <w:rsid w:val="0011428F"/>
    <w:rsid w:val="001142AB"/>
    <w:rsid w:val="001145FA"/>
    <w:rsid w:val="001146F7"/>
    <w:rsid w:val="0011486B"/>
    <w:rsid w:val="00114C3A"/>
    <w:rsid w:val="00114C3E"/>
    <w:rsid w:val="00114E1C"/>
    <w:rsid w:val="00114FCE"/>
    <w:rsid w:val="001150FC"/>
    <w:rsid w:val="0011535E"/>
    <w:rsid w:val="0011540E"/>
    <w:rsid w:val="0011562A"/>
    <w:rsid w:val="00115838"/>
    <w:rsid w:val="00115902"/>
    <w:rsid w:val="00115992"/>
    <w:rsid w:val="00115F9C"/>
    <w:rsid w:val="0011607E"/>
    <w:rsid w:val="001160B3"/>
    <w:rsid w:val="001160B4"/>
    <w:rsid w:val="001161FB"/>
    <w:rsid w:val="001162E9"/>
    <w:rsid w:val="00116398"/>
    <w:rsid w:val="001163F2"/>
    <w:rsid w:val="00116477"/>
    <w:rsid w:val="0011661D"/>
    <w:rsid w:val="0011694F"/>
    <w:rsid w:val="00116CDE"/>
    <w:rsid w:val="00116D57"/>
    <w:rsid w:val="00116E4B"/>
    <w:rsid w:val="00116E88"/>
    <w:rsid w:val="0011713D"/>
    <w:rsid w:val="0011717C"/>
    <w:rsid w:val="001176C4"/>
    <w:rsid w:val="001177CB"/>
    <w:rsid w:val="00117C19"/>
    <w:rsid w:val="00117E6D"/>
    <w:rsid w:val="00117F5E"/>
    <w:rsid w:val="00120203"/>
    <w:rsid w:val="00120275"/>
    <w:rsid w:val="00120611"/>
    <w:rsid w:val="00120792"/>
    <w:rsid w:val="0012094E"/>
    <w:rsid w:val="00120CD7"/>
    <w:rsid w:val="00120E47"/>
    <w:rsid w:val="00120F5C"/>
    <w:rsid w:val="0012123C"/>
    <w:rsid w:val="0012130C"/>
    <w:rsid w:val="0012134B"/>
    <w:rsid w:val="001214FE"/>
    <w:rsid w:val="0012193B"/>
    <w:rsid w:val="0012194E"/>
    <w:rsid w:val="001219A7"/>
    <w:rsid w:val="00121A62"/>
    <w:rsid w:val="00121B2D"/>
    <w:rsid w:val="00121D09"/>
    <w:rsid w:val="00121D20"/>
    <w:rsid w:val="00121DF7"/>
    <w:rsid w:val="00121F4D"/>
    <w:rsid w:val="00122456"/>
    <w:rsid w:val="00122649"/>
    <w:rsid w:val="0012264F"/>
    <w:rsid w:val="00122755"/>
    <w:rsid w:val="00122969"/>
    <w:rsid w:val="001229CF"/>
    <w:rsid w:val="00122A2F"/>
    <w:rsid w:val="00122AE2"/>
    <w:rsid w:val="00122C64"/>
    <w:rsid w:val="00122E89"/>
    <w:rsid w:val="00122FBF"/>
    <w:rsid w:val="0012332E"/>
    <w:rsid w:val="00123427"/>
    <w:rsid w:val="00123456"/>
    <w:rsid w:val="00123713"/>
    <w:rsid w:val="0012380E"/>
    <w:rsid w:val="00123810"/>
    <w:rsid w:val="001238EF"/>
    <w:rsid w:val="00123C4E"/>
    <w:rsid w:val="00123E5C"/>
    <w:rsid w:val="00123ECD"/>
    <w:rsid w:val="001241E1"/>
    <w:rsid w:val="001241EF"/>
    <w:rsid w:val="0012437F"/>
    <w:rsid w:val="001243B7"/>
    <w:rsid w:val="00124403"/>
    <w:rsid w:val="001244A0"/>
    <w:rsid w:val="00124709"/>
    <w:rsid w:val="00124803"/>
    <w:rsid w:val="00124B74"/>
    <w:rsid w:val="00124D61"/>
    <w:rsid w:val="0012505F"/>
    <w:rsid w:val="0012507A"/>
    <w:rsid w:val="00125127"/>
    <w:rsid w:val="00125265"/>
    <w:rsid w:val="00125343"/>
    <w:rsid w:val="0012571C"/>
    <w:rsid w:val="00125899"/>
    <w:rsid w:val="001258CE"/>
    <w:rsid w:val="001258E3"/>
    <w:rsid w:val="00125B41"/>
    <w:rsid w:val="00125E7D"/>
    <w:rsid w:val="001260F6"/>
    <w:rsid w:val="001260FC"/>
    <w:rsid w:val="0012640F"/>
    <w:rsid w:val="00126413"/>
    <w:rsid w:val="001265E5"/>
    <w:rsid w:val="00126E59"/>
    <w:rsid w:val="00126F02"/>
    <w:rsid w:val="0012712F"/>
    <w:rsid w:val="0012739F"/>
    <w:rsid w:val="00127429"/>
    <w:rsid w:val="001274DB"/>
    <w:rsid w:val="001274EF"/>
    <w:rsid w:val="00127843"/>
    <w:rsid w:val="00127851"/>
    <w:rsid w:val="00127857"/>
    <w:rsid w:val="00127874"/>
    <w:rsid w:val="00127A9B"/>
    <w:rsid w:val="00127D1C"/>
    <w:rsid w:val="00127DD8"/>
    <w:rsid w:val="00127DE6"/>
    <w:rsid w:val="00127DEF"/>
    <w:rsid w:val="0013037F"/>
    <w:rsid w:val="001303E1"/>
    <w:rsid w:val="0013055C"/>
    <w:rsid w:val="001306C8"/>
    <w:rsid w:val="0013096F"/>
    <w:rsid w:val="00130AE8"/>
    <w:rsid w:val="00130B6D"/>
    <w:rsid w:val="00130C05"/>
    <w:rsid w:val="00130C44"/>
    <w:rsid w:val="00130E6D"/>
    <w:rsid w:val="00131027"/>
    <w:rsid w:val="00131265"/>
    <w:rsid w:val="00131573"/>
    <w:rsid w:val="001319D6"/>
    <w:rsid w:val="00131BEB"/>
    <w:rsid w:val="00132059"/>
    <w:rsid w:val="001320CD"/>
    <w:rsid w:val="0013219E"/>
    <w:rsid w:val="00132343"/>
    <w:rsid w:val="00132391"/>
    <w:rsid w:val="00132789"/>
    <w:rsid w:val="00132903"/>
    <w:rsid w:val="00132B47"/>
    <w:rsid w:val="00132CC1"/>
    <w:rsid w:val="00132D3E"/>
    <w:rsid w:val="00132F73"/>
    <w:rsid w:val="00133049"/>
    <w:rsid w:val="00133063"/>
    <w:rsid w:val="00133101"/>
    <w:rsid w:val="00133138"/>
    <w:rsid w:val="001332C7"/>
    <w:rsid w:val="001334E1"/>
    <w:rsid w:val="00133687"/>
    <w:rsid w:val="0013395F"/>
    <w:rsid w:val="00133B36"/>
    <w:rsid w:val="00133C0A"/>
    <w:rsid w:val="001341CE"/>
    <w:rsid w:val="0013425D"/>
    <w:rsid w:val="00134410"/>
    <w:rsid w:val="00134442"/>
    <w:rsid w:val="00134598"/>
    <w:rsid w:val="00134699"/>
    <w:rsid w:val="00134707"/>
    <w:rsid w:val="001349D1"/>
    <w:rsid w:val="00134A86"/>
    <w:rsid w:val="00134CB4"/>
    <w:rsid w:val="00134D60"/>
    <w:rsid w:val="00134D89"/>
    <w:rsid w:val="00134E0E"/>
    <w:rsid w:val="00134E40"/>
    <w:rsid w:val="00134F21"/>
    <w:rsid w:val="00134FA5"/>
    <w:rsid w:val="00135138"/>
    <w:rsid w:val="0013520A"/>
    <w:rsid w:val="00135689"/>
    <w:rsid w:val="001357FE"/>
    <w:rsid w:val="0013582A"/>
    <w:rsid w:val="00135BCD"/>
    <w:rsid w:val="00135D06"/>
    <w:rsid w:val="00135DFD"/>
    <w:rsid w:val="00135E3A"/>
    <w:rsid w:val="00135EFD"/>
    <w:rsid w:val="00136175"/>
    <w:rsid w:val="0013626D"/>
    <w:rsid w:val="0013628C"/>
    <w:rsid w:val="00136705"/>
    <w:rsid w:val="0013672E"/>
    <w:rsid w:val="001368DE"/>
    <w:rsid w:val="001369E7"/>
    <w:rsid w:val="00136A58"/>
    <w:rsid w:val="00136A62"/>
    <w:rsid w:val="00136B64"/>
    <w:rsid w:val="00136B8B"/>
    <w:rsid w:val="00136D1D"/>
    <w:rsid w:val="00136DAE"/>
    <w:rsid w:val="00137075"/>
    <w:rsid w:val="001371B9"/>
    <w:rsid w:val="001375E2"/>
    <w:rsid w:val="001375EE"/>
    <w:rsid w:val="0013761D"/>
    <w:rsid w:val="001377A3"/>
    <w:rsid w:val="001378D5"/>
    <w:rsid w:val="0013794A"/>
    <w:rsid w:val="00137972"/>
    <w:rsid w:val="001379D2"/>
    <w:rsid w:val="00137ABF"/>
    <w:rsid w:val="00137C1D"/>
    <w:rsid w:val="00137C52"/>
    <w:rsid w:val="00137D03"/>
    <w:rsid w:val="001400A2"/>
    <w:rsid w:val="0014063F"/>
    <w:rsid w:val="0014085D"/>
    <w:rsid w:val="00140A40"/>
    <w:rsid w:val="00140ED4"/>
    <w:rsid w:val="00140F3E"/>
    <w:rsid w:val="00141354"/>
    <w:rsid w:val="001413C7"/>
    <w:rsid w:val="00141B1D"/>
    <w:rsid w:val="00141B35"/>
    <w:rsid w:val="00141B87"/>
    <w:rsid w:val="00141BA3"/>
    <w:rsid w:val="00141D83"/>
    <w:rsid w:val="00141DF0"/>
    <w:rsid w:val="0014200A"/>
    <w:rsid w:val="00142144"/>
    <w:rsid w:val="00142193"/>
    <w:rsid w:val="00142284"/>
    <w:rsid w:val="001422BE"/>
    <w:rsid w:val="0014239C"/>
    <w:rsid w:val="00142516"/>
    <w:rsid w:val="00142580"/>
    <w:rsid w:val="00142666"/>
    <w:rsid w:val="0014271C"/>
    <w:rsid w:val="00142732"/>
    <w:rsid w:val="001427C0"/>
    <w:rsid w:val="0014285D"/>
    <w:rsid w:val="00142934"/>
    <w:rsid w:val="00142AC5"/>
    <w:rsid w:val="00142AD1"/>
    <w:rsid w:val="00142B06"/>
    <w:rsid w:val="00142ED1"/>
    <w:rsid w:val="00143387"/>
    <w:rsid w:val="001433C4"/>
    <w:rsid w:val="0014341E"/>
    <w:rsid w:val="001434E8"/>
    <w:rsid w:val="00143E8B"/>
    <w:rsid w:val="00144008"/>
    <w:rsid w:val="00144072"/>
    <w:rsid w:val="0014424E"/>
    <w:rsid w:val="001443F9"/>
    <w:rsid w:val="0014476A"/>
    <w:rsid w:val="00144776"/>
    <w:rsid w:val="0014478B"/>
    <w:rsid w:val="001447A9"/>
    <w:rsid w:val="001447B2"/>
    <w:rsid w:val="0014482B"/>
    <w:rsid w:val="00144860"/>
    <w:rsid w:val="00144E49"/>
    <w:rsid w:val="0014513C"/>
    <w:rsid w:val="001453DE"/>
    <w:rsid w:val="001454BA"/>
    <w:rsid w:val="0014561F"/>
    <w:rsid w:val="00145877"/>
    <w:rsid w:val="00145990"/>
    <w:rsid w:val="00145CF4"/>
    <w:rsid w:val="00145E7D"/>
    <w:rsid w:val="00145EFC"/>
    <w:rsid w:val="00145F5C"/>
    <w:rsid w:val="001464F7"/>
    <w:rsid w:val="001466F8"/>
    <w:rsid w:val="0014698F"/>
    <w:rsid w:val="0014699F"/>
    <w:rsid w:val="00146A11"/>
    <w:rsid w:val="00146B08"/>
    <w:rsid w:val="00146BC0"/>
    <w:rsid w:val="00146E73"/>
    <w:rsid w:val="00146EB3"/>
    <w:rsid w:val="00146EDB"/>
    <w:rsid w:val="00146F06"/>
    <w:rsid w:val="00146F90"/>
    <w:rsid w:val="00146FA8"/>
    <w:rsid w:val="00147185"/>
    <w:rsid w:val="001471B7"/>
    <w:rsid w:val="00147238"/>
    <w:rsid w:val="00147621"/>
    <w:rsid w:val="0014774C"/>
    <w:rsid w:val="001479B4"/>
    <w:rsid w:val="00147B71"/>
    <w:rsid w:val="00150274"/>
    <w:rsid w:val="0015055C"/>
    <w:rsid w:val="00150659"/>
    <w:rsid w:val="001506FF"/>
    <w:rsid w:val="001507EA"/>
    <w:rsid w:val="001507FB"/>
    <w:rsid w:val="0015092E"/>
    <w:rsid w:val="001509DC"/>
    <w:rsid w:val="00150AC7"/>
    <w:rsid w:val="00150C6A"/>
    <w:rsid w:val="00150D48"/>
    <w:rsid w:val="00150E63"/>
    <w:rsid w:val="00150EE8"/>
    <w:rsid w:val="0015100B"/>
    <w:rsid w:val="00151019"/>
    <w:rsid w:val="001514AC"/>
    <w:rsid w:val="00151529"/>
    <w:rsid w:val="00151676"/>
    <w:rsid w:val="00151759"/>
    <w:rsid w:val="001518F8"/>
    <w:rsid w:val="00151930"/>
    <w:rsid w:val="001519BD"/>
    <w:rsid w:val="00151DCF"/>
    <w:rsid w:val="00151EC9"/>
    <w:rsid w:val="001520D4"/>
    <w:rsid w:val="0015223E"/>
    <w:rsid w:val="00152270"/>
    <w:rsid w:val="0015262C"/>
    <w:rsid w:val="001528B9"/>
    <w:rsid w:val="00152A92"/>
    <w:rsid w:val="00152AC1"/>
    <w:rsid w:val="00152ADC"/>
    <w:rsid w:val="00152B84"/>
    <w:rsid w:val="0015312B"/>
    <w:rsid w:val="001531BD"/>
    <w:rsid w:val="00153450"/>
    <w:rsid w:val="0015353F"/>
    <w:rsid w:val="001539A0"/>
    <w:rsid w:val="001539D7"/>
    <w:rsid w:val="00153A51"/>
    <w:rsid w:val="00153C68"/>
    <w:rsid w:val="001540B0"/>
    <w:rsid w:val="00154825"/>
    <w:rsid w:val="00154960"/>
    <w:rsid w:val="00154A17"/>
    <w:rsid w:val="00154A5B"/>
    <w:rsid w:val="00154BA7"/>
    <w:rsid w:val="00154BD1"/>
    <w:rsid w:val="00154D5C"/>
    <w:rsid w:val="00154E39"/>
    <w:rsid w:val="001551A4"/>
    <w:rsid w:val="0015537E"/>
    <w:rsid w:val="00155591"/>
    <w:rsid w:val="001555AE"/>
    <w:rsid w:val="001555D7"/>
    <w:rsid w:val="00155848"/>
    <w:rsid w:val="001558E2"/>
    <w:rsid w:val="001559FF"/>
    <w:rsid w:val="00155A82"/>
    <w:rsid w:val="00155ABF"/>
    <w:rsid w:val="00155C4F"/>
    <w:rsid w:val="00155DCE"/>
    <w:rsid w:val="00155E6C"/>
    <w:rsid w:val="001560D3"/>
    <w:rsid w:val="0015614E"/>
    <w:rsid w:val="001562A2"/>
    <w:rsid w:val="001562D1"/>
    <w:rsid w:val="00156337"/>
    <w:rsid w:val="00156374"/>
    <w:rsid w:val="001565B8"/>
    <w:rsid w:val="00156637"/>
    <w:rsid w:val="00156641"/>
    <w:rsid w:val="00156804"/>
    <w:rsid w:val="001569C8"/>
    <w:rsid w:val="00156D0E"/>
    <w:rsid w:val="00156D20"/>
    <w:rsid w:val="001572B7"/>
    <w:rsid w:val="00157641"/>
    <w:rsid w:val="00157655"/>
    <w:rsid w:val="001576B3"/>
    <w:rsid w:val="00157764"/>
    <w:rsid w:val="00157C3E"/>
    <w:rsid w:val="00157D39"/>
    <w:rsid w:val="0016005F"/>
    <w:rsid w:val="0016007D"/>
    <w:rsid w:val="00160149"/>
    <w:rsid w:val="00160169"/>
    <w:rsid w:val="00160262"/>
    <w:rsid w:val="001602F4"/>
    <w:rsid w:val="0016050B"/>
    <w:rsid w:val="00160537"/>
    <w:rsid w:val="001605AC"/>
    <w:rsid w:val="00160665"/>
    <w:rsid w:val="0016070C"/>
    <w:rsid w:val="0016074B"/>
    <w:rsid w:val="001607A6"/>
    <w:rsid w:val="001607B4"/>
    <w:rsid w:val="001607CE"/>
    <w:rsid w:val="00160856"/>
    <w:rsid w:val="0016088F"/>
    <w:rsid w:val="0016094E"/>
    <w:rsid w:val="00160D51"/>
    <w:rsid w:val="00160F35"/>
    <w:rsid w:val="0016113E"/>
    <w:rsid w:val="00161179"/>
    <w:rsid w:val="001614E3"/>
    <w:rsid w:val="0016168A"/>
    <w:rsid w:val="00161720"/>
    <w:rsid w:val="00161815"/>
    <w:rsid w:val="001618D2"/>
    <w:rsid w:val="001619BC"/>
    <w:rsid w:val="00161A3C"/>
    <w:rsid w:val="00161A55"/>
    <w:rsid w:val="00161B0B"/>
    <w:rsid w:val="00161DD9"/>
    <w:rsid w:val="00162014"/>
    <w:rsid w:val="00162023"/>
    <w:rsid w:val="00162052"/>
    <w:rsid w:val="00162137"/>
    <w:rsid w:val="001623AE"/>
    <w:rsid w:val="001624DF"/>
    <w:rsid w:val="0016283E"/>
    <w:rsid w:val="001628D8"/>
    <w:rsid w:val="001629AD"/>
    <w:rsid w:val="001629D8"/>
    <w:rsid w:val="00162C1F"/>
    <w:rsid w:val="00162D77"/>
    <w:rsid w:val="00162D79"/>
    <w:rsid w:val="00162DB3"/>
    <w:rsid w:val="00162DCE"/>
    <w:rsid w:val="00162E25"/>
    <w:rsid w:val="00162FB6"/>
    <w:rsid w:val="001630F0"/>
    <w:rsid w:val="0016324C"/>
    <w:rsid w:val="001634B9"/>
    <w:rsid w:val="0016351A"/>
    <w:rsid w:val="001636E8"/>
    <w:rsid w:val="0016372B"/>
    <w:rsid w:val="0016379A"/>
    <w:rsid w:val="001637A1"/>
    <w:rsid w:val="00163909"/>
    <w:rsid w:val="00163A6B"/>
    <w:rsid w:val="00163B96"/>
    <w:rsid w:val="00163C0D"/>
    <w:rsid w:val="00163D37"/>
    <w:rsid w:val="00163E37"/>
    <w:rsid w:val="00164012"/>
    <w:rsid w:val="00164707"/>
    <w:rsid w:val="0016489A"/>
    <w:rsid w:val="001649DF"/>
    <w:rsid w:val="00164B7B"/>
    <w:rsid w:val="00164F09"/>
    <w:rsid w:val="0016500F"/>
    <w:rsid w:val="0016538F"/>
    <w:rsid w:val="00165406"/>
    <w:rsid w:val="001654D5"/>
    <w:rsid w:val="00165574"/>
    <w:rsid w:val="00165622"/>
    <w:rsid w:val="00165728"/>
    <w:rsid w:val="00165A08"/>
    <w:rsid w:val="00165E55"/>
    <w:rsid w:val="001663A3"/>
    <w:rsid w:val="0016695F"/>
    <w:rsid w:val="001669C5"/>
    <w:rsid w:val="00166A6B"/>
    <w:rsid w:val="00166AF6"/>
    <w:rsid w:val="00166C78"/>
    <w:rsid w:val="00166D28"/>
    <w:rsid w:val="00166D46"/>
    <w:rsid w:val="00166D96"/>
    <w:rsid w:val="00166FCA"/>
    <w:rsid w:val="00167076"/>
    <w:rsid w:val="00167596"/>
    <w:rsid w:val="00167639"/>
    <w:rsid w:val="001678BF"/>
    <w:rsid w:val="0016797E"/>
    <w:rsid w:val="00167C96"/>
    <w:rsid w:val="00167D13"/>
    <w:rsid w:val="00167D38"/>
    <w:rsid w:val="00167FA7"/>
    <w:rsid w:val="001701B3"/>
    <w:rsid w:val="001701BF"/>
    <w:rsid w:val="001701DF"/>
    <w:rsid w:val="00170228"/>
    <w:rsid w:val="00170247"/>
    <w:rsid w:val="00170353"/>
    <w:rsid w:val="00170418"/>
    <w:rsid w:val="001705F9"/>
    <w:rsid w:val="0017084B"/>
    <w:rsid w:val="001708E4"/>
    <w:rsid w:val="001708E9"/>
    <w:rsid w:val="001709EC"/>
    <w:rsid w:val="00170B34"/>
    <w:rsid w:val="00170BBE"/>
    <w:rsid w:val="00170C13"/>
    <w:rsid w:val="00170C3F"/>
    <w:rsid w:val="00170FFF"/>
    <w:rsid w:val="001711CF"/>
    <w:rsid w:val="001715D6"/>
    <w:rsid w:val="00171671"/>
    <w:rsid w:val="001716EB"/>
    <w:rsid w:val="001716FD"/>
    <w:rsid w:val="00171743"/>
    <w:rsid w:val="0017186F"/>
    <w:rsid w:val="00171B58"/>
    <w:rsid w:val="00171CCD"/>
    <w:rsid w:val="001725C2"/>
    <w:rsid w:val="00172699"/>
    <w:rsid w:val="001726EC"/>
    <w:rsid w:val="001727B1"/>
    <w:rsid w:val="001728CD"/>
    <w:rsid w:val="00172950"/>
    <w:rsid w:val="00172959"/>
    <w:rsid w:val="00172A40"/>
    <w:rsid w:val="00172B2E"/>
    <w:rsid w:val="00172B86"/>
    <w:rsid w:val="00172BF8"/>
    <w:rsid w:val="00172C9A"/>
    <w:rsid w:val="00172D2F"/>
    <w:rsid w:val="00172D54"/>
    <w:rsid w:val="00172E28"/>
    <w:rsid w:val="00172EB4"/>
    <w:rsid w:val="0017328E"/>
    <w:rsid w:val="001732C6"/>
    <w:rsid w:val="001732EB"/>
    <w:rsid w:val="0017344A"/>
    <w:rsid w:val="00173465"/>
    <w:rsid w:val="00173502"/>
    <w:rsid w:val="0017353E"/>
    <w:rsid w:val="00173742"/>
    <w:rsid w:val="0017379F"/>
    <w:rsid w:val="001737B2"/>
    <w:rsid w:val="001738F6"/>
    <w:rsid w:val="001739C3"/>
    <w:rsid w:val="00173E3E"/>
    <w:rsid w:val="00173F4A"/>
    <w:rsid w:val="00174388"/>
    <w:rsid w:val="001745CF"/>
    <w:rsid w:val="00174C64"/>
    <w:rsid w:val="00174CBF"/>
    <w:rsid w:val="00174E78"/>
    <w:rsid w:val="0017517A"/>
    <w:rsid w:val="00175369"/>
    <w:rsid w:val="0017552C"/>
    <w:rsid w:val="0017568E"/>
    <w:rsid w:val="001756AB"/>
    <w:rsid w:val="001757BC"/>
    <w:rsid w:val="00175948"/>
    <w:rsid w:val="0017594E"/>
    <w:rsid w:val="0017595B"/>
    <w:rsid w:val="00175B88"/>
    <w:rsid w:val="00175F0B"/>
    <w:rsid w:val="0017617E"/>
    <w:rsid w:val="0017625A"/>
    <w:rsid w:val="00176468"/>
    <w:rsid w:val="00176A6E"/>
    <w:rsid w:val="00176AD7"/>
    <w:rsid w:val="00176D4F"/>
    <w:rsid w:val="00176F54"/>
    <w:rsid w:val="00177029"/>
    <w:rsid w:val="00177663"/>
    <w:rsid w:val="00177697"/>
    <w:rsid w:val="001776F3"/>
    <w:rsid w:val="0017791A"/>
    <w:rsid w:val="00177ACF"/>
    <w:rsid w:val="00177AD6"/>
    <w:rsid w:val="00177C7F"/>
    <w:rsid w:val="00177E52"/>
    <w:rsid w:val="0018006F"/>
    <w:rsid w:val="00180098"/>
    <w:rsid w:val="00180128"/>
    <w:rsid w:val="00180181"/>
    <w:rsid w:val="00180374"/>
    <w:rsid w:val="001804B7"/>
    <w:rsid w:val="0018054A"/>
    <w:rsid w:val="0018067F"/>
    <w:rsid w:val="001807CE"/>
    <w:rsid w:val="0018081B"/>
    <w:rsid w:val="001809EB"/>
    <w:rsid w:val="001809F8"/>
    <w:rsid w:val="00180B78"/>
    <w:rsid w:val="00180C4C"/>
    <w:rsid w:val="00180CFD"/>
    <w:rsid w:val="00180DDE"/>
    <w:rsid w:val="00180E8E"/>
    <w:rsid w:val="00180ED0"/>
    <w:rsid w:val="00181016"/>
    <w:rsid w:val="00181391"/>
    <w:rsid w:val="00181479"/>
    <w:rsid w:val="0018150D"/>
    <w:rsid w:val="00181517"/>
    <w:rsid w:val="00181587"/>
    <w:rsid w:val="00181631"/>
    <w:rsid w:val="00181670"/>
    <w:rsid w:val="00181810"/>
    <w:rsid w:val="00181A4B"/>
    <w:rsid w:val="00181C2C"/>
    <w:rsid w:val="00181DDF"/>
    <w:rsid w:val="0018205E"/>
    <w:rsid w:val="0018228B"/>
    <w:rsid w:val="0018236B"/>
    <w:rsid w:val="00182496"/>
    <w:rsid w:val="001829F5"/>
    <w:rsid w:val="00182A46"/>
    <w:rsid w:val="00182A8A"/>
    <w:rsid w:val="00182B20"/>
    <w:rsid w:val="00182C2A"/>
    <w:rsid w:val="00182C9F"/>
    <w:rsid w:val="00182D4A"/>
    <w:rsid w:val="00182DD2"/>
    <w:rsid w:val="001831CF"/>
    <w:rsid w:val="00183469"/>
    <w:rsid w:val="001836B8"/>
    <w:rsid w:val="00183726"/>
    <w:rsid w:val="0018389A"/>
    <w:rsid w:val="001838ED"/>
    <w:rsid w:val="00183C8D"/>
    <w:rsid w:val="00183D20"/>
    <w:rsid w:val="00183E98"/>
    <w:rsid w:val="00184036"/>
    <w:rsid w:val="0018420F"/>
    <w:rsid w:val="00184498"/>
    <w:rsid w:val="00184737"/>
    <w:rsid w:val="00184786"/>
    <w:rsid w:val="001847D0"/>
    <w:rsid w:val="00184A5A"/>
    <w:rsid w:val="00184F17"/>
    <w:rsid w:val="00185027"/>
    <w:rsid w:val="00185379"/>
    <w:rsid w:val="0018544F"/>
    <w:rsid w:val="0018588B"/>
    <w:rsid w:val="001858AD"/>
    <w:rsid w:val="0018598D"/>
    <w:rsid w:val="00185A34"/>
    <w:rsid w:val="00185A69"/>
    <w:rsid w:val="00185AAD"/>
    <w:rsid w:val="00185B66"/>
    <w:rsid w:val="00185B7E"/>
    <w:rsid w:val="00185D5C"/>
    <w:rsid w:val="00185E71"/>
    <w:rsid w:val="00185EE0"/>
    <w:rsid w:val="00186124"/>
    <w:rsid w:val="001864AB"/>
    <w:rsid w:val="001866B3"/>
    <w:rsid w:val="00186760"/>
    <w:rsid w:val="001868F6"/>
    <w:rsid w:val="00186931"/>
    <w:rsid w:val="00186944"/>
    <w:rsid w:val="00186A96"/>
    <w:rsid w:val="00186ED2"/>
    <w:rsid w:val="001870EA"/>
    <w:rsid w:val="00187155"/>
    <w:rsid w:val="001871A3"/>
    <w:rsid w:val="0018727A"/>
    <w:rsid w:val="001872C9"/>
    <w:rsid w:val="00187303"/>
    <w:rsid w:val="001873A4"/>
    <w:rsid w:val="001873A8"/>
    <w:rsid w:val="00187612"/>
    <w:rsid w:val="00187750"/>
    <w:rsid w:val="001877F2"/>
    <w:rsid w:val="00187CEA"/>
    <w:rsid w:val="00187D11"/>
    <w:rsid w:val="00187D1C"/>
    <w:rsid w:val="00187D8F"/>
    <w:rsid w:val="00187DBE"/>
    <w:rsid w:val="001900C8"/>
    <w:rsid w:val="001901F8"/>
    <w:rsid w:val="001902D5"/>
    <w:rsid w:val="001902F1"/>
    <w:rsid w:val="0019036C"/>
    <w:rsid w:val="00190420"/>
    <w:rsid w:val="0019054D"/>
    <w:rsid w:val="00190593"/>
    <w:rsid w:val="001906B5"/>
    <w:rsid w:val="00190C0E"/>
    <w:rsid w:val="00190F27"/>
    <w:rsid w:val="00190F2C"/>
    <w:rsid w:val="0019108A"/>
    <w:rsid w:val="0019123D"/>
    <w:rsid w:val="00191244"/>
    <w:rsid w:val="001912EC"/>
    <w:rsid w:val="00191388"/>
    <w:rsid w:val="00191426"/>
    <w:rsid w:val="001915A4"/>
    <w:rsid w:val="001915D0"/>
    <w:rsid w:val="00191BF8"/>
    <w:rsid w:val="00191F45"/>
    <w:rsid w:val="00192012"/>
    <w:rsid w:val="00192039"/>
    <w:rsid w:val="00192382"/>
    <w:rsid w:val="00192428"/>
    <w:rsid w:val="00192746"/>
    <w:rsid w:val="0019275E"/>
    <w:rsid w:val="001927B0"/>
    <w:rsid w:val="001927BE"/>
    <w:rsid w:val="00192933"/>
    <w:rsid w:val="001929C6"/>
    <w:rsid w:val="001929F2"/>
    <w:rsid w:val="00192B37"/>
    <w:rsid w:val="00192BEC"/>
    <w:rsid w:val="00192CB3"/>
    <w:rsid w:val="00192D0C"/>
    <w:rsid w:val="00192DA0"/>
    <w:rsid w:val="00192E04"/>
    <w:rsid w:val="00192E9F"/>
    <w:rsid w:val="00192EA9"/>
    <w:rsid w:val="001930B9"/>
    <w:rsid w:val="001931F3"/>
    <w:rsid w:val="0019353A"/>
    <w:rsid w:val="00193983"/>
    <w:rsid w:val="00193BC6"/>
    <w:rsid w:val="00193C33"/>
    <w:rsid w:val="00193C4F"/>
    <w:rsid w:val="00193CBF"/>
    <w:rsid w:val="00193EDA"/>
    <w:rsid w:val="001941F9"/>
    <w:rsid w:val="00194295"/>
    <w:rsid w:val="001942A8"/>
    <w:rsid w:val="001945B7"/>
    <w:rsid w:val="00194734"/>
    <w:rsid w:val="001947D7"/>
    <w:rsid w:val="00194919"/>
    <w:rsid w:val="00194C44"/>
    <w:rsid w:val="00194C4E"/>
    <w:rsid w:val="00194CA4"/>
    <w:rsid w:val="00194F74"/>
    <w:rsid w:val="001954AB"/>
    <w:rsid w:val="00195578"/>
    <w:rsid w:val="0019557D"/>
    <w:rsid w:val="001955CD"/>
    <w:rsid w:val="0019566F"/>
    <w:rsid w:val="001956CC"/>
    <w:rsid w:val="001956F3"/>
    <w:rsid w:val="0019570D"/>
    <w:rsid w:val="00195731"/>
    <w:rsid w:val="001957F8"/>
    <w:rsid w:val="00195861"/>
    <w:rsid w:val="00195A5D"/>
    <w:rsid w:val="00195ABF"/>
    <w:rsid w:val="00195E88"/>
    <w:rsid w:val="00195F35"/>
    <w:rsid w:val="0019601A"/>
    <w:rsid w:val="001960CE"/>
    <w:rsid w:val="001963B1"/>
    <w:rsid w:val="00196417"/>
    <w:rsid w:val="001964B0"/>
    <w:rsid w:val="00196569"/>
    <w:rsid w:val="00196768"/>
    <w:rsid w:val="001967A8"/>
    <w:rsid w:val="00196C61"/>
    <w:rsid w:val="00196C62"/>
    <w:rsid w:val="0019716F"/>
    <w:rsid w:val="001971C4"/>
    <w:rsid w:val="00197407"/>
    <w:rsid w:val="00197613"/>
    <w:rsid w:val="00197677"/>
    <w:rsid w:val="00197679"/>
    <w:rsid w:val="00197726"/>
    <w:rsid w:val="001977B5"/>
    <w:rsid w:val="00197E4E"/>
    <w:rsid w:val="00197FB7"/>
    <w:rsid w:val="0019C54E"/>
    <w:rsid w:val="001A005B"/>
    <w:rsid w:val="001A0183"/>
    <w:rsid w:val="001A0207"/>
    <w:rsid w:val="001A065C"/>
    <w:rsid w:val="001A0695"/>
    <w:rsid w:val="001A07D0"/>
    <w:rsid w:val="001A0DF5"/>
    <w:rsid w:val="001A0E14"/>
    <w:rsid w:val="001A111F"/>
    <w:rsid w:val="001A1198"/>
    <w:rsid w:val="001A11F8"/>
    <w:rsid w:val="001A12F9"/>
    <w:rsid w:val="001A1441"/>
    <w:rsid w:val="001A1451"/>
    <w:rsid w:val="001A1469"/>
    <w:rsid w:val="001A152D"/>
    <w:rsid w:val="001A165B"/>
    <w:rsid w:val="001A170A"/>
    <w:rsid w:val="001A17F8"/>
    <w:rsid w:val="001A1853"/>
    <w:rsid w:val="001A1BD3"/>
    <w:rsid w:val="001A1D2A"/>
    <w:rsid w:val="001A1E92"/>
    <w:rsid w:val="001A21AF"/>
    <w:rsid w:val="001A21E1"/>
    <w:rsid w:val="001A22F6"/>
    <w:rsid w:val="001A2604"/>
    <w:rsid w:val="001A2612"/>
    <w:rsid w:val="001A2A99"/>
    <w:rsid w:val="001A2B69"/>
    <w:rsid w:val="001A2CEF"/>
    <w:rsid w:val="001A2D8E"/>
    <w:rsid w:val="001A306C"/>
    <w:rsid w:val="001A30AC"/>
    <w:rsid w:val="001A30E9"/>
    <w:rsid w:val="001A31BF"/>
    <w:rsid w:val="001A3428"/>
    <w:rsid w:val="001A35C3"/>
    <w:rsid w:val="001A35F9"/>
    <w:rsid w:val="001A360E"/>
    <w:rsid w:val="001A3B41"/>
    <w:rsid w:val="001A3BE7"/>
    <w:rsid w:val="001A3D0C"/>
    <w:rsid w:val="001A3D28"/>
    <w:rsid w:val="001A4000"/>
    <w:rsid w:val="001A4075"/>
    <w:rsid w:val="001A42F2"/>
    <w:rsid w:val="001A4384"/>
    <w:rsid w:val="001A47AE"/>
    <w:rsid w:val="001A4AAB"/>
    <w:rsid w:val="001A4C72"/>
    <w:rsid w:val="001A4E54"/>
    <w:rsid w:val="001A4F15"/>
    <w:rsid w:val="001A4F59"/>
    <w:rsid w:val="001A4F9D"/>
    <w:rsid w:val="001A506B"/>
    <w:rsid w:val="001A53D6"/>
    <w:rsid w:val="001A54CF"/>
    <w:rsid w:val="001A5552"/>
    <w:rsid w:val="001A555D"/>
    <w:rsid w:val="001A55E7"/>
    <w:rsid w:val="001A5A3C"/>
    <w:rsid w:val="001A5AD7"/>
    <w:rsid w:val="001A5B98"/>
    <w:rsid w:val="001A5E15"/>
    <w:rsid w:val="001A6310"/>
    <w:rsid w:val="001A6595"/>
    <w:rsid w:val="001A68A5"/>
    <w:rsid w:val="001A6C2A"/>
    <w:rsid w:val="001A6C6B"/>
    <w:rsid w:val="001A7020"/>
    <w:rsid w:val="001A7288"/>
    <w:rsid w:val="001A72CE"/>
    <w:rsid w:val="001A7337"/>
    <w:rsid w:val="001A7355"/>
    <w:rsid w:val="001A736F"/>
    <w:rsid w:val="001A7550"/>
    <w:rsid w:val="001A7856"/>
    <w:rsid w:val="001A7877"/>
    <w:rsid w:val="001A79C3"/>
    <w:rsid w:val="001A7B7E"/>
    <w:rsid w:val="001A7CBA"/>
    <w:rsid w:val="001A7D61"/>
    <w:rsid w:val="001B0117"/>
    <w:rsid w:val="001B01AC"/>
    <w:rsid w:val="001B03A1"/>
    <w:rsid w:val="001B046D"/>
    <w:rsid w:val="001B048B"/>
    <w:rsid w:val="001B04A0"/>
    <w:rsid w:val="001B058F"/>
    <w:rsid w:val="001B0701"/>
    <w:rsid w:val="001B08D6"/>
    <w:rsid w:val="001B0913"/>
    <w:rsid w:val="001B09C9"/>
    <w:rsid w:val="001B146A"/>
    <w:rsid w:val="001B150D"/>
    <w:rsid w:val="001B17CF"/>
    <w:rsid w:val="001B192A"/>
    <w:rsid w:val="001B1BDB"/>
    <w:rsid w:val="001B1F53"/>
    <w:rsid w:val="001B210E"/>
    <w:rsid w:val="001B2216"/>
    <w:rsid w:val="001B252C"/>
    <w:rsid w:val="001B2747"/>
    <w:rsid w:val="001B2B05"/>
    <w:rsid w:val="001B2E28"/>
    <w:rsid w:val="001B3133"/>
    <w:rsid w:val="001B330D"/>
    <w:rsid w:val="001B33DA"/>
    <w:rsid w:val="001B3480"/>
    <w:rsid w:val="001B352C"/>
    <w:rsid w:val="001B35C9"/>
    <w:rsid w:val="001B3760"/>
    <w:rsid w:val="001B37BE"/>
    <w:rsid w:val="001B390F"/>
    <w:rsid w:val="001B39C0"/>
    <w:rsid w:val="001B3DA9"/>
    <w:rsid w:val="001B454E"/>
    <w:rsid w:val="001B4676"/>
    <w:rsid w:val="001B47AC"/>
    <w:rsid w:val="001B47B6"/>
    <w:rsid w:val="001B485F"/>
    <w:rsid w:val="001B488D"/>
    <w:rsid w:val="001B4988"/>
    <w:rsid w:val="001B49B5"/>
    <w:rsid w:val="001B4AC5"/>
    <w:rsid w:val="001B4AF7"/>
    <w:rsid w:val="001B4DCA"/>
    <w:rsid w:val="001B4EFD"/>
    <w:rsid w:val="001B5113"/>
    <w:rsid w:val="001B518B"/>
    <w:rsid w:val="001B52EA"/>
    <w:rsid w:val="001B541E"/>
    <w:rsid w:val="001B543C"/>
    <w:rsid w:val="001B54D3"/>
    <w:rsid w:val="001B5521"/>
    <w:rsid w:val="001B55E2"/>
    <w:rsid w:val="001B571C"/>
    <w:rsid w:val="001B5808"/>
    <w:rsid w:val="001B5CB8"/>
    <w:rsid w:val="001B5F29"/>
    <w:rsid w:val="001B6047"/>
    <w:rsid w:val="001B60B4"/>
    <w:rsid w:val="001B616B"/>
    <w:rsid w:val="001B61C8"/>
    <w:rsid w:val="001B63C9"/>
    <w:rsid w:val="001B64AF"/>
    <w:rsid w:val="001B6576"/>
    <w:rsid w:val="001B66D3"/>
    <w:rsid w:val="001B6707"/>
    <w:rsid w:val="001B671D"/>
    <w:rsid w:val="001B67AE"/>
    <w:rsid w:val="001B681C"/>
    <w:rsid w:val="001B6983"/>
    <w:rsid w:val="001B6ADA"/>
    <w:rsid w:val="001B6D0A"/>
    <w:rsid w:val="001B75A1"/>
    <w:rsid w:val="001B7BA1"/>
    <w:rsid w:val="001B7D13"/>
    <w:rsid w:val="001B7F69"/>
    <w:rsid w:val="001C0013"/>
    <w:rsid w:val="001C00AD"/>
    <w:rsid w:val="001C0264"/>
    <w:rsid w:val="001C0699"/>
    <w:rsid w:val="001C07DC"/>
    <w:rsid w:val="001C09BE"/>
    <w:rsid w:val="001C0FC5"/>
    <w:rsid w:val="001C11F0"/>
    <w:rsid w:val="001C1342"/>
    <w:rsid w:val="001C1804"/>
    <w:rsid w:val="001C18D7"/>
    <w:rsid w:val="001C1A14"/>
    <w:rsid w:val="001C1CA9"/>
    <w:rsid w:val="001C1D79"/>
    <w:rsid w:val="001C1DE0"/>
    <w:rsid w:val="001C1F84"/>
    <w:rsid w:val="001C1FBB"/>
    <w:rsid w:val="001C226F"/>
    <w:rsid w:val="001C23AF"/>
    <w:rsid w:val="001C2434"/>
    <w:rsid w:val="001C265F"/>
    <w:rsid w:val="001C26C0"/>
    <w:rsid w:val="001C2A16"/>
    <w:rsid w:val="001C2B7C"/>
    <w:rsid w:val="001C2ED9"/>
    <w:rsid w:val="001C2F17"/>
    <w:rsid w:val="001C2F7E"/>
    <w:rsid w:val="001C3080"/>
    <w:rsid w:val="001C322F"/>
    <w:rsid w:val="001C32A9"/>
    <w:rsid w:val="001C3784"/>
    <w:rsid w:val="001C3819"/>
    <w:rsid w:val="001C3936"/>
    <w:rsid w:val="001C3B0A"/>
    <w:rsid w:val="001C3D35"/>
    <w:rsid w:val="001C445B"/>
    <w:rsid w:val="001C44E3"/>
    <w:rsid w:val="001C4880"/>
    <w:rsid w:val="001C48F2"/>
    <w:rsid w:val="001C491F"/>
    <w:rsid w:val="001C4993"/>
    <w:rsid w:val="001C4B50"/>
    <w:rsid w:val="001C4BBA"/>
    <w:rsid w:val="001C4D86"/>
    <w:rsid w:val="001C4F0D"/>
    <w:rsid w:val="001C5172"/>
    <w:rsid w:val="001C535C"/>
    <w:rsid w:val="001C5450"/>
    <w:rsid w:val="001C5469"/>
    <w:rsid w:val="001C54CC"/>
    <w:rsid w:val="001C5639"/>
    <w:rsid w:val="001C599F"/>
    <w:rsid w:val="001C5AC1"/>
    <w:rsid w:val="001C5EAB"/>
    <w:rsid w:val="001C5ED0"/>
    <w:rsid w:val="001C5F73"/>
    <w:rsid w:val="001C5FC6"/>
    <w:rsid w:val="001C6062"/>
    <w:rsid w:val="001C606C"/>
    <w:rsid w:val="001C61C7"/>
    <w:rsid w:val="001C61E7"/>
    <w:rsid w:val="001C6284"/>
    <w:rsid w:val="001C63D8"/>
    <w:rsid w:val="001C645C"/>
    <w:rsid w:val="001C649A"/>
    <w:rsid w:val="001C64CA"/>
    <w:rsid w:val="001C663D"/>
    <w:rsid w:val="001C6882"/>
    <w:rsid w:val="001C6B7D"/>
    <w:rsid w:val="001C6B99"/>
    <w:rsid w:val="001C6C20"/>
    <w:rsid w:val="001C6E11"/>
    <w:rsid w:val="001C70A3"/>
    <w:rsid w:val="001C7194"/>
    <w:rsid w:val="001C7529"/>
    <w:rsid w:val="001C7634"/>
    <w:rsid w:val="001C77D4"/>
    <w:rsid w:val="001C7834"/>
    <w:rsid w:val="001C7864"/>
    <w:rsid w:val="001C7874"/>
    <w:rsid w:val="001C79CD"/>
    <w:rsid w:val="001C7A9B"/>
    <w:rsid w:val="001C7AED"/>
    <w:rsid w:val="001C7B09"/>
    <w:rsid w:val="001C7D31"/>
    <w:rsid w:val="001C7DD3"/>
    <w:rsid w:val="001C7E74"/>
    <w:rsid w:val="001C7EA7"/>
    <w:rsid w:val="001D0240"/>
    <w:rsid w:val="001D0277"/>
    <w:rsid w:val="001D051F"/>
    <w:rsid w:val="001D0700"/>
    <w:rsid w:val="001D07B3"/>
    <w:rsid w:val="001D0840"/>
    <w:rsid w:val="001D08E2"/>
    <w:rsid w:val="001D08F7"/>
    <w:rsid w:val="001D0AC0"/>
    <w:rsid w:val="001D0ACD"/>
    <w:rsid w:val="001D0C72"/>
    <w:rsid w:val="001D0DBE"/>
    <w:rsid w:val="001D0E04"/>
    <w:rsid w:val="001D0EE4"/>
    <w:rsid w:val="001D1242"/>
    <w:rsid w:val="001D13C6"/>
    <w:rsid w:val="001D1441"/>
    <w:rsid w:val="001D154A"/>
    <w:rsid w:val="001D1726"/>
    <w:rsid w:val="001D18BB"/>
    <w:rsid w:val="001D1AC2"/>
    <w:rsid w:val="001D1C15"/>
    <w:rsid w:val="001D1E19"/>
    <w:rsid w:val="001D1E21"/>
    <w:rsid w:val="001D21BF"/>
    <w:rsid w:val="001D28ED"/>
    <w:rsid w:val="001D28F4"/>
    <w:rsid w:val="001D2A8E"/>
    <w:rsid w:val="001D2D74"/>
    <w:rsid w:val="001D2E03"/>
    <w:rsid w:val="001D2F36"/>
    <w:rsid w:val="001D3005"/>
    <w:rsid w:val="001D322C"/>
    <w:rsid w:val="001D3342"/>
    <w:rsid w:val="001D3356"/>
    <w:rsid w:val="001D3391"/>
    <w:rsid w:val="001D3478"/>
    <w:rsid w:val="001D3765"/>
    <w:rsid w:val="001D3789"/>
    <w:rsid w:val="001D3AC3"/>
    <w:rsid w:val="001D3C2F"/>
    <w:rsid w:val="001D3E6F"/>
    <w:rsid w:val="001D3EE8"/>
    <w:rsid w:val="001D4242"/>
    <w:rsid w:val="001D42E6"/>
    <w:rsid w:val="001D440C"/>
    <w:rsid w:val="001D448C"/>
    <w:rsid w:val="001D4E3F"/>
    <w:rsid w:val="001D4F96"/>
    <w:rsid w:val="001D5067"/>
    <w:rsid w:val="001D506E"/>
    <w:rsid w:val="001D515A"/>
    <w:rsid w:val="001D516E"/>
    <w:rsid w:val="001D5222"/>
    <w:rsid w:val="001D53D4"/>
    <w:rsid w:val="001D55E6"/>
    <w:rsid w:val="001D5600"/>
    <w:rsid w:val="001D5700"/>
    <w:rsid w:val="001D57BA"/>
    <w:rsid w:val="001D5936"/>
    <w:rsid w:val="001D5B98"/>
    <w:rsid w:val="001D5E1D"/>
    <w:rsid w:val="001D62C5"/>
    <w:rsid w:val="001D62DB"/>
    <w:rsid w:val="001D692C"/>
    <w:rsid w:val="001D6AC6"/>
    <w:rsid w:val="001D6CE6"/>
    <w:rsid w:val="001D6D56"/>
    <w:rsid w:val="001D6F0D"/>
    <w:rsid w:val="001D71E7"/>
    <w:rsid w:val="001D72CA"/>
    <w:rsid w:val="001D73B2"/>
    <w:rsid w:val="001D7499"/>
    <w:rsid w:val="001D75DC"/>
    <w:rsid w:val="001D7713"/>
    <w:rsid w:val="001D77DC"/>
    <w:rsid w:val="001D77E1"/>
    <w:rsid w:val="001D7AC4"/>
    <w:rsid w:val="001D7D13"/>
    <w:rsid w:val="001D7DAB"/>
    <w:rsid w:val="001E0069"/>
    <w:rsid w:val="001E027A"/>
    <w:rsid w:val="001E02B0"/>
    <w:rsid w:val="001E04F0"/>
    <w:rsid w:val="001E05E6"/>
    <w:rsid w:val="001E0630"/>
    <w:rsid w:val="001E078B"/>
    <w:rsid w:val="001E0BB1"/>
    <w:rsid w:val="001E0BF7"/>
    <w:rsid w:val="001E0CEE"/>
    <w:rsid w:val="001E1080"/>
    <w:rsid w:val="001E12DB"/>
    <w:rsid w:val="001E13D5"/>
    <w:rsid w:val="001E15B0"/>
    <w:rsid w:val="001E1677"/>
    <w:rsid w:val="001E174D"/>
    <w:rsid w:val="001E1839"/>
    <w:rsid w:val="001E191D"/>
    <w:rsid w:val="001E1A0B"/>
    <w:rsid w:val="001E1C71"/>
    <w:rsid w:val="001E1CC2"/>
    <w:rsid w:val="001E1E1B"/>
    <w:rsid w:val="001E1EB0"/>
    <w:rsid w:val="001E2195"/>
    <w:rsid w:val="001E2281"/>
    <w:rsid w:val="001E2297"/>
    <w:rsid w:val="001E2629"/>
    <w:rsid w:val="001E2756"/>
    <w:rsid w:val="001E27D7"/>
    <w:rsid w:val="001E2859"/>
    <w:rsid w:val="001E2C6F"/>
    <w:rsid w:val="001E2D23"/>
    <w:rsid w:val="001E2D97"/>
    <w:rsid w:val="001E31A8"/>
    <w:rsid w:val="001E3292"/>
    <w:rsid w:val="001E32C9"/>
    <w:rsid w:val="001E32CC"/>
    <w:rsid w:val="001E3374"/>
    <w:rsid w:val="001E3610"/>
    <w:rsid w:val="001E3699"/>
    <w:rsid w:val="001E3ABF"/>
    <w:rsid w:val="001E3C4B"/>
    <w:rsid w:val="001E3E40"/>
    <w:rsid w:val="001E3F1D"/>
    <w:rsid w:val="001E3F2B"/>
    <w:rsid w:val="001E3F4A"/>
    <w:rsid w:val="001E408D"/>
    <w:rsid w:val="001E40EB"/>
    <w:rsid w:val="001E43BF"/>
    <w:rsid w:val="001E4451"/>
    <w:rsid w:val="001E463A"/>
    <w:rsid w:val="001E4909"/>
    <w:rsid w:val="001E4BB1"/>
    <w:rsid w:val="001E4D04"/>
    <w:rsid w:val="001E4D27"/>
    <w:rsid w:val="001E4DFC"/>
    <w:rsid w:val="001E4F38"/>
    <w:rsid w:val="001E4F50"/>
    <w:rsid w:val="001E4FDC"/>
    <w:rsid w:val="001E4FF1"/>
    <w:rsid w:val="001E5665"/>
    <w:rsid w:val="001E5874"/>
    <w:rsid w:val="001E589F"/>
    <w:rsid w:val="001E5B8F"/>
    <w:rsid w:val="001E5C36"/>
    <w:rsid w:val="001E5CD5"/>
    <w:rsid w:val="001E5D66"/>
    <w:rsid w:val="001E5E7F"/>
    <w:rsid w:val="001E62A5"/>
    <w:rsid w:val="001E632B"/>
    <w:rsid w:val="001E65D0"/>
    <w:rsid w:val="001E662A"/>
    <w:rsid w:val="001E66B1"/>
    <w:rsid w:val="001E6990"/>
    <w:rsid w:val="001E6C94"/>
    <w:rsid w:val="001E6C9F"/>
    <w:rsid w:val="001E6D65"/>
    <w:rsid w:val="001E6D72"/>
    <w:rsid w:val="001E6DB9"/>
    <w:rsid w:val="001E6EA5"/>
    <w:rsid w:val="001E7057"/>
    <w:rsid w:val="001E718C"/>
    <w:rsid w:val="001E7728"/>
    <w:rsid w:val="001E79D5"/>
    <w:rsid w:val="001E79F6"/>
    <w:rsid w:val="001E7CF6"/>
    <w:rsid w:val="001E7DFF"/>
    <w:rsid w:val="001E7E87"/>
    <w:rsid w:val="001E7F33"/>
    <w:rsid w:val="001E7F50"/>
    <w:rsid w:val="001F00FB"/>
    <w:rsid w:val="001F0378"/>
    <w:rsid w:val="001F046F"/>
    <w:rsid w:val="001F04B5"/>
    <w:rsid w:val="001F04B6"/>
    <w:rsid w:val="001F0577"/>
    <w:rsid w:val="001F0811"/>
    <w:rsid w:val="001F088D"/>
    <w:rsid w:val="001F0A9C"/>
    <w:rsid w:val="001F0C45"/>
    <w:rsid w:val="001F0F69"/>
    <w:rsid w:val="001F0FCB"/>
    <w:rsid w:val="001F1034"/>
    <w:rsid w:val="001F10E4"/>
    <w:rsid w:val="001F123D"/>
    <w:rsid w:val="001F12BC"/>
    <w:rsid w:val="001F13E2"/>
    <w:rsid w:val="001F14A6"/>
    <w:rsid w:val="001F14F3"/>
    <w:rsid w:val="001F159E"/>
    <w:rsid w:val="001F1765"/>
    <w:rsid w:val="001F182D"/>
    <w:rsid w:val="001F1843"/>
    <w:rsid w:val="001F1971"/>
    <w:rsid w:val="001F1A0A"/>
    <w:rsid w:val="001F1B2B"/>
    <w:rsid w:val="001F1B5B"/>
    <w:rsid w:val="001F1CAD"/>
    <w:rsid w:val="001F1ED1"/>
    <w:rsid w:val="001F1FB9"/>
    <w:rsid w:val="001F239F"/>
    <w:rsid w:val="001F23A1"/>
    <w:rsid w:val="001F26A2"/>
    <w:rsid w:val="001F2A40"/>
    <w:rsid w:val="001F2C92"/>
    <w:rsid w:val="001F2EA1"/>
    <w:rsid w:val="001F2EC0"/>
    <w:rsid w:val="001F2F29"/>
    <w:rsid w:val="001F3083"/>
    <w:rsid w:val="001F31AC"/>
    <w:rsid w:val="001F3425"/>
    <w:rsid w:val="001F3527"/>
    <w:rsid w:val="001F3610"/>
    <w:rsid w:val="001F3623"/>
    <w:rsid w:val="001F3724"/>
    <w:rsid w:val="001F3739"/>
    <w:rsid w:val="001F38A7"/>
    <w:rsid w:val="001F3C77"/>
    <w:rsid w:val="001F3D36"/>
    <w:rsid w:val="001F3EBA"/>
    <w:rsid w:val="001F3FF7"/>
    <w:rsid w:val="001F408D"/>
    <w:rsid w:val="001F4420"/>
    <w:rsid w:val="001F46C0"/>
    <w:rsid w:val="001F4777"/>
    <w:rsid w:val="001F4960"/>
    <w:rsid w:val="001F49C6"/>
    <w:rsid w:val="001F49FC"/>
    <w:rsid w:val="001F4A3D"/>
    <w:rsid w:val="001F4AD4"/>
    <w:rsid w:val="001F4C77"/>
    <w:rsid w:val="001F4D99"/>
    <w:rsid w:val="001F4F41"/>
    <w:rsid w:val="001F4F93"/>
    <w:rsid w:val="001F4F99"/>
    <w:rsid w:val="001F50D3"/>
    <w:rsid w:val="001F51EF"/>
    <w:rsid w:val="001F538D"/>
    <w:rsid w:val="001F5400"/>
    <w:rsid w:val="001F54B7"/>
    <w:rsid w:val="001F57C7"/>
    <w:rsid w:val="001F5818"/>
    <w:rsid w:val="001F58E9"/>
    <w:rsid w:val="001F5B57"/>
    <w:rsid w:val="001F5D97"/>
    <w:rsid w:val="001F5E97"/>
    <w:rsid w:val="001F614F"/>
    <w:rsid w:val="001F6285"/>
    <w:rsid w:val="001F637D"/>
    <w:rsid w:val="001F64F6"/>
    <w:rsid w:val="001F6624"/>
    <w:rsid w:val="001F6794"/>
    <w:rsid w:val="001F6A9C"/>
    <w:rsid w:val="001F6CEA"/>
    <w:rsid w:val="001F6D26"/>
    <w:rsid w:val="001F6D3C"/>
    <w:rsid w:val="001F6D8C"/>
    <w:rsid w:val="001F6F6D"/>
    <w:rsid w:val="001F71F1"/>
    <w:rsid w:val="001F7802"/>
    <w:rsid w:val="001F781C"/>
    <w:rsid w:val="001F7B10"/>
    <w:rsid w:val="001F7CD1"/>
    <w:rsid w:val="001F7F44"/>
    <w:rsid w:val="001F7FE4"/>
    <w:rsid w:val="0020009F"/>
    <w:rsid w:val="0020013F"/>
    <w:rsid w:val="002001AA"/>
    <w:rsid w:val="002002E6"/>
    <w:rsid w:val="002003F2"/>
    <w:rsid w:val="002011A3"/>
    <w:rsid w:val="00201360"/>
    <w:rsid w:val="00201398"/>
    <w:rsid w:val="002017E2"/>
    <w:rsid w:val="0020184C"/>
    <w:rsid w:val="00201C84"/>
    <w:rsid w:val="00202267"/>
    <w:rsid w:val="00202767"/>
    <w:rsid w:val="00202987"/>
    <w:rsid w:val="00202ABF"/>
    <w:rsid w:val="0020301A"/>
    <w:rsid w:val="0020306D"/>
    <w:rsid w:val="0020317B"/>
    <w:rsid w:val="00203260"/>
    <w:rsid w:val="00203329"/>
    <w:rsid w:val="00203561"/>
    <w:rsid w:val="00203915"/>
    <w:rsid w:val="0020392B"/>
    <w:rsid w:val="00203A1D"/>
    <w:rsid w:val="00203B19"/>
    <w:rsid w:val="00203B5C"/>
    <w:rsid w:val="0020420B"/>
    <w:rsid w:val="0020431B"/>
    <w:rsid w:val="00204750"/>
    <w:rsid w:val="00204772"/>
    <w:rsid w:val="002047CA"/>
    <w:rsid w:val="0020480B"/>
    <w:rsid w:val="00204EAE"/>
    <w:rsid w:val="00205174"/>
    <w:rsid w:val="002055BF"/>
    <w:rsid w:val="00205724"/>
    <w:rsid w:val="0020580C"/>
    <w:rsid w:val="00205816"/>
    <w:rsid w:val="002058D1"/>
    <w:rsid w:val="00205AD3"/>
    <w:rsid w:val="00205AE9"/>
    <w:rsid w:val="00205B31"/>
    <w:rsid w:val="00205CF3"/>
    <w:rsid w:val="00205D9B"/>
    <w:rsid w:val="00205DAE"/>
    <w:rsid w:val="00206475"/>
    <w:rsid w:val="002064CB"/>
    <w:rsid w:val="00206737"/>
    <w:rsid w:val="00206756"/>
    <w:rsid w:val="00206ADF"/>
    <w:rsid w:val="00207212"/>
    <w:rsid w:val="00207609"/>
    <w:rsid w:val="00207658"/>
    <w:rsid w:val="0020768A"/>
    <w:rsid w:val="00207B4E"/>
    <w:rsid w:val="00207B9B"/>
    <w:rsid w:val="00207CCC"/>
    <w:rsid w:val="00207FA5"/>
    <w:rsid w:val="002100DB"/>
    <w:rsid w:val="00210300"/>
    <w:rsid w:val="00210386"/>
    <w:rsid w:val="00210391"/>
    <w:rsid w:val="0021046E"/>
    <w:rsid w:val="00210B6F"/>
    <w:rsid w:val="00210C20"/>
    <w:rsid w:val="00210CCD"/>
    <w:rsid w:val="00210CD9"/>
    <w:rsid w:val="00210D19"/>
    <w:rsid w:val="0021103D"/>
    <w:rsid w:val="0021115B"/>
    <w:rsid w:val="0021129C"/>
    <w:rsid w:val="0021151A"/>
    <w:rsid w:val="002115EF"/>
    <w:rsid w:val="0021168B"/>
    <w:rsid w:val="0021178C"/>
    <w:rsid w:val="002117DA"/>
    <w:rsid w:val="00211885"/>
    <w:rsid w:val="00211D8E"/>
    <w:rsid w:val="00211DC0"/>
    <w:rsid w:val="0021203E"/>
    <w:rsid w:val="00212406"/>
    <w:rsid w:val="0021256E"/>
    <w:rsid w:val="00212630"/>
    <w:rsid w:val="0021279C"/>
    <w:rsid w:val="002127DA"/>
    <w:rsid w:val="00212B8C"/>
    <w:rsid w:val="00213193"/>
    <w:rsid w:val="002132AD"/>
    <w:rsid w:val="002135A6"/>
    <w:rsid w:val="002135CE"/>
    <w:rsid w:val="00213A30"/>
    <w:rsid w:val="00213B46"/>
    <w:rsid w:val="00213B9A"/>
    <w:rsid w:val="00213DF1"/>
    <w:rsid w:val="0021410D"/>
    <w:rsid w:val="00214473"/>
    <w:rsid w:val="00214712"/>
    <w:rsid w:val="002147B0"/>
    <w:rsid w:val="00214816"/>
    <w:rsid w:val="0021483D"/>
    <w:rsid w:val="00214852"/>
    <w:rsid w:val="00214C67"/>
    <w:rsid w:val="00215322"/>
    <w:rsid w:val="0021543E"/>
    <w:rsid w:val="0021561D"/>
    <w:rsid w:val="00215691"/>
    <w:rsid w:val="002156C2"/>
    <w:rsid w:val="00215A79"/>
    <w:rsid w:val="00215BA0"/>
    <w:rsid w:val="00215EB8"/>
    <w:rsid w:val="00215FBD"/>
    <w:rsid w:val="0021624D"/>
    <w:rsid w:val="00216255"/>
    <w:rsid w:val="00216458"/>
    <w:rsid w:val="002169A2"/>
    <w:rsid w:val="00216FF9"/>
    <w:rsid w:val="0021713B"/>
    <w:rsid w:val="002171B3"/>
    <w:rsid w:val="002175AB"/>
    <w:rsid w:val="00217729"/>
    <w:rsid w:val="002177A9"/>
    <w:rsid w:val="00217AA8"/>
    <w:rsid w:val="00217BB0"/>
    <w:rsid w:val="00220016"/>
    <w:rsid w:val="002200BB"/>
    <w:rsid w:val="00220243"/>
    <w:rsid w:val="00220276"/>
    <w:rsid w:val="00220788"/>
    <w:rsid w:val="002208B3"/>
    <w:rsid w:val="00220CB4"/>
    <w:rsid w:val="0022105C"/>
    <w:rsid w:val="00221108"/>
    <w:rsid w:val="0022155A"/>
    <w:rsid w:val="0022193F"/>
    <w:rsid w:val="00221AE3"/>
    <w:rsid w:val="00221B0F"/>
    <w:rsid w:val="00221CEA"/>
    <w:rsid w:val="00221DE0"/>
    <w:rsid w:val="0022216C"/>
    <w:rsid w:val="0022219B"/>
    <w:rsid w:val="0022219F"/>
    <w:rsid w:val="0022259C"/>
    <w:rsid w:val="00222619"/>
    <w:rsid w:val="0022264B"/>
    <w:rsid w:val="00222BC5"/>
    <w:rsid w:val="00222C2C"/>
    <w:rsid w:val="00222FA5"/>
    <w:rsid w:val="00223313"/>
    <w:rsid w:val="002233B6"/>
    <w:rsid w:val="002236C9"/>
    <w:rsid w:val="00223966"/>
    <w:rsid w:val="00223ABE"/>
    <w:rsid w:val="00223BB4"/>
    <w:rsid w:val="00223D12"/>
    <w:rsid w:val="00223DD5"/>
    <w:rsid w:val="00223F28"/>
    <w:rsid w:val="00223FCF"/>
    <w:rsid w:val="002242C8"/>
    <w:rsid w:val="00224328"/>
    <w:rsid w:val="002243F3"/>
    <w:rsid w:val="002246F3"/>
    <w:rsid w:val="00224731"/>
    <w:rsid w:val="00224A1E"/>
    <w:rsid w:val="00224AE1"/>
    <w:rsid w:val="00224D06"/>
    <w:rsid w:val="00224D08"/>
    <w:rsid w:val="00224DDF"/>
    <w:rsid w:val="0022514A"/>
    <w:rsid w:val="00225245"/>
    <w:rsid w:val="0022559B"/>
    <w:rsid w:val="00225698"/>
    <w:rsid w:val="0022578E"/>
    <w:rsid w:val="00225A11"/>
    <w:rsid w:val="00225A95"/>
    <w:rsid w:val="00225AF2"/>
    <w:rsid w:val="00225B5E"/>
    <w:rsid w:val="00225B6B"/>
    <w:rsid w:val="00226313"/>
    <w:rsid w:val="0022637F"/>
    <w:rsid w:val="002266C4"/>
    <w:rsid w:val="002266FF"/>
    <w:rsid w:val="00226860"/>
    <w:rsid w:val="00226B97"/>
    <w:rsid w:val="00226ECE"/>
    <w:rsid w:val="00227014"/>
    <w:rsid w:val="00227059"/>
    <w:rsid w:val="002270FC"/>
    <w:rsid w:val="00227355"/>
    <w:rsid w:val="0022750F"/>
    <w:rsid w:val="00227647"/>
    <w:rsid w:val="002277A2"/>
    <w:rsid w:val="002277B8"/>
    <w:rsid w:val="002278A0"/>
    <w:rsid w:val="0022793D"/>
    <w:rsid w:val="00227A50"/>
    <w:rsid w:val="00227AB2"/>
    <w:rsid w:val="00227B2B"/>
    <w:rsid w:val="00227F06"/>
    <w:rsid w:val="002300D2"/>
    <w:rsid w:val="0023031D"/>
    <w:rsid w:val="00230426"/>
    <w:rsid w:val="0023094C"/>
    <w:rsid w:val="002309F5"/>
    <w:rsid w:val="00230D38"/>
    <w:rsid w:val="00230F96"/>
    <w:rsid w:val="0023112F"/>
    <w:rsid w:val="002313E9"/>
    <w:rsid w:val="00231521"/>
    <w:rsid w:val="002315CC"/>
    <w:rsid w:val="00231C38"/>
    <w:rsid w:val="00231DDA"/>
    <w:rsid w:val="00231F6E"/>
    <w:rsid w:val="00232145"/>
    <w:rsid w:val="00232314"/>
    <w:rsid w:val="00232353"/>
    <w:rsid w:val="0023261D"/>
    <w:rsid w:val="002326ED"/>
    <w:rsid w:val="00232707"/>
    <w:rsid w:val="002329C7"/>
    <w:rsid w:val="00232A07"/>
    <w:rsid w:val="00232BBA"/>
    <w:rsid w:val="00232CDC"/>
    <w:rsid w:val="00232D26"/>
    <w:rsid w:val="00232EDA"/>
    <w:rsid w:val="00232FAA"/>
    <w:rsid w:val="00233109"/>
    <w:rsid w:val="00233129"/>
    <w:rsid w:val="0023317E"/>
    <w:rsid w:val="00233206"/>
    <w:rsid w:val="00233212"/>
    <w:rsid w:val="0023344F"/>
    <w:rsid w:val="00233477"/>
    <w:rsid w:val="00233564"/>
    <w:rsid w:val="00233629"/>
    <w:rsid w:val="00233710"/>
    <w:rsid w:val="0023374D"/>
    <w:rsid w:val="00233795"/>
    <w:rsid w:val="002337A0"/>
    <w:rsid w:val="002337A5"/>
    <w:rsid w:val="00233D3E"/>
    <w:rsid w:val="00233DC7"/>
    <w:rsid w:val="00233E14"/>
    <w:rsid w:val="00234202"/>
    <w:rsid w:val="002343C5"/>
    <w:rsid w:val="0023446C"/>
    <w:rsid w:val="00234483"/>
    <w:rsid w:val="00234668"/>
    <w:rsid w:val="002346B3"/>
    <w:rsid w:val="002346F4"/>
    <w:rsid w:val="00234704"/>
    <w:rsid w:val="002347D4"/>
    <w:rsid w:val="0023499D"/>
    <w:rsid w:val="00234A09"/>
    <w:rsid w:val="00234B62"/>
    <w:rsid w:val="00234ED3"/>
    <w:rsid w:val="00234F19"/>
    <w:rsid w:val="00235589"/>
    <w:rsid w:val="00235A67"/>
    <w:rsid w:val="00235DF9"/>
    <w:rsid w:val="00235F61"/>
    <w:rsid w:val="00235F89"/>
    <w:rsid w:val="002360DD"/>
    <w:rsid w:val="002362A0"/>
    <w:rsid w:val="002362D7"/>
    <w:rsid w:val="00236580"/>
    <w:rsid w:val="002366CA"/>
    <w:rsid w:val="00236A2A"/>
    <w:rsid w:val="00236B31"/>
    <w:rsid w:val="00236D7E"/>
    <w:rsid w:val="00236ED9"/>
    <w:rsid w:val="00237085"/>
    <w:rsid w:val="002371BB"/>
    <w:rsid w:val="00237328"/>
    <w:rsid w:val="0023741B"/>
    <w:rsid w:val="00237482"/>
    <w:rsid w:val="0023763B"/>
    <w:rsid w:val="00237728"/>
    <w:rsid w:val="002377E5"/>
    <w:rsid w:val="002379F3"/>
    <w:rsid w:val="00237BD9"/>
    <w:rsid w:val="002401CC"/>
    <w:rsid w:val="00240344"/>
    <w:rsid w:val="00240391"/>
    <w:rsid w:val="0024047D"/>
    <w:rsid w:val="00240571"/>
    <w:rsid w:val="00240610"/>
    <w:rsid w:val="002406FC"/>
    <w:rsid w:val="002409EC"/>
    <w:rsid w:val="00240A98"/>
    <w:rsid w:val="00240C10"/>
    <w:rsid w:val="00240D22"/>
    <w:rsid w:val="00240E88"/>
    <w:rsid w:val="00240F6C"/>
    <w:rsid w:val="002410B1"/>
    <w:rsid w:val="00241113"/>
    <w:rsid w:val="002412C5"/>
    <w:rsid w:val="0024139D"/>
    <w:rsid w:val="0024149D"/>
    <w:rsid w:val="002416A5"/>
    <w:rsid w:val="002416C5"/>
    <w:rsid w:val="00241819"/>
    <w:rsid w:val="00241B6D"/>
    <w:rsid w:val="00241CB9"/>
    <w:rsid w:val="00241E48"/>
    <w:rsid w:val="00242155"/>
    <w:rsid w:val="00242454"/>
    <w:rsid w:val="00242473"/>
    <w:rsid w:val="002424AD"/>
    <w:rsid w:val="0024256C"/>
    <w:rsid w:val="00242875"/>
    <w:rsid w:val="0024294E"/>
    <w:rsid w:val="00242A2A"/>
    <w:rsid w:val="00242B6C"/>
    <w:rsid w:val="00242E3C"/>
    <w:rsid w:val="00242E47"/>
    <w:rsid w:val="002430DB"/>
    <w:rsid w:val="002430FD"/>
    <w:rsid w:val="0024360E"/>
    <w:rsid w:val="00243621"/>
    <w:rsid w:val="00243655"/>
    <w:rsid w:val="002436DD"/>
    <w:rsid w:val="00243725"/>
    <w:rsid w:val="0024388D"/>
    <w:rsid w:val="00243931"/>
    <w:rsid w:val="00243948"/>
    <w:rsid w:val="002439C5"/>
    <w:rsid w:val="00243D2C"/>
    <w:rsid w:val="0024428C"/>
    <w:rsid w:val="002445A9"/>
    <w:rsid w:val="00244760"/>
    <w:rsid w:val="00244A69"/>
    <w:rsid w:val="00244A85"/>
    <w:rsid w:val="00244C3B"/>
    <w:rsid w:val="00244C8B"/>
    <w:rsid w:val="00244CD4"/>
    <w:rsid w:val="00244FC9"/>
    <w:rsid w:val="00245096"/>
    <w:rsid w:val="00245101"/>
    <w:rsid w:val="00245156"/>
    <w:rsid w:val="00245317"/>
    <w:rsid w:val="00245335"/>
    <w:rsid w:val="00245340"/>
    <w:rsid w:val="0024549E"/>
    <w:rsid w:val="0024560B"/>
    <w:rsid w:val="00245669"/>
    <w:rsid w:val="002458AB"/>
    <w:rsid w:val="00245965"/>
    <w:rsid w:val="00245A82"/>
    <w:rsid w:val="00245D42"/>
    <w:rsid w:val="00245EA5"/>
    <w:rsid w:val="002460B6"/>
    <w:rsid w:val="00246342"/>
    <w:rsid w:val="0024634F"/>
    <w:rsid w:val="002463C7"/>
    <w:rsid w:val="002463EF"/>
    <w:rsid w:val="00246450"/>
    <w:rsid w:val="00246540"/>
    <w:rsid w:val="00246586"/>
    <w:rsid w:val="00246894"/>
    <w:rsid w:val="0024689D"/>
    <w:rsid w:val="002468D3"/>
    <w:rsid w:val="00246A9D"/>
    <w:rsid w:val="00246CAE"/>
    <w:rsid w:val="00246CD3"/>
    <w:rsid w:val="00246FE7"/>
    <w:rsid w:val="00247011"/>
    <w:rsid w:val="002470DE"/>
    <w:rsid w:val="002474D8"/>
    <w:rsid w:val="002474DE"/>
    <w:rsid w:val="0024755C"/>
    <w:rsid w:val="00247779"/>
    <w:rsid w:val="002478F4"/>
    <w:rsid w:val="002478FD"/>
    <w:rsid w:val="0024791B"/>
    <w:rsid w:val="00247979"/>
    <w:rsid w:val="00247AF1"/>
    <w:rsid w:val="00247BFD"/>
    <w:rsid w:val="00247C15"/>
    <w:rsid w:val="00247CFB"/>
    <w:rsid w:val="00247EC5"/>
    <w:rsid w:val="00247F5D"/>
    <w:rsid w:val="002500B5"/>
    <w:rsid w:val="002504F2"/>
    <w:rsid w:val="002505B8"/>
    <w:rsid w:val="002506DF"/>
    <w:rsid w:val="002507AF"/>
    <w:rsid w:val="00250AB9"/>
    <w:rsid w:val="00250C67"/>
    <w:rsid w:val="00250E9E"/>
    <w:rsid w:val="00250EB2"/>
    <w:rsid w:val="00250F03"/>
    <w:rsid w:val="00251348"/>
    <w:rsid w:val="00251459"/>
    <w:rsid w:val="00251557"/>
    <w:rsid w:val="00251648"/>
    <w:rsid w:val="0025178F"/>
    <w:rsid w:val="00251809"/>
    <w:rsid w:val="00251870"/>
    <w:rsid w:val="00251AEA"/>
    <w:rsid w:val="00251B57"/>
    <w:rsid w:val="00251BB1"/>
    <w:rsid w:val="0025200A"/>
    <w:rsid w:val="0025201E"/>
    <w:rsid w:val="002520B1"/>
    <w:rsid w:val="00252275"/>
    <w:rsid w:val="002522AF"/>
    <w:rsid w:val="002522F0"/>
    <w:rsid w:val="00252308"/>
    <w:rsid w:val="002523EC"/>
    <w:rsid w:val="002524AC"/>
    <w:rsid w:val="002525F6"/>
    <w:rsid w:val="002526D3"/>
    <w:rsid w:val="002529E3"/>
    <w:rsid w:val="002529E5"/>
    <w:rsid w:val="00252DBB"/>
    <w:rsid w:val="00252DD5"/>
    <w:rsid w:val="00252F7A"/>
    <w:rsid w:val="0025314A"/>
    <w:rsid w:val="00253171"/>
    <w:rsid w:val="002532A8"/>
    <w:rsid w:val="002532F2"/>
    <w:rsid w:val="00253412"/>
    <w:rsid w:val="0025380E"/>
    <w:rsid w:val="0025386F"/>
    <w:rsid w:val="00253B6F"/>
    <w:rsid w:val="00253CEE"/>
    <w:rsid w:val="00253D52"/>
    <w:rsid w:val="00253E63"/>
    <w:rsid w:val="00253EA7"/>
    <w:rsid w:val="0025404A"/>
    <w:rsid w:val="002540B5"/>
    <w:rsid w:val="0025416A"/>
    <w:rsid w:val="0025417F"/>
    <w:rsid w:val="00254453"/>
    <w:rsid w:val="0025475F"/>
    <w:rsid w:val="0025484C"/>
    <w:rsid w:val="00254950"/>
    <w:rsid w:val="0025495B"/>
    <w:rsid w:val="0025495E"/>
    <w:rsid w:val="00254ABA"/>
    <w:rsid w:val="00254CDC"/>
    <w:rsid w:val="00254D72"/>
    <w:rsid w:val="00255077"/>
    <w:rsid w:val="0025514D"/>
    <w:rsid w:val="0025515A"/>
    <w:rsid w:val="0025551D"/>
    <w:rsid w:val="0025557E"/>
    <w:rsid w:val="002557E6"/>
    <w:rsid w:val="0025581C"/>
    <w:rsid w:val="002558E6"/>
    <w:rsid w:val="00255CBF"/>
    <w:rsid w:val="00256167"/>
    <w:rsid w:val="002562A4"/>
    <w:rsid w:val="00256AB8"/>
    <w:rsid w:val="00256CC2"/>
    <w:rsid w:val="00256D18"/>
    <w:rsid w:val="00256D80"/>
    <w:rsid w:val="00256E08"/>
    <w:rsid w:val="00256EA1"/>
    <w:rsid w:val="002570B3"/>
    <w:rsid w:val="00257224"/>
    <w:rsid w:val="00257245"/>
    <w:rsid w:val="002575B3"/>
    <w:rsid w:val="00257627"/>
    <w:rsid w:val="002576D3"/>
    <w:rsid w:val="00257AB4"/>
    <w:rsid w:val="0026049E"/>
    <w:rsid w:val="002605C9"/>
    <w:rsid w:val="00260603"/>
    <w:rsid w:val="0026088D"/>
    <w:rsid w:val="0026091A"/>
    <w:rsid w:val="002609B8"/>
    <w:rsid w:val="00260ADC"/>
    <w:rsid w:val="00260B1E"/>
    <w:rsid w:val="00260E92"/>
    <w:rsid w:val="00260EA9"/>
    <w:rsid w:val="00261088"/>
    <w:rsid w:val="002611BB"/>
    <w:rsid w:val="002612D1"/>
    <w:rsid w:val="002613FF"/>
    <w:rsid w:val="00261496"/>
    <w:rsid w:val="00261539"/>
    <w:rsid w:val="00261916"/>
    <w:rsid w:val="00261BE6"/>
    <w:rsid w:val="00261C0A"/>
    <w:rsid w:val="00261C30"/>
    <w:rsid w:val="00261CC3"/>
    <w:rsid w:val="0026211F"/>
    <w:rsid w:val="00262414"/>
    <w:rsid w:val="0026245F"/>
    <w:rsid w:val="00262706"/>
    <w:rsid w:val="00262A17"/>
    <w:rsid w:val="00262A8E"/>
    <w:rsid w:val="00262C1B"/>
    <w:rsid w:val="00262C26"/>
    <w:rsid w:val="0026319E"/>
    <w:rsid w:val="002632FD"/>
    <w:rsid w:val="0026342F"/>
    <w:rsid w:val="0026354D"/>
    <w:rsid w:val="002635CD"/>
    <w:rsid w:val="002635DB"/>
    <w:rsid w:val="002635E1"/>
    <w:rsid w:val="002637B0"/>
    <w:rsid w:val="00263925"/>
    <w:rsid w:val="00263AC6"/>
    <w:rsid w:val="00263C20"/>
    <w:rsid w:val="00263C3F"/>
    <w:rsid w:val="00263CA6"/>
    <w:rsid w:val="00263E6D"/>
    <w:rsid w:val="00263F8E"/>
    <w:rsid w:val="0026402A"/>
    <w:rsid w:val="00264184"/>
    <w:rsid w:val="002643A5"/>
    <w:rsid w:val="002645AB"/>
    <w:rsid w:val="002646ED"/>
    <w:rsid w:val="00264B42"/>
    <w:rsid w:val="00265003"/>
    <w:rsid w:val="002651FC"/>
    <w:rsid w:val="00265378"/>
    <w:rsid w:val="00265515"/>
    <w:rsid w:val="00265A87"/>
    <w:rsid w:val="00265D6C"/>
    <w:rsid w:val="00265DDF"/>
    <w:rsid w:val="00265E6C"/>
    <w:rsid w:val="00265FCB"/>
    <w:rsid w:val="0026602D"/>
    <w:rsid w:val="0026636C"/>
    <w:rsid w:val="002663E0"/>
    <w:rsid w:val="00266970"/>
    <w:rsid w:val="00266C0D"/>
    <w:rsid w:val="00267063"/>
    <w:rsid w:val="00267099"/>
    <w:rsid w:val="002671E3"/>
    <w:rsid w:val="002672B1"/>
    <w:rsid w:val="002673ED"/>
    <w:rsid w:val="0026744E"/>
    <w:rsid w:val="002676B3"/>
    <w:rsid w:val="00267782"/>
    <w:rsid w:val="0026787F"/>
    <w:rsid w:val="002678F5"/>
    <w:rsid w:val="002679C6"/>
    <w:rsid w:val="00267C44"/>
    <w:rsid w:val="00267C46"/>
    <w:rsid w:val="00267C64"/>
    <w:rsid w:val="00267E50"/>
    <w:rsid w:val="00267F60"/>
    <w:rsid w:val="002700EE"/>
    <w:rsid w:val="002701D5"/>
    <w:rsid w:val="0027028C"/>
    <w:rsid w:val="00270325"/>
    <w:rsid w:val="0027034A"/>
    <w:rsid w:val="002705AA"/>
    <w:rsid w:val="002708CD"/>
    <w:rsid w:val="00270A29"/>
    <w:rsid w:val="00270B4D"/>
    <w:rsid w:val="00270C6B"/>
    <w:rsid w:val="00270DBC"/>
    <w:rsid w:val="00270DD4"/>
    <w:rsid w:val="00270FD6"/>
    <w:rsid w:val="00271227"/>
    <w:rsid w:val="0027183F"/>
    <w:rsid w:val="00271AA5"/>
    <w:rsid w:val="00271AC6"/>
    <w:rsid w:val="00271AED"/>
    <w:rsid w:val="00271B34"/>
    <w:rsid w:val="00271D1B"/>
    <w:rsid w:val="00271D67"/>
    <w:rsid w:val="00271F89"/>
    <w:rsid w:val="00271FE6"/>
    <w:rsid w:val="00272140"/>
    <w:rsid w:val="002722DD"/>
    <w:rsid w:val="002723CB"/>
    <w:rsid w:val="0027247B"/>
    <w:rsid w:val="002728F2"/>
    <w:rsid w:val="00272A58"/>
    <w:rsid w:val="00272B95"/>
    <w:rsid w:val="00272BEB"/>
    <w:rsid w:val="0027300E"/>
    <w:rsid w:val="00273210"/>
    <w:rsid w:val="0027330A"/>
    <w:rsid w:val="002733CE"/>
    <w:rsid w:val="00273855"/>
    <w:rsid w:val="00273A36"/>
    <w:rsid w:val="00273D7F"/>
    <w:rsid w:val="00273DA9"/>
    <w:rsid w:val="002740D7"/>
    <w:rsid w:val="00274153"/>
    <w:rsid w:val="00274252"/>
    <w:rsid w:val="0027464A"/>
    <w:rsid w:val="00274987"/>
    <w:rsid w:val="00274AE9"/>
    <w:rsid w:val="00274BFF"/>
    <w:rsid w:val="00274E37"/>
    <w:rsid w:val="00274FE2"/>
    <w:rsid w:val="0027538D"/>
    <w:rsid w:val="002755AC"/>
    <w:rsid w:val="00275993"/>
    <w:rsid w:val="00275B2B"/>
    <w:rsid w:val="00275E87"/>
    <w:rsid w:val="00275FBC"/>
    <w:rsid w:val="0027604D"/>
    <w:rsid w:val="002760E3"/>
    <w:rsid w:val="0027620B"/>
    <w:rsid w:val="0027632E"/>
    <w:rsid w:val="00276382"/>
    <w:rsid w:val="00276522"/>
    <w:rsid w:val="0027658B"/>
    <w:rsid w:val="0027689A"/>
    <w:rsid w:val="002769A3"/>
    <w:rsid w:val="00276BB1"/>
    <w:rsid w:val="00276C6A"/>
    <w:rsid w:val="00276D17"/>
    <w:rsid w:val="00276FC1"/>
    <w:rsid w:val="002771B9"/>
    <w:rsid w:val="002773A5"/>
    <w:rsid w:val="00277409"/>
    <w:rsid w:val="00277426"/>
    <w:rsid w:val="00277466"/>
    <w:rsid w:val="00277599"/>
    <w:rsid w:val="00277645"/>
    <w:rsid w:val="00277717"/>
    <w:rsid w:val="002777EC"/>
    <w:rsid w:val="00277928"/>
    <w:rsid w:val="00277A2A"/>
    <w:rsid w:val="00277CCE"/>
    <w:rsid w:val="00277D47"/>
    <w:rsid w:val="00277EC1"/>
    <w:rsid w:val="00277F51"/>
    <w:rsid w:val="00277F78"/>
    <w:rsid w:val="0028011E"/>
    <w:rsid w:val="00280391"/>
    <w:rsid w:val="00280438"/>
    <w:rsid w:val="00280479"/>
    <w:rsid w:val="002806B1"/>
    <w:rsid w:val="0028079C"/>
    <w:rsid w:val="002807B4"/>
    <w:rsid w:val="002808CA"/>
    <w:rsid w:val="00280951"/>
    <w:rsid w:val="00280BC2"/>
    <w:rsid w:val="00280D2F"/>
    <w:rsid w:val="0028106C"/>
    <w:rsid w:val="002810AF"/>
    <w:rsid w:val="00281207"/>
    <w:rsid w:val="00281461"/>
    <w:rsid w:val="00281695"/>
    <w:rsid w:val="00281725"/>
    <w:rsid w:val="002817B8"/>
    <w:rsid w:val="0028188F"/>
    <w:rsid w:val="00281A56"/>
    <w:rsid w:val="00281B0B"/>
    <w:rsid w:val="00281B90"/>
    <w:rsid w:val="00281BF0"/>
    <w:rsid w:val="00281D82"/>
    <w:rsid w:val="002821A0"/>
    <w:rsid w:val="002821AE"/>
    <w:rsid w:val="002821FA"/>
    <w:rsid w:val="002822C5"/>
    <w:rsid w:val="002822D6"/>
    <w:rsid w:val="002822F4"/>
    <w:rsid w:val="00282481"/>
    <w:rsid w:val="00282584"/>
    <w:rsid w:val="00282638"/>
    <w:rsid w:val="0028269B"/>
    <w:rsid w:val="002826DA"/>
    <w:rsid w:val="00282740"/>
    <w:rsid w:val="00282902"/>
    <w:rsid w:val="00282F6A"/>
    <w:rsid w:val="0028304F"/>
    <w:rsid w:val="002830FF"/>
    <w:rsid w:val="002831AE"/>
    <w:rsid w:val="002831E7"/>
    <w:rsid w:val="0028356D"/>
    <w:rsid w:val="002836D8"/>
    <w:rsid w:val="002839D5"/>
    <w:rsid w:val="00283ADE"/>
    <w:rsid w:val="00283D80"/>
    <w:rsid w:val="00283E12"/>
    <w:rsid w:val="00283E27"/>
    <w:rsid w:val="00283E30"/>
    <w:rsid w:val="00284254"/>
    <w:rsid w:val="00284402"/>
    <w:rsid w:val="002844AF"/>
    <w:rsid w:val="00284850"/>
    <w:rsid w:val="00284B72"/>
    <w:rsid w:val="00284FB7"/>
    <w:rsid w:val="0028524E"/>
    <w:rsid w:val="00285273"/>
    <w:rsid w:val="00285368"/>
    <w:rsid w:val="00285468"/>
    <w:rsid w:val="00285934"/>
    <w:rsid w:val="00285BEE"/>
    <w:rsid w:val="00285C3E"/>
    <w:rsid w:val="00285DFC"/>
    <w:rsid w:val="00285EB9"/>
    <w:rsid w:val="002861EF"/>
    <w:rsid w:val="0028625C"/>
    <w:rsid w:val="002864CE"/>
    <w:rsid w:val="002865AD"/>
    <w:rsid w:val="0028672F"/>
    <w:rsid w:val="00286775"/>
    <w:rsid w:val="00286915"/>
    <w:rsid w:val="002869D3"/>
    <w:rsid w:val="00286B20"/>
    <w:rsid w:val="00286CC8"/>
    <w:rsid w:val="00286DA9"/>
    <w:rsid w:val="00286E3C"/>
    <w:rsid w:val="00286E7C"/>
    <w:rsid w:val="002870AA"/>
    <w:rsid w:val="00287159"/>
    <w:rsid w:val="0028740B"/>
    <w:rsid w:val="0028743A"/>
    <w:rsid w:val="0028774E"/>
    <w:rsid w:val="00287885"/>
    <w:rsid w:val="00287CAA"/>
    <w:rsid w:val="00287D1F"/>
    <w:rsid w:val="00287E44"/>
    <w:rsid w:val="00287F35"/>
    <w:rsid w:val="00287F66"/>
    <w:rsid w:val="00287F95"/>
    <w:rsid w:val="00287FBB"/>
    <w:rsid w:val="002900E0"/>
    <w:rsid w:val="002903A9"/>
    <w:rsid w:val="00290574"/>
    <w:rsid w:val="00290896"/>
    <w:rsid w:val="002908AD"/>
    <w:rsid w:val="00290C58"/>
    <w:rsid w:val="00290DDF"/>
    <w:rsid w:val="00291071"/>
    <w:rsid w:val="00291151"/>
    <w:rsid w:val="00291174"/>
    <w:rsid w:val="0029117E"/>
    <w:rsid w:val="002912A6"/>
    <w:rsid w:val="002912BF"/>
    <w:rsid w:val="002912EF"/>
    <w:rsid w:val="0029156E"/>
    <w:rsid w:val="00291BD0"/>
    <w:rsid w:val="00291F12"/>
    <w:rsid w:val="00291F72"/>
    <w:rsid w:val="0029268D"/>
    <w:rsid w:val="00292846"/>
    <w:rsid w:val="002928C1"/>
    <w:rsid w:val="002928DC"/>
    <w:rsid w:val="00292C25"/>
    <w:rsid w:val="002933B6"/>
    <w:rsid w:val="002935A3"/>
    <w:rsid w:val="002935FC"/>
    <w:rsid w:val="00293993"/>
    <w:rsid w:val="00293AA8"/>
    <w:rsid w:val="00293B50"/>
    <w:rsid w:val="00293BA6"/>
    <w:rsid w:val="00293C39"/>
    <w:rsid w:val="00293C8B"/>
    <w:rsid w:val="00293CD5"/>
    <w:rsid w:val="00293F22"/>
    <w:rsid w:val="00293FEB"/>
    <w:rsid w:val="0029423C"/>
    <w:rsid w:val="0029432A"/>
    <w:rsid w:val="002944D6"/>
    <w:rsid w:val="002944EF"/>
    <w:rsid w:val="002948E6"/>
    <w:rsid w:val="00294A5B"/>
    <w:rsid w:val="00294B58"/>
    <w:rsid w:val="00294DF1"/>
    <w:rsid w:val="00295048"/>
    <w:rsid w:val="00295122"/>
    <w:rsid w:val="0029533F"/>
    <w:rsid w:val="00295446"/>
    <w:rsid w:val="00296192"/>
    <w:rsid w:val="002963C1"/>
    <w:rsid w:val="002963F0"/>
    <w:rsid w:val="002964E0"/>
    <w:rsid w:val="00296500"/>
    <w:rsid w:val="002966E3"/>
    <w:rsid w:val="002967B6"/>
    <w:rsid w:val="0029684C"/>
    <w:rsid w:val="00296A38"/>
    <w:rsid w:val="00296B55"/>
    <w:rsid w:val="00296C71"/>
    <w:rsid w:val="00296E88"/>
    <w:rsid w:val="00296E93"/>
    <w:rsid w:val="00297091"/>
    <w:rsid w:val="00297235"/>
    <w:rsid w:val="00297433"/>
    <w:rsid w:val="00297545"/>
    <w:rsid w:val="002975C7"/>
    <w:rsid w:val="002975CB"/>
    <w:rsid w:val="00297649"/>
    <w:rsid w:val="00297730"/>
    <w:rsid w:val="00297957"/>
    <w:rsid w:val="00297967"/>
    <w:rsid w:val="00297E5B"/>
    <w:rsid w:val="002A0029"/>
    <w:rsid w:val="002A021B"/>
    <w:rsid w:val="002A042A"/>
    <w:rsid w:val="002A04AA"/>
    <w:rsid w:val="002A04C8"/>
    <w:rsid w:val="002A07F6"/>
    <w:rsid w:val="002A0829"/>
    <w:rsid w:val="002A0842"/>
    <w:rsid w:val="002A0921"/>
    <w:rsid w:val="002A09DB"/>
    <w:rsid w:val="002A09E2"/>
    <w:rsid w:val="002A0C15"/>
    <w:rsid w:val="002A1098"/>
    <w:rsid w:val="002A113E"/>
    <w:rsid w:val="002A1160"/>
    <w:rsid w:val="002A1582"/>
    <w:rsid w:val="002A159F"/>
    <w:rsid w:val="002A15DD"/>
    <w:rsid w:val="002A1653"/>
    <w:rsid w:val="002A1747"/>
    <w:rsid w:val="002A1956"/>
    <w:rsid w:val="002A19FB"/>
    <w:rsid w:val="002A1AB1"/>
    <w:rsid w:val="002A1BFC"/>
    <w:rsid w:val="002A1C56"/>
    <w:rsid w:val="002A1D33"/>
    <w:rsid w:val="002A1E7C"/>
    <w:rsid w:val="002A1E85"/>
    <w:rsid w:val="002A1EC3"/>
    <w:rsid w:val="002A2093"/>
    <w:rsid w:val="002A2163"/>
    <w:rsid w:val="002A2260"/>
    <w:rsid w:val="002A26AB"/>
    <w:rsid w:val="002A26F7"/>
    <w:rsid w:val="002A2718"/>
    <w:rsid w:val="002A2A8F"/>
    <w:rsid w:val="002A2C3B"/>
    <w:rsid w:val="002A2E0C"/>
    <w:rsid w:val="002A2E21"/>
    <w:rsid w:val="002A2E23"/>
    <w:rsid w:val="002A305B"/>
    <w:rsid w:val="002A30EE"/>
    <w:rsid w:val="002A317F"/>
    <w:rsid w:val="002A3399"/>
    <w:rsid w:val="002A33A9"/>
    <w:rsid w:val="002A33ED"/>
    <w:rsid w:val="002A3640"/>
    <w:rsid w:val="002A38F0"/>
    <w:rsid w:val="002A3922"/>
    <w:rsid w:val="002A3AE9"/>
    <w:rsid w:val="002A3B04"/>
    <w:rsid w:val="002A3BAA"/>
    <w:rsid w:val="002A410A"/>
    <w:rsid w:val="002A43C0"/>
    <w:rsid w:val="002A4561"/>
    <w:rsid w:val="002A4762"/>
    <w:rsid w:val="002A4A5A"/>
    <w:rsid w:val="002A4B25"/>
    <w:rsid w:val="002A4C31"/>
    <w:rsid w:val="002A4C7A"/>
    <w:rsid w:val="002A4D4C"/>
    <w:rsid w:val="002A4DD3"/>
    <w:rsid w:val="002A5236"/>
    <w:rsid w:val="002A553D"/>
    <w:rsid w:val="002A5544"/>
    <w:rsid w:val="002A55B8"/>
    <w:rsid w:val="002A57E6"/>
    <w:rsid w:val="002A58EE"/>
    <w:rsid w:val="002A591D"/>
    <w:rsid w:val="002A598B"/>
    <w:rsid w:val="002A5B2E"/>
    <w:rsid w:val="002A5D7D"/>
    <w:rsid w:val="002A5E21"/>
    <w:rsid w:val="002A5E9A"/>
    <w:rsid w:val="002A609E"/>
    <w:rsid w:val="002A6135"/>
    <w:rsid w:val="002A61C2"/>
    <w:rsid w:val="002A6277"/>
    <w:rsid w:val="002A62AD"/>
    <w:rsid w:val="002A6560"/>
    <w:rsid w:val="002A65ED"/>
    <w:rsid w:val="002A6659"/>
    <w:rsid w:val="002A66E0"/>
    <w:rsid w:val="002A6BE7"/>
    <w:rsid w:val="002A6EDF"/>
    <w:rsid w:val="002A6EE7"/>
    <w:rsid w:val="002A7284"/>
    <w:rsid w:val="002A7298"/>
    <w:rsid w:val="002A734B"/>
    <w:rsid w:val="002A73D6"/>
    <w:rsid w:val="002A74D3"/>
    <w:rsid w:val="002A78B1"/>
    <w:rsid w:val="002B00BF"/>
    <w:rsid w:val="002B0271"/>
    <w:rsid w:val="002B02A7"/>
    <w:rsid w:val="002B0564"/>
    <w:rsid w:val="002B058D"/>
    <w:rsid w:val="002B05FA"/>
    <w:rsid w:val="002B0777"/>
    <w:rsid w:val="002B08D8"/>
    <w:rsid w:val="002B0AF8"/>
    <w:rsid w:val="002B0C41"/>
    <w:rsid w:val="002B0C5D"/>
    <w:rsid w:val="002B0C75"/>
    <w:rsid w:val="002B0FFE"/>
    <w:rsid w:val="002B12BC"/>
    <w:rsid w:val="002B1384"/>
    <w:rsid w:val="002B149C"/>
    <w:rsid w:val="002B159F"/>
    <w:rsid w:val="002B1839"/>
    <w:rsid w:val="002B18E3"/>
    <w:rsid w:val="002B1E27"/>
    <w:rsid w:val="002B1E86"/>
    <w:rsid w:val="002B1E8E"/>
    <w:rsid w:val="002B2074"/>
    <w:rsid w:val="002B21A2"/>
    <w:rsid w:val="002B22B0"/>
    <w:rsid w:val="002B25E3"/>
    <w:rsid w:val="002B26F8"/>
    <w:rsid w:val="002B271D"/>
    <w:rsid w:val="002B2832"/>
    <w:rsid w:val="002B2916"/>
    <w:rsid w:val="002B2942"/>
    <w:rsid w:val="002B2BF0"/>
    <w:rsid w:val="002B2F60"/>
    <w:rsid w:val="002B30AF"/>
    <w:rsid w:val="002B32BB"/>
    <w:rsid w:val="002B3397"/>
    <w:rsid w:val="002B368A"/>
    <w:rsid w:val="002B392E"/>
    <w:rsid w:val="002B3A8B"/>
    <w:rsid w:val="002B3B6B"/>
    <w:rsid w:val="002B3F94"/>
    <w:rsid w:val="002B4027"/>
    <w:rsid w:val="002B43D9"/>
    <w:rsid w:val="002B44E0"/>
    <w:rsid w:val="002B46E4"/>
    <w:rsid w:val="002B4C25"/>
    <w:rsid w:val="002B4C6C"/>
    <w:rsid w:val="002B4CDD"/>
    <w:rsid w:val="002B4DF4"/>
    <w:rsid w:val="002B4E7A"/>
    <w:rsid w:val="002B5195"/>
    <w:rsid w:val="002B5274"/>
    <w:rsid w:val="002B5312"/>
    <w:rsid w:val="002B5562"/>
    <w:rsid w:val="002B5782"/>
    <w:rsid w:val="002B5882"/>
    <w:rsid w:val="002B58CB"/>
    <w:rsid w:val="002B5A32"/>
    <w:rsid w:val="002B5A88"/>
    <w:rsid w:val="002B5B0F"/>
    <w:rsid w:val="002B60EE"/>
    <w:rsid w:val="002B63E3"/>
    <w:rsid w:val="002B65D4"/>
    <w:rsid w:val="002B66A7"/>
    <w:rsid w:val="002B6707"/>
    <w:rsid w:val="002B6AE9"/>
    <w:rsid w:val="002B6B21"/>
    <w:rsid w:val="002B6CA7"/>
    <w:rsid w:val="002B6F97"/>
    <w:rsid w:val="002B6FF2"/>
    <w:rsid w:val="002B7099"/>
    <w:rsid w:val="002B741F"/>
    <w:rsid w:val="002B7826"/>
    <w:rsid w:val="002B7946"/>
    <w:rsid w:val="002B7983"/>
    <w:rsid w:val="002B7A1A"/>
    <w:rsid w:val="002B7AA5"/>
    <w:rsid w:val="002B7DA3"/>
    <w:rsid w:val="002B7DF1"/>
    <w:rsid w:val="002B7F6B"/>
    <w:rsid w:val="002C0284"/>
    <w:rsid w:val="002C02C2"/>
    <w:rsid w:val="002C0600"/>
    <w:rsid w:val="002C06D7"/>
    <w:rsid w:val="002C07AE"/>
    <w:rsid w:val="002C0C07"/>
    <w:rsid w:val="002C0DCB"/>
    <w:rsid w:val="002C0F6D"/>
    <w:rsid w:val="002C124E"/>
    <w:rsid w:val="002C131D"/>
    <w:rsid w:val="002C1735"/>
    <w:rsid w:val="002C175B"/>
    <w:rsid w:val="002C1AC4"/>
    <w:rsid w:val="002C1C50"/>
    <w:rsid w:val="002C21A6"/>
    <w:rsid w:val="002C2248"/>
    <w:rsid w:val="002C236A"/>
    <w:rsid w:val="002C246F"/>
    <w:rsid w:val="002C261E"/>
    <w:rsid w:val="002C2809"/>
    <w:rsid w:val="002C2871"/>
    <w:rsid w:val="002C2A56"/>
    <w:rsid w:val="002C2B8E"/>
    <w:rsid w:val="002C2E5E"/>
    <w:rsid w:val="002C2E95"/>
    <w:rsid w:val="002C2FBC"/>
    <w:rsid w:val="002C3102"/>
    <w:rsid w:val="002C31BB"/>
    <w:rsid w:val="002C32D8"/>
    <w:rsid w:val="002C3436"/>
    <w:rsid w:val="002C34D6"/>
    <w:rsid w:val="002C3500"/>
    <w:rsid w:val="002C3703"/>
    <w:rsid w:val="002C395F"/>
    <w:rsid w:val="002C39AD"/>
    <w:rsid w:val="002C3A57"/>
    <w:rsid w:val="002C3EDF"/>
    <w:rsid w:val="002C3F44"/>
    <w:rsid w:val="002C4515"/>
    <w:rsid w:val="002C45C4"/>
    <w:rsid w:val="002C45FA"/>
    <w:rsid w:val="002C4649"/>
    <w:rsid w:val="002C4819"/>
    <w:rsid w:val="002C485F"/>
    <w:rsid w:val="002C4A0F"/>
    <w:rsid w:val="002C4A21"/>
    <w:rsid w:val="002C4B01"/>
    <w:rsid w:val="002C4B42"/>
    <w:rsid w:val="002C4C54"/>
    <w:rsid w:val="002C4CB9"/>
    <w:rsid w:val="002C4FF7"/>
    <w:rsid w:val="002C5213"/>
    <w:rsid w:val="002C538F"/>
    <w:rsid w:val="002C5463"/>
    <w:rsid w:val="002C5541"/>
    <w:rsid w:val="002C58DE"/>
    <w:rsid w:val="002C5C91"/>
    <w:rsid w:val="002C5CAA"/>
    <w:rsid w:val="002C5CBE"/>
    <w:rsid w:val="002C5E08"/>
    <w:rsid w:val="002C5FAD"/>
    <w:rsid w:val="002C607A"/>
    <w:rsid w:val="002C60CE"/>
    <w:rsid w:val="002C60D3"/>
    <w:rsid w:val="002C626C"/>
    <w:rsid w:val="002C6528"/>
    <w:rsid w:val="002C6549"/>
    <w:rsid w:val="002C6807"/>
    <w:rsid w:val="002C69AD"/>
    <w:rsid w:val="002C705C"/>
    <w:rsid w:val="002C72AA"/>
    <w:rsid w:val="002C762C"/>
    <w:rsid w:val="002C77DE"/>
    <w:rsid w:val="002C7843"/>
    <w:rsid w:val="002C7BBA"/>
    <w:rsid w:val="002D0080"/>
    <w:rsid w:val="002D03C6"/>
    <w:rsid w:val="002D0583"/>
    <w:rsid w:val="002D05D5"/>
    <w:rsid w:val="002D05E8"/>
    <w:rsid w:val="002D0698"/>
    <w:rsid w:val="002D0A7E"/>
    <w:rsid w:val="002D0F9E"/>
    <w:rsid w:val="002D1673"/>
    <w:rsid w:val="002D18FA"/>
    <w:rsid w:val="002D1A31"/>
    <w:rsid w:val="002D1A55"/>
    <w:rsid w:val="002D1C97"/>
    <w:rsid w:val="002D1E1A"/>
    <w:rsid w:val="002D1EB9"/>
    <w:rsid w:val="002D1EF3"/>
    <w:rsid w:val="002D2118"/>
    <w:rsid w:val="002D2179"/>
    <w:rsid w:val="002D225C"/>
    <w:rsid w:val="002D22B4"/>
    <w:rsid w:val="002D22C0"/>
    <w:rsid w:val="002D23F8"/>
    <w:rsid w:val="002D2614"/>
    <w:rsid w:val="002D261C"/>
    <w:rsid w:val="002D2763"/>
    <w:rsid w:val="002D319F"/>
    <w:rsid w:val="002D3410"/>
    <w:rsid w:val="002D3427"/>
    <w:rsid w:val="002D34E5"/>
    <w:rsid w:val="002D3607"/>
    <w:rsid w:val="002D391B"/>
    <w:rsid w:val="002D3A1F"/>
    <w:rsid w:val="002D3C0B"/>
    <w:rsid w:val="002D4008"/>
    <w:rsid w:val="002D4200"/>
    <w:rsid w:val="002D432A"/>
    <w:rsid w:val="002D4615"/>
    <w:rsid w:val="002D4637"/>
    <w:rsid w:val="002D463A"/>
    <w:rsid w:val="002D4804"/>
    <w:rsid w:val="002D4A02"/>
    <w:rsid w:val="002D4A03"/>
    <w:rsid w:val="002D4B45"/>
    <w:rsid w:val="002D4D09"/>
    <w:rsid w:val="002D4D42"/>
    <w:rsid w:val="002D4D7F"/>
    <w:rsid w:val="002D5194"/>
    <w:rsid w:val="002D51CA"/>
    <w:rsid w:val="002D5371"/>
    <w:rsid w:val="002D5519"/>
    <w:rsid w:val="002D578D"/>
    <w:rsid w:val="002D57EB"/>
    <w:rsid w:val="002D5A68"/>
    <w:rsid w:val="002D5B9F"/>
    <w:rsid w:val="002D5BE4"/>
    <w:rsid w:val="002D5C4B"/>
    <w:rsid w:val="002D5CB1"/>
    <w:rsid w:val="002D5F96"/>
    <w:rsid w:val="002D6102"/>
    <w:rsid w:val="002D61B3"/>
    <w:rsid w:val="002D6334"/>
    <w:rsid w:val="002D6382"/>
    <w:rsid w:val="002D64AB"/>
    <w:rsid w:val="002D6562"/>
    <w:rsid w:val="002D69CF"/>
    <w:rsid w:val="002D69D6"/>
    <w:rsid w:val="002D6D86"/>
    <w:rsid w:val="002D7001"/>
    <w:rsid w:val="002D73C1"/>
    <w:rsid w:val="002D7443"/>
    <w:rsid w:val="002D7751"/>
    <w:rsid w:val="002D7773"/>
    <w:rsid w:val="002D7827"/>
    <w:rsid w:val="002D7BE7"/>
    <w:rsid w:val="002D7CDF"/>
    <w:rsid w:val="002D7DA1"/>
    <w:rsid w:val="002E001F"/>
    <w:rsid w:val="002E0029"/>
    <w:rsid w:val="002E01FE"/>
    <w:rsid w:val="002E0213"/>
    <w:rsid w:val="002E02AA"/>
    <w:rsid w:val="002E02B3"/>
    <w:rsid w:val="002E02E2"/>
    <w:rsid w:val="002E05B1"/>
    <w:rsid w:val="002E05E3"/>
    <w:rsid w:val="002E06D0"/>
    <w:rsid w:val="002E0707"/>
    <w:rsid w:val="002E08A3"/>
    <w:rsid w:val="002E0B04"/>
    <w:rsid w:val="002E0ECF"/>
    <w:rsid w:val="002E0F62"/>
    <w:rsid w:val="002E0FC0"/>
    <w:rsid w:val="002E100E"/>
    <w:rsid w:val="002E1194"/>
    <w:rsid w:val="002E128E"/>
    <w:rsid w:val="002E144E"/>
    <w:rsid w:val="002E1470"/>
    <w:rsid w:val="002E1898"/>
    <w:rsid w:val="002E1C00"/>
    <w:rsid w:val="002E1CB0"/>
    <w:rsid w:val="002E1CEA"/>
    <w:rsid w:val="002E1EA8"/>
    <w:rsid w:val="002E1FBF"/>
    <w:rsid w:val="002E2079"/>
    <w:rsid w:val="002E22A2"/>
    <w:rsid w:val="002E250A"/>
    <w:rsid w:val="002E2888"/>
    <w:rsid w:val="002E2BBA"/>
    <w:rsid w:val="002E2C16"/>
    <w:rsid w:val="002E2DE0"/>
    <w:rsid w:val="002E2E09"/>
    <w:rsid w:val="002E2E5A"/>
    <w:rsid w:val="002E30B0"/>
    <w:rsid w:val="002E3383"/>
    <w:rsid w:val="002E37EF"/>
    <w:rsid w:val="002E3B3E"/>
    <w:rsid w:val="002E3DD0"/>
    <w:rsid w:val="002E406C"/>
    <w:rsid w:val="002E4116"/>
    <w:rsid w:val="002E42A3"/>
    <w:rsid w:val="002E466F"/>
    <w:rsid w:val="002E46FE"/>
    <w:rsid w:val="002E48B0"/>
    <w:rsid w:val="002E4A3F"/>
    <w:rsid w:val="002E4D85"/>
    <w:rsid w:val="002E4DD6"/>
    <w:rsid w:val="002E4E14"/>
    <w:rsid w:val="002E4E89"/>
    <w:rsid w:val="002E4FF0"/>
    <w:rsid w:val="002E506E"/>
    <w:rsid w:val="002E5128"/>
    <w:rsid w:val="002E534A"/>
    <w:rsid w:val="002E5569"/>
    <w:rsid w:val="002E5617"/>
    <w:rsid w:val="002E5831"/>
    <w:rsid w:val="002E59E6"/>
    <w:rsid w:val="002E59FE"/>
    <w:rsid w:val="002E5A99"/>
    <w:rsid w:val="002E5D19"/>
    <w:rsid w:val="002E61A3"/>
    <w:rsid w:val="002E65A6"/>
    <w:rsid w:val="002E65E7"/>
    <w:rsid w:val="002E6808"/>
    <w:rsid w:val="002E6854"/>
    <w:rsid w:val="002E68AA"/>
    <w:rsid w:val="002E691B"/>
    <w:rsid w:val="002E696F"/>
    <w:rsid w:val="002E69EB"/>
    <w:rsid w:val="002E6D13"/>
    <w:rsid w:val="002E6F2D"/>
    <w:rsid w:val="002E7277"/>
    <w:rsid w:val="002E7364"/>
    <w:rsid w:val="002E74C5"/>
    <w:rsid w:val="002E7760"/>
    <w:rsid w:val="002E7826"/>
    <w:rsid w:val="002E7869"/>
    <w:rsid w:val="002E79C6"/>
    <w:rsid w:val="002E7E75"/>
    <w:rsid w:val="002E7FFB"/>
    <w:rsid w:val="002F01E1"/>
    <w:rsid w:val="002F03E9"/>
    <w:rsid w:val="002F05F7"/>
    <w:rsid w:val="002F0810"/>
    <w:rsid w:val="002F0977"/>
    <w:rsid w:val="002F0F9C"/>
    <w:rsid w:val="002F1174"/>
    <w:rsid w:val="002F14D2"/>
    <w:rsid w:val="002F161E"/>
    <w:rsid w:val="002F1752"/>
    <w:rsid w:val="002F175D"/>
    <w:rsid w:val="002F1AAE"/>
    <w:rsid w:val="002F1B2A"/>
    <w:rsid w:val="002F1B50"/>
    <w:rsid w:val="002F1C69"/>
    <w:rsid w:val="002F1C70"/>
    <w:rsid w:val="002F1CCF"/>
    <w:rsid w:val="002F1CFA"/>
    <w:rsid w:val="002F1D31"/>
    <w:rsid w:val="002F1D47"/>
    <w:rsid w:val="002F205E"/>
    <w:rsid w:val="002F20BF"/>
    <w:rsid w:val="002F21DE"/>
    <w:rsid w:val="002F229D"/>
    <w:rsid w:val="002F25C7"/>
    <w:rsid w:val="002F2A9C"/>
    <w:rsid w:val="002F2C08"/>
    <w:rsid w:val="002F2C20"/>
    <w:rsid w:val="002F2DEC"/>
    <w:rsid w:val="002F3005"/>
    <w:rsid w:val="002F31E9"/>
    <w:rsid w:val="002F34CB"/>
    <w:rsid w:val="002F360E"/>
    <w:rsid w:val="002F37F7"/>
    <w:rsid w:val="002F3A4C"/>
    <w:rsid w:val="002F3CC0"/>
    <w:rsid w:val="002F3DA2"/>
    <w:rsid w:val="002F3EB5"/>
    <w:rsid w:val="002F4042"/>
    <w:rsid w:val="002F4048"/>
    <w:rsid w:val="002F41A2"/>
    <w:rsid w:val="002F42C4"/>
    <w:rsid w:val="002F44D9"/>
    <w:rsid w:val="002F492E"/>
    <w:rsid w:val="002F4984"/>
    <w:rsid w:val="002F4B41"/>
    <w:rsid w:val="002F4D31"/>
    <w:rsid w:val="002F4D4E"/>
    <w:rsid w:val="002F5707"/>
    <w:rsid w:val="002F5D35"/>
    <w:rsid w:val="002F6132"/>
    <w:rsid w:val="002F61AB"/>
    <w:rsid w:val="002F6538"/>
    <w:rsid w:val="002F65BD"/>
    <w:rsid w:val="002F68C4"/>
    <w:rsid w:val="002F69B0"/>
    <w:rsid w:val="002F6A2E"/>
    <w:rsid w:val="002F6AE2"/>
    <w:rsid w:val="002F6C8A"/>
    <w:rsid w:val="002F6F0B"/>
    <w:rsid w:val="002F6F63"/>
    <w:rsid w:val="002F70B1"/>
    <w:rsid w:val="002F7158"/>
    <w:rsid w:val="002F7270"/>
    <w:rsid w:val="002F780A"/>
    <w:rsid w:val="002F789F"/>
    <w:rsid w:val="002F7C7A"/>
    <w:rsid w:val="002F7D59"/>
    <w:rsid w:val="002F7E9C"/>
    <w:rsid w:val="00300139"/>
    <w:rsid w:val="00300293"/>
    <w:rsid w:val="0030029B"/>
    <w:rsid w:val="00300393"/>
    <w:rsid w:val="003003C5"/>
    <w:rsid w:val="00300850"/>
    <w:rsid w:val="0030095B"/>
    <w:rsid w:val="00300BA6"/>
    <w:rsid w:val="00300C2A"/>
    <w:rsid w:val="00300EDE"/>
    <w:rsid w:val="00301051"/>
    <w:rsid w:val="003010F6"/>
    <w:rsid w:val="003012C5"/>
    <w:rsid w:val="00301500"/>
    <w:rsid w:val="0030152E"/>
    <w:rsid w:val="003015EE"/>
    <w:rsid w:val="00301753"/>
    <w:rsid w:val="00301785"/>
    <w:rsid w:val="0030182F"/>
    <w:rsid w:val="00301B6A"/>
    <w:rsid w:val="00302185"/>
    <w:rsid w:val="00302259"/>
    <w:rsid w:val="0030225C"/>
    <w:rsid w:val="003023B2"/>
    <w:rsid w:val="00302486"/>
    <w:rsid w:val="003024B7"/>
    <w:rsid w:val="003024BC"/>
    <w:rsid w:val="003025CB"/>
    <w:rsid w:val="003027C6"/>
    <w:rsid w:val="0030280F"/>
    <w:rsid w:val="0030295E"/>
    <w:rsid w:val="00302B36"/>
    <w:rsid w:val="00302E72"/>
    <w:rsid w:val="0030308A"/>
    <w:rsid w:val="003031E6"/>
    <w:rsid w:val="0030333D"/>
    <w:rsid w:val="00303514"/>
    <w:rsid w:val="0030358F"/>
    <w:rsid w:val="00303705"/>
    <w:rsid w:val="00303872"/>
    <w:rsid w:val="00303878"/>
    <w:rsid w:val="0030387E"/>
    <w:rsid w:val="00303A74"/>
    <w:rsid w:val="00303AC1"/>
    <w:rsid w:val="00303AC3"/>
    <w:rsid w:val="00303CF5"/>
    <w:rsid w:val="00303D95"/>
    <w:rsid w:val="003040B4"/>
    <w:rsid w:val="003040E3"/>
    <w:rsid w:val="003040EC"/>
    <w:rsid w:val="003040FB"/>
    <w:rsid w:val="00304164"/>
    <w:rsid w:val="003042A7"/>
    <w:rsid w:val="0030448C"/>
    <w:rsid w:val="003048A2"/>
    <w:rsid w:val="00304918"/>
    <w:rsid w:val="00304B10"/>
    <w:rsid w:val="00304C20"/>
    <w:rsid w:val="00304D2E"/>
    <w:rsid w:val="00304F03"/>
    <w:rsid w:val="00304F46"/>
    <w:rsid w:val="00305060"/>
    <w:rsid w:val="003050DA"/>
    <w:rsid w:val="003052CA"/>
    <w:rsid w:val="003054E8"/>
    <w:rsid w:val="003054FC"/>
    <w:rsid w:val="003056F9"/>
    <w:rsid w:val="00305719"/>
    <w:rsid w:val="00305A24"/>
    <w:rsid w:val="00305DD7"/>
    <w:rsid w:val="00305F7C"/>
    <w:rsid w:val="0030611B"/>
    <w:rsid w:val="0030628D"/>
    <w:rsid w:val="003062F1"/>
    <w:rsid w:val="003063DA"/>
    <w:rsid w:val="00306A7B"/>
    <w:rsid w:val="00306B20"/>
    <w:rsid w:val="00306B52"/>
    <w:rsid w:val="00306C3B"/>
    <w:rsid w:val="00306CCC"/>
    <w:rsid w:val="00306E30"/>
    <w:rsid w:val="00306F92"/>
    <w:rsid w:val="00307056"/>
    <w:rsid w:val="003072A6"/>
    <w:rsid w:val="003078C0"/>
    <w:rsid w:val="00307A2D"/>
    <w:rsid w:val="00307D0A"/>
    <w:rsid w:val="00307D3A"/>
    <w:rsid w:val="00307E8A"/>
    <w:rsid w:val="00307EC9"/>
    <w:rsid w:val="00307F63"/>
    <w:rsid w:val="00307F68"/>
    <w:rsid w:val="003100E9"/>
    <w:rsid w:val="0031025A"/>
    <w:rsid w:val="00310366"/>
    <w:rsid w:val="003103B2"/>
    <w:rsid w:val="00310409"/>
    <w:rsid w:val="00310410"/>
    <w:rsid w:val="00310662"/>
    <w:rsid w:val="0031068E"/>
    <w:rsid w:val="00310819"/>
    <w:rsid w:val="003108C7"/>
    <w:rsid w:val="00310953"/>
    <w:rsid w:val="00310AB5"/>
    <w:rsid w:val="00310E24"/>
    <w:rsid w:val="00310EA8"/>
    <w:rsid w:val="00311206"/>
    <w:rsid w:val="0031129D"/>
    <w:rsid w:val="00311397"/>
    <w:rsid w:val="00311629"/>
    <w:rsid w:val="0031175A"/>
    <w:rsid w:val="00311804"/>
    <w:rsid w:val="0031187B"/>
    <w:rsid w:val="00311AA2"/>
    <w:rsid w:val="00311AE2"/>
    <w:rsid w:val="00311B61"/>
    <w:rsid w:val="00311D77"/>
    <w:rsid w:val="0031201C"/>
    <w:rsid w:val="003120B5"/>
    <w:rsid w:val="00312155"/>
    <w:rsid w:val="0031219A"/>
    <w:rsid w:val="00312783"/>
    <w:rsid w:val="00312B72"/>
    <w:rsid w:val="0031302E"/>
    <w:rsid w:val="0031308C"/>
    <w:rsid w:val="003134BC"/>
    <w:rsid w:val="0031374B"/>
    <w:rsid w:val="0031379A"/>
    <w:rsid w:val="00313874"/>
    <w:rsid w:val="00313C65"/>
    <w:rsid w:val="00313D4A"/>
    <w:rsid w:val="00313F04"/>
    <w:rsid w:val="00313F6B"/>
    <w:rsid w:val="00314034"/>
    <w:rsid w:val="003140DD"/>
    <w:rsid w:val="003141AB"/>
    <w:rsid w:val="003141EF"/>
    <w:rsid w:val="003142F1"/>
    <w:rsid w:val="00314452"/>
    <w:rsid w:val="00314893"/>
    <w:rsid w:val="00314A1E"/>
    <w:rsid w:val="00314B89"/>
    <w:rsid w:val="00314BAC"/>
    <w:rsid w:val="00314D63"/>
    <w:rsid w:val="00314D81"/>
    <w:rsid w:val="00314E86"/>
    <w:rsid w:val="00314EB2"/>
    <w:rsid w:val="003152D3"/>
    <w:rsid w:val="00315602"/>
    <w:rsid w:val="003157A7"/>
    <w:rsid w:val="00315A02"/>
    <w:rsid w:val="00315B39"/>
    <w:rsid w:val="00315BD1"/>
    <w:rsid w:val="00315C11"/>
    <w:rsid w:val="00315C1B"/>
    <w:rsid w:val="00315C60"/>
    <w:rsid w:val="00315CB0"/>
    <w:rsid w:val="00316423"/>
    <w:rsid w:val="0031642C"/>
    <w:rsid w:val="003166D6"/>
    <w:rsid w:val="003166DC"/>
    <w:rsid w:val="003166F8"/>
    <w:rsid w:val="0031690F"/>
    <w:rsid w:val="00316911"/>
    <w:rsid w:val="003169C2"/>
    <w:rsid w:val="00316CE5"/>
    <w:rsid w:val="00316CF4"/>
    <w:rsid w:val="00316CFA"/>
    <w:rsid w:val="00316F28"/>
    <w:rsid w:val="0031706E"/>
    <w:rsid w:val="003171B4"/>
    <w:rsid w:val="0031720A"/>
    <w:rsid w:val="0031725D"/>
    <w:rsid w:val="003172D4"/>
    <w:rsid w:val="0031748B"/>
    <w:rsid w:val="0031764A"/>
    <w:rsid w:val="003177A0"/>
    <w:rsid w:val="00317C6B"/>
    <w:rsid w:val="00317F9E"/>
    <w:rsid w:val="003200CD"/>
    <w:rsid w:val="00320355"/>
    <w:rsid w:val="0032045F"/>
    <w:rsid w:val="00320647"/>
    <w:rsid w:val="003206A3"/>
    <w:rsid w:val="003208D0"/>
    <w:rsid w:val="003209C8"/>
    <w:rsid w:val="003209E8"/>
    <w:rsid w:val="00320A92"/>
    <w:rsid w:val="00321038"/>
    <w:rsid w:val="00321141"/>
    <w:rsid w:val="00321191"/>
    <w:rsid w:val="0032127B"/>
    <w:rsid w:val="00321286"/>
    <w:rsid w:val="00321345"/>
    <w:rsid w:val="00321419"/>
    <w:rsid w:val="0032147E"/>
    <w:rsid w:val="003214CB"/>
    <w:rsid w:val="003214EE"/>
    <w:rsid w:val="00321918"/>
    <w:rsid w:val="00321B25"/>
    <w:rsid w:val="00321CAF"/>
    <w:rsid w:val="00321D63"/>
    <w:rsid w:val="0032214D"/>
    <w:rsid w:val="00322252"/>
    <w:rsid w:val="003229A7"/>
    <w:rsid w:val="00322B47"/>
    <w:rsid w:val="00322F4F"/>
    <w:rsid w:val="00323039"/>
    <w:rsid w:val="0032325C"/>
    <w:rsid w:val="0032325F"/>
    <w:rsid w:val="003235A7"/>
    <w:rsid w:val="0032365A"/>
    <w:rsid w:val="00323767"/>
    <w:rsid w:val="00323824"/>
    <w:rsid w:val="00323AD8"/>
    <w:rsid w:val="00323BBF"/>
    <w:rsid w:val="00323C1B"/>
    <w:rsid w:val="00323C4E"/>
    <w:rsid w:val="00323CB9"/>
    <w:rsid w:val="00323E32"/>
    <w:rsid w:val="00323EA9"/>
    <w:rsid w:val="00323EBA"/>
    <w:rsid w:val="00323FAF"/>
    <w:rsid w:val="0032418B"/>
    <w:rsid w:val="00324408"/>
    <w:rsid w:val="003244B1"/>
    <w:rsid w:val="003244FF"/>
    <w:rsid w:val="00324774"/>
    <w:rsid w:val="00324888"/>
    <w:rsid w:val="00324CD2"/>
    <w:rsid w:val="00324DEB"/>
    <w:rsid w:val="0032517E"/>
    <w:rsid w:val="003251AD"/>
    <w:rsid w:val="003251EE"/>
    <w:rsid w:val="003252AF"/>
    <w:rsid w:val="003255C9"/>
    <w:rsid w:val="00325786"/>
    <w:rsid w:val="00325A9B"/>
    <w:rsid w:val="00325B61"/>
    <w:rsid w:val="00325CCE"/>
    <w:rsid w:val="00325D33"/>
    <w:rsid w:val="00325D6F"/>
    <w:rsid w:val="00325DB9"/>
    <w:rsid w:val="00325DCD"/>
    <w:rsid w:val="003261AA"/>
    <w:rsid w:val="00326209"/>
    <w:rsid w:val="003262C0"/>
    <w:rsid w:val="003262EC"/>
    <w:rsid w:val="0032640D"/>
    <w:rsid w:val="00326614"/>
    <w:rsid w:val="0032665C"/>
    <w:rsid w:val="003266CC"/>
    <w:rsid w:val="0032670D"/>
    <w:rsid w:val="0032684D"/>
    <w:rsid w:val="003268EB"/>
    <w:rsid w:val="00326967"/>
    <w:rsid w:val="00326B11"/>
    <w:rsid w:val="00326BC4"/>
    <w:rsid w:val="00326CE9"/>
    <w:rsid w:val="00326F2A"/>
    <w:rsid w:val="00327145"/>
    <w:rsid w:val="003276B5"/>
    <w:rsid w:val="003277E2"/>
    <w:rsid w:val="00327802"/>
    <w:rsid w:val="003279A5"/>
    <w:rsid w:val="00327A22"/>
    <w:rsid w:val="00327AED"/>
    <w:rsid w:val="00327B44"/>
    <w:rsid w:val="00327C16"/>
    <w:rsid w:val="00327CB7"/>
    <w:rsid w:val="00327D88"/>
    <w:rsid w:val="003300BE"/>
    <w:rsid w:val="003300E9"/>
    <w:rsid w:val="00330123"/>
    <w:rsid w:val="00330279"/>
    <w:rsid w:val="003302DF"/>
    <w:rsid w:val="0033033A"/>
    <w:rsid w:val="00330450"/>
    <w:rsid w:val="00330592"/>
    <w:rsid w:val="003305D8"/>
    <w:rsid w:val="003305DA"/>
    <w:rsid w:val="00330914"/>
    <w:rsid w:val="00330971"/>
    <w:rsid w:val="00330B2A"/>
    <w:rsid w:val="00330BAF"/>
    <w:rsid w:val="00330DA8"/>
    <w:rsid w:val="00330F1A"/>
    <w:rsid w:val="003313A7"/>
    <w:rsid w:val="003315EE"/>
    <w:rsid w:val="003316F0"/>
    <w:rsid w:val="0033170D"/>
    <w:rsid w:val="003319B2"/>
    <w:rsid w:val="00331A73"/>
    <w:rsid w:val="00331B3C"/>
    <w:rsid w:val="00331BE4"/>
    <w:rsid w:val="00331DE7"/>
    <w:rsid w:val="00331DEC"/>
    <w:rsid w:val="00331F49"/>
    <w:rsid w:val="00332196"/>
    <w:rsid w:val="00332277"/>
    <w:rsid w:val="003323CF"/>
    <w:rsid w:val="003324A3"/>
    <w:rsid w:val="003326AC"/>
    <w:rsid w:val="003329B9"/>
    <w:rsid w:val="00332D2C"/>
    <w:rsid w:val="003333F5"/>
    <w:rsid w:val="0033344A"/>
    <w:rsid w:val="00333A07"/>
    <w:rsid w:val="00333A47"/>
    <w:rsid w:val="00333AE3"/>
    <w:rsid w:val="00333C2D"/>
    <w:rsid w:val="00333E3C"/>
    <w:rsid w:val="00334204"/>
    <w:rsid w:val="0033436F"/>
    <w:rsid w:val="00334486"/>
    <w:rsid w:val="003347AE"/>
    <w:rsid w:val="00334907"/>
    <w:rsid w:val="00334B23"/>
    <w:rsid w:val="00334B7E"/>
    <w:rsid w:val="00334C65"/>
    <w:rsid w:val="00334CA6"/>
    <w:rsid w:val="0033517C"/>
    <w:rsid w:val="0033517E"/>
    <w:rsid w:val="0033531D"/>
    <w:rsid w:val="0033531F"/>
    <w:rsid w:val="00335617"/>
    <w:rsid w:val="003356BE"/>
    <w:rsid w:val="003356E6"/>
    <w:rsid w:val="00335790"/>
    <w:rsid w:val="00335843"/>
    <w:rsid w:val="00335905"/>
    <w:rsid w:val="00335AFA"/>
    <w:rsid w:val="00335B3E"/>
    <w:rsid w:val="00335C44"/>
    <w:rsid w:val="00335D31"/>
    <w:rsid w:val="00335E46"/>
    <w:rsid w:val="00335F5B"/>
    <w:rsid w:val="00336014"/>
    <w:rsid w:val="00336176"/>
    <w:rsid w:val="00336294"/>
    <w:rsid w:val="003363D1"/>
    <w:rsid w:val="00336415"/>
    <w:rsid w:val="003368F8"/>
    <w:rsid w:val="003369EE"/>
    <w:rsid w:val="00336B52"/>
    <w:rsid w:val="00336C31"/>
    <w:rsid w:val="00337035"/>
    <w:rsid w:val="003370EF"/>
    <w:rsid w:val="003370FF"/>
    <w:rsid w:val="00337177"/>
    <w:rsid w:val="003371FE"/>
    <w:rsid w:val="003373A2"/>
    <w:rsid w:val="003377C6"/>
    <w:rsid w:val="00337808"/>
    <w:rsid w:val="003378E9"/>
    <w:rsid w:val="00337D96"/>
    <w:rsid w:val="00337EA0"/>
    <w:rsid w:val="0034011A"/>
    <w:rsid w:val="00340264"/>
    <w:rsid w:val="00340358"/>
    <w:rsid w:val="0034055B"/>
    <w:rsid w:val="00340637"/>
    <w:rsid w:val="00340762"/>
    <w:rsid w:val="0034079B"/>
    <w:rsid w:val="003409D7"/>
    <w:rsid w:val="00340DBA"/>
    <w:rsid w:val="00340ECF"/>
    <w:rsid w:val="00341015"/>
    <w:rsid w:val="0034107F"/>
    <w:rsid w:val="003411F0"/>
    <w:rsid w:val="00341333"/>
    <w:rsid w:val="00341370"/>
    <w:rsid w:val="003414D1"/>
    <w:rsid w:val="00341651"/>
    <w:rsid w:val="00341668"/>
    <w:rsid w:val="003416C1"/>
    <w:rsid w:val="0034179D"/>
    <w:rsid w:val="0034180A"/>
    <w:rsid w:val="00341A88"/>
    <w:rsid w:val="00341B8C"/>
    <w:rsid w:val="00341D39"/>
    <w:rsid w:val="00342031"/>
    <w:rsid w:val="00342056"/>
    <w:rsid w:val="003422CA"/>
    <w:rsid w:val="00342477"/>
    <w:rsid w:val="003424D0"/>
    <w:rsid w:val="00342554"/>
    <w:rsid w:val="00342564"/>
    <w:rsid w:val="003425D2"/>
    <w:rsid w:val="0034274A"/>
    <w:rsid w:val="00342929"/>
    <w:rsid w:val="00342989"/>
    <w:rsid w:val="003429DA"/>
    <w:rsid w:val="003429E2"/>
    <w:rsid w:val="00342A21"/>
    <w:rsid w:val="00342A55"/>
    <w:rsid w:val="00342BB0"/>
    <w:rsid w:val="00342BBB"/>
    <w:rsid w:val="00342CE0"/>
    <w:rsid w:val="003432D8"/>
    <w:rsid w:val="003432F3"/>
    <w:rsid w:val="003433AC"/>
    <w:rsid w:val="003435B4"/>
    <w:rsid w:val="003438CE"/>
    <w:rsid w:val="00343A30"/>
    <w:rsid w:val="00343A55"/>
    <w:rsid w:val="00343B66"/>
    <w:rsid w:val="00343D71"/>
    <w:rsid w:val="00344030"/>
    <w:rsid w:val="00344266"/>
    <w:rsid w:val="00344281"/>
    <w:rsid w:val="003442E9"/>
    <w:rsid w:val="003443ED"/>
    <w:rsid w:val="00344700"/>
    <w:rsid w:val="0034473A"/>
    <w:rsid w:val="00344B82"/>
    <w:rsid w:val="00344E7B"/>
    <w:rsid w:val="00344E8A"/>
    <w:rsid w:val="00344E93"/>
    <w:rsid w:val="00345146"/>
    <w:rsid w:val="00345297"/>
    <w:rsid w:val="003452A0"/>
    <w:rsid w:val="00345406"/>
    <w:rsid w:val="00345493"/>
    <w:rsid w:val="00345E16"/>
    <w:rsid w:val="00345E9D"/>
    <w:rsid w:val="00345F76"/>
    <w:rsid w:val="00345F7B"/>
    <w:rsid w:val="00345FF1"/>
    <w:rsid w:val="00346134"/>
    <w:rsid w:val="003461CE"/>
    <w:rsid w:val="00346275"/>
    <w:rsid w:val="003463F2"/>
    <w:rsid w:val="00346993"/>
    <w:rsid w:val="00346B0D"/>
    <w:rsid w:val="00346BC1"/>
    <w:rsid w:val="00346E77"/>
    <w:rsid w:val="00347058"/>
    <w:rsid w:val="003470C0"/>
    <w:rsid w:val="003472C4"/>
    <w:rsid w:val="003475D4"/>
    <w:rsid w:val="003476EF"/>
    <w:rsid w:val="00347C2F"/>
    <w:rsid w:val="00347CBC"/>
    <w:rsid w:val="00347E19"/>
    <w:rsid w:val="00347E9A"/>
    <w:rsid w:val="00347EE9"/>
    <w:rsid w:val="0035004C"/>
    <w:rsid w:val="00350097"/>
    <w:rsid w:val="00350138"/>
    <w:rsid w:val="003501C3"/>
    <w:rsid w:val="00350322"/>
    <w:rsid w:val="0035044C"/>
    <w:rsid w:val="00350463"/>
    <w:rsid w:val="00350471"/>
    <w:rsid w:val="00350C65"/>
    <w:rsid w:val="00350C7C"/>
    <w:rsid w:val="00350EAB"/>
    <w:rsid w:val="0035114E"/>
    <w:rsid w:val="00351152"/>
    <w:rsid w:val="003511B3"/>
    <w:rsid w:val="00351207"/>
    <w:rsid w:val="00351626"/>
    <w:rsid w:val="00351760"/>
    <w:rsid w:val="0035192F"/>
    <w:rsid w:val="00351B1D"/>
    <w:rsid w:val="00351C08"/>
    <w:rsid w:val="00351DE6"/>
    <w:rsid w:val="00352175"/>
    <w:rsid w:val="0035220C"/>
    <w:rsid w:val="003522FE"/>
    <w:rsid w:val="00352349"/>
    <w:rsid w:val="00352718"/>
    <w:rsid w:val="003527A5"/>
    <w:rsid w:val="00352AD7"/>
    <w:rsid w:val="00352C45"/>
    <w:rsid w:val="00352F63"/>
    <w:rsid w:val="003530D8"/>
    <w:rsid w:val="0035317A"/>
    <w:rsid w:val="003531E2"/>
    <w:rsid w:val="0035383F"/>
    <w:rsid w:val="00353BAD"/>
    <w:rsid w:val="00353DC0"/>
    <w:rsid w:val="00353E35"/>
    <w:rsid w:val="00353EE4"/>
    <w:rsid w:val="00353F73"/>
    <w:rsid w:val="00354098"/>
    <w:rsid w:val="0035422B"/>
    <w:rsid w:val="003542AD"/>
    <w:rsid w:val="003543B8"/>
    <w:rsid w:val="003544F3"/>
    <w:rsid w:val="00354630"/>
    <w:rsid w:val="00354744"/>
    <w:rsid w:val="00354B9E"/>
    <w:rsid w:val="00354D56"/>
    <w:rsid w:val="00354EEE"/>
    <w:rsid w:val="0035501F"/>
    <w:rsid w:val="003551DA"/>
    <w:rsid w:val="003552EF"/>
    <w:rsid w:val="0035537A"/>
    <w:rsid w:val="003554DF"/>
    <w:rsid w:val="003554F0"/>
    <w:rsid w:val="00355546"/>
    <w:rsid w:val="00355A11"/>
    <w:rsid w:val="00355AFB"/>
    <w:rsid w:val="00355B9F"/>
    <w:rsid w:val="00355DBA"/>
    <w:rsid w:val="0035631B"/>
    <w:rsid w:val="00356766"/>
    <w:rsid w:val="003569B3"/>
    <w:rsid w:val="003569E5"/>
    <w:rsid w:val="00356BF3"/>
    <w:rsid w:val="00356CB9"/>
    <w:rsid w:val="00356D0D"/>
    <w:rsid w:val="00356D1F"/>
    <w:rsid w:val="00356F94"/>
    <w:rsid w:val="003574ED"/>
    <w:rsid w:val="003574F3"/>
    <w:rsid w:val="003576C2"/>
    <w:rsid w:val="00357DB4"/>
    <w:rsid w:val="00357EDB"/>
    <w:rsid w:val="0036006A"/>
    <w:rsid w:val="003600BE"/>
    <w:rsid w:val="00360176"/>
    <w:rsid w:val="00360279"/>
    <w:rsid w:val="00360324"/>
    <w:rsid w:val="00360581"/>
    <w:rsid w:val="00360624"/>
    <w:rsid w:val="003607C9"/>
    <w:rsid w:val="003607D5"/>
    <w:rsid w:val="003609D8"/>
    <w:rsid w:val="003611FD"/>
    <w:rsid w:val="003616B6"/>
    <w:rsid w:val="00361754"/>
    <w:rsid w:val="00361844"/>
    <w:rsid w:val="00361B1E"/>
    <w:rsid w:val="00361B58"/>
    <w:rsid w:val="00361D4C"/>
    <w:rsid w:val="00361D9D"/>
    <w:rsid w:val="00361F1A"/>
    <w:rsid w:val="003620EB"/>
    <w:rsid w:val="003621AC"/>
    <w:rsid w:val="003622D0"/>
    <w:rsid w:val="0036239E"/>
    <w:rsid w:val="00362512"/>
    <w:rsid w:val="00362577"/>
    <w:rsid w:val="00362795"/>
    <w:rsid w:val="00362A0C"/>
    <w:rsid w:val="00362A35"/>
    <w:rsid w:val="00362A4A"/>
    <w:rsid w:val="00362C26"/>
    <w:rsid w:val="00362FCB"/>
    <w:rsid w:val="00363036"/>
    <w:rsid w:val="00363285"/>
    <w:rsid w:val="00363432"/>
    <w:rsid w:val="00363464"/>
    <w:rsid w:val="00363509"/>
    <w:rsid w:val="0036361F"/>
    <w:rsid w:val="0036368D"/>
    <w:rsid w:val="0036384E"/>
    <w:rsid w:val="003638AB"/>
    <w:rsid w:val="003638F2"/>
    <w:rsid w:val="00363946"/>
    <w:rsid w:val="00363AB2"/>
    <w:rsid w:val="00363CAC"/>
    <w:rsid w:val="00363F7F"/>
    <w:rsid w:val="0036417F"/>
    <w:rsid w:val="0036422D"/>
    <w:rsid w:val="0036482A"/>
    <w:rsid w:val="003648BE"/>
    <w:rsid w:val="00364D23"/>
    <w:rsid w:val="00364E3D"/>
    <w:rsid w:val="00364E6E"/>
    <w:rsid w:val="00364EB5"/>
    <w:rsid w:val="00364EB9"/>
    <w:rsid w:val="00365239"/>
    <w:rsid w:val="003652B6"/>
    <w:rsid w:val="00365432"/>
    <w:rsid w:val="003655CD"/>
    <w:rsid w:val="003658CD"/>
    <w:rsid w:val="00365CCB"/>
    <w:rsid w:val="00365D13"/>
    <w:rsid w:val="00365FB0"/>
    <w:rsid w:val="00366121"/>
    <w:rsid w:val="00366247"/>
    <w:rsid w:val="003663EB"/>
    <w:rsid w:val="00366410"/>
    <w:rsid w:val="003664B2"/>
    <w:rsid w:val="0036652D"/>
    <w:rsid w:val="0036665F"/>
    <w:rsid w:val="003666BA"/>
    <w:rsid w:val="003669FA"/>
    <w:rsid w:val="00366BC1"/>
    <w:rsid w:val="00366C0C"/>
    <w:rsid w:val="00366CB5"/>
    <w:rsid w:val="00366DAF"/>
    <w:rsid w:val="00366EE9"/>
    <w:rsid w:val="00366F90"/>
    <w:rsid w:val="00366FE9"/>
    <w:rsid w:val="00367029"/>
    <w:rsid w:val="0036712B"/>
    <w:rsid w:val="00367250"/>
    <w:rsid w:val="003679A0"/>
    <w:rsid w:val="003679EC"/>
    <w:rsid w:val="00367ABC"/>
    <w:rsid w:val="00367B36"/>
    <w:rsid w:val="00367CD7"/>
    <w:rsid w:val="00367FCD"/>
    <w:rsid w:val="00367FFA"/>
    <w:rsid w:val="00370027"/>
    <w:rsid w:val="0037021A"/>
    <w:rsid w:val="00370373"/>
    <w:rsid w:val="003703A9"/>
    <w:rsid w:val="003703C4"/>
    <w:rsid w:val="003705CD"/>
    <w:rsid w:val="0037083B"/>
    <w:rsid w:val="003708BE"/>
    <w:rsid w:val="00370A01"/>
    <w:rsid w:val="00370A6D"/>
    <w:rsid w:val="00370CDE"/>
    <w:rsid w:val="0037110D"/>
    <w:rsid w:val="00371226"/>
    <w:rsid w:val="003712BA"/>
    <w:rsid w:val="00371367"/>
    <w:rsid w:val="00371558"/>
    <w:rsid w:val="00371611"/>
    <w:rsid w:val="003716FD"/>
    <w:rsid w:val="00371B59"/>
    <w:rsid w:val="003721EE"/>
    <w:rsid w:val="0037239C"/>
    <w:rsid w:val="00372489"/>
    <w:rsid w:val="003726E8"/>
    <w:rsid w:val="0037275A"/>
    <w:rsid w:val="0037286B"/>
    <w:rsid w:val="0037290D"/>
    <w:rsid w:val="00372B38"/>
    <w:rsid w:val="00372BC2"/>
    <w:rsid w:val="00372D53"/>
    <w:rsid w:val="00372EFC"/>
    <w:rsid w:val="00372FA5"/>
    <w:rsid w:val="00373172"/>
    <w:rsid w:val="00373227"/>
    <w:rsid w:val="00373267"/>
    <w:rsid w:val="0037327F"/>
    <w:rsid w:val="00373378"/>
    <w:rsid w:val="00373494"/>
    <w:rsid w:val="00373531"/>
    <w:rsid w:val="003738A2"/>
    <w:rsid w:val="00373B4E"/>
    <w:rsid w:val="00373BA0"/>
    <w:rsid w:val="00373D19"/>
    <w:rsid w:val="00373E06"/>
    <w:rsid w:val="00373E11"/>
    <w:rsid w:val="00374076"/>
    <w:rsid w:val="0037413C"/>
    <w:rsid w:val="003741AD"/>
    <w:rsid w:val="003741CD"/>
    <w:rsid w:val="00374398"/>
    <w:rsid w:val="00374B12"/>
    <w:rsid w:val="00374B69"/>
    <w:rsid w:val="00374C0B"/>
    <w:rsid w:val="00374DCB"/>
    <w:rsid w:val="00374FB0"/>
    <w:rsid w:val="00374FE4"/>
    <w:rsid w:val="003751ED"/>
    <w:rsid w:val="00375840"/>
    <w:rsid w:val="00375A2D"/>
    <w:rsid w:val="00375A5B"/>
    <w:rsid w:val="00375ABF"/>
    <w:rsid w:val="00375B05"/>
    <w:rsid w:val="00375BB8"/>
    <w:rsid w:val="00375C18"/>
    <w:rsid w:val="00375CB4"/>
    <w:rsid w:val="00375DE4"/>
    <w:rsid w:val="00376002"/>
    <w:rsid w:val="0037608B"/>
    <w:rsid w:val="00376091"/>
    <w:rsid w:val="003766F2"/>
    <w:rsid w:val="003767E5"/>
    <w:rsid w:val="00376805"/>
    <w:rsid w:val="00376827"/>
    <w:rsid w:val="00376871"/>
    <w:rsid w:val="003768C6"/>
    <w:rsid w:val="00376930"/>
    <w:rsid w:val="00376A0C"/>
    <w:rsid w:val="00376C57"/>
    <w:rsid w:val="00376E98"/>
    <w:rsid w:val="00376F6C"/>
    <w:rsid w:val="003771BF"/>
    <w:rsid w:val="00377271"/>
    <w:rsid w:val="003775BE"/>
    <w:rsid w:val="00377B3B"/>
    <w:rsid w:val="00377CC8"/>
    <w:rsid w:val="00377DB4"/>
    <w:rsid w:val="00377FEA"/>
    <w:rsid w:val="00380275"/>
    <w:rsid w:val="00380297"/>
    <w:rsid w:val="0038046B"/>
    <w:rsid w:val="003806AE"/>
    <w:rsid w:val="003807E9"/>
    <w:rsid w:val="00380ED8"/>
    <w:rsid w:val="003810AF"/>
    <w:rsid w:val="00381108"/>
    <w:rsid w:val="0038120B"/>
    <w:rsid w:val="003814E6"/>
    <w:rsid w:val="00381B09"/>
    <w:rsid w:val="00381BCE"/>
    <w:rsid w:val="00381D27"/>
    <w:rsid w:val="00381E91"/>
    <w:rsid w:val="00381F1A"/>
    <w:rsid w:val="003820B5"/>
    <w:rsid w:val="0038225E"/>
    <w:rsid w:val="003822B4"/>
    <w:rsid w:val="00382420"/>
    <w:rsid w:val="003824B8"/>
    <w:rsid w:val="003825EB"/>
    <w:rsid w:val="0038281C"/>
    <w:rsid w:val="00383110"/>
    <w:rsid w:val="00383205"/>
    <w:rsid w:val="00383208"/>
    <w:rsid w:val="0038322B"/>
    <w:rsid w:val="00383490"/>
    <w:rsid w:val="003835C7"/>
    <w:rsid w:val="00383679"/>
    <w:rsid w:val="0038382D"/>
    <w:rsid w:val="00383A1F"/>
    <w:rsid w:val="00383AE9"/>
    <w:rsid w:val="00383B87"/>
    <w:rsid w:val="00383D52"/>
    <w:rsid w:val="00383DB5"/>
    <w:rsid w:val="00383FBE"/>
    <w:rsid w:val="00384087"/>
    <w:rsid w:val="003841A9"/>
    <w:rsid w:val="00384261"/>
    <w:rsid w:val="00384727"/>
    <w:rsid w:val="00384990"/>
    <w:rsid w:val="00384B5A"/>
    <w:rsid w:val="00384B8F"/>
    <w:rsid w:val="00384C32"/>
    <w:rsid w:val="00384CE9"/>
    <w:rsid w:val="00384D8A"/>
    <w:rsid w:val="00384ED9"/>
    <w:rsid w:val="00385065"/>
    <w:rsid w:val="00385220"/>
    <w:rsid w:val="00385326"/>
    <w:rsid w:val="003855DA"/>
    <w:rsid w:val="00385864"/>
    <w:rsid w:val="0038586B"/>
    <w:rsid w:val="00385888"/>
    <w:rsid w:val="00385A11"/>
    <w:rsid w:val="00385A87"/>
    <w:rsid w:val="00385AFA"/>
    <w:rsid w:val="00385E45"/>
    <w:rsid w:val="0038605D"/>
    <w:rsid w:val="003860FF"/>
    <w:rsid w:val="0038628C"/>
    <w:rsid w:val="00386313"/>
    <w:rsid w:val="00386382"/>
    <w:rsid w:val="0038644C"/>
    <w:rsid w:val="00386A50"/>
    <w:rsid w:val="00386C93"/>
    <w:rsid w:val="00387072"/>
    <w:rsid w:val="003872C7"/>
    <w:rsid w:val="00387545"/>
    <w:rsid w:val="003876F1"/>
    <w:rsid w:val="00387730"/>
    <w:rsid w:val="00387884"/>
    <w:rsid w:val="00390485"/>
    <w:rsid w:val="003904E6"/>
    <w:rsid w:val="00390683"/>
    <w:rsid w:val="003909D1"/>
    <w:rsid w:val="00390B15"/>
    <w:rsid w:val="00390C34"/>
    <w:rsid w:val="00390DC2"/>
    <w:rsid w:val="003910A0"/>
    <w:rsid w:val="003910B2"/>
    <w:rsid w:val="003911F6"/>
    <w:rsid w:val="003912FF"/>
    <w:rsid w:val="00391301"/>
    <w:rsid w:val="00391625"/>
    <w:rsid w:val="00391707"/>
    <w:rsid w:val="0039194C"/>
    <w:rsid w:val="00391AF8"/>
    <w:rsid w:val="00391D65"/>
    <w:rsid w:val="00391DFF"/>
    <w:rsid w:val="00391EEE"/>
    <w:rsid w:val="00391F1D"/>
    <w:rsid w:val="003921A8"/>
    <w:rsid w:val="00392289"/>
    <w:rsid w:val="00392346"/>
    <w:rsid w:val="00392390"/>
    <w:rsid w:val="00392457"/>
    <w:rsid w:val="003924DB"/>
    <w:rsid w:val="00392560"/>
    <w:rsid w:val="0039269A"/>
    <w:rsid w:val="003926C4"/>
    <w:rsid w:val="0039278A"/>
    <w:rsid w:val="00392948"/>
    <w:rsid w:val="0039294F"/>
    <w:rsid w:val="003929C7"/>
    <w:rsid w:val="00392B19"/>
    <w:rsid w:val="00392D23"/>
    <w:rsid w:val="00393051"/>
    <w:rsid w:val="003930B6"/>
    <w:rsid w:val="003933BD"/>
    <w:rsid w:val="00393636"/>
    <w:rsid w:val="00393852"/>
    <w:rsid w:val="00393938"/>
    <w:rsid w:val="00393A0B"/>
    <w:rsid w:val="00393C4A"/>
    <w:rsid w:val="00393C5B"/>
    <w:rsid w:val="00393C7C"/>
    <w:rsid w:val="00393D9B"/>
    <w:rsid w:val="00394062"/>
    <w:rsid w:val="0039415B"/>
    <w:rsid w:val="003941AA"/>
    <w:rsid w:val="00394379"/>
    <w:rsid w:val="003946D3"/>
    <w:rsid w:val="003947BC"/>
    <w:rsid w:val="00394A0C"/>
    <w:rsid w:val="00394A47"/>
    <w:rsid w:val="00394A82"/>
    <w:rsid w:val="00394AA1"/>
    <w:rsid w:val="00394C1B"/>
    <w:rsid w:val="00394C22"/>
    <w:rsid w:val="00394CC4"/>
    <w:rsid w:val="00394CF3"/>
    <w:rsid w:val="00394D2B"/>
    <w:rsid w:val="00394DEF"/>
    <w:rsid w:val="00394ED9"/>
    <w:rsid w:val="003952A5"/>
    <w:rsid w:val="00395578"/>
    <w:rsid w:val="0039574A"/>
    <w:rsid w:val="00395902"/>
    <w:rsid w:val="00395917"/>
    <w:rsid w:val="00395CD1"/>
    <w:rsid w:val="00396178"/>
    <w:rsid w:val="003963B2"/>
    <w:rsid w:val="00396631"/>
    <w:rsid w:val="00396740"/>
    <w:rsid w:val="003968E6"/>
    <w:rsid w:val="00396990"/>
    <w:rsid w:val="00396B37"/>
    <w:rsid w:val="00396CC5"/>
    <w:rsid w:val="00396D28"/>
    <w:rsid w:val="00396D87"/>
    <w:rsid w:val="00397420"/>
    <w:rsid w:val="0039749C"/>
    <w:rsid w:val="003976BF"/>
    <w:rsid w:val="00397845"/>
    <w:rsid w:val="003978F2"/>
    <w:rsid w:val="00397926"/>
    <w:rsid w:val="003979FA"/>
    <w:rsid w:val="00397B27"/>
    <w:rsid w:val="00397D75"/>
    <w:rsid w:val="003A0031"/>
    <w:rsid w:val="003A0035"/>
    <w:rsid w:val="003A0190"/>
    <w:rsid w:val="003A02F5"/>
    <w:rsid w:val="003A0615"/>
    <w:rsid w:val="003A07FD"/>
    <w:rsid w:val="003A0816"/>
    <w:rsid w:val="003A09AD"/>
    <w:rsid w:val="003A09DA"/>
    <w:rsid w:val="003A0A71"/>
    <w:rsid w:val="003A0BC2"/>
    <w:rsid w:val="003A0DDD"/>
    <w:rsid w:val="003A12B0"/>
    <w:rsid w:val="003A146B"/>
    <w:rsid w:val="003A1590"/>
    <w:rsid w:val="003A1695"/>
    <w:rsid w:val="003A1697"/>
    <w:rsid w:val="003A1ABF"/>
    <w:rsid w:val="003A1C9B"/>
    <w:rsid w:val="003A1F4A"/>
    <w:rsid w:val="003A2017"/>
    <w:rsid w:val="003A2195"/>
    <w:rsid w:val="003A242A"/>
    <w:rsid w:val="003A2678"/>
    <w:rsid w:val="003A287B"/>
    <w:rsid w:val="003A2BDD"/>
    <w:rsid w:val="003A2D91"/>
    <w:rsid w:val="003A2E30"/>
    <w:rsid w:val="003A2E95"/>
    <w:rsid w:val="003A2EB4"/>
    <w:rsid w:val="003A3068"/>
    <w:rsid w:val="003A3361"/>
    <w:rsid w:val="003A353C"/>
    <w:rsid w:val="003A35E4"/>
    <w:rsid w:val="003A36A2"/>
    <w:rsid w:val="003A379D"/>
    <w:rsid w:val="003A37CB"/>
    <w:rsid w:val="003A39AC"/>
    <w:rsid w:val="003A3BA1"/>
    <w:rsid w:val="003A3CD9"/>
    <w:rsid w:val="003A3E73"/>
    <w:rsid w:val="003A4177"/>
    <w:rsid w:val="003A4319"/>
    <w:rsid w:val="003A45CC"/>
    <w:rsid w:val="003A4AC1"/>
    <w:rsid w:val="003A4DBD"/>
    <w:rsid w:val="003A4E3F"/>
    <w:rsid w:val="003A4EA8"/>
    <w:rsid w:val="003A4F26"/>
    <w:rsid w:val="003A4FB1"/>
    <w:rsid w:val="003A5064"/>
    <w:rsid w:val="003A5347"/>
    <w:rsid w:val="003A5386"/>
    <w:rsid w:val="003A53CA"/>
    <w:rsid w:val="003A55C3"/>
    <w:rsid w:val="003A58A9"/>
    <w:rsid w:val="003A5A5C"/>
    <w:rsid w:val="003A5ADC"/>
    <w:rsid w:val="003A5C59"/>
    <w:rsid w:val="003A5C87"/>
    <w:rsid w:val="003A5CB5"/>
    <w:rsid w:val="003A5D58"/>
    <w:rsid w:val="003A6047"/>
    <w:rsid w:val="003A619B"/>
    <w:rsid w:val="003A61BA"/>
    <w:rsid w:val="003A61ED"/>
    <w:rsid w:val="003A6249"/>
    <w:rsid w:val="003A631B"/>
    <w:rsid w:val="003A643A"/>
    <w:rsid w:val="003A65D8"/>
    <w:rsid w:val="003A65EF"/>
    <w:rsid w:val="003A692A"/>
    <w:rsid w:val="003A6AB5"/>
    <w:rsid w:val="003A6F0F"/>
    <w:rsid w:val="003A6F5A"/>
    <w:rsid w:val="003A786D"/>
    <w:rsid w:val="003A7A1C"/>
    <w:rsid w:val="003A7B42"/>
    <w:rsid w:val="003A7B73"/>
    <w:rsid w:val="003A7B93"/>
    <w:rsid w:val="003A7F1D"/>
    <w:rsid w:val="003B015D"/>
    <w:rsid w:val="003B02C5"/>
    <w:rsid w:val="003B0373"/>
    <w:rsid w:val="003B068A"/>
    <w:rsid w:val="003B070D"/>
    <w:rsid w:val="003B0753"/>
    <w:rsid w:val="003B07D1"/>
    <w:rsid w:val="003B096F"/>
    <w:rsid w:val="003B09F0"/>
    <w:rsid w:val="003B0AC4"/>
    <w:rsid w:val="003B0BF3"/>
    <w:rsid w:val="003B0FCE"/>
    <w:rsid w:val="003B0FDE"/>
    <w:rsid w:val="003B1026"/>
    <w:rsid w:val="003B10C1"/>
    <w:rsid w:val="003B1120"/>
    <w:rsid w:val="003B11ED"/>
    <w:rsid w:val="003B16A4"/>
    <w:rsid w:val="003B17EF"/>
    <w:rsid w:val="003B18BA"/>
    <w:rsid w:val="003B18E8"/>
    <w:rsid w:val="003B19A3"/>
    <w:rsid w:val="003B1C14"/>
    <w:rsid w:val="003B1EE2"/>
    <w:rsid w:val="003B1FA7"/>
    <w:rsid w:val="003B237E"/>
    <w:rsid w:val="003B2451"/>
    <w:rsid w:val="003B26CC"/>
    <w:rsid w:val="003B28C5"/>
    <w:rsid w:val="003B28DC"/>
    <w:rsid w:val="003B292B"/>
    <w:rsid w:val="003B2A54"/>
    <w:rsid w:val="003B2B93"/>
    <w:rsid w:val="003B2C99"/>
    <w:rsid w:val="003B2D48"/>
    <w:rsid w:val="003B2EB1"/>
    <w:rsid w:val="003B3174"/>
    <w:rsid w:val="003B332A"/>
    <w:rsid w:val="003B340E"/>
    <w:rsid w:val="003B3524"/>
    <w:rsid w:val="003B3542"/>
    <w:rsid w:val="003B387F"/>
    <w:rsid w:val="003B38D6"/>
    <w:rsid w:val="003B3D3D"/>
    <w:rsid w:val="003B3FA3"/>
    <w:rsid w:val="003B3FFB"/>
    <w:rsid w:val="003B43FB"/>
    <w:rsid w:val="003B444E"/>
    <w:rsid w:val="003B4743"/>
    <w:rsid w:val="003B4767"/>
    <w:rsid w:val="003B477F"/>
    <w:rsid w:val="003B48CB"/>
    <w:rsid w:val="003B4BF1"/>
    <w:rsid w:val="003B4CBE"/>
    <w:rsid w:val="003B4CDD"/>
    <w:rsid w:val="003B4D52"/>
    <w:rsid w:val="003B4DC8"/>
    <w:rsid w:val="003B5321"/>
    <w:rsid w:val="003B5406"/>
    <w:rsid w:val="003B5438"/>
    <w:rsid w:val="003B5554"/>
    <w:rsid w:val="003B564C"/>
    <w:rsid w:val="003B57ED"/>
    <w:rsid w:val="003B5ECF"/>
    <w:rsid w:val="003B6570"/>
    <w:rsid w:val="003B65A3"/>
    <w:rsid w:val="003B6742"/>
    <w:rsid w:val="003B6B29"/>
    <w:rsid w:val="003B6B87"/>
    <w:rsid w:val="003B6CB6"/>
    <w:rsid w:val="003B6D4B"/>
    <w:rsid w:val="003B6E49"/>
    <w:rsid w:val="003B701A"/>
    <w:rsid w:val="003B7176"/>
    <w:rsid w:val="003B7183"/>
    <w:rsid w:val="003B73E8"/>
    <w:rsid w:val="003B7A2A"/>
    <w:rsid w:val="003B7CF6"/>
    <w:rsid w:val="003B7D06"/>
    <w:rsid w:val="003B7E42"/>
    <w:rsid w:val="003B7E7C"/>
    <w:rsid w:val="003B7F1F"/>
    <w:rsid w:val="003C07BA"/>
    <w:rsid w:val="003C0AF5"/>
    <w:rsid w:val="003C0F73"/>
    <w:rsid w:val="003C105B"/>
    <w:rsid w:val="003C1084"/>
    <w:rsid w:val="003C1169"/>
    <w:rsid w:val="003C1242"/>
    <w:rsid w:val="003C1250"/>
    <w:rsid w:val="003C160A"/>
    <w:rsid w:val="003C1803"/>
    <w:rsid w:val="003C23D8"/>
    <w:rsid w:val="003C26C3"/>
    <w:rsid w:val="003C2840"/>
    <w:rsid w:val="003C2B72"/>
    <w:rsid w:val="003C2E86"/>
    <w:rsid w:val="003C2FE8"/>
    <w:rsid w:val="003C33A8"/>
    <w:rsid w:val="003C3524"/>
    <w:rsid w:val="003C354A"/>
    <w:rsid w:val="003C3579"/>
    <w:rsid w:val="003C35C3"/>
    <w:rsid w:val="003C36EA"/>
    <w:rsid w:val="003C36F0"/>
    <w:rsid w:val="003C37EE"/>
    <w:rsid w:val="003C3917"/>
    <w:rsid w:val="003C3A4D"/>
    <w:rsid w:val="003C3C4A"/>
    <w:rsid w:val="003C3C55"/>
    <w:rsid w:val="003C3C79"/>
    <w:rsid w:val="003C3CC8"/>
    <w:rsid w:val="003C3DF7"/>
    <w:rsid w:val="003C3E60"/>
    <w:rsid w:val="003C3EC0"/>
    <w:rsid w:val="003C40E6"/>
    <w:rsid w:val="003C496A"/>
    <w:rsid w:val="003C4AC3"/>
    <w:rsid w:val="003C4E21"/>
    <w:rsid w:val="003C50D7"/>
    <w:rsid w:val="003C50E3"/>
    <w:rsid w:val="003C5161"/>
    <w:rsid w:val="003C51D9"/>
    <w:rsid w:val="003C5345"/>
    <w:rsid w:val="003C55AE"/>
    <w:rsid w:val="003C58D1"/>
    <w:rsid w:val="003C5ACB"/>
    <w:rsid w:val="003C5C20"/>
    <w:rsid w:val="003C5C99"/>
    <w:rsid w:val="003C5EDC"/>
    <w:rsid w:val="003C6285"/>
    <w:rsid w:val="003C62F3"/>
    <w:rsid w:val="003C6310"/>
    <w:rsid w:val="003C6461"/>
    <w:rsid w:val="003C6555"/>
    <w:rsid w:val="003C660C"/>
    <w:rsid w:val="003C673C"/>
    <w:rsid w:val="003C67CB"/>
    <w:rsid w:val="003C6A38"/>
    <w:rsid w:val="003C6A39"/>
    <w:rsid w:val="003C6C44"/>
    <w:rsid w:val="003C6DA8"/>
    <w:rsid w:val="003C700D"/>
    <w:rsid w:val="003C7103"/>
    <w:rsid w:val="003C71B4"/>
    <w:rsid w:val="003C71D6"/>
    <w:rsid w:val="003C72D1"/>
    <w:rsid w:val="003C746C"/>
    <w:rsid w:val="003C7598"/>
    <w:rsid w:val="003C75DE"/>
    <w:rsid w:val="003C76AD"/>
    <w:rsid w:val="003C7BA6"/>
    <w:rsid w:val="003C7F29"/>
    <w:rsid w:val="003D040D"/>
    <w:rsid w:val="003D05F6"/>
    <w:rsid w:val="003D066C"/>
    <w:rsid w:val="003D10CF"/>
    <w:rsid w:val="003D128F"/>
    <w:rsid w:val="003D1461"/>
    <w:rsid w:val="003D155E"/>
    <w:rsid w:val="003D15DF"/>
    <w:rsid w:val="003D174F"/>
    <w:rsid w:val="003D1A7C"/>
    <w:rsid w:val="003D1BB9"/>
    <w:rsid w:val="003D1D47"/>
    <w:rsid w:val="003D1FA0"/>
    <w:rsid w:val="003D2022"/>
    <w:rsid w:val="003D218C"/>
    <w:rsid w:val="003D2217"/>
    <w:rsid w:val="003D2237"/>
    <w:rsid w:val="003D274F"/>
    <w:rsid w:val="003D2909"/>
    <w:rsid w:val="003D2A71"/>
    <w:rsid w:val="003D2AA8"/>
    <w:rsid w:val="003D2C9A"/>
    <w:rsid w:val="003D2F68"/>
    <w:rsid w:val="003D3059"/>
    <w:rsid w:val="003D32EE"/>
    <w:rsid w:val="003D345A"/>
    <w:rsid w:val="003D346D"/>
    <w:rsid w:val="003D34E9"/>
    <w:rsid w:val="003D3618"/>
    <w:rsid w:val="003D3BA9"/>
    <w:rsid w:val="003D41AD"/>
    <w:rsid w:val="003D43D3"/>
    <w:rsid w:val="003D4577"/>
    <w:rsid w:val="003D4595"/>
    <w:rsid w:val="003D464B"/>
    <w:rsid w:val="003D47C4"/>
    <w:rsid w:val="003D4847"/>
    <w:rsid w:val="003D4959"/>
    <w:rsid w:val="003D49C5"/>
    <w:rsid w:val="003D4BE8"/>
    <w:rsid w:val="003D4C76"/>
    <w:rsid w:val="003D4C9A"/>
    <w:rsid w:val="003D4CCD"/>
    <w:rsid w:val="003D4DB3"/>
    <w:rsid w:val="003D5087"/>
    <w:rsid w:val="003D50E6"/>
    <w:rsid w:val="003D5334"/>
    <w:rsid w:val="003D54B8"/>
    <w:rsid w:val="003D55F8"/>
    <w:rsid w:val="003D5634"/>
    <w:rsid w:val="003D5637"/>
    <w:rsid w:val="003D56F5"/>
    <w:rsid w:val="003D597A"/>
    <w:rsid w:val="003D5C02"/>
    <w:rsid w:val="003D5D17"/>
    <w:rsid w:val="003D5E9B"/>
    <w:rsid w:val="003D5F4B"/>
    <w:rsid w:val="003D60D0"/>
    <w:rsid w:val="003D60D3"/>
    <w:rsid w:val="003D61AB"/>
    <w:rsid w:val="003D649F"/>
    <w:rsid w:val="003D6CE1"/>
    <w:rsid w:val="003D6D42"/>
    <w:rsid w:val="003D6D8C"/>
    <w:rsid w:val="003D6E65"/>
    <w:rsid w:val="003D7202"/>
    <w:rsid w:val="003D72EC"/>
    <w:rsid w:val="003D749C"/>
    <w:rsid w:val="003D75C5"/>
    <w:rsid w:val="003D762D"/>
    <w:rsid w:val="003D766E"/>
    <w:rsid w:val="003D7746"/>
    <w:rsid w:val="003D775A"/>
    <w:rsid w:val="003D7824"/>
    <w:rsid w:val="003D796E"/>
    <w:rsid w:val="003D7B6A"/>
    <w:rsid w:val="003D7F5F"/>
    <w:rsid w:val="003D7F7D"/>
    <w:rsid w:val="003E001D"/>
    <w:rsid w:val="003E0263"/>
    <w:rsid w:val="003E0294"/>
    <w:rsid w:val="003E02D6"/>
    <w:rsid w:val="003E0411"/>
    <w:rsid w:val="003E0450"/>
    <w:rsid w:val="003E085D"/>
    <w:rsid w:val="003E0903"/>
    <w:rsid w:val="003E0AFF"/>
    <w:rsid w:val="003E0CAE"/>
    <w:rsid w:val="003E0EE3"/>
    <w:rsid w:val="003E1096"/>
    <w:rsid w:val="003E13CA"/>
    <w:rsid w:val="003E16C7"/>
    <w:rsid w:val="003E16F3"/>
    <w:rsid w:val="003E17A1"/>
    <w:rsid w:val="003E1869"/>
    <w:rsid w:val="003E1A78"/>
    <w:rsid w:val="003E1BA9"/>
    <w:rsid w:val="003E1C8F"/>
    <w:rsid w:val="003E1CE9"/>
    <w:rsid w:val="003E1FA7"/>
    <w:rsid w:val="003E2304"/>
    <w:rsid w:val="003E2599"/>
    <w:rsid w:val="003E26F5"/>
    <w:rsid w:val="003E2D59"/>
    <w:rsid w:val="003E2DD4"/>
    <w:rsid w:val="003E3373"/>
    <w:rsid w:val="003E3419"/>
    <w:rsid w:val="003E344E"/>
    <w:rsid w:val="003E3514"/>
    <w:rsid w:val="003E39E6"/>
    <w:rsid w:val="003E3BAA"/>
    <w:rsid w:val="003E3C7E"/>
    <w:rsid w:val="003E3C99"/>
    <w:rsid w:val="003E3F73"/>
    <w:rsid w:val="003E4356"/>
    <w:rsid w:val="003E4392"/>
    <w:rsid w:val="003E4428"/>
    <w:rsid w:val="003E47A4"/>
    <w:rsid w:val="003E488D"/>
    <w:rsid w:val="003E48C9"/>
    <w:rsid w:val="003E49A4"/>
    <w:rsid w:val="003E4B1E"/>
    <w:rsid w:val="003E4B7D"/>
    <w:rsid w:val="003E4E1D"/>
    <w:rsid w:val="003E4E76"/>
    <w:rsid w:val="003E5077"/>
    <w:rsid w:val="003E5122"/>
    <w:rsid w:val="003E51FA"/>
    <w:rsid w:val="003E5435"/>
    <w:rsid w:val="003E5521"/>
    <w:rsid w:val="003E5615"/>
    <w:rsid w:val="003E5FA3"/>
    <w:rsid w:val="003E6067"/>
    <w:rsid w:val="003E613E"/>
    <w:rsid w:val="003E6365"/>
    <w:rsid w:val="003E65E1"/>
    <w:rsid w:val="003E670A"/>
    <w:rsid w:val="003E693B"/>
    <w:rsid w:val="003E6953"/>
    <w:rsid w:val="003E6A9D"/>
    <w:rsid w:val="003E6AA3"/>
    <w:rsid w:val="003E6AC7"/>
    <w:rsid w:val="003E6BA3"/>
    <w:rsid w:val="003E6DBC"/>
    <w:rsid w:val="003E7176"/>
    <w:rsid w:val="003E727D"/>
    <w:rsid w:val="003E76D6"/>
    <w:rsid w:val="003E77C7"/>
    <w:rsid w:val="003E77D8"/>
    <w:rsid w:val="003E7860"/>
    <w:rsid w:val="003E7931"/>
    <w:rsid w:val="003E7A14"/>
    <w:rsid w:val="003E7CD0"/>
    <w:rsid w:val="003E7ED8"/>
    <w:rsid w:val="003F004C"/>
    <w:rsid w:val="003F010B"/>
    <w:rsid w:val="003F0252"/>
    <w:rsid w:val="003F0333"/>
    <w:rsid w:val="003F0545"/>
    <w:rsid w:val="003F0660"/>
    <w:rsid w:val="003F07E1"/>
    <w:rsid w:val="003F080B"/>
    <w:rsid w:val="003F0AEB"/>
    <w:rsid w:val="003F0BC3"/>
    <w:rsid w:val="003F0C42"/>
    <w:rsid w:val="003F0D0E"/>
    <w:rsid w:val="003F0DD1"/>
    <w:rsid w:val="003F0DDD"/>
    <w:rsid w:val="003F0EA5"/>
    <w:rsid w:val="003F0FAA"/>
    <w:rsid w:val="003F12FD"/>
    <w:rsid w:val="003F1412"/>
    <w:rsid w:val="003F14C9"/>
    <w:rsid w:val="003F1532"/>
    <w:rsid w:val="003F15AF"/>
    <w:rsid w:val="003F17B1"/>
    <w:rsid w:val="003F19FE"/>
    <w:rsid w:val="003F1A77"/>
    <w:rsid w:val="003F1CE0"/>
    <w:rsid w:val="003F20F5"/>
    <w:rsid w:val="003F2158"/>
    <w:rsid w:val="003F2466"/>
    <w:rsid w:val="003F254E"/>
    <w:rsid w:val="003F260E"/>
    <w:rsid w:val="003F2ADF"/>
    <w:rsid w:val="003F2BFE"/>
    <w:rsid w:val="003F2C60"/>
    <w:rsid w:val="003F2CC7"/>
    <w:rsid w:val="003F2E00"/>
    <w:rsid w:val="003F313C"/>
    <w:rsid w:val="003F3369"/>
    <w:rsid w:val="003F343E"/>
    <w:rsid w:val="003F3656"/>
    <w:rsid w:val="003F3660"/>
    <w:rsid w:val="003F3711"/>
    <w:rsid w:val="003F39E2"/>
    <w:rsid w:val="003F3AD9"/>
    <w:rsid w:val="003F3D8B"/>
    <w:rsid w:val="003F3FAA"/>
    <w:rsid w:val="003F3FFB"/>
    <w:rsid w:val="003F417F"/>
    <w:rsid w:val="003F41A9"/>
    <w:rsid w:val="003F42F1"/>
    <w:rsid w:val="003F4526"/>
    <w:rsid w:val="003F4630"/>
    <w:rsid w:val="003F4678"/>
    <w:rsid w:val="003F48CF"/>
    <w:rsid w:val="003F4BB8"/>
    <w:rsid w:val="003F4EA1"/>
    <w:rsid w:val="003F4ECB"/>
    <w:rsid w:val="003F4FE1"/>
    <w:rsid w:val="003F4FF3"/>
    <w:rsid w:val="003F53BA"/>
    <w:rsid w:val="003F55D3"/>
    <w:rsid w:val="003F576F"/>
    <w:rsid w:val="003F5837"/>
    <w:rsid w:val="003F5858"/>
    <w:rsid w:val="003F5A28"/>
    <w:rsid w:val="003F5C4D"/>
    <w:rsid w:val="003F5D67"/>
    <w:rsid w:val="003F5F5A"/>
    <w:rsid w:val="003F62C2"/>
    <w:rsid w:val="003F62D0"/>
    <w:rsid w:val="003F62F3"/>
    <w:rsid w:val="003F636F"/>
    <w:rsid w:val="003F6677"/>
    <w:rsid w:val="003F669A"/>
    <w:rsid w:val="003F681A"/>
    <w:rsid w:val="003F685A"/>
    <w:rsid w:val="003F68F3"/>
    <w:rsid w:val="003F698F"/>
    <w:rsid w:val="003F70B3"/>
    <w:rsid w:val="003F70DC"/>
    <w:rsid w:val="003F7242"/>
    <w:rsid w:val="003F7487"/>
    <w:rsid w:val="003F77B1"/>
    <w:rsid w:val="003F77E8"/>
    <w:rsid w:val="003F785D"/>
    <w:rsid w:val="003F7A7F"/>
    <w:rsid w:val="003F7B17"/>
    <w:rsid w:val="003F7C85"/>
    <w:rsid w:val="003F7D7E"/>
    <w:rsid w:val="003F7F6D"/>
    <w:rsid w:val="003F7FD9"/>
    <w:rsid w:val="00400061"/>
    <w:rsid w:val="00400068"/>
    <w:rsid w:val="0040016E"/>
    <w:rsid w:val="00400490"/>
    <w:rsid w:val="004005BC"/>
    <w:rsid w:val="004007B9"/>
    <w:rsid w:val="00400802"/>
    <w:rsid w:val="004008A8"/>
    <w:rsid w:val="0040092A"/>
    <w:rsid w:val="00400C88"/>
    <w:rsid w:val="00400CEB"/>
    <w:rsid w:val="00400DD5"/>
    <w:rsid w:val="0040114C"/>
    <w:rsid w:val="00401150"/>
    <w:rsid w:val="0040171F"/>
    <w:rsid w:val="004018EC"/>
    <w:rsid w:val="0040197C"/>
    <w:rsid w:val="00401A48"/>
    <w:rsid w:val="00401B60"/>
    <w:rsid w:val="00401C1C"/>
    <w:rsid w:val="00401CE8"/>
    <w:rsid w:val="00401D25"/>
    <w:rsid w:val="004021E6"/>
    <w:rsid w:val="00402320"/>
    <w:rsid w:val="004027D3"/>
    <w:rsid w:val="0040295E"/>
    <w:rsid w:val="00402A0D"/>
    <w:rsid w:val="00402AAC"/>
    <w:rsid w:val="00402B51"/>
    <w:rsid w:val="00402E89"/>
    <w:rsid w:val="00402F05"/>
    <w:rsid w:val="00403371"/>
    <w:rsid w:val="00403556"/>
    <w:rsid w:val="0040355F"/>
    <w:rsid w:val="00403729"/>
    <w:rsid w:val="00403AAA"/>
    <w:rsid w:val="00403C84"/>
    <w:rsid w:val="00403D58"/>
    <w:rsid w:val="00403E9E"/>
    <w:rsid w:val="00403F76"/>
    <w:rsid w:val="004042F7"/>
    <w:rsid w:val="00404491"/>
    <w:rsid w:val="004044EB"/>
    <w:rsid w:val="00404662"/>
    <w:rsid w:val="00404679"/>
    <w:rsid w:val="00404797"/>
    <w:rsid w:val="004048E3"/>
    <w:rsid w:val="00404A2A"/>
    <w:rsid w:val="00404C88"/>
    <w:rsid w:val="00404CB3"/>
    <w:rsid w:val="0040525F"/>
    <w:rsid w:val="004055EF"/>
    <w:rsid w:val="00405646"/>
    <w:rsid w:val="00405817"/>
    <w:rsid w:val="004058DD"/>
    <w:rsid w:val="00405971"/>
    <w:rsid w:val="0040599C"/>
    <w:rsid w:val="00405AE2"/>
    <w:rsid w:val="00405B1D"/>
    <w:rsid w:val="00405B2B"/>
    <w:rsid w:val="00405B3A"/>
    <w:rsid w:val="00405C36"/>
    <w:rsid w:val="00405F72"/>
    <w:rsid w:val="004064F4"/>
    <w:rsid w:val="00406524"/>
    <w:rsid w:val="00406A0A"/>
    <w:rsid w:val="00406AD7"/>
    <w:rsid w:val="00406BA4"/>
    <w:rsid w:val="00406D95"/>
    <w:rsid w:val="00406F5C"/>
    <w:rsid w:val="0040700F"/>
    <w:rsid w:val="00407364"/>
    <w:rsid w:val="0040764E"/>
    <w:rsid w:val="0040773E"/>
    <w:rsid w:val="00407771"/>
    <w:rsid w:val="00407F5D"/>
    <w:rsid w:val="00410299"/>
    <w:rsid w:val="004104D6"/>
    <w:rsid w:val="004105BA"/>
    <w:rsid w:val="00410624"/>
    <w:rsid w:val="004106F1"/>
    <w:rsid w:val="00410794"/>
    <w:rsid w:val="00410A0C"/>
    <w:rsid w:val="00410E46"/>
    <w:rsid w:val="00410E78"/>
    <w:rsid w:val="00411144"/>
    <w:rsid w:val="0041154D"/>
    <w:rsid w:val="004116EE"/>
    <w:rsid w:val="00411C0A"/>
    <w:rsid w:val="00411F14"/>
    <w:rsid w:val="00412143"/>
    <w:rsid w:val="00412280"/>
    <w:rsid w:val="004122D7"/>
    <w:rsid w:val="004128FB"/>
    <w:rsid w:val="00412B20"/>
    <w:rsid w:val="00412B41"/>
    <w:rsid w:val="00412C62"/>
    <w:rsid w:val="00412D9F"/>
    <w:rsid w:val="00412E53"/>
    <w:rsid w:val="00412FE9"/>
    <w:rsid w:val="004135E5"/>
    <w:rsid w:val="00413A23"/>
    <w:rsid w:val="00413C3F"/>
    <w:rsid w:val="00413EF3"/>
    <w:rsid w:val="00414175"/>
    <w:rsid w:val="004145D5"/>
    <w:rsid w:val="0041463F"/>
    <w:rsid w:val="00414795"/>
    <w:rsid w:val="00414C32"/>
    <w:rsid w:val="00414C6A"/>
    <w:rsid w:val="00414ED9"/>
    <w:rsid w:val="00414F1A"/>
    <w:rsid w:val="004151A6"/>
    <w:rsid w:val="00415223"/>
    <w:rsid w:val="0041537B"/>
    <w:rsid w:val="0041559F"/>
    <w:rsid w:val="00415632"/>
    <w:rsid w:val="00415668"/>
    <w:rsid w:val="00415BD1"/>
    <w:rsid w:val="00415FD2"/>
    <w:rsid w:val="00416261"/>
    <w:rsid w:val="004169C5"/>
    <w:rsid w:val="00416A71"/>
    <w:rsid w:val="00416E3D"/>
    <w:rsid w:val="00416FC1"/>
    <w:rsid w:val="00416FEC"/>
    <w:rsid w:val="00416FF0"/>
    <w:rsid w:val="0041703A"/>
    <w:rsid w:val="004170E8"/>
    <w:rsid w:val="0041715F"/>
    <w:rsid w:val="004177EE"/>
    <w:rsid w:val="004178D3"/>
    <w:rsid w:val="00417D95"/>
    <w:rsid w:val="00417D9C"/>
    <w:rsid w:val="00417D9E"/>
    <w:rsid w:val="00417DED"/>
    <w:rsid w:val="0042016D"/>
    <w:rsid w:val="00420244"/>
    <w:rsid w:val="00420594"/>
    <w:rsid w:val="004205B5"/>
    <w:rsid w:val="00420619"/>
    <w:rsid w:val="00420734"/>
    <w:rsid w:val="0042077E"/>
    <w:rsid w:val="004208E7"/>
    <w:rsid w:val="00420A0E"/>
    <w:rsid w:val="00420C26"/>
    <w:rsid w:val="00420C57"/>
    <w:rsid w:val="00420E0E"/>
    <w:rsid w:val="00420EDD"/>
    <w:rsid w:val="00420FE5"/>
    <w:rsid w:val="004211AB"/>
    <w:rsid w:val="004215FA"/>
    <w:rsid w:val="0042172B"/>
    <w:rsid w:val="004217D5"/>
    <w:rsid w:val="00421934"/>
    <w:rsid w:val="00421ABE"/>
    <w:rsid w:val="00421B54"/>
    <w:rsid w:val="00421C27"/>
    <w:rsid w:val="00421D15"/>
    <w:rsid w:val="00421D2D"/>
    <w:rsid w:val="00422100"/>
    <w:rsid w:val="00422119"/>
    <w:rsid w:val="00422194"/>
    <w:rsid w:val="0042225D"/>
    <w:rsid w:val="00422379"/>
    <w:rsid w:val="00422482"/>
    <w:rsid w:val="0042291E"/>
    <w:rsid w:val="00422D0B"/>
    <w:rsid w:val="00422D56"/>
    <w:rsid w:val="00422F5C"/>
    <w:rsid w:val="004230CD"/>
    <w:rsid w:val="00423290"/>
    <w:rsid w:val="004234E3"/>
    <w:rsid w:val="00423A44"/>
    <w:rsid w:val="00423AFA"/>
    <w:rsid w:val="00423B8F"/>
    <w:rsid w:val="00423BBE"/>
    <w:rsid w:val="00423C11"/>
    <w:rsid w:val="0042416D"/>
    <w:rsid w:val="004242CF"/>
    <w:rsid w:val="0042436F"/>
    <w:rsid w:val="00424578"/>
    <w:rsid w:val="00424716"/>
    <w:rsid w:val="00424796"/>
    <w:rsid w:val="00424836"/>
    <w:rsid w:val="0042486B"/>
    <w:rsid w:val="004249E0"/>
    <w:rsid w:val="00424A5D"/>
    <w:rsid w:val="00424C13"/>
    <w:rsid w:val="0042501E"/>
    <w:rsid w:val="004253B9"/>
    <w:rsid w:val="00425425"/>
    <w:rsid w:val="0042565F"/>
    <w:rsid w:val="00425695"/>
    <w:rsid w:val="0042570A"/>
    <w:rsid w:val="00425786"/>
    <w:rsid w:val="00425D5A"/>
    <w:rsid w:val="00425F0F"/>
    <w:rsid w:val="00425FA3"/>
    <w:rsid w:val="00426156"/>
    <w:rsid w:val="00426266"/>
    <w:rsid w:val="004263A1"/>
    <w:rsid w:val="0042648E"/>
    <w:rsid w:val="00426506"/>
    <w:rsid w:val="00426880"/>
    <w:rsid w:val="00426ADC"/>
    <w:rsid w:val="0042717A"/>
    <w:rsid w:val="00427227"/>
    <w:rsid w:val="00427314"/>
    <w:rsid w:val="004274BD"/>
    <w:rsid w:val="0042754D"/>
    <w:rsid w:val="004275AB"/>
    <w:rsid w:val="00427AA8"/>
    <w:rsid w:val="00427D77"/>
    <w:rsid w:val="00427E3F"/>
    <w:rsid w:val="004300D9"/>
    <w:rsid w:val="0043042B"/>
    <w:rsid w:val="004306AE"/>
    <w:rsid w:val="0043089A"/>
    <w:rsid w:val="0043096B"/>
    <w:rsid w:val="00430A76"/>
    <w:rsid w:val="00430B5F"/>
    <w:rsid w:val="00430C78"/>
    <w:rsid w:val="00430DE2"/>
    <w:rsid w:val="004310F7"/>
    <w:rsid w:val="0043139B"/>
    <w:rsid w:val="00431415"/>
    <w:rsid w:val="00431437"/>
    <w:rsid w:val="0043144E"/>
    <w:rsid w:val="00431478"/>
    <w:rsid w:val="004315F2"/>
    <w:rsid w:val="004318F6"/>
    <w:rsid w:val="00431A29"/>
    <w:rsid w:val="00431B73"/>
    <w:rsid w:val="00431E2F"/>
    <w:rsid w:val="00431E6B"/>
    <w:rsid w:val="00431F4D"/>
    <w:rsid w:val="00432003"/>
    <w:rsid w:val="004320BD"/>
    <w:rsid w:val="00432A67"/>
    <w:rsid w:val="00432C78"/>
    <w:rsid w:val="00432DEE"/>
    <w:rsid w:val="00432F38"/>
    <w:rsid w:val="00432F97"/>
    <w:rsid w:val="00432FC4"/>
    <w:rsid w:val="004332D9"/>
    <w:rsid w:val="0043332D"/>
    <w:rsid w:val="00433421"/>
    <w:rsid w:val="00433448"/>
    <w:rsid w:val="004334DC"/>
    <w:rsid w:val="00433606"/>
    <w:rsid w:val="004338FE"/>
    <w:rsid w:val="00433E2A"/>
    <w:rsid w:val="00433E9A"/>
    <w:rsid w:val="00433E9E"/>
    <w:rsid w:val="00433ED5"/>
    <w:rsid w:val="00434162"/>
    <w:rsid w:val="0043461B"/>
    <w:rsid w:val="0043467E"/>
    <w:rsid w:val="004347DB"/>
    <w:rsid w:val="00434826"/>
    <w:rsid w:val="00434908"/>
    <w:rsid w:val="00434A46"/>
    <w:rsid w:val="0043525D"/>
    <w:rsid w:val="00435342"/>
    <w:rsid w:val="00435625"/>
    <w:rsid w:val="004359C9"/>
    <w:rsid w:val="00435B52"/>
    <w:rsid w:val="00435B57"/>
    <w:rsid w:val="004360BC"/>
    <w:rsid w:val="004360C9"/>
    <w:rsid w:val="00436150"/>
    <w:rsid w:val="004362E3"/>
    <w:rsid w:val="00436392"/>
    <w:rsid w:val="004363AD"/>
    <w:rsid w:val="004363E2"/>
    <w:rsid w:val="00436545"/>
    <w:rsid w:val="00436565"/>
    <w:rsid w:val="00436879"/>
    <w:rsid w:val="0043687C"/>
    <w:rsid w:val="00436BF4"/>
    <w:rsid w:val="00436D38"/>
    <w:rsid w:val="0043709A"/>
    <w:rsid w:val="00437100"/>
    <w:rsid w:val="00437160"/>
    <w:rsid w:val="00437233"/>
    <w:rsid w:val="004372DC"/>
    <w:rsid w:val="00437681"/>
    <w:rsid w:val="00437775"/>
    <w:rsid w:val="00437996"/>
    <w:rsid w:val="00437C94"/>
    <w:rsid w:val="00437CAD"/>
    <w:rsid w:val="00437EEC"/>
    <w:rsid w:val="00440213"/>
    <w:rsid w:val="00440416"/>
    <w:rsid w:val="00440597"/>
    <w:rsid w:val="004405A9"/>
    <w:rsid w:val="004406B4"/>
    <w:rsid w:val="0044074C"/>
    <w:rsid w:val="00440849"/>
    <w:rsid w:val="0044095B"/>
    <w:rsid w:val="0044096F"/>
    <w:rsid w:val="00440CD7"/>
    <w:rsid w:val="00440D6E"/>
    <w:rsid w:val="00440D6F"/>
    <w:rsid w:val="00440D8F"/>
    <w:rsid w:val="00440ECF"/>
    <w:rsid w:val="00440F0C"/>
    <w:rsid w:val="00440F2E"/>
    <w:rsid w:val="00440FD6"/>
    <w:rsid w:val="0044101B"/>
    <w:rsid w:val="00441149"/>
    <w:rsid w:val="00441160"/>
    <w:rsid w:val="00441678"/>
    <w:rsid w:val="0044197F"/>
    <w:rsid w:val="00441BC2"/>
    <w:rsid w:val="00441C93"/>
    <w:rsid w:val="00442094"/>
    <w:rsid w:val="004420AC"/>
    <w:rsid w:val="00442268"/>
    <w:rsid w:val="00442287"/>
    <w:rsid w:val="0044235E"/>
    <w:rsid w:val="0044237A"/>
    <w:rsid w:val="0044257B"/>
    <w:rsid w:val="00442614"/>
    <w:rsid w:val="00442726"/>
    <w:rsid w:val="00442749"/>
    <w:rsid w:val="00442752"/>
    <w:rsid w:val="00442801"/>
    <w:rsid w:val="004429C1"/>
    <w:rsid w:val="004429E5"/>
    <w:rsid w:val="00442C4E"/>
    <w:rsid w:val="00442E04"/>
    <w:rsid w:val="00442E22"/>
    <w:rsid w:val="00442E9E"/>
    <w:rsid w:val="00443034"/>
    <w:rsid w:val="00443330"/>
    <w:rsid w:val="004433C7"/>
    <w:rsid w:val="00443881"/>
    <w:rsid w:val="00443B23"/>
    <w:rsid w:val="00443C57"/>
    <w:rsid w:val="004440DD"/>
    <w:rsid w:val="0044429D"/>
    <w:rsid w:val="004449C7"/>
    <w:rsid w:val="00444A31"/>
    <w:rsid w:val="00444ABE"/>
    <w:rsid w:val="00444C42"/>
    <w:rsid w:val="00444DCE"/>
    <w:rsid w:val="00444DFE"/>
    <w:rsid w:val="00445077"/>
    <w:rsid w:val="0044510E"/>
    <w:rsid w:val="0044559F"/>
    <w:rsid w:val="00445684"/>
    <w:rsid w:val="004458A5"/>
    <w:rsid w:val="0044596F"/>
    <w:rsid w:val="00445AE4"/>
    <w:rsid w:val="00445B75"/>
    <w:rsid w:val="00445CBD"/>
    <w:rsid w:val="00445D4B"/>
    <w:rsid w:val="00445DF4"/>
    <w:rsid w:val="00445E47"/>
    <w:rsid w:val="00445E76"/>
    <w:rsid w:val="0044606B"/>
    <w:rsid w:val="004460AD"/>
    <w:rsid w:val="00446169"/>
    <w:rsid w:val="0044629E"/>
    <w:rsid w:val="0044639D"/>
    <w:rsid w:val="00446490"/>
    <w:rsid w:val="004467B2"/>
    <w:rsid w:val="00446ACC"/>
    <w:rsid w:val="00446AD7"/>
    <w:rsid w:val="00446AEC"/>
    <w:rsid w:val="00446AEF"/>
    <w:rsid w:val="00446B58"/>
    <w:rsid w:val="00446BF5"/>
    <w:rsid w:val="00446DAA"/>
    <w:rsid w:val="00446DFD"/>
    <w:rsid w:val="00447144"/>
    <w:rsid w:val="0044714C"/>
    <w:rsid w:val="00447395"/>
    <w:rsid w:val="00447461"/>
    <w:rsid w:val="00447477"/>
    <w:rsid w:val="004475ED"/>
    <w:rsid w:val="004477CD"/>
    <w:rsid w:val="004479C8"/>
    <w:rsid w:val="00447A01"/>
    <w:rsid w:val="00447AC3"/>
    <w:rsid w:val="00447CE1"/>
    <w:rsid w:val="00447D7C"/>
    <w:rsid w:val="00447FFE"/>
    <w:rsid w:val="004500A0"/>
    <w:rsid w:val="004500C3"/>
    <w:rsid w:val="004501DA"/>
    <w:rsid w:val="004501E9"/>
    <w:rsid w:val="00450598"/>
    <w:rsid w:val="00450732"/>
    <w:rsid w:val="00450947"/>
    <w:rsid w:val="00450B2E"/>
    <w:rsid w:val="00450C45"/>
    <w:rsid w:val="004510A8"/>
    <w:rsid w:val="0045111B"/>
    <w:rsid w:val="004511C4"/>
    <w:rsid w:val="00451252"/>
    <w:rsid w:val="004512EC"/>
    <w:rsid w:val="00451463"/>
    <w:rsid w:val="00451791"/>
    <w:rsid w:val="00451B6B"/>
    <w:rsid w:val="00452007"/>
    <w:rsid w:val="0045202D"/>
    <w:rsid w:val="00452222"/>
    <w:rsid w:val="004522FE"/>
    <w:rsid w:val="0045235E"/>
    <w:rsid w:val="00452419"/>
    <w:rsid w:val="00452A45"/>
    <w:rsid w:val="00452B88"/>
    <w:rsid w:val="00452D91"/>
    <w:rsid w:val="00453193"/>
    <w:rsid w:val="00453232"/>
    <w:rsid w:val="00453233"/>
    <w:rsid w:val="00453648"/>
    <w:rsid w:val="0045378E"/>
    <w:rsid w:val="0045384F"/>
    <w:rsid w:val="00453966"/>
    <w:rsid w:val="00453A9F"/>
    <w:rsid w:val="00453CA4"/>
    <w:rsid w:val="00453D50"/>
    <w:rsid w:val="0045425C"/>
    <w:rsid w:val="00454993"/>
    <w:rsid w:val="004549E8"/>
    <w:rsid w:val="00454B7E"/>
    <w:rsid w:val="00454C41"/>
    <w:rsid w:val="00454C9D"/>
    <w:rsid w:val="00454CDF"/>
    <w:rsid w:val="00454D12"/>
    <w:rsid w:val="00454D6D"/>
    <w:rsid w:val="00455032"/>
    <w:rsid w:val="00455144"/>
    <w:rsid w:val="004551C6"/>
    <w:rsid w:val="00455227"/>
    <w:rsid w:val="00455287"/>
    <w:rsid w:val="00455455"/>
    <w:rsid w:val="00455506"/>
    <w:rsid w:val="004555A7"/>
    <w:rsid w:val="0045574A"/>
    <w:rsid w:val="0045597D"/>
    <w:rsid w:val="00455A11"/>
    <w:rsid w:val="00455A38"/>
    <w:rsid w:val="00455C42"/>
    <w:rsid w:val="00455D17"/>
    <w:rsid w:val="00455DCB"/>
    <w:rsid w:val="00455E57"/>
    <w:rsid w:val="00455FC5"/>
    <w:rsid w:val="00456226"/>
    <w:rsid w:val="00456345"/>
    <w:rsid w:val="0045651A"/>
    <w:rsid w:val="0045671B"/>
    <w:rsid w:val="004567FD"/>
    <w:rsid w:val="00456B11"/>
    <w:rsid w:val="00456C72"/>
    <w:rsid w:val="00456D9F"/>
    <w:rsid w:val="00456E8F"/>
    <w:rsid w:val="00456FDF"/>
    <w:rsid w:val="00457015"/>
    <w:rsid w:val="00457124"/>
    <w:rsid w:val="00457353"/>
    <w:rsid w:val="0045751E"/>
    <w:rsid w:val="004575F1"/>
    <w:rsid w:val="00457649"/>
    <w:rsid w:val="00457689"/>
    <w:rsid w:val="0045769E"/>
    <w:rsid w:val="00457732"/>
    <w:rsid w:val="00457976"/>
    <w:rsid w:val="004579DC"/>
    <w:rsid w:val="00457B82"/>
    <w:rsid w:val="00457D22"/>
    <w:rsid w:val="00457DA0"/>
    <w:rsid w:val="00457E9F"/>
    <w:rsid w:val="00457F42"/>
    <w:rsid w:val="00460088"/>
    <w:rsid w:val="00460099"/>
    <w:rsid w:val="0046010C"/>
    <w:rsid w:val="004604FF"/>
    <w:rsid w:val="00460661"/>
    <w:rsid w:val="00460884"/>
    <w:rsid w:val="00460AD9"/>
    <w:rsid w:val="00460C7C"/>
    <w:rsid w:val="00460D0E"/>
    <w:rsid w:val="00460D2C"/>
    <w:rsid w:val="00460E2C"/>
    <w:rsid w:val="00461253"/>
    <w:rsid w:val="00461398"/>
    <w:rsid w:val="004613B8"/>
    <w:rsid w:val="00461623"/>
    <w:rsid w:val="00461837"/>
    <w:rsid w:val="004619AC"/>
    <w:rsid w:val="00461DEF"/>
    <w:rsid w:val="00461F5B"/>
    <w:rsid w:val="00461F6E"/>
    <w:rsid w:val="00461F6F"/>
    <w:rsid w:val="0046214C"/>
    <w:rsid w:val="00462217"/>
    <w:rsid w:val="0046366E"/>
    <w:rsid w:val="0046367B"/>
    <w:rsid w:val="004638C2"/>
    <w:rsid w:val="00463D8B"/>
    <w:rsid w:val="00463F1A"/>
    <w:rsid w:val="00464182"/>
    <w:rsid w:val="0046427F"/>
    <w:rsid w:val="00464304"/>
    <w:rsid w:val="00464557"/>
    <w:rsid w:val="004646EA"/>
    <w:rsid w:val="0046497B"/>
    <w:rsid w:val="00464A80"/>
    <w:rsid w:val="00464D31"/>
    <w:rsid w:val="00464EF6"/>
    <w:rsid w:val="00464F4F"/>
    <w:rsid w:val="0046503E"/>
    <w:rsid w:val="004650E6"/>
    <w:rsid w:val="0046518A"/>
    <w:rsid w:val="0046521D"/>
    <w:rsid w:val="004652F3"/>
    <w:rsid w:val="00465309"/>
    <w:rsid w:val="004653CC"/>
    <w:rsid w:val="00465538"/>
    <w:rsid w:val="00465598"/>
    <w:rsid w:val="00465972"/>
    <w:rsid w:val="004659A2"/>
    <w:rsid w:val="004659BC"/>
    <w:rsid w:val="00465F7A"/>
    <w:rsid w:val="00466050"/>
    <w:rsid w:val="00466223"/>
    <w:rsid w:val="00466471"/>
    <w:rsid w:val="0046667D"/>
    <w:rsid w:val="0046678B"/>
    <w:rsid w:val="004669EA"/>
    <w:rsid w:val="00466AFD"/>
    <w:rsid w:val="00466B8A"/>
    <w:rsid w:val="00466D1C"/>
    <w:rsid w:val="00466D5B"/>
    <w:rsid w:val="00466E8C"/>
    <w:rsid w:val="00467147"/>
    <w:rsid w:val="00467225"/>
    <w:rsid w:val="0046723C"/>
    <w:rsid w:val="00467AB6"/>
    <w:rsid w:val="00467D73"/>
    <w:rsid w:val="004701ED"/>
    <w:rsid w:val="00470603"/>
    <w:rsid w:val="004706E7"/>
    <w:rsid w:val="00471118"/>
    <w:rsid w:val="00471255"/>
    <w:rsid w:val="00471277"/>
    <w:rsid w:val="004712C4"/>
    <w:rsid w:val="004713B6"/>
    <w:rsid w:val="00471585"/>
    <w:rsid w:val="00471832"/>
    <w:rsid w:val="004719C9"/>
    <w:rsid w:val="00471A98"/>
    <w:rsid w:val="00471B2C"/>
    <w:rsid w:val="00471B6D"/>
    <w:rsid w:val="00471F11"/>
    <w:rsid w:val="00472096"/>
    <w:rsid w:val="004721CA"/>
    <w:rsid w:val="0047224D"/>
    <w:rsid w:val="004722EF"/>
    <w:rsid w:val="00472557"/>
    <w:rsid w:val="00472857"/>
    <w:rsid w:val="00472951"/>
    <w:rsid w:val="00472C9B"/>
    <w:rsid w:val="00472E16"/>
    <w:rsid w:val="00472EAA"/>
    <w:rsid w:val="0047300A"/>
    <w:rsid w:val="00473120"/>
    <w:rsid w:val="00473146"/>
    <w:rsid w:val="00473409"/>
    <w:rsid w:val="004734E4"/>
    <w:rsid w:val="004734F2"/>
    <w:rsid w:val="00473848"/>
    <w:rsid w:val="00473DCA"/>
    <w:rsid w:val="00473E1E"/>
    <w:rsid w:val="00473F15"/>
    <w:rsid w:val="0047400A"/>
    <w:rsid w:val="004744CA"/>
    <w:rsid w:val="0047460B"/>
    <w:rsid w:val="00474722"/>
    <w:rsid w:val="0047479B"/>
    <w:rsid w:val="004749D7"/>
    <w:rsid w:val="00474D61"/>
    <w:rsid w:val="00474D77"/>
    <w:rsid w:val="00474FFC"/>
    <w:rsid w:val="004754F9"/>
    <w:rsid w:val="004755C7"/>
    <w:rsid w:val="00475665"/>
    <w:rsid w:val="00475684"/>
    <w:rsid w:val="004756AE"/>
    <w:rsid w:val="00475889"/>
    <w:rsid w:val="004759ED"/>
    <w:rsid w:val="00475B03"/>
    <w:rsid w:val="00475FE9"/>
    <w:rsid w:val="0047613B"/>
    <w:rsid w:val="0047622B"/>
    <w:rsid w:val="00476306"/>
    <w:rsid w:val="004766E7"/>
    <w:rsid w:val="00476763"/>
    <w:rsid w:val="0047677D"/>
    <w:rsid w:val="00476B28"/>
    <w:rsid w:val="00476D7D"/>
    <w:rsid w:val="00476DCB"/>
    <w:rsid w:val="00476DE9"/>
    <w:rsid w:val="00476ED5"/>
    <w:rsid w:val="00476F08"/>
    <w:rsid w:val="00476F3C"/>
    <w:rsid w:val="00476FF6"/>
    <w:rsid w:val="00477485"/>
    <w:rsid w:val="00477540"/>
    <w:rsid w:val="004777C3"/>
    <w:rsid w:val="00477A3F"/>
    <w:rsid w:val="00477A76"/>
    <w:rsid w:val="00477A99"/>
    <w:rsid w:val="00477B1D"/>
    <w:rsid w:val="00477B74"/>
    <w:rsid w:val="00477BB6"/>
    <w:rsid w:val="00477BE0"/>
    <w:rsid w:val="00477DEC"/>
    <w:rsid w:val="00477F29"/>
    <w:rsid w:val="00480413"/>
    <w:rsid w:val="004804F9"/>
    <w:rsid w:val="0048069D"/>
    <w:rsid w:val="004806FF"/>
    <w:rsid w:val="0048085E"/>
    <w:rsid w:val="00480A81"/>
    <w:rsid w:val="00480ABB"/>
    <w:rsid w:val="00480CFB"/>
    <w:rsid w:val="00480DC1"/>
    <w:rsid w:val="00480E5A"/>
    <w:rsid w:val="00480EBC"/>
    <w:rsid w:val="004811EE"/>
    <w:rsid w:val="004812E6"/>
    <w:rsid w:val="00481596"/>
    <w:rsid w:val="00481680"/>
    <w:rsid w:val="004816B5"/>
    <w:rsid w:val="00481978"/>
    <w:rsid w:val="00481A60"/>
    <w:rsid w:val="00481CE0"/>
    <w:rsid w:val="00481DE4"/>
    <w:rsid w:val="00481E1D"/>
    <w:rsid w:val="0048200B"/>
    <w:rsid w:val="00482350"/>
    <w:rsid w:val="004823EE"/>
    <w:rsid w:val="00482449"/>
    <w:rsid w:val="00482466"/>
    <w:rsid w:val="0048255A"/>
    <w:rsid w:val="004825CC"/>
    <w:rsid w:val="00482669"/>
    <w:rsid w:val="00482C73"/>
    <w:rsid w:val="00482D0B"/>
    <w:rsid w:val="00482D49"/>
    <w:rsid w:val="00482FD2"/>
    <w:rsid w:val="00483407"/>
    <w:rsid w:val="004834A2"/>
    <w:rsid w:val="004835A2"/>
    <w:rsid w:val="00483628"/>
    <w:rsid w:val="00483799"/>
    <w:rsid w:val="00483835"/>
    <w:rsid w:val="00483904"/>
    <w:rsid w:val="00483A5F"/>
    <w:rsid w:val="00483A7B"/>
    <w:rsid w:val="00483BA8"/>
    <w:rsid w:val="00483BD2"/>
    <w:rsid w:val="00483BDE"/>
    <w:rsid w:val="00483CD2"/>
    <w:rsid w:val="00484182"/>
    <w:rsid w:val="004842B0"/>
    <w:rsid w:val="00484507"/>
    <w:rsid w:val="00484622"/>
    <w:rsid w:val="0048477A"/>
    <w:rsid w:val="00484A0C"/>
    <w:rsid w:val="00484C90"/>
    <w:rsid w:val="00484EDB"/>
    <w:rsid w:val="00484EE5"/>
    <w:rsid w:val="00484F3F"/>
    <w:rsid w:val="00485525"/>
    <w:rsid w:val="004855EB"/>
    <w:rsid w:val="004858FC"/>
    <w:rsid w:val="0048595F"/>
    <w:rsid w:val="00485B28"/>
    <w:rsid w:val="00485CAA"/>
    <w:rsid w:val="00485D26"/>
    <w:rsid w:val="00485E3B"/>
    <w:rsid w:val="00485F2D"/>
    <w:rsid w:val="0048612F"/>
    <w:rsid w:val="0048653A"/>
    <w:rsid w:val="004866BB"/>
    <w:rsid w:val="00486770"/>
    <w:rsid w:val="0048693B"/>
    <w:rsid w:val="00486A4B"/>
    <w:rsid w:val="00486AC7"/>
    <w:rsid w:val="00486AEC"/>
    <w:rsid w:val="00486FEB"/>
    <w:rsid w:val="00487016"/>
    <w:rsid w:val="004870F8"/>
    <w:rsid w:val="00487225"/>
    <w:rsid w:val="00487368"/>
    <w:rsid w:val="0048745D"/>
    <w:rsid w:val="004874CE"/>
    <w:rsid w:val="004874F2"/>
    <w:rsid w:val="004874FD"/>
    <w:rsid w:val="004875C6"/>
    <w:rsid w:val="00487A02"/>
    <w:rsid w:val="00487C2B"/>
    <w:rsid w:val="00487E4C"/>
    <w:rsid w:val="00487F08"/>
    <w:rsid w:val="004901EE"/>
    <w:rsid w:val="0049025B"/>
    <w:rsid w:val="00490665"/>
    <w:rsid w:val="0049068B"/>
    <w:rsid w:val="00490699"/>
    <w:rsid w:val="0049093A"/>
    <w:rsid w:val="00490AE0"/>
    <w:rsid w:val="00490C7C"/>
    <w:rsid w:val="00490E64"/>
    <w:rsid w:val="00490EC2"/>
    <w:rsid w:val="00490F73"/>
    <w:rsid w:val="004910B6"/>
    <w:rsid w:val="0049152D"/>
    <w:rsid w:val="004916BF"/>
    <w:rsid w:val="0049170B"/>
    <w:rsid w:val="0049181C"/>
    <w:rsid w:val="004919F0"/>
    <w:rsid w:val="00491B27"/>
    <w:rsid w:val="00491BD7"/>
    <w:rsid w:val="00491E6D"/>
    <w:rsid w:val="00491F66"/>
    <w:rsid w:val="004920AE"/>
    <w:rsid w:val="0049212B"/>
    <w:rsid w:val="00492296"/>
    <w:rsid w:val="00492873"/>
    <w:rsid w:val="004928A3"/>
    <w:rsid w:val="0049293B"/>
    <w:rsid w:val="004929B7"/>
    <w:rsid w:val="00492C62"/>
    <w:rsid w:val="00492C8F"/>
    <w:rsid w:val="00492D47"/>
    <w:rsid w:val="00492D66"/>
    <w:rsid w:val="00492DAA"/>
    <w:rsid w:val="00492EDF"/>
    <w:rsid w:val="00493143"/>
    <w:rsid w:val="00493351"/>
    <w:rsid w:val="004936D2"/>
    <w:rsid w:val="00493813"/>
    <w:rsid w:val="00493B96"/>
    <w:rsid w:val="00493BDF"/>
    <w:rsid w:val="00493BEC"/>
    <w:rsid w:val="00493E47"/>
    <w:rsid w:val="00494478"/>
    <w:rsid w:val="00494A35"/>
    <w:rsid w:val="00494ACC"/>
    <w:rsid w:val="00494ADB"/>
    <w:rsid w:val="00494B9C"/>
    <w:rsid w:val="00494CF4"/>
    <w:rsid w:val="00494DC6"/>
    <w:rsid w:val="00494E0A"/>
    <w:rsid w:val="00494E34"/>
    <w:rsid w:val="00494E39"/>
    <w:rsid w:val="00494FEF"/>
    <w:rsid w:val="00495479"/>
    <w:rsid w:val="00495653"/>
    <w:rsid w:val="00495655"/>
    <w:rsid w:val="00495674"/>
    <w:rsid w:val="0049577F"/>
    <w:rsid w:val="004957A2"/>
    <w:rsid w:val="004957B8"/>
    <w:rsid w:val="00495845"/>
    <w:rsid w:val="00495A3D"/>
    <w:rsid w:val="00495B9D"/>
    <w:rsid w:val="0049606F"/>
    <w:rsid w:val="00496184"/>
    <w:rsid w:val="004963E0"/>
    <w:rsid w:val="00496722"/>
    <w:rsid w:val="00496A6E"/>
    <w:rsid w:val="00496A70"/>
    <w:rsid w:val="00496DBC"/>
    <w:rsid w:val="00496DE7"/>
    <w:rsid w:val="00496E58"/>
    <w:rsid w:val="00497093"/>
    <w:rsid w:val="00497595"/>
    <w:rsid w:val="004976A5"/>
    <w:rsid w:val="0049780E"/>
    <w:rsid w:val="00497D9B"/>
    <w:rsid w:val="00497DFD"/>
    <w:rsid w:val="00497E9B"/>
    <w:rsid w:val="00497EB8"/>
    <w:rsid w:val="00497F21"/>
    <w:rsid w:val="00497F43"/>
    <w:rsid w:val="00497FEC"/>
    <w:rsid w:val="004A005F"/>
    <w:rsid w:val="004A02F8"/>
    <w:rsid w:val="004A0308"/>
    <w:rsid w:val="004A03BF"/>
    <w:rsid w:val="004A056E"/>
    <w:rsid w:val="004A0766"/>
    <w:rsid w:val="004A0825"/>
    <w:rsid w:val="004A08A1"/>
    <w:rsid w:val="004A08A4"/>
    <w:rsid w:val="004A0911"/>
    <w:rsid w:val="004A0D56"/>
    <w:rsid w:val="004A0DD8"/>
    <w:rsid w:val="004A0DEE"/>
    <w:rsid w:val="004A103E"/>
    <w:rsid w:val="004A12D5"/>
    <w:rsid w:val="004A140E"/>
    <w:rsid w:val="004A1449"/>
    <w:rsid w:val="004A1716"/>
    <w:rsid w:val="004A1824"/>
    <w:rsid w:val="004A1893"/>
    <w:rsid w:val="004A1AB9"/>
    <w:rsid w:val="004A1AFF"/>
    <w:rsid w:val="004A1CE5"/>
    <w:rsid w:val="004A1DA7"/>
    <w:rsid w:val="004A2229"/>
    <w:rsid w:val="004A2312"/>
    <w:rsid w:val="004A235C"/>
    <w:rsid w:val="004A2658"/>
    <w:rsid w:val="004A29C4"/>
    <w:rsid w:val="004A2A67"/>
    <w:rsid w:val="004A2B19"/>
    <w:rsid w:val="004A2DD4"/>
    <w:rsid w:val="004A2E1C"/>
    <w:rsid w:val="004A2E2C"/>
    <w:rsid w:val="004A2F27"/>
    <w:rsid w:val="004A305C"/>
    <w:rsid w:val="004A30CA"/>
    <w:rsid w:val="004A314F"/>
    <w:rsid w:val="004A32FC"/>
    <w:rsid w:val="004A335E"/>
    <w:rsid w:val="004A3371"/>
    <w:rsid w:val="004A3388"/>
    <w:rsid w:val="004A35F5"/>
    <w:rsid w:val="004A37E1"/>
    <w:rsid w:val="004A3816"/>
    <w:rsid w:val="004A383F"/>
    <w:rsid w:val="004A39C6"/>
    <w:rsid w:val="004A3C5D"/>
    <w:rsid w:val="004A3D2A"/>
    <w:rsid w:val="004A4073"/>
    <w:rsid w:val="004A40D2"/>
    <w:rsid w:val="004A4107"/>
    <w:rsid w:val="004A4135"/>
    <w:rsid w:val="004A4539"/>
    <w:rsid w:val="004A47AB"/>
    <w:rsid w:val="004A48F6"/>
    <w:rsid w:val="004A49F2"/>
    <w:rsid w:val="004A4AA4"/>
    <w:rsid w:val="004A4C93"/>
    <w:rsid w:val="004A4CCD"/>
    <w:rsid w:val="004A4D85"/>
    <w:rsid w:val="004A4F6D"/>
    <w:rsid w:val="004A5112"/>
    <w:rsid w:val="004A511B"/>
    <w:rsid w:val="004A51CD"/>
    <w:rsid w:val="004A56D1"/>
    <w:rsid w:val="004A5851"/>
    <w:rsid w:val="004A5947"/>
    <w:rsid w:val="004A5B1C"/>
    <w:rsid w:val="004A5EA1"/>
    <w:rsid w:val="004A5FA4"/>
    <w:rsid w:val="004A6288"/>
    <w:rsid w:val="004A6310"/>
    <w:rsid w:val="004A6409"/>
    <w:rsid w:val="004A658C"/>
    <w:rsid w:val="004A669C"/>
    <w:rsid w:val="004A68D2"/>
    <w:rsid w:val="004A694E"/>
    <w:rsid w:val="004A6C9B"/>
    <w:rsid w:val="004A6CBF"/>
    <w:rsid w:val="004A6E14"/>
    <w:rsid w:val="004A6E34"/>
    <w:rsid w:val="004A6FBE"/>
    <w:rsid w:val="004A712E"/>
    <w:rsid w:val="004A75AA"/>
    <w:rsid w:val="004A7693"/>
    <w:rsid w:val="004A7947"/>
    <w:rsid w:val="004A7C18"/>
    <w:rsid w:val="004A7C1D"/>
    <w:rsid w:val="004A7C6F"/>
    <w:rsid w:val="004A7D44"/>
    <w:rsid w:val="004A7E9A"/>
    <w:rsid w:val="004A7EA2"/>
    <w:rsid w:val="004A7F54"/>
    <w:rsid w:val="004B013E"/>
    <w:rsid w:val="004B0209"/>
    <w:rsid w:val="004B03C2"/>
    <w:rsid w:val="004B03E3"/>
    <w:rsid w:val="004B03F2"/>
    <w:rsid w:val="004B0884"/>
    <w:rsid w:val="004B089D"/>
    <w:rsid w:val="004B097B"/>
    <w:rsid w:val="004B0B9E"/>
    <w:rsid w:val="004B0C6D"/>
    <w:rsid w:val="004B0F08"/>
    <w:rsid w:val="004B0F7A"/>
    <w:rsid w:val="004B0FA1"/>
    <w:rsid w:val="004B1032"/>
    <w:rsid w:val="004B1235"/>
    <w:rsid w:val="004B15FA"/>
    <w:rsid w:val="004B195C"/>
    <w:rsid w:val="004B1A65"/>
    <w:rsid w:val="004B1BC9"/>
    <w:rsid w:val="004B1DCF"/>
    <w:rsid w:val="004B203F"/>
    <w:rsid w:val="004B24E5"/>
    <w:rsid w:val="004B2653"/>
    <w:rsid w:val="004B288F"/>
    <w:rsid w:val="004B2AC3"/>
    <w:rsid w:val="004B2AD1"/>
    <w:rsid w:val="004B2C8C"/>
    <w:rsid w:val="004B2CA9"/>
    <w:rsid w:val="004B2D01"/>
    <w:rsid w:val="004B2EF0"/>
    <w:rsid w:val="004B2F49"/>
    <w:rsid w:val="004B3210"/>
    <w:rsid w:val="004B328D"/>
    <w:rsid w:val="004B333D"/>
    <w:rsid w:val="004B33A5"/>
    <w:rsid w:val="004B352A"/>
    <w:rsid w:val="004B3B6F"/>
    <w:rsid w:val="004B3D8B"/>
    <w:rsid w:val="004B3DC7"/>
    <w:rsid w:val="004B4061"/>
    <w:rsid w:val="004B4104"/>
    <w:rsid w:val="004B4204"/>
    <w:rsid w:val="004B4323"/>
    <w:rsid w:val="004B43CD"/>
    <w:rsid w:val="004B44B1"/>
    <w:rsid w:val="004B454B"/>
    <w:rsid w:val="004B45F2"/>
    <w:rsid w:val="004B469C"/>
    <w:rsid w:val="004B49AD"/>
    <w:rsid w:val="004B4C0C"/>
    <w:rsid w:val="004B50B3"/>
    <w:rsid w:val="004B5307"/>
    <w:rsid w:val="004B5774"/>
    <w:rsid w:val="004B5901"/>
    <w:rsid w:val="004B5D69"/>
    <w:rsid w:val="004B5DCE"/>
    <w:rsid w:val="004B5DE1"/>
    <w:rsid w:val="004B5E08"/>
    <w:rsid w:val="004B5FD0"/>
    <w:rsid w:val="004B614A"/>
    <w:rsid w:val="004B647C"/>
    <w:rsid w:val="004B64D2"/>
    <w:rsid w:val="004B65DF"/>
    <w:rsid w:val="004B6695"/>
    <w:rsid w:val="004B679E"/>
    <w:rsid w:val="004B6958"/>
    <w:rsid w:val="004B69DF"/>
    <w:rsid w:val="004B6B7A"/>
    <w:rsid w:val="004B6CDA"/>
    <w:rsid w:val="004B6FD8"/>
    <w:rsid w:val="004B7250"/>
    <w:rsid w:val="004B73FC"/>
    <w:rsid w:val="004B763B"/>
    <w:rsid w:val="004B79DC"/>
    <w:rsid w:val="004B7BDA"/>
    <w:rsid w:val="004B7CEC"/>
    <w:rsid w:val="004B7D3C"/>
    <w:rsid w:val="004B7FE7"/>
    <w:rsid w:val="004B7FFC"/>
    <w:rsid w:val="004C0040"/>
    <w:rsid w:val="004C0056"/>
    <w:rsid w:val="004C00F5"/>
    <w:rsid w:val="004C01E0"/>
    <w:rsid w:val="004C04EF"/>
    <w:rsid w:val="004C05F6"/>
    <w:rsid w:val="004C080F"/>
    <w:rsid w:val="004C0962"/>
    <w:rsid w:val="004C09C6"/>
    <w:rsid w:val="004C09F9"/>
    <w:rsid w:val="004C0E8A"/>
    <w:rsid w:val="004C0EAA"/>
    <w:rsid w:val="004C0F44"/>
    <w:rsid w:val="004C13A0"/>
    <w:rsid w:val="004C13A8"/>
    <w:rsid w:val="004C14B1"/>
    <w:rsid w:val="004C1D11"/>
    <w:rsid w:val="004C207F"/>
    <w:rsid w:val="004C213E"/>
    <w:rsid w:val="004C24F8"/>
    <w:rsid w:val="004C25CF"/>
    <w:rsid w:val="004C2629"/>
    <w:rsid w:val="004C2698"/>
    <w:rsid w:val="004C27C1"/>
    <w:rsid w:val="004C2AF2"/>
    <w:rsid w:val="004C3318"/>
    <w:rsid w:val="004C3416"/>
    <w:rsid w:val="004C359A"/>
    <w:rsid w:val="004C3654"/>
    <w:rsid w:val="004C36BB"/>
    <w:rsid w:val="004C3788"/>
    <w:rsid w:val="004C37D9"/>
    <w:rsid w:val="004C3828"/>
    <w:rsid w:val="004C39DD"/>
    <w:rsid w:val="004C3F3B"/>
    <w:rsid w:val="004C3F90"/>
    <w:rsid w:val="004C453C"/>
    <w:rsid w:val="004C4893"/>
    <w:rsid w:val="004C494A"/>
    <w:rsid w:val="004C49C1"/>
    <w:rsid w:val="004C4AAF"/>
    <w:rsid w:val="004C4FB8"/>
    <w:rsid w:val="004C50A4"/>
    <w:rsid w:val="004C534A"/>
    <w:rsid w:val="004C55A6"/>
    <w:rsid w:val="004C5E11"/>
    <w:rsid w:val="004C5F45"/>
    <w:rsid w:val="004C607C"/>
    <w:rsid w:val="004C608F"/>
    <w:rsid w:val="004C6180"/>
    <w:rsid w:val="004C6198"/>
    <w:rsid w:val="004C64F8"/>
    <w:rsid w:val="004C6CE1"/>
    <w:rsid w:val="004C7031"/>
    <w:rsid w:val="004C710E"/>
    <w:rsid w:val="004C7324"/>
    <w:rsid w:val="004C73C2"/>
    <w:rsid w:val="004C7545"/>
    <w:rsid w:val="004C75FF"/>
    <w:rsid w:val="004C7680"/>
    <w:rsid w:val="004C76A4"/>
    <w:rsid w:val="004C79C9"/>
    <w:rsid w:val="004C7A74"/>
    <w:rsid w:val="004C7CD8"/>
    <w:rsid w:val="004C7EDF"/>
    <w:rsid w:val="004C7EE4"/>
    <w:rsid w:val="004C7F04"/>
    <w:rsid w:val="004C7F70"/>
    <w:rsid w:val="004D0185"/>
    <w:rsid w:val="004D026D"/>
    <w:rsid w:val="004D02DA"/>
    <w:rsid w:val="004D09E4"/>
    <w:rsid w:val="004D0A1B"/>
    <w:rsid w:val="004D0C08"/>
    <w:rsid w:val="004D0C55"/>
    <w:rsid w:val="004D12B7"/>
    <w:rsid w:val="004D12DD"/>
    <w:rsid w:val="004D153D"/>
    <w:rsid w:val="004D197E"/>
    <w:rsid w:val="004D1A15"/>
    <w:rsid w:val="004D1DC7"/>
    <w:rsid w:val="004D2117"/>
    <w:rsid w:val="004D213B"/>
    <w:rsid w:val="004D2276"/>
    <w:rsid w:val="004D22C3"/>
    <w:rsid w:val="004D22F2"/>
    <w:rsid w:val="004D23B1"/>
    <w:rsid w:val="004D24A0"/>
    <w:rsid w:val="004D2569"/>
    <w:rsid w:val="004D2578"/>
    <w:rsid w:val="004D290C"/>
    <w:rsid w:val="004D2C9F"/>
    <w:rsid w:val="004D2DFD"/>
    <w:rsid w:val="004D2F71"/>
    <w:rsid w:val="004D30FD"/>
    <w:rsid w:val="004D3913"/>
    <w:rsid w:val="004D3AF4"/>
    <w:rsid w:val="004D3DDC"/>
    <w:rsid w:val="004D3FC7"/>
    <w:rsid w:val="004D3FCE"/>
    <w:rsid w:val="004D4014"/>
    <w:rsid w:val="004D402A"/>
    <w:rsid w:val="004D409B"/>
    <w:rsid w:val="004D44C0"/>
    <w:rsid w:val="004D4BDD"/>
    <w:rsid w:val="004D4D3B"/>
    <w:rsid w:val="004D4E2A"/>
    <w:rsid w:val="004D5048"/>
    <w:rsid w:val="004D519E"/>
    <w:rsid w:val="004D5287"/>
    <w:rsid w:val="004D57D3"/>
    <w:rsid w:val="004D58A4"/>
    <w:rsid w:val="004D59D8"/>
    <w:rsid w:val="004D5BB8"/>
    <w:rsid w:val="004D5BDA"/>
    <w:rsid w:val="004D5F65"/>
    <w:rsid w:val="004D6154"/>
    <w:rsid w:val="004D617B"/>
    <w:rsid w:val="004D6752"/>
    <w:rsid w:val="004D67EB"/>
    <w:rsid w:val="004D67FC"/>
    <w:rsid w:val="004D68CB"/>
    <w:rsid w:val="004D6D21"/>
    <w:rsid w:val="004D6F0C"/>
    <w:rsid w:val="004D6F22"/>
    <w:rsid w:val="004D709F"/>
    <w:rsid w:val="004D7152"/>
    <w:rsid w:val="004D72F1"/>
    <w:rsid w:val="004D7512"/>
    <w:rsid w:val="004D76A0"/>
    <w:rsid w:val="004D76DB"/>
    <w:rsid w:val="004D76DE"/>
    <w:rsid w:val="004D7777"/>
    <w:rsid w:val="004D7A7C"/>
    <w:rsid w:val="004D7D70"/>
    <w:rsid w:val="004D7E16"/>
    <w:rsid w:val="004D7FD7"/>
    <w:rsid w:val="004E002C"/>
    <w:rsid w:val="004E011C"/>
    <w:rsid w:val="004E011D"/>
    <w:rsid w:val="004E030F"/>
    <w:rsid w:val="004E0405"/>
    <w:rsid w:val="004E0540"/>
    <w:rsid w:val="004E069A"/>
    <w:rsid w:val="004E06A7"/>
    <w:rsid w:val="004E084F"/>
    <w:rsid w:val="004E0A2A"/>
    <w:rsid w:val="004E0A56"/>
    <w:rsid w:val="004E0CE0"/>
    <w:rsid w:val="004E0F42"/>
    <w:rsid w:val="004E1001"/>
    <w:rsid w:val="004E10E4"/>
    <w:rsid w:val="004E1133"/>
    <w:rsid w:val="004E12B0"/>
    <w:rsid w:val="004E1482"/>
    <w:rsid w:val="004E1733"/>
    <w:rsid w:val="004E17D1"/>
    <w:rsid w:val="004E1A6E"/>
    <w:rsid w:val="004E1B7D"/>
    <w:rsid w:val="004E1D58"/>
    <w:rsid w:val="004E1DEF"/>
    <w:rsid w:val="004E1F55"/>
    <w:rsid w:val="004E1F98"/>
    <w:rsid w:val="004E20DD"/>
    <w:rsid w:val="004E247F"/>
    <w:rsid w:val="004E28B8"/>
    <w:rsid w:val="004E28E8"/>
    <w:rsid w:val="004E2912"/>
    <w:rsid w:val="004E2B11"/>
    <w:rsid w:val="004E2E05"/>
    <w:rsid w:val="004E2E57"/>
    <w:rsid w:val="004E2EFC"/>
    <w:rsid w:val="004E2FC7"/>
    <w:rsid w:val="004E315F"/>
    <w:rsid w:val="004E3281"/>
    <w:rsid w:val="004E32ED"/>
    <w:rsid w:val="004E34A9"/>
    <w:rsid w:val="004E3529"/>
    <w:rsid w:val="004E361E"/>
    <w:rsid w:val="004E3785"/>
    <w:rsid w:val="004E37BF"/>
    <w:rsid w:val="004E3970"/>
    <w:rsid w:val="004E3B89"/>
    <w:rsid w:val="004E3EF7"/>
    <w:rsid w:val="004E410B"/>
    <w:rsid w:val="004E412A"/>
    <w:rsid w:val="004E413F"/>
    <w:rsid w:val="004E41F0"/>
    <w:rsid w:val="004E4333"/>
    <w:rsid w:val="004E44AA"/>
    <w:rsid w:val="004E481E"/>
    <w:rsid w:val="004E4B82"/>
    <w:rsid w:val="004E4E07"/>
    <w:rsid w:val="004E4F5E"/>
    <w:rsid w:val="004E5489"/>
    <w:rsid w:val="004E55F6"/>
    <w:rsid w:val="004E574A"/>
    <w:rsid w:val="004E588C"/>
    <w:rsid w:val="004E588E"/>
    <w:rsid w:val="004E5AD0"/>
    <w:rsid w:val="004E5F41"/>
    <w:rsid w:val="004E5FDD"/>
    <w:rsid w:val="004E6085"/>
    <w:rsid w:val="004E6196"/>
    <w:rsid w:val="004E61C2"/>
    <w:rsid w:val="004E61CC"/>
    <w:rsid w:val="004E6223"/>
    <w:rsid w:val="004E622D"/>
    <w:rsid w:val="004E6325"/>
    <w:rsid w:val="004E6543"/>
    <w:rsid w:val="004E654E"/>
    <w:rsid w:val="004E65FA"/>
    <w:rsid w:val="004E6A1C"/>
    <w:rsid w:val="004E6B4E"/>
    <w:rsid w:val="004E6BB6"/>
    <w:rsid w:val="004E6D78"/>
    <w:rsid w:val="004E6E80"/>
    <w:rsid w:val="004E6EE2"/>
    <w:rsid w:val="004E729C"/>
    <w:rsid w:val="004E744E"/>
    <w:rsid w:val="004E7482"/>
    <w:rsid w:val="004E773D"/>
    <w:rsid w:val="004E77DC"/>
    <w:rsid w:val="004E77F4"/>
    <w:rsid w:val="004E7903"/>
    <w:rsid w:val="004F0063"/>
    <w:rsid w:val="004F0090"/>
    <w:rsid w:val="004F00DD"/>
    <w:rsid w:val="004F05A4"/>
    <w:rsid w:val="004F085F"/>
    <w:rsid w:val="004F0908"/>
    <w:rsid w:val="004F0DE7"/>
    <w:rsid w:val="004F1046"/>
    <w:rsid w:val="004F1183"/>
    <w:rsid w:val="004F160E"/>
    <w:rsid w:val="004F1974"/>
    <w:rsid w:val="004F1C7B"/>
    <w:rsid w:val="004F1D1D"/>
    <w:rsid w:val="004F1E81"/>
    <w:rsid w:val="004F1F55"/>
    <w:rsid w:val="004F1F69"/>
    <w:rsid w:val="004F2124"/>
    <w:rsid w:val="004F22BE"/>
    <w:rsid w:val="004F244C"/>
    <w:rsid w:val="004F2524"/>
    <w:rsid w:val="004F2708"/>
    <w:rsid w:val="004F2F94"/>
    <w:rsid w:val="004F32DE"/>
    <w:rsid w:val="004F35DC"/>
    <w:rsid w:val="004F35E4"/>
    <w:rsid w:val="004F3625"/>
    <w:rsid w:val="004F3897"/>
    <w:rsid w:val="004F3925"/>
    <w:rsid w:val="004F3A42"/>
    <w:rsid w:val="004F3B71"/>
    <w:rsid w:val="004F3EA2"/>
    <w:rsid w:val="004F3EE0"/>
    <w:rsid w:val="004F4101"/>
    <w:rsid w:val="004F4663"/>
    <w:rsid w:val="004F491F"/>
    <w:rsid w:val="004F4A80"/>
    <w:rsid w:val="004F4AA7"/>
    <w:rsid w:val="004F4AD3"/>
    <w:rsid w:val="004F4B1E"/>
    <w:rsid w:val="004F4B51"/>
    <w:rsid w:val="004F4C0A"/>
    <w:rsid w:val="004F4C77"/>
    <w:rsid w:val="004F4C8F"/>
    <w:rsid w:val="004F4DCE"/>
    <w:rsid w:val="004F50A9"/>
    <w:rsid w:val="004F55E8"/>
    <w:rsid w:val="004F5698"/>
    <w:rsid w:val="004F5896"/>
    <w:rsid w:val="004F597C"/>
    <w:rsid w:val="004F5CCD"/>
    <w:rsid w:val="004F5EF7"/>
    <w:rsid w:val="004F5F59"/>
    <w:rsid w:val="004F624C"/>
    <w:rsid w:val="004F63BE"/>
    <w:rsid w:val="004F6681"/>
    <w:rsid w:val="004F67D3"/>
    <w:rsid w:val="004F6A51"/>
    <w:rsid w:val="004F6A8F"/>
    <w:rsid w:val="004F6AD4"/>
    <w:rsid w:val="004F6D25"/>
    <w:rsid w:val="004F7001"/>
    <w:rsid w:val="004F7088"/>
    <w:rsid w:val="004F70EF"/>
    <w:rsid w:val="004F7237"/>
    <w:rsid w:val="004F7487"/>
    <w:rsid w:val="004F7774"/>
    <w:rsid w:val="004F7781"/>
    <w:rsid w:val="004F7862"/>
    <w:rsid w:val="004F7910"/>
    <w:rsid w:val="004F7AA9"/>
    <w:rsid w:val="004F7AE1"/>
    <w:rsid w:val="004F7AFD"/>
    <w:rsid w:val="004F7BE3"/>
    <w:rsid w:val="004F7CF6"/>
    <w:rsid w:val="004F7E18"/>
    <w:rsid w:val="004F7E48"/>
    <w:rsid w:val="004F7F1A"/>
    <w:rsid w:val="00500087"/>
    <w:rsid w:val="00500302"/>
    <w:rsid w:val="00500695"/>
    <w:rsid w:val="0050077C"/>
    <w:rsid w:val="005008B5"/>
    <w:rsid w:val="00501021"/>
    <w:rsid w:val="005011B3"/>
    <w:rsid w:val="00501293"/>
    <w:rsid w:val="005012C8"/>
    <w:rsid w:val="005013B8"/>
    <w:rsid w:val="005013EF"/>
    <w:rsid w:val="0050175D"/>
    <w:rsid w:val="005018C4"/>
    <w:rsid w:val="00501925"/>
    <w:rsid w:val="00501B01"/>
    <w:rsid w:val="00501D0C"/>
    <w:rsid w:val="00501D42"/>
    <w:rsid w:val="00501FBF"/>
    <w:rsid w:val="00502100"/>
    <w:rsid w:val="0050213A"/>
    <w:rsid w:val="0050214D"/>
    <w:rsid w:val="005021D2"/>
    <w:rsid w:val="005021D8"/>
    <w:rsid w:val="005022F1"/>
    <w:rsid w:val="0050237A"/>
    <w:rsid w:val="0050239C"/>
    <w:rsid w:val="005023CD"/>
    <w:rsid w:val="00502744"/>
    <w:rsid w:val="00502957"/>
    <w:rsid w:val="00502B7A"/>
    <w:rsid w:val="005030CF"/>
    <w:rsid w:val="005030F8"/>
    <w:rsid w:val="0050361F"/>
    <w:rsid w:val="0050370B"/>
    <w:rsid w:val="00503803"/>
    <w:rsid w:val="00503870"/>
    <w:rsid w:val="00503A2D"/>
    <w:rsid w:val="00503C1B"/>
    <w:rsid w:val="00503C98"/>
    <w:rsid w:val="00503F4E"/>
    <w:rsid w:val="0050411A"/>
    <w:rsid w:val="00504281"/>
    <w:rsid w:val="00504386"/>
    <w:rsid w:val="00504402"/>
    <w:rsid w:val="00504468"/>
    <w:rsid w:val="00504480"/>
    <w:rsid w:val="005044C0"/>
    <w:rsid w:val="005044C6"/>
    <w:rsid w:val="00504730"/>
    <w:rsid w:val="005048EE"/>
    <w:rsid w:val="00504D01"/>
    <w:rsid w:val="00504D56"/>
    <w:rsid w:val="00504E4E"/>
    <w:rsid w:val="00504E96"/>
    <w:rsid w:val="0050502B"/>
    <w:rsid w:val="0050524A"/>
    <w:rsid w:val="00505327"/>
    <w:rsid w:val="00505554"/>
    <w:rsid w:val="0050557E"/>
    <w:rsid w:val="005058E9"/>
    <w:rsid w:val="005059D2"/>
    <w:rsid w:val="00506200"/>
    <w:rsid w:val="0050649A"/>
    <w:rsid w:val="0050698F"/>
    <w:rsid w:val="00506FBB"/>
    <w:rsid w:val="005074BF"/>
    <w:rsid w:val="005076B5"/>
    <w:rsid w:val="00507728"/>
    <w:rsid w:val="0050775F"/>
    <w:rsid w:val="0050778C"/>
    <w:rsid w:val="00507C79"/>
    <w:rsid w:val="00507ECD"/>
    <w:rsid w:val="00507F02"/>
    <w:rsid w:val="00507FEB"/>
    <w:rsid w:val="005104A1"/>
    <w:rsid w:val="005105C2"/>
    <w:rsid w:val="0051094D"/>
    <w:rsid w:val="00510A5C"/>
    <w:rsid w:val="00510D6A"/>
    <w:rsid w:val="00510DC6"/>
    <w:rsid w:val="00510E03"/>
    <w:rsid w:val="0051126A"/>
    <w:rsid w:val="005115FF"/>
    <w:rsid w:val="00511608"/>
    <w:rsid w:val="005116E3"/>
    <w:rsid w:val="00511791"/>
    <w:rsid w:val="00511792"/>
    <w:rsid w:val="005117A3"/>
    <w:rsid w:val="005118D6"/>
    <w:rsid w:val="00511BBD"/>
    <w:rsid w:val="00511DD2"/>
    <w:rsid w:val="00511E5D"/>
    <w:rsid w:val="00511FD6"/>
    <w:rsid w:val="005120AD"/>
    <w:rsid w:val="00512234"/>
    <w:rsid w:val="005122CC"/>
    <w:rsid w:val="0051233A"/>
    <w:rsid w:val="005124C3"/>
    <w:rsid w:val="00512569"/>
    <w:rsid w:val="005125B2"/>
    <w:rsid w:val="00512623"/>
    <w:rsid w:val="0051276B"/>
    <w:rsid w:val="00512948"/>
    <w:rsid w:val="00512C4B"/>
    <w:rsid w:val="00512F97"/>
    <w:rsid w:val="0051310F"/>
    <w:rsid w:val="0051328A"/>
    <w:rsid w:val="005132BB"/>
    <w:rsid w:val="005133F1"/>
    <w:rsid w:val="00513404"/>
    <w:rsid w:val="0051345A"/>
    <w:rsid w:val="00513682"/>
    <w:rsid w:val="0051381C"/>
    <w:rsid w:val="00513A74"/>
    <w:rsid w:val="00513D8B"/>
    <w:rsid w:val="00513E18"/>
    <w:rsid w:val="00513F53"/>
    <w:rsid w:val="0051411D"/>
    <w:rsid w:val="00514222"/>
    <w:rsid w:val="005143D8"/>
    <w:rsid w:val="00514451"/>
    <w:rsid w:val="005144A2"/>
    <w:rsid w:val="00514A8D"/>
    <w:rsid w:val="00514AA7"/>
    <w:rsid w:val="00514C90"/>
    <w:rsid w:val="00514CCA"/>
    <w:rsid w:val="00514D6D"/>
    <w:rsid w:val="00514E6D"/>
    <w:rsid w:val="00514E71"/>
    <w:rsid w:val="00514E83"/>
    <w:rsid w:val="00515002"/>
    <w:rsid w:val="005151A7"/>
    <w:rsid w:val="005154B9"/>
    <w:rsid w:val="00515525"/>
    <w:rsid w:val="005155E1"/>
    <w:rsid w:val="00515785"/>
    <w:rsid w:val="0051591C"/>
    <w:rsid w:val="00515C1A"/>
    <w:rsid w:val="00515CC2"/>
    <w:rsid w:val="00515CCA"/>
    <w:rsid w:val="00515DA8"/>
    <w:rsid w:val="00515FCA"/>
    <w:rsid w:val="0051626C"/>
    <w:rsid w:val="00516431"/>
    <w:rsid w:val="005166A3"/>
    <w:rsid w:val="005166A8"/>
    <w:rsid w:val="00516706"/>
    <w:rsid w:val="00516855"/>
    <w:rsid w:val="00516A9D"/>
    <w:rsid w:val="00516BC6"/>
    <w:rsid w:val="00516C85"/>
    <w:rsid w:val="00516CFA"/>
    <w:rsid w:val="00516DC1"/>
    <w:rsid w:val="00516DF3"/>
    <w:rsid w:val="00516F0B"/>
    <w:rsid w:val="0051713F"/>
    <w:rsid w:val="00517162"/>
    <w:rsid w:val="005175E5"/>
    <w:rsid w:val="005176E5"/>
    <w:rsid w:val="005177F4"/>
    <w:rsid w:val="00517CE9"/>
    <w:rsid w:val="00517D09"/>
    <w:rsid w:val="00517F2D"/>
    <w:rsid w:val="005202E6"/>
    <w:rsid w:val="005203A0"/>
    <w:rsid w:val="005204A5"/>
    <w:rsid w:val="005206AB"/>
    <w:rsid w:val="005208BC"/>
    <w:rsid w:val="005209B0"/>
    <w:rsid w:val="005209E9"/>
    <w:rsid w:val="005209F5"/>
    <w:rsid w:val="00520AF9"/>
    <w:rsid w:val="00520B47"/>
    <w:rsid w:val="00520B4B"/>
    <w:rsid w:val="00520F27"/>
    <w:rsid w:val="00520F28"/>
    <w:rsid w:val="005212E9"/>
    <w:rsid w:val="00521435"/>
    <w:rsid w:val="0052143A"/>
    <w:rsid w:val="00521596"/>
    <w:rsid w:val="005215D0"/>
    <w:rsid w:val="0052186C"/>
    <w:rsid w:val="005218A8"/>
    <w:rsid w:val="00521A6C"/>
    <w:rsid w:val="00521B69"/>
    <w:rsid w:val="00521D21"/>
    <w:rsid w:val="00521E05"/>
    <w:rsid w:val="0052206C"/>
    <w:rsid w:val="005224E7"/>
    <w:rsid w:val="0052273E"/>
    <w:rsid w:val="005227A6"/>
    <w:rsid w:val="005227A9"/>
    <w:rsid w:val="00522C3D"/>
    <w:rsid w:val="00522C40"/>
    <w:rsid w:val="00522C83"/>
    <w:rsid w:val="00522DD9"/>
    <w:rsid w:val="00522EE1"/>
    <w:rsid w:val="00522F18"/>
    <w:rsid w:val="00522FAD"/>
    <w:rsid w:val="00522FC2"/>
    <w:rsid w:val="00523362"/>
    <w:rsid w:val="0052341F"/>
    <w:rsid w:val="00523487"/>
    <w:rsid w:val="0052357A"/>
    <w:rsid w:val="005235AB"/>
    <w:rsid w:val="00523714"/>
    <w:rsid w:val="0052372D"/>
    <w:rsid w:val="00523787"/>
    <w:rsid w:val="00523797"/>
    <w:rsid w:val="005237D0"/>
    <w:rsid w:val="00523902"/>
    <w:rsid w:val="00523A66"/>
    <w:rsid w:val="00523AF0"/>
    <w:rsid w:val="00523C1D"/>
    <w:rsid w:val="00523CC4"/>
    <w:rsid w:val="00523E50"/>
    <w:rsid w:val="00523F17"/>
    <w:rsid w:val="00524025"/>
    <w:rsid w:val="0052467E"/>
    <w:rsid w:val="00524689"/>
    <w:rsid w:val="005247D2"/>
    <w:rsid w:val="00524938"/>
    <w:rsid w:val="005249E0"/>
    <w:rsid w:val="005249FC"/>
    <w:rsid w:val="00524E41"/>
    <w:rsid w:val="00524E72"/>
    <w:rsid w:val="005250CF"/>
    <w:rsid w:val="00525151"/>
    <w:rsid w:val="005251BD"/>
    <w:rsid w:val="00525228"/>
    <w:rsid w:val="00525451"/>
    <w:rsid w:val="00525609"/>
    <w:rsid w:val="0052564E"/>
    <w:rsid w:val="0052568A"/>
    <w:rsid w:val="00525875"/>
    <w:rsid w:val="005258D9"/>
    <w:rsid w:val="00525B15"/>
    <w:rsid w:val="00525BCE"/>
    <w:rsid w:val="00525C89"/>
    <w:rsid w:val="00525D4D"/>
    <w:rsid w:val="00525DDD"/>
    <w:rsid w:val="00525E25"/>
    <w:rsid w:val="00525E5A"/>
    <w:rsid w:val="00525F8D"/>
    <w:rsid w:val="005261C0"/>
    <w:rsid w:val="0052660A"/>
    <w:rsid w:val="0052682E"/>
    <w:rsid w:val="005268BB"/>
    <w:rsid w:val="005269AA"/>
    <w:rsid w:val="00526B05"/>
    <w:rsid w:val="00526CAE"/>
    <w:rsid w:val="00526FE2"/>
    <w:rsid w:val="00527018"/>
    <w:rsid w:val="005271EF"/>
    <w:rsid w:val="00527204"/>
    <w:rsid w:val="00527293"/>
    <w:rsid w:val="005274B5"/>
    <w:rsid w:val="005279FD"/>
    <w:rsid w:val="005279FE"/>
    <w:rsid w:val="00527CFE"/>
    <w:rsid w:val="00527E15"/>
    <w:rsid w:val="00530112"/>
    <w:rsid w:val="00530179"/>
    <w:rsid w:val="005301B6"/>
    <w:rsid w:val="005303A5"/>
    <w:rsid w:val="005304E1"/>
    <w:rsid w:val="00530929"/>
    <w:rsid w:val="00530CB1"/>
    <w:rsid w:val="00530FAE"/>
    <w:rsid w:val="00531224"/>
    <w:rsid w:val="00531600"/>
    <w:rsid w:val="00531818"/>
    <w:rsid w:val="00531892"/>
    <w:rsid w:val="0053194A"/>
    <w:rsid w:val="00531AC3"/>
    <w:rsid w:val="00531B18"/>
    <w:rsid w:val="00531B6E"/>
    <w:rsid w:val="00531B98"/>
    <w:rsid w:val="00531C4D"/>
    <w:rsid w:val="00531D03"/>
    <w:rsid w:val="00531D29"/>
    <w:rsid w:val="00531D92"/>
    <w:rsid w:val="00531DCE"/>
    <w:rsid w:val="00531DDB"/>
    <w:rsid w:val="00531F54"/>
    <w:rsid w:val="00531FD5"/>
    <w:rsid w:val="0053234D"/>
    <w:rsid w:val="0053268C"/>
    <w:rsid w:val="005327A9"/>
    <w:rsid w:val="00532A66"/>
    <w:rsid w:val="00532A85"/>
    <w:rsid w:val="00532AF8"/>
    <w:rsid w:val="00532AFE"/>
    <w:rsid w:val="00532CB1"/>
    <w:rsid w:val="00532D06"/>
    <w:rsid w:val="0053315A"/>
    <w:rsid w:val="005331EB"/>
    <w:rsid w:val="005331EC"/>
    <w:rsid w:val="00533328"/>
    <w:rsid w:val="005333F7"/>
    <w:rsid w:val="00533750"/>
    <w:rsid w:val="0053384E"/>
    <w:rsid w:val="00533ABF"/>
    <w:rsid w:val="00533B0C"/>
    <w:rsid w:val="00533CE8"/>
    <w:rsid w:val="00533ECA"/>
    <w:rsid w:val="00534003"/>
    <w:rsid w:val="00534070"/>
    <w:rsid w:val="005341B2"/>
    <w:rsid w:val="00534344"/>
    <w:rsid w:val="005343C5"/>
    <w:rsid w:val="00534454"/>
    <w:rsid w:val="00534653"/>
    <w:rsid w:val="00534A56"/>
    <w:rsid w:val="00534C8D"/>
    <w:rsid w:val="005350C7"/>
    <w:rsid w:val="005353CE"/>
    <w:rsid w:val="005353F8"/>
    <w:rsid w:val="00535555"/>
    <w:rsid w:val="00535781"/>
    <w:rsid w:val="00535AE5"/>
    <w:rsid w:val="00535B3D"/>
    <w:rsid w:val="00535DB9"/>
    <w:rsid w:val="00535E66"/>
    <w:rsid w:val="00536319"/>
    <w:rsid w:val="00536547"/>
    <w:rsid w:val="0053658A"/>
    <w:rsid w:val="005366DC"/>
    <w:rsid w:val="0053695A"/>
    <w:rsid w:val="00536E6A"/>
    <w:rsid w:val="00536EF3"/>
    <w:rsid w:val="0053708B"/>
    <w:rsid w:val="005372D3"/>
    <w:rsid w:val="00537367"/>
    <w:rsid w:val="00537423"/>
    <w:rsid w:val="005374BD"/>
    <w:rsid w:val="005374F4"/>
    <w:rsid w:val="00537595"/>
    <w:rsid w:val="005378FD"/>
    <w:rsid w:val="00537C52"/>
    <w:rsid w:val="00537DC7"/>
    <w:rsid w:val="00537FE0"/>
    <w:rsid w:val="0054027D"/>
    <w:rsid w:val="005407A5"/>
    <w:rsid w:val="005408E4"/>
    <w:rsid w:val="005408F2"/>
    <w:rsid w:val="005409F7"/>
    <w:rsid w:val="00540A70"/>
    <w:rsid w:val="00540C1A"/>
    <w:rsid w:val="00540CF3"/>
    <w:rsid w:val="0054101B"/>
    <w:rsid w:val="00541433"/>
    <w:rsid w:val="005414DE"/>
    <w:rsid w:val="00541501"/>
    <w:rsid w:val="005417B0"/>
    <w:rsid w:val="00541A88"/>
    <w:rsid w:val="00541BD4"/>
    <w:rsid w:val="00541CB4"/>
    <w:rsid w:val="00541DAF"/>
    <w:rsid w:val="00541E08"/>
    <w:rsid w:val="00541E34"/>
    <w:rsid w:val="00541E57"/>
    <w:rsid w:val="00541E63"/>
    <w:rsid w:val="005420EE"/>
    <w:rsid w:val="00542508"/>
    <w:rsid w:val="00542576"/>
    <w:rsid w:val="005427A1"/>
    <w:rsid w:val="0054280C"/>
    <w:rsid w:val="0054297A"/>
    <w:rsid w:val="00542A4A"/>
    <w:rsid w:val="00542AD1"/>
    <w:rsid w:val="00542BEA"/>
    <w:rsid w:val="0054315C"/>
    <w:rsid w:val="005432C2"/>
    <w:rsid w:val="005432F2"/>
    <w:rsid w:val="005434AC"/>
    <w:rsid w:val="0054372C"/>
    <w:rsid w:val="0054374E"/>
    <w:rsid w:val="005439A0"/>
    <w:rsid w:val="00543A63"/>
    <w:rsid w:val="00543B40"/>
    <w:rsid w:val="00543B83"/>
    <w:rsid w:val="00543C5F"/>
    <w:rsid w:val="00543E47"/>
    <w:rsid w:val="00543F88"/>
    <w:rsid w:val="00543F9A"/>
    <w:rsid w:val="0054424A"/>
    <w:rsid w:val="005442DF"/>
    <w:rsid w:val="005442E5"/>
    <w:rsid w:val="005442F6"/>
    <w:rsid w:val="0054435D"/>
    <w:rsid w:val="0054438F"/>
    <w:rsid w:val="0054495B"/>
    <w:rsid w:val="00544B9A"/>
    <w:rsid w:val="00544C9F"/>
    <w:rsid w:val="00544CBA"/>
    <w:rsid w:val="00544E24"/>
    <w:rsid w:val="00544E4D"/>
    <w:rsid w:val="00545141"/>
    <w:rsid w:val="0054529A"/>
    <w:rsid w:val="005452D0"/>
    <w:rsid w:val="00545345"/>
    <w:rsid w:val="0054541D"/>
    <w:rsid w:val="0054552A"/>
    <w:rsid w:val="005455DB"/>
    <w:rsid w:val="0054585B"/>
    <w:rsid w:val="00545A10"/>
    <w:rsid w:val="00545A60"/>
    <w:rsid w:val="00545C0E"/>
    <w:rsid w:val="00545ECD"/>
    <w:rsid w:val="005461FC"/>
    <w:rsid w:val="00546215"/>
    <w:rsid w:val="00546527"/>
    <w:rsid w:val="005465EA"/>
    <w:rsid w:val="00546644"/>
    <w:rsid w:val="005467DA"/>
    <w:rsid w:val="00546B66"/>
    <w:rsid w:val="00546BB5"/>
    <w:rsid w:val="0054701A"/>
    <w:rsid w:val="00547261"/>
    <w:rsid w:val="005473EB"/>
    <w:rsid w:val="00547574"/>
    <w:rsid w:val="00547765"/>
    <w:rsid w:val="0054776C"/>
    <w:rsid w:val="0054792E"/>
    <w:rsid w:val="00547B02"/>
    <w:rsid w:val="00547B69"/>
    <w:rsid w:val="00547C02"/>
    <w:rsid w:val="00547EC3"/>
    <w:rsid w:val="00547FDA"/>
    <w:rsid w:val="005500E4"/>
    <w:rsid w:val="00550116"/>
    <w:rsid w:val="00550147"/>
    <w:rsid w:val="00550284"/>
    <w:rsid w:val="00550439"/>
    <w:rsid w:val="0055094D"/>
    <w:rsid w:val="00551283"/>
    <w:rsid w:val="0055138F"/>
    <w:rsid w:val="0055142E"/>
    <w:rsid w:val="00551546"/>
    <w:rsid w:val="0055154F"/>
    <w:rsid w:val="005515E3"/>
    <w:rsid w:val="005517D9"/>
    <w:rsid w:val="00551857"/>
    <w:rsid w:val="005518F0"/>
    <w:rsid w:val="0055190B"/>
    <w:rsid w:val="00551DD1"/>
    <w:rsid w:val="0055205B"/>
    <w:rsid w:val="00552476"/>
    <w:rsid w:val="00552564"/>
    <w:rsid w:val="0055275B"/>
    <w:rsid w:val="0055281C"/>
    <w:rsid w:val="00552853"/>
    <w:rsid w:val="00552970"/>
    <w:rsid w:val="00552A48"/>
    <w:rsid w:val="00552CDC"/>
    <w:rsid w:val="00552DF9"/>
    <w:rsid w:val="00552FCE"/>
    <w:rsid w:val="00553175"/>
    <w:rsid w:val="005531C1"/>
    <w:rsid w:val="0055368A"/>
    <w:rsid w:val="005536D2"/>
    <w:rsid w:val="00553754"/>
    <w:rsid w:val="00553905"/>
    <w:rsid w:val="00553AE5"/>
    <w:rsid w:val="00553B02"/>
    <w:rsid w:val="00553B1D"/>
    <w:rsid w:val="00553D9F"/>
    <w:rsid w:val="00553F71"/>
    <w:rsid w:val="005540AD"/>
    <w:rsid w:val="005544BA"/>
    <w:rsid w:val="0055471B"/>
    <w:rsid w:val="005549C8"/>
    <w:rsid w:val="00554A6D"/>
    <w:rsid w:val="00554A8A"/>
    <w:rsid w:val="00554AB8"/>
    <w:rsid w:val="00554C46"/>
    <w:rsid w:val="00554CB7"/>
    <w:rsid w:val="00554D7C"/>
    <w:rsid w:val="00554DEF"/>
    <w:rsid w:val="00554F59"/>
    <w:rsid w:val="00555721"/>
    <w:rsid w:val="00555A50"/>
    <w:rsid w:val="00555CCD"/>
    <w:rsid w:val="00555DC5"/>
    <w:rsid w:val="00555DEC"/>
    <w:rsid w:val="00556121"/>
    <w:rsid w:val="005561D2"/>
    <w:rsid w:val="005563B8"/>
    <w:rsid w:val="00556488"/>
    <w:rsid w:val="005566B0"/>
    <w:rsid w:val="00556750"/>
    <w:rsid w:val="005567E3"/>
    <w:rsid w:val="005568D8"/>
    <w:rsid w:val="0055691C"/>
    <w:rsid w:val="00556A27"/>
    <w:rsid w:val="00556A99"/>
    <w:rsid w:val="00556C96"/>
    <w:rsid w:val="00556DED"/>
    <w:rsid w:val="00556EC7"/>
    <w:rsid w:val="00557290"/>
    <w:rsid w:val="00557360"/>
    <w:rsid w:val="0056029D"/>
    <w:rsid w:val="005603C6"/>
    <w:rsid w:val="00560569"/>
    <w:rsid w:val="005605B6"/>
    <w:rsid w:val="005609E0"/>
    <w:rsid w:val="00560ACD"/>
    <w:rsid w:val="00560BA2"/>
    <w:rsid w:val="00560E3C"/>
    <w:rsid w:val="00560ED2"/>
    <w:rsid w:val="00561069"/>
    <w:rsid w:val="005610BB"/>
    <w:rsid w:val="0056112B"/>
    <w:rsid w:val="005617D4"/>
    <w:rsid w:val="005618A4"/>
    <w:rsid w:val="005618B8"/>
    <w:rsid w:val="00561A4E"/>
    <w:rsid w:val="00561DEC"/>
    <w:rsid w:val="00561EE2"/>
    <w:rsid w:val="00561FA4"/>
    <w:rsid w:val="00561FF5"/>
    <w:rsid w:val="00562018"/>
    <w:rsid w:val="005622C1"/>
    <w:rsid w:val="0056243D"/>
    <w:rsid w:val="005624F7"/>
    <w:rsid w:val="0056262A"/>
    <w:rsid w:val="00562A27"/>
    <w:rsid w:val="00562D85"/>
    <w:rsid w:val="00562DA3"/>
    <w:rsid w:val="00562E48"/>
    <w:rsid w:val="00562F38"/>
    <w:rsid w:val="00563092"/>
    <w:rsid w:val="005632EC"/>
    <w:rsid w:val="00563339"/>
    <w:rsid w:val="005636A3"/>
    <w:rsid w:val="00563819"/>
    <w:rsid w:val="0056399E"/>
    <w:rsid w:val="00563A31"/>
    <w:rsid w:val="00563B44"/>
    <w:rsid w:val="00563B9C"/>
    <w:rsid w:val="00563D6B"/>
    <w:rsid w:val="005640AF"/>
    <w:rsid w:val="00564195"/>
    <w:rsid w:val="00564219"/>
    <w:rsid w:val="00564390"/>
    <w:rsid w:val="00564396"/>
    <w:rsid w:val="00564550"/>
    <w:rsid w:val="005647CE"/>
    <w:rsid w:val="0056491A"/>
    <w:rsid w:val="005649A7"/>
    <w:rsid w:val="005649C8"/>
    <w:rsid w:val="005649CB"/>
    <w:rsid w:val="005649FA"/>
    <w:rsid w:val="00564B6B"/>
    <w:rsid w:val="00564C21"/>
    <w:rsid w:val="00564C3A"/>
    <w:rsid w:val="00564C46"/>
    <w:rsid w:val="00564E65"/>
    <w:rsid w:val="00564E91"/>
    <w:rsid w:val="00564EA9"/>
    <w:rsid w:val="0056516F"/>
    <w:rsid w:val="005651E7"/>
    <w:rsid w:val="00565256"/>
    <w:rsid w:val="00565291"/>
    <w:rsid w:val="00565308"/>
    <w:rsid w:val="00565342"/>
    <w:rsid w:val="00565353"/>
    <w:rsid w:val="005653E0"/>
    <w:rsid w:val="005653F4"/>
    <w:rsid w:val="00565481"/>
    <w:rsid w:val="00565538"/>
    <w:rsid w:val="00565539"/>
    <w:rsid w:val="00565756"/>
    <w:rsid w:val="005659CF"/>
    <w:rsid w:val="00565A7B"/>
    <w:rsid w:val="00565C01"/>
    <w:rsid w:val="005663BB"/>
    <w:rsid w:val="0056660F"/>
    <w:rsid w:val="00566970"/>
    <w:rsid w:val="00566D27"/>
    <w:rsid w:val="00566D45"/>
    <w:rsid w:val="00566DA7"/>
    <w:rsid w:val="00566E39"/>
    <w:rsid w:val="00567343"/>
    <w:rsid w:val="00567360"/>
    <w:rsid w:val="005673A0"/>
    <w:rsid w:val="0056767C"/>
    <w:rsid w:val="00567A86"/>
    <w:rsid w:val="00567AF1"/>
    <w:rsid w:val="00567E09"/>
    <w:rsid w:val="0057027E"/>
    <w:rsid w:val="005708A5"/>
    <w:rsid w:val="0057091D"/>
    <w:rsid w:val="00570B68"/>
    <w:rsid w:val="00570D1B"/>
    <w:rsid w:val="00570E69"/>
    <w:rsid w:val="00570EF9"/>
    <w:rsid w:val="00570FA3"/>
    <w:rsid w:val="00571233"/>
    <w:rsid w:val="005715E6"/>
    <w:rsid w:val="00571625"/>
    <w:rsid w:val="00571725"/>
    <w:rsid w:val="00571922"/>
    <w:rsid w:val="005719BD"/>
    <w:rsid w:val="00571B2A"/>
    <w:rsid w:val="00571DDE"/>
    <w:rsid w:val="00571EA0"/>
    <w:rsid w:val="00572170"/>
    <w:rsid w:val="00572AA3"/>
    <w:rsid w:val="00572AE9"/>
    <w:rsid w:val="00572C16"/>
    <w:rsid w:val="00573167"/>
    <w:rsid w:val="00573239"/>
    <w:rsid w:val="00573302"/>
    <w:rsid w:val="0057330D"/>
    <w:rsid w:val="0057332E"/>
    <w:rsid w:val="00573890"/>
    <w:rsid w:val="0057392F"/>
    <w:rsid w:val="00573A31"/>
    <w:rsid w:val="00573A61"/>
    <w:rsid w:val="00573AF2"/>
    <w:rsid w:val="00573B50"/>
    <w:rsid w:val="00573CE0"/>
    <w:rsid w:val="00573D49"/>
    <w:rsid w:val="00573F2A"/>
    <w:rsid w:val="00573F4F"/>
    <w:rsid w:val="00573F9E"/>
    <w:rsid w:val="0057411D"/>
    <w:rsid w:val="00574212"/>
    <w:rsid w:val="00574385"/>
    <w:rsid w:val="00574448"/>
    <w:rsid w:val="005744AB"/>
    <w:rsid w:val="0057458D"/>
    <w:rsid w:val="00574820"/>
    <w:rsid w:val="00574B71"/>
    <w:rsid w:val="00574C19"/>
    <w:rsid w:val="005751B0"/>
    <w:rsid w:val="0057528C"/>
    <w:rsid w:val="0057533A"/>
    <w:rsid w:val="005754AB"/>
    <w:rsid w:val="00575647"/>
    <w:rsid w:val="0057587F"/>
    <w:rsid w:val="005759E2"/>
    <w:rsid w:val="00575C82"/>
    <w:rsid w:val="005760AC"/>
    <w:rsid w:val="00576199"/>
    <w:rsid w:val="0057620A"/>
    <w:rsid w:val="00576894"/>
    <w:rsid w:val="0057693C"/>
    <w:rsid w:val="00576B05"/>
    <w:rsid w:val="00576D9E"/>
    <w:rsid w:val="00577075"/>
    <w:rsid w:val="00577202"/>
    <w:rsid w:val="0057766F"/>
    <w:rsid w:val="00577AB0"/>
    <w:rsid w:val="00577AC2"/>
    <w:rsid w:val="00577D07"/>
    <w:rsid w:val="00577E26"/>
    <w:rsid w:val="005802F3"/>
    <w:rsid w:val="00580322"/>
    <w:rsid w:val="0058055F"/>
    <w:rsid w:val="00580627"/>
    <w:rsid w:val="00580868"/>
    <w:rsid w:val="00580909"/>
    <w:rsid w:val="005809A3"/>
    <w:rsid w:val="00580C3D"/>
    <w:rsid w:val="00580D6D"/>
    <w:rsid w:val="005811E3"/>
    <w:rsid w:val="00581266"/>
    <w:rsid w:val="00581317"/>
    <w:rsid w:val="005814F4"/>
    <w:rsid w:val="00581652"/>
    <w:rsid w:val="00581AAB"/>
    <w:rsid w:val="00581AB9"/>
    <w:rsid w:val="00581AFC"/>
    <w:rsid w:val="00581B57"/>
    <w:rsid w:val="00581CC0"/>
    <w:rsid w:val="00581EA5"/>
    <w:rsid w:val="00581F7A"/>
    <w:rsid w:val="005820A6"/>
    <w:rsid w:val="00582108"/>
    <w:rsid w:val="005821B5"/>
    <w:rsid w:val="00582216"/>
    <w:rsid w:val="005822B5"/>
    <w:rsid w:val="005822C5"/>
    <w:rsid w:val="005825F3"/>
    <w:rsid w:val="00582607"/>
    <w:rsid w:val="00582771"/>
    <w:rsid w:val="0058285E"/>
    <w:rsid w:val="00582930"/>
    <w:rsid w:val="005830A5"/>
    <w:rsid w:val="005833FA"/>
    <w:rsid w:val="00583552"/>
    <w:rsid w:val="005837AF"/>
    <w:rsid w:val="00583800"/>
    <w:rsid w:val="0058397D"/>
    <w:rsid w:val="00583AB1"/>
    <w:rsid w:val="00583B6E"/>
    <w:rsid w:val="00583C48"/>
    <w:rsid w:val="00583DB1"/>
    <w:rsid w:val="00583E36"/>
    <w:rsid w:val="005841F2"/>
    <w:rsid w:val="00584247"/>
    <w:rsid w:val="0058429A"/>
    <w:rsid w:val="0058465F"/>
    <w:rsid w:val="00584D8C"/>
    <w:rsid w:val="00584E34"/>
    <w:rsid w:val="00584EBB"/>
    <w:rsid w:val="00584FD4"/>
    <w:rsid w:val="005851FD"/>
    <w:rsid w:val="0058524B"/>
    <w:rsid w:val="005853EA"/>
    <w:rsid w:val="005854BD"/>
    <w:rsid w:val="0058555A"/>
    <w:rsid w:val="0058569D"/>
    <w:rsid w:val="005857DE"/>
    <w:rsid w:val="005857EC"/>
    <w:rsid w:val="005858B0"/>
    <w:rsid w:val="00585E82"/>
    <w:rsid w:val="00586489"/>
    <w:rsid w:val="005864A9"/>
    <w:rsid w:val="00586599"/>
    <w:rsid w:val="005868B3"/>
    <w:rsid w:val="0058691C"/>
    <w:rsid w:val="00586959"/>
    <w:rsid w:val="00586C80"/>
    <w:rsid w:val="00586D9B"/>
    <w:rsid w:val="00587207"/>
    <w:rsid w:val="00587209"/>
    <w:rsid w:val="005872AF"/>
    <w:rsid w:val="00587309"/>
    <w:rsid w:val="00587B58"/>
    <w:rsid w:val="00587DFE"/>
    <w:rsid w:val="005902C7"/>
    <w:rsid w:val="00590330"/>
    <w:rsid w:val="0059039A"/>
    <w:rsid w:val="0059051E"/>
    <w:rsid w:val="00590688"/>
    <w:rsid w:val="00590831"/>
    <w:rsid w:val="005908B6"/>
    <w:rsid w:val="00590B67"/>
    <w:rsid w:val="00590D29"/>
    <w:rsid w:val="00590E35"/>
    <w:rsid w:val="005911FC"/>
    <w:rsid w:val="00591548"/>
    <w:rsid w:val="00591602"/>
    <w:rsid w:val="00591696"/>
    <w:rsid w:val="0059177E"/>
    <w:rsid w:val="00591913"/>
    <w:rsid w:val="00591AEC"/>
    <w:rsid w:val="00591AF2"/>
    <w:rsid w:val="00591BE8"/>
    <w:rsid w:val="00591D16"/>
    <w:rsid w:val="005921FF"/>
    <w:rsid w:val="00592378"/>
    <w:rsid w:val="00592435"/>
    <w:rsid w:val="00592694"/>
    <w:rsid w:val="0059270C"/>
    <w:rsid w:val="00592922"/>
    <w:rsid w:val="00592CD5"/>
    <w:rsid w:val="00592CF7"/>
    <w:rsid w:val="00592D32"/>
    <w:rsid w:val="005930B0"/>
    <w:rsid w:val="00593151"/>
    <w:rsid w:val="00593291"/>
    <w:rsid w:val="005934C4"/>
    <w:rsid w:val="005936A3"/>
    <w:rsid w:val="00593AC7"/>
    <w:rsid w:val="00593B95"/>
    <w:rsid w:val="00593F3C"/>
    <w:rsid w:val="0059433C"/>
    <w:rsid w:val="0059460B"/>
    <w:rsid w:val="0059461B"/>
    <w:rsid w:val="00594744"/>
    <w:rsid w:val="00594783"/>
    <w:rsid w:val="00594898"/>
    <w:rsid w:val="00594AB3"/>
    <w:rsid w:val="00594C17"/>
    <w:rsid w:val="00594CAE"/>
    <w:rsid w:val="00594D89"/>
    <w:rsid w:val="00594FB5"/>
    <w:rsid w:val="005951BD"/>
    <w:rsid w:val="0059531A"/>
    <w:rsid w:val="005953AD"/>
    <w:rsid w:val="00595423"/>
    <w:rsid w:val="00595541"/>
    <w:rsid w:val="00595652"/>
    <w:rsid w:val="005956F4"/>
    <w:rsid w:val="0059570F"/>
    <w:rsid w:val="0059579C"/>
    <w:rsid w:val="00595894"/>
    <w:rsid w:val="00595B93"/>
    <w:rsid w:val="00595F9B"/>
    <w:rsid w:val="0059612A"/>
    <w:rsid w:val="0059612B"/>
    <w:rsid w:val="00596195"/>
    <w:rsid w:val="0059620C"/>
    <w:rsid w:val="00596224"/>
    <w:rsid w:val="00596284"/>
    <w:rsid w:val="0059637C"/>
    <w:rsid w:val="005963AC"/>
    <w:rsid w:val="0059661C"/>
    <w:rsid w:val="005969CB"/>
    <w:rsid w:val="005969CF"/>
    <w:rsid w:val="00596D86"/>
    <w:rsid w:val="005973A4"/>
    <w:rsid w:val="005973F5"/>
    <w:rsid w:val="005979E3"/>
    <w:rsid w:val="00597BE8"/>
    <w:rsid w:val="00597F3E"/>
    <w:rsid w:val="005A05BF"/>
    <w:rsid w:val="005A06CE"/>
    <w:rsid w:val="005A0854"/>
    <w:rsid w:val="005A0956"/>
    <w:rsid w:val="005A09C8"/>
    <w:rsid w:val="005A09F7"/>
    <w:rsid w:val="005A0C42"/>
    <w:rsid w:val="005A0E6A"/>
    <w:rsid w:val="005A0E6F"/>
    <w:rsid w:val="005A0F43"/>
    <w:rsid w:val="005A11EA"/>
    <w:rsid w:val="005A1406"/>
    <w:rsid w:val="005A1651"/>
    <w:rsid w:val="005A18AA"/>
    <w:rsid w:val="005A1960"/>
    <w:rsid w:val="005A1A4C"/>
    <w:rsid w:val="005A1CF6"/>
    <w:rsid w:val="005A1DC4"/>
    <w:rsid w:val="005A2005"/>
    <w:rsid w:val="005A2081"/>
    <w:rsid w:val="005A2411"/>
    <w:rsid w:val="005A2C83"/>
    <w:rsid w:val="005A2F5D"/>
    <w:rsid w:val="005A2F72"/>
    <w:rsid w:val="005A2FC6"/>
    <w:rsid w:val="005A2FD6"/>
    <w:rsid w:val="005A30B6"/>
    <w:rsid w:val="005A3143"/>
    <w:rsid w:val="005A33DE"/>
    <w:rsid w:val="005A35B5"/>
    <w:rsid w:val="005A3743"/>
    <w:rsid w:val="005A3B38"/>
    <w:rsid w:val="005A3D32"/>
    <w:rsid w:val="005A3D39"/>
    <w:rsid w:val="005A3FEB"/>
    <w:rsid w:val="005A4415"/>
    <w:rsid w:val="005A4540"/>
    <w:rsid w:val="005A4731"/>
    <w:rsid w:val="005A4C58"/>
    <w:rsid w:val="005A5094"/>
    <w:rsid w:val="005A514B"/>
    <w:rsid w:val="005A51E7"/>
    <w:rsid w:val="005A5242"/>
    <w:rsid w:val="005A5484"/>
    <w:rsid w:val="005A5679"/>
    <w:rsid w:val="005A57AA"/>
    <w:rsid w:val="005A585B"/>
    <w:rsid w:val="005A585E"/>
    <w:rsid w:val="005A59D9"/>
    <w:rsid w:val="005A5C06"/>
    <w:rsid w:val="005A5C61"/>
    <w:rsid w:val="005A5C6A"/>
    <w:rsid w:val="005A5CD2"/>
    <w:rsid w:val="005A5CD3"/>
    <w:rsid w:val="005A5CD8"/>
    <w:rsid w:val="005A5E6F"/>
    <w:rsid w:val="005A5F3E"/>
    <w:rsid w:val="005A5FD9"/>
    <w:rsid w:val="005A61B4"/>
    <w:rsid w:val="005A629F"/>
    <w:rsid w:val="005A62E4"/>
    <w:rsid w:val="005A6335"/>
    <w:rsid w:val="005A6473"/>
    <w:rsid w:val="005A6549"/>
    <w:rsid w:val="005A67A6"/>
    <w:rsid w:val="005A67C7"/>
    <w:rsid w:val="005A67C8"/>
    <w:rsid w:val="005A67D2"/>
    <w:rsid w:val="005A6C32"/>
    <w:rsid w:val="005A6C80"/>
    <w:rsid w:val="005A6CD1"/>
    <w:rsid w:val="005A73D5"/>
    <w:rsid w:val="005A7517"/>
    <w:rsid w:val="005A759F"/>
    <w:rsid w:val="005A75AB"/>
    <w:rsid w:val="005A766E"/>
    <w:rsid w:val="005A7715"/>
    <w:rsid w:val="005A7811"/>
    <w:rsid w:val="005A79F2"/>
    <w:rsid w:val="005A7A01"/>
    <w:rsid w:val="005A7C9C"/>
    <w:rsid w:val="005A7D92"/>
    <w:rsid w:val="005A7EF9"/>
    <w:rsid w:val="005A7F0A"/>
    <w:rsid w:val="005B002C"/>
    <w:rsid w:val="005B02F3"/>
    <w:rsid w:val="005B03C4"/>
    <w:rsid w:val="005B0476"/>
    <w:rsid w:val="005B0A70"/>
    <w:rsid w:val="005B0E72"/>
    <w:rsid w:val="005B1006"/>
    <w:rsid w:val="005B113D"/>
    <w:rsid w:val="005B11D0"/>
    <w:rsid w:val="005B126A"/>
    <w:rsid w:val="005B13C6"/>
    <w:rsid w:val="005B1409"/>
    <w:rsid w:val="005B15BB"/>
    <w:rsid w:val="005B16E0"/>
    <w:rsid w:val="005B1707"/>
    <w:rsid w:val="005B1925"/>
    <w:rsid w:val="005B1A33"/>
    <w:rsid w:val="005B1ACC"/>
    <w:rsid w:val="005B1BFE"/>
    <w:rsid w:val="005B1EB6"/>
    <w:rsid w:val="005B1EDB"/>
    <w:rsid w:val="005B1F4F"/>
    <w:rsid w:val="005B21C7"/>
    <w:rsid w:val="005B22DA"/>
    <w:rsid w:val="005B25F2"/>
    <w:rsid w:val="005B291A"/>
    <w:rsid w:val="005B2A84"/>
    <w:rsid w:val="005B2C11"/>
    <w:rsid w:val="005B2CCE"/>
    <w:rsid w:val="005B2DEA"/>
    <w:rsid w:val="005B2E66"/>
    <w:rsid w:val="005B2EB3"/>
    <w:rsid w:val="005B2F0F"/>
    <w:rsid w:val="005B2F6C"/>
    <w:rsid w:val="005B3098"/>
    <w:rsid w:val="005B3145"/>
    <w:rsid w:val="005B32A9"/>
    <w:rsid w:val="005B32D5"/>
    <w:rsid w:val="005B37DC"/>
    <w:rsid w:val="005B3C3D"/>
    <w:rsid w:val="005B3CBC"/>
    <w:rsid w:val="005B3CF2"/>
    <w:rsid w:val="005B4284"/>
    <w:rsid w:val="005B434A"/>
    <w:rsid w:val="005B44BE"/>
    <w:rsid w:val="005B4540"/>
    <w:rsid w:val="005B4659"/>
    <w:rsid w:val="005B478A"/>
    <w:rsid w:val="005B49DD"/>
    <w:rsid w:val="005B4A76"/>
    <w:rsid w:val="005B4BE6"/>
    <w:rsid w:val="005B4C60"/>
    <w:rsid w:val="005B4ED3"/>
    <w:rsid w:val="005B4F65"/>
    <w:rsid w:val="005B4FAD"/>
    <w:rsid w:val="005B508F"/>
    <w:rsid w:val="005B51FA"/>
    <w:rsid w:val="005B5275"/>
    <w:rsid w:val="005B5300"/>
    <w:rsid w:val="005B573A"/>
    <w:rsid w:val="005B5801"/>
    <w:rsid w:val="005B58D5"/>
    <w:rsid w:val="005B58FC"/>
    <w:rsid w:val="005B5945"/>
    <w:rsid w:val="005B5973"/>
    <w:rsid w:val="005B5A8A"/>
    <w:rsid w:val="005B5B03"/>
    <w:rsid w:val="005B5CA0"/>
    <w:rsid w:val="005B5F09"/>
    <w:rsid w:val="005B6158"/>
    <w:rsid w:val="005B6291"/>
    <w:rsid w:val="005B6343"/>
    <w:rsid w:val="005B63F1"/>
    <w:rsid w:val="005B653D"/>
    <w:rsid w:val="005B655B"/>
    <w:rsid w:val="005B65EE"/>
    <w:rsid w:val="005B671A"/>
    <w:rsid w:val="005B6756"/>
    <w:rsid w:val="005B6880"/>
    <w:rsid w:val="005B69E1"/>
    <w:rsid w:val="005B6FC3"/>
    <w:rsid w:val="005B70AE"/>
    <w:rsid w:val="005B716A"/>
    <w:rsid w:val="005B7184"/>
    <w:rsid w:val="005B7224"/>
    <w:rsid w:val="005B735D"/>
    <w:rsid w:val="005B762F"/>
    <w:rsid w:val="005B7682"/>
    <w:rsid w:val="005B779C"/>
    <w:rsid w:val="005B78C0"/>
    <w:rsid w:val="005B7A3A"/>
    <w:rsid w:val="005B7B90"/>
    <w:rsid w:val="005B7DBB"/>
    <w:rsid w:val="005B7E2B"/>
    <w:rsid w:val="005BF4BC"/>
    <w:rsid w:val="005C0028"/>
    <w:rsid w:val="005C0384"/>
    <w:rsid w:val="005C06C1"/>
    <w:rsid w:val="005C08F9"/>
    <w:rsid w:val="005C0999"/>
    <w:rsid w:val="005C0B24"/>
    <w:rsid w:val="005C0C38"/>
    <w:rsid w:val="005C0C57"/>
    <w:rsid w:val="005C0F20"/>
    <w:rsid w:val="005C116D"/>
    <w:rsid w:val="005C124E"/>
    <w:rsid w:val="005C1254"/>
    <w:rsid w:val="005C1398"/>
    <w:rsid w:val="005C1430"/>
    <w:rsid w:val="005C169E"/>
    <w:rsid w:val="005C1958"/>
    <w:rsid w:val="005C195E"/>
    <w:rsid w:val="005C1AF1"/>
    <w:rsid w:val="005C1D05"/>
    <w:rsid w:val="005C2255"/>
    <w:rsid w:val="005C24A6"/>
    <w:rsid w:val="005C2556"/>
    <w:rsid w:val="005C2680"/>
    <w:rsid w:val="005C272D"/>
    <w:rsid w:val="005C27D5"/>
    <w:rsid w:val="005C27E3"/>
    <w:rsid w:val="005C280B"/>
    <w:rsid w:val="005C28C5"/>
    <w:rsid w:val="005C2D2F"/>
    <w:rsid w:val="005C2F9C"/>
    <w:rsid w:val="005C3139"/>
    <w:rsid w:val="005C3279"/>
    <w:rsid w:val="005C3373"/>
    <w:rsid w:val="005C3578"/>
    <w:rsid w:val="005C3866"/>
    <w:rsid w:val="005C3B95"/>
    <w:rsid w:val="005C3E3F"/>
    <w:rsid w:val="005C3EB7"/>
    <w:rsid w:val="005C4041"/>
    <w:rsid w:val="005C44E4"/>
    <w:rsid w:val="005C45D5"/>
    <w:rsid w:val="005C48D2"/>
    <w:rsid w:val="005C51F1"/>
    <w:rsid w:val="005C52CF"/>
    <w:rsid w:val="005C55ED"/>
    <w:rsid w:val="005C5664"/>
    <w:rsid w:val="005C5699"/>
    <w:rsid w:val="005C598F"/>
    <w:rsid w:val="005C5B8B"/>
    <w:rsid w:val="005C5CD1"/>
    <w:rsid w:val="005C5EEC"/>
    <w:rsid w:val="005C5FB3"/>
    <w:rsid w:val="005C6365"/>
    <w:rsid w:val="005C639A"/>
    <w:rsid w:val="005C63EE"/>
    <w:rsid w:val="005C6548"/>
    <w:rsid w:val="005C6591"/>
    <w:rsid w:val="005C67FA"/>
    <w:rsid w:val="005C6A6F"/>
    <w:rsid w:val="005C6C92"/>
    <w:rsid w:val="005C6C97"/>
    <w:rsid w:val="005C6E58"/>
    <w:rsid w:val="005C6ECC"/>
    <w:rsid w:val="005C72EF"/>
    <w:rsid w:val="005C7305"/>
    <w:rsid w:val="005C73C1"/>
    <w:rsid w:val="005C79F8"/>
    <w:rsid w:val="005C7FA6"/>
    <w:rsid w:val="005CDA83"/>
    <w:rsid w:val="005D0167"/>
    <w:rsid w:val="005D0242"/>
    <w:rsid w:val="005D0357"/>
    <w:rsid w:val="005D04B7"/>
    <w:rsid w:val="005D073D"/>
    <w:rsid w:val="005D0937"/>
    <w:rsid w:val="005D096B"/>
    <w:rsid w:val="005D0AC9"/>
    <w:rsid w:val="005D0B82"/>
    <w:rsid w:val="005D0BC6"/>
    <w:rsid w:val="005D0F12"/>
    <w:rsid w:val="005D0F53"/>
    <w:rsid w:val="005D0F6B"/>
    <w:rsid w:val="005D1149"/>
    <w:rsid w:val="005D15B3"/>
    <w:rsid w:val="005D1786"/>
    <w:rsid w:val="005D19E0"/>
    <w:rsid w:val="005D1B2C"/>
    <w:rsid w:val="005D1BA3"/>
    <w:rsid w:val="005D20D0"/>
    <w:rsid w:val="005D21DB"/>
    <w:rsid w:val="005D223D"/>
    <w:rsid w:val="005D2249"/>
    <w:rsid w:val="005D22F7"/>
    <w:rsid w:val="005D2389"/>
    <w:rsid w:val="005D2554"/>
    <w:rsid w:val="005D261B"/>
    <w:rsid w:val="005D285D"/>
    <w:rsid w:val="005D29B9"/>
    <w:rsid w:val="005D2A7D"/>
    <w:rsid w:val="005D2FE5"/>
    <w:rsid w:val="005D322D"/>
    <w:rsid w:val="005D329A"/>
    <w:rsid w:val="005D35A9"/>
    <w:rsid w:val="005D3C70"/>
    <w:rsid w:val="005D3CBD"/>
    <w:rsid w:val="005D3DC5"/>
    <w:rsid w:val="005D3E91"/>
    <w:rsid w:val="005D3FC2"/>
    <w:rsid w:val="005D4002"/>
    <w:rsid w:val="005D402A"/>
    <w:rsid w:val="005D40CA"/>
    <w:rsid w:val="005D4116"/>
    <w:rsid w:val="005D4150"/>
    <w:rsid w:val="005D4461"/>
    <w:rsid w:val="005D486F"/>
    <w:rsid w:val="005D49B2"/>
    <w:rsid w:val="005D4AAA"/>
    <w:rsid w:val="005D4B1B"/>
    <w:rsid w:val="005D4CE0"/>
    <w:rsid w:val="005D50A1"/>
    <w:rsid w:val="005D5544"/>
    <w:rsid w:val="005D5B87"/>
    <w:rsid w:val="005D5D6A"/>
    <w:rsid w:val="005D5EA0"/>
    <w:rsid w:val="005D5EF3"/>
    <w:rsid w:val="005D60A9"/>
    <w:rsid w:val="005D6163"/>
    <w:rsid w:val="005D6192"/>
    <w:rsid w:val="005D62F1"/>
    <w:rsid w:val="005D636B"/>
    <w:rsid w:val="005D64BE"/>
    <w:rsid w:val="005D6521"/>
    <w:rsid w:val="005D6531"/>
    <w:rsid w:val="005D66E6"/>
    <w:rsid w:val="005D6701"/>
    <w:rsid w:val="005D6724"/>
    <w:rsid w:val="005D6810"/>
    <w:rsid w:val="005D68B9"/>
    <w:rsid w:val="005D68F7"/>
    <w:rsid w:val="005D6913"/>
    <w:rsid w:val="005D6995"/>
    <w:rsid w:val="005D6D7C"/>
    <w:rsid w:val="005D71C2"/>
    <w:rsid w:val="005D7220"/>
    <w:rsid w:val="005D72AC"/>
    <w:rsid w:val="005D7498"/>
    <w:rsid w:val="005D7700"/>
    <w:rsid w:val="005D77C2"/>
    <w:rsid w:val="005D77E6"/>
    <w:rsid w:val="005D7830"/>
    <w:rsid w:val="005D7A7F"/>
    <w:rsid w:val="005D7AD6"/>
    <w:rsid w:val="005D7BFD"/>
    <w:rsid w:val="005D7FF1"/>
    <w:rsid w:val="005E000B"/>
    <w:rsid w:val="005E029A"/>
    <w:rsid w:val="005E04C1"/>
    <w:rsid w:val="005E0589"/>
    <w:rsid w:val="005E05C0"/>
    <w:rsid w:val="005E09B0"/>
    <w:rsid w:val="005E0A16"/>
    <w:rsid w:val="005E0F8E"/>
    <w:rsid w:val="005E108D"/>
    <w:rsid w:val="005E119B"/>
    <w:rsid w:val="005E1225"/>
    <w:rsid w:val="005E1434"/>
    <w:rsid w:val="005E154C"/>
    <w:rsid w:val="005E171B"/>
    <w:rsid w:val="005E19BC"/>
    <w:rsid w:val="005E1B1E"/>
    <w:rsid w:val="005E1BE0"/>
    <w:rsid w:val="005E1D5E"/>
    <w:rsid w:val="005E1DF3"/>
    <w:rsid w:val="005E1F4D"/>
    <w:rsid w:val="005E23A3"/>
    <w:rsid w:val="005E2482"/>
    <w:rsid w:val="005E24CA"/>
    <w:rsid w:val="005E24E0"/>
    <w:rsid w:val="005E2591"/>
    <w:rsid w:val="005E26E9"/>
    <w:rsid w:val="005E2782"/>
    <w:rsid w:val="005E28E5"/>
    <w:rsid w:val="005E2A64"/>
    <w:rsid w:val="005E2B97"/>
    <w:rsid w:val="005E2C09"/>
    <w:rsid w:val="005E2C56"/>
    <w:rsid w:val="005E2CB1"/>
    <w:rsid w:val="005E2D2D"/>
    <w:rsid w:val="005E3132"/>
    <w:rsid w:val="005E31A6"/>
    <w:rsid w:val="005E31A9"/>
    <w:rsid w:val="005E3252"/>
    <w:rsid w:val="005E358B"/>
    <w:rsid w:val="005E3743"/>
    <w:rsid w:val="005E37AC"/>
    <w:rsid w:val="005E383F"/>
    <w:rsid w:val="005E3ADC"/>
    <w:rsid w:val="005E3B6F"/>
    <w:rsid w:val="005E3FB9"/>
    <w:rsid w:val="005E3FF6"/>
    <w:rsid w:val="005E42AA"/>
    <w:rsid w:val="005E459E"/>
    <w:rsid w:val="005E45FF"/>
    <w:rsid w:val="005E4871"/>
    <w:rsid w:val="005E4A79"/>
    <w:rsid w:val="005E4B0C"/>
    <w:rsid w:val="005E4CF9"/>
    <w:rsid w:val="005E4D0E"/>
    <w:rsid w:val="005E5301"/>
    <w:rsid w:val="005E53C3"/>
    <w:rsid w:val="005E555C"/>
    <w:rsid w:val="005E56B4"/>
    <w:rsid w:val="005E5FDD"/>
    <w:rsid w:val="005E606F"/>
    <w:rsid w:val="005E64B2"/>
    <w:rsid w:val="005E65A8"/>
    <w:rsid w:val="005E65E6"/>
    <w:rsid w:val="005E6C38"/>
    <w:rsid w:val="005E7201"/>
    <w:rsid w:val="005E7365"/>
    <w:rsid w:val="005E7863"/>
    <w:rsid w:val="005E7C70"/>
    <w:rsid w:val="005E7DA9"/>
    <w:rsid w:val="005E7E2A"/>
    <w:rsid w:val="005E7EF6"/>
    <w:rsid w:val="005F01D3"/>
    <w:rsid w:val="005F042A"/>
    <w:rsid w:val="005F070C"/>
    <w:rsid w:val="005F0731"/>
    <w:rsid w:val="005F0ADE"/>
    <w:rsid w:val="005F0B05"/>
    <w:rsid w:val="005F0E18"/>
    <w:rsid w:val="005F1091"/>
    <w:rsid w:val="005F11AE"/>
    <w:rsid w:val="005F121F"/>
    <w:rsid w:val="005F1479"/>
    <w:rsid w:val="005F151E"/>
    <w:rsid w:val="005F167D"/>
    <w:rsid w:val="005F1A64"/>
    <w:rsid w:val="005F1C52"/>
    <w:rsid w:val="005F1F48"/>
    <w:rsid w:val="005F257B"/>
    <w:rsid w:val="005F2582"/>
    <w:rsid w:val="005F25D3"/>
    <w:rsid w:val="005F2701"/>
    <w:rsid w:val="005F27B3"/>
    <w:rsid w:val="005F2801"/>
    <w:rsid w:val="005F28D9"/>
    <w:rsid w:val="005F2B7F"/>
    <w:rsid w:val="005F2C8D"/>
    <w:rsid w:val="005F2EB3"/>
    <w:rsid w:val="005F3393"/>
    <w:rsid w:val="005F33A1"/>
    <w:rsid w:val="005F34E3"/>
    <w:rsid w:val="005F3584"/>
    <w:rsid w:val="005F362B"/>
    <w:rsid w:val="005F36DD"/>
    <w:rsid w:val="005F377D"/>
    <w:rsid w:val="005F3BB9"/>
    <w:rsid w:val="005F3BEC"/>
    <w:rsid w:val="005F3C28"/>
    <w:rsid w:val="005F3C30"/>
    <w:rsid w:val="005F4010"/>
    <w:rsid w:val="005F4481"/>
    <w:rsid w:val="005F4801"/>
    <w:rsid w:val="005F484A"/>
    <w:rsid w:val="005F4854"/>
    <w:rsid w:val="005F4880"/>
    <w:rsid w:val="005F48EE"/>
    <w:rsid w:val="005F4916"/>
    <w:rsid w:val="005F4ACA"/>
    <w:rsid w:val="005F4CA6"/>
    <w:rsid w:val="005F4D2B"/>
    <w:rsid w:val="005F4FB1"/>
    <w:rsid w:val="005F5238"/>
    <w:rsid w:val="005F550C"/>
    <w:rsid w:val="005F557B"/>
    <w:rsid w:val="005F559F"/>
    <w:rsid w:val="005F572A"/>
    <w:rsid w:val="005F579C"/>
    <w:rsid w:val="005F583F"/>
    <w:rsid w:val="005F5EF9"/>
    <w:rsid w:val="005F5F39"/>
    <w:rsid w:val="005F5F80"/>
    <w:rsid w:val="005F5FA6"/>
    <w:rsid w:val="005F6004"/>
    <w:rsid w:val="005F62BB"/>
    <w:rsid w:val="005F63B6"/>
    <w:rsid w:val="005F6439"/>
    <w:rsid w:val="005F6578"/>
    <w:rsid w:val="005F6690"/>
    <w:rsid w:val="005F679B"/>
    <w:rsid w:val="005F683F"/>
    <w:rsid w:val="005F69E4"/>
    <w:rsid w:val="005F6B3E"/>
    <w:rsid w:val="005F6E6C"/>
    <w:rsid w:val="005F6EF0"/>
    <w:rsid w:val="005F70A8"/>
    <w:rsid w:val="005F70FA"/>
    <w:rsid w:val="005F7116"/>
    <w:rsid w:val="005F7333"/>
    <w:rsid w:val="005F73FD"/>
    <w:rsid w:val="005F791B"/>
    <w:rsid w:val="005F7DCE"/>
    <w:rsid w:val="0060004C"/>
    <w:rsid w:val="00600430"/>
    <w:rsid w:val="0060059F"/>
    <w:rsid w:val="00600AD8"/>
    <w:rsid w:val="00600B3B"/>
    <w:rsid w:val="00600F17"/>
    <w:rsid w:val="00601208"/>
    <w:rsid w:val="0060174A"/>
    <w:rsid w:val="006017BE"/>
    <w:rsid w:val="00601847"/>
    <w:rsid w:val="00601CD5"/>
    <w:rsid w:val="00601D07"/>
    <w:rsid w:val="00601E3C"/>
    <w:rsid w:val="00601ED4"/>
    <w:rsid w:val="00601F53"/>
    <w:rsid w:val="00602089"/>
    <w:rsid w:val="006021E1"/>
    <w:rsid w:val="006023C6"/>
    <w:rsid w:val="006023E8"/>
    <w:rsid w:val="0060242E"/>
    <w:rsid w:val="006024AB"/>
    <w:rsid w:val="00602522"/>
    <w:rsid w:val="0060256E"/>
    <w:rsid w:val="0060267F"/>
    <w:rsid w:val="0060270A"/>
    <w:rsid w:val="00602962"/>
    <w:rsid w:val="00602B12"/>
    <w:rsid w:val="006031A6"/>
    <w:rsid w:val="006038BB"/>
    <w:rsid w:val="00603BEE"/>
    <w:rsid w:val="00603BF1"/>
    <w:rsid w:val="00603D3F"/>
    <w:rsid w:val="00603E46"/>
    <w:rsid w:val="00603F02"/>
    <w:rsid w:val="00603F27"/>
    <w:rsid w:val="0060406D"/>
    <w:rsid w:val="00604561"/>
    <w:rsid w:val="00604651"/>
    <w:rsid w:val="00604670"/>
    <w:rsid w:val="00604742"/>
    <w:rsid w:val="00604792"/>
    <w:rsid w:val="0060498C"/>
    <w:rsid w:val="00604DB5"/>
    <w:rsid w:val="00604EBF"/>
    <w:rsid w:val="0060525B"/>
    <w:rsid w:val="0060536F"/>
    <w:rsid w:val="006053F8"/>
    <w:rsid w:val="00605788"/>
    <w:rsid w:val="00605821"/>
    <w:rsid w:val="0060596C"/>
    <w:rsid w:val="006059D4"/>
    <w:rsid w:val="00605A5E"/>
    <w:rsid w:val="00605A76"/>
    <w:rsid w:val="00605AD6"/>
    <w:rsid w:val="00605B16"/>
    <w:rsid w:val="00605CC5"/>
    <w:rsid w:val="0060606F"/>
    <w:rsid w:val="0060655A"/>
    <w:rsid w:val="0060689A"/>
    <w:rsid w:val="00606D60"/>
    <w:rsid w:val="00606F1D"/>
    <w:rsid w:val="00606F23"/>
    <w:rsid w:val="0060701F"/>
    <w:rsid w:val="00607048"/>
    <w:rsid w:val="006072A4"/>
    <w:rsid w:val="006075F7"/>
    <w:rsid w:val="0060781C"/>
    <w:rsid w:val="00607ACA"/>
    <w:rsid w:val="00607B89"/>
    <w:rsid w:val="00607C51"/>
    <w:rsid w:val="00607EA1"/>
    <w:rsid w:val="00607EAD"/>
    <w:rsid w:val="0061000C"/>
    <w:rsid w:val="006102E9"/>
    <w:rsid w:val="006103C1"/>
    <w:rsid w:val="00610450"/>
    <w:rsid w:val="00610645"/>
    <w:rsid w:val="00610950"/>
    <w:rsid w:val="00610953"/>
    <w:rsid w:val="006109C9"/>
    <w:rsid w:val="00610AAA"/>
    <w:rsid w:val="00610AFA"/>
    <w:rsid w:val="00610B87"/>
    <w:rsid w:val="00610D51"/>
    <w:rsid w:val="00610DC5"/>
    <w:rsid w:val="00611051"/>
    <w:rsid w:val="006111A2"/>
    <w:rsid w:val="006111DF"/>
    <w:rsid w:val="00611340"/>
    <w:rsid w:val="00611419"/>
    <w:rsid w:val="0061141B"/>
    <w:rsid w:val="006114C0"/>
    <w:rsid w:val="00611507"/>
    <w:rsid w:val="0061162E"/>
    <w:rsid w:val="006117DA"/>
    <w:rsid w:val="00611C75"/>
    <w:rsid w:val="00611FDC"/>
    <w:rsid w:val="006127A9"/>
    <w:rsid w:val="00612BEB"/>
    <w:rsid w:val="00612C25"/>
    <w:rsid w:val="00612D9E"/>
    <w:rsid w:val="00612EE9"/>
    <w:rsid w:val="006130C3"/>
    <w:rsid w:val="006130C9"/>
    <w:rsid w:val="006130F4"/>
    <w:rsid w:val="00613153"/>
    <w:rsid w:val="006131BF"/>
    <w:rsid w:val="0061327A"/>
    <w:rsid w:val="00613311"/>
    <w:rsid w:val="0061331A"/>
    <w:rsid w:val="006133B6"/>
    <w:rsid w:val="0061351C"/>
    <w:rsid w:val="00613699"/>
    <w:rsid w:val="00613CC8"/>
    <w:rsid w:val="00613D2F"/>
    <w:rsid w:val="00613EE4"/>
    <w:rsid w:val="00613FCB"/>
    <w:rsid w:val="0061412B"/>
    <w:rsid w:val="0061417C"/>
    <w:rsid w:val="006143B3"/>
    <w:rsid w:val="0061440C"/>
    <w:rsid w:val="006144C9"/>
    <w:rsid w:val="006148DE"/>
    <w:rsid w:val="00614AB2"/>
    <w:rsid w:val="00614B7F"/>
    <w:rsid w:val="00614BCA"/>
    <w:rsid w:val="00614D11"/>
    <w:rsid w:val="0061521A"/>
    <w:rsid w:val="006154FB"/>
    <w:rsid w:val="0061565B"/>
    <w:rsid w:val="006158A6"/>
    <w:rsid w:val="0061593A"/>
    <w:rsid w:val="00615965"/>
    <w:rsid w:val="00615AD3"/>
    <w:rsid w:val="00615BD9"/>
    <w:rsid w:val="00615C53"/>
    <w:rsid w:val="00615D25"/>
    <w:rsid w:val="00615F8B"/>
    <w:rsid w:val="00616130"/>
    <w:rsid w:val="00616272"/>
    <w:rsid w:val="006162BD"/>
    <w:rsid w:val="0061669D"/>
    <w:rsid w:val="006167BE"/>
    <w:rsid w:val="00616894"/>
    <w:rsid w:val="006168B7"/>
    <w:rsid w:val="00616932"/>
    <w:rsid w:val="0061697A"/>
    <w:rsid w:val="00616C70"/>
    <w:rsid w:val="00616E65"/>
    <w:rsid w:val="00616E81"/>
    <w:rsid w:val="00617116"/>
    <w:rsid w:val="006171FF"/>
    <w:rsid w:val="00617913"/>
    <w:rsid w:val="00617945"/>
    <w:rsid w:val="00617B0C"/>
    <w:rsid w:val="00617EA9"/>
    <w:rsid w:val="0062006C"/>
    <w:rsid w:val="00620147"/>
    <w:rsid w:val="00620389"/>
    <w:rsid w:val="00620699"/>
    <w:rsid w:val="00620CCA"/>
    <w:rsid w:val="00620F5B"/>
    <w:rsid w:val="00620FC9"/>
    <w:rsid w:val="006216BD"/>
    <w:rsid w:val="0062174B"/>
    <w:rsid w:val="006218A1"/>
    <w:rsid w:val="00621A69"/>
    <w:rsid w:val="00621B22"/>
    <w:rsid w:val="00621BA6"/>
    <w:rsid w:val="00621C1C"/>
    <w:rsid w:val="00621EF2"/>
    <w:rsid w:val="006220D0"/>
    <w:rsid w:val="0062223E"/>
    <w:rsid w:val="006224F9"/>
    <w:rsid w:val="00622500"/>
    <w:rsid w:val="0062252A"/>
    <w:rsid w:val="00622556"/>
    <w:rsid w:val="0062259E"/>
    <w:rsid w:val="00622624"/>
    <w:rsid w:val="00622A32"/>
    <w:rsid w:val="00622A43"/>
    <w:rsid w:val="00622CBB"/>
    <w:rsid w:val="00622FFA"/>
    <w:rsid w:val="00623120"/>
    <w:rsid w:val="00623413"/>
    <w:rsid w:val="0062352B"/>
    <w:rsid w:val="00623584"/>
    <w:rsid w:val="006235C1"/>
    <w:rsid w:val="0062361C"/>
    <w:rsid w:val="00623801"/>
    <w:rsid w:val="006239BF"/>
    <w:rsid w:val="00623AAE"/>
    <w:rsid w:val="00623BFF"/>
    <w:rsid w:val="00623C10"/>
    <w:rsid w:val="00623C17"/>
    <w:rsid w:val="00623CC6"/>
    <w:rsid w:val="00623CCA"/>
    <w:rsid w:val="00623D63"/>
    <w:rsid w:val="00624022"/>
    <w:rsid w:val="006245E4"/>
    <w:rsid w:val="00624A05"/>
    <w:rsid w:val="00624A13"/>
    <w:rsid w:val="00624A63"/>
    <w:rsid w:val="00624B02"/>
    <w:rsid w:val="00624BC9"/>
    <w:rsid w:val="00624C05"/>
    <w:rsid w:val="00624D25"/>
    <w:rsid w:val="00624D7A"/>
    <w:rsid w:val="00624E41"/>
    <w:rsid w:val="00624E89"/>
    <w:rsid w:val="00624F8B"/>
    <w:rsid w:val="00624FCE"/>
    <w:rsid w:val="00625169"/>
    <w:rsid w:val="00625207"/>
    <w:rsid w:val="00625318"/>
    <w:rsid w:val="006254AB"/>
    <w:rsid w:val="006255D2"/>
    <w:rsid w:val="006255DC"/>
    <w:rsid w:val="006256F6"/>
    <w:rsid w:val="0062570D"/>
    <w:rsid w:val="0062574D"/>
    <w:rsid w:val="0062592C"/>
    <w:rsid w:val="00625ABA"/>
    <w:rsid w:val="00625AF3"/>
    <w:rsid w:val="00625B3E"/>
    <w:rsid w:val="00625D9A"/>
    <w:rsid w:val="00625E50"/>
    <w:rsid w:val="00625EFA"/>
    <w:rsid w:val="0062638E"/>
    <w:rsid w:val="006263AC"/>
    <w:rsid w:val="00626455"/>
    <w:rsid w:val="0062665D"/>
    <w:rsid w:val="006266CE"/>
    <w:rsid w:val="0062695C"/>
    <w:rsid w:val="00626B38"/>
    <w:rsid w:val="00626CAF"/>
    <w:rsid w:val="00627020"/>
    <w:rsid w:val="00627047"/>
    <w:rsid w:val="00627088"/>
    <w:rsid w:val="0062740C"/>
    <w:rsid w:val="006275F6"/>
    <w:rsid w:val="00627707"/>
    <w:rsid w:val="0062796F"/>
    <w:rsid w:val="00627B9A"/>
    <w:rsid w:val="00627C3B"/>
    <w:rsid w:val="00627D72"/>
    <w:rsid w:val="00627EEF"/>
    <w:rsid w:val="0063021B"/>
    <w:rsid w:val="0063026E"/>
    <w:rsid w:val="0063044B"/>
    <w:rsid w:val="0063048C"/>
    <w:rsid w:val="0063080C"/>
    <w:rsid w:val="006309EE"/>
    <w:rsid w:val="00631067"/>
    <w:rsid w:val="006316F8"/>
    <w:rsid w:val="00631845"/>
    <w:rsid w:val="00631986"/>
    <w:rsid w:val="006319FD"/>
    <w:rsid w:val="00632049"/>
    <w:rsid w:val="00632061"/>
    <w:rsid w:val="00632093"/>
    <w:rsid w:val="0063233A"/>
    <w:rsid w:val="0063237A"/>
    <w:rsid w:val="0063241B"/>
    <w:rsid w:val="006326BA"/>
    <w:rsid w:val="00632767"/>
    <w:rsid w:val="006327FF"/>
    <w:rsid w:val="00632EA6"/>
    <w:rsid w:val="00632EBF"/>
    <w:rsid w:val="006331D4"/>
    <w:rsid w:val="00633550"/>
    <w:rsid w:val="0063373D"/>
    <w:rsid w:val="00633811"/>
    <w:rsid w:val="00633959"/>
    <w:rsid w:val="00633A48"/>
    <w:rsid w:val="00633A8B"/>
    <w:rsid w:val="00633AC3"/>
    <w:rsid w:val="00633CDD"/>
    <w:rsid w:val="00633D33"/>
    <w:rsid w:val="006341A6"/>
    <w:rsid w:val="006341C4"/>
    <w:rsid w:val="0063451B"/>
    <w:rsid w:val="00634622"/>
    <w:rsid w:val="0063493A"/>
    <w:rsid w:val="00634ADD"/>
    <w:rsid w:val="00634B75"/>
    <w:rsid w:val="0063542E"/>
    <w:rsid w:val="006354EC"/>
    <w:rsid w:val="00635521"/>
    <w:rsid w:val="0063561D"/>
    <w:rsid w:val="00635717"/>
    <w:rsid w:val="0063572E"/>
    <w:rsid w:val="00635EBA"/>
    <w:rsid w:val="00635FC4"/>
    <w:rsid w:val="00636016"/>
    <w:rsid w:val="006360A7"/>
    <w:rsid w:val="0063612E"/>
    <w:rsid w:val="006365A3"/>
    <w:rsid w:val="006365C3"/>
    <w:rsid w:val="00636678"/>
    <w:rsid w:val="00636BC6"/>
    <w:rsid w:val="00636CEE"/>
    <w:rsid w:val="00636DAA"/>
    <w:rsid w:val="00636E71"/>
    <w:rsid w:val="00637008"/>
    <w:rsid w:val="00637100"/>
    <w:rsid w:val="00637290"/>
    <w:rsid w:val="0063739F"/>
    <w:rsid w:val="006376E7"/>
    <w:rsid w:val="00637824"/>
    <w:rsid w:val="00637BFF"/>
    <w:rsid w:val="00637C65"/>
    <w:rsid w:val="00637C9C"/>
    <w:rsid w:val="0064034E"/>
    <w:rsid w:val="00640377"/>
    <w:rsid w:val="006404A8"/>
    <w:rsid w:val="00640511"/>
    <w:rsid w:val="00640630"/>
    <w:rsid w:val="0064078B"/>
    <w:rsid w:val="006407D4"/>
    <w:rsid w:val="00640888"/>
    <w:rsid w:val="0064089C"/>
    <w:rsid w:val="006408A8"/>
    <w:rsid w:val="00640A2D"/>
    <w:rsid w:val="00640A53"/>
    <w:rsid w:val="00640AF6"/>
    <w:rsid w:val="00640B2E"/>
    <w:rsid w:val="00640C64"/>
    <w:rsid w:val="00640C98"/>
    <w:rsid w:val="00640CD1"/>
    <w:rsid w:val="00640CF6"/>
    <w:rsid w:val="00640D35"/>
    <w:rsid w:val="00640E39"/>
    <w:rsid w:val="00641077"/>
    <w:rsid w:val="00641109"/>
    <w:rsid w:val="00641237"/>
    <w:rsid w:val="006412B8"/>
    <w:rsid w:val="006413EE"/>
    <w:rsid w:val="006415E7"/>
    <w:rsid w:val="0064164C"/>
    <w:rsid w:val="0064169B"/>
    <w:rsid w:val="006418F9"/>
    <w:rsid w:val="00641925"/>
    <w:rsid w:val="00641A5B"/>
    <w:rsid w:val="00641B18"/>
    <w:rsid w:val="00641D2F"/>
    <w:rsid w:val="00641D63"/>
    <w:rsid w:val="00641DAD"/>
    <w:rsid w:val="00641F63"/>
    <w:rsid w:val="00641FF4"/>
    <w:rsid w:val="0064209F"/>
    <w:rsid w:val="006420C9"/>
    <w:rsid w:val="00642229"/>
    <w:rsid w:val="006423FD"/>
    <w:rsid w:val="006424EB"/>
    <w:rsid w:val="006426D0"/>
    <w:rsid w:val="006426FB"/>
    <w:rsid w:val="006429B7"/>
    <w:rsid w:val="00642A03"/>
    <w:rsid w:val="00642ABC"/>
    <w:rsid w:val="00642CBE"/>
    <w:rsid w:val="00642F0E"/>
    <w:rsid w:val="006430B7"/>
    <w:rsid w:val="006434BC"/>
    <w:rsid w:val="006437F1"/>
    <w:rsid w:val="0064394E"/>
    <w:rsid w:val="00643BC3"/>
    <w:rsid w:val="00643BD0"/>
    <w:rsid w:val="00643DF9"/>
    <w:rsid w:val="00643F4F"/>
    <w:rsid w:val="00643FDC"/>
    <w:rsid w:val="0064420C"/>
    <w:rsid w:val="00644317"/>
    <w:rsid w:val="00644356"/>
    <w:rsid w:val="006444DF"/>
    <w:rsid w:val="006445C0"/>
    <w:rsid w:val="00644674"/>
    <w:rsid w:val="0064495F"/>
    <w:rsid w:val="00644EA1"/>
    <w:rsid w:val="006451DF"/>
    <w:rsid w:val="006453F7"/>
    <w:rsid w:val="0064551C"/>
    <w:rsid w:val="00645568"/>
    <w:rsid w:val="0064592A"/>
    <w:rsid w:val="00645944"/>
    <w:rsid w:val="00645A41"/>
    <w:rsid w:val="00645A63"/>
    <w:rsid w:val="00645B66"/>
    <w:rsid w:val="00645CD5"/>
    <w:rsid w:val="00645DB9"/>
    <w:rsid w:val="00645DCC"/>
    <w:rsid w:val="006461C1"/>
    <w:rsid w:val="0064624C"/>
    <w:rsid w:val="00646454"/>
    <w:rsid w:val="00646518"/>
    <w:rsid w:val="0064652A"/>
    <w:rsid w:val="00646783"/>
    <w:rsid w:val="006467DF"/>
    <w:rsid w:val="006468E2"/>
    <w:rsid w:val="00646C5F"/>
    <w:rsid w:val="00646E2B"/>
    <w:rsid w:val="00646F1E"/>
    <w:rsid w:val="00647060"/>
    <w:rsid w:val="006470DC"/>
    <w:rsid w:val="00647252"/>
    <w:rsid w:val="006472BE"/>
    <w:rsid w:val="006472DC"/>
    <w:rsid w:val="0064751A"/>
    <w:rsid w:val="0064755D"/>
    <w:rsid w:val="00647621"/>
    <w:rsid w:val="00647727"/>
    <w:rsid w:val="00647868"/>
    <w:rsid w:val="00647876"/>
    <w:rsid w:val="0064789E"/>
    <w:rsid w:val="00647AD6"/>
    <w:rsid w:val="00647C99"/>
    <w:rsid w:val="00647E55"/>
    <w:rsid w:val="00650292"/>
    <w:rsid w:val="00650605"/>
    <w:rsid w:val="0065090C"/>
    <w:rsid w:val="00650A2E"/>
    <w:rsid w:val="00650D92"/>
    <w:rsid w:val="00650ED2"/>
    <w:rsid w:val="00650F58"/>
    <w:rsid w:val="006512E2"/>
    <w:rsid w:val="0065154E"/>
    <w:rsid w:val="006515A8"/>
    <w:rsid w:val="006515B2"/>
    <w:rsid w:val="00651B12"/>
    <w:rsid w:val="00651EDB"/>
    <w:rsid w:val="006520C5"/>
    <w:rsid w:val="00652136"/>
    <w:rsid w:val="00652308"/>
    <w:rsid w:val="0065238B"/>
    <w:rsid w:val="006525E5"/>
    <w:rsid w:val="00652907"/>
    <w:rsid w:val="00652E5B"/>
    <w:rsid w:val="00652FA1"/>
    <w:rsid w:val="00652FA4"/>
    <w:rsid w:val="00653248"/>
    <w:rsid w:val="0065339C"/>
    <w:rsid w:val="006535BA"/>
    <w:rsid w:val="00653629"/>
    <w:rsid w:val="00653735"/>
    <w:rsid w:val="00653865"/>
    <w:rsid w:val="0065393B"/>
    <w:rsid w:val="00653C46"/>
    <w:rsid w:val="00653CD6"/>
    <w:rsid w:val="00653E39"/>
    <w:rsid w:val="00654160"/>
    <w:rsid w:val="0065441E"/>
    <w:rsid w:val="0065474D"/>
    <w:rsid w:val="006547A1"/>
    <w:rsid w:val="00654A54"/>
    <w:rsid w:val="00654A88"/>
    <w:rsid w:val="00654B8A"/>
    <w:rsid w:val="00654DBD"/>
    <w:rsid w:val="00654FED"/>
    <w:rsid w:val="006550E6"/>
    <w:rsid w:val="00655251"/>
    <w:rsid w:val="0065556F"/>
    <w:rsid w:val="0065565A"/>
    <w:rsid w:val="00655672"/>
    <w:rsid w:val="006556B2"/>
    <w:rsid w:val="00655783"/>
    <w:rsid w:val="0065583D"/>
    <w:rsid w:val="00655860"/>
    <w:rsid w:val="0065592A"/>
    <w:rsid w:val="0065595E"/>
    <w:rsid w:val="00655B7B"/>
    <w:rsid w:val="00655B89"/>
    <w:rsid w:val="00655BC0"/>
    <w:rsid w:val="00655CC7"/>
    <w:rsid w:val="00655DDD"/>
    <w:rsid w:val="00655E82"/>
    <w:rsid w:val="00655EED"/>
    <w:rsid w:val="0065603A"/>
    <w:rsid w:val="006562C1"/>
    <w:rsid w:val="006562F2"/>
    <w:rsid w:val="006564F5"/>
    <w:rsid w:val="00656517"/>
    <w:rsid w:val="006566EF"/>
    <w:rsid w:val="006567E2"/>
    <w:rsid w:val="0065686A"/>
    <w:rsid w:val="006568D2"/>
    <w:rsid w:val="00656E5B"/>
    <w:rsid w:val="00656FCA"/>
    <w:rsid w:val="00657487"/>
    <w:rsid w:val="00657650"/>
    <w:rsid w:val="006577DD"/>
    <w:rsid w:val="00657835"/>
    <w:rsid w:val="00657843"/>
    <w:rsid w:val="00657AC1"/>
    <w:rsid w:val="00657B83"/>
    <w:rsid w:val="00657C1E"/>
    <w:rsid w:val="00657C2D"/>
    <w:rsid w:val="00657D0A"/>
    <w:rsid w:val="00657D0D"/>
    <w:rsid w:val="00657D7E"/>
    <w:rsid w:val="00657E66"/>
    <w:rsid w:val="00657F73"/>
    <w:rsid w:val="00660110"/>
    <w:rsid w:val="00660420"/>
    <w:rsid w:val="00660510"/>
    <w:rsid w:val="00660574"/>
    <w:rsid w:val="006607A2"/>
    <w:rsid w:val="00660988"/>
    <w:rsid w:val="00660AB6"/>
    <w:rsid w:val="00660AD8"/>
    <w:rsid w:val="00660C30"/>
    <w:rsid w:val="00660CB1"/>
    <w:rsid w:val="00660F77"/>
    <w:rsid w:val="006610BA"/>
    <w:rsid w:val="006612E2"/>
    <w:rsid w:val="00661357"/>
    <w:rsid w:val="0066161B"/>
    <w:rsid w:val="0066182C"/>
    <w:rsid w:val="00661849"/>
    <w:rsid w:val="00661A08"/>
    <w:rsid w:val="00661B1D"/>
    <w:rsid w:val="00661B9F"/>
    <w:rsid w:val="00661BC2"/>
    <w:rsid w:val="00661E68"/>
    <w:rsid w:val="00661F86"/>
    <w:rsid w:val="00662248"/>
    <w:rsid w:val="0066244A"/>
    <w:rsid w:val="00662A7C"/>
    <w:rsid w:val="00662B00"/>
    <w:rsid w:val="00662B0F"/>
    <w:rsid w:val="00662CCB"/>
    <w:rsid w:val="00663022"/>
    <w:rsid w:val="00663211"/>
    <w:rsid w:val="0066346B"/>
    <w:rsid w:val="006634B6"/>
    <w:rsid w:val="006634DB"/>
    <w:rsid w:val="00663542"/>
    <w:rsid w:val="006636D9"/>
    <w:rsid w:val="00663768"/>
    <w:rsid w:val="006638A6"/>
    <w:rsid w:val="00663A01"/>
    <w:rsid w:val="00663B16"/>
    <w:rsid w:val="00663BBC"/>
    <w:rsid w:val="00663CD0"/>
    <w:rsid w:val="00663F16"/>
    <w:rsid w:val="006641D2"/>
    <w:rsid w:val="0066425D"/>
    <w:rsid w:val="0066431A"/>
    <w:rsid w:val="00664385"/>
    <w:rsid w:val="0066447C"/>
    <w:rsid w:val="0066460A"/>
    <w:rsid w:val="00664A34"/>
    <w:rsid w:val="00664ADC"/>
    <w:rsid w:val="00664CDE"/>
    <w:rsid w:val="00664CF4"/>
    <w:rsid w:val="00664DC7"/>
    <w:rsid w:val="00664DE4"/>
    <w:rsid w:val="00664F0F"/>
    <w:rsid w:val="00664FC5"/>
    <w:rsid w:val="00665393"/>
    <w:rsid w:val="00665573"/>
    <w:rsid w:val="0066571F"/>
    <w:rsid w:val="006658F5"/>
    <w:rsid w:val="0066602B"/>
    <w:rsid w:val="006660FC"/>
    <w:rsid w:val="00666185"/>
    <w:rsid w:val="006661BE"/>
    <w:rsid w:val="0066624E"/>
    <w:rsid w:val="006662E4"/>
    <w:rsid w:val="0066632A"/>
    <w:rsid w:val="00666423"/>
    <w:rsid w:val="006665CB"/>
    <w:rsid w:val="00666702"/>
    <w:rsid w:val="00666813"/>
    <w:rsid w:val="006669DB"/>
    <w:rsid w:val="00666B17"/>
    <w:rsid w:val="00666BD1"/>
    <w:rsid w:val="00666EFD"/>
    <w:rsid w:val="006670B5"/>
    <w:rsid w:val="00667259"/>
    <w:rsid w:val="00667328"/>
    <w:rsid w:val="006675F2"/>
    <w:rsid w:val="006677D2"/>
    <w:rsid w:val="006677E1"/>
    <w:rsid w:val="00667912"/>
    <w:rsid w:val="00667AA8"/>
    <w:rsid w:val="00667B31"/>
    <w:rsid w:val="00667B8A"/>
    <w:rsid w:val="00670005"/>
    <w:rsid w:val="006701D4"/>
    <w:rsid w:val="0067043C"/>
    <w:rsid w:val="006708E0"/>
    <w:rsid w:val="006709C5"/>
    <w:rsid w:val="00670B2F"/>
    <w:rsid w:val="00670E83"/>
    <w:rsid w:val="006710C1"/>
    <w:rsid w:val="006711B1"/>
    <w:rsid w:val="00671251"/>
    <w:rsid w:val="00671330"/>
    <w:rsid w:val="00671576"/>
    <w:rsid w:val="00671767"/>
    <w:rsid w:val="0067191D"/>
    <w:rsid w:val="006719C6"/>
    <w:rsid w:val="006719E2"/>
    <w:rsid w:val="00671AEB"/>
    <w:rsid w:val="00671D6C"/>
    <w:rsid w:val="00671EB7"/>
    <w:rsid w:val="0067202B"/>
    <w:rsid w:val="0067202E"/>
    <w:rsid w:val="006720F0"/>
    <w:rsid w:val="006723B5"/>
    <w:rsid w:val="006723D0"/>
    <w:rsid w:val="0067282D"/>
    <w:rsid w:val="00672889"/>
    <w:rsid w:val="006728CB"/>
    <w:rsid w:val="00672988"/>
    <w:rsid w:val="0067298C"/>
    <w:rsid w:val="00672CAB"/>
    <w:rsid w:val="00672D16"/>
    <w:rsid w:val="00672E62"/>
    <w:rsid w:val="0067303C"/>
    <w:rsid w:val="00673285"/>
    <w:rsid w:val="0067338A"/>
    <w:rsid w:val="00673576"/>
    <w:rsid w:val="006735AA"/>
    <w:rsid w:val="00673615"/>
    <w:rsid w:val="006736B7"/>
    <w:rsid w:val="006737E6"/>
    <w:rsid w:val="00673B44"/>
    <w:rsid w:val="00673C09"/>
    <w:rsid w:val="00673C2D"/>
    <w:rsid w:val="006740E6"/>
    <w:rsid w:val="00674685"/>
    <w:rsid w:val="00674B49"/>
    <w:rsid w:val="00674B63"/>
    <w:rsid w:val="00674C31"/>
    <w:rsid w:val="00674D5A"/>
    <w:rsid w:val="00674E11"/>
    <w:rsid w:val="00675209"/>
    <w:rsid w:val="0067563E"/>
    <w:rsid w:val="00675769"/>
    <w:rsid w:val="00675BF0"/>
    <w:rsid w:val="00675C41"/>
    <w:rsid w:val="00675C7E"/>
    <w:rsid w:val="00675DD8"/>
    <w:rsid w:val="00675F2C"/>
    <w:rsid w:val="00676220"/>
    <w:rsid w:val="00676712"/>
    <w:rsid w:val="006767B3"/>
    <w:rsid w:val="0067695B"/>
    <w:rsid w:val="00676C74"/>
    <w:rsid w:val="00676E31"/>
    <w:rsid w:val="00676E41"/>
    <w:rsid w:val="00676EED"/>
    <w:rsid w:val="00677017"/>
    <w:rsid w:val="00677029"/>
    <w:rsid w:val="00677046"/>
    <w:rsid w:val="00677152"/>
    <w:rsid w:val="006771BF"/>
    <w:rsid w:val="0067721A"/>
    <w:rsid w:val="006774C5"/>
    <w:rsid w:val="0067757E"/>
    <w:rsid w:val="006775B0"/>
    <w:rsid w:val="006776E9"/>
    <w:rsid w:val="00677855"/>
    <w:rsid w:val="00677909"/>
    <w:rsid w:val="00677987"/>
    <w:rsid w:val="00677B10"/>
    <w:rsid w:val="00680164"/>
    <w:rsid w:val="00680173"/>
    <w:rsid w:val="00680325"/>
    <w:rsid w:val="006803F8"/>
    <w:rsid w:val="00680584"/>
    <w:rsid w:val="006809EF"/>
    <w:rsid w:val="00680A9B"/>
    <w:rsid w:val="00680CE3"/>
    <w:rsid w:val="006811AE"/>
    <w:rsid w:val="00681574"/>
    <w:rsid w:val="0068159B"/>
    <w:rsid w:val="00681670"/>
    <w:rsid w:val="006816C3"/>
    <w:rsid w:val="006816F5"/>
    <w:rsid w:val="00681838"/>
    <w:rsid w:val="00682309"/>
    <w:rsid w:val="00682365"/>
    <w:rsid w:val="006823CF"/>
    <w:rsid w:val="00682724"/>
    <w:rsid w:val="0068276E"/>
    <w:rsid w:val="006827BF"/>
    <w:rsid w:val="0068294C"/>
    <w:rsid w:val="00682A3D"/>
    <w:rsid w:val="00682A76"/>
    <w:rsid w:val="00682CEC"/>
    <w:rsid w:val="00683055"/>
    <w:rsid w:val="006831E1"/>
    <w:rsid w:val="00683240"/>
    <w:rsid w:val="00683455"/>
    <w:rsid w:val="006835F1"/>
    <w:rsid w:val="0068375E"/>
    <w:rsid w:val="00683C9C"/>
    <w:rsid w:val="00683D9B"/>
    <w:rsid w:val="00683F2D"/>
    <w:rsid w:val="00683FAC"/>
    <w:rsid w:val="00684330"/>
    <w:rsid w:val="0068439B"/>
    <w:rsid w:val="00684531"/>
    <w:rsid w:val="0068464B"/>
    <w:rsid w:val="00684824"/>
    <w:rsid w:val="006848A3"/>
    <w:rsid w:val="00684B0D"/>
    <w:rsid w:val="00684C17"/>
    <w:rsid w:val="00684FEF"/>
    <w:rsid w:val="006850D9"/>
    <w:rsid w:val="006851E4"/>
    <w:rsid w:val="006853E5"/>
    <w:rsid w:val="006855E5"/>
    <w:rsid w:val="0068570D"/>
    <w:rsid w:val="006857E7"/>
    <w:rsid w:val="0068582D"/>
    <w:rsid w:val="00685FDC"/>
    <w:rsid w:val="006861A2"/>
    <w:rsid w:val="006861CA"/>
    <w:rsid w:val="0068626B"/>
    <w:rsid w:val="0068630A"/>
    <w:rsid w:val="00686341"/>
    <w:rsid w:val="0068638A"/>
    <w:rsid w:val="0068647B"/>
    <w:rsid w:val="00686586"/>
    <w:rsid w:val="0068677B"/>
    <w:rsid w:val="00686BCE"/>
    <w:rsid w:val="00686CE2"/>
    <w:rsid w:val="00686D73"/>
    <w:rsid w:val="00686DF3"/>
    <w:rsid w:val="00686E2F"/>
    <w:rsid w:val="00686ED4"/>
    <w:rsid w:val="0068710C"/>
    <w:rsid w:val="0068713C"/>
    <w:rsid w:val="00687339"/>
    <w:rsid w:val="00687364"/>
    <w:rsid w:val="006875B7"/>
    <w:rsid w:val="00687689"/>
    <w:rsid w:val="00687944"/>
    <w:rsid w:val="00687A84"/>
    <w:rsid w:val="00687AC4"/>
    <w:rsid w:val="00687BEB"/>
    <w:rsid w:val="00687EA2"/>
    <w:rsid w:val="00687FB6"/>
    <w:rsid w:val="0069008C"/>
    <w:rsid w:val="006900A0"/>
    <w:rsid w:val="00690102"/>
    <w:rsid w:val="00690244"/>
    <w:rsid w:val="0069043C"/>
    <w:rsid w:val="00690598"/>
    <w:rsid w:val="0069083A"/>
    <w:rsid w:val="00690F27"/>
    <w:rsid w:val="00690FF4"/>
    <w:rsid w:val="00691116"/>
    <w:rsid w:val="0069134E"/>
    <w:rsid w:val="00691598"/>
    <w:rsid w:val="006917B2"/>
    <w:rsid w:val="006917BA"/>
    <w:rsid w:val="00691B78"/>
    <w:rsid w:val="00692165"/>
    <w:rsid w:val="006925A8"/>
    <w:rsid w:val="006928D4"/>
    <w:rsid w:val="00692959"/>
    <w:rsid w:val="00692AD8"/>
    <w:rsid w:val="00692C6B"/>
    <w:rsid w:val="00692EC3"/>
    <w:rsid w:val="00692FC1"/>
    <w:rsid w:val="00693017"/>
    <w:rsid w:val="00693322"/>
    <w:rsid w:val="00693460"/>
    <w:rsid w:val="00693520"/>
    <w:rsid w:val="00693649"/>
    <w:rsid w:val="006937A2"/>
    <w:rsid w:val="00693952"/>
    <w:rsid w:val="00693C24"/>
    <w:rsid w:val="00694095"/>
    <w:rsid w:val="006942C3"/>
    <w:rsid w:val="006943CA"/>
    <w:rsid w:val="00694509"/>
    <w:rsid w:val="00694720"/>
    <w:rsid w:val="00694A5E"/>
    <w:rsid w:val="00694B12"/>
    <w:rsid w:val="00694D00"/>
    <w:rsid w:val="00694D7C"/>
    <w:rsid w:val="0069508D"/>
    <w:rsid w:val="006950E4"/>
    <w:rsid w:val="0069528D"/>
    <w:rsid w:val="00695481"/>
    <w:rsid w:val="0069560B"/>
    <w:rsid w:val="006958A0"/>
    <w:rsid w:val="006958A1"/>
    <w:rsid w:val="006959D4"/>
    <w:rsid w:val="00695A6C"/>
    <w:rsid w:val="00695B9A"/>
    <w:rsid w:val="00695E53"/>
    <w:rsid w:val="00696048"/>
    <w:rsid w:val="006966EB"/>
    <w:rsid w:val="00696986"/>
    <w:rsid w:val="00696A76"/>
    <w:rsid w:val="00696BFB"/>
    <w:rsid w:val="00696C8E"/>
    <w:rsid w:val="00696DBC"/>
    <w:rsid w:val="00696E14"/>
    <w:rsid w:val="00696E9B"/>
    <w:rsid w:val="00696ECC"/>
    <w:rsid w:val="00696F3E"/>
    <w:rsid w:val="0069711C"/>
    <w:rsid w:val="00697133"/>
    <w:rsid w:val="00697359"/>
    <w:rsid w:val="00697446"/>
    <w:rsid w:val="006975B0"/>
    <w:rsid w:val="00697ABD"/>
    <w:rsid w:val="00697B2D"/>
    <w:rsid w:val="00697D75"/>
    <w:rsid w:val="00697F89"/>
    <w:rsid w:val="006A015B"/>
    <w:rsid w:val="006A0374"/>
    <w:rsid w:val="006A0423"/>
    <w:rsid w:val="006A043C"/>
    <w:rsid w:val="006A0473"/>
    <w:rsid w:val="006A0560"/>
    <w:rsid w:val="006A065F"/>
    <w:rsid w:val="006A0692"/>
    <w:rsid w:val="006A080C"/>
    <w:rsid w:val="006A086A"/>
    <w:rsid w:val="006A0A23"/>
    <w:rsid w:val="006A0EE9"/>
    <w:rsid w:val="006A0FDE"/>
    <w:rsid w:val="006A1007"/>
    <w:rsid w:val="006A116B"/>
    <w:rsid w:val="006A1191"/>
    <w:rsid w:val="006A11AF"/>
    <w:rsid w:val="006A1540"/>
    <w:rsid w:val="006A157E"/>
    <w:rsid w:val="006A17AB"/>
    <w:rsid w:val="006A17E9"/>
    <w:rsid w:val="006A18FE"/>
    <w:rsid w:val="006A1966"/>
    <w:rsid w:val="006A1B3A"/>
    <w:rsid w:val="006A1BE6"/>
    <w:rsid w:val="006A1C31"/>
    <w:rsid w:val="006A1C60"/>
    <w:rsid w:val="006A2050"/>
    <w:rsid w:val="006A213F"/>
    <w:rsid w:val="006A227A"/>
    <w:rsid w:val="006A2286"/>
    <w:rsid w:val="006A23C0"/>
    <w:rsid w:val="006A23D3"/>
    <w:rsid w:val="006A24D5"/>
    <w:rsid w:val="006A2524"/>
    <w:rsid w:val="006A2619"/>
    <w:rsid w:val="006A2DA6"/>
    <w:rsid w:val="006A309F"/>
    <w:rsid w:val="006A3163"/>
    <w:rsid w:val="006A3897"/>
    <w:rsid w:val="006A3913"/>
    <w:rsid w:val="006A3DE1"/>
    <w:rsid w:val="006A3F49"/>
    <w:rsid w:val="006A3FAE"/>
    <w:rsid w:val="006A3FC4"/>
    <w:rsid w:val="006A4314"/>
    <w:rsid w:val="006A43E0"/>
    <w:rsid w:val="006A449A"/>
    <w:rsid w:val="006A455C"/>
    <w:rsid w:val="006A46EC"/>
    <w:rsid w:val="006A46F8"/>
    <w:rsid w:val="006A4851"/>
    <w:rsid w:val="006A4B35"/>
    <w:rsid w:val="006A4CAC"/>
    <w:rsid w:val="006A4EA3"/>
    <w:rsid w:val="006A4FD9"/>
    <w:rsid w:val="006A50BB"/>
    <w:rsid w:val="006A5102"/>
    <w:rsid w:val="006A5269"/>
    <w:rsid w:val="006A53A5"/>
    <w:rsid w:val="006A53B1"/>
    <w:rsid w:val="006A55BC"/>
    <w:rsid w:val="006A5896"/>
    <w:rsid w:val="006A58D2"/>
    <w:rsid w:val="006A595A"/>
    <w:rsid w:val="006A5970"/>
    <w:rsid w:val="006A59DF"/>
    <w:rsid w:val="006A5A32"/>
    <w:rsid w:val="006A5A8C"/>
    <w:rsid w:val="006A5C83"/>
    <w:rsid w:val="006A5D5E"/>
    <w:rsid w:val="006A5D7D"/>
    <w:rsid w:val="006A5FAF"/>
    <w:rsid w:val="006A5FD3"/>
    <w:rsid w:val="006A6264"/>
    <w:rsid w:val="006A666F"/>
    <w:rsid w:val="006A6778"/>
    <w:rsid w:val="006A6B45"/>
    <w:rsid w:val="006A6BAD"/>
    <w:rsid w:val="006A6FA1"/>
    <w:rsid w:val="006A703D"/>
    <w:rsid w:val="006A721E"/>
    <w:rsid w:val="006A73C9"/>
    <w:rsid w:val="006A75A7"/>
    <w:rsid w:val="006A762B"/>
    <w:rsid w:val="006A772D"/>
    <w:rsid w:val="006A7AE6"/>
    <w:rsid w:val="006A7C07"/>
    <w:rsid w:val="006B0082"/>
    <w:rsid w:val="006B0099"/>
    <w:rsid w:val="006B02CE"/>
    <w:rsid w:val="006B0346"/>
    <w:rsid w:val="006B0685"/>
    <w:rsid w:val="006B0820"/>
    <w:rsid w:val="006B09B4"/>
    <w:rsid w:val="006B0A0E"/>
    <w:rsid w:val="006B0BE5"/>
    <w:rsid w:val="006B0C6D"/>
    <w:rsid w:val="006B0D0A"/>
    <w:rsid w:val="006B1155"/>
    <w:rsid w:val="006B1172"/>
    <w:rsid w:val="006B11AA"/>
    <w:rsid w:val="006B11C7"/>
    <w:rsid w:val="006B1208"/>
    <w:rsid w:val="006B1423"/>
    <w:rsid w:val="006B157E"/>
    <w:rsid w:val="006B163C"/>
    <w:rsid w:val="006B17BE"/>
    <w:rsid w:val="006B1954"/>
    <w:rsid w:val="006B1B02"/>
    <w:rsid w:val="006B1B71"/>
    <w:rsid w:val="006B1BF0"/>
    <w:rsid w:val="006B1C84"/>
    <w:rsid w:val="006B1C8E"/>
    <w:rsid w:val="006B1CBB"/>
    <w:rsid w:val="006B1E39"/>
    <w:rsid w:val="006B1E4B"/>
    <w:rsid w:val="006B1E4E"/>
    <w:rsid w:val="006B1E6A"/>
    <w:rsid w:val="006B1F66"/>
    <w:rsid w:val="006B1F68"/>
    <w:rsid w:val="006B2178"/>
    <w:rsid w:val="006B217E"/>
    <w:rsid w:val="006B236E"/>
    <w:rsid w:val="006B24BA"/>
    <w:rsid w:val="006B2596"/>
    <w:rsid w:val="006B25B0"/>
    <w:rsid w:val="006B2625"/>
    <w:rsid w:val="006B264A"/>
    <w:rsid w:val="006B293A"/>
    <w:rsid w:val="006B2C9A"/>
    <w:rsid w:val="006B2D46"/>
    <w:rsid w:val="006B2E0B"/>
    <w:rsid w:val="006B2EEC"/>
    <w:rsid w:val="006B300D"/>
    <w:rsid w:val="006B33BC"/>
    <w:rsid w:val="006B365B"/>
    <w:rsid w:val="006B37E5"/>
    <w:rsid w:val="006B39EF"/>
    <w:rsid w:val="006B3BA8"/>
    <w:rsid w:val="006B3E73"/>
    <w:rsid w:val="006B3E96"/>
    <w:rsid w:val="006B3EBB"/>
    <w:rsid w:val="006B3FE8"/>
    <w:rsid w:val="006B419B"/>
    <w:rsid w:val="006B42FC"/>
    <w:rsid w:val="006B4355"/>
    <w:rsid w:val="006B43E8"/>
    <w:rsid w:val="006B4982"/>
    <w:rsid w:val="006B4A6E"/>
    <w:rsid w:val="006B4CD7"/>
    <w:rsid w:val="006B4D68"/>
    <w:rsid w:val="006B5163"/>
    <w:rsid w:val="006B51C6"/>
    <w:rsid w:val="006B5220"/>
    <w:rsid w:val="006B52BF"/>
    <w:rsid w:val="006B53FD"/>
    <w:rsid w:val="006B546F"/>
    <w:rsid w:val="006B56E0"/>
    <w:rsid w:val="006B5756"/>
    <w:rsid w:val="006B57A1"/>
    <w:rsid w:val="006B5B0F"/>
    <w:rsid w:val="006B5E86"/>
    <w:rsid w:val="006B615C"/>
    <w:rsid w:val="006B641D"/>
    <w:rsid w:val="006B64FD"/>
    <w:rsid w:val="006B66F9"/>
    <w:rsid w:val="006B6A31"/>
    <w:rsid w:val="006B6AD3"/>
    <w:rsid w:val="006B6CC5"/>
    <w:rsid w:val="006B6D7C"/>
    <w:rsid w:val="006B6DBC"/>
    <w:rsid w:val="006B6E1B"/>
    <w:rsid w:val="006B6F5E"/>
    <w:rsid w:val="006B6FCB"/>
    <w:rsid w:val="006B72A3"/>
    <w:rsid w:val="006B74C7"/>
    <w:rsid w:val="006B7774"/>
    <w:rsid w:val="006B7AEF"/>
    <w:rsid w:val="006B7C5F"/>
    <w:rsid w:val="006B7C72"/>
    <w:rsid w:val="006B7C81"/>
    <w:rsid w:val="006B7DD1"/>
    <w:rsid w:val="006B7E1B"/>
    <w:rsid w:val="006C0190"/>
    <w:rsid w:val="006C02B4"/>
    <w:rsid w:val="006C0456"/>
    <w:rsid w:val="006C05A2"/>
    <w:rsid w:val="006C05D0"/>
    <w:rsid w:val="006C06DA"/>
    <w:rsid w:val="006C07FD"/>
    <w:rsid w:val="006C0C47"/>
    <w:rsid w:val="006C0CC9"/>
    <w:rsid w:val="006C0D00"/>
    <w:rsid w:val="006C1001"/>
    <w:rsid w:val="006C1466"/>
    <w:rsid w:val="006C1495"/>
    <w:rsid w:val="006C1530"/>
    <w:rsid w:val="006C16B0"/>
    <w:rsid w:val="006C173E"/>
    <w:rsid w:val="006C1ADD"/>
    <w:rsid w:val="006C1CFB"/>
    <w:rsid w:val="006C20FC"/>
    <w:rsid w:val="006C227E"/>
    <w:rsid w:val="006C2612"/>
    <w:rsid w:val="006C273D"/>
    <w:rsid w:val="006C2744"/>
    <w:rsid w:val="006C2762"/>
    <w:rsid w:val="006C285D"/>
    <w:rsid w:val="006C2A15"/>
    <w:rsid w:val="006C2BBD"/>
    <w:rsid w:val="006C2BCA"/>
    <w:rsid w:val="006C2C2F"/>
    <w:rsid w:val="006C2D13"/>
    <w:rsid w:val="006C2D48"/>
    <w:rsid w:val="006C2E08"/>
    <w:rsid w:val="006C32D4"/>
    <w:rsid w:val="006C339A"/>
    <w:rsid w:val="006C3403"/>
    <w:rsid w:val="006C34AE"/>
    <w:rsid w:val="006C3635"/>
    <w:rsid w:val="006C37EB"/>
    <w:rsid w:val="006C3902"/>
    <w:rsid w:val="006C3A19"/>
    <w:rsid w:val="006C3E17"/>
    <w:rsid w:val="006C4176"/>
    <w:rsid w:val="006C42D0"/>
    <w:rsid w:val="006C4436"/>
    <w:rsid w:val="006C44CF"/>
    <w:rsid w:val="006C463A"/>
    <w:rsid w:val="006C48EB"/>
    <w:rsid w:val="006C4927"/>
    <w:rsid w:val="006C4B2E"/>
    <w:rsid w:val="006C4D04"/>
    <w:rsid w:val="006C4DB3"/>
    <w:rsid w:val="006C4E90"/>
    <w:rsid w:val="006C4F69"/>
    <w:rsid w:val="006C4FB2"/>
    <w:rsid w:val="006C4FDF"/>
    <w:rsid w:val="006C50BA"/>
    <w:rsid w:val="006C5182"/>
    <w:rsid w:val="006C54E5"/>
    <w:rsid w:val="006C56BE"/>
    <w:rsid w:val="006C5710"/>
    <w:rsid w:val="006C572C"/>
    <w:rsid w:val="006C5A53"/>
    <w:rsid w:val="006C5B15"/>
    <w:rsid w:val="006C5B40"/>
    <w:rsid w:val="006C5C35"/>
    <w:rsid w:val="006C5CC6"/>
    <w:rsid w:val="006C5E02"/>
    <w:rsid w:val="006C5E25"/>
    <w:rsid w:val="006C5F02"/>
    <w:rsid w:val="006C6246"/>
    <w:rsid w:val="006C64CF"/>
    <w:rsid w:val="006C6519"/>
    <w:rsid w:val="006C68DD"/>
    <w:rsid w:val="006C6A07"/>
    <w:rsid w:val="006C6ECD"/>
    <w:rsid w:val="006C6EE5"/>
    <w:rsid w:val="006C730D"/>
    <w:rsid w:val="006C73BF"/>
    <w:rsid w:val="006C73F0"/>
    <w:rsid w:val="006C7472"/>
    <w:rsid w:val="006C7614"/>
    <w:rsid w:val="006C7C46"/>
    <w:rsid w:val="006C7CBC"/>
    <w:rsid w:val="006C7F39"/>
    <w:rsid w:val="006D034E"/>
    <w:rsid w:val="006D037E"/>
    <w:rsid w:val="006D059A"/>
    <w:rsid w:val="006D05AA"/>
    <w:rsid w:val="006D07BD"/>
    <w:rsid w:val="006D09EB"/>
    <w:rsid w:val="006D0A5A"/>
    <w:rsid w:val="006D0B39"/>
    <w:rsid w:val="006D0D3A"/>
    <w:rsid w:val="006D0EA5"/>
    <w:rsid w:val="006D112A"/>
    <w:rsid w:val="006D15B6"/>
    <w:rsid w:val="006D16E1"/>
    <w:rsid w:val="006D17F1"/>
    <w:rsid w:val="006D19AD"/>
    <w:rsid w:val="006D1A50"/>
    <w:rsid w:val="006D1AF7"/>
    <w:rsid w:val="006D1C73"/>
    <w:rsid w:val="006D20F9"/>
    <w:rsid w:val="006D23F8"/>
    <w:rsid w:val="006D2587"/>
    <w:rsid w:val="006D25C0"/>
    <w:rsid w:val="006D2605"/>
    <w:rsid w:val="006D262B"/>
    <w:rsid w:val="006D276E"/>
    <w:rsid w:val="006D27D3"/>
    <w:rsid w:val="006D27F9"/>
    <w:rsid w:val="006D2899"/>
    <w:rsid w:val="006D2955"/>
    <w:rsid w:val="006D298E"/>
    <w:rsid w:val="006D2997"/>
    <w:rsid w:val="006D2AFB"/>
    <w:rsid w:val="006D2E09"/>
    <w:rsid w:val="006D3631"/>
    <w:rsid w:val="006D384C"/>
    <w:rsid w:val="006D3AFE"/>
    <w:rsid w:val="006D3C44"/>
    <w:rsid w:val="006D3EC0"/>
    <w:rsid w:val="006D3FB9"/>
    <w:rsid w:val="006D4008"/>
    <w:rsid w:val="006D46BD"/>
    <w:rsid w:val="006D4987"/>
    <w:rsid w:val="006D4BB2"/>
    <w:rsid w:val="006D4C0C"/>
    <w:rsid w:val="006D4CC9"/>
    <w:rsid w:val="006D4CD8"/>
    <w:rsid w:val="006D4CDA"/>
    <w:rsid w:val="006D4D6F"/>
    <w:rsid w:val="006D52BD"/>
    <w:rsid w:val="006D572C"/>
    <w:rsid w:val="006D5924"/>
    <w:rsid w:val="006D5993"/>
    <w:rsid w:val="006D59EE"/>
    <w:rsid w:val="006D5B12"/>
    <w:rsid w:val="006D5BA8"/>
    <w:rsid w:val="006D5C9C"/>
    <w:rsid w:val="006D5CD4"/>
    <w:rsid w:val="006D5D59"/>
    <w:rsid w:val="006D60A9"/>
    <w:rsid w:val="006D60BF"/>
    <w:rsid w:val="006D60DF"/>
    <w:rsid w:val="006D62AE"/>
    <w:rsid w:val="006D63C4"/>
    <w:rsid w:val="006D642E"/>
    <w:rsid w:val="006D6462"/>
    <w:rsid w:val="006D6921"/>
    <w:rsid w:val="006D69F9"/>
    <w:rsid w:val="006D6A6A"/>
    <w:rsid w:val="006D6D63"/>
    <w:rsid w:val="006D6DEA"/>
    <w:rsid w:val="006D6E8D"/>
    <w:rsid w:val="006D733A"/>
    <w:rsid w:val="006D73D2"/>
    <w:rsid w:val="006D77FF"/>
    <w:rsid w:val="006D7B41"/>
    <w:rsid w:val="006D7B83"/>
    <w:rsid w:val="006D7E89"/>
    <w:rsid w:val="006E0094"/>
    <w:rsid w:val="006E00BC"/>
    <w:rsid w:val="006E00DF"/>
    <w:rsid w:val="006E0137"/>
    <w:rsid w:val="006E0400"/>
    <w:rsid w:val="006E0445"/>
    <w:rsid w:val="006E056B"/>
    <w:rsid w:val="006E0651"/>
    <w:rsid w:val="006E067D"/>
    <w:rsid w:val="006E0BFD"/>
    <w:rsid w:val="006E0C4F"/>
    <w:rsid w:val="006E13DA"/>
    <w:rsid w:val="006E1536"/>
    <w:rsid w:val="006E185F"/>
    <w:rsid w:val="006E1953"/>
    <w:rsid w:val="006E1B6C"/>
    <w:rsid w:val="006E1B82"/>
    <w:rsid w:val="006E1CDA"/>
    <w:rsid w:val="006E1DDF"/>
    <w:rsid w:val="006E1EE8"/>
    <w:rsid w:val="006E205F"/>
    <w:rsid w:val="006E2127"/>
    <w:rsid w:val="006E2210"/>
    <w:rsid w:val="006E2326"/>
    <w:rsid w:val="006E239F"/>
    <w:rsid w:val="006E2626"/>
    <w:rsid w:val="006E283D"/>
    <w:rsid w:val="006E283F"/>
    <w:rsid w:val="006E2D2B"/>
    <w:rsid w:val="006E2DED"/>
    <w:rsid w:val="006E2EF6"/>
    <w:rsid w:val="006E2F6A"/>
    <w:rsid w:val="006E31B6"/>
    <w:rsid w:val="006E3385"/>
    <w:rsid w:val="006E34B3"/>
    <w:rsid w:val="006E34F0"/>
    <w:rsid w:val="006E354A"/>
    <w:rsid w:val="006E35FE"/>
    <w:rsid w:val="006E3626"/>
    <w:rsid w:val="006E36FA"/>
    <w:rsid w:val="006E3B33"/>
    <w:rsid w:val="006E3C7A"/>
    <w:rsid w:val="006E3C90"/>
    <w:rsid w:val="006E3DC0"/>
    <w:rsid w:val="006E3F08"/>
    <w:rsid w:val="006E3FBD"/>
    <w:rsid w:val="006E4214"/>
    <w:rsid w:val="006E42B8"/>
    <w:rsid w:val="006E4685"/>
    <w:rsid w:val="006E47B3"/>
    <w:rsid w:val="006E4841"/>
    <w:rsid w:val="006E4AF9"/>
    <w:rsid w:val="006E4B57"/>
    <w:rsid w:val="006E4C4A"/>
    <w:rsid w:val="006E502C"/>
    <w:rsid w:val="006E524B"/>
    <w:rsid w:val="006E547C"/>
    <w:rsid w:val="006E54B6"/>
    <w:rsid w:val="006E54B9"/>
    <w:rsid w:val="006E56D2"/>
    <w:rsid w:val="006E57F1"/>
    <w:rsid w:val="006E583B"/>
    <w:rsid w:val="006E5846"/>
    <w:rsid w:val="006E5A12"/>
    <w:rsid w:val="006E5AF0"/>
    <w:rsid w:val="006E5C69"/>
    <w:rsid w:val="006E605E"/>
    <w:rsid w:val="006E6188"/>
    <w:rsid w:val="006E6315"/>
    <w:rsid w:val="006E6347"/>
    <w:rsid w:val="006E63A3"/>
    <w:rsid w:val="006E6609"/>
    <w:rsid w:val="006E6A69"/>
    <w:rsid w:val="006E6CC4"/>
    <w:rsid w:val="006E6FFD"/>
    <w:rsid w:val="006E74AF"/>
    <w:rsid w:val="006E7834"/>
    <w:rsid w:val="006E7A5D"/>
    <w:rsid w:val="006E7ADD"/>
    <w:rsid w:val="006E7B0B"/>
    <w:rsid w:val="006E7B5B"/>
    <w:rsid w:val="006E7BB1"/>
    <w:rsid w:val="006F0325"/>
    <w:rsid w:val="006F0407"/>
    <w:rsid w:val="006F059A"/>
    <w:rsid w:val="006F05AF"/>
    <w:rsid w:val="006F0851"/>
    <w:rsid w:val="006F0AA2"/>
    <w:rsid w:val="006F0B3A"/>
    <w:rsid w:val="006F0B46"/>
    <w:rsid w:val="006F0DD3"/>
    <w:rsid w:val="006F0F96"/>
    <w:rsid w:val="006F119A"/>
    <w:rsid w:val="006F1300"/>
    <w:rsid w:val="006F15BD"/>
    <w:rsid w:val="006F1606"/>
    <w:rsid w:val="006F1731"/>
    <w:rsid w:val="006F1791"/>
    <w:rsid w:val="006F1799"/>
    <w:rsid w:val="006F17C6"/>
    <w:rsid w:val="006F17E8"/>
    <w:rsid w:val="006F1B21"/>
    <w:rsid w:val="006F1B55"/>
    <w:rsid w:val="006F1CD6"/>
    <w:rsid w:val="006F1EA4"/>
    <w:rsid w:val="006F1EAD"/>
    <w:rsid w:val="006F1FC2"/>
    <w:rsid w:val="006F1FDF"/>
    <w:rsid w:val="006F21C0"/>
    <w:rsid w:val="006F224B"/>
    <w:rsid w:val="006F2268"/>
    <w:rsid w:val="006F229F"/>
    <w:rsid w:val="006F2771"/>
    <w:rsid w:val="006F286D"/>
    <w:rsid w:val="006F2880"/>
    <w:rsid w:val="006F28C1"/>
    <w:rsid w:val="006F29E2"/>
    <w:rsid w:val="006F2BEC"/>
    <w:rsid w:val="006F2D49"/>
    <w:rsid w:val="006F2DFB"/>
    <w:rsid w:val="006F2EA7"/>
    <w:rsid w:val="006F2EDB"/>
    <w:rsid w:val="006F2FCC"/>
    <w:rsid w:val="006F3694"/>
    <w:rsid w:val="006F37F8"/>
    <w:rsid w:val="006F3B04"/>
    <w:rsid w:val="006F40D6"/>
    <w:rsid w:val="006F435D"/>
    <w:rsid w:val="006F43C0"/>
    <w:rsid w:val="006F4467"/>
    <w:rsid w:val="006F47C9"/>
    <w:rsid w:val="006F4BB5"/>
    <w:rsid w:val="006F4DB2"/>
    <w:rsid w:val="006F4DC7"/>
    <w:rsid w:val="006F4DFD"/>
    <w:rsid w:val="006F4E56"/>
    <w:rsid w:val="006F4FB5"/>
    <w:rsid w:val="006F51A2"/>
    <w:rsid w:val="006F53E8"/>
    <w:rsid w:val="006F55A3"/>
    <w:rsid w:val="006F56A6"/>
    <w:rsid w:val="006F5C63"/>
    <w:rsid w:val="006F5D51"/>
    <w:rsid w:val="006F5F16"/>
    <w:rsid w:val="006F60D9"/>
    <w:rsid w:val="006F6178"/>
    <w:rsid w:val="006F6278"/>
    <w:rsid w:val="006F63D6"/>
    <w:rsid w:val="006F6412"/>
    <w:rsid w:val="006F6A3B"/>
    <w:rsid w:val="006F6DF0"/>
    <w:rsid w:val="006F6EED"/>
    <w:rsid w:val="006F7089"/>
    <w:rsid w:val="006F7171"/>
    <w:rsid w:val="006F72F6"/>
    <w:rsid w:val="006F7327"/>
    <w:rsid w:val="006F7407"/>
    <w:rsid w:val="006F75F1"/>
    <w:rsid w:val="006F781F"/>
    <w:rsid w:val="006F78CF"/>
    <w:rsid w:val="006F7D47"/>
    <w:rsid w:val="0070000E"/>
    <w:rsid w:val="007003D0"/>
    <w:rsid w:val="007003D3"/>
    <w:rsid w:val="0070055E"/>
    <w:rsid w:val="00700615"/>
    <w:rsid w:val="00700627"/>
    <w:rsid w:val="00700786"/>
    <w:rsid w:val="00700AEB"/>
    <w:rsid w:val="00700B62"/>
    <w:rsid w:val="00700CE6"/>
    <w:rsid w:val="00700E6B"/>
    <w:rsid w:val="00701014"/>
    <w:rsid w:val="007014A5"/>
    <w:rsid w:val="0070184B"/>
    <w:rsid w:val="00701A42"/>
    <w:rsid w:val="00701B0D"/>
    <w:rsid w:val="00701B60"/>
    <w:rsid w:val="00701C1D"/>
    <w:rsid w:val="00701E5C"/>
    <w:rsid w:val="00701FB0"/>
    <w:rsid w:val="007021A8"/>
    <w:rsid w:val="0070239D"/>
    <w:rsid w:val="007025C1"/>
    <w:rsid w:val="007027CA"/>
    <w:rsid w:val="00702803"/>
    <w:rsid w:val="0070285B"/>
    <w:rsid w:val="0070299D"/>
    <w:rsid w:val="00702A22"/>
    <w:rsid w:val="00702D39"/>
    <w:rsid w:val="00702E05"/>
    <w:rsid w:val="00702EE2"/>
    <w:rsid w:val="00702F44"/>
    <w:rsid w:val="007031E6"/>
    <w:rsid w:val="00703384"/>
    <w:rsid w:val="0070342F"/>
    <w:rsid w:val="007037CB"/>
    <w:rsid w:val="007038FC"/>
    <w:rsid w:val="00703C8E"/>
    <w:rsid w:val="00703D0F"/>
    <w:rsid w:val="00703E11"/>
    <w:rsid w:val="00703E4B"/>
    <w:rsid w:val="00703F54"/>
    <w:rsid w:val="007040BF"/>
    <w:rsid w:val="0070410D"/>
    <w:rsid w:val="00704272"/>
    <w:rsid w:val="007042AC"/>
    <w:rsid w:val="007042AD"/>
    <w:rsid w:val="00704391"/>
    <w:rsid w:val="007043F0"/>
    <w:rsid w:val="00704638"/>
    <w:rsid w:val="007047A0"/>
    <w:rsid w:val="00704A0D"/>
    <w:rsid w:val="00704B9B"/>
    <w:rsid w:val="00704C56"/>
    <w:rsid w:val="00704D01"/>
    <w:rsid w:val="00704E24"/>
    <w:rsid w:val="00704E6C"/>
    <w:rsid w:val="007053FC"/>
    <w:rsid w:val="007054C8"/>
    <w:rsid w:val="007055A9"/>
    <w:rsid w:val="00705800"/>
    <w:rsid w:val="0070583E"/>
    <w:rsid w:val="007059FE"/>
    <w:rsid w:val="00705A88"/>
    <w:rsid w:val="00705D1A"/>
    <w:rsid w:val="00705EB3"/>
    <w:rsid w:val="00705FC1"/>
    <w:rsid w:val="00706201"/>
    <w:rsid w:val="007062EC"/>
    <w:rsid w:val="00706829"/>
    <w:rsid w:val="00706D72"/>
    <w:rsid w:val="00706FA8"/>
    <w:rsid w:val="00707026"/>
    <w:rsid w:val="00707067"/>
    <w:rsid w:val="0070721F"/>
    <w:rsid w:val="00707297"/>
    <w:rsid w:val="00707362"/>
    <w:rsid w:val="007073F3"/>
    <w:rsid w:val="00707414"/>
    <w:rsid w:val="007075C0"/>
    <w:rsid w:val="007077DB"/>
    <w:rsid w:val="0070788E"/>
    <w:rsid w:val="007079A1"/>
    <w:rsid w:val="00707BC8"/>
    <w:rsid w:val="00707D1F"/>
    <w:rsid w:val="00710184"/>
    <w:rsid w:val="00710428"/>
    <w:rsid w:val="00710466"/>
    <w:rsid w:val="00710719"/>
    <w:rsid w:val="007108EE"/>
    <w:rsid w:val="00710952"/>
    <w:rsid w:val="00710A9A"/>
    <w:rsid w:val="00710B93"/>
    <w:rsid w:val="00710BE7"/>
    <w:rsid w:val="00710CDF"/>
    <w:rsid w:val="00710DB3"/>
    <w:rsid w:val="00710E9C"/>
    <w:rsid w:val="00710EAE"/>
    <w:rsid w:val="00710FE2"/>
    <w:rsid w:val="007110C5"/>
    <w:rsid w:val="007112E4"/>
    <w:rsid w:val="00711379"/>
    <w:rsid w:val="007113C9"/>
    <w:rsid w:val="00711422"/>
    <w:rsid w:val="00711470"/>
    <w:rsid w:val="00711573"/>
    <w:rsid w:val="007116CE"/>
    <w:rsid w:val="007117C9"/>
    <w:rsid w:val="00711957"/>
    <w:rsid w:val="00712030"/>
    <w:rsid w:val="007120D5"/>
    <w:rsid w:val="00712103"/>
    <w:rsid w:val="0071217E"/>
    <w:rsid w:val="00712534"/>
    <w:rsid w:val="0071280E"/>
    <w:rsid w:val="00712A06"/>
    <w:rsid w:val="00712A9C"/>
    <w:rsid w:val="00712BD5"/>
    <w:rsid w:val="00712C74"/>
    <w:rsid w:val="00712FC2"/>
    <w:rsid w:val="00712FE8"/>
    <w:rsid w:val="007131B5"/>
    <w:rsid w:val="0071332B"/>
    <w:rsid w:val="00713472"/>
    <w:rsid w:val="007134EE"/>
    <w:rsid w:val="0071354A"/>
    <w:rsid w:val="007135C3"/>
    <w:rsid w:val="007135E5"/>
    <w:rsid w:val="00713692"/>
    <w:rsid w:val="00713948"/>
    <w:rsid w:val="007139EA"/>
    <w:rsid w:val="00713A35"/>
    <w:rsid w:val="00713D2D"/>
    <w:rsid w:val="00713F2E"/>
    <w:rsid w:val="007144AF"/>
    <w:rsid w:val="007150DC"/>
    <w:rsid w:val="00715150"/>
    <w:rsid w:val="007151B2"/>
    <w:rsid w:val="00715495"/>
    <w:rsid w:val="007155BB"/>
    <w:rsid w:val="0071573E"/>
    <w:rsid w:val="0071589A"/>
    <w:rsid w:val="00715C5D"/>
    <w:rsid w:val="00715E99"/>
    <w:rsid w:val="00715F64"/>
    <w:rsid w:val="0071604B"/>
    <w:rsid w:val="00716155"/>
    <w:rsid w:val="007162AA"/>
    <w:rsid w:val="007162D8"/>
    <w:rsid w:val="007165F1"/>
    <w:rsid w:val="00716682"/>
    <w:rsid w:val="007168FF"/>
    <w:rsid w:val="00716976"/>
    <w:rsid w:val="007169B4"/>
    <w:rsid w:val="00716A15"/>
    <w:rsid w:val="00716B2F"/>
    <w:rsid w:val="00716C5C"/>
    <w:rsid w:val="00716D62"/>
    <w:rsid w:val="00717098"/>
    <w:rsid w:val="007170C1"/>
    <w:rsid w:val="00717140"/>
    <w:rsid w:val="0071735D"/>
    <w:rsid w:val="00717789"/>
    <w:rsid w:val="00717918"/>
    <w:rsid w:val="00717BF9"/>
    <w:rsid w:val="00717E79"/>
    <w:rsid w:val="007200C3"/>
    <w:rsid w:val="007201D9"/>
    <w:rsid w:val="00720458"/>
    <w:rsid w:val="007207D2"/>
    <w:rsid w:val="0072085F"/>
    <w:rsid w:val="00720A50"/>
    <w:rsid w:val="00720BFC"/>
    <w:rsid w:val="00720C19"/>
    <w:rsid w:val="00720C54"/>
    <w:rsid w:val="00720CBF"/>
    <w:rsid w:val="00720E6A"/>
    <w:rsid w:val="00720E9F"/>
    <w:rsid w:val="00720F4F"/>
    <w:rsid w:val="00721002"/>
    <w:rsid w:val="007210A1"/>
    <w:rsid w:val="00721337"/>
    <w:rsid w:val="007215DA"/>
    <w:rsid w:val="00721629"/>
    <w:rsid w:val="007218C8"/>
    <w:rsid w:val="00721AE6"/>
    <w:rsid w:val="00721BE9"/>
    <w:rsid w:val="00721BF0"/>
    <w:rsid w:val="00721EF7"/>
    <w:rsid w:val="0072217F"/>
    <w:rsid w:val="007222C3"/>
    <w:rsid w:val="007223A5"/>
    <w:rsid w:val="00722498"/>
    <w:rsid w:val="007226D2"/>
    <w:rsid w:val="007229E7"/>
    <w:rsid w:val="00722B22"/>
    <w:rsid w:val="00722B23"/>
    <w:rsid w:val="00722BF1"/>
    <w:rsid w:val="00722C8C"/>
    <w:rsid w:val="00722CA5"/>
    <w:rsid w:val="00722CB5"/>
    <w:rsid w:val="00722D1D"/>
    <w:rsid w:val="00722DC1"/>
    <w:rsid w:val="00722FC1"/>
    <w:rsid w:val="00722FE0"/>
    <w:rsid w:val="007232BE"/>
    <w:rsid w:val="007232E9"/>
    <w:rsid w:val="007233A9"/>
    <w:rsid w:val="00723418"/>
    <w:rsid w:val="00723741"/>
    <w:rsid w:val="00723952"/>
    <w:rsid w:val="00723BB5"/>
    <w:rsid w:val="00723BCB"/>
    <w:rsid w:val="00723C43"/>
    <w:rsid w:val="00723EA6"/>
    <w:rsid w:val="00723FA9"/>
    <w:rsid w:val="007240BB"/>
    <w:rsid w:val="007240DD"/>
    <w:rsid w:val="00724172"/>
    <w:rsid w:val="00724305"/>
    <w:rsid w:val="00724468"/>
    <w:rsid w:val="00724529"/>
    <w:rsid w:val="007245C7"/>
    <w:rsid w:val="0072462D"/>
    <w:rsid w:val="00724963"/>
    <w:rsid w:val="00724BEE"/>
    <w:rsid w:val="00724E91"/>
    <w:rsid w:val="00724F10"/>
    <w:rsid w:val="00724FF5"/>
    <w:rsid w:val="00725427"/>
    <w:rsid w:val="00725439"/>
    <w:rsid w:val="00725510"/>
    <w:rsid w:val="00725567"/>
    <w:rsid w:val="0072561F"/>
    <w:rsid w:val="00725818"/>
    <w:rsid w:val="0072588C"/>
    <w:rsid w:val="0072590D"/>
    <w:rsid w:val="00725B46"/>
    <w:rsid w:val="007260FB"/>
    <w:rsid w:val="00726128"/>
    <w:rsid w:val="007261E0"/>
    <w:rsid w:val="0072638D"/>
    <w:rsid w:val="0072639A"/>
    <w:rsid w:val="0072654B"/>
    <w:rsid w:val="0072691B"/>
    <w:rsid w:val="00726961"/>
    <w:rsid w:val="007269F2"/>
    <w:rsid w:val="00726C55"/>
    <w:rsid w:val="00726F55"/>
    <w:rsid w:val="00726F74"/>
    <w:rsid w:val="00726FDE"/>
    <w:rsid w:val="00727079"/>
    <w:rsid w:val="00727327"/>
    <w:rsid w:val="00727505"/>
    <w:rsid w:val="00727582"/>
    <w:rsid w:val="0072777F"/>
    <w:rsid w:val="007278C4"/>
    <w:rsid w:val="007279A6"/>
    <w:rsid w:val="007279E2"/>
    <w:rsid w:val="00727A46"/>
    <w:rsid w:val="00727D24"/>
    <w:rsid w:val="00727DFA"/>
    <w:rsid w:val="00730028"/>
    <w:rsid w:val="007302EF"/>
    <w:rsid w:val="0073063E"/>
    <w:rsid w:val="007307B5"/>
    <w:rsid w:val="007307C6"/>
    <w:rsid w:val="0073088A"/>
    <w:rsid w:val="00730ADF"/>
    <w:rsid w:val="00730B01"/>
    <w:rsid w:val="00730B8B"/>
    <w:rsid w:val="00730E18"/>
    <w:rsid w:val="00730F7A"/>
    <w:rsid w:val="0073102D"/>
    <w:rsid w:val="00731168"/>
    <w:rsid w:val="00731210"/>
    <w:rsid w:val="007315D0"/>
    <w:rsid w:val="00731A5A"/>
    <w:rsid w:val="00731B27"/>
    <w:rsid w:val="00731E4C"/>
    <w:rsid w:val="00732055"/>
    <w:rsid w:val="007320EF"/>
    <w:rsid w:val="00732502"/>
    <w:rsid w:val="00732685"/>
    <w:rsid w:val="00732BB3"/>
    <w:rsid w:val="00732CD2"/>
    <w:rsid w:val="00732EFF"/>
    <w:rsid w:val="00733040"/>
    <w:rsid w:val="00733598"/>
    <w:rsid w:val="00733627"/>
    <w:rsid w:val="00733712"/>
    <w:rsid w:val="00733720"/>
    <w:rsid w:val="00733785"/>
    <w:rsid w:val="0073394F"/>
    <w:rsid w:val="00734063"/>
    <w:rsid w:val="00734443"/>
    <w:rsid w:val="0073488E"/>
    <w:rsid w:val="0073491E"/>
    <w:rsid w:val="00734D3C"/>
    <w:rsid w:val="00734F75"/>
    <w:rsid w:val="00735002"/>
    <w:rsid w:val="0073502B"/>
    <w:rsid w:val="00735044"/>
    <w:rsid w:val="00735109"/>
    <w:rsid w:val="0073518F"/>
    <w:rsid w:val="0073530F"/>
    <w:rsid w:val="007353AA"/>
    <w:rsid w:val="00735664"/>
    <w:rsid w:val="00735730"/>
    <w:rsid w:val="00735759"/>
    <w:rsid w:val="007358AF"/>
    <w:rsid w:val="00735CFA"/>
    <w:rsid w:val="00735D1E"/>
    <w:rsid w:val="00735D3E"/>
    <w:rsid w:val="00735F00"/>
    <w:rsid w:val="00735FDC"/>
    <w:rsid w:val="007363FE"/>
    <w:rsid w:val="00736694"/>
    <w:rsid w:val="007367CF"/>
    <w:rsid w:val="00736900"/>
    <w:rsid w:val="00736A3B"/>
    <w:rsid w:val="00736BF8"/>
    <w:rsid w:val="00736C95"/>
    <w:rsid w:val="00736D07"/>
    <w:rsid w:val="00736D09"/>
    <w:rsid w:val="00736E36"/>
    <w:rsid w:val="00736F19"/>
    <w:rsid w:val="0073706C"/>
    <w:rsid w:val="007370A5"/>
    <w:rsid w:val="007370FA"/>
    <w:rsid w:val="007374FB"/>
    <w:rsid w:val="007376CD"/>
    <w:rsid w:val="0073781E"/>
    <w:rsid w:val="00737995"/>
    <w:rsid w:val="007379A7"/>
    <w:rsid w:val="00737A47"/>
    <w:rsid w:val="00740415"/>
    <w:rsid w:val="0074046A"/>
    <w:rsid w:val="007404AA"/>
    <w:rsid w:val="00740635"/>
    <w:rsid w:val="0074074B"/>
    <w:rsid w:val="0074095F"/>
    <w:rsid w:val="00740A65"/>
    <w:rsid w:val="00740A73"/>
    <w:rsid w:val="00740B34"/>
    <w:rsid w:val="00740C48"/>
    <w:rsid w:val="00740EF5"/>
    <w:rsid w:val="00740FFE"/>
    <w:rsid w:val="007411E8"/>
    <w:rsid w:val="00741394"/>
    <w:rsid w:val="00741396"/>
    <w:rsid w:val="00741469"/>
    <w:rsid w:val="0074156B"/>
    <w:rsid w:val="00741AA3"/>
    <w:rsid w:val="00741B68"/>
    <w:rsid w:val="00741B85"/>
    <w:rsid w:val="00741C0F"/>
    <w:rsid w:val="00741DF3"/>
    <w:rsid w:val="00741E33"/>
    <w:rsid w:val="00742090"/>
    <w:rsid w:val="00742182"/>
    <w:rsid w:val="0074233F"/>
    <w:rsid w:val="00742452"/>
    <w:rsid w:val="0074260A"/>
    <w:rsid w:val="0074275F"/>
    <w:rsid w:val="007427AE"/>
    <w:rsid w:val="00742974"/>
    <w:rsid w:val="00742B1E"/>
    <w:rsid w:val="00742B62"/>
    <w:rsid w:val="00742BCB"/>
    <w:rsid w:val="00742BF5"/>
    <w:rsid w:val="00742D9A"/>
    <w:rsid w:val="00742DFA"/>
    <w:rsid w:val="00742E6B"/>
    <w:rsid w:val="00742E8B"/>
    <w:rsid w:val="007431C3"/>
    <w:rsid w:val="007432A0"/>
    <w:rsid w:val="00743979"/>
    <w:rsid w:val="007442EB"/>
    <w:rsid w:val="007444F8"/>
    <w:rsid w:val="00744734"/>
    <w:rsid w:val="00744783"/>
    <w:rsid w:val="007447A1"/>
    <w:rsid w:val="0074482C"/>
    <w:rsid w:val="00744909"/>
    <w:rsid w:val="00744BFD"/>
    <w:rsid w:val="00744CE5"/>
    <w:rsid w:val="00744D98"/>
    <w:rsid w:val="00744DAC"/>
    <w:rsid w:val="00744DAE"/>
    <w:rsid w:val="00744DB0"/>
    <w:rsid w:val="00744E88"/>
    <w:rsid w:val="00744EFA"/>
    <w:rsid w:val="0074500A"/>
    <w:rsid w:val="007451FF"/>
    <w:rsid w:val="00745240"/>
    <w:rsid w:val="00745267"/>
    <w:rsid w:val="007453D9"/>
    <w:rsid w:val="007455AB"/>
    <w:rsid w:val="0074579A"/>
    <w:rsid w:val="00745827"/>
    <w:rsid w:val="00745A54"/>
    <w:rsid w:val="00745AA5"/>
    <w:rsid w:val="00745B7C"/>
    <w:rsid w:val="00745F48"/>
    <w:rsid w:val="00746057"/>
    <w:rsid w:val="0074609C"/>
    <w:rsid w:val="007460F3"/>
    <w:rsid w:val="007461BD"/>
    <w:rsid w:val="007463F4"/>
    <w:rsid w:val="00746517"/>
    <w:rsid w:val="0074658C"/>
    <w:rsid w:val="00746644"/>
    <w:rsid w:val="00746732"/>
    <w:rsid w:val="00746ED1"/>
    <w:rsid w:val="00746FEA"/>
    <w:rsid w:val="007472D7"/>
    <w:rsid w:val="007473E2"/>
    <w:rsid w:val="00747625"/>
    <w:rsid w:val="00747819"/>
    <w:rsid w:val="0074799E"/>
    <w:rsid w:val="00747AB5"/>
    <w:rsid w:val="00747AF1"/>
    <w:rsid w:val="00747C28"/>
    <w:rsid w:val="00747E8E"/>
    <w:rsid w:val="00747EBE"/>
    <w:rsid w:val="00747F40"/>
    <w:rsid w:val="00747F4A"/>
    <w:rsid w:val="00747F9F"/>
    <w:rsid w:val="0075026A"/>
    <w:rsid w:val="007503B7"/>
    <w:rsid w:val="007504BC"/>
    <w:rsid w:val="007505A6"/>
    <w:rsid w:val="007506F7"/>
    <w:rsid w:val="007508C6"/>
    <w:rsid w:val="0075093A"/>
    <w:rsid w:val="007509CE"/>
    <w:rsid w:val="007509EE"/>
    <w:rsid w:val="00750A79"/>
    <w:rsid w:val="00750AA6"/>
    <w:rsid w:val="00750C27"/>
    <w:rsid w:val="00750DEB"/>
    <w:rsid w:val="00750FB0"/>
    <w:rsid w:val="007512CF"/>
    <w:rsid w:val="00751387"/>
    <w:rsid w:val="0075150E"/>
    <w:rsid w:val="00751546"/>
    <w:rsid w:val="007516B8"/>
    <w:rsid w:val="007517E9"/>
    <w:rsid w:val="00751928"/>
    <w:rsid w:val="00751B56"/>
    <w:rsid w:val="00751D06"/>
    <w:rsid w:val="00752163"/>
    <w:rsid w:val="0075222E"/>
    <w:rsid w:val="00752355"/>
    <w:rsid w:val="007523B8"/>
    <w:rsid w:val="007525D5"/>
    <w:rsid w:val="00752B40"/>
    <w:rsid w:val="00752B54"/>
    <w:rsid w:val="00752C1F"/>
    <w:rsid w:val="00752CFD"/>
    <w:rsid w:val="00752D38"/>
    <w:rsid w:val="00752E37"/>
    <w:rsid w:val="00752FA5"/>
    <w:rsid w:val="00753007"/>
    <w:rsid w:val="00753077"/>
    <w:rsid w:val="007531F3"/>
    <w:rsid w:val="0075321E"/>
    <w:rsid w:val="00753415"/>
    <w:rsid w:val="00753506"/>
    <w:rsid w:val="007535C4"/>
    <w:rsid w:val="00753664"/>
    <w:rsid w:val="00753778"/>
    <w:rsid w:val="00753A37"/>
    <w:rsid w:val="00753BB5"/>
    <w:rsid w:val="00753BD0"/>
    <w:rsid w:val="00753C18"/>
    <w:rsid w:val="00753C8D"/>
    <w:rsid w:val="00753CF8"/>
    <w:rsid w:val="00753EFF"/>
    <w:rsid w:val="00753F0B"/>
    <w:rsid w:val="00753FEC"/>
    <w:rsid w:val="00754078"/>
    <w:rsid w:val="00754169"/>
    <w:rsid w:val="007541D1"/>
    <w:rsid w:val="007541ED"/>
    <w:rsid w:val="0075437A"/>
    <w:rsid w:val="007543B9"/>
    <w:rsid w:val="00754588"/>
    <w:rsid w:val="007545CF"/>
    <w:rsid w:val="0075461C"/>
    <w:rsid w:val="00754760"/>
    <w:rsid w:val="007547C2"/>
    <w:rsid w:val="0075501C"/>
    <w:rsid w:val="00755695"/>
    <w:rsid w:val="007556B0"/>
    <w:rsid w:val="00755740"/>
    <w:rsid w:val="0075580C"/>
    <w:rsid w:val="007558D9"/>
    <w:rsid w:val="0075591D"/>
    <w:rsid w:val="007559C9"/>
    <w:rsid w:val="007559F5"/>
    <w:rsid w:val="007559FE"/>
    <w:rsid w:val="00755A0E"/>
    <w:rsid w:val="00755A6C"/>
    <w:rsid w:val="00755B85"/>
    <w:rsid w:val="00755BC6"/>
    <w:rsid w:val="00755BF0"/>
    <w:rsid w:val="00755E10"/>
    <w:rsid w:val="0075605A"/>
    <w:rsid w:val="007561C3"/>
    <w:rsid w:val="00756246"/>
    <w:rsid w:val="00756302"/>
    <w:rsid w:val="00756A39"/>
    <w:rsid w:val="00756AAA"/>
    <w:rsid w:val="00756B9F"/>
    <w:rsid w:val="00756BBB"/>
    <w:rsid w:val="00756D8B"/>
    <w:rsid w:val="0075734A"/>
    <w:rsid w:val="00757747"/>
    <w:rsid w:val="00757851"/>
    <w:rsid w:val="00757E33"/>
    <w:rsid w:val="00757E7B"/>
    <w:rsid w:val="00757FE8"/>
    <w:rsid w:val="0076000D"/>
    <w:rsid w:val="00760018"/>
    <w:rsid w:val="0076028B"/>
    <w:rsid w:val="00760306"/>
    <w:rsid w:val="0076031C"/>
    <w:rsid w:val="00760759"/>
    <w:rsid w:val="00760919"/>
    <w:rsid w:val="00760924"/>
    <w:rsid w:val="00760AE9"/>
    <w:rsid w:val="00760B7F"/>
    <w:rsid w:val="00761158"/>
    <w:rsid w:val="007611E0"/>
    <w:rsid w:val="00761388"/>
    <w:rsid w:val="007614AF"/>
    <w:rsid w:val="007614CE"/>
    <w:rsid w:val="00761710"/>
    <w:rsid w:val="00761754"/>
    <w:rsid w:val="0076181D"/>
    <w:rsid w:val="00761850"/>
    <w:rsid w:val="007618FF"/>
    <w:rsid w:val="00761917"/>
    <w:rsid w:val="0076197C"/>
    <w:rsid w:val="00761991"/>
    <w:rsid w:val="00761B5A"/>
    <w:rsid w:val="00761E94"/>
    <w:rsid w:val="007620BC"/>
    <w:rsid w:val="007623E7"/>
    <w:rsid w:val="00762878"/>
    <w:rsid w:val="00762BE7"/>
    <w:rsid w:val="00762C41"/>
    <w:rsid w:val="00762FCE"/>
    <w:rsid w:val="00763420"/>
    <w:rsid w:val="00763458"/>
    <w:rsid w:val="007635BA"/>
    <w:rsid w:val="00763610"/>
    <w:rsid w:val="00763875"/>
    <w:rsid w:val="00763965"/>
    <w:rsid w:val="007639E1"/>
    <w:rsid w:val="00763E79"/>
    <w:rsid w:val="00763FE9"/>
    <w:rsid w:val="00764017"/>
    <w:rsid w:val="0076404D"/>
    <w:rsid w:val="0076410D"/>
    <w:rsid w:val="00764296"/>
    <w:rsid w:val="007642CE"/>
    <w:rsid w:val="0076460F"/>
    <w:rsid w:val="00764695"/>
    <w:rsid w:val="007646A7"/>
    <w:rsid w:val="0076482C"/>
    <w:rsid w:val="007648EB"/>
    <w:rsid w:val="0076496D"/>
    <w:rsid w:val="00764982"/>
    <w:rsid w:val="00764A90"/>
    <w:rsid w:val="00764E08"/>
    <w:rsid w:val="00764F56"/>
    <w:rsid w:val="00764FB8"/>
    <w:rsid w:val="0076502D"/>
    <w:rsid w:val="007651EC"/>
    <w:rsid w:val="007652DB"/>
    <w:rsid w:val="00765358"/>
    <w:rsid w:val="007653D9"/>
    <w:rsid w:val="00765428"/>
    <w:rsid w:val="00765603"/>
    <w:rsid w:val="007656C1"/>
    <w:rsid w:val="007656F8"/>
    <w:rsid w:val="00765941"/>
    <w:rsid w:val="00765AD9"/>
    <w:rsid w:val="00765D31"/>
    <w:rsid w:val="00765DF3"/>
    <w:rsid w:val="00765EEE"/>
    <w:rsid w:val="00765F79"/>
    <w:rsid w:val="007660E5"/>
    <w:rsid w:val="00766134"/>
    <w:rsid w:val="007663EC"/>
    <w:rsid w:val="007665C2"/>
    <w:rsid w:val="007665D5"/>
    <w:rsid w:val="00766702"/>
    <w:rsid w:val="007667E3"/>
    <w:rsid w:val="00766A8D"/>
    <w:rsid w:val="00766AC0"/>
    <w:rsid w:val="00766BC1"/>
    <w:rsid w:val="00766BED"/>
    <w:rsid w:val="00766CDD"/>
    <w:rsid w:val="00766CF1"/>
    <w:rsid w:val="00766D17"/>
    <w:rsid w:val="00767673"/>
    <w:rsid w:val="00767691"/>
    <w:rsid w:val="007678B5"/>
    <w:rsid w:val="00767938"/>
    <w:rsid w:val="00767951"/>
    <w:rsid w:val="00767A37"/>
    <w:rsid w:val="00767A9E"/>
    <w:rsid w:val="00767AF9"/>
    <w:rsid w:val="00767D0A"/>
    <w:rsid w:val="00767E3F"/>
    <w:rsid w:val="00767EC7"/>
    <w:rsid w:val="007700D7"/>
    <w:rsid w:val="00770189"/>
    <w:rsid w:val="00770192"/>
    <w:rsid w:val="00770302"/>
    <w:rsid w:val="007704D6"/>
    <w:rsid w:val="0077087A"/>
    <w:rsid w:val="00770953"/>
    <w:rsid w:val="00770BAE"/>
    <w:rsid w:val="00770C46"/>
    <w:rsid w:val="00770D05"/>
    <w:rsid w:val="00770E0E"/>
    <w:rsid w:val="00770FEC"/>
    <w:rsid w:val="00771079"/>
    <w:rsid w:val="0077110F"/>
    <w:rsid w:val="007712E9"/>
    <w:rsid w:val="0077150C"/>
    <w:rsid w:val="00771746"/>
    <w:rsid w:val="0077199F"/>
    <w:rsid w:val="00771A66"/>
    <w:rsid w:val="00771E29"/>
    <w:rsid w:val="0077223B"/>
    <w:rsid w:val="00772437"/>
    <w:rsid w:val="00772475"/>
    <w:rsid w:val="007724BD"/>
    <w:rsid w:val="00772B2E"/>
    <w:rsid w:val="00772BFA"/>
    <w:rsid w:val="0077303E"/>
    <w:rsid w:val="007731AB"/>
    <w:rsid w:val="007731C2"/>
    <w:rsid w:val="00773331"/>
    <w:rsid w:val="007734E0"/>
    <w:rsid w:val="007735DB"/>
    <w:rsid w:val="007736B5"/>
    <w:rsid w:val="007736C9"/>
    <w:rsid w:val="00773C19"/>
    <w:rsid w:val="0077459B"/>
    <w:rsid w:val="007747E0"/>
    <w:rsid w:val="00774889"/>
    <w:rsid w:val="007748A5"/>
    <w:rsid w:val="00774A3B"/>
    <w:rsid w:val="00774A43"/>
    <w:rsid w:val="00774AA5"/>
    <w:rsid w:val="00774BB7"/>
    <w:rsid w:val="00774C2F"/>
    <w:rsid w:val="00774CC1"/>
    <w:rsid w:val="00774E76"/>
    <w:rsid w:val="00774E93"/>
    <w:rsid w:val="00774EBD"/>
    <w:rsid w:val="00774EE9"/>
    <w:rsid w:val="00775026"/>
    <w:rsid w:val="0077517E"/>
    <w:rsid w:val="0077527B"/>
    <w:rsid w:val="007755ED"/>
    <w:rsid w:val="00775826"/>
    <w:rsid w:val="00775952"/>
    <w:rsid w:val="007759D9"/>
    <w:rsid w:val="00775B13"/>
    <w:rsid w:val="00775B24"/>
    <w:rsid w:val="00775B63"/>
    <w:rsid w:val="00775F87"/>
    <w:rsid w:val="007765D6"/>
    <w:rsid w:val="00776644"/>
    <w:rsid w:val="007767BC"/>
    <w:rsid w:val="00776904"/>
    <w:rsid w:val="0077690F"/>
    <w:rsid w:val="007769CC"/>
    <w:rsid w:val="00776D76"/>
    <w:rsid w:val="0077716B"/>
    <w:rsid w:val="0077727C"/>
    <w:rsid w:val="007773EA"/>
    <w:rsid w:val="007776B6"/>
    <w:rsid w:val="007777C3"/>
    <w:rsid w:val="007778EA"/>
    <w:rsid w:val="00777A18"/>
    <w:rsid w:val="00777A5A"/>
    <w:rsid w:val="00777BE9"/>
    <w:rsid w:val="00777C37"/>
    <w:rsid w:val="00777D00"/>
    <w:rsid w:val="00777E03"/>
    <w:rsid w:val="00777EDE"/>
    <w:rsid w:val="0078032C"/>
    <w:rsid w:val="00780348"/>
    <w:rsid w:val="0078063E"/>
    <w:rsid w:val="007807E3"/>
    <w:rsid w:val="00780938"/>
    <w:rsid w:val="00780A53"/>
    <w:rsid w:val="00780A8F"/>
    <w:rsid w:val="00780C5D"/>
    <w:rsid w:val="00780D5B"/>
    <w:rsid w:val="00780E96"/>
    <w:rsid w:val="00780FCA"/>
    <w:rsid w:val="00781061"/>
    <w:rsid w:val="00781108"/>
    <w:rsid w:val="00781402"/>
    <w:rsid w:val="00781526"/>
    <w:rsid w:val="00781911"/>
    <w:rsid w:val="00781A7A"/>
    <w:rsid w:val="00781A97"/>
    <w:rsid w:val="00781D92"/>
    <w:rsid w:val="00782138"/>
    <w:rsid w:val="0078215F"/>
    <w:rsid w:val="00782483"/>
    <w:rsid w:val="0078292D"/>
    <w:rsid w:val="00782B70"/>
    <w:rsid w:val="00782B9D"/>
    <w:rsid w:val="00782DAE"/>
    <w:rsid w:val="00782E48"/>
    <w:rsid w:val="00782FA4"/>
    <w:rsid w:val="0078303E"/>
    <w:rsid w:val="0078304B"/>
    <w:rsid w:val="0078310B"/>
    <w:rsid w:val="00783282"/>
    <w:rsid w:val="00783468"/>
    <w:rsid w:val="007834C5"/>
    <w:rsid w:val="007837B9"/>
    <w:rsid w:val="00783933"/>
    <w:rsid w:val="007839BF"/>
    <w:rsid w:val="00783AB8"/>
    <w:rsid w:val="00783CFE"/>
    <w:rsid w:val="00783ECD"/>
    <w:rsid w:val="0078415C"/>
    <w:rsid w:val="0078419D"/>
    <w:rsid w:val="007841E1"/>
    <w:rsid w:val="00784241"/>
    <w:rsid w:val="00784341"/>
    <w:rsid w:val="0078464C"/>
    <w:rsid w:val="007848C1"/>
    <w:rsid w:val="00784932"/>
    <w:rsid w:val="007849C6"/>
    <w:rsid w:val="00784CCF"/>
    <w:rsid w:val="00784E09"/>
    <w:rsid w:val="00784F51"/>
    <w:rsid w:val="00785032"/>
    <w:rsid w:val="00785215"/>
    <w:rsid w:val="0078586B"/>
    <w:rsid w:val="007858E9"/>
    <w:rsid w:val="00785909"/>
    <w:rsid w:val="00785993"/>
    <w:rsid w:val="0078599B"/>
    <w:rsid w:val="00785B84"/>
    <w:rsid w:val="00785BC2"/>
    <w:rsid w:val="00785E01"/>
    <w:rsid w:val="00786027"/>
    <w:rsid w:val="007860A8"/>
    <w:rsid w:val="00786246"/>
    <w:rsid w:val="0078624C"/>
    <w:rsid w:val="00786538"/>
    <w:rsid w:val="007865EF"/>
    <w:rsid w:val="00786671"/>
    <w:rsid w:val="007867CB"/>
    <w:rsid w:val="00786841"/>
    <w:rsid w:val="00786C0B"/>
    <w:rsid w:val="00786DFA"/>
    <w:rsid w:val="00786F78"/>
    <w:rsid w:val="00786F86"/>
    <w:rsid w:val="0078709B"/>
    <w:rsid w:val="0078710C"/>
    <w:rsid w:val="00787467"/>
    <w:rsid w:val="00787759"/>
    <w:rsid w:val="007877D4"/>
    <w:rsid w:val="00787860"/>
    <w:rsid w:val="00787A3C"/>
    <w:rsid w:val="00787D5B"/>
    <w:rsid w:val="00787DE6"/>
    <w:rsid w:val="00787E8D"/>
    <w:rsid w:val="00787E9A"/>
    <w:rsid w:val="00787F42"/>
    <w:rsid w:val="00790152"/>
    <w:rsid w:val="0079018A"/>
    <w:rsid w:val="0079067C"/>
    <w:rsid w:val="0079082B"/>
    <w:rsid w:val="00790A6C"/>
    <w:rsid w:val="00790AA7"/>
    <w:rsid w:val="00790B04"/>
    <w:rsid w:val="00790CB2"/>
    <w:rsid w:val="00790D3E"/>
    <w:rsid w:val="00790D45"/>
    <w:rsid w:val="00791011"/>
    <w:rsid w:val="007912C5"/>
    <w:rsid w:val="0079142D"/>
    <w:rsid w:val="00791447"/>
    <w:rsid w:val="007914D7"/>
    <w:rsid w:val="00791558"/>
    <w:rsid w:val="007918AD"/>
    <w:rsid w:val="00791C03"/>
    <w:rsid w:val="00791D2E"/>
    <w:rsid w:val="00791D57"/>
    <w:rsid w:val="00791E27"/>
    <w:rsid w:val="0079214B"/>
    <w:rsid w:val="007921D1"/>
    <w:rsid w:val="00792509"/>
    <w:rsid w:val="00792608"/>
    <w:rsid w:val="0079284F"/>
    <w:rsid w:val="00792E03"/>
    <w:rsid w:val="00793024"/>
    <w:rsid w:val="007930D7"/>
    <w:rsid w:val="00793139"/>
    <w:rsid w:val="007932EF"/>
    <w:rsid w:val="0079340D"/>
    <w:rsid w:val="0079351A"/>
    <w:rsid w:val="00793596"/>
    <w:rsid w:val="00793B5C"/>
    <w:rsid w:val="00793D01"/>
    <w:rsid w:val="00794123"/>
    <w:rsid w:val="0079414B"/>
    <w:rsid w:val="0079419A"/>
    <w:rsid w:val="00794566"/>
    <w:rsid w:val="00794686"/>
    <w:rsid w:val="0079472B"/>
    <w:rsid w:val="00794798"/>
    <w:rsid w:val="007949F1"/>
    <w:rsid w:val="00794DC2"/>
    <w:rsid w:val="00794FB4"/>
    <w:rsid w:val="007950E7"/>
    <w:rsid w:val="0079568C"/>
    <w:rsid w:val="007956AC"/>
    <w:rsid w:val="007956E6"/>
    <w:rsid w:val="00795708"/>
    <w:rsid w:val="00795908"/>
    <w:rsid w:val="00795B0D"/>
    <w:rsid w:val="00795E1A"/>
    <w:rsid w:val="00795F4A"/>
    <w:rsid w:val="00795FE1"/>
    <w:rsid w:val="0079654D"/>
    <w:rsid w:val="00796595"/>
    <w:rsid w:val="00796D00"/>
    <w:rsid w:val="00796D58"/>
    <w:rsid w:val="0079704E"/>
    <w:rsid w:val="007976D2"/>
    <w:rsid w:val="00797922"/>
    <w:rsid w:val="00797D4E"/>
    <w:rsid w:val="00797F59"/>
    <w:rsid w:val="007A0004"/>
    <w:rsid w:val="007A02F1"/>
    <w:rsid w:val="007A060C"/>
    <w:rsid w:val="007A081E"/>
    <w:rsid w:val="007A0C0D"/>
    <w:rsid w:val="007A12D0"/>
    <w:rsid w:val="007A1619"/>
    <w:rsid w:val="007A172A"/>
    <w:rsid w:val="007A17FA"/>
    <w:rsid w:val="007A1A13"/>
    <w:rsid w:val="007A1A42"/>
    <w:rsid w:val="007A1C50"/>
    <w:rsid w:val="007A1DB6"/>
    <w:rsid w:val="007A1E38"/>
    <w:rsid w:val="007A1F33"/>
    <w:rsid w:val="007A216A"/>
    <w:rsid w:val="007A22B4"/>
    <w:rsid w:val="007A22E9"/>
    <w:rsid w:val="007A2313"/>
    <w:rsid w:val="007A23D0"/>
    <w:rsid w:val="007A2762"/>
    <w:rsid w:val="007A27C0"/>
    <w:rsid w:val="007A2997"/>
    <w:rsid w:val="007A2B3B"/>
    <w:rsid w:val="007A2C04"/>
    <w:rsid w:val="007A2E6E"/>
    <w:rsid w:val="007A2F29"/>
    <w:rsid w:val="007A31AA"/>
    <w:rsid w:val="007A31DD"/>
    <w:rsid w:val="007A341A"/>
    <w:rsid w:val="007A3795"/>
    <w:rsid w:val="007A387A"/>
    <w:rsid w:val="007A38FC"/>
    <w:rsid w:val="007A390D"/>
    <w:rsid w:val="007A3B28"/>
    <w:rsid w:val="007A3D79"/>
    <w:rsid w:val="007A3F1D"/>
    <w:rsid w:val="007A415E"/>
    <w:rsid w:val="007A46BF"/>
    <w:rsid w:val="007A4884"/>
    <w:rsid w:val="007A4AD5"/>
    <w:rsid w:val="007A4C02"/>
    <w:rsid w:val="007A4DF2"/>
    <w:rsid w:val="007A4E62"/>
    <w:rsid w:val="007A4EDC"/>
    <w:rsid w:val="007A511E"/>
    <w:rsid w:val="007A5177"/>
    <w:rsid w:val="007A579A"/>
    <w:rsid w:val="007A5B5B"/>
    <w:rsid w:val="007A5C2C"/>
    <w:rsid w:val="007A5DF7"/>
    <w:rsid w:val="007A5DF8"/>
    <w:rsid w:val="007A6173"/>
    <w:rsid w:val="007A6363"/>
    <w:rsid w:val="007A6411"/>
    <w:rsid w:val="007A6757"/>
    <w:rsid w:val="007A6A51"/>
    <w:rsid w:val="007A6D18"/>
    <w:rsid w:val="007A6D83"/>
    <w:rsid w:val="007A6E6C"/>
    <w:rsid w:val="007A7196"/>
    <w:rsid w:val="007A71BE"/>
    <w:rsid w:val="007A71D3"/>
    <w:rsid w:val="007A7200"/>
    <w:rsid w:val="007A731A"/>
    <w:rsid w:val="007A7380"/>
    <w:rsid w:val="007A7556"/>
    <w:rsid w:val="007A75A9"/>
    <w:rsid w:val="007A7626"/>
    <w:rsid w:val="007A764B"/>
    <w:rsid w:val="007A76E0"/>
    <w:rsid w:val="007A78CC"/>
    <w:rsid w:val="007A78DE"/>
    <w:rsid w:val="007A79F0"/>
    <w:rsid w:val="007A7A33"/>
    <w:rsid w:val="007A7B53"/>
    <w:rsid w:val="007A7BB8"/>
    <w:rsid w:val="007A7C41"/>
    <w:rsid w:val="007A7D26"/>
    <w:rsid w:val="007A7E07"/>
    <w:rsid w:val="007A7EA3"/>
    <w:rsid w:val="007A7F38"/>
    <w:rsid w:val="007B00A6"/>
    <w:rsid w:val="007B00DC"/>
    <w:rsid w:val="007B011B"/>
    <w:rsid w:val="007B01A2"/>
    <w:rsid w:val="007B0387"/>
    <w:rsid w:val="007B0475"/>
    <w:rsid w:val="007B05A5"/>
    <w:rsid w:val="007B0739"/>
    <w:rsid w:val="007B0A11"/>
    <w:rsid w:val="007B0BBA"/>
    <w:rsid w:val="007B0C81"/>
    <w:rsid w:val="007B0E75"/>
    <w:rsid w:val="007B0E86"/>
    <w:rsid w:val="007B0EDA"/>
    <w:rsid w:val="007B0EF4"/>
    <w:rsid w:val="007B0F05"/>
    <w:rsid w:val="007B0F9F"/>
    <w:rsid w:val="007B0FBE"/>
    <w:rsid w:val="007B1217"/>
    <w:rsid w:val="007B13A7"/>
    <w:rsid w:val="007B1757"/>
    <w:rsid w:val="007B1AD4"/>
    <w:rsid w:val="007B1B75"/>
    <w:rsid w:val="007B1BF7"/>
    <w:rsid w:val="007B1C53"/>
    <w:rsid w:val="007B1C92"/>
    <w:rsid w:val="007B2087"/>
    <w:rsid w:val="007B214E"/>
    <w:rsid w:val="007B2205"/>
    <w:rsid w:val="007B22F9"/>
    <w:rsid w:val="007B2411"/>
    <w:rsid w:val="007B241C"/>
    <w:rsid w:val="007B25AF"/>
    <w:rsid w:val="007B26D1"/>
    <w:rsid w:val="007B27D2"/>
    <w:rsid w:val="007B27D9"/>
    <w:rsid w:val="007B2863"/>
    <w:rsid w:val="007B289E"/>
    <w:rsid w:val="007B28AA"/>
    <w:rsid w:val="007B2D47"/>
    <w:rsid w:val="007B2E78"/>
    <w:rsid w:val="007B2F96"/>
    <w:rsid w:val="007B3244"/>
    <w:rsid w:val="007B3286"/>
    <w:rsid w:val="007B32D8"/>
    <w:rsid w:val="007B3312"/>
    <w:rsid w:val="007B3357"/>
    <w:rsid w:val="007B343A"/>
    <w:rsid w:val="007B3480"/>
    <w:rsid w:val="007B3816"/>
    <w:rsid w:val="007B382C"/>
    <w:rsid w:val="007B384C"/>
    <w:rsid w:val="007B3C0D"/>
    <w:rsid w:val="007B3EB5"/>
    <w:rsid w:val="007B3FD8"/>
    <w:rsid w:val="007B413A"/>
    <w:rsid w:val="007B413F"/>
    <w:rsid w:val="007B41E2"/>
    <w:rsid w:val="007B425A"/>
    <w:rsid w:val="007B4475"/>
    <w:rsid w:val="007B4503"/>
    <w:rsid w:val="007B454A"/>
    <w:rsid w:val="007B4569"/>
    <w:rsid w:val="007B484F"/>
    <w:rsid w:val="007B48E9"/>
    <w:rsid w:val="007B4A91"/>
    <w:rsid w:val="007B4ABA"/>
    <w:rsid w:val="007B4B10"/>
    <w:rsid w:val="007B4C17"/>
    <w:rsid w:val="007B4ECB"/>
    <w:rsid w:val="007B4EEB"/>
    <w:rsid w:val="007B4FA6"/>
    <w:rsid w:val="007B4FED"/>
    <w:rsid w:val="007B523D"/>
    <w:rsid w:val="007B536C"/>
    <w:rsid w:val="007B5521"/>
    <w:rsid w:val="007B55A5"/>
    <w:rsid w:val="007B55E7"/>
    <w:rsid w:val="007B586F"/>
    <w:rsid w:val="007B58DF"/>
    <w:rsid w:val="007B5B58"/>
    <w:rsid w:val="007B5E40"/>
    <w:rsid w:val="007B5E47"/>
    <w:rsid w:val="007B5E68"/>
    <w:rsid w:val="007B5FF8"/>
    <w:rsid w:val="007B6010"/>
    <w:rsid w:val="007B60BC"/>
    <w:rsid w:val="007B613A"/>
    <w:rsid w:val="007B6269"/>
    <w:rsid w:val="007B668D"/>
    <w:rsid w:val="007B66F6"/>
    <w:rsid w:val="007B69A5"/>
    <w:rsid w:val="007B6AF7"/>
    <w:rsid w:val="007B6BDE"/>
    <w:rsid w:val="007B6CB4"/>
    <w:rsid w:val="007B6E1C"/>
    <w:rsid w:val="007B6E50"/>
    <w:rsid w:val="007B705B"/>
    <w:rsid w:val="007B71DE"/>
    <w:rsid w:val="007B72D8"/>
    <w:rsid w:val="007B733F"/>
    <w:rsid w:val="007B7413"/>
    <w:rsid w:val="007B7533"/>
    <w:rsid w:val="007B77BB"/>
    <w:rsid w:val="007B794E"/>
    <w:rsid w:val="007B7CEE"/>
    <w:rsid w:val="007B7D2E"/>
    <w:rsid w:val="007B7EAC"/>
    <w:rsid w:val="007B7F54"/>
    <w:rsid w:val="007C0356"/>
    <w:rsid w:val="007C0756"/>
    <w:rsid w:val="007C0DEE"/>
    <w:rsid w:val="007C0E60"/>
    <w:rsid w:val="007C0EAB"/>
    <w:rsid w:val="007C10E6"/>
    <w:rsid w:val="007C14B3"/>
    <w:rsid w:val="007C16AA"/>
    <w:rsid w:val="007C181C"/>
    <w:rsid w:val="007C194C"/>
    <w:rsid w:val="007C1AAA"/>
    <w:rsid w:val="007C1BC0"/>
    <w:rsid w:val="007C1D9F"/>
    <w:rsid w:val="007C1EAF"/>
    <w:rsid w:val="007C205C"/>
    <w:rsid w:val="007C20BA"/>
    <w:rsid w:val="007C20CF"/>
    <w:rsid w:val="007C243E"/>
    <w:rsid w:val="007C25DE"/>
    <w:rsid w:val="007C265A"/>
    <w:rsid w:val="007C2A39"/>
    <w:rsid w:val="007C2D34"/>
    <w:rsid w:val="007C2E0D"/>
    <w:rsid w:val="007C31CD"/>
    <w:rsid w:val="007C3472"/>
    <w:rsid w:val="007C3612"/>
    <w:rsid w:val="007C367C"/>
    <w:rsid w:val="007C3773"/>
    <w:rsid w:val="007C3AC1"/>
    <w:rsid w:val="007C3B0C"/>
    <w:rsid w:val="007C3C95"/>
    <w:rsid w:val="007C3D6C"/>
    <w:rsid w:val="007C3FEC"/>
    <w:rsid w:val="007C4052"/>
    <w:rsid w:val="007C407B"/>
    <w:rsid w:val="007C427A"/>
    <w:rsid w:val="007C429D"/>
    <w:rsid w:val="007C437E"/>
    <w:rsid w:val="007C4394"/>
    <w:rsid w:val="007C48F3"/>
    <w:rsid w:val="007C4B48"/>
    <w:rsid w:val="007C4BA1"/>
    <w:rsid w:val="007C4EFF"/>
    <w:rsid w:val="007C51CF"/>
    <w:rsid w:val="007C52F6"/>
    <w:rsid w:val="007C545B"/>
    <w:rsid w:val="007C5574"/>
    <w:rsid w:val="007C5582"/>
    <w:rsid w:val="007C561D"/>
    <w:rsid w:val="007C5A27"/>
    <w:rsid w:val="007C5C2A"/>
    <w:rsid w:val="007C5D80"/>
    <w:rsid w:val="007C5DCE"/>
    <w:rsid w:val="007C6016"/>
    <w:rsid w:val="007C626B"/>
    <w:rsid w:val="007C6378"/>
    <w:rsid w:val="007C674D"/>
    <w:rsid w:val="007C6973"/>
    <w:rsid w:val="007C6DD8"/>
    <w:rsid w:val="007C6E32"/>
    <w:rsid w:val="007C6FCF"/>
    <w:rsid w:val="007C6FD8"/>
    <w:rsid w:val="007C7233"/>
    <w:rsid w:val="007C7248"/>
    <w:rsid w:val="007C7423"/>
    <w:rsid w:val="007C7595"/>
    <w:rsid w:val="007C77C6"/>
    <w:rsid w:val="007C77FC"/>
    <w:rsid w:val="007C7E5B"/>
    <w:rsid w:val="007D0040"/>
    <w:rsid w:val="007D033F"/>
    <w:rsid w:val="007D0A17"/>
    <w:rsid w:val="007D0E18"/>
    <w:rsid w:val="007D0E55"/>
    <w:rsid w:val="007D0F4C"/>
    <w:rsid w:val="007D1147"/>
    <w:rsid w:val="007D11DA"/>
    <w:rsid w:val="007D129B"/>
    <w:rsid w:val="007D181B"/>
    <w:rsid w:val="007D1885"/>
    <w:rsid w:val="007D18DE"/>
    <w:rsid w:val="007D1994"/>
    <w:rsid w:val="007D1A97"/>
    <w:rsid w:val="007D1DB6"/>
    <w:rsid w:val="007D204C"/>
    <w:rsid w:val="007D2185"/>
    <w:rsid w:val="007D23F8"/>
    <w:rsid w:val="007D25F4"/>
    <w:rsid w:val="007D279E"/>
    <w:rsid w:val="007D2AFB"/>
    <w:rsid w:val="007D2D30"/>
    <w:rsid w:val="007D2DDA"/>
    <w:rsid w:val="007D2EE5"/>
    <w:rsid w:val="007D31B5"/>
    <w:rsid w:val="007D3428"/>
    <w:rsid w:val="007D3461"/>
    <w:rsid w:val="007D3700"/>
    <w:rsid w:val="007D3B53"/>
    <w:rsid w:val="007D3C4A"/>
    <w:rsid w:val="007D3D39"/>
    <w:rsid w:val="007D3D69"/>
    <w:rsid w:val="007D3ED8"/>
    <w:rsid w:val="007D42FE"/>
    <w:rsid w:val="007D43DA"/>
    <w:rsid w:val="007D43EF"/>
    <w:rsid w:val="007D4872"/>
    <w:rsid w:val="007D4AB1"/>
    <w:rsid w:val="007D4B8E"/>
    <w:rsid w:val="007D4BEB"/>
    <w:rsid w:val="007D4D5D"/>
    <w:rsid w:val="007D4DC1"/>
    <w:rsid w:val="007D4F63"/>
    <w:rsid w:val="007D4F74"/>
    <w:rsid w:val="007D4F75"/>
    <w:rsid w:val="007D5143"/>
    <w:rsid w:val="007D52C3"/>
    <w:rsid w:val="007D558A"/>
    <w:rsid w:val="007D5632"/>
    <w:rsid w:val="007D56E0"/>
    <w:rsid w:val="007D5728"/>
    <w:rsid w:val="007D57BF"/>
    <w:rsid w:val="007D594D"/>
    <w:rsid w:val="007D5A2B"/>
    <w:rsid w:val="007D5BBE"/>
    <w:rsid w:val="007D5FB1"/>
    <w:rsid w:val="007D5FBC"/>
    <w:rsid w:val="007D620A"/>
    <w:rsid w:val="007D62A2"/>
    <w:rsid w:val="007D6511"/>
    <w:rsid w:val="007D65B5"/>
    <w:rsid w:val="007D67B3"/>
    <w:rsid w:val="007D67D2"/>
    <w:rsid w:val="007D67D8"/>
    <w:rsid w:val="007D697C"/>
    <w:rsid w:val="007D69E5"/>
    <w:rsid w:val="007D6A6C"/>
    <w:rsid w:val="007D6AD0"/>
    <w:rsid w:val="007D6EC8"/>
    <w:rsid w:val="007D6F71"/>
    <w:rsid w:val="007D6FAD"/>
    <w:rsid w:val="007D6FE5"/>
    <w:rsid w:val="007D70F4"/>
    <w:rsid w:val="007D717F"/>
    <w:rsid w:val="007D725F"/>
    <w:rsid w:val="007D7264"/>
    <w:rsid w:val="007D72B7"/>
    <w:rsid w:val="007D7401"/>
    <w:rsid w:val="007D74F8"/>
    <w:rsid w:val="007D775F"/>
    <w:rsid w:val="007D77F2"/>
    <w:rsid w:val="007D7946"/>
    <w:rsid w:val="007D7A93"/>
    <w:rsid w:val="007D7B6C"/>
    <w:rsid w:val="007D7E3F"/>
    <w:rsid w:val="007E01BF"/>
    <w:rsid w:val="007E0564"/>
    <w:rsid w:val="007E05B0"/>
    <w:rsid w:val="007E0E20"/>
    <w:rsid w:val="007E0FD6"/>
    <w:rsid w:val="007E10DC"/>
    <w:rsid w:val="007E1120"/>
    <w:rsid w:val="007E11C2"/>
    <w:rsid w:val="007E11C5"/>
    <w:rsid w:val="007E1A67"/>
    <w:rsid w:val="007E1AD7"/>
    <w:rsid w:val="007E1D9D"/>
    <w:rsid w:val="007E1DA4"/>
    <w:rsid w:val="007E2051"/>
    <w:rsid w:val="007E2340"/>
    <w:rsid w:val="007E2375"/>
    <w:rsid w:val="007E24A7"/>
    <w:rsid w:val="007E2678"/>
    <w:rsid w:val="007E275D"/>
    <w:rsid w:val="007E27BC"/>
    <w:rsid w:val="007E2B39"/>
    <w:rsid w:val="007E2BB7"/>
    <w:rsid w:val="007E2BDC"/>
    <w:rsid w:val="007E2BEE"/>
    <w:rsid w:val="007E2C15"/>
    <w:rsid w:val="007E2EF5"/>
    <w:rsid w:val="007E2F23"/>
    <w:rsid w:val="007E2F5E"/>
    <w:rsid w:val="007E3032"/>
    <w:rsid w:val="007E3160"/>
    <w:rsid w:val="007E3186"/>
    <w:rsid w:val="007E35CF"/>
    <w:rsid w:val="007E3647"/>
    <w:rsid w:val="007E3B36"/>
    <w:rsid w:val="007E3BD9"/>
    <w:rsid w:val="007E4082"/>
    <w:rsid w:val="007E420A"/>
    <w:rsid w:val="007E4213"/>
    <w:rsid w:val="007E45AD"/>
    <w:rsid w:val="007E467B"/>
    <w:rsid w:val="007E4685"/>
    <w:rsid w:val="007E46C6"/>
    <w:rsid w:val="007E4CAC"/>
    <w:rsid w:val="007E4DA0"/>
    <w:rsid w:val="007E4FC3"/>
    <w:rsid w:val="007E5148"/>
    <w:rsid w:val="007E5209"/>
    <w:rsid w:val="007E52C4"/>
    <w:rsid w:val="007E55BB"/>
    <w:rsid w:val="007E55ED"/>
    <w:rsid w:val="007E59F9"/>
    <w:rsid w:val="007E5B70"/>
    <w:rsid w:val="007E5C4B"/>
    <w:rsid w:val="007E5C63"/>
    <w:rsid w:val="007E5E61"/>
    <w:rsid w:val="007E5E9D"/>
    <w:rsid w:val="007E60A9"/>
    <w:rsid w:val="007E62BA"/>
    <w:rsid w:val="007E653B"/>
    <w:rsid w:val="007E661D"/>
    <w:rsid w:val="007E68B6"/>
    <w:rsid w:val="007E68B9"/>
    <w:rsid w:val="007E6B04"/>
    <w:rsid w:val="007E6C79"/>
    <w:rsid w:val="007E6CB0"/>
    <w:rsid w:val="007E6D45"/>
    <w:rsid w:val="007E70BC"/>
    <w:rsid w:val="007E7317"/>
    <w:rsid w:val="007E7347"/>
    <w:rsid w:val="007E7513"/>
    <w:rsid w:val="007E7CAE"/>
    <w:rsid w:val="007E7D83"/>
    <w:rsid w:val="007E7E37"/>
    <w:rsid w:val="007E7EA2"/>
    <w:rsid w:val="007E7F58"/>
    <w:rsid w:val="007F025F"/>
    <w:rsid w:val="007F037E"/>
    <w:rsid w:val="007F0833"/>
    <w:rsid w:val="007F089C"/>
    <w:rsid w:val="007F0ADD"/>
    <w:rsid w:val="007F0BCC"/>
    <w:rsid w:val="007F0C4A"/>
    <w:rsid w:val="007F0C8E"/>
    <w:rsid w:val="007F0ECA"/>
    <w:rsid w:val="007F0EFE"/>
    <w:rsid w:val="007F1112"/>
    <w:rsid w:val="007F11C2"/>
    <w:rsid w:val="007F134E"/>
    <w:rsid w:val="007F14F4"/>
    <w:rsid w:val="007F1551"/>
    <w:rsid w:val="007F165D"/>
    <w:rsid w:val="007F1785"/>
    <w:rsid w:val="007F1AB7"/>
    <w:rsid w:val="007F1C65"/>
    <w:rsid w:val="007F1F17"/>
    <w:rsid w:val="007F1FCA"/>
    <w:rsid w:val="007F2032"/>
    <w:rsid w:val="007F226E"/>
    <w:rsid w:val="007F227D"/>
    <w:rsid w:val="007F2449"/>
    <w:rsid w:val="007F254E"/>
    <w:rsid w:val="007F2581"/>
    <w:rsid w:val="007F2599"/>
    <w:rsid w:val="007F25C6"/>
    <w:rsid w:val="007F26F2"/>
    <w:rsid w:val="007F2BAD"/>
    <w:rsid w:val="007F2CEB"/>
    <w:rsid w:val="007F2ED4"/>
    <w:rsid w:val="007F2F7F"/>
    <w:rsid w:val="007F2FFA"/>
    <w:rsid w:val="007F3089"/>
    <w:rsid w:val="007F34EC"/>
    <w:rsid w:val="007F3522"/>
    <w:rsid w:val="007F353C"/>
    <w:rsid w:val="007F38FE"/>
    <w:rsid w:val="007F3BD9"/>
    <w:rsid w:val="007F3C6D"/>
    <w:rsid w:val="007F3DC4"/>
    <w:rsid w:val="007F3DF9"/>
    <w:rsid w:val="007F411F"/>
    <w:rsid w:val="007F41CC"/>
    <w:rsid w:val="007F439B"/>
    <w:rsid w:val="007F43AD"/>
    <w:rsid w:val="007F444F"/>
    <w:rsid w:val="007F457D"/>
    <w:rsid w:val="007F4953"/>
    <w:rsid w:val="007F4966"/>
    <w:rsid w:val="007F49AC"/>
    <w:rsid w:val="007F49FF"/>
    <w:rsid w:val="007F4B8D"/>
    <w:rsid w:val="007F4CE1"/>
    <w:rsid w:val="007F4D79"/>
    <w:rsid w:val="007F4F15"/>
    <w:rsid w:val="007F4F49"/>
    <w:rsid w:val="007F5045"/>
    <w:rsid w:val="007F5257"/>
    <w:rsid w:val="007F525A"/>
    <w:rsid w:val="007F526F"/>
    <w:rsid w:val="007F530D"/>
    <w:rsid w:val="007F5505"/>
    <w:rsid w:val="007F56F6"/>
    <w:rsid w:val="007F57C6"/>
    <w:rsid w:val="007F5A4F"/>
    <w:rsid w:val="007F5A72"/>
    <w:rsid w:val="007F609D"/>
    <w:rsid w:val="007F61EC"/>
    <w:rsid w:val="007F648B"/>
    <w:rsid w:val="007F64C3"/>
    <w:rsid w:val="007F665B"/>
    <w:rsid w:val="007F6766"/>
    <w:rsid w:val="007F67ED"/>
    <w:rsid w:val="007F6864"/>
    <w:rsid w:val="007F68C1"/>
    <w:rsid w:val="007F6970"/>
    <w:rsid w:val="007F6A11"/>
    <w:rsid w:val="007F6CE0"/>
    <w:rsid w:val="007F6D07"/>
    <w:rsid w:val="007F6D11"/>
    <w:rsid w:val="007F6D82"/>
    <w:rsid w:val="007F6F98"/>
    <w:rsid w:val="007F7241"/>
    <w:rsid w:val="007F7394"/>
    <w:rsid w:val="007F743E"/>
    <w:rsid w:val="007F746E"/>
    <w:rsid w:val="007F74B6"/>
    <w:rsid w:val="007F752E"/>
    <w:rsid w:val="007F75F8"/>
    <w:rsid w:val="007F76C4"/>
    <w:rsid w:val="007F7775"/>
    <w:rsid w:val="007F7B57"/>
    <w:rsid w:val="007F7ECA"/>
    <w:rsid w:val="00800030"/>
    <w:rsid w:val="0080025E"/>
    <w:rsid w:val="00800414"/>
    <w:rsid w:val="0080042E"/>
    <w:rsid w:val="00800469"/>
    <w:rsid w:val="008004EE"/>
    <w:rsid w:val="00800509"/>
    <w:rsid w:val="00800855"/>
    <w:rsid w:val="00800CAB"/>
    <w:rsid w:val="00801035"/>
    <w:rsid w:val="008011C1"/>
    <w:rsid w:val="008016E3"/>
    <w:rsid w:val="008018E8"/>
    <w:rsid w:val="00801917"/>
    <w:rsid w:val="00801A22"/>
    <w:rsid w:val="00801CFE"/>
    <w:rsid w:val="008021D5"/>
    <w:rsid w:val="00802257"/>
    <w:rsid w:val="00802262"/>
    <w:rsid w:val="00802313"/>
    <w:rsid w:val="0080274F"/>
    <w:rsid w:val="008027CD"/>
    <w:rsid w:val="008028FC"/>
    <w:rsid w:val="008029F2"/>
    <w:rsid w:val="00802CCD"/>
    <w:rsid w:val="0080311A"/>
    <w:rsid w:val="008033F5"/>
    <w:rsid w:val="0080342B"/>
    <w:rsid w:val="0080359E"/>
    <w:rsid w:val="0080364E"/>
    <w:rsid w:val="00803A07"/>
    <w:rsid w:val="008040A1"/>
    <w:rsid w:val="00804457"/>
    <w:rsid w:val="00804C90"/>
    <w:rsid w:val="00804DEF"/>
    <w:rsid w:val="00804E58"/>
    <w:rsid w:val="00804F17"/>
    <w:rsid w:val="00805063"/>
    <w:rsid w:val="0080510E"/>
    <w:rsid w:val="00805256"/>
    <w:rsid w:val="00805347"/>
    <w:rsid w:val="00805373"/>
    <w:rsid w:val="0080546D"/>
    <w:rsid w:val="008055D5"/>
    <w:rsid w:val="008056E7"/>
    <w:rsid w:val="0080572B"/>
    <w:rsid w:val="00805942"/>
    <w:rsid w:val="00805AC8"/>
    <w:rsid w:val="00805B71"/>
    <w:rsid w:val="00805BDA"/>
    <w:rsid w:val="00805BDB"/>
    <w:rsid w:val="00805D55"/>
    <w:rsid w:val="00805EFA"/>
    <w:rsid w:val="00805F91"/>
    <w:rsid w:val="00806019"/>
    <w:rsid w:val="0080603D"/>
    <w:rsid w:val="00806076"/>
    <w:rsid w:val="00806134"/>
    <w:rsid w:val="00806486"/>
    <w:rsid w:val="0080660E"/>
    <w:rsid w:val="008066AC"/>
    <w:rsid w:val="008067D2"/>
    <w:rsid w:val="008067F8"/>
    <w:rsid w:val="00806D46"/>
    <w:rsid w:val="00806E4D"/>
    <w:rsid w:val="00807230"/>
    <w:rsid w:val="0080752B"/>
    <w:rsid w:val="008079BA"/>
    <w:rsid w:val="00807A3D"/>
    <w:rsid w:val="00807B1C"/>
    <w:rsid w:val="00807D68"/>
    <w:rsid w:val="00807EB4"/>
    <w:rsid w:val="00810337"/>
    <w:rsid w:val="00810719"/>
    <w:rsid w:val="0081076D"/>
    <w:rsid w:val="00810930"/>
    <w:rsid w:val="00810A10"/>
    <w:rsid w:val="00810A24"/>
    <w:rsid w:val="00810AC4"/>
    <w:rsid w:val="00810C6E"/>
    <w:rsid w:val="00810D2D"/>
    <w:rsid w:val="00810D3C"/>
    <w:rsid w:val="00810D6D"/>
    <w:rsid w:val="00810F2A"/>
    <w:rsid w:val="00810FF5"/>
    <w:rsid w:val="0081111B"/>
    <w:rsid w:val="00811319"/>
    <w:rsid w:val="008115AF"/>
    <w:rsid w:val="008115FB"/>
    <w:rsid w:val="008115FE"/>
    <w:rsid w:val="008117AE"/>
    <w:rsid w:val="008117BA"/>
    <w:rsid w:val="008117E9"/>
    <w:rsid w:val="00811889"/>
    <w:rsid w:val="00811927"/>
    <w:rsid w:val="0081195A"/>
    <w:rsid w:val="00811BBF"/>
    <w:rsid w:val="00811C22"/>
    <w:rsid w:val="00811C9C"/>
    <w:rsid w:val="00811CE7"/>
    <w:rsid w:val="00811D7E"/>
    <w:rsid w:val="00811F07"/>
    <w:rsid w:val="008121AD"/>
    <w:rsid w:val="00812228"/>
    <w:rsid w:val="0081229C"/>
    <w:rsid w:val="008122F8"/>
    <w:rsid w:val="0081234A"/>
    <w:rsid w:val="0081244A"/>
    <w:rsid w:val="008125E0"/>
    <w:rsid w:val="00812644"/>
    <w:rsid w:val="008127F1"/>
    <w:rsid w:val="00812857"/>
    <w:rsid w:val="00812933"/>
    <w:rsid w:val="00812A79"/>
    <w:rsid w:val="00812B21"/>
    <w:rsid w:val="00812B8C"/>
    <w:rsid w:val="00812E45"/>
    <w:rsid w:val="008130B5"/>
    <w:rsid w:val="0081318A"/>
    <w:rsid w:val="00813213"/>
    <w:rsid w:val="00813416"/>
    <w:rsid w:val="00813505"/>
    <w:rsid w:val="00813598"/>
    <w:rsid w:val="00813633"/>
    <w:rsid w:val="00813A15"/>
    <w:rsid w:val="00813AA4"/>
    <w:rsid w:val="00813B1A"/>
    <w:rsid w:val="00813E34"/>
    <w:rsid w:val="00813E5E"/>
    <w:rsid w:val="00813F43"/>
    <w:rsid w:val="00814411"/>
    <w:rsid w:val="008144C8"/>
    <w:rsid w:val="0081470C"/>
    <w:rsid w:val="008148A2"/>
    <w:rsid w:val="008149CE"/>
    <w:rsid w:val="00814AAD"/>
    <w:rsid w:val="00814AF2"/>
    <w:rsid w:val="00814B95"/>
    <w:rsid w:val="00814C5E"/>
    <w:rsid w:val="00814E7B"/>
    <w:rsid w:val="00814FA3"/>
    <w:rsid w:val="008152A0"/>
    <w:rsid w:val="00815334"/>
    <w:rsid w:val="00815481"/>
    <w:rsid w:val="0081561F"/>
    <w:rsid w:val="00815786"/>
    <w:rsid w:val="00815B02"/>
    <w:rsid w:val="00815BBA"/>
    <w:rsid w:val="00815C09"/>
    <w:rsid w:val="00815F02"/>
    <w:rsid w:val="00815F76"/>
    <w:rsid w:val="00815FE7"/>
    <w:rsid w:val="008161D4"/>
    <w:rsid w:val="00816397"/>
    <w:rsid w:val="00816A4A"/>
    <w:rsid w:val="00816A79"/>
    <w:rsid w:val="00816B44"/>
    <w:rsid w:val="00816B90"/>
    <w:rsid w:val="00816D11"/>
    <w:rsid w:val="00816D2C"/>
    <w:rsid w:val="00816D6A"/>
    <w:rsid w:val="00816EB7"/>
    <w:rsid w:val="00816F44"/>
    <w:rsid w:val="00816F49"/>
    <w:rsid w:val="0081702E"/>
    <w:rsid w:val="0081755D"/>
    <w:rsid w:val="008176F7"/>
    <w:rsid w:val="008176F9"/>
    <w:rsid w:val="008177F7"/>
    <w:rsid w:val="00817923"/>
    <w:rsid w:val="00817998"/>
    <w:rsid w:val="00817C16"/>
    <w:rsid w:val="00817C90"/>
    <w:rsid w:val="00817D15"/>
    <w:rsid w:val="00817D47"/>
    <w:rsid w:val="008202E0"/>
    <w:rsid w:val="00820727"/>
    <w:rsid w:val="00820904"/>
    <w:rsid w:val="00821169"/>
    <w:rsid w:val="008211BB"/>
    <w:rsid w:val="00821339"/>
    <w:rsid w:val="008213BE"/>
    <w:rsid w:val="00821418"/>
    <w:rsid w:val="00821681"/>
    <w:rsid w:val="00821689"/>
    <w:rsid w:val="00821721"/>
    <w:rsid w:val="00821A22"/>
    <w:rsid w:val="00821AAB"/>
    <w:rsid w:val="00821B64"/>
    <w:rsid w:val="00821C87"/>
    <w:rsid w:val="00822217"/>
    <w:rsid w:val="00822219"/>
    <w:rsid w:val="008223D7"/>
    <w:rsid w:val="00822A78"/>
    <w:rsid w:val="00822AC9"/>
    <w:rsid w:val="00822B9F"/>
    <w:rsid w:val="00822F4A"/>
    <w:rsid w:val="008231CB"/>
    <w:rsid w:val="008235DC"/>
    <w:rsid w:val="008236DF"/>
    <w:rsid w:val="008239D3"/>
    <w:rsid w:val="00823A3A"/>
    <w:rsid w:val="00823A4F"/>
    <w:rsid w:val="00823AD9"/>
    <w:rsid w:val="00823ADF"/>
    <w:rsid w:val="00823BB7"/>
    <w:rsid w:val="00823C83"/>
    <w:rsid w:val="00823C8B"/>
    <w:rsid w:val="00823E6A"/>
    <w:rsid w:val="00823E98"/>
    <w:rsid w:val="00823F1D"/>
    <w:rsid w:val="00823F6E"/>
    <w:rsid w:val="008241AB"/>
    <w:rsid w:val="00824223"/>
    <w:rsid w:val="00824282"/>
    <w:rsid w:val="0082434F"/>
    <w:rsid w:val="0082455B"/>
    <w:rsid w:val="0082486D"/>
    <w:rsid w:val="00824A55"/>
    <w:rsid w:val="00824A66"/>
    <w:rsid w:val="00824C07"/>
    <w:rsid w:val="00824DAD"/>
    <w:rsid w:val="0082564D"/>
    <w:rsid w:val="00825656"/>
    <w:rsid w:val="00825C7B"/>
    <w:rsid w:val="00825D7F"/>
    <w:rsid w:val="00825DAD"/>
    <w:rsid w:val="00825E84"/>
    <w:rsid w:val="008260A4"/>
    <w:rsid w:val="0082622F"/>
    <w:rsid w:val="0082644B"/>
    <w:rsid w:val="00826591"/>
    <w:rsid w:val="008265A6"/>
    <w:rsid w:val="00826708"/>
    <w:rsid w:val="0082672B"/>
    <w:rsid w:val="008269A9"/>
    <w:rsid w:val="0082714E"/>
    <w:rsid w:val="008271E2"/>
    <w:rsid w:val="0082749A"/>
    <w:rsid w:val="008274C3"/>
    <w:rsid w:val="00827694"/>
    <w:rsid w:val="00827742"/>
    <w:rsid w:val="00827974"/>
    <w:rsid w:val="00827AD8"/>
    <w:rsid w:val="00827C6F"/>
    <w:rsid w:val="00827CF5"/>
    <w:rsid w:val="00827EB8"/>
    <w:rsid w:val="00827FF7"/>
    <w:rsid w:val="008302D4"/>
    <w:rsid w:val="00830306"/>
    <w:rsid w:val="0083047D"/>
    <w:rsid w:val="00830503"/>
    <w:rsid w:val="00830621"/>
    <w:rsid w:val="00830959"/>
    <w:rsid w:val="00830BCD"/>
    <w:rsid w:val="00830D8A"/>
    <w:rsid w:val="00830FDE"/>
    <w:rsid w:val="00831092"/>
    <w:rsid w:val="00831247"/>
    <w:rsid w:val="00831313"/>
    <w:rsid w:val="008315C0"/>
    <w:rsid w:val="00831682"/>
    <w:rsid w:val="00831AA8"/>
    <w:rsid w:val="00831D74"/>
    <w:rsid w:val="00831D7F"/>
    <w:rsid w:val="00831E03"/>
    <w:rsid w:val="00831E1F"/>
    <w:rsid w:val="00831E2B"/>
    <w:rsid w:val="00831E77"/>
    <w:rsid w:val="00831EB2"/>
    <w:rsid w:val="00831F2D"/>
    <w:rsid w:val="00831F5A"/>
    <w:rsid w:val="0083239B"/>
    <w:rsid w:val="008323DB"/>
    <w:rsid w:val="008324E7"/>
    <w:rsid w:val="00832B67"/>
    <w:rsid w:val="00832E3E"/>
    <w:rsid w:val="0083302A"/>
    <w:rsid w:val="0083338D"/>
    <w:rsid w:val="008334DE"/>
    <w:rsid w:val="00833614"/>
    <w:rsid w:val="00833642"/>
    <w:rsid w:val="0083371D"/>
    <w:rsid w:val="00833762"/>
    <w:rsid w:val="00833832"/>
    <w:rsid w:val="00833A10"/>
    <w:rsid w:val="00833A2B"/>
    <w:rsid w:val="00833B5D"/>
    <w:rsid w:val="00833EE3"/>
    <w:rsid w:val="00834668"/>
    <w:rsid w:val="0083476B"/>
    <w:rsid w:val="0083478E"/>
    <w:rsid w:val="008349BB"/>
    <w:rsid w:val="008349EC"/>
    <w:rsid w:val="00834B05"/>
    <w:rsid w:val="008351A3"/>
    <w:rsid w:val="008351B1"/>
    <w:rsid w:val="00835330"/>
    <w:rsid w:val="00835581"/>
    <w:rsid w:val="00835712"/>
    <w:rsid w:val="00835C57"/>
    <w:rsid w:val="00835CD1"/>
    <w:rsid w:val="00835E06"/>
    <w:rsid w:val="00835EBA"/>
    <w:rsid w:val="00835F77"/>
    <w:rsid w:val="00836066"/>
    <w:rsid w:val="008362B2"/>
    <w:rsid w:val="0083636B"/>
    <w:rsid w:val="008363EF"/>
    <w:rsid w:val="008364B6"/>
    <w:rsid w:val="008367B8"/>
    <w:rsid w:val="0083686D"/>
    <w:rsid w:val="00836B83"/>
    <w:rsid w:val="00836C3F"/>
    <w:rsid w:val="00836CA5"/>
    <w:rsid w:val="00836CE1"/>
    <w:rsid w:val="00836D06"/>
    <w:rsid w:val="0083718B"/>
    <w:rsid w:val="00837192"/>
    <w:rsid w:val="00837463"/>
    <w:rsid w:val="0083782A"/>
    <w:rsid w:val="0083784C"/>
    <w:rsid w:val="00837898"/>
    <w:rsid w:val="00837C10"/>
    <w:rsid w:val="00837F8E"/>
    <w:rsid w:val="00837FD0"/>
    <w:rsid w:val="00840054"/>
    <w:rsid w:val="008400AB"/>
    <w:rsid w:val="00840380"/>
    <w:rsid w:val="00840420"/>
    <w:rsid w:val="008406B7"/>
    <w:rsid w:val="00840AB5"/>
    <w:rsid w:val="00840B91"/>
    <w:rsid w:val="00840F16"/>
    <w:rsid w:val="00840FA6"/>
    <w:rsid w:val="00841038"/>
    <w:rsid w:val="0084105F"/>
    <w:rsid w:val="008412EE"/>
    <w:rsid w:val="00841351"/>
    <w:rsid w:val="0084185F"/>
    <w:rsid w:val="00841DF0"/>
    <w:rsid w:val="00841EE6"/>
    <w:rsid w:val="00841FCB"/>
    <w:rsid w:val="0084211B"/>
    <w:rsid w:val="00842297"/>
    <w:rsid w:val="0084229B"/>
    <w:rsid w:val="00842519"/>
    <w:rsid w:val="00842975"/>
    <w:rsid w:val="00842981"/>
    <w:rsid w:val="008429F1"/>
    <w:rsid w:val="00842AB4"/>
    <w:rsid w:val="00842C19"/>
    <w:rsid w:val="00842C76"/>
    <w:rsid w:val="00842D38"/>
    <w:rsid w:val="00842D3B"/>
    <w:rsid w:val="00842D49"/>
    <w:rsid w:val="00842E57"/>
    <w:rsid w:val="00842F95"/>
    <w:rsid w:val="00843033"/>
    <w:rsid w:val="008434C8"/>
    <w:rsid w:val="00843557"/>
    <w:rsid w:val="008436DC"/>
    <w:rsid w:val="0084371B"/>
    <w:rsid w:val="00843916"/>
    <w:rsid w:val="00843A8B"/>
    <w:rsid w:val="00844210"/>
    <w:rsid w:val="008443B4"/>
    <w:rsid w:val="00844490"/>
    <w:rsid w:val="0084454C"/>
    <w:rsid w:val="008446EA"/>
    <w:rsid w:val="008446F5"/>
    <w:rsid w:val="0084480E"/>
    <w:rsid w:val="0084495A"/>
    <w:rsid w:val="00844BBB"/>
    <w:rsid w:val="00844CE3"/>
    <w:rsid w:val="00844EA1"/>
    <w:rsid w:val="008450AF"/>
    <w:rsid w:val="008450EE"/>
    <w:rsid w:val="008453B6"/>
    <w:rsid w:val="0084570F"/>
    <w:rsid w:val="00845820"/>
    <w:rsid w:val="008459C4"/>
    <w:rsid w:val="00845A39"/>
    <w:rsid w:val="00845A8A"/>
    <w:rsid w:val="0084610E"/>
    <w:rsid w:val="0084623B"/>
    <w:rsid w:val="00846564"/>
    <w:rsid w:val="00846DCA"/>
    <w:rsid w:val="00846FDF"/>
    <w:rsid w:val="008471DC"/>
    <w:rsid w:val="0084776D"/>
    <w:rsid w:val="00847979"/>
    <w:rsid w:val="0084797E"/>
    <w:rsid w:val="00847A3B"/>
    <w:rsid w:val="00847BC7"/>
    <w:rsid w:val="00847DE9"/>
    <w:rsid w:val="0085004E"/>
    <w:rsid w:val="00850180"/>
    <w:rsid w:val="00850345"/>
    <w:rsid w:val="0085034B"/>
    <w:rsid w:val="00850436"/>
    <w:rsid w:val="008505DC"/>
    <w:rsid w:val="00850627"/>
    <w:rsid w:val="00850927"/>
    <w:rsid w:val="00850B89"/>
    <w:rsid w:val="00850C3F"/>
    <w:rsid w:val="00850F6A"/>
    <w:rsid w:val="00851184"/>
    <w:rsid w:val="0085135B"/>
    <w:rsid w:val="008514D8"/>
    <w:rsid w:val="008516B0"/>
    <w:rsid w:val="00851AA0"/>
    <w:rsid w:val="00851C30"/>
    <w:rsid w:val="00851C56"/>
    <w:rsid w:val="00851EA7"/>
    <w:rsid w:val="00851F4E"/>
    <w:rsid w:val="00851F8D"/>
    <w:rsid w:val="00852135"/>
    <w:rsid w:val="00852141"/>
    <w:rsid w:val="008522ED"/>
    <w:rsid w:val="008523C9"/>
    <w:rsid w:val="008523DF"/>
    <w:rsid w:val="008524A5"/>
    <w:rsid w:val="0085260E"/>
    <w:rsid w:val="00852659"/>
    <w:rsid w:val="0085277F"/>
    <w:rsid w:val="00852BAA"/>
    <w:rsid w:val="00852C38"/>
    <w:rsid w:val="00852DE4"/>
    <w:rsid w:val="00852EEA"/>
    <w:rsid w:val="00853062"/>
    <w:rsid w:val="00853205"/>
    <w:rsid w:val="008532B8"/>
    <w:rsid w:val="0085345E"/>
    <w:rsid w:val="00853509"/>
    <w:rsid w:val="00853570"/>
    <w:rsid w:val="00853A9E"/>
    <w:rsid w:val="00853D02"/>
    <w:rsid w:val="00853D04"/>
    <w:rsid w:val="00853E24"/>
    <w:rsid w:val="00853FCD"/>
    <w:rsid w:val="00854008"/>
    <w:rsid w:val="00854097"/>
    <w:rsid w:val="0085409C"/>
    <w:rsid w:val="0085412C"/>
    <w:rsid w:val="00854462"/>
    <w:rsid w:val="008544C3"/>
    <w:rsid w:val="008544D3"/>
    <w:rsid w:val="0085484D"/>
    <w:rsid w:val="00854CA9"/>
    <w:rsid w:val="0085512F"/>
    <w:rsid w:val="00855296"/>
    <w:rsid w:val="00855DE8"/>
    <w:rsid w:val="00855E5F"/>
    <w:rsid w:val="00855E75"/>
    <w:rsid w:val="00855EE3"/>
    <w:rsid w:val="0085626F"/>
    <w:rsid w:val="008564C5"/>
    <w:rsid w:val="008565FE"/>
    <w:rsid w:val="008566F6"/>
    <w:rsid w:val="008569A4"/>
    <w:rsid w:val="00856AEB"/>
    <w:rsid w:val="00856B92"/>
    <w:rsid w:val="00856DE9"/>
    <w:rsid w:val="00856E40"/>
    <w:rsid w:val="00856FB8"/>
    <w:rsid w:val="00856FBA"/>
    <w:rsid w:val="008573CA"/>
    <w:rsid w:val="008573CB"/>
    <w:rsid w:val="008573FE"/>
    <w:rsid w:val="008577BF"/>
    <w:rsid w:val="008578B6"/>
    <w:rsid w:val="00857AF0"/>
    <w:rsid w:val="00857B09"/>
    <w:rsid w:val="00857B75"/>
    <w:rsid w:val="00857CD0"/>
    <w:rsid w:val="00860025"/>
    <w:rsid w:val="0086021D"/>
    <w:rsid w:val="0086022F"/>
    <w:rsid w:val="008604F7"/>
    <w:rsid w:val="008605B0"/>
    <w:rsid w:val="008605BC"/>
    <w:rsid w:val="0086065A"/>
    <w:rsid w:val="00860695"/>
    <w:rsid w:val="008608B1"/>
    <w:rsid w:val="00860957"/>
    <w:rsid w:val="0086095B"/>
    <w:rsid w:val="008609B0"/>
    <w:rsid w:val="008609B6"/>
    <w:rsid w:val="008609D1"/>
    <w:rsid w:val="00860A0E"/>
    <w:rsid w:val="00860ABD"/>
    <w:rsid w:val="00860FAF"/>
    <w:rsid w:val="00861241"/>
    <w:rsid w:val="00861444"/>
    <w:rsid w:val="0086151E"/>
    <w:rsid w:val="008616FF"/>
    <w:rsid w:val="0086183B"/>
    <w:rsid w:val="008619E1"/>
    <w:rsid w:val="00861D9B"/>
    <w:rsid w:val="00861F7B"/>
    <w:rsid w:val="008625EA"/>
    <w:rsid w:val="0086274E"/>
    <w:rsid w:val="008627F3"/>
    <w:rsid w:val="008629C4"/>
    <w:rsid w:val="008629E7"/>
    <w:rsid w:val="00862B95"/>
    <w:rsid w:val="00862BD1"/>
    <w:rsid w:val="00862C3A"/>
    <w:rsid w:val="00862EA0"/>
    <w:rsid w:val="0086310B"/>
    <w:rsid w:val="008633A4"/>
    <w:rsid w:val="0086349C"/>
    <w:rsid w:val="008636EC"/>
    <w:rsid w:val="0086370B"/>
    <w:rsid w:val="00863802"/>
    <w:rsid w:val="00863BDA"/>
    <w:rsid w:val="00863E2F"/>
    <w:rsid w:val="00864050"/>
    <w:rsid w:val="0086414F"/>
    <w:rsid w:val="008641BA"/>
    <w:rsid w:val="00864239"/>
    <w:rsid w:val="00864397"/>
    <w:rsid w:val="00864418"/>
    <w:rsid w:val="0086461E"/>
    <w:rsid w:val="008646D5"/>
    <w:rsid w:val="008647F9"/>
    <w:rsid w:val="008648A9"/>
    <w:rsid w:val="008648FC"/>
    <w:rsid w:val="00864BC0"/>
    <w:rsid w:val="00864FEF"/>
    <w:rsid w:val="0086503D"/>
    <w:rsid w:val="008650DD"/>
    <w:rsid w:val="0086510F"/>
    <w:rsid w:val="008653A6"/>
    <w:rsid w:val="0086547F"/>
    <w:rsid w:val="0086582A"/>
    <w:rsid w:val="008659A7"/>
    <w:rsid w:val="00865D30"/>
    <w:rsid w:val="00865D68"/>
    <w:rsid w:val="00865E5E"/>
    <w:rsid w:val="00865EF9"/>
    <w:rsid w:val="0086606D"/>
    <w:rsid w:val="00866070"/>
    <w:rsid w:val="008664F1"/>
    <w:rsid w:val="00866574"/>
    <w:rsid w:val="008668AA"/>
    <w:rsid w:val="00866CC8"/>
    <w:rsid w:val="00866E95"/>
    <w:rsid w:val="00866F7F"/>
    <w:rsid w:val="0086705F"/>
    <w:rsid w:val="008670B0"/>
    <w:rsid w:val="0086718A"/>
    <w:rsid w:val="008671A4"/>
    <w:rsid w:val="008671C9"/>
    <w:rsid w:val="008671E7"/>
    <w:rsid w:val="00867219"/>
    <w:rsid w:val="00867464"/>
    <w:rsid w:val="00867718"/>
    <w:rsid w:val="0086775E"/>
    <w:rsid w:val="00867768"/>
    <w:rsid w:val="00867973"/>
    <w:rsid w:val="008679B4"/>
    <w:rsid w:val="00867A72"/>
    <w:rsid w:val="00867A99"/>
    <w:rsid w:val="00867B32"/>
    <w:rsid w:val="00867BCA"/>
    <w:rsid w:val="00867E14"/>
    <w:rsid w:val="008703F2"/>
    <w:rsid w:val="00870521"/>
    <w:rsid w:val="00870560"/>
    <w:rsid w:val="008705FA"/>
    <w:rsid w:val="008708EE"/>
    <w:rsid w:val="00870C54"/>
    <w:rsid w:val="00870CDB"/>
    <w:rsid w:val="00870D88"/>
    <w:rsid w:val="00870EEC"/>
    <w:rsid w:val="0087101D"/>
    <w:rsid w:val="0087103B"/>
    <w:rsid w:val="008710D9"/>
    <w:rsid w:val="0087121B"/>
    <w:rsid w:val="008712A2"/>
    <w:rsid w:val="00871327"/>
    <w:rsid w:val="0087133B"/>
    <w:rsid w:val="008714F4"/>
    <w:rsid w:val="00871628"/>
    <w:rsid w:val="0087178E"/>
    <w:rsid w:val="00871A37"/>
    <w:rsid w:val="00871B4E"/>
    <w:rsid w:val="00871BE8"/>
    <w:rsid w:val="00871DE3"/>
    <w:rsid w:val="008720E9"/>
    <w:rsid w:val="0087214D"/>
    <w:rsid w:val="008725AC"/>
    <w:rsid w:val="008726FA"/>
    <w:rsid w:val="00872962"/>
    <w:rsid w:val="008729AE"/>
    <w:rsid w:val="00872C4E"/>
    <w:rsid w:val="00872EE7"/>
    <w:rsid w:val="00872F90"/>
    <w:rsid w:val="00873265"/>
    <w:rsid w:val="00873276"/>
    <w:rsid w:val="00873353"/>
    <w:rsid w:val="008734E4"/>
    <w:rsid w:val="00873506"/>
    <w:rsid w:val="0087372C"/>
    <w:rsid w:val="00873756"/>
    <w:rsid w:val="008737F6"/>
    <w:rsid w:val="008738C5"/>
    <w:rsid w:val="00873AD5"/>
    <w:rsid w:val="00873E12"/>
    <w:rsid w:val="00873FBA"/>
    <w:rsid w:val="008740CC"/>
    <w:rsid w:val="00874189"/>
    <w:rsid w:val="008741E4"/>
    <w:rsid w:val="008742A1"/>
    <w:rsid w:val="008743EA"/>
    <w:rsid w:val="00874627"/>
    <w:rsid w:val="00874732"/>
    <w:rsid w:val="00874820"/>
    <w:rsid w:val="0087499C"/>
    <w:rsid w:val="00874A8B"/>
    <w:rsid w:val="00874B30"/>
    <w:rsid w:val="00874C74"/>
    <w:rsid w:val="00874CD8"/>
    <w:rsid w:val="00874D22"/>
    <w:rsid w:val="00874E49"/>
    <w:rsid w:val="00875000"/>
    <w:rsid w:val="0087501C"/>
    <w:rsid w:val="0087508A"/>
    <w:rsid w:val="008751B1"/>
    <w:rsid w:val="008751CD"/>
    <w:rsid w:val="00875480"/>
    <w:rsid w:val="008754B4"/>
    <w:rsid w:val="008755AB"/>
    <w:rsid w:val="0087566B"/>
    <w:rsid w:val="00875AEB"/>
    <w:rsid w:val="00875B29"/>
    <w:rsid w:val="00875BD1"/>
    <w:rsid w:val="00875D3F"/>
    <w:rsid w:val="0087604E"/>
    <w:rsid w:val="00876057"/>
    <w:rsid w:val="008760AE"/>
    <w:rsid w:val="00876162"/>
    <w:rsid w:val="0087634C"/>
    <w:rsid w:val="00876436"/>
    <w:rsid w:val="008764C8"/>
    <w:rsid w:val="00876567"/>
    <w:rsid w:val="008767E4"/>
    <w:rsid w:val="00876858"/>
    <w:rsid w:val="008768EE"/>
    <w:rsid w:val="00876944"/>
    <w:rsid w:val="00876E44"/>
    <w:rsid w:val="00877051"/>
    <w:rsid w:val="00877203"/>
    <w:rsid w:val="00877321"/>
    <w:rsid w:val="0087743C"/>
    <w:rsid w:val="008774D4"/>
    <w:rsid w:val="00877892"/>
    <w:rsid w:val="008778D8"/>
    <w:rsid w:val="00877B33"/>
    <w:rsid w:val="00877C17"/>
    <w:rsid w:val="00877C8C"/>
    <w:rsid w:val="008800E4"/>
    <w:rsid w:val="008802F3"/>
    <w:rsid w:val="008803F6"/>
    <w:rsid w:val="0088057C"/>
    <w:rsid w:val="00880660"/>
    <w:rsid w:val="00880666"/>
    <w:rsid w:val="00880995"/>
    <w:rsid w:val="00880AB4"/>
    <w:rsid w:val="00880BC1"/>
    <w:rsid w:val="00880BFE"/>
    <w:rsid w:val="00880C13"/>
    <w:rsid w:val="00880CC9"/>
    <w:rsid w:val="00880D72"/>
    <w:rsid w:val="00880D79"/>
    <w:rsid w:val="00880D9D"/>
    <w:rsid w:val="00880F78"/>
    <w:rsid w:val="008810C2"/>
    <w:rsid w:val="00881280"/>
    <w:rsid w:val="008812CF"/>
    <w:rsid w:val="00881373"/>
    <w:rsid w:val="008814FD"/>
    <w:rsid w:val="008815F0"/>
    <w:rsid w:val="00881B31"/>
    <w:rsid w:val="00881C23"/>
    <w:rsid w:val="00881C93"/>
    <w:rsid w:val="00881D97"/>
    <w:rsid w:val="008820B0"/>
    <w:rsid w:val="008820E1"/>
    <w:rsid w:val="00882224"/>
    <w:rsid w:val="00882233"/>
    <w:rsid w:val="0088230C"/>
    <w:rsid w:val="008825A2"/>
    <w:rsid w:val="0088269D"/>
    <w:rsid w:val="008827C0"/>
    <w:rsid w:val="008827C2"/>
    <w:rsid w:val="008827D2"/>
    <w:rsid w:val="0088286C"/>
    <w:rsid w:val="0088287F"/>
    <w:rsid w:val="0088291E"/>
    <w:rsid w:val="00882B13"/>
    <w:rsid w:val="00882B7D"/>
    <w:rsid w:val="00882BD9"/>
    <w:rsid w:val="00882E4F"/>
    <w:rsid w:val="00882E50"/>
    <w:rsid w:val="00883181"/>
    <w:rsid w:val="0088338A"/>
    <w:rsid w:val="008833A3"/>
    <w:rsid w:val="008834CA"/>
    <w:rsid w:val="00883787"/>
    <w:rsid w:val="0088382B"/>
    <w:rsid w:val="0088383F"/>
    <w:rsid w:val="0088389F"/>
    <w:rsid w:val="008838BD"/>
    <w:rsid w:val="00883AD8"/>
    <w:rsid w:val="00883B56"/>
    <w:rsid w:val="00883C0A"/>
    <w:rsid w:val="00883C23"/>
    <w:rsid w:val="00883C42"/>
    <w:rsid w:val="00883C56"/>
    <w:rsid w:val="00883E4F"/>
    <w:rsid w:val="00883F40"/>
    <w:rsid w:val="0088416A"/>
    <w:rsid w:val="008841B1"/>
    <w:rsid w:val="008841D1"/>
    <w:rsid w:val="008841EC"/>
    <w:rsid w:val="00884208"/>
    <w:rsid w:val="0088434C"/>
    <w:rsid w:val="00884455"/>
    <w:rsid w:val="008844E0"/>
    <w:rsid w:val="00884601"/>
    <w:rsid w:val="00884733"/>
    <w:rsid w:val="0088478E"/>
    <w:rsid w:val="00884869"/>
    <w:rsid w:val="00884998"/>
    <w:rsid w:val="008849C0"/>
    <w:rsid w:val="00884B07"/>
    <w:rsid w:val="00884B50"/>
    <w:rsid w:val="00884CBF"/>
    <w:rsid w:val="00884DCD"/>
    <w:rsid w:val="008851F1"/>
    <w:rsid w:val="00885359"/>
    <w:rsid w:val="00885375"/>
    <w:rsid w:val="00885733"/>
    <w:rsid w:val="00885EA5"/>
    <w:rsid w:val="0088644F"/>
    <w:rsid w:val="0088681A"/>
    <w:rsid w:val="008869C5"/>
    <w:rsid w:val="00886B2B"/>
    <w:rsid w:val="00886BA8"/>
    <w:rsid w:val="00887084"/>
    <w:rsid w:val="008873AD"/>
    <w:rsid w:val="0088748E"/>
    <w:rsid w:val="008876B0"/>
    <w:rsid w:val="008876D3"/>
    <w:rsid w:val="00887796"/>
    <w:rsid w:val="008878F4"/>
    <w:rsid w:val="00887953"/>
    <w:rsid w:val="008879DE"/>
    <w:rsid w:val="00887A99"/>
    <w:rsid w:val="00887C19"/>
    <w:rsid w:val="00887CBB"/>
    <w:rsid w:val="00887FE4"/>
    <w:rsid w:val="008901E0"/>
    <w:rsid w:val="0089043F"/>
    <w:rsid w:val="008905AF"/>
    <w:rsid w:val="00890AA3"/>
    <w:rsid w:val="00890D0F"/>
    <w:rsid w:val="00890FF5"/>
    <w:rsid w:val="00891026"/>
    <w:rsid w:val="008913F3"/>
    <w:rsid w:val="008915EF"/>
    <w:rsid w:val="008916F4"/>
    <w:rsid w:val="00891746"/>
    <w:rsid w:val="00891A68"/>
    <w:rsid w:val="00891AC2"/>
    <w:rsid w:val="008920B3"/>
    <w:rsid w:val="0089224F"/>
    <w:rsid w:val="008922E8"/>
    <w:rsid w:val="008922EC"/>
    <w:rsid w:val="008924DD"/>
    <w:rsid w:val="0089275C"/>
    <w:rsid w:val="008927E7"/>
    <w:rsid w:val="008927ED"/>
    <w:rsid w:val="00892C2B"/>
    <w:rsid w:val="00892EB1"/>
    <w:rsid w:val="008930B3"/>
    <w:rsid w:val="008932A0"/>
    <w:rsid w:val="0089335D"/>
    <w:rsid w:val="008933F0"/>
    <w:rsid w:val="008935D5"/>
    <w:rsid w:val="0089370C"/>
    <w:rsid w:val="0089372B"/>
    <w:rsid w:val="00893895"/>
    <w:rsid w:val="008938F3"/>
    <w:rsid w:val="00893BE5"/>
    <w:rsid w:val="00893D91"/>
    <w:rsid w:val="00893FEC"/>
    <w:rsid w:val="00894338"/>
    <w:rsid w:val="00894693"/>
    <w:rsid w:val="0089489C"/>
    <w:rsid w:val="00894A29"/>
    <w:rsid w:val="00894EB4"/>
    <w:rsid w:val="00894F56"/>
    <w:rsid w:val="008950B7"/>
    <w:rsid w:val="008951AC"/>
    <w:rsid w:val="00895249"/>
    <w:rsid w:val="008952E6"/>
    <w:rsid w:val="008954C8"/>
    <w:rsid w:val="00895616"/>
    <w:rsid w:val="008956DF"/>
    <w:rsid w:val="008957E2"/>
    <w:rsid w:val="00895C67"/>
    <w:rsid w:val="00895D5F"/>
    <w:rsid w:val="00895DF7"/>
    <w:rsid w:val="00895E63"/>
    <w:rsid w:val="00895FF0"/>
    <w:rsid w:val="008960C1"/>
    <w:rsid w:val="0089624B"/>
    <w:rsid w:val="008962BF"/>
    <w:rsid w:val="00896652"/>
    <w:rsid w:val="00896A88"/>
    <w:rsid w:val="00896C7A"/>
    <w:rsid w:val="00896E75"/>
    <w:rsid w:val="008972D8"/>
    <w:rsid w:val="008976A8"/>
    <w:rsid w:val="00897BE4"/>
    <w:rsid w:val="008A005F"/>
    <w:rsid w:val="008A0146"/>
    <w:rsid w:val="008A0197"/>
    <w:rsid w:val="008A01F1"/>
    <w:rsid w:val="008A094E"/>
    <w:rsid w:val="008A096D"/>
    <w:rsid w:val="008A0AF4"/>
    <w:rsid w:val="008A0B75"/>
    <w:rsid w:val="008A0C59"/>
    <w:rsid w:val="008A0D16"/>
    <w:rsid w:val="008A0DF5"/>
    <w:rsid w:val="008A0E6F"/>
    <w:rsid w:val="008A10AC"/>
    <w:rsid w:val="008A115A"/>
    <w:rsid w:val="008A1161"/>
    <w:rsid w:val="008A12D5"/>
    <w:rsid w:val="008A13A5"/>
    <w:rsid w:val="008A13D4"/>
    <w:rsid w:val="008A15C6"/>
    <w:rsid w:val="008A15ED"/>
    <w:rsid w:val="008A1A29"/>
    <w:rsid w:val="008A1BFE"/>
    <w:rsid w:val="008A22F8"/>
    <w:rsid w:val="008A25D5"/>
    <w:rsid w:val="008A270E"/>
    <w:rsid w:val="008A274C"/>
    <w:rsid w:val="008A2914"/>
    <w:rsid w:val="008A29AA"/>
    <w:rsid w:val="008A2D72"/>
    <w:rsid w:val="008A2DD3"/>
    <w:rsid w:val="008A2E97"/>
    <w:rsid w:val="008A2F97"/>
    <w:rsid w:val="008A2FB6"/>
    <w:rsid w:val="008A3031"/>
    <w:rsid w:val="008A30F5"/>
    <w:rsid w:val="008A3248"/>
    <w:rsid w:val="008A33D9"/>
    <w:rsid w:val="008A3428"/>
    <w:rsid w:val="008A39CF"/>
    <w:rsid w:val="008A3BF7"/>
    <w:rsid w:val="008A3C3E"/>
    <w:rsid w:val="008A3C8F"/>
    <w:rsid w:val="008A3D6D"/>
    <w:rsid w:val="008A3DF5"/>
    <w:rsid w:val="008A3EFD"/>
    <w:rsid w:val="008A403E"/>
    <w:rsid w:val="008A43CF"/>
    <w:rsid w:val="008A4469"/>
    <w:rsid w:val="008A4521"/>
    <w:rsid w:val="008A4A28"/>
    <w:rsid w:val="008A4B94"/>
    <w:rsid w:val="008A4CF3"/>
    <w:rsid w:val="008A4F59"/>
    <w:rsid w:val="008A4F98"/>
    <w:rsid w:val="008A5056"/>
    <w:rsid w:val="008A5146"/>
    <w:rsid w:val="008A5160"/>
    <w:rsid w:val="008A51DE"/>
    <w:rsid w:val="008A52F3"/>
    <w:rsid w:val="008A531D"/>
    <w:rsid w:val="008A536C"/>
    <w:rsid w:val="008A55DF"/>
    <w:rsid w:val="008A5B38"/>
    <w:rsid w:val="008A5F41"/>
    <w:rsid w:val="008A6013"/>
    <w:rsid w:val="008A6039"/>
    <w:rsid w:val="008A6043"/>
    <w:rsid w:val="008A610F"/>
    <w:rsid w:val="008A615E"/>
    <w:rsid w:val="008A624F"/>
    <w:rsid w:val="008A62AB"/>
    <w:rsid w:val="008A637A"/>
    <w:rsid w:val="008A6642"/>
    <w:rsid w:val="008A6761"/>
    <w:rsid w:val="008A6987"/>
    <w:rsid w:val="008A6992"/>
    <w:rsid w:val="008A6A8C"/>
    <w:rsid w:val="008A6A96"/>
    <w:rsid w:val="008A6B61"/>
    <w:rsid w:val="008A6CB8"/>
    <w:rsid w:val="008A6D28"/>
    <w:rsid w:val="008A6D53"/>
    <w:rsid w:val="008A6DA6"/>
    <w:rsid w:val="008A70D2"/>
    <w:rsid w:val="008A73AC"/>
    <w:rsid w:val="008A75FA"/>
    <w:rsid w:val="008A767A"/>
    <w:rsid w:val="008A778D"/>
    <w:rsid w:val="008A7947"/>
    <w:rsid w:val="008A7B84"/>
    <w:rsid w:val="008A7D1C"/>
    <w:rsid w:val="008B0090"/>
    <w:rsid w:val="008B0262"/>
    <w:rsid w:val="008B0292"/>
    <w:rsid w:val="008B0306"/>
    <w:rsid w:val="008B050F"/>
    <w:rsid w:val="008B064A"/>
    <w:rsid w:val="008B06AD"/>
    <w:rsid w:val="008B085A"/>
    <w:rsid w:val="008B0983"/>
    <w:rsid w:val="008B0996"/>
    <w:rsid w:val="008B0A25"/>
    <w:rsid w:val="008B0B16"/>
    <w:rsid w:val="008B0E0F"/>
    <w:rsid w:val="008B0E10"/>
    <w:rsid w:val="008B0E88"/>
    <w:rsid w:val="008B124F"/>
    <w:rsid w:val="008B1290"/>
    <w:rsid w:val="008B1368"/>
    <w:rsid w:val="008B140A"/>
    <w:rsid w:val="008B176D"/>
    <w:rsid w:val="008B179B"/>
    <w:rsid w:val="008B17C6"/>
    <w:rsid w:val="008B181C"/>
    <w:rsid w:val="008B1AB5"/>
    <w:rsid w:val="008B1B4C"/>
    <w:rsid w:val="008B1EF3"/>
    <w:rsid w:val="008B1F82"/>
    <w:rsid w:val="008B1FB2"/>
    <w:rsid w:val="008B2340"/>
    <w:rsid w:val="008B2409"/>
    <w:rsid w:val="008B2576"/>
    <w:rsid w:val="008B27F5"/>
    <w:rsid w:val="008B28BE"/>
    <w:rsid w:val="008B2A65"/>
    <w:rsid w:val="008B30DA"/>
    <w:rsid w:val="008B3290"/>
    <w:rsid w:val="008B32CF"/>
    <w:rsid w:val="008B344A"/>
    <w:rsid w:val="008B34DE"/>
    <w:rsid w:val="008B3BB4"/>
    <w:rsid w:val="008B3C6F"/>
    <w:rsid w:val="008B3CB7"/>
    <w:rsid w:val="008B3E9F"/>
    <w:rsid w:val="008B42E7"/>
    <w:rsid w:val="008B431A"/>
    <w:rsid w:val="008B444E"/>
    <w:rsid w:val="008B44D2"/>
    <w:rsid w:val="008B4536"/>
    <w:rsid w:val="008B49BC"/>
    <w:rsid w:val="008B4B27"/>
    <w:rsid w:val="008B4E56"/>
    <w:rsid w:val="008B4E62"/>
    <w:rsid w:val="008B4F48"/>
    <w:rsid w:val="008B4F86"/>
    <w:rsid w:val="008B5253"/>
    <w:rsid w:val="008B54E3"/>
    <w:rsid w:val="008B5A83"/>
    <w:rsid w:val="008B5E5B"/>
    <w:rsid w:val="008B60D4"/>
    <w:rsid w:val="008B61D8"/>
    <w:rsid w:val="008B6529"/>
    <w:rsid w:val="008B6559"/>
    <w:rsid w:val="008B7062"/>
    <w:rsid w:val="008B720B"/>
    <w:rsid w:val="008B72E9"/>
    <w:rsid w:val="008B74EC"/>
    <w:rsid w:val="008B7570"/>
    <w:rsid w:val="008B77C0"/>
    <w:rsid w:val="008B78A1"/>
    <w:rsid w:val="008B78EA"/>
    <w:rsid w:val="008B79C9"/>
    <w:rsid w:val="008B7AD9"/>
    <w:rsid w:val="008C0181"/>
    <w:rsid w:val="008C02F4"/>
    <w:rsid w:val="008C030B"/>
    <w:rsid w:val="008C03D3"/>
    <w:rsid w:val="008C0449"/>
    <w:rsid w:val="008C0624"/>
    <w:rsid w:val="008C09B6"/>
    <w:rsid w:val="008C0E2C"/>
    <w:rsid w:val="008C1024"/>
    <w:rsid w:val="008C10AF"/>
    <w:rsid w:val="008C122F"/>
    <w:rsid w:val="008C123B"/>
    <w:rsid w:val="008C13FA"/>
    <w:rsid w:val="008C14EB"/>
    <w:rsid w:val="008C1526"/>
    <w:rsid w:val="008C15F2"/>
    <w:rsid w:val="008C1636"/>
    <w:rsid w:val="008C19C3"/>
    <w:rsid w:val="008C1B18"/>
    <w:rsid w:val="008C1B38"/>
    <w:rsid w:val="008C1DA4"/>
    <w:rsid w:val="008C1E3A"/>
    <w:rsid w:val="008C2075"/>
    <w:rsid w:val="008C2194"/>
    <w:rsid w:val="008C2573"/>
    <w:rsid w:val="008C270B"/>
    <w:rsid w:val="008C27C1"/>
    <w:rsid w:val="008C27F9"/>
    <w:rsid w:val="008C28B1"/>
    <w:rsid w:val="008C2A13"/>
    <w:rsid w:val="008C2AE8"/>
    <w:rsid w:val="008C2F10"/>
    <w:rsid w:val="008C31E6"/>
    <w:rsid w:val="008C346D"/>
    <w:rsid w:val="008C3599"/>
    <w:rsid w:val="008C37D0"/>
    <w:rsid w:val="008C3A0D"/>
    <w:rsid w:val="008C3F88"/>
    <w:rsid w:val="008C4249"/>
    <w:rsid w:val="008C43D4"/>
    <w:rsid w:val="008C4819"/>
    <w:rsid w:val="008C48E2"/>
    <w:rsid w:val="008C4CAF"/>
    <w:rsid w:val="008C4F1C"/>
    <w:rsid w:val="008C4FC6"/>
    <w:rsid w:val="008C50AA"/>
    <w:rsid w:val="008C5509"/>
    <w:rsid w:val="008C5597"/>
    <w:rsid w:val="008C5644"/>
    <w:rsid w:val="008C56AB"/>
    <w:rsid w:val="008C56CA"/>
    <w:rsid w:val="008C5A26"/>
    <w:rsid w:val="008C5B7A"/>
    <w:rsid w:val="008C5F90"/>
    <w:rsid w:val="008C60EF"/>
    <w:rsid w:val="008C6192"/>
    <w:rsid w:val="008C6264"/>
    <w:rsid w:val="008C6526"/>
    <w:rsid w:val="008C667D"/>
    <w:rsid w:val="008C69A6"/>
    <w:rsid w:val="008C6AB7"/>
    <w:rsid w:val="008C6ADA"/>
    <w:rsid w:val="008C6D02"/>
    <w:rsid w:val="008C6D25"/>
    <w:rsid w:val="008C6FDD"/>
    <w:rsid w:val="008C700C"/>
    <w:rsid w:val="008C7042"/>
    <w:rsid w:val="008C7073"/>
    <w:rsid w:val="008C7114"/>
    <w:rsid w:val="008C7251"/>
    <w:rsid w:val="008C7694"/>
    <w:rsid w:val="008C76EB"/>
    <w:rsid w:val="008C7A62"/>
    <w:rsid w:val="008C7A8E"/>
    <w:rsid w:val="008C7B1A"/>
    <w:rsid w:val="008C7B25"/>
    <w:rsid w:val="008C7B2A"/>
    <w:rsid w:val="008C7C12"/>
    <w:rsid w:val="008C7E6A"/>
    <w:rsid w:val="008C7F36"/>
    <w:rsid w:val="008D00DC"/>
    <w:rsid w:val="008D00F1"/>
    <w:rsid w:val="008D046C"/>
    <w:rsid w:val="008D04E9"/>
    <w:rsid w:val="008D091E"/>
    <w:rsid w:val="008D09BC"/>
    <w:rsid w:val="008D0C04"/>
    <w:rsid w:val="008D0C3C"/>
    <w:rsid w:val="008D0C55"/>
    <w:rsid w:val="008D0E5C"/>
    <w:rsid w:val="008D0FC9"/>
    <w:rsid w:val="008D0FF3"/>
    <w:rsid w:val="008D106E"/>
    <w:rsid w:val="008D1078"/>
    <w:rsid w:val="008D1158"/>
    <w:rsid w:val="008D1331"/>
    <w:rsid w:val="008D1441"/>
    <w:rsid w:val="008D1457"/>
    <w:rsid w:val="008D152E"/>
    <w:rsid w:val="008D1579"/>
    <w:rsid w:val="008D1588"/>
    <w:rsid w:val="008D15E4"/>
    <w:rsid w:val="008D17B3"/>
    <w:rsid w:val="008D18A9"/>
    <w:rsid w:val="008D18BA"/>
    <w:rsid w:val="008D1A12"/>
    <w:rsid w:val="008D1BB2"/>
    <w:rsid w:val="008D1DC0"/>
    <w:rsid w:val="008D1F0E"/>
    <w:rsid w:val="008D2319"/>
    <w:rsid w:val="008D23EA"/>
    <w:rsid w:val="008D2479"/>
    <w:rsid w:val="008D27DB"/>
    <w:rsid w:val="008D2A65"/>
    <w:rsid w:val="008D2A75"/>
    <w:rsid w:val="008D2CED"/>
    <w:rsid w:val="008D2E3B"/>
    <w:rsid w:val="008D2F11"/>
    <w:rsid w:val="008D315C"/>
    <w:rsid w:val="008D318B"/>
    <w:rsid w:val="008D3192"/>
    <w:rsid w:val="008D3206"/>
    <w:rsid w:val="008D339E"/>
    <w:rsid w:val="008D3731"/>
    <w:rsid w:val="008D3865"/>
    <w:rsid w:val="008D38DB"/>
    <w:rsid w:val="008D3C80"/>
    <w:rsid w:val="008D3D05"/>
    <w:rsid w:val="008D3E15"/>
    <w:rsid w:val="008D3FEC"/>
    <w:rsid w:val="008D406B"/>
    <w:rsid w:val="008D4164"/>
    <w:rsid w:val="008D46CE"/>
    <w:rsid w:val="008D46E8"/>
    <w:rsid w:val="008D4752"/>
    <w:rsid w:val="008D47EE"/>
    <w:rsid w:val="008D4AB7"/>
    <w:rsid w:val="008D4ABD"/>
    <w:rsid w:val="008D4CE3"/>
    <w:rsid w:val="008D533C"/>
    <w:rsid w:val="008D539B"/>
    <w:rsid w:val="008D54D8"/>
    <w:rsid w:val="008D5606"/>
    <w:rsid w:val="008D57A7"/>
    <w:rsid w:val="008D5899"/>
    <w:rsid w:val="008D592E"/>
    <w:rsid w:val="008D5949"/>
    <w:rsid w:val="008D599D"/>
    <w:rsid w:val="008D5AD2"/>
    <w:rsid w:val="008D5D64"/>
    <w:rsid w:val="008D5DD5"/>
    <w:rsid w:val="008D608E"/>
    <w:rsid w:val="008D62DC"/>
    <w:rsid w:val="008D6570"/>
    <w:rsid w:val="008D679C"/>
    <w:rsid w:val="008D6924"/>
    <w:rsid w:val="008D6975"/>
    <w:rsid w:val="008D69B6"/>
    <w:rsid w:val="008D6A4E"/>
    <w:rsid w:val="008D6B4B"/>
    <w:rsid w:val="008D6B63"/>
    <w:rsid w:val="008D6C40"/>
    <w:rsid w:val="008D7377"/>
    <w:rsid w:val="008D78C8"/>
    <w:rsid w:val="008D78D0"/>
    <w:rsid w:val="008D78DA"/>
    <w:rsid w:val="008D78F5"/>
    <w:rsid w:val="008D792D"/>
    <w:rsid w:val="008D7975"/>
    <w:rsid w:val="008D7A62"/>
    <w:rsid w:val="008D7B9E"/>
    <w:rsid w:val="008D7C4A"/>
    <w:rsid w:val="008D7D44"/>
    <w:rsid w:val="008E0259"/>
    <w:rsid w:val="008E0582"/>
    <w:rsid w:val="008E0746"/>
    <w:rsid w:val="008E0846"/>
    <w:rsid w:val="008E0E28"/>
    <w:rsid w:val="008E0E3E"/>
    <w:rsid w:val="008E1039"/>
    <w:rsid w:val="008E10A4"/>
    <w:rsid w:val="008E11C2"/>
    <w:rsid w:val="008E120C"/>
    <w:rsid w:val="008E12A2"/>
    <w:rsid w:val="008E12E7"/>
    <w:rsid w:val="008E1307"/>
    <w:rsid w:val="008E1491"/>
    <w:rsid w:val="008E1542"/>
    <w:rsid w:val="008E17E5"/>
    <w:rsid w:val="008E19C8"/>
    <w:rsid w:val="008E1CB9"/>
    <w:rsid w:val="008E1E4F"/>
    <w:rsid w:val="008E1F99"/>
    <w:rsid w:val="008E1FAE"/>
    <w:rsid w:val="008E226D"/>
    <w:rsid w:val="008E2288"/>
    <w:rsid w:val="008E258C"/>
    <w:rsid w:val="008E2606"/>
    <w:rsid w:val="008E26F8"/>
    <w:rsid w:val="008E2713"/>
    <w:rsid w:val="008E27CA"/>
    <w:rsid w:val="008E27EE"/>
    <w:rsid w:val="008E282A"/>
    <w:rsid w:val="008E28F4"/>
    <w:rsid w:val="008E293F"/>
    <w:rsid w:val="008E2A1D"/>
    <w:rsid w:val="008E2AC7"/>
    <w:rsid w:val="008E2F39"/>
    <w:rsid w:val="008E32CB"/>
    <w:rsid w:val="008E351D"/>
    <w:rsid w:val="008E354C"/>
    <w:rsid w:val="008E35DD"/>
    <w:rsid w:val="008E3774"/>
    <w:rsid w:val="008E37DC"/>
    <w:rsid w:val="008E394C"/>
    <w:rsid w:val="008E3A0C"/>
    <w:rsid w:val="008E3BAE"/>
    <w:rsid w:val="008E3E31"/>
    <w:rsid w:val="008E40A3"/>
    <w:rsid w:val="008E4162"/>
    <w:rsid w:val="008E41C3"/>
    <w:rsid w:val="008E42FF"/>
    <w:rsid w:val="008E44F6"/>
    <w:rsid w:val="008E44F8"/>
    <w:rsid w:val="008E45DB"/>
    <w:rsid w:val="008E4623"/>
    <w:rsid w:val="008E4ABA"/>
    <w:rsid w:val="008E4BB6"/>
    <w:rsid w:val="008E4C4C"/>
    <w:rsid w:val="008E4D8E"/>
    <w:rsid w:val="008E4ED4"/>
    <w:rsid w:val="008E573A"/>
    <w:rsid w:val="008E586C"/>
    <w:rsid w:val="008E5999"/>
    <w:rsid w:val="008E5BC5"/>
    <w:rsid w:val="008E5C16"/>
    <w:rsid w:val="008E5CE9"/>
    <w:rsid w:val="008E5D4E"/>
    <w:rsid w:val="008E5D92"/>
    <w:rsid w:val="008E5DC6"/>
    <w:rsid w:val="008E5F3C"/>
    <w:rsid w:val="008E636E"/>
    <w:rsid w:val="008E656D"/>
    <w:rsid w:val="008E698F"/>
    <w:rsid w:val="008E6ED0"/>
    <w:rsid w:val="008E7064"/>
    <w:rsid w:val="008E70F8"/>
    <w:rsid w:val="008E72A8"/>
    <w:rsid w:val="008E72F5"/>
    <w:rsid w:val="008E7576"/>
    <w:rsid w:val="008E76C4"/>
    <w:rsid w:val="008E79EB"/>
    <w:rsid w:val="008E7A48"/>
    <w:rsid w:val="008E7C4B"/>
    <w:rsid w:val="008E7DF0"/>
    <w:rsid w:val="008E7E5A"/>
    <w:rsid w:val="008E7E91"/>
    <w:rsid w:val="008F0182"/>
    <w:rsid w:val="008F01E9"/>
    <w:rsid w:val="008F0441"/>
    <w:rsid w:val="008F04C8"/>
    <w:rsid w:val="008F067F"/>
    <w:rsid w:val="008F072E"/>
    <w:rsid w:val="008F0970"/>
    <w:rsid w:val="008F0A4E"/>
    <w:rsid w:val="008F0AA9"/>
    <w:rsid w:val="008F0B38"/>
    <w:rsid w:val="008F0DB5"/>
    <w:rsid w:val="008F0F2C"/>
    <w:rsid w:val="008F0FBE"/>
    <w:rsid w:val="008F1057"/>
    <w:rsid w:val="008F1089"/>
    <w:rsid w:val="008F13AB"/>
    <w:rsid w:val="008F13B8"/>
    <w:rsid w:val="008F14B2"/>
    <w:rsid w:val="008F1575"/>
    <w:rsid w:val="008F15FA"/>
    <w:rsid w:val="008F1628"/>
    <w:rsid w:val="008F1721"/>
    <w:rsid w:val="008F177E"/>
    <w:rsid w:val="008F1806"/>
    <w:rsid w:val="008F1897"/>
    <w:rsid w:val="008F1947"/>
    <w:rsid w:val="008F1AD6"/>
    <w:rsid w:val="008F1D74"/>
    <w:rsid w:val="008F2037"/>
    <w:rsid w:val="008F2087"/>
    <w:rsid w:val="008F2094"/>
    <w:rsid w:val="008F2143"/>
    <w:rsid w:val="008F227B"/>
    <w:rsid w:val="008F24AC"/>
    <w:rsid w:val="008F2584"/>
    <w:rsid w:val="008F2702"/>
    <w:rsid w:val="008F2849"/>
    <w:rsid w:val="008F28CD"/>
    <w:rsid w:val="008F2C0A"/>
    <w:rsid w:val="008F2C82"/>
    <w:rsid w:val="008F2E53"/>
    <w:rsid w:val="008F32BB"/>
    <w:rsid w:val="008F3415"/>
    <w:rsid w:val="008F3661"/>
    <w:rsid w:val="008F3858"/>
    <w:rsid w:val="008F3981"/>
    <w:rsid w:val="008F39CE"/>
    <w:rsid w:val="008F3CEB"/>
    <w:rsid w:val="008F3D08"/>
    <w:rsid w:val="008F3D3B"/>
    <w:rsid w:val="008F3E51"/>
    <w:rsid w:val="008F3ECD"/>
    <w:rsid w:val="008F3F05"/>
    <w:rsid w:val="008F3F78"/>
    <w:rsid w:val="008F3F87"/>
    <w:rsid w:val="008F42FE"/>
    <w:rsid w:val="008F4312"/>
    <w:rsid w:val="008F4499"/>
    <w:rsid w:val="008F4874"/>
    <w:rsid w:val="008F4892"/>
    <w:rsid w:val="008F4924"/>
    <w:rsid w:val="008F4954"/>
    <w:rsid w:val="008F497D"/>
    <w:rsid w:val="008F49A2"/>
    <w:rsid w:val="008F4BB8"/>
    <w:rsid w:val="008F4D84"/>
    <w:rsid w:val="008F535C"/>
    <w:rsid w:val="008F53A5"/>
    <w:rsid w:val="008F57F2"/>
    <w:rsid w:val="008F583E"/>
    <w:rsid w:val="008F5870"/>
    <w:rsid w:val="008F592C"/>
    <w:rsid w:val="008F5C96"/>
    <w:rsid w:val="008F5EF8"/>
    <w:rsid w:val="008F5F3D"/>
    <w:rsid w:val="008F609C"/>
    <w:rsid w:val="008F6108"/>
    <w:rsid w:val="008F62FB"/>
    <w:rsid w:val="008F62FE"/>
    <w:rsid w:val="008F670B"/>
    <w:rsid w:val="008F67DC"/>
    <w:rsid w:val="008F681E"/>
    <w:rsid w:val="008F693A"/>
    <w:rsid w:val="008F69F5"/>
    <w:rsid w:val="008F7117"/>
    <w:rsid w:val="008F7166"/>
    <w:rsid w:val="008F7169"/>
    <w:rsid w:val="008F7193"/>
    <w:rsid w:val="008F74F2"/>
    <w:rsid w:val="008F7767"/>
    <w:rsid w:val="008F792C"/>
    <w:rsid w:val="008F793F"/>
    <w:rsid w:val="008F79D6"/>
    <w:rsid w:val="008F7C06"/>
    <w:rsid w:val="008F7CF8"/>
    <w:rsid w:val="008F7D52"/>
    <w:rsid w:val="008F7E56"/>
    <w:rsid w:val="008F7EFB"/>
    <w:rsid w:val="008FEFE8"/>
    <w:rsid w:val="00900394"/>
    <w:rsid w:val="0090068A"/>
    <w:rsid w:val="0090089D"/>
    <w:rsid w:val="00900961"/>
    <w:rsid w:val="00900D93"/>
    <w:rsid w:val="00900E64"/>
    <w:rsid w:val="009011BC"/>
    <w:rsid w:val="009012C8"/>
    <w:rsid w:val="009012D4"/>
    <w:rsid w:val="0090138D"/>
    <w:rsid w:val="00901606"/>
    <w:rsid w:val="00901648"/>
    <w:rsid w:val="0090174A"/>
    <w:rsid w:val="00901771"/>
    <w:rsid w:val="00902166"/>
    <w:rsid w:val="00902503"/>
    <w:rsid w:val="00902515"/>
    <w:rsid w:val="0090256B"/>
    <w:rsid w:val="009026CE"/>
    <w:rsid w:val="00902923"/>
    <w:rsid w:val="00902A61"/>
    <w:rsid w:val="00902A92"/>
    <w:rsid w:val="00902C26"/>
    <w:rsid w:val="0090316D"/>
    <w:rsid w:val="009031E1"/>
    <w:rsid w:val="009032EC"/>
    <w:rsid w:val="00903355"/>
    <w:rsid w:val="00903604"/>
    <w:rsid w:val="009037B9"/>
    <w:rsid w:val="009037D0"/>
    <w:rsid w:val="009038E0"/>
    <w:rsid w:val="009039F8"/>
    <w:rsid w:val="00903C0E"/>
    <w:rsid w:val="00903E20"/>
    <w:rsid w:val="00903E34"/>
    <w:rsid w:val="00903F09"/>
    <w:rsid w:val="00903FC5"/>
    <w:rsid w:val="00904575"/>
    <w:rsid w:val="0090469A"/>
    <w:rsid w:val="00904822"/>
    <w:rsid w:val="009048AF"/>
    <w:rsid w:val="009048F1"/>
    <w:rsid w:val="00904B2C"/>
    <w:rsid w:val="00904C34"/>
    <w:rsid w:val="00904F6E"/>
    <w:rsid w:val="0090503D"/>
    <w:rsid w:val="0090518C"/>
    <w:rsid w:val="009051D1"/>
    <w:rsid w:val="009052F4"/>
    <w:rsid w:val="009053B4"/>
    <w:rsid w:val="009053B6"/>
    <w:rsid w:val="0090560E"/>
    <w:rsid w:val="00905629"/>
    <w:rsid w:val="0090566C"/>
    <w:rsid w:val="0090568B"/>
    <w:rsid w:val="00905778"/>
    <w:rsid w:val="0090587C"/>
    <w:rsid w:val="00905AE8"/>
    <w:rsid w:val="00905C26"/>
    <w:rsid w:val="00905C9E"/>
    <w:rsid w:val="00905EA0"/>
    <w:rsid w:val="00905EC9"/>
    <w:rsid w:val="00905EE4"/>
    <w:rsid w:val="00905FDC"/>
    <w:rsid w:val="00906062"/>
    <w:rsid w:val="0090615C"/>
    <w:rsid w:val="009061D1"/>
    <w:rsid w:val="0090629C"/>
    <w:rsid w:val="00906358"/>
    <w:rsid w:val="0090645A"/>
    <w:rsid w:val="009064A6"/>
    <w:rsid w:val="00906783"/>
    <w:rsid w:val="00906876"/>
    <w:rsid w:val="00906B1B"/>
    <w:rsid w:val="00906C35"/>
    <w:rsid w:val="00906CAA"/>
    <w:rsid w:val="00906DA8"/>
    <w:rsid w:val="00906EEA"/>
    <w:rsid w:val="00906F19"/>
    <w:rsid w:val="00906FD7"/>
    <w:rsid w:val="0090700E"/>
    <w:rsid w:val="0090701B"/>
    <w:rsid w:val="00907061"/>
    <w:rsid w:val="009071A1"/>
    <w:rsid w:val="00907219"/>
    <w:rsid w:val="00907250"/>
    <w:rsid w:val="009073AF"/>
    <w:rsid w:val="009076B9"/>
    <w:rsid w:val="00907719"/>
    <w:rsid w:val="00907902"/>
    <w:rsid w:val="00907C28"/>
    <w:rsid w:val="00907C6D"/>
    <w:rsid w:val="00907E3F"/>
    <w:rsid w:val="00907FE8"/>
    <w:rsid w:val="00910104"/>
    <w:rsid w:val="009102A3"/>
    <w:rsid w:val="009102D7"/>
    <w:rsid w:val="009104C2"/>
    <w:rsid w:val="0091064C"/>
    <w:rsid w:val="00910BA3"/>
    <w:rsid w:val="00910DFE"/>
    <w:rsid w:val="00910E9D"/>
    <w:rsid w:val="009112DD"/>
    <w:rsid w:val="00911387"/>
    <w:rsid w:val="0091138A"/>
    <w:rsid w:val="00911ADD"/>
    <w:rsid w:val="00911C0E"/>
    <w:rsid w:val="00911DBF"/>
    <w:rsid w:val="00912010"/>
    <w:rsid w:val="009123CF"/>
    <w:rsid w:val="009124E0"/>
    <w:rsid w:val="009127CA"/>
    <w:rsid w:val="00912829"/>
    <w:rsid w:val="009129A2"/>
    <w:rsid w:val="009129C0"/>
    <w:rsid w:val="00912FBB"/>
    <w:rsid w:val="00912FBE"/>
    <w:rsid w:val="00913114"/>
    <w:rsid w:val="00913165"/>
    <w:rsid w:val="009132D2"/>
    <w:rsid w:val="009132DE"/>
    <w:rsid w:val="0091349D"/>
    <w:rsid w:val="009134B9"/>
    <w:rsid w:val="0091352D"/>
    <w:rsid w:val="009135E0"/>
    <w:rsid w:val="0091379F"/>
    <w:rsid w:val="009137A3"/>
    <w:rsid w:val="00913D75"/>
    <w:rsid w:val="00913F63"/>
    <w:rsid w:val="00913FB9"/>
    <w:rsid w:val="009141A1"/>
    <w:rsid w:val="009141DE"/>
    <w:rsid w:val="00914269"/>
    <w:rsid w:val="0091439D"/>
    <w:rsid w:val="00914489"/>
    <w:rsid w:val="00914942"/>
    <w:rsid w:val="00914966"/>
    <w:rsid w:val="00914979"/>
    <w:rsid w:val="00914AF4"/>
    <w:rsid w:val="00914D79"/>
    <w:rsid w:val="00914DCC"/>
    <w:rsid w:val="00914DEE"/>
    <w:rsid w:val="00914E18"/>
    <w:rsid w:val="00914EA3"/>
    <w:rsid w:val="0091542B"/>
    <w:rsid w:val="00915747"/>
    <w:rsid w:val="0091590F"/>
    <w:rsid w:val="0091598E"/>
    <w:rsid w:val="009159F4"/>
    <w:rsid w:val="00915AD9"/>
    <w:rsid w:val="00915D39"/>
    <w:rsid w:val="00915FAC"/>
    <w:rsid w:val="0091605B"/>
    <w:rsid w:val="00916070"/>
    <w:rsid w:val="00916234"/>
    <w:rsid w:val="00916239"/>
    <w:rsid w:val="00916264"/>
    <w:rsid w:val="00916317"/>
    <w:rsid w:val="009163B4"/>
    <w:rsid w:val="00916416"/>
    <w:rsid w:val="009164A7"/>
    <w:rsid w:val="00916701"/>
    <w:rsid w:val="00916851"/>
    <w:rsid w:val="00916AAC"/>
    <w:rsid w:val="00916ACD"/>
    <w:rsid w:val="00916B03"/>
    <w:rsid w:val="00916C46"/>
    <w:rsid w:val="00916C8A"/>
    <w:rsid w:val="00916D34"/>
    <w:rsid w:val="00916DF0"/>
    <w:rsid w:val="00916F32"/>
    <w:rsid w:val="00916F5C"/>
    <w:rsid w:val="009170E7"/>
    <w:rsid w:val="0091731E"/>
    <w:rsid w:val="00917502"/>
    <w:rsid w:val="00917689"/>
    <w:rsid w:val="009176C4"/>
    <w:rsid w:val="00917709"/>
    <w:rsid w:val="0091776D"/>
    <w:rsid w:val="00917899"/>
    <w:rsid w:val="009178C9"/>
    <w:rsid w:val="00917A83"/>
    <w:rsid w:val="00917EC6"/>
    <w:rsid w:val="00920139"/>
    <w:rsid w:val="009202BA"/>
    <w:rsid w:val="009202D9"/>
    <w:rsid w:val="009205D6"/>
    <w:rsid w:val="0092065F"/>
    <w:rsid w:val="00920876"/>
    <w:rsid w:val="0092095F"/>
    <w:rsid w:val="00920A89"/>
    <w:rsid w:val="00920AA9"/>
    <w:rsid w:val="00920C7F"/>
    <w:rsid w:val="00920CC1"/>
    <w:rsid w:val="00920F64"/>
    <w:rsid w:val="00921236"/>
    <w:rsid w:val="0092123C"/>
    <w:rsid w:val="0092141B"/>
    <w:rsid w:val="0092156D"/>
    <w:rsid w:val="0092190A"/>
    <w:rsid w:val="0092192D"/>
    <w:rsid w:val="0092197C"/>
    <w:rsid w:val="00921A10"/>
    <w:rsid w:val="00921C05"/>
    <w:rsid w:val="00921DC9"/>
    <w:rsid w:val="00921FCB"/>
    <w:rsid w:val="00922062"/>
    <w:rsid w:val="0092216D"/>
    <w:rsid w:val="0092220E"/>
    <w:rsid w:val="0092229F"/>
    <w:rsid w:val="0092272F"/>
    <w:rsid w:val="00922888"/>
    <w:rsid w:val="00922C3C"/>
    <w:rsid w:val="009230A1"/>
    <w:rsid w:val="009230F2"/>
    <w:rsid w:val="00923127"/>
    <w:rsid w:val="0092315A"/>
    <w:rsid w:val="00923195"/>
    <w:rsid w:val="0092329B"/>
    <w:rsid w:val="00923314"/>
    <w:rsid w:val="0092346E"/>
    <w:rsid w:val="0092352D"/>
    <w:rsid w:val="009237EC"/>
    <w:rsid w:val="00923B44"/>
    <w:rsid w:val="00923EB0"/>
    <w:rsid w:val="00923F58"/>
    <w:rsid w:val="009240D7"/>
    <w:rsid w:val="009240D9"/>
    <w:rsid w:val="009241C5"/>
    <w:rsid w:val="0092429C"/>
    <w:rsid w:val="0092440B"/>
    <w:rsid w:val="00924626"/>
    <w:rsid w:val="00924632"/>
    <w:rsid w:val="00924678"/>
    <w:rsid w:val="00924BA8"/>
    <w:rsid w:val="00924BBE"/>
    <w:rsid w:val="00924BCE"/>
    <w:rsid w:val="00924C16"/>
    <w:rsid w:val="00924EA1"/>
    <w:rsid w:val="00924FEB"/>
    <w:rsid w:val="00925048"/>
    <w:rsid w:val="009250FB"/>
    <w:rsid w:val="00925227"/>
    <w:rsid w:val="00925486"/>
    <w:rsid w:val="009254E1"/>
    <w:rsid w:val="00925505"/>
    <w:rsid w:val="00925556"/>
    <w:rsid w:val="009256C2"/>
    <w:rsid w:val="00925873"/>
    <w:rsid w:val="00925921"/>
    <w:rsid w:val="00925CA8"/>
    <w:rsid w:val="00925DC0"/>
    <w:rsid w:val="00925DE5"/>
    <w:rsid w:val="00925EC7"/>
    <w:rsid w:val="00925FC3"/>
    <w:rsid w:val="00926130"/>
    <w:rsid w:val="00926219"/>
    <w:rsid w:val="00926425"/>
    <w:rsid w:val="00926478"/>
    <w:rsid w:val="00926527"/>
    <w:rsid w:val="009265F7"/>
    <w:rsid w:val="009267CE"/>
    <w:rsid w:val="009269A0"/>
    <w:rsid w:val="009269FF"/>
    <w:rsid w:val="00926AD9"/>
    <w:rsid w:val="00926C55"/>
    <w:rsid w:val="0092763B"/>
    <w:rsid w:val="0092765E"/>
    <w:rsid w:val="00927BC8"/>
    <w:rsid w:val="00927D93"/>
    <w:rsid w:val="00927EEB"/>
    <w:rsid w:val="00927FE1"/>
    <w:rsid w:val="0093015B"/>
    <w:rsid w:val="009301CF"/>
    <w:rsid w:val="009304D7"/>
    <w:rsid w:val="00930895"/>
    <w:rsid w:val="00930CA3"/>
    <w:rsid w:val="00930DBC"/>
    <w:rsid w:val="00930DE9"/>
    <w:rsid w:val="0093131B"/>
    <w:rsid w:val="00931343"/>
    <w:rsid w:val="00931843"/>
    <w:rsid w:val="0093189F"/>
    <w:rsid w:val="00931DEA"/>
    <w:rsid w:val="00931E15"/>
    <w:rsid w:val="009320DC"/>
    <w:rsid w:val="009321AC"/>
    <w:rsid w:val="0093255E"/>
    <w:rsid w:val="009325C1"/>
    <w:rsid w:val="009325C5"/>
    <w:rsid w:val="0093271F"/>
    <w:rsid w:val="00932767"/>
    <w:rsid w:val="00932A45"/>
    <w:rsid w:val="00932DD7"/>
    <w:rsid w:val="00932E72"/>
    <w:rsid w:val="00932F75"/>
    <w:rsid w:val="00932FAD"/>
    <w:rsid w:val="00933094"/>
    <w:rsid w:val="00933186"/>
    <w:rsid w:val="009331CF"/>
    <w:rsid w:val="009332C1"/>
    <w:rsid w:val="009333BA"/>
    <w:rsid w:val="009335BD"/>
    <w:rsid w:val="00933662"/>
    <w:rsid w:val="009336B3"/>
    <w:rsid w:val="00933B46"/>
    <w:rsid w:val="00933BAD"/>
    <w:rsid w:val="00933DED"/>
    <w:rsid w:val="00933E73"/>
    <w:rsid w:val="00933F59"/>
    <w:rsid w:val="00933FD9"/>
    <w:rsid w:val="009341D8"/>
    <w:rsid w:val="0093422A"/>
    <w:rsid w:val="009342D8"/>
    <w:rsid w:val="009343E7"/>
    <w:rsid w:val="009345F0"/>
    <w:rsid w:val="0093461F"/>
    <w:rsid w:val="009347B2"/>
    <w:rsid w:val="00934892"/>
    <w:rsid w:val="00934A29"/>
    <w:rsid w:val="00934BA5"/>
    <w:rsid w:val="00934BBB"/>
    <w:rsid w:val="00934BCB"/>
    <w:rsid w:val="00934CCE"/>
    <w:rsid w:val="00934D5A"/>
    <w:rsid w:val="00934E49"/>
    <w:rsid w:val="00935116"/>
    <w:rsid w:val="00935122"/>
    <w:rsid w:val="0093512C"/>
    <w:rsid w:val="00935354"/>
    <w:rsid w:val="009353EC"/>
    <w:rsid w:val="00935756"/>
    <w:rsid w:val="0093597F"/>
    <w:rsid w:val="00935B38"/>
    <w:rsid w:val="00935C29"/>
    <w:rsid w:val="00935D44"/>
    <w:rsid w:val="00935F62"/>
    <w:rsid w:val="009360A3"/>
    <w:rsid w:val="00936133"/>
    <w:rsid w:val="0093621B"/>
    <w:rsid w:val="00936220"/>
    <w:rsid w:val="0093628F"/>
    <w:rsid w:val="009365A0"/>
    <w:rsid w:val="00936672"/>
    <w:rsid w:val="00936738"/>
    <w:rsid w:val="00936F3C"/>
    <w:rsid w:val="00936FEE"/>
    <w:rsid w:val="00937101"/>
    <w:rsid w:val="0093711E"/>
    <w:rsid w:val="0093715F"/>
    <w:rsid w:val="00937476"/>
    <w:rsid w:val="0093747F"/>
    <w:rsid w:val="0093750F"/>
    <w:rsid w:val="009376AA"/>
    <w:rsid w:val="00937B0E"/>
    <w:rsid w:val="00937C6A"/>
    <w:rsid w:val="00937D98"/>
    <w:rsid w:val="00937D9A"/>
    <w:rsid w:val="00937E11"/>
    <w:rsid w:val="00937EDF"/>
    <w:rsid w:val="00940300"/>
    <w:rsid w:val="0094036D"/>
    <w:rsid w:val="009403C0"/>
    <w:rsid w:val="0094043A"/>
    <w:rsid w:val="00940616"/>
    <w:rsid w:val="009407E6"/>
    <w:rsid w:val="0094082B"/>
    <w:rsid w:val="009408F2"/>
    <w:rsid w:val="009409FC"/>
    <w:rsid w:val="00940ACA"/>
    <w:rsid w:val="00940BA7"/>
    <w:rsid w:val="00940C40"/>
    <w:rsid w:val="00940CA1"/>
    <w:rsid w:val="00940EA3"/>
    <w:rsid w:val="00940FC8"/>
    <w:rsid w:val="00941196"/>
    <w:rsid w:val="0094120E"/>
    <w:rsid w:val="009412A5"/>
    <w:rsid w:val="0094150E"/>
    <w:rsid w:val="009417D3"/>
    <w:rsid w:val="00941C15"/>
    <w:rsid w:val="0094209E"/>
    <w:rsid w:val="009420C5"/>
    <w:rsid w:val="0094228D"/>
    <w:rsid w:val="0094244D"/>
    <w:rsid w:val="00942663"/>
    <w:rsid w:val="00942737"/>
    <w:rsid w:val="00942808"/>
    <w:rsid w:val="00942887"/>
    <w:rsid w:val="00942A1D"/>
    <w:rsid w:val="00942A81"/>
    <w:rsid w:val="00942B26"/>
    <w:rsid w:val="00942B55"/>
    <w:rsid w:val="00943364"/>
    <w:rsid w:val="009433C6"/>
    <w:rsid w:val="00943400"/>
    <w:rsid w:val="009434F7"/>
    <w:rsid w:val="009434FA"/>
    <w:rsid w:val="00943700"/>
    <w:rsid w:val="00943856"/>
    <w:rsid w:val="00943ABC"/>
    <w:rsid w:val="00943B23"/>
    <w:rsid w:val="00943BCC"/>
    <w:rsid w:val="00943C21"/>
    <w:rsid w:val="00943E5F"/>
    <w:rsid w:val="00943FAE"/>
    <w:rsid w:val="00943FF0"/>
    <w:rsid w:val="00944248"/>
    <w:rsid w:val="00944473"/>
    <w:rsid w:val="00944500"/>
    <w:rsid w:val="009447E5"/>
    <w:rsid w:val="009447F6"/>
    <w:rsid w:val="00944883"/>
    <w:rsid w:val="009448E4"/>
    <w:rsid w:val="0094491C"/>
    <w:rsid w:val="00944A25"/>
    <w:rsid w:val="00944D45"/>
    <w:rsid w:val="00944D63"/>
    <w:rsid w:val="00944D9D"/>
    <w:rsid w:val="00944EBD"/>
    <w:rsid w:val="00944F3F"/>
    <w:rsid w:val="009450D2"/>
    <w:rsid w:val="009451C9"/>
    <w:rsid w:val="009452C6"/>
    <w:rsid w:val="009453A8"/>
    <w:rsid w:val="00945701"/>
    <w:rsid w:val="00945813"/>
    <w:rsid w:val="00945827"/>
    <w:rsid w:val="00945895"/>
    <w:rsid w:val="00945994"/>
    <w:rsid w:val="00945A12"/>
    <w:rsid w:val="00945A1C"/>
    <w:rsid w:val="00945F22"/>
    <w:rsid w:val="00945F7B"/>
    <w:rsid w:val="0094638B"/>
    <w:rsid w:val="009465E5"/>
    <w:rsid w:val="009469BB"/>
    <w:rsid w:val="00946A09"/>
    <w:rsid w:val="00946B0B"/>
    <w:rsid w:val="00946D26"/>
    <w:rsid w:val="00946EDF"/>
    <w:rsid w:val="00946FBB"/>
    <w:rsid w:val="009471A3"/>
    <w:rsid w:val="009474FD"/>
    <w:rsid w:val="009477C1"/>
    <w:rsid w:val="009477C9"/>
    <w:rsid w:val="0094781E"/>
    <w:rsid w:val="00947881"/>
    <w:rsid w:val="00947A78"/>
    <w:rsid w:val="00947BC0"/>
    <w:rsid w:val="00950247"/>
    <w:rsid w:val="00950475"/>
    <w:rsid w:val="009505FE"/>
    <w:rsid w:val="009506BB"/>
    <w:rsid w:val="00950E95"/>
    <w:rsid w:val="00950E9E"/>
    <w:rsid w:val="009510B1"/>
    <w:rsid w:val="00951146"/>
    <w:rsid w:val="00951357"/>
    <w:rsid w:val="009513C6"/>
    <w:rsid w:val="009516D6"/>
    <w:rsid w:val="009517D6"/>
    <w:rsid w:val="00951800"/>
    <w:rsid w:val="00951DF7"/>
    <w:rsid w:val="00951E45"/>
    <w:rsid w:val="00951E53"/>
    <w:rsid w:val="009520E7"/>
    <w:rsid w:val="0095215A"/>
    <w:rsid w:val="00952365"/>
    <w:rsid w:val="009526C3"/>
    <w:rsid w:val="00952744"/>
    <w:rsid w:val="00952B76"/>
    <w:rsid w:val="00952D96"/>
    <w:rsid w:val="009532D7"/>
    <w:rsid w:val="009534FA"/>
    <w:rsid w:val="00953B58"/>
    <w:rsid w:val="00953CCF"/>
    <w:rsid w:val="00953E84"/>
    <w:rsid w:val="00953ED0"/>
    <w:rsid w:val="00953F18"/>
    <w:rsid w:val="00954241"/>
    <w:rsid w:val="0095426C"/>
    <w:rsid w:val="00954588"/>
    <w:rsid w:val="009545B9"/>
    <w:rsid w:val="009545DC"/>
    <w:rsid w:val="0095460B"/>
    <w:rsid w:val="00954723"/>
    <w:rsid w:val="00954756"/>
    <w:rsid w:val="00954815"/>
    <w:rsid w:val="0095487F"/>
    <w:rsid w:val="00954911"/>
    <w:rsid w:val="0095496C"/>
    <w:rsid w:val="00954BBA"/>
    <w:rsid w:val="00954BF0"/>
    <w:rsid w:val="00954BF5"/>
    <w:rsid w:val="00954C7E"/>
    <w:rsid w:val="00954C83"/>
    <w:rsid w:val="00954D5A"/>
    <w:rsid w:val="00955134"/>
    <w:rsid w:val="00955623"/>
    <w:rsid w:val="009558DC"/>
    <w:rsid w:val="009558F6"/>
    <w:rsid w:val="00955B2A"/>
    <w:rsid w:val="00955B4B"/>
    <w:rsid w:val="00955D8C"/>
    <w:rsid w:val="0095621C"/>
    <w:rsid w:val="009563DE"/>
    <w:rsid w:val="00956833"/>
    <w:rsid w:val="00956EF0"/>
    <w:rsid w:val="009571D2"/>
    <w:rsid w:val="009572A5"/>
    <w:rsid w:val="00957398"/>
    <w:rsid w:val="0095754C"/>
    <w:rsid w:val="0095778E"/>
    <w:rsid w:val="00957884"/>
    <w:rsid w:val="009578D2"/>
    <w:rsid w:val="00957911"/>
    <w:rsid w:val="00957A9C"/>
    <w:rsid w:val="00957DB0"/>
    <w:rsid w:val="00957FFC"/>
    <w:rsid w:val="00960349"/>
    <w:rsid w:val="0096065A"/>
    <w:rsid w:val="00960AE4"/>
    <w:rsid w:val="00960B1D"/>
    <w:rsid w:val="00960BA2"/>
    <w:rsid w:val="00960BFB"/>
    <w:rsid w:val="00960D96"/>
    <w:rsid w:val="00961BEE"/>
    <w:rsid w:val="00961D5B"/>
    <w:rsid w:val="0096208F"/>
    <w:rsid w:val="00962114"/>
    <w:rsid w:val="00962223"/>
    <w:rsid w:val="009623D7"/>
    <w:rsid w:val="009623F5"/>
    <w:rsid w:val="009624C8"/>
    <w:rsid w:val="009624DD"/>
    <w:rsid w:val="009625A4"/>
    <w:rsid w:val="009625EF"/>
    <w:rsid w:val="00962827"/>
    <w:rsid w:val="0096293F"/>
    <w:rsid w:val="00962997"/>
    <w:rsid w:val="00962AE3"/>
    <w:rsid w:val="00962C4D"/>
    <w:rsid w:val="00962D51"/>
    <w:rsid w:val="00962D5E"/>
    <w:rsid w:val="00963148"/>
    <w:rsid w:val="009632F6"/>
    <w:rsid w:val="0096335B"/>
    <w:rsid w:val="00963510"/>
    <w:rsid w:val="00963660"/>
    <w:rsid w:val="009638FA"/>
    <w:rsid w:val="00963B3B"/>
    <w:rsid w:val="00963FD7"/>
    <w:rsid w:val="00964408"/>
    <w:rsid w:val="00964712"/>
    <w:rsid w:val="00964956"/>
    <w:rsid w:val="00964A06"/>
    <w:rsid w:val="00964AE0"/>
    <w:rsid w:val="00964B27"/>
    <w:rsid w:val="00964B7E"/>
    <w:rsid w:val="00964C65"/>
    <w:rsid w:val="00964FEE"/>
    <w:rsid w:val="00965180"/>
    <w:rsid w:val="00965289"/>
    <w:rsid w:val="009652BA"/>
    <w:rsid w:val="00965460"/>
    <w:rsid w:val="0096547D"/>
    <w:rsid w:val="009655B4"/>
    <w:rsid w:val="009657B9"/>
    <w:rsid w:val="0096591F"/>
    <w:rsid w:val="00965B6A"/>
    <w:rsid w:val="00965C20"/>
    <w:rsid w:val="00965C37"/>
    <w:rsid w:val="00966029"/>
    <w:rsid w:val="00966059"/>
    <w:rsid w:val="00966281"/>
    <w:rsid w:val="0096629A"/>
    <w:rsid w:val="00966580"/>
    <w:rsid w:val="00966AD6"/>
    <w:rsid w:val="00966AE0"/>
    <w:rsid w:val="00966AF7"/>
    <w:rsid w:val="00966BFF"/>
    <w:rsid w:val="00966E7D"/>
    <w:rsid w:val="00966EF0"/>
    <w:rsid w:val="009670AC"/>
    <w:rsid w:val="009670D8"/>
    <w:rsid w:val="00967125"/>
    <w:rsid w:val="0096717F"/>
    <w:rsid w:val="00967728"/>
    <w:rsid w:val="00967896"/>
    <w:rsid w:val="009678EE"/>
    <w:rsid w:val="009679E3"/>
    <w:rsid w:val="00967A2B"/>
    <w:rsid w:val="00967BCE"/>
    <w:rsid w:val="00967BF0"/>
    <w:rsid w:val="00967DFB"/>
    <w:rsid w:val="00967E0E"/>
    <w:rsid w:val="00967EA3"/>
    <w:rsid w:val="009701C7"/>
    <w:rsid w:val="00970212"/>
    <w:rsid w:val="009702A6"/>
    <w:rsid w:val="00970303"/>
    <w:rsid w:val="0097046E"/>
    <w:rsid w:val="009706F5"/>
    <w:rsid w:val="00970754"/>
    <w:rsid w:val="0097076B"/>
    <w:rsid w:val="009707A5"/>
    <w:rsid w:val="00970803"/>
    <w:rsid w:val="00970CBD"/>
    <w:rsid w:val="00970D3D"/>
    <w:rsid w:val="009712BE"/>
    <w:rsid w:val="009712E1"/>
    <w:rsid w:val="00971356"/>
    <w:rsid w:val="00971508"/>
    <w:rsid w:val="009716EA"/>
    <w:rsid w:val="00971834"/>
    <w:rsid w:val="00971AAA"/>
    <w:rsid w:val="00971AF2"/>
    <w:rsid w:val="00971B56"/>
    <w:rsid w:val="00971D5B"/>
    <w:rsid w:val="00971D5E"/>
    <w:rsid w:val="00972496"/>
    <w:rsid w:val="00972D45"/>
    <w:rsid w:val="00972DE0"/>
    <w:rsid w:val="00972FB1"/>
    <w:rsid w:val="00973012"/>
    <w:rsid w:val="0097303E"/>
    <w:rsid w:val="00973B14"/>
    <w:rsid w:val="00973B29"/>
    <w:rsid w:val="00973ED1"/>
    <w:rsid w:val="00973EFC"/>
    <w:rsid w:val="00974001"/>
    <w:rsid w:val="00974150"/>
    <w:rsid w:val="00974C85"/>
    <w:rsid w:val="00974DE4"/>
    <w:rsid w:val="00974ECD"/>
    <w:rsid w:val="009751E5"/>
    <w:rsid w:val="009752F8"/>
    <w:rsid w:val="0097546B"/>
    <w:rsid w:val="00975523"/>
    <w:rsid w:val="00975624"/>
    <w:rsid w:val="00975AFB"/>
    <w:rsid w:val="00975CF4"/>
    <w:rsid w:val="00975D94"/>
    <w:rsid w:val="00975EB4"/>
    <w:rsid w:val="00975F8F"/>
    <w:rsid w:val="0097646E"/>
    <w:rsid w:val="00976C46"/>
    <w:rsid w:val="00977014"/>
    <w:rsid w:val="00977220"/>
    <w:rsid w:val="0097725A"/>
    <w:rsid w:val="00977278"/>
    <w:rsid w:val="0097742C"/>
    <w:rsid w:val="009774C7"/>
    <w:rsid w:val="009774DD"/>
    <w:rsid w:val="00977534"/>
    <w:rsid w:val="00977599"/>
    <w:rsid w:val="00977777"/>
    <w:rsid w:val="0097781B"/>
    <w:rsid w:val="0097793A"/>
    <w:rsid w:val="00977A4F"/>
    <w:rsid w:val="00977A86"/>
    <w:rsid w:val="00977CFB"/>
    <w:rsid w:val="00977E53"/>
    <w:rsid w:val="00977F02"/>
    <w:rsid w:val="00977FAA"/>
    <w:rsid w:val="0098009D"/>
    <w:rsid w:val="009800D8"/>
    <w:rsid w:val="009801BF"/>
    <w:rsid w:val="00980325"/>
    <w:rsid w:val="00980804"/>
    <w:rsid w:val="00980841"/>
    <w:rsid w:val="009809F8"/>
    <w:rsid w:val="00980A12"/>
    <w:rsid w:val="00980A35"/>
    <w:rsid w:val="00980A91"/>
    <w:rsid w:val="00980B07"/>
    <w:rsid w:val="00980C2F"/>
    <w:rsid w:val="00980CBC"/>
    <w:rsid w:val="00980D7C"/>
    <w:rsid w:val="00980DAC"/>
    <w:rsid w:val="00980F44"/>
    <w:rsid w:val="00980F88"/>
    <w:rsid w:val="00980FF4"/>
    <w:rsid w:val="0098149F"/>
    <w:rsid w:val="00981587"/>
    <w:rsid w:val="009816E0"/>
    <w:rsid w:val="0098179F"/>
    <w:rsid w:val="009817D0"/>
    <w:rsid w:val="0098182B"/>
    <w:rsid w:val="00981B89"/>
    <w:rsid w:val="00981BE9"/>
    <w:rsid w:val="00981C13"/>
    <w:rsid w:val="00981D61"/>
    <w:rsid w:val="00981FD7"/>
    <w:rsid w:val="00982045"/>
    <w:rsid w:val="009821D4"/>
    <w:rsid w:val="009824C8"/>
    <w:rsid w:val="00982502"/>
    <w:rsid w:val="0098267E"/>
    <w:rsid w:val="009827D7"/>
    <w:rsid w:val="009828A1"/>
    <w:rsid w:val="009828C0"/>
    <w:rsid w:val="009829AE"/>
    <w:rsid w:val="00982BA3"/>
    <w:rsid w:val="00982DB1"/>
    <w:rsid w:val="00982E59"/>
    <w:rsid w:val="00982E90"/>
    <w:rsid w:val="00982F71"/>
    <w:rsid w:val="0098315D"/>
    <w:rsid w:val="00983644"/>
    <w:rsid w:val="0098397D"/>
    <w:rsid w:val="00983BB0"/>
    <w:rsid w:val="00983E1D"/>
    <w:rsid w:val="00983F60"/>
    <w:rsid w:val="009841A3"/>
    <w:rsid w:val="0098458B"/>
    <w:rsid w:val="00984837"/>
    <w:rsid w:val="009848C9"/>
    <w:rsid w:val="009849CC"/>
    <w:rsid w:val="00984B83"/>
    <w:rsid w:val="00984F34"/>
    <w:rsid w:val="00984FB4"/>
    <w:rsid w:val="009850AE"/>
    <w:rsid w:val="00985159"/>
    <w:rsid w:val="00985820"/>
    <w:rsid w:val="00985935"/>
    <w:rsid w:val="009859D2"/>
    <w:rsid w:val="00985A2B"/>
    <w:rsid w:val="00985AB8"/>
    <w:rsid w:val="00985F45"/>
    <w:rsid w:val="00985F77"/>
    <w:rsid w:val="009860B1"/>
    <w:rsid w:val="00986217"/>
    <w:rsid w:val="00986289"/>
    <w:rsid w:val="0098633A"/>
    <w:rsid w:val="00986784"/>
    <w:rsid w:val="009869F4"/>
    <w:rsid w:val="00986A14"/>
    <w:rsid w:val="00986DD3"/>
    <w:rsid w:val="00986F5C"/>
    <w:rsid w:val="00987214"/>
    <w:rsid w:val="009873AA"/>
    <w:rsid w:val="009873BF"/>
    <w:rsid w:val="00987488"/>
    <w:rsid w:val="009874B5"/>
    <w:rsid w:val="009875DD"/>
    <w:rsid w:val="009876F8"/>
    <w:rsid w:val="0098775D"/>
    <w:rsid w:val="00987900"/>
    <w:rsid w:val="00987962"/>
    <w:rsid w:val="00987AA6"/>
    <w:rsid w:val="00987C0F"/>
    <w:rsid w:val="00987C3B"/>
    <w:rsid w:val="00987C81"/>
    <w:rsid w:val="00987CB7"/>
    <w:rsid w:val="00990009"/>
    <w:rsid w:val="009900E5"/>
    <w:rsid w:val="0099019F"/>
    <w:rsid w:val="00990258"/>
    <w:rsid w:val="00990432"/>
    <w:rsid w:val="00990450"/>
    <w:rsid w:val="00990607"/>
    <w:rsid w:val="009907F8"/>
    <w:rsid w:val="009909E1"/>
    <w:rsid w:val="00990A27"/>
    <w:rsid w:val="00990C13"/>
    <w:rsid w:val="00991054"/>
    <w:rsid w:val="0099130A"/>
    <w:rsid w:val="009914BF"/>
    <w:rsid w:val="009914C7"/>
    <w:rsid w:val="009914D3"/>
    <w:rsid w:val="00991528"/>
    <w:rsid w:val="009917D6"/>
    <w:rsid w:val="00991888"/>
    <w:rsid w:val="00991B5F"/>
    <w:rsid w:val="00991B6A"/>
    <w:rsid w:val="00991C13"/>
    <w:rsid w:val="00991CA2"/>
    <w:rsid w:val="00991E1E"/>
    <w:rsid w:val="00992248"/>
    <w:rsid w:val="00992552"/>
    <w:rsid w:val="0099279D"/>
    <w:rsid w:val="00992A07"/>
    <w:rsid w:val="00992C09"/>
    <w:rsid w:val="009932D3"/>
    <w:rsid w:val="00993515"/>
    <w:rsid w:val="009938C4"/>
    <w:rsid w:val="00993A0E"/>
    <w:rsid w:val="00993A46"/>
    <w:rsid w:val="00993DFB"/>
    <w:rsid w:val="00993E43"/>
    <w:rsid w:val="0099401B"/>
    <w:rsid w:val="009940C8"/>
    <w:rsid w:val="00994243"/>
    <w:rsid w:val="00994244"/>
    <w:rsid w:val="0099429C"/>
    <w:rsid w:val="00994432"/>
    <w:rsid w:val="00994546"/>
    <w:rsid w:val="0099456D"/>
    <w:rsid w:val="00994741"/>
    <w:rsid w:val="00994756"/>
    <w:rsid w:val="00994A16"/>
    <w:rsid w:val="00994AEA"/>
    <w:rsid w:val="00994B23"/>
    <w:rsid w:val="00994B35"/>
    <w:rsid w:val="00994F3C"/>
    <w:rsid w:val="00994FBC"/>
    <w:rsid w:val="00995045"/>
    <w:rsid w:val="00995076"/>
    <w:rsid w:val="009952BF"/>
    <w:rsid w:val="009952F4"/>
    <w:rsid w:val="0099539E"/>
    <w:rsid w:val="009953A8"/>
    <w:rsid w:val="0099540A"/>
    <w:rsid w:val="009955CE"/>
    <w:rsid w:val="0099575F"/>
    <w:rsid w:val="0099576A"/>
    <w:rsid w:val="00995A09"/>
    <w:rsid w:val="00995B91"/>
    <w:rsid w:val="00995CF4"/>
    <w:rsid w:val="00996020"/>
    <w:rsid w:val="0099602F"/>
    <w:rsid w:val="00996066"/>
    <w:rsid w:val="00996105"/>
    <w:rsid w:val="0099637E"/>
    <w:rsid w:val="0099655C"/>
    <w:rsid w:val="009965A3"/>
    <w:rsid w:val="009967E8"/>
    <w:rsid w:val="009969EB"/>
    <w:rsid w:val="00996A3F"/>
    <w:rsid w:val="00996A48"/>
    <w:rsid w:val="00996A94"/>
    <w:rsid w:val="00996BBE"/>
    <w:rsid w:val="00996C6D"/>
    <w:rsid w:val="00996F59"/>
    <w:rsid w:val="009970B7"/>
    <w:rsid w:val="00997107"/>
    <w:rsid w:val="00997219"/>
    <w:rsid w:val="009973FD"/>
    <w:rsid w:val="00997480"/>
    <w:rsid w:val="0099751C"/>
    <w:rsid w:val="009979AC"/>
    <w:rsid w:val="00997B86"/>
    <w:rsid w:val="00997BE0"/>
    <w:rsid w:val="00997CC4"/>
    <w:rsid w:val="00997E8B"/>
    <w:rsid w:val="00997F54"/>
    <w:rsid w:val="00997FB8"/>
    <w:rsid w:val="009A0121"/>
    <w:rsid w:val="009A01AA"/>
    <w:rsid w:val="009A078F"/>
    <w:rsid w:val="009A0880"/>
    <w:rsid w:val="009A0BAE"/>
    <w:rsid w:val="009A0C4D"/>
    <w:rsid w:val="009A0F83"/>
    <w:rsid w:val="009A12C3"/>
    <w:rsid w:val="009A1377"/>
    <w:rsid w:val="009A168A"/>
    <w:rsid w:val="009A1695"/>
    <w:rsid w:val="009A1700"/>
    <w:rsid w:val="009A1729"/>
    <w:rsid w:val="009A189C"/>
    <w:rsid w:val="009A1ACE"/>
    <w:rsid w:val="009A1FED"/>
    <w:rsid w:val="009A1FFB"/>
    <w:rsid w:val="009A2039"/>
    <w:rsid w:val="009A210E"/>
    <w:rsid w:val="009A245F"/>
    <w:rsid w:val="009A28E4"/>
    <w:rsid w:val="009A2A47"/>
    <w:rsid w:val="009A2AE5"/>
    <w:rsid w:val="009A2C74"/>
    <w:rsid w:val="009A2EE1"/>
    <w:rsid w:val="009A303C"/>
    <w:rsid w:val="009A30A6"/>
    <w:rsid w:val="009A3125"/>
    <w:rsid w:val="009A34B1"/>
    <w:rsid w:val="009A34D7"/>
    <w:rsid w:val="009A3561"/>
    <w:rsid w:val="009A3982"/>
    <w:rsid w:val="009A3B54"/>
    <w:rsid w:val="009A3C76"/>
    <w:rsid w:val="009A3D16"/>
    <w:rsid w:val="009A3E57"/>
    <w:rsid w:val="009A3F6B"/>
    <w:rsid w:val="009A443E"/>
    <w:rsid w:val="009A4492"/>
    <w:rsid w:val="009A4598"/>
    <w:rsid w:val="009A47A6"/>
    <w:rsid w:val="009A484C"/>
    <w:rsid w:val="009A496A"/>
    <w:rsid w:val="009A4B15"/>
    <w:rsid w:val="009A4C8C"/>
    <w:rsid w:val="009A4DAD"/>
    <w:rsid w:val="009A4F82"/>
    <w:rsid w:val="009A4FBC"/>
    <w:rsid w:val="009A5144"/>
    <w:rsid w:val="009A567C"/>
    <w:rsid w:val="009A5B5E"/>
    <w:rsid w:val="009A5BFB"/>
    <w:rsid w:val="009A5D1D"/>
    <w:rsid w:val="009A5E3F"/>
    <w:rsid w:val="009A60EA"/>
    <w:rsid w:val="009A6129"/>
    <w:rsid w:val="009A6275"/>
    <w:rsid w:val="009A66C5"/>
    <w:rsid w:val="009A68A4"/>
    <w:rsid w:val="009A69EC"/>
    <w:rsid w:val="009A6AE2"/>
    <w:rsid w:val="009A6BA6"/>
    <w:rsid w:val="009A6BC9"/>
    <w:rsid w:val="009A7225"/>
    <w:rsid w:val="009A72D1"/>
    <w:rsid w:val="009A78F9"/>
    <w:rsid w:val="009A7A0D"/>
    <w:rsid w:val="009A7A35"/>
    <w:rsid w:val="009A7DD0"/>
    <w:rsid w:val="009A7E83"/>
    <w:rsid w:val="009A7F53"/>
    <w:rsid w:val="009B0046"/>
    <w:rsid w:val="009B0253"/>
    <w:rsid w:val="009B02AB"/>
    <w:rsid w:val="009B04C2"/>
    <w:rsid w:val="009B06A4"/>
    <w:rsid w:val="009B0811"/>
    <w:rsid w:val="009B084F"/>
    <w:rsid w:val="009B0A62"/>
    <w:rsid w:val="009B0B76"/>
    <w:rsid w:val="009B0D05"/>
    <w:rsid w:val="009B0E6C"/>
    <w:rsid w:val="009B0F98"/>
    <w:rsid w:val="009B1225"/>
    <w:rsid w:val="009B137E"/>
    <w:rsid w:val="009B163D"/>
    <w:rsid w:val="009B16BA"/>
    <w:rsid w:val="009B1AC4"/>
    <w:rsid w:val="009B1AFA"/>
    <w:rsid w:val="009B1D4B"/>
    <w:rsid w:val="009B2099"/>
    <w:rsid w:val="009B224E"/>
    <w:rsid w:val="009B2365"/>
    <w:rsid w:val="009B2435"/>
    <w:rsid w:val="009B253B"/>
    <w:rsid w:val="009B28FF"/>
    <w:rsid w:val="009B2AFF"/>
    <w:rsid w:val="009B30EB"/>
    <w:rsid w:val="009B31A5"/>
    <w:rsid w:val="009B3201"/>
    <w:rsid w:val="009B3208"/>
    <w:rsid w:val="009B3295"/>
    <w:rsid w:val="009B33B1"/>
    <w:rsid w:val="009B33B5"/>
    <w:rsid w:val="009B3422"/>
    <w:rsid w:val="009B34A6"/>
    <w:rsid w:val="009B36E1"/>
    <w:rsid w:val="009B378C"/>
    <w:rsid w:val="009B38B2"/>
    <w:rsid w:val="009B394C"/>
    <w:rsid w:val="009B3DF4"/>
    <w:rsid w:val="009B3E97"/>
    <w:rsid w:val="009B3EB4"/>
    <w:rsid w:val="009B3F1D"/>
    <w:rsid w:val="009B4665"/>
    <w:rsid w:val="009B46F5"/>
    <w:rsid w:val="009B496B"/>
    <w:rsid w:val="009B4D2F"/>
    <w:rsid w:val="009B4DDE"/>
    <w:rsid w:val="009B4E94"/>
    <w:rsid w:val="009B5069"/>
    <w:rsid w:val="009B50EB"/>
    <w:rsid w:val="009B513A"/>
    <w:rsid w:val="009B51B8"/>
    <w:rsid w:val="009B51E9"/>
    <w:rsid w:val="009B5498"/>
    <w:rsid w:val="009B5702"/>
    <w:rsid w:val="009B5993"/>
    <w:rsid w:val="009B599A"/>
    <w:rsid w:val="009B59A1"/>
    <w:rsid w:val="009B5BD1"/>
    <w:rsid w:val="009B5CE2"/>
    <w:rsid w:val="009B5E2C"/>
    <w:rsid w:val="009B5E65"/>
    <w:rsid w:val="009B5EAA"/>
    <w:rsid w:val="009B613A"/>
    <w:rsid w:val="009B6424"/>
    <w:rsid w:val="009B6685"/>
    <w:rsid w:val="009B6AEA"/>
    <w:rsid w:val="009B6C5A"/>
    <w:rsid w:val="009B6DA8"/>
    <w:rsid w:val="009B6DDB"/>
    <w:rsid w:val="009B6F80"/>
    <w:rsid w:val="009B7084"/>
    <w:rsid w:val="009B7136"/>
    <w:rsid w:val="009B738F"/>
    <w:rsid w:val="009B77E7"/>
    <w:rsid w:val="009B79CE"/>
    <w:rsid w:val="009B7A34"/>
    <w:rsid w:val="009B7B61"/>
    <w:rsid w:val="009B7D22"/>
    <w:rsid w:val="009B7E1C"/>
    <w:rsid w:val="009B7FBE"/>
    <w:rsid w:val="009C0074"/>
    <w:rsid w:val="009C0157"/>
    <w:rsid w:val="009C0A0E"/>
    <w:rsid w:val="009C0B0F"/>
    <w:rsid w:val="009C0E76"/>
    <w:rsid w:val="009C1027"/>
    <w:rsid w:val="009C10A3"/>
    <w:rsid w:val="009C11F3"/>
    <w:rsid w:val="009C123F"/>
    <w:rsid w:val="009C124F"/>
    <w:rsid w:val="009C142C"/>
    <w:rsid w:val="009C16E0"/>
    <w:rsid w:val="009C17A4"/>
    <w:rsid w:val="009C1A38"/>
    <w:rsid w:val="009C1C93"/>
    <w:rsid w:val="009C1D14"/>
    <w:rsid w:val="009C1F9B"/>
    <w:rsid w:val="009C24E6"/>
    <w:rsid w:val="009C2708"/>
    <w:rsid w:val="009C2CE1"/>
    <w:rsid w:val="009C2F4F"/>
    <w:rsid w:val="009C2FB4"/>
    <w:rsid w:val="009C31D9"/>
    <w:rsid w:val="009C3206"/>
    <w:rsid w:val="009C32C5"/>
    <w:rsid w:val="009C33C2"/>
    <w:rsid w:val="009C3477"/>
    <w:rsid w:val="009C39E8"/>
    <w:rsid w:val="009C3B0C"/>
    <w:rsid w:val="009C3E4A"/>
    <w:rsid w:val="009C3EF3"/>
    <w:rsid w:val="009C4097"/>
    <w:rsid w:val="009C42DC"/>
    <w:rsid w:val="009C44CD"/>
    <w:rsid w:val="009C485A"/>
    <w:rsid w:val="009C4B17"/>
    <w:rsid w:val="009C4B7C"/>
    <w:rsid w:val="009C4D9C"/>
    <w:rsid w:val="009C4E25"/>
    <w:rsid w:val="009C4F13"/>
    <w:rsid w:val="009C4F22"/>
    <w:rsid w:val="009C4F5C"/>
    <w:rsid w:val="009C4F85"/>
    <w:rsid w:val="009C4FE4"/>
    <w:rsid w:val="009C5908"/>
    <w:rsid w:val="009C591F"/>
    <w:rsid w:val="009C5A22"/>
    <w:rsid w:val="009C5D29"/>
    <w:rsid w:val="009C5D78"/>
    <w:rsid w:val="009C5E0C"/>
    <w:rsid w:val="009C6472"/>
    <w:rsid w:val="009C6834"/>
    <w:rsid w:val="009C6C36"/>
    <w:rsid w:val="009C6CC5"/>
    <w:rsid w:val="009C6F1C"/>
    <w:rsid w:val="009C70DC"/>
    <w:rsid w:val="009C70E0"/>
    <w:rsid w:val="009C7240"/>
    <w:rsid w:val="009C7633"/>
    <w:rsid w:val="009C78C9"/>
    <w:rsid w:val="009C78E7"/>
    <w:rsid w:val="009C7989"/>
    <w:rsid w:val="009C7A44"/>
    <w:rsid w:val="009C7C05"/>
    <w:rsid w:val="009C7C1F"/>
    <w:rsid w:val="009C7CD5"/>
    <w:rsid w:val="009C7E64"/>
    <w:rsid w:val="009D02CE"/>
    <w:rsid w:val="009D03E7"/>
    <w:rsid w:val="009D097B"/>
    <w:rsid w:val="009D09C9"/>
    <w:rsid w:val="009D09CB"/>
    <w:rsid w:val="009D0B17"/>
    <w:rsid w:val="009D0CA9"/>
    <w:rsid w:val="009D0CC3"/>
    <w:rsid w:val="009D0E41"/>
    <w:rsid w:val="009D0EBF"/>
    <w:rsid w:val="009D11FB"/>
    <w:rsid w:val="009D136B"/>
    <w:rsid w:val="009D1627"/>
    <w:rsid w:val="009D16C8"/>
    <w:rsid w:val="009D1790"/>
    <w:rsid w:val="009D1793"/>
    <w:rsid w:val="009D18EC"/>
    <w:rsid w:val="009D1AF3"/>
    <w:rsid w:val="009D1E0F"/>
    <w:rsid w:val="009D1E70"/>
    <w:rsid w:val="009D1EC1"/>
    <w:rsid w:val="009D204A"/>
    <w:rsid w:val="009D23ED"/>
    <w:rsid w:val="009D25B9"/>
    <w:rsid w:val="009D2625"/>
    <w:rsid w:val="009D2746"/>
    <w:rsid w:val="009D27EA"/>
    <w:rsid w:val="009D29C0"/>
    <w:rsid w:val="009D29F3"/>
    <w:rsid w:val="009D2A29"/>
    <w:rsid w:val="009D2B14"/>
    <w:rsid w:val="009D2BC2"/>
    <w:rsid w:val="009D2C91"/>
    <w:rsid w:val="009D2D36"/>
    <w:rsid w:val="009D2F5A"/>
    <w:rsid w:val="009D3074"/>
    <w:rsid w:val="009D307D"/>
    <w:rsid w:val="009D3097"/>
    <w:rsid w:val="009D33DC"/>
    <w:rsid w:val="009D3409"/>
    <w:rsid w:val="009D35EB"/>
    <w:rsid w:val="009D360F"/>
    <w:rsid w:val="009D371D"/>
    <w:rsid w:val="009D3740"/>
    <w:rsid w:val="009D395F"/>
    <w:rsid w:val="009D3E13"/>
    <w:rsid w:val="009D3E73"/>
    <w:rsid w:val="009D3F2F"/>
    <w:rsid w:val="009D3F50"/>
    <w:rsid w:val="009D4101"/>
    <w:rsid w:val="009D41EF"/>
    <w:rsid w:val="009D421E"/>
    <w:rsid w:val="009D4370"/>
    <w:rsid w:val="009D4472"/>
    <w:rsid w:val="009D47CB"/>
    <w:rsid w:val="009D47DF"/>
    <w:rsid w:val="009D48AE"/>
    <w:rsid w:val="009D49E0"/>
    <w:rsid w:val="009D4A40"/>
    <w:rsid w:val="009D4A4E"/>
    <w:rsid w:val="009D4C31"/>
    <w:rsid w:val="009D4EAD"/>
    <w:rsid w:val="009D4FA9"/>
    <w:rsid w:val="009D50D7"/>
    <w:rsid w:val="009D5198"/>
    <w:rsid w:val="009D574D"/>
    <w:rsid w:val="009D58F9"/>
    <w:rsid w:val="009D5D6E"/>
    <w:rsid w:val="009D61C0"/>
    <w:rsid w:val="009D61EC"/>
    <w:rsid w:val="009D6309"/>
    <w:rsid w:val="009D6397"/>
    <w:rsid w:val="009D63A2"/>
    <w:rsid w:val="009D659F"/>
    <w:rsid w:val="009D6626"/>
    <w:rsid w:val="009D66CC"/>
    <w:rsid w:val="009D6BCB"/>
    <w:rsid w:val="009D6C36"/>
    <w:rsid w:val="009D6C83"/>
    <w:rsid w:val="009D6E09"/>
    <w:rsid w:val="009D6EAC"/>
    <w:rsid w:val="009D6FBD"/>
    <w:rsid w:val="009D7050"/>
    <w:rsid w:val="009D7122"/>
    <w:rsid w:val="009D7261"/>
    <w:rsid w:val="009D72B5"/>
    <w:rsid w:val="009D7597"/>
    <w:rsid w:val="009D7A4B"/>
    <w:rsid w:val="009D7D99"/>
    <w:rsid w:val="009D7EBE"/>
    <w:rsid w:val="009D7F88"/>
    <w:rsid w:val="009D7FB5"/>
    <w:rsid w:val="009E003F"/>
    <w:rsid w:val="009E01A0"/>
    <w:rsid w:val="009E02EA"/>
    <w:rsid w:val="009E0322"/>
    <w:rsid w:val="009E03E8"/>
    <w:rsid w:val="009E04EA"/>
    <w:rsid w:val="009E068A"/>
    <w:rsid w:val="009E07CE"/>
    <w:rsid w:val="009E080B"/>
    <w:rsid w:val="009E0860"/>
    <w:rsid w:val="009E08AB"/>
    <w:rsid w:val="009E098B"/>
    <w:rsid w:val="009E0A9E"/>
    <w:rsid w:val="009E0BAB"/>
    <w:rsid w:val="009E0C43"/>
    <w:rsid w:val="009E0C8D"/>
    <w:rsid w:val="009E0EB4"/>
    <w:rsid w:val="009E0F0C"/>
    <w:rsid w:val="009E0FBE"/>
    <w:rsid w:val="009E0FDB"/>
    <w:rsid w:val="009E1028"/>
    <w:rsid w:val="009E115C"/>
    <w:rsid w:val="009E1400"/>
    <w:rsid w:val="009E15F8"/>
    <w:rsid w:val="009E1A04"/>
    <w:rsid w:val="009E1B39"/>
    <w:rsid w:val="009E1B9C"/>
    <w:rsid w:val="009E1DF0"/>
    <w:rsid w:val="009E1EA4"/>
    <w:rsid w:val="009E1FD0"/>
    <w:rsid w:val="009E20B0"/>
    <w:rsid w:val="009E2325"/>
    <w:rsid w:val="009E247B"/>
    <w:rsid w:val="009E24C7"/>
    <w:rsid w:val="009E2BB9"/>
    <w:rsid w:val="009E2BC4"/>
    <w:rsid w:val="009E2C03"/>
    <w:rsid w:val="009E2C2C"/>
    <w:rsid w:val="009E2CDB"/>
    <w:rsid w:val="009E2D16"/>
    <w:rsid w:val="009E2EAF"/>
    <w:rsid w:val="009E2F6F"/>
    <w:rsid w:val="009E3135"/>
    <w:rsid w:val="009E32DA"/>
    <w:rsid w:val="009E3364"/>
    <w:rsid w:val="009E3459"/>
    <w:rsid w:val="009E3653"/>
    <w:rsid w:val="009E388A"/>
    <w:rsid w:val="009E3CB2"/>
    <w:rsid w:val="009E3E01"/>
    <w:rsid w:val="009E3E34"/>
    <w:rsid w:val="009E4106"/>
    <w:rsid w:val="009E4382"/>
    <w:rsid w:val="009E4398"/>
    <w:rsid w:val="009E44E4"/>
    <w:rsid w:val="009E4646"/>
    <w:rsid w:val="009E4839"/>
    <w:rsid w:val="009E49A1"/>
    <w:rsid w:val="009E4B4C"/>
    <w:rsid w:val="009E4F1B"/>
    <w:rsid w:val="009E4F1C"/>
    <w:rsid w:val="009E5142"/>
    <w:rsid w:val="009E57B5"/>
    <w:rsid w:val="009E5802"/>
    <w:rsid w:val="009E5819"/>
    <w:rsid w:val="009E5842"/>
    <w:rsid w:val="009E5919"/>
    <w:rsid w:val="009E5B0D"/>
    <w:rsid w:val="009E5C50"/>
    <w:rsid w:val="009E5DBF"/>
    <w:rsid w:val="009E5F3C"/>
    <w:rsid w:val="009E608A"/>
    <w:rsid w:val="009E6115"/>
    <w:rsid w:val="009E613E"/>
    <w:rsid w:val="009E6200"/>
    <w:rsid w:val="009E656E"/>
    <w:rsid w:val="009E682E"/>
    <w:rsid w:val="009E6933"/>
    <w:rsid w:val="009E6939"/>
    <w:rsid w:val="009E6A0F"/>
    <w:rsid w:val="009E6A5D"/>
    <w:rsid w:val="009E6D25"/>
    <w:rsid w:val="009E6E2B"/>
    <w:rsid w:val="009E6E74"/>
    <w:rsid w:val="009E6FEC"/>
    <w:rsid w:val="009E709A"/>
    <w:rsid w:val="009E70D8"/>
    <w:rsid w:val="009E72E5"/>
    <w:rsid w:val="009E7797"/>
    <w:rsid w:val="009E7AA3"/>
    <w:rsid w:val="009E7D67"/>
    <w:rsid w:val="009E7DBC"/>
    <w:rsid w:val="009E7F80"/>
    <w:rsid w:val="009F0113"/>
    <w:rsid w:val="009F023C"/>
    <w:rsid w:val="009F024D"/>
    <w:rsid w:val="009F09F9"/>
    <w:rsid w:val="009F0C20"/>
    <w:rsid w:val="009F0FEB"/>
    <w:rsid w:val="009F1070"/>
    <w:rsid w:val="009F10BB"/>
    <w:rsid w:val="009F1193"/>
    <w:rsid w:val="009F1320"/>
    <w:rsid w:val="009F14E7"/>
    <w:rsid w:val="009F1502"/>
    <w:rsid w:val="009F1537"/>
    <w:rsid w:val="009F1643"/>
    <w:rsid w:val="009F17D7"/>
    <w:rsid w:val="009F18EE"/>
    <w:rsid w:val="009F18FF"/>
    <w:rsid w:val="009F1903"/>
    <w:rsid w:val="009F1A12"/>
    <w:rsid w:val="009F1A85"/>
    <w:rsid w:val="009F1C2D"/>
    <w:rsid w:val="009F1DA9"/>
    <w:rsid w:val="009F1E95"/>
    <w:rsid w:val="009F1EF1"/>
    <w:rsid w:val="009F1F6F"/>
    <w:rsid w:val="009F219B"/>
    <w:rsid w:val="009F2355"/>
    <w:rsid w:val="009F2370"/>
    <w:rsid w:val="009F2734"/>
    <w:rsid w:val="009F2757"/>
    <w:rsid w:val="009F285F"/>
    <w:rsid w:val="009F29E9"/>
    <w:rsid w:val="009F29F5"/>
    <w:rsid w:val="009F3077"/>
    <w:rsid w:val="009F3195"/>
    <w:rsid w:val="009F320E"/>
    <w:rsid w:val="009F33DD"/>
    <w:rsid w:val="009F340E"/>
    <w:rsid w:val="009F34D2"/>
    <w:rsid w:val="009F37C2"/>
    <w:rsid w:val="009F37F9"/>
    <w:rsid w:val="009F38B0"/>
    <w:rsid w:val="009F3941"/>
    <w:rsid w:val="009F3A87"/>
    <w:rsid w:val="009F3ABD"/>
    <w:rsid w:val="009F3BDC"/>
    <w:rsid w:val="009F3C77"/>
    <w:rsid w:val="009F3D0A"/>
    <w:rsid w:val="009F3FC9"/>
    <w:rsid w:val="009F3FCE"/>
    <w:rsid w:val="009F4164"/>
    <w:rsid w:val="009F41DC"/>
    <w:rsid w:val="009F44A3"/>
    <w:rsid w:val="009F480C"/>
    <w:rsid w:val="009F4965"/>
    <w:rsid w:val="009F497A"/>
    <w:rsid w:val="009F49E5"/>
    <w:rsid w:val="009F4CB6"/>
    <w:rsid w:val="009F4EBA"/>
    <w:rsid w:val="009F5134"/>
    <w:rsid w:val="009F51A9"/>
    <w:rsid w:val="009F566B"/>
    <w:rsid w:val="009F5C39"/>
    <w:rsid w:val="009F5D7F"/>
    <w:rsid w:val="009F5DE7"/>
    <w:rsid w:val="009F5E2C"/>
    <w:rsid w:val="009F5E40"/>
    <w:rsid w:val="009F6118"/>
    <w:rsid w:val="009F6298"/>
    <w:rsid w:val="009F6355"/>
    <w:rsid w:val="009F6388"/>
    <w:rsid w:val="009F645E"/>
    <w:rsid w:val="009F6637"/>
    <w:rsid w:val="009F66E0"/>
    <w:rsid w:val="009F68AB"/>
    <w:rsid w:val="009F68B1"/>
    <w:rsid w:val="009F696C"/>
    <w:rsid w:val="009F6C75"/>
    <w:rsid w:val="009F6DAD"/>
    <w:rsid w:val="009F6DB7"/>
    <w:rsid w:val="009F6DCB"/>
    <w:rsid w:val="009F6FC5"/>
    <w:rsid w:val="009F6FDA"/>
    <w:rsid w:val="009F72D8"/>
    <w:rsid w:val="009F7347"/>
    <w:rsid w:val="009F744A"/>
    <w:rsid w:val="009F7470"/>
    <w:rsid w:val="009F7497"/>
    <w:rsid w:val="009F74B1"/>
    <w:rsid w:val="009F751A"/>
    <w:rsid w:val="009F7685"/>
    <w:rsid w:val="009F77A4"/>
    <w:rsid w:val="009F788C"/>
    <w:rsid w:val="009F79BB"/>
    <w:rsid w:val="009F7A29"/>
    <w:rsid w:val="00A00040"/>
    <w:rsid w:val="00A00146"/>
    <w:rsid w:val="00A0065D"/>
    <w:rsid w:val="00A00689"/>
    <w:rsid w:val="00A00748"/>
    <w:rsid w:val="00A007A6"/>
    <w:rsid w:val="00A00B72"/>
    <w:rsid w:val="00A00F1E"/>
    <w:rsid w:val="00A0105F"/>
    <w:rsid w:val="00A0116B"/>
    <w:rsid w:val="00A0156E"/>
    <w:rsid w:val="00A017DF"/>
    <w:rsid w:val="00A0194A"/>
    <w:rsid w:val="00A01C0C"/>
    <w:rsid w:val="00A01DFD"/>
    <w:rsid w:val="00A01F6B"/>
    <w:rsid w:val="00A020D3"/>
    <w:rsid w:val="00A021C9"/>
    <w:rsid w:val="00A02395"/>
    <w:rsid w:val="00A02458"/>
    <w:rsid w:val="00A02CE9"/>
    <w:rsid w:val="00A02D57"/>
    <w:rsid w:val="00A02E4F"/>
    <w:rsid w:val="00A02E81"/>
    <w:rsid w:val="00A02F85"/>
    <w:rsid w:val="00A03001"/>
    <w:rsid w:val="00A030BD"/>
    <w:rsid w:val="00A034D8"/>
    <w:rsid w:val="00A03508"/>
    <w:rsid w:val="00A03519"/>
    <w:rsid w:val="00A0363D"/>
    <w:rsid w:val="00A03874"/>
    <w:rsid w:val="00A03AAA"/>
    <w:rsid w:val="00A03B92"/>
    <w:rsid w:val="00A03BE2"/>
    <w:rsid w:val="00A04065"/>
    <w:rsid w:val="00A040CC"/>
    <w:rsid w:val="00A04298"/>
    <w:rsid w:val="00A04788"/>
    <w:rsid w:val="00A04973"/>
    <w:rsid w:val="00A0499D"/>
    <w:rsid w:val="00A04C19"/>
    <w:rsid w:val="00A04C79"/>
    <w:rsid w:val="00A04C83"/>
    <w:rsid w:val="00A04C90"/>
    <w:rsid w:val="00A04E16"/>
    <w:rsid w:val="00A05027"/>
    <w:rsid w:val="00A05051"/>
    <w:rsid w:val="00A05150"/>
    <w:rsid w:val="00A051FE"/>
    <w:rsid w:val="00A05338"/>
    <w:rsid w:val="00A05345"/>
    <w:rsid w:val="00A0540A"/>
    <w:rsid w:val="00A05529"/>
    <w:rsid w:val="00A05532"/>
    <w:rsid w:val="00A05754"/>
    <w:rsid w:val="00A05969"/>
    <w:rsid w:val="00A05B61"/>
    <w:rsid w:val="00A05C0F"/>
    <w:rsid w:val="00A05ED9"/>
    <w:rsid w:val="00A05F1B"/>
    <w:rsid w:val="00A062BF"/>
    <w:rsid w:val="00A0649D"/>
    <w:rsid w:val="00A06581"/>
    <w:rsid w:val="00A066B5"/>
    <w:rsid w:val="00A0675C"/>
    <w:rsid w:val="00A06936"/>
    <w:rsid w:val="00A06AF0"/>
    <w:rsid w:val="00A06B04"/>
    <w:rsid w:val="00A07186"/>
    <w:rsid w:val="00A07742"/>
    <w:rsid w:val="00A07750"/>
    <w:rsid w:val="00A079FE"/>
    <w:rsid w:val="00A07ECB"/>
    <w:rsid w:val="00A07F2D"/>
    <w:rsid w:val="00A10828"/>
    <w:rsid w:val="00A10872"/>
    <w:rsid w:val="00A1095E"/>
    <w:rsid w:val="00A1098A"/>
    <w:rsid w:val="00A10A37"/>
    <w:rsid w:val="00A10FDF"/>
    <w:rsid w:val="00A11041"/>
    <w:rsid w:val="00A11073"/>
    <w:rsid w:val="00A110CF"/>
    <w:rsid w:val="00A111BF"/>
    <w:rsid w:val="00A114C0"/>
    <w:rsid w:val="00A116A9"/>
    <w:rsid w:val="00A1190D"/>
    <w:rsid w:val="00A11DDE"/>
    <w:rsid w:val="00A1237F"/>
    <w:rsid w:val="00A12382"/>
    <w:rsid w:val="00A123A0"/>
    <w:rsid w:val="00A124A2"/>
    <w:rsid w:val="00A12520"/>
    <w:rsid w:val="00A125BA"/>
    <w:rsid w:val="00A125D5"/>
    <w:rsid w:val="00A128B2"/>
    <w:rsid w:val="00A12A21"/>
    <w:rsid w:val="00A12AC5"/>
    <w:rsid w:val="00A12B68"/>
    <w:rsid w:val="00A12C05"/>
    <w:rsid w:val="00A12C36"/>
    <w:rsid w:val="00A12E51"/>
    <w:rsid w:val="00A12ED9"/>
    <w:rsid w:val="00A12FC8"/>
    <w:rsid w:val="00A13163"/>
    <w:rsid w:val="00A13492"/>
    <w:rsid w:val="00A1384A"/>
    <w:rsid w:val="00A13998"/>
    <w:rsid w:val="00A13B45"/>
    <w:rsid w:val="00A13C27"/>
    <w:rsid w:val="00A13C57"/>
    <w:rsid w:val="00A13CA7"/>
    <w:rsid w:val="00A13E85"/>
    <w:rsid w:val="00A1450E"/>
    <w:rsid w:val="00A146FB"/>
    <w:rsid w:val="00A14858"/>
    <w:rsid w:val="00A1490A"/>
    <w:rsid w:val="00A14A70"/>
    <w:rsid w:val="00A14B74"/>
    <w:rsid w:val="00A14D20"/>
    <w:rsid w:val="00A14EDE"/>
    <w:rsid w:val="00A150DC"/>
    <w:rsid w:val="00A150EF"/>
    <w:rsid w:val="00A151E3"/>
    <w:rsid w:val="00A15287"/>
    <w:rsid w:val="00A15393"/>
    <w:rsid w:val="00A15543"/>
    <w:rsid w:val="00A156A2"/>
    <w:rsid w:val="00A15886"/>
    <w:rsid w:val="00A15995"/>
    <w:rsid w:val="00A15A8E"/>
    <w:rsid w:val="00A15B3F"/>
    <w:rsid w:val="00A15BC5"/>
    <w:rsid w:val="00A15D1B"/>
    <w:rsid w:val="00A15D8A"/>
    <w:rsid w:val="00A15F2F"/>
    <w:rsid w:val="00A163B6"/>
    <w:rsid w:val="00A1666E"/>
    <w:rsid w:val="00A16C29"/>
    <w:rsid w:val="00A16C66"/>
    <w:rsid w:val="00A16D81"/>
    <w:rsid w:val="00A16DBE"/>
    <w:rsid w:val="00A16ED6"/>
    <w:rsid w:val="00A16FF2"/>
    <w:rsid w:val="00A17384"/>
    <w:rsid w:val="00A17624"/>
    <w:rsid w:val="00A176B5"/>
    <w:rsid w:val="00A1787C"/>
    <w:rsid w:val="00A1787F"/>
    <w:rsid w:val="00A17892"/>
    <w:rsid w:val="00A178DC"/>
    <w:rsid w:val="00A17B7C"/>
    <w:rsid w:val="00A17CF6"/>
    <w:rsid w:val="00A17E3E"/>
    <w:rsid w:val="00A200E2"/>
    <w:rsid w:val="00A201BF"/>
    <w:rsid w:val="00A203B7"/>
    <w:rsid w:val="00A20ACC"/>
    <w:rsid w:val="00A20D75"/>
    <w:rsid w:val="00A2101E"/>
    <w:rsid w:val="00A2126F"/>
    <w:rsid w:val="00A2139C"/>
    <w:rsid w:val="00A213B1"/>
    <w:rsid w:val="00A214BF"/>
    <w:rsid w:val="00A21697"/>
    <w:rsid w:val="00A216E0"/>
    <w:rsid w:val="00A21C7B"/>
    <w:rsid w:val="00A21D97"/>
    <w:rsid w:val="00A21FDE"/>
    <w:rsid w:val="00A22390"/>
    <w:rsid w:val="00A22417"/>
    <w:rsid w:val="00A22718"/>
    <w:rsid w:val="00A2275B"/>
    <w:rsid w:val="00A229E9"/>
    <w:rsid w:val="00A22B72"/>
    <w:rsid w:val="00A22C16"/>
    <w:rsid w:val="00A22DCB"/>
    <w:rsid w:val="00A22DCE"/>
    <w:rsid w:val="00A231EB"/>
    <w:rsid w:val="00A233E0"/>
    <w:rsid w:val="00A2384F"/>
    <w:rsid w:val="00A23851"/>
    <w:rsid w:val="00A238F3"/>
    <w:rsid w:val="00A23942"/>
    <w:rsid w:val="00A23CD9"/>
    <w:rsid w:val="00A23E92"/>
    <w:rsid w:val="00A24176"/>
    <w:rsid w:val="00A24275"/>
    <w:rsid w:val="00A243D3"/>
    <w:rsid w:val="00A246CB"/>
    <w:rsid w:val="00A24959"/>
    <w:rsid w:val="00A2497B"/>
    <w:rsid w:val="00A2497E"/>
    <w:rsid w:val="00A24A3C"/>
    <w:rsid w:val="00A24B7F"/>
    <w:rsid w:val="00A24BCC"/>
    <w:rsid w:val="00A24CE3"/>
    <w:rsid w:val="00A24DBB"/>
    <w:rsid w:val="00A24DEA"/>
    <w:rsid w:val="00A25038"/>
    <w:rsid w:val="00A2510E"/>
    <w:rsid w:val="00A25118"/>
    <w:rsid w:val="00A25351"/>
    <w:rsid w:val="00A2542A"/>
    <w:rsid w:val="00A25440"/>
    <w:rsid w:val="00A254CC"/>
    <w:rsid w:val="00A2563E"/>
    <w:rsid w:val="00A2579D"/>
    <w:rsid w:val="00A25B9C"/>
    <w:rsid w:val="00A25C32"/>
    <w:rsid w:val="00A25C8C"/>
    <w:rsid w:val="00A25DF8"/>
    <w:rsid w:val="00A25F9C"/>
    <w:rsid w:val="00A26007"/>
    <w:rsid w:val="00A26154"/>
    <w:rsid w:val="00A2632C"/>
    <w:rsid w:val="00A263FF"/>
    <w:rsid w:val="00A26420"/>
    <w:rsid w:val="00A266CD"/>
    <w:rsid w:val="00A267D2"/>
    <w:rsid w:val="00A2694A"/>
    <w:rsid w:val="00A26C31"/>
    <w:rsid w:val="00A26CFC"/>
    <w:rsid w:val="00A270F8"/>
    <w:rsid w:val="00A271C7"/>
    <w:rsid w:val="00A27494"/>
    <w:rsid w:val="00A2749C"/>
    <w:rsid w:val="00A27542"/>
    <w:rsid w:val="00A2761C"/>
    <w:rsid w:val="00A277F8"/>
    <w:rsid w:val="00A279CA"/>
    <w:rsid w:val="00A27A83"/>
    <w:rsid w:val="00A27D87"/>
    <w:rsid w:val="00A27DDA"/>
    <w:rsid w:val="00A27ED1"/>
    <w:rsid w:val="00A27FE7"/>
    <w:rsid w:val="00A301B9"/>
    <w:rsid w:val="00A3020F"/>
    <w:rsid w:val="00A30549"/>
    <w:rsid w:val="00A305D6"/>
    <w:rsid w:val="00A30639"/>
    <w:rsid w:val="00A3074E"/>
    <w:rsid w:val="00A309D3"/>
    <w:rsid w:val="00A309DE"/>
    <w:rsid w:val="00A30A94"/>
    <w:rsid w:val="00A30CDA"/>
    <w:rsid w:val="00A30EDC"/>
    <w:rsid w:val="00A30F09"/>
    <w:rsid w:val="00A30F2D"/>
    <w:rsid w:val="00A31067"/>
    <w:rsid w:val="00A31138"/>
    <w:rsid w:val="00A31404"/>
    <w:rsid w:val="00A316CE"/>
    <w:rsid w:val="00A31772"/>
    <w:rsid w:val="00A317FC"/>
    <w:rsid w:val="00A31890"/>
    <w:rsid w:val="00A31A17"/>
    <w:rsid w:val="00A31AE6"/>
    <w:rsid w:val="00A31B66"/>
    <w:rsid w:val="00A31D81"/>
    <w:rsid w:val="00A3255B"/>
    <w:rsid w:val="00A325EB"/>
    <w:rsid w:val="00A327AA"/>
    <w:rsid w:val="00A32B91"/>
    <w:rsid w:val="00A32D37"/>
    <w:rsid w:val="00A32E59"/>
    <w:rsid w:val="00A32E83"/>
    <w:rsid w:val="00A32ECE"/>
    <w:rsid w:val="00A32F1C"/>
    <w:rsid w:val="00A32F3F"/>
    <w:rsid w:val="00A32F5A"/>
    <w:rsid w:val="00A32FE6"/>
    <w:rsid w:val="00A33180"/>
    <w:rsid w:val="00A3319A"/>
    <w:rsid w:val="00A33375"/>
    <w:rsid w:val="00A335F0"/>
    <w:rsid w:val="00A33627"/>
    <w:rsid w:val="00A336DE"/>
    <w:rsid w:val="00A33707"/>
    <w:rsid w:val="00A33786"/>
    <w:rsid w:val="00A33ABC"/>
    <w:rsid w:val="00A33B3C"/>
    <w:rsid w:val="00A33BF0"/>
    <w:rsid w:val="00A33CFC"/>
    <w:rsid w:val="00A33D05"/>
    <w:rsid w:val="00A34148"/>
    <w:rsid w:val="00A34151"/>
    <w:rsid w:val="00A3415F"/>
    <w:rsid w:val="00A3427D"/>
    <w:rsid w:val="00A34374"/>
    <w:rsid w:val="00A346A4"/>
    <w:rsid w:val="00A346A5"/>
    <w:rsid w:val="00A348C1"/>
    <w:rsid w:val="00A34983"/>
    <w:rsid w:val="00A34B9A"/>
    <w:rsid w:val="00A34C9E"/>
    <w:rsid w:val="00A34F6C"/>
    <w:rsid w:val="00A35067"/>
    <w:rsid w:val="00A350B3"/>
    <w:rsid w:val="00A3527E"/>
    <w:rsid w:val="00A3534C"/>
    <w:rsid w:val="00A355CE"/>
    <w:rsid w:val="00A35621"/>
    <w:rsid w:val="00A359C8"/>
    <w:rsid w:val="00A359FA"/>
    <w:rsid w:val="00A35B73"/>
    <w:rsid w:val="00A35CC8"/>
    <w:rsid w:val="00A35E13"/>
    <w:rsid w:val="00A35FB4"/>
    <w:rsid w:val="00A36193"/>
    <w:rsid w:val="00A361AF"/>
    <w:rsid w:val="00A36421"/>
    <w:rsid w:val="00A36474"/>
    <w:rsid w:val="00A3656D"/>
    <w:rsid w:val="00A366D7"/>
    <w:rsid w:val="00A36A65"/>
    <w:rsid w:val="00A36B13"/>
    <w:rsid w:val="00A36D1C"/>
    <w:rsid w:val="00A36FC2"/>
    <w:rsid w:val="00A370D7"/>
    <w:rsid w:val="00A37153"/>
    <w:rsid w:val="00A372E8"/>
    <w:rsid w:val="00A372F3"/>
    <w:rsid w:val="00A37340"/>
    <w:rsid w:val="00A3745A"/>
    <w:rsid w:val="00A3779D"/>
    <w:rsid w:val="00A37A12"/>
    <w:rsid w:val="00A37BAC"/>
    <w:rsid w:val="00A37BE8"/>
    <w:rsid w:val="00A37D31"/>
    <w:rsid w:val="00A37EB2"/>
    <w:rsid w:val="00A37ED4"/>
    <w:rsid w:val="00A37EFE"/>
    <w:rsid w:val="00A402A6"/>
    <w:rsid w:val="00A405BA"/>
    <w:rsid w:val="00A406BB"/>
    <w:rsid w:val="00A40A6A"/>
    <w:rsid w:val="00A40B67"/>
    <w:rsid w:val="00A40B91"/>
    <w:rsid w:val="00A40C5D"/>
    <w:rsid w:val="00A40C80"/>
    <w:rsid w:val="00A40CCB"/>
    <w:rsid w:val="00A40D0B"/>
    <w:rsid w:val="00A412B5"/>
    <w:rsid w:val="00A412D1"/>
    <w:rsid w:val="00A412EE"/>
    <w:rsid w:val="00A413E3"/>
    <w:rsid w:val="00A413FC"/>
    <w:rsid w:val="00A41601"/>
    <w:rsid w:val="00A41773"/>
    <w:rsid w:val="00A41781"/>
    <w:rsid w:val="00A41920"/>
    <w:rsid w:val="00A41996"/>
    <w:rsid w:val="00A419FB"/>
    <w:rsid w:val="00A41AC8"/>
    <w:rsid w:val="00A41C21"/>
    <w:rsid w:val="00A41D78"/>
    <w:rsid w:val="00A41DBB"/>
    <w:rsid w:val="00A41FDB"/>
    <w:rsid w:val="00A4201F"/>
    <w:rsid w:val="00A42380"/>
    <w:rsid w:val="00A4244B"/>
    <w:rsid w:val="00A42527"/>
    <w:rsid w:val="00A42776"/>
    <w:rsid w:val="00A427EF"/>
    <w:rsid w:val="00A428C0"/>
    <w:rsid w:val="00A42A15"/>
    <w:rsid w:val="00A42AE7"/>
    <w:rsid w:val="00A42C4B"/>
    <w:rsid w:val="00A42CA3"/>
    <w:rsid w:val="00A42E4F"/>
    <w:rsid w:val="00A4326B"/>
    <w:rsid w:val="00A4337C"/>
    <w:rsid w:val="00A43411"/>
    <w:rsid w:val="00A43548"/>
    <w:rsid w:val="00A43812"/>
    <w:rsid w:val="00A43B8B"/>
    <w:rsid w:val="00A43D30"/>
    <w:rsid w:val="00A44355"/>
    <w:rsid w:val="00A443EB"/>
    <w:rsid w:val="00A44639"/>
    <w:rsid w:val="00A44887"/>
    <w:rsid w:val="00A4494F"/>
    <w:rsid w:val="00A44A87"/>
    <w:rsid w:val="00A44AAE"/>
    <w:rsid w:val="00A44C6A"/>
    <w:rsid w:val="00A44DF2"/>
    <w:rsid w:val="00A450CD"/>
    <w:rsid w:val="00A450F0"/>
    <w:rsid w:val="00A45158"/>
    <w:rsid w:val="00A4524F"/>
    <w:rsid w:val="00A4553F"/>
    <w:rsid w:val="00A4572A"/>
    <w:rsid w:val="00A45A3D"/>
    <w:rsid w:val="00A45AB5"/>
    <w:rsid w:val="00A45C11"/>
    <w:rsid w:val="00A45CB6"/>
    <w:rsid w:val="00A45D63"/>
    <w:rsid w:val="00A45E00"/>
    <w:rsid w:val="00A45EE9"/>
    <w:rsid w:val="00A46027"/>
    <w:rsid w:val="00A461D5"/>
    <w:rsid w:val="00A46276"/>
    <w:rsid w:val="00A463D0"/>
    <w:rsid w:val="00A467E3"/>
    <w:rsid w:val="00A468D7"/>
    <w:rsid w:val="00A46C26"/>
    <w:rsid w:val="00A46D61"/>
    <w:rsid w:val="00A46D93"/>
    <w:rsid w:val="00A46E46"/>
    <w:rsid w:val="00A46F03"/>
    <w:rsid w:val="00A470EA"/>
    <w:rsid w:val="00A4713F"/>
    <w:rsid w:val="00A47254"/>
    <w:rsid w:val="00A476DF"/>
    <w:rsid w:val="00A47760"/>
    <w:rsid w:val="00A47846"/>
    <w:rsid w:val="00A478A5"/>
    <w:rsid w:val="00A47C1C"/>
    <w:rsid w:val="00A47DD3"/>
    <w:rsid w:val="00A47DD9"/>
    <w:rsid w:val="00A47F7A"/>
    <w:rsid w:val="00A501A1"/>
    <w:rsid w:val="00A503C6"/>
    <w:rsid w:val="00A503DC"/>
    <w:rsid w:val="00A5049D"/>
    <w:rsid w:val="00A50818"/>
    <w:rsid w:val="00A50879"/>
    <w:rsid w:val="00A50959"/>
    <w:rsid w:val="00A50B4D"/>
    <w:rsid w:val="00A50E50"/>
    <w:rsid w:val="00A50E52"/>
    <w:rsid w:val="00A5102C"/>
    <w:rsid w:val="00A51054"/>
    <w:rsid w:val="00A5112B"/>
    <w:rsid w:val="00A51490"/>
    <w:rsid w:val="00A51516"/>
    <w:rsid w:val="00A515DC"/>
    <w:rsid w:val="00A517FE"/>
    <w:rsid w:val="00A51818"/>
    <w:rsid w:val="00A51980"/>
    <w:rsid w:val="00A51A51"/>
    <w:rsid w:val="00A51AE8"/>
    <w:rsid w:val="00A51B45"/>
    <w:rsid w:val="00A52161"/>
    <w:rsid w:val="00A521B0"/>
    <w:rsid w:val="00A52306"/>
    <w:rsid w:val="00A5243F"/>
    <w:rsid w:val="00A524C3"/>
    <w:rsid w:val="00A52516"/>
    <w:rsid w:val="00A525AE"/>
    <w:rsid w:val="00A52762"/>
    <w:rsid w:val="00A5282E"/>
    <w:rsid w:val="00A5299C"/>
    <w:rsid w:val="00A529AF"/>
    <w:rsid w:val="00A52B29"/>
    <w:rsid w:val="00A52BC1"/>
    <w:rsid w:val="00A52E3D"/>
    <w:rsid w:val="00A52E5D"/>
    <w:rsid w:val="00A52F1E"/>
    <w:rsid w:val="00A53015"/>
    <w:rsid w:val="00A5307D"/>
    <w:rsid w:val="00A531D3"/>
    <w:rsid w:val="00A53290"/>
    <w:rsid w:val="00A5347D"/>
    <w:rsid w:val="00A535C1"/>
    <w:rsid w:val="00A53849"/>
    <w:rsid w:val="00A53A3F"/>
    <w:rsid w:val="00A53B38"/>
    <w:rsid w:val="00A54221"/>
    <w:rsid w:val="00A54350"/>
    <w:rsid w:val="00A5446F"/>
    <w:rsid w:val="00A54534"/>
    <w:rsid w:val="00A54616"/>
    <w:rsid w:val="00A54A03"/>
    <w:rsid w:val="00A54A44"/>
    <w:rsid w:val="00A54A50"/>
    <w:rsid w:val="00A54CB4"/>
    <w:rsid w:val="00A54EBF"/>
    <w:rsid w:val="00A54ED6"/>
    <w:rsid w:val="00A54EFE"/>
    <w:rsid w:val="00A5508B"/>
    <w:rsid w:val="00A5510E"/>
    <w:rsid w:val="00A55882"/>
    <w:rsid w:val="00A55A7A"/>
    <w:rsid w:val="00A55AED"/>
    <w:rsid w:val="00A55B67"/>
    <w:rsid w:val="00A55E6E"/>
    <w:rsid w:val="00A55EC1"/>
    <w:rsid w:val="00A55F84"/>
    <w:rsid w:val="00A55FA8"/>
    <w:rsid w:val="00A56333"/>
    <w:rsid w:val="00A56411"/>
    <w:rsid w:val="00A565A9"/>
    <w:rsid w:val="00A565DF"/>
    <w:rsid w:val="00A566EB"/>
    <w:rsid w:val="00A56AC9"/>
    <w:rsid w:val="00A56F82"/>
    <w:rsid w:val="00A56FB3"/>
    <w:rsid w:val="00A57052"/>
    <w:rsid w:val="00A571A7"/>
    <w:rsid w:val="00A5724F"/>
    <w:rsid w:val="00A572FD"/>
    <w:rsid w:val="00A57456"/>
    <w:rsid w:val="00A57540"/>
    <w:rsid w:val="00A576A0"/>
    <w:rsid w:val="00A576CB"/>
    <w:rsid w:val="00A5770C"/>
    <w:rsid w:val="00A57729"/>
    <w:rsid w:val="00A57885"/>
    <w:rsid w:val="00A57978"/>
    <w:rsid w:val="00A57AB1"/>
    <w:rsid w:val="00A57ABC"/>
    <w:rsid w:val="00A57C2E"/>
    <w:rsid w:val="00A57C3F"/>
    <w:rsid w:val="00A57F39"/>
    <w:rsid w:val="00A6004F"/>
    <w:rsid w:val="00A6012F"/>
    <w:rsid w:val="00A606CD"/>
    <w:rsid w:val="00A606D8"/>
    <w:rsid w:val="00A60B0A"/>
    <w:rsid w:val="00A60B67"/>
    <w:rsid w:val="00A60CE8"/>
    <w:rsid w:val="00A61030"/>
    <w:rsid w:val="00A61070"/>
    <w:rsid w:val="00A6157D"/>
    <w:rsid w:val="00A615C2"/>
    <w:rsid w:val="00A616F5"/>
    <w:rsid w:val="00A61D23"/>
    <w:rsid w:val="00A61DCF"/>
    <w:rsid w:val="00A6269B"/>
    <w:rsid w:val="00A627D2"/>
    <w:rsid w:val="00A62EC1"/>
    <w:rsid w:val="00A62F5A"/>
    <w:rsid w:val="00A62FDA"/>
    <w:rsid w:val="00A630AC"/>
    <w:rsid w:val="00A63176"/>
    <w:rsid w:val="00A63353"/>
    <w:rsid w:val="00A63362"/>
    <w:rsid w:val="00A6343A"/>
    <w:rsid w:val="00A63491"/>
    <w:rsid w:val="00A63729"/>
    <w:rsid w:val="00A6373F"/>
    <w:rsid w:val="00A638A8"/>
    <w:rsid w:val="00A63AEE"/>
    <w:rsid w:val="00A63FF9"/>
    <w:rsid w:val="00A6419E"/>
    <w:rsid w:val="00A641E4"/>
    <w:rsid w:val="00A64DBF"/>
    <w:rsid w:val="00A64E50"/>
    <w:rsid w:val="00A6516A"/>
    <w:rsid w:val="00A65269"/>
    <w:rsid w:val="00A65283"/>
    <w:rsid w:val="00A6559F"/>
    <w:rsid w:val="00A655C2"/>
    <w:rsid w:val="00A6577F"/>
    <w:rsid w:val="00A65AA8"/>
    <w:rsid w:val="00A65D50"/>
    <w:rsid w:val="00A65DBC"/>
    <w:rsid w:val="00A65F6C"/>
    <w:rsid w:val="00A662F4"/>
    <w:rsid w:val="00A66376"/>
    <w:rsid w:val="00A664FE"/>
    <w:rsid w:val="00A6663D"/>
    <w:rsid w:val="00A66675"/>
    <w:rsid w:val="00A6670B"/>
    <w:rsid w:val="00A66774"/>
    <w:rsid w:val="00A6680B"/>
    <w:rsid w:val="00A66C20"/>
    <w:rsid w:val="00A66D00"/>
    <w:rsid w:val="00A67093"/>
    <w:rsid w:val="00A67109"/>
    <w:rsid w:val="00A67228"/>
    <w:rsid w:val="00A67309"/>
    <w:rsid w:val="00A67347"/>
    <w:rsid w:val="00A673E4"/>
    <w:rsid w:val="00A6748E"/>
    <w:rsid w:val="00A674DD"/>
    <w:rsid w:val="00A67582"/>
    <w:rsid w:val="00A675A9"/>
    <w:rsid w:val="00A67709"/>
    <w:rsid w:val="00A677A7"/>
    <w:rsid w:val="00A67A0E"/>
    <w:rsid w:val="00A67A51"/>
    <w:rsid w:val="00A67C60"/>
    <w:rsid w:val="00A67D59"/>
    <w:rsid w:val="00A67E2C"/>
    <w:rsid w:val="00A67F7F"/>
    <w:rsid w:val="00A700D9"/>
    <w:rsid w:val="00A703AC"/>
    <w:rsid w:val="00A7056B"/>
    <w:rsid w:val="00A705CF"/>
    <w:rsid w:val="00A7099D"/>
    <w:rsid w:val="00A70BC6"/>
    <w:rsid w:val="00A70BCB"/>
    <w:rsid w:val="00A70BF7"/>
    <w:rsid w:val="00A70D75"/>
    <w:rsid w:val="00A7154A"/>
    <w:rsid w:val="00A71608"/>
    <w:rsid w:val="00A7188B"/>
    <w:rsid w:val="00A71BED"/>
    <w:rsid w:val="00A71C67"/>
    <w:rsid w:val="00A71CC3"/>
    <w:rsid w:val="00A71FCE"/>
    <w:rsid w:val="00A7200D"/>
    <w:rsid w:val="00A72185"/>
    <w:rsid w:val="00A722FF"/>
    <w:rsid w:val="00A724BC"/>
    <w:rsid w:val="00A7278F"/>
    <w:rsid w:val="00A7282C"/>
    <w:rsid w:val="00A728F7"/>
    <w:rsid w:val="00A72A3E"/>
    <w:rsid w:val="00A72AE6"/>
    <w:rsid w:val="00A72B03"/>
    <w:rsid w:val="00A731BA"/>
    <w:rsid w:val="00A732BB"/>
    <w:rsid w:val="00A73433"/>
    <w:rsid w:val="00A7353D"/>
    <w:rsid w:val="00A738CA"/>
    <w:rsid w:val="00A738D3"/>
    <w:rsid w:val="00A738EC"/>
    <w:rsid w:val="00A73980"/>
    <w:rsid w:val="00A73A4C"/>
    <w:rsid w:val="00A73C39"/>
    <w:rsid w:val="00A73C81"/>
    <w:rsid w:val="00A73D3E"/>
    <w:rsid w:val="00A73DF3"/>
    <w:rsid w:val="00A73EE8"/>
    <w:rsid w:val="00A73F21"/>
    <w:rsid w:val="00A73FF6"/>
    <w:rsid w:val="00A74066"/>
    <w:rsid w:val="00A740C0"/>
    <w:rsid w:val="00A742E7"/>
    <w:rsid w:val="00A74352"/>
    <w:rsid w:val="00A743B2"/>
    <w:rsid w:val="00A74403"/>
    <w:rsid w:val="00A744FD"/>
    <w:rsid w:val="00A745A4"/>
    <w:rsid w:val="00A7498B"/>
    <w:rsid w:val="00A74AB0"/>
    <w:rsid w:val="00A74B0E"/>
    <w:rsid w:val="00A74C79"/>
    <w:rsid w:val="00A7533A"/>
    <w:rsid w:val="00A754C4"/>
    <w:rsid w:val="00A75EAB"/>
    <w:rsid w:val="00A75F71"/>
    <w:rsid w:val="00A76041"/>
    <w:rsid w:val="00A762B8"/>
    <w:rsid w:val="00A764C2"/>
    <w:rsid w:val="00A76596"/>
    <w:rsid w:val="00A765A4"/>
    <w:rsid w:val="00A766A3"/>
    <w:rsid w:val="00A76CDC"/>
    <w:rsid w:val="00A76E0F"/>
    <w:rsid w:val="00A76E5D"/>
    <w:rsid w:val="00A76F26"/>
    <w:rsid w:val="00A7725C"/>
    <w:rsid w:val="00A772AD"/>
    <w:rsid w:val="00A772DC"/>
    <w:rsid w:val="00A7735B"/>
    <w:rsid w:val="00A77537"/>
    <w:rsid w:val="00A776DF"/>
    <w:rsid w:val="00A77711"/>
    <w:rsid w:val="00A77991"/>
    <w:rsid w:val="00A779A8"/>
    <w:rsid w:val="00A77A55"/>
    <w:rsid w:val="00A77C8A"/>
    <w:rsid w:val="00A8015A"/>
    <w:rsid w:val="00A80164"/>
    <w:rsid w:val="00A8031A"/>
    <w:rsid w:val="00A8040F"/>
    <w:rsid w:val="00A80467"/>
    <w:rsid w:val="00A804BB"/>
    <w:rsid w:val="00A80588"/>
    <w:rsid w:val="00A8069A"/>
    <w:rsid w:val="00A80998"/>
    <w:rsid w:val="00A80BC0"/>
    <w:rsid w:val="00A80FB4"/>
    <w:rsid w:val="00A810ED"/>
    <w:rsid w:val="00A81271"/>
    <w:rsid w:val="00A812A2"/>
    <w:rsid w:val="00A814E0"/>
    <w:rsid w:val="00A81504"/>
    <w:rsid w:val="00A815C3"/>
    <w:rsid w:val="00A8182C"/>
    <w:rsid w:val="00A81837"/>
    <w:rsid w:val="00A8190D"/>
    <w:rsid w:val="00A81973"/>
    <w:rsid w:val="00A81C27"/>
    <w:rsid w:val="00A81C4E"/>
    <w:rsid w:val="00A81D53"/>
    <w:rsid w:val="00A81DF5"/>
    <w:rsid w:val="00A81EA2"/>
    <w:rsid w:val="00A81F65"/>
    <w:rsid w:val="00A820CC"/>
    <w:rsid w:val="00A821D9"/>
    <w:rsid w:val="00A8220D"/>
    <w:rsid w:val="00A82A1D"/>
    <w:rsid w:val="00A82A6D"/>
    <w:rsid w:val="00A82A71"/>
    <w:rsid w:val="00A82CDD"/>
    <w:rsid w:val="00A82E84"/>
    <w:rsid w:val="00A82FBF"/>
    <w:rsid w:val="00A82FD6"/>
    <w:rsid w:val="00A831F9"/>
    <w:rsid w:val="00A83219"/>
    <w:rsid w:val="00A8337E"/>
    <w:rsid w:val="00A8365D"/>
    <w:rsid w:val="00A837A6"/>
    <w:rsid w:val="00A838DA"/>
    <w:rsid w:val="00A839D5"/>
    <w:rsid w:val="00A83BF3"/>
    <w:rsid w:val="00A83CC2"/>
    <w:rsid w:val="00A83CEE"/>
    <w:rsid w:val="00A83E08"/>
    <w:rsid w:val="00A83E2D"/>
    <w:rsid w:val="00A83E38"/>
    <w:rsid w:val="00A83E55"/>
    <w:rsid w:val="00A840FD"/>
    <w:rsid w:val="00A84130"/>
    <w:rsid w:val="00A84199"/>
    <w:rsid w:val="00A841D8"/>
    <w:rsid w:val="00A8424B"/>
    <w:rsid w:val="00A84267"/>
    <w:rsid w:val="00A842F5"/>
    <w:rsid w:val="00A84377"/>
    <w:rsid w:val="00A84810"/>
    <w:rsid w:val="00A8487D"/>
    <w:rsid w:val="00A8491A"/>
    <w:rsid w:val="00A85513"/>
    <w:rsid w:val="00A855B4"/>
    <w:rsid w:val="00A855C5"/>
    <w:rsid w:val="00A855F1"/>
    <w:rsid w:val="00A8564F"/>
    <w:rsid w:val="00A85791"/>
    <w:rsid w:val="00A85845"/>
    <w:rsid w:val="00A858BC"/>
    <w:rsid w:val="00A859C7"/>
    <w:rsid w:val="00A85BCF"/>
    <w:rsid w:val="00A85EDC"/>
    <w:rsid w:val="00A85F14"/>
    <w:rsid w:val="00A862B2"/>
    <w:rsid w:val="00A8646A"/>
    <w:rsid w:val="00A865A3"/>
    <w:rsid w:val="00A8674A"/>
    <w:rsid w:val="00A8680A"/>
    <w:rsid w:val="00A86846"/>
    <w:rsid w:val="00A86955"/>
    <w:rsid w:val="00A86A3E"/>
    <w:rsid w:val="00A86C75"/>
    <w:rsid w:val="00A872F9"/>
    <w:rsid w:val="00A87394"/>
    <w:rsid w:val="00A873FF"/>
    <w:rsid w:val="00A877DD"/>
    <w:rsid w:val="00A878D2"/>
    <w:rsid w:val="00A878F4"/>
    <w:rsid w:val="00A87A38"/>
    <w:rsid w:val="00A87B09"/>
    <w:rsid w:val="00A87C72"/>
    <w:rsid w:val="00A87CC7"/>
    <w:rsid w:val="00A87E32"/>
    <w:rsid w:val="00A90814"/>
    <w:rsid w:val="00A90910"/>
    <w:rsid w:val="00A9094E"/>
    <w:rsid w:val="00A90BA8"/>
    <w:rsid w:val="00A90CB8"/>
    <w:rsid w:val="00A90E66"/>
    <w:rsid w:val="00A90F05"/>
    <w:rsid w:val="00A914AF"/>
    <w:rsid w:val="00A915D9"/>
    <w:rsid w:val="00A91851"/>
    <w:rsid w:val="00A91C0C"/>
    <w:rsid w:val="00A91D47"/>
    <w:rsid w:val="00A91D5F"/>
    <w:rsid w:val="00A91D8F"/>
    <w:rsid w:val="00A91E13"/>
    <w:rsid w:val="00A92068"/>
    <w:rsid w:val="00A921C4"/>
    <w:rsid w:val="00A9228C"/>
    <w:rsid w:val="00A923E1"/>
    <w:rsid w:val="00A9243D"/>
    <w:rsid w:val="00A92AE9"/>
    <w:rsid w:val="00A92B2F"/>
    <w:rsid w:val="00A92BE4"/>
    <w:rsid w:val="00A92E9E"/>
    <w:rsid w:val="00A92F4F"/>
    <w:rsid w:val="00A92FAF"/>
    <w:rsid w:val="00A9305D"/>
    <w:rsid w:val="00A93075"/>
    <w:rsid w:val="00A930E1"/>
    <w:rsid w:val="00A93187"/>
    <w:rsid w:val="00A933A1"/>
    <w:rsid w:val="00A933E0"/>
    <w:rsid w:val="00A936CD"/>
    <w:rsid w:val="00A938D6"/>
    <w:rsid w:val="00A939C1"/>
    <w:rsid w:val="00A93A6C"/>
    <w:rsid w:val="00A93DBB"/>
    <w:rsid w:val="00A93E72"/>
    <w:rsid w:val="00A93F70"/>
    <w:rsid w:val="00A93FA3"/>
    <w:rsid w:val="00A943C9"/>
    <w:rsid w:val="00A9448B"/>
    <w:rsid w:val="00A944D9"/>
    <w:rsid w:val="00A945A2"/>
    <w:rsid w:val="00A946D8"/>
    <w:rsid w:val="00A9498A"/>
    <w:rsid w:val="00A94B2A"/>
    <w:rsid w:val="00A94C4C"/>
    <w:rsid w:val="00A94C91"/>
    <w:rsid w:val="00A94D19"/>
    <w:rsid w:val="00A94D3F"/>
    <w:rsid w:val="00A94E42"/>
    <w:rsid w:val="00A94F99"/>
    <w:rsid w:val="00A9518E"/>
    <w:rsid w:val="00A952D5"/>
    <w:rsid w:val="00A9543F"/>
    <w:rsid w:val="00A954CF"/>
    <w:rsid w:val="00A95549"/>
    <w:rsid w:val="00A955C4"/>
    <w:rsid w:val="00A9563B"/>
    <w:rsid w:val="00A959F1"/>
    <w:rsid w:val="00A95BA9"/>
    <w:rsid w:val="00A95BD7"/>
    <w:rsid w:val="00A95BF6"/>
    <w:rsid w:val="00A95EF4"/>
    <w:rsid w:val="00A96449"/>
    <w:rsid w:val="00A9668E"/>
    <w:rsid w:val="00A96727"/>
    <w:rsid w:val="00A96738"/>
    <w:rsid w:val="00A969B8"/>
    <w:rsid w:val="00A96DFE"/>
    <w:rsid w:val="00A96F08"/>
    <w:rsid w:val="00A96F43"/>
    <w:rsid w:val="00A97084"/>
    <w:rsid w:val="00A970BC"/>
    <w:rsid w:val="00A97133"/>
    <w:rsid w:val="00A9714F"/>
    <w:rsid w:val="00A97317"/>
    <w:rsid w:val="00A973CE"/>
    <w:rsid w:val="00A9754B"/>
    <w:rsid w:val="00A9779E"/>
    <w:rsid w:val="00A97B31"/>
    <w:rsid w:val="00A97DFF"/>
    <w:rsid w:val="00A97F5E"/>
    <w:rsid w:val="00AA01D2"/>
    <w:rsid w:val="00AA0319"/>
    <w:rsid w:val="00AA0453"/>
    <w:rsid w:val="00AA054D"/>
    <w:rsid w:val="00AA065D"/>
    <w:rsid w:val="00AA088D"/>
    <w:rsid w:val="00AA0D5B"/>
    <w:rsid w:val="00AA0F31"/>
    <w:rsid w:val="00AA1018"/>
    <w:rsid w:val="00AA11BC"/>
    <w:rsid w:val="00AA1251"/>
    <w:rsid w:val="00AA14CC"/>
    <w:rsid w:val="00AA17EF"/>
    <w:rsid w:val="00AA1A21"/>
    <w:rsid w:val="00AA1AD1"/>
    <w:rsid w:val="00AA1B3F"/>
    <w:rsid w:val="00AA1BEC"/>
    <w:rsid w:val="00AA1C86"/>
    <w:rsid w:val="00AA1D93"/>
    <w:rsid w:val="00AA1FEE"/>
    <w:rsid w:val="00AA2160"/>
    <w:rsid w:val="00AA2184"/>
    <w:rsid w:val="00AA2578"/>
    <w:rsid w:val="00AA2A61"/>
    <w:rsid w:val="00AA2D27"/>
    <w:rsid w:val="00AA2D8C"/>
    <w:rsid w:val="00AA30C0"/>
    <w:rsid w:val="00AA31EE"/>
    <w:rsid w:val="00AA325E"/>
    <w:rsid w:val="00AA3313"/>
    <w:rsid w:val="00AA332F"/>
    <w:rsid w:val="00AA3375"/>
    <w:rsid w:val="00AA3392"/>
    <w:rsid w:val="00AA3472"/>
    <w:rsid w:val="00AA3574"/>
    <w:rsid w:val="00AA35E6"/>
    <w:rsid w:val="00AA3664"/>
    <w:rsid w:val="00AA36B3"/>
    <w:rsid w:val="00AA36E7"/>
    <w:rsid w:val="00AA3B06"/>
    <w:rsid w:val="00AA3BB2"/>
    <w:rsid w:val="00AA3DF6"/>
    <w:rsid w:val="00AA418E"/>
    <w:rsid w:val="00AA439F"/>
    <w:rsid w:val="00AA44F6"/>
    <w:rsid w:val="00AA4A9A"/>
    <w:rsid w:val="00AA4CF7"/>
    <w:rsid w:val="00AA4D7A"/>
    <w:rsid w:val="00AA50A9"/>
    <w:rsid w:val="00AA50DA"/>
    <w:rsid w:val="00AA52A5"/>
    <w:rsid w:val="00AA5423"/>
    <w:rsid w:val="00AA56A4"/>
    <w:rsid w:val="00AA56B0"/>
    <w:rsid w:val="00AA58AC"/>
    <w:rsid w:val="00AA5908"/>
    <w:rsid w:val="00AA5920"/>
    <w:rsid w:val="00AA5958"/>
    <w:rsid w:val="00AA5970"/>
    <w:rsid w:val="00AA5AB5"/>
    <w:rsid w:val="00AA5CC7"/>
    <w:rsid w:val="00AA5E38"/>
    <w:rsid w:val="00AA5F37"/>
    <w:rsid w:val="00AA5FF6"/>
    <w:rsid w:val="00AA66E6"/>
    <w:rsid w:val="00AA6A1E"/>
    <w:rsid w:val="00AA6ADD"/>
    <w:rsid w:val="00AA6B02"/>
    <w:rsid w:val="00AA6B76"/>
    <w:rsid w:val="00AA6B82"/>
    <w:rsid w:val="00AA6CB5"/>
    <w:rsid w:val="00AA6D86"/>
    <w:rsid w:val="00AA6E26"/>
    <w:rsid w:val="00AA701E"/>
    <w:rsid w:val="00AA74F0"/>
    <w:rsid w:val="00AA7543"/>
    <w:rsid w:val="00AA7C49"/>
    <w:rsid w:val="00AA7DBA"/>
    <w:rsid w:val="00AA7ED0"/>
    <w:rsid w:val="00AB02F2"/>
    <w:rsid w:val="00AB032A"/>
    <w:rsid w:val="00AB0513"/>
    <w:rsid w:val="00AB08DF"/>
    <w:rsid w:val="00AB100A"/>
    <w:rsid w:val="00AB105A"/>
    <w:rsid w:val="00AB10A4"/>
    <w:rsid w:val="00AB117D"/>
    <w:rsid w:val="00AB11BA"/>
    <w:rsid w:val="00AB122F"/>
    <w:rsid w:val="00AB1512"/>
    <w:rsid w:val="00AB1653"/>
    <w:rsid w:val="00AB17E2"/>
    <w:rsid w:val="00AB1921"/>
    <w:rsid w:val="00AB1CD9"/>
    <w:rsid w:val="00AB1E59"/>
    <w:rsid w:val="00AB21E2"/>
    <w:rsid w:val="00AB26F4"/>
    <w:rsid w:val="00AB275D"/>
    <w:rsid w:val="00AB297B"/>
    <w:rsid w:val="00AB2A04"/>
    <w:rsid w:val="00AB2A47"/>
    <w:rsid w:val="00AB2B82"/>
    <w:rsid w:val="00AB2C68"/>
    <w:rsid w:val="00AB2D23"/>
    <w:rsid w:val="00AB2F4F"/>
    <w:rsid w:val="00AB31BB"/>
    <w:rsid w:val="00AB31CA"/>
    <w:rsid w:val="00AB32E3"/>
    <w:rsid w:val="00AB32F4"/>
    <w:rsid w:val="00AB32F7"/>
    <w:rsid w:val="00AB33B8"/>
    <w:rsid w:val="00AB34DD"/>
    <w:rsid w:val="00AB3800"/>
    <w:rsid w:val="00AB3929"/>
    <w:rsid w:val="00AB3ADA"/>
    <w:rsid w:val="00AB3E41"/>
    <w:rsid w:val="00AB3EBC"/>
    <w:rsid w:val="00AB3F88"/>
    <w:rsid w:val="00AB4002"/>
    <w:rsid w:val="00AB405C"/>
    <w:rsid w:val="00AB40F6"/>
    <w:rsid w:val="00AB412D"/>
    <w:rsid w:val="00AB42F2"/>
    <w:rsid w:val="00AB4588"/>
    <w:rsid w:val="00AB4859"/>
    <w:rsid w:val="00AB4944"/>
    <w:rsid w:val="00AB4C3A"/>
    <w:rsid w:val="00AB4D1C"/>
    <w:rsid w:val="00AB56BE"/>
    <w:rsid w:val="00AB572B"/>
    <w:rsid w:val="00AB5788"/>
    <w:rsid w:val="00AB5805"/>
    <w:rsid w:val="00AB588B"/>
    <w:rsid w:val="00AB5A7E"/>
    <w:rsid w:val="00AB5C33"/>
    <w:rsid w:val="00AB5DD1"/>
    <w:rsid w:val="00AB5FCB"/>
    <w:rsid w:val="00AB5FF9"/>
    <w:rsid w:val="00AB6171"/>
    <w:rsid w:val="00AB6406"/>
    <w:rsid w:val="00AB64A8"/>
    <w:rsid w:val="00AB6521"/>
    <w:rsid w:val="00AB673E"/>
    <w:rsid w:val="00AB684D"/>
    <w:rsid w:val="00AB6AD6"/>
    <w:rsid w:val="00AB6BA6"/>
    <w:rsid w:val="00AB6CFE"/>
    <w:rsid w:val="00AB6D5C"/>
    <w:rsid w:val="00AB6D5F"/>
    <w:rsid w:val="00AB6FC9"/>
    <w:rsid w:val="00AB706D"/>
    <w:rsid w:val="00AB7224"/>
    <w:rsid w:val="00AB731A"/>
    <w:rsid w:val="00AB75B4"/>
    <w:rsid w:val="00AB76D3"/>
    <w:rsid w:val="00AB76F5"/>
    <w:rsid w:val="00AB79F5"/>
    <w:rsid w:val="00AB7BC8"/>
    <w:rsid w:val="00AB7E9C"/>
    <w:rsid w:val="00AB7EC0"/>
    <w:rsid w:val="00AC03DB"/>
    <w:rsid w:val="00AC04A1"/>
    <w:rsid w:val="00AC0699"/>
    <w:rsid w:val="00AC075A"/>
    <w:rsid w:val="00AC0861"/>
    <w:rsid w:val="00AC0BFA"/>
    <w:rsid w:val="00AC0F40"/>
    <w:rsid w:val="00AC1315"/>
    <w:rsid w:val="00AC1839"/>
    <w:rsid w:val="00AC1CEC"/>
    <w:rsid w:val="00AC1D15"/>
    <w:rsid w:val="00AC20CD"/>
    <w:rsid w:val="00AC2180"/>
    <w:rsid w:val="00AC2297"/>
    <w:rsid w:val="00AC250F"/>
    <w:rsid w:val="00AC2588"/>
    <w:rsid w:val="00AC26AF"/>
    <w:rsid w:val="00AC2980"/>
    <w:rsid w:val="00AC2B58"/>
    <w:rsid w:val="00AC2C95"/>
    <w:rsid w:val="00AC2F8E"/>
    <w:rsid w:val="00AC300D"/>
    <w:rsid w:val="00AC31C3"/>
    <w:rsid w:val="00AC336B"/>
    <w:rsid w:val="00AC35BE"/>
    <w:rsid w:val="00AC362E"/>
    <w:rsid w:val="00AC390E"/>
    <w:rsid w:val="00AC3A6F"/>
    <w:rsid w:val="00AC3B0B"/>
    <w:rsid w:val="00AC3BCC"/>
    <w:rsid w:val="00AC3CE7"/>
    <w:rsid w:val="00AC3E42"/>
    <w:rsid w:val="00AC3F75"/>
    <w:rsid w:val="00AC4021"/>
    <w:rsid w:val="00AC406E"/>
    <w:rsid w:val="00AC4081"/>
    <w:rsid w:val="00AC40BE"/>
    <w:rsid w:val="00AC41E9"/>
    <w:rsid w:val="00AC4270"/>
    <w:rsid w:val="00AC435B"/>
    <w:rsid w:val="00AC4584"/>
    <w:rsid w:val="00AC45B3"/>
    <w:rsid w:val="00AC47D1"/>
    <w:rsid w:val="00AC47D9"/>
    <w:rsid w:val="00AC49B8"/>
    <w:rsid w:val="00AC4BA1"/>
    <w:rsid w:val="00AC4DBF"/>
    <w:rsid w:val="00AC5082"/>
    <w:rsid w:val="00AC531E"/>
    <w:rsid w:val="00AC5321"/>
    <w:rsid w:val="00AC5341"/>
    <w:rsid w:val="00AC549B"/>
    <w:rsid w:val="00AC56E3"/>
    <w:rsid w:val="00AC58F7"/>
    <w:rsid w:val="00AC5905"/>
    <w:rsid w:val="00AC59A9"/>
    <w:rsid w:val="00AC5A82"/>
    <w:rsid w:val="00AC5AC7"/>
    <w:rsid w:val="00AC5B85"/>
    <w:rsid w:val="00AC5BDC"/>
    <w:rsid w:val="00AC5E87"/>
    <w:rsid w:val="00AC6068"/>
    <w:rsid w:val="00AC6119"/>
    <w:rsid w:val="00AC612B"/>
    <w:rsid w:val="00AC6180"/>
    <w:rsid w:val="00AC636C"/>
    <w:rsid w:val="00AC63DF"/>
    <w:rsid w:val="00AC643A"/>
    <w:rsid w:val="00AC661C"/>
    <w:rsid w:val="00AC673D"/>
    <w:rsid w:val="00AC6F7F"/>
    <w:rsid w:val="00AC7192"/>
    <w:rsid w:val="00AC7296"/>
    <w:rsid w:val="00AC75A1"/>
    <w:rsid w:val="00AC767F"/>
    <w:rsid w:val="00AC78B4"/>
    <w:rsid w:val="00AC7C4B"/>
    <w:rsid w:val="00AD0000"/>
    <w:rsid w:val="00AD0082"/>
    <w:rsid w:val="00AD0242"/>
    <w:rsid w:val="00AD0262"/>
    <w:rsid w:val="00AD0336"/>
    <w:rsid w:val="00AD03DA"/>
    <w:rsid w:val="00AD0550"/>
    <w:rsid w:val="00AD0B1F"/>
    <w:rsid w:val="00AD0CB3"/>
    <w:rsid w:val="00AD1037"/>
    <w:rsid w:val="00AD1119"/>
    <w:rsid w:val="00AD11D9"/>
    <w:rsid w:val="00AD13F2"/>
    <w:rsid w:val="00AD1819"/>
    <w:rsid w:val="00AD1C47"/>
    <w:rsid w:val="00AD1D69"/>
    <w:rsid w:val="00AD1E7B"/>
    <w:rsid w:val="00AD1EF2"/>
    <w:rsid w:val="00AD2161"/>
    <w:rsid w:val="00AD223C"/>
    <w:rsid w:val="00AD254D"/>
    <w:rsid w:val="00AD25EB"/>
    <w:rsid w:val="00AD28D6"/>
    <w:rsid w:val="00AD2DA9"/>
    <w:rsid w:val="00AD2FB4"/>
    <w:rsid w:val="00AD335C"/>
    <w:rsid w:val="00AD3605"/>
    <w:rsid w:val="00AD3C10"/>
    <w:rsid w:val="00AD3E08"/>
    <w:rsid w:val="00AD3E8D"/>
    <w:rsid w:val="00AD422C"/>
    <w:rsid w:val="00AD427D"/>
    <w:rsid w:val="00AD44FB"/>
    <w:rsid w:val="00AD4700"/>
    <w:rsid w:val="00AD48F9"/>
    <w:rsid w:val="00AD496C"/>
    <w:rsid w:val="00AD4A79"/>
    <w:rsid w:val="00AD4B2C"/>
    <w:rsid w:val="00AD4B6F"/>
    <w:rsid w:val="00AD4C20"/>
    <w:rsid w:val="00AD4CEF"/>
    <w:rsid w:val="00AD50D7"/>
    <w:rsid w:val="00AD51C6"/>
    <w:rsid w:val="00AD553B"/>
    <w:rsid w:val="00AD5601"/>
    <w:rsid w:val="00AD581A"/>
    <w:rsid w:val="00AD582C"/>
    <w:rsid w:val="00AD5939"/>
    <w:rsid w:val="00AD593E"/>
    <w:rsid w:val="00AD5AC5"/>
    <w:rsid w:val="00AD5DC4"/>
    <w:rsid w:val="00AD5E04"/>
    <w:rsid w:val="00AD5FC6"/>
    <w:rsid w:val="00AD601A"/>
    <w:rsid w:val="00AD6068"/>
    <w:rsid w:val="00AD6542"/>
    <w:rsid w:val="00AD6561"/>
    <w:rsid w:val="00AD65AB"/>
    <w:rsid w:val="00AD6623"/>
    <w:rsid w:val="00AD6922"/>
    <w:rsid w:val="00AD6A6B"/>
    <w:rsid w:val="00AD6B6B"/>
    <w:rsid w:val="00AD6CE0"/>
    <w:rsid w:val="00AD6F83"/>
    <w:rsid w:val="00AD7261"/>
    <w:rsid w:val="00AD741B"/>
    <w:rsid w:val="00AD74B3"/>
    <w:rsid w:val="00AD7559"/>
    <w:rsid w:val="00AD75DF"/>
    <w:rsid w:val="00AD763D"/>
    <w:rsid w:val="00AD7867"/>
    <w:rsid w:val="00AD78A9"/>
    <w:rsid w:val="00AD78B4"/>
    <w:rsid w:val="00AD791A"/>
    <w:rsid w:val="00AD797A"/>
    <w:rsid w:val="00AD79CA"/>
    <w:rsid w:val="00AD7A7F"/>
    <w:rsid w:val="00AD7AC7"/>
    <w:rsid w:val="00AD7CD0"/>
    <w:rsid w:val="00AD7CF8"/>
    <w:rsid w:val="00AD7CFE"/>
    <w:rsid w:val="00AD7D65"/>
    <w:rsid w:val="00AD7DC3"/>
    <w:rsid w:val="00AD7DEA"/>
    <w:rsid w:val="00AD7F18"/>
    <w:rsid w:val="00AD7F52"/>
    <w:rsid w:val="00AD7FE4"/>
    <w:rsid w:val="00AE021F"/>
    <w:rsid w:val="00AE0361"/>
    <w:rsid w:val="00AE0497"/>
    <w:rsid w:val="00AE0599"/>
    <w:rsid w:val="00AE06D5"/>
    <w:rsid w:val="00AE077A"/>
    <w:rsid w:val="00AE0802"/>
    <w:rsid w:val="00AE08F5"/>
    <w:rsid w:val="00AE0B3D"/>
    <w:rsid w:val="00AE0B49"/>
    <w:rsid w:val="00AE0DA8"/>
    <w:rsid w:val="00AE0DF4"/>
    <w:rsid w:val="00AE11A6"/>
    <w:rsid w:val="00AE11B5"/>
    <w:rsid w:val="00AE131D"/>
    <w:rsid w:val="00AE16EE"/>
    <w:rsid w:val="00AE1797"/>
    <w:rsid w:val="00AE17F6"/>
    <w:rsid w:val="00AE18F4"/>
    <w:rsid w:val="00AE1CDE"/>
    <w:rsid w:val="00AE1CFB"/>
    <w:rsid w:val="00AE1DA6"/>
    <w:rsid w:val="00AE1E81"/>
    <w:rsid w:val="00AE1EE5"/>
    <w:rsid w:val="00AE21DB"/>
    <w:rsid w:val="00AE231E"/>
    <w:rsid w:val="00AE2371"/>
    <w:rsid w:val="00AE2502"/>
    <w:rsid w:val="00AE258C"/>
    <w:rsid w:val="00AE25AB"/>
    <w:rsid w:val="00AE25F5"/>
    <w:rsid w:val="00AE2622"/>
    <w:rsid w:val="00AE26F2"/>
    <w:rsid w:val="00AE285E"/>
    <w:rsid w:val="00AE2890"/>
    <w:rsid w:val="00AE2F8E"/>
    <w:rsid w:val="00AE3235"/>
    <w:rsid w:val="00AE32BB"/>
    <w:rsid w:val="00AE32C5"/>
    <w:rsid w:val="00AE32F8"/>
    <w:rsid w:val="00AE3466"/>
    <w:rsid w:val="00AE3555"/>
    <w:rsid w:val="00AE358B"/>
    <w:rsid w:val="00AE35A5"/>
    <w:rsid w:val="00AE36B4"/>
    <w:rsid w:val="00AE37EB"/>
    <w:rsid w:val="00AE3955"/>
    <w:rsid w:val="00AE3BFD"/>
    <w:rsid w:val="00AE3CB8"/>
    <w:rsid w:val="00AE3D21"/>
    <w:rsid w:val="00AE3DB1"/>
    <w:rsid w:val="00AE3F6E"/>
    <w:rsid w:val="00AE41E1"/>
    <w:rsid w:val="00AE41EA"/>
    <w:rsid w:val="00AE4639"/>
    <w:rsid w:val="00AE46AE"/>
    <w:rsid w:val="00AE491C"/>
    <w:rsid w:val="00AE494A"/>
    <w:rsid w:val="00AE499B"/>
    <w:rsid w:val="00AE49EA"/>
    <w:rsid w:val="00AE4A49"/>
    <w:rsid w:val="00AE4B74"/>
    <w:rsid w:val="00AE4E98"/>
    <w:rsid w:val="00AE4F11"/>
    <w:rsid w:val="00AE50CD"/>
    <w:rsid w:val="00AE50FB"/>
    <w:rsid w:val="00AE53C5"/>
    <w:rsid w:val="00AE57C8"/>
    <w:rsid w:val="00AE5841"/>
    <w:rsid w:val="00AE597C"/>
    <w:rsid w:val="00AE599C"/>
    <w:rsid w:val="00AE59E2"/>
    <w:rsid w:val="00AE5B2F"/>
    <w:rsid w:val="00AE5C81"/>
    <w:rsid w:val="00AE5D7A"/>
    <w:rsid w:val="00AE5E96"/>
    <w:rsid w:val="00AE5F66"/>
    <w:rsid w:val="00AE5FFD"/>
    <w:rsid w:val="00AE60F4"/>
    <w:rsid w:val="00AE629E"/>
    <w:rsid w:val="00AE66D5"/>
    <w:rsid w:val="00AE6C42"/>
    <w:rsid w:val="00AE6C4A"/>
    <w:rsid w:val="00AE6DC9"/>
    <w:rsid w:val="00AE72FD"/>
    <w:rsid w:val="00AE76D1"/>
    <w:rsid w:val="00AE7817"/>
    <w:rsid w:val="00AE781E"/>
    <w:rsid w:val="00AE7899"/>
    <w:rsid w:val="00AE78A6"/>
    <w:rsid w:val="00AE7957"/>
    <w:rsid w:val="00AE7A28"/>
    <w:rsid w:val="00AE7BCA"/>
    <w:rsid w:val="00AE7ECE"/>
    <w:rsid w:val="00AF017A"/>
    <w:rsid w:val="00AF02D8"/>
    <w:rsid w:val="00AF04F6"/>
    <w:rsid w:val="00AF04FE"/>
    <w:rsid w:val="00AF054D"/>
    <w:rsid w:val="00AF06F8"/>
    <w:rsid w:val="00AF07B0"/>
    <w:rsid w:val="00AF07BF"/>
    <w:rsid w:val="00AF090B"/>
    <w:rsid w:val="00AF0AAA"/>
    <w:rsid w:val="00AF0BDE"/>
    <w:rsid w:val="00AF0F3A"/>
    <w:rsid w:val="00AF0F85"/>
    <w:rsid w:val="00AF111E"/>
    <w:rsid w:val="00AF1159"/>
    <w:rsid w:val="00AF12D6"/>
    <w:rsid w:val="00AF18DB"/>
    <w:rsid w:val="00AF1D00"/>
    <w:rsid w:val="00AF1E91"/>
    <w:rsid w:val="00AF1F9A"/>
    <w:rsid w:val="00AF248E"/>
    <w:rsid w:val="00AF2509"/>
    <w:rsid w:val="00AF2573"/>
    <w:rsid w:val="00AF25F9"/>
    <w:rsid w:val="00AF2844"/>
    <w:rsid w:val="00AF28E6"/>
    <w:rsid w:val="00AF2A5B"/>
    <w:rsid w:val="00AF2A9F"/>
    <w:rsid w:val="00AF2F52"/>
    <w:rsid w:val="00AF32A9"/>
    <w:rsid w:val="00AF36E0"/>
    <w:rsid w:val="00AF3895"/>
    <w:rsid w:val="00AF3B53"/>
    <w:rsid w:val="00AF3BEB"/>
    <w:rsid w:val="00AF4163"/>
    <w:rsid w:val="00AF4170"/>
    <w:rsid w:val="00AF428D"/>
    <w:rsid w:val="00AF43E8"/>
    <w:rsid w:val="00AF46A2"/>
    <w:rsid w:val="00AF4A0D"/>
    <w:rsid w:val="00AF4C3E"/>
    <w:rsid w:val="00AF4DBA"/>
    <w:rsid w:val="00AF53ED"/>
    <w:rsid w:val="00AF546E"/>
    <w:rsid w:val="00AF5554"/>
    <w:rsid w:val="00AF56E8"/>
    <w:rsid w:val="00AF577C"/>
    <w:rsid w:val="00AF58CD"/>
    <w:rsid w:val="00AF58D3"/>
    <w:rsid w:val="00AF59AE"/>
    <w:rsid w:val="00AF5D09"/>
    <w:rsid w:val="00AF5E07"/>
    <w:rsid w:val="00AF60BE"/>
    <w:rsid w:val="00AF61D3"/>
    <w:rsid w:val="00AF62E7"/>
    <w:rsid w:val="00AF64FE"/>
    <w:rsid w:val="00AF650F"/>
    <w:rsid w:val="00AF6562"/>
    <w:rsid w:val="00AF659C"/>
    <w:rsid w:val="00AF669E"/>
    <w:rsid w:val="00AF66C7"/>
    <w:rsid w:val="00AF66FD"/>
    <w:rsid w:val="00AF6803"/>
    <w:rsid w:val="00AF685E"/>
    <w:rsid w:val="00AF68C4"/>
    <w:rsid w:val="00AF692E"/>
    <w:rsid w:val="00AF693D"/>
    <w:rsid w:val="00AF69D5"/>
    <w:rsid w:val="00AF6AF3"/>
    <w:rsid w:val="00AF711C"/>
    <w:rsid w:val="00AF7185"/>
    <w:rsid w:val="00AF728E"/>
    <w:rsid w:val="00AF72E3"/>
    <w:rsid w:val="00AF7345"/>
    <w:rsid w:val="00AF7918"/>
    <w:rsid w:val="00AF7A28"/>
    <w:rsid w:val="00AF7A7E"/>
    <w:rsid w:val="00AF7B03"/>
    <w:rsid w:val="00AF7BAF"/>
    <w:rsid w:val="00AF7BBF"/>
    <w:rsid w:val="00AF7BF1"/>
    <w:rsid w:val="00AF7DDD"/>
    <w:rsid w:val="00AF7E77"/>
    <w:rsid w:val="00AF7F08"/>
    <w:rsid w:val="00B00110"/>
    <w:rsid w:val="00B002C9"/>
    <w:rsid w:val="00B0031D"/>
    <w:rsid w:val="00B00462"/>
    <w:rsid w:val="00B004C5"/>
    <w:rsid w:val="00B00662"/>
    <w:rsid w:val="00B00666"/>
    <w:rsid w:val="00B0071F"/>
    <w:rsid w:val="00B00828"/>
    <w:rsid w:val="00B008F2"/>
    <w:rsid w:val="00B00A04"/>
    <w:rsid w:val="00B00E4F"/>
    <w:rsid w:val="00B00F3C"/>
    <w:rsid w:val="00B0107F"/>
    <w:rsid w:val="00B01085"/>
    <w:rsid w:val="00B01298"/>
    <w:rsid w:val="00B012D5"/>
    <w:rsid w:val="00B0148E"/>
    <w:rsid w:val="00B01516"/>
    <w:rsid w:val="00B01597"/>
    <w:rsid w:val="00B015AB"/>
    <w:rsid w:val="00B01608"/>
    <w:rsid w:val="00B01A7B"/>
    <w:rsid w:val="00B01AF9"/>
    <w:rsid w:val="00B01B03"/>
    <w:rsid w:val="00B01BDD"/>
    <w:rsid w:val="00B01DF9"/>
    <w:rsid w:val="00B01E6D"/>
    <w:rsid w:val="00B02156"/>
    <w:rsid w:val="00B02269"/>
    <w:rsid w:val="00B022C9"/>
    <w:rsid w:val="00B02454"/>
    <w:rsid w:val="00B026AD"/>
    <w:rsid w:val="00B02827"/>
    <w:rsid w:val="00B02938"/>
    <w:rsid w:val="00B02B20"/>
    <w:rsid w:val="00B02BA5"/>
    <w:rsid w:val="00B02C21"/>
    <w:rsid w:val="00B02F64"/>
    <w:rsid w:val="00B0324B"/>
    <w:rsid w:val="00B03567"/>
    <w:rsid w:val="00B03603"/>
    <w:rsid w:val="00B03717"/>
    <w:rsid w:val="00B03754"/>
    <w:rsid w:val="00B0378E"/>
    <w:rsid w:val="00B03852"/>
    <w:rsid w:val="00B03A77"/>
    <w:rsid w:val="00B03DDD"/>
    <w:rsid w:val="00B03EEA"/>
    <w:rsid w:val="00B03FFD"/>
    <w:rsid w:val="00B040D2"/>
    <w:rsid w:val="00B0493D"/>
    <w:rsid w:val="00B0495F"/>
    <w:rsid w:val="00B049FA"/>
    <w:rsid w:val="00B04A04"/>
    <w:rsid w:val="00B04DDE"/>
    <w:rsid w:val="00B04FFA"/>
    <w:rsid w:val="00B0514F"/>
    <w:rsid w:val="00B05185"/>
    <w:rsid w:val="00B05421"/>
    <w:rsid w:val="00B054F5"/>
    <w:rsid w:val="00B05633"/>
    <w:rsid w:val="00B05771"/>
    <w:rsid w:val="00B0597C"/>
    <w:rsid w:val="00B05BF1"/>
    <w:rsid w:val="00B05C9C"/>
    <w:rsid w:val="00B05E73"/>
    <w:rsid w:val="00B05F64"/>
    <w:rsid w:val="00B06044"/>
    <w:rsid w:val="00B062FE"/>
    <w:rsid w:val="00B063FE"/>
    <w:rsid w:val="00B0641A"/>
    <w:rsid w:val="00B0649F"/>
    <w:rsid w:val="00B065F7"/>
    <w:rsid w:val="00B067E1"/>
    <w:rsid w:val="00B0696B"/>
    <w:rsid w:val="00B06FBA"/>
    <w:rsid w:val="00B06FC2"/>
    <w:rsid w:val="00B07018"/>
    <w:rsid w:val="00B0739F"/>
    <w:rsid w:val="00B0757E"/>
    <w:rsid w:val="00B0760F"/>
    <w:rsid w:val="00B07710"/>
    <w:rsid w:val="00B078BE"/>
    <w:rsid w:val="00B07A1C"/>
    <w:rsid w:val="00B07B74"/>
    <w:rsid w:val="00B10399"/>
    <w:rsid w:val="00B103D0"/>
    <w:rsid w:val="00B10698"/>
    <w:rsid w:val="00B1095D"/>
    <w:rsid w:val="00B109E4"/>
    <w:rsid w:val="00B10A19"/>
    <w:rsid w:val="00B10AB5"/>
    <w:rsid w:val="00B10B62"/>
    <w:rsid w:val="00B10BCD"/>
    <w:rsid w:val="00B10C9F"/>
    <w:rsid w:val="00B10F74"/>
    <w:rsid w:val="00B10FF0"/>
    <w:rsid w:val="00B1102C"/>
    <w:rsid w:val="00B110DD"/>
    <w:rsid w:val="00B114F5"/>
    <w:rsid w:val="00B1183A"/>
    <w:rsid w:val="00B11CB9"/>
    <w:rsid w:val="00B11CD6"/>
    <w:rsid w:val="00B11E05"/>
    <w:rsid w:val="00B1211D"/>
    <w:rsid w:val="00B1223C"/>
    <w:rsid w:val="00B12587"/>
    <w:rsid w:val="00B12634"/>
    <w:rsid w:val="00B12805"/>
    <w:rsid w:val="00B12961"/>
    <w:rsid w:val="00B12C8A"/>
    <w:rsid w:val="00B12E58"/>
    <w:rsid w:val="00B12F88"/>
    <w:rsid w:val="00B12F8A"/>
    <w:rsid w:val="00B13003"/>
    <w:rsid w:val="00B13110"/>
    <w:rsid w:val="00B13137"/>
    <w:rsid w:val="00B1325D"/>
    <w:rsid w:val="00B1333B"/>
    <w:rsid w:val="00B1335C"/>
    <w:rsid w:val="00B13544"/>
    <w:rsid w:val="00B13623"/>
    <w:rsid w:val="00B13A66"/>
    <w:rsid w:val="00B13B82"/>
    <w:rsid w:val="00B13D2B"/>
    <w:rsid w:val="00B13E62"/>
    <w:rsid w:val="00B14203"/>
    <w:rsid w:val="00B1445D"/>
    <w:rsid w:val="00B14461"/>
    <w:rsid w:val="00B14592"/>
    <w:rsid w:val="00B145FA"/>
    <w:rsid w:val="00B1468E"/>
    <w:rsid w:val="00B14807"/>
    <w:rsid w:val="00B1481A"/>
    <w:rsid w:val="00B14832"/>
    <w:rsid w:val="00B1490E"/>
    <w:rsid w:val="00B14A9B"/>
    <w:rsid w:val="00B14BF7"/>
    <w:rsid w:val="00B14C0D"/>
    <w:rsid w:val="00B14C88"/>
    <w:rsid w:val="00B14DAE"/>
    <w:rsid w:val="00B15427"/>
    <w:rsid w:val="00B15432"/>
    <w:rsid w:val="00B15473"/>
    <w:rsid w:val="00B154E3"/>
    <w:rsid w:val="00B154E5"/>
    <w:rsid w:val="00B1568D"/>
    <w:rsid w:val="00B15745"/>
    <w:rsid w:val="00B15838"/>
    <w:rsid w:val="00B15881"/>
    <w:rsid w:val="00B1592A"/>
    <w:rsid w:val="00B1592B"/>
    <w:rsid w:val="00B15937"/>
    <w:rsid w:val="00B15D9A"/>
    <w:rsid w:val="00B15DD2"/>
    <w:rsid w:val="00B1604A"/>
    <w:rsid w:val="00B16411"/>
    <w:rsid w:val="00B16598"/>
    <w:rsid w:val="00B16720"/>
    <w:rsid w:val="00B1700C"/>
    <w:rsid w:val="00B1710B"/>
    <w:rsid w:val="00B17127"/>
    <w:rsid w:val="00B17278"/>
    <w:rsid w:val="00B173E6"/>
    <w:rsid w:val="00B177B1"/>
    <w:rsid w:val="00B17836"/>
    <w:rsid w:val="00B17B23"/>
    <w:rsid w:val="00B17F4F"/>
    <w:rsid w:val="00B2025F"/>
    <w:rsid w:val="00B2026A"/>
    <w:rsid w:val="00B202F8"/>
    <w:rsid w:val="00B2075A"/>
    <w:rsid w:val="00B20798"/>
    <w:rsid w:val="00B2084A"/>
    <w:rsid w:val="00B20AEC"/>
    <w:rsid w:val="00B20B15"/>
    <w:rsid w:val="00B20B22"/>
    <w:rsid w:val="00B20B95"/>
    <w:rsid w:val="00B20C6B"/>
    <w:rsid w:val="00B211B8"/>
    <w:rsid w:val="00B211E6"/>
    <w:rsid w:val="00B212A6"/>
    <w:rsid w:val="00B2149C"/>
    <w:rsid w:val="00B2187D"/>
    <w:rsid w:val="00B218A4"/>
    <w:rsid w:val="00B218FF"/>
    <w:rsid w:val="00B2199A"/>
    <w:rsid w:val="00B21B2A"/>
    <w:rsid w:val="00B21BF3"/>
    <w:rsid w:val="00B21DDC"/>
    <w:rsid w:val="00B223D6"/>
    <w:rsid w:val="00B225CF"/>
    <w:rsid w:val="00B22671"/>
    <w:rsid w:val="00B2275C"/>
    <w:rsid w:val="00B2294F"/>
    <w:rsid w:val="00B22DFD"/>
    <w:rsid w:val="00B23080"/>
    <w:rsid w:val="00B23471"/>
    <w:rsid w:val="00B234A4"/>
    <w:rsid w:val="00B236D6"/>
    <w:rsid w:val="00B23A02"/>
    <w:rsid w:val="00B23A17"/>
    <w:rsid w:val="00B23C54"/>
    <w:rsid w:val="00B23D05"/>
    <w:rsid w:val="00B23D29"/>
    <w:rsid w:val="00B24244"/>
    <w:rsid w:val="00B242CD"/>
    <w:rsid w:val="00B243AF"/>
    <w:rsid w:val="00B24426"/>
    <w:rsid w:val="00B2452B"/>
    <w:rsid w:val="00B2453E"/>
    <w:rsid w:val="00B245FF"/>
    <w:rsid w:val="00B247B0"/>
    <w:rsid w:val="00B24932"/>
    <w:rsid w:val="00B24ACE"/>
    <w:rsid w:val="00B24AEF"/>
    <w:rsid w:val="00B24B31"/>
    <w:rsid w:val="00B24C97"/>
    <w:rsid w:val="00B24D34"/>
    <w:rsid w:val="00B24ED3"/>
    <w:rsid w:val="00B252C9"/>
    <w:rsid w:val="00B25499"/>
    <w:rsid w:val="00B2549D"/>
    <w:rsid w:val="00B25775"/>
    <w:rsid w:val="00B257CA"/>
    <w:rsid w:val="00B258FB"/>
    <w:rsid w:val="00B259D3"/>
    <w:rsid w:val="00B25DB2"/>
    <w:rsid w:val="00B26635"/>
    <w:rsid w:val="00B2677F"/>
    <w:rsid w:val="00B267E2"/>
    <w:rsid w:val="00B268EE"/>
    <w:rsid w:val="00B26915"/>
    <w:rsid w:val="00B26920"/>
    <w:rsid w:val="00B26E0F"/>
    <w:rsid w:val="00B26E6D"/>
    <w:rsid w:val="00B26F6A"/>
    <w:rsid w:val="00B26F7B"/>
    <w:rsid w:val="00B2702D"/>
    <w:rsid w:val="00B2703C"/>
    <w:rsid w:val="00B27279"/>
    <w:rsid w:val="00B27577"/>
    <w:rsid w:val="00B275B5"/>
    <w:rsid w:val="00B27819"/>
    <w:rsid w:val="00B27A1F"/>
    <w:rsid w:val="00B27AF6"/>
    <w:rsid w:val="00B27E2F"/>
    <w:rsid w:val="00B27F3F"/>
    <w:rsid w:val="00B27FDB"/>
    <w:rsid w:val="00B30419"/>
    <w:rsid w:val="00B30467"/>
    <w:rsid w:val="00B30529"/>
    <w:rsid w:val="00B30777"/>
    <w:rsid w:val="00B307D6"/>
    <w:rsid w:val="00B30A55"/>
    <w:rsid w:val="00B30BD3"/>
    <w:rsid w:val="00B30C1F"/>
    <w:rsid w:val="00B30CD0"/>
    <w:rsid w:val="00B30E99"/>
    <w:rsid w:val="00B30EDB"/>
    <w:rsid w:val="00B30FCD"/>
    <w:rsid w:val="00B310B3"/>
    <w:rsid w:val="00B314EA"/>
    <w:rsid w:val="00B3157F"/>
    <w:rsid w:val="00B3183C"/>
    <w:rsid w:val="00B3198C"/>
    <w:rsid w:val="00B31ABB"/>
    <w:rsid w:val="00B31D2A"/>
    <w:rsid w:val="00B31F21"/>
    <w:rsid w:val="00B31FE5"/>
    <w:rsid w:val="00B32454"/>
    <w:rsid w:val="00B32506"/>
    <w:rsid w:val="00B32739"/>
    <w:rsid w:val="00B32753"/>
    <w:rsid w:val="00B32907"/>
    <w:rsid w:val="00B329BA"/>
    <w:rsid w:val="00B329ED"/>
    <w:rsid w:val="00B32AD0"/>
    <w:rsid w:val="00B32F8C"/>
    <w:rsid w:val="00B3310F"/>
    <w:rsid w:val="00B331A1"/>
    <w:rsid w:val="00B331B2"/>
    <w:rsid w:val="00B332BB"/>
    <w:rsid w:val="00B33392"/>
    <w:rsid w:val="00B3345B"/>
    <w:rsid w:val="00B335B1"/>
    <w:rsid w:val="00B336F0"/>
    <w:rsid w:val="00B33861"/>
    <w:rsid w:val="00B338A5"/>
    <w:rsid w:val="00B33B28"/>
    <w:rsid w:val="00B342D1"/>
    <w:rsid w:val="00B3431F"/>
    <w:rsid w:val="00B34370"/>
    <w:rsid w:val="00B343AE"/>
    <w:rsid w:val="00B34690"/>
    <w:rsid w:val="00B346B0"/>
    <w:rsid w:val="00B34A6A"/>
    <w:rsid w:val="00B34B00"/>
    <w:rsid w:val="00B34C06"/>
    <w:rsid w:val="00B34E45"/>
    <w:rsid w:val="00B34F12"/>
    <w:rsid w:val="00B34F1B"/>
    <w:rsid w:val="00B34FEA"/>
    <w:rsid w:val="00B35053"/>
    <w:rsid w:val="00B3512B"/>
    <w:rsid w:val="00B351A2"/>
    <w:rsid w:val="00B352B9"/>
    <w:rsid w:val="00B35500"/>
    <w:rsid w:val="00B3558C"/>
    <w:rsid w:val="00B35693"/>
    <w:rsid w:val="00B35852"/>
    <w:rsid w:val="00B3596E"/>
    <w:rsid w:val="00B359FC"/>
    <w:rsid w:val="00B35F12"/>
    <w:rsid w:val="00B35F4C"/>
    <w:rsid w:val="00B35F9B"/>
    <w:rsid w:val="00B35FE2"/>
    <w:rsid w:val="00B36021"/>
    <w:rsid w:val="00B36039"/>
    <w:rsid w:val="00B3609E"/>
    <w:rsid w:val="00B3611B"/>
    <w:rsid w:val="00B36163"/>
    <w:rsid w:val="00B36195"/>
    <w:rsid w:val="00B362A0"/>
    <w:rsid w:val="00B362AF"/>
    <w:rsid w:val="00B3659E"/>
    <w:rsid w:val="00B36726"/>
    <w:rsid w:val="00B36796"/>
    <w:rsid w:val="00B36A1E"/>
    <w:rsid w:val="00B36AF9"/>
    <w:rsid w:val="00B36EB2"/>
    <w:rsid w:val="00B370A1"/>
    <w:rsid w:val="00B370F7"/>
    <w:rsid w:val="00B3716C"/>
    <w:rsid w:val="00B3716E"/>
    <w:rsid w:val="00B37173"/>
    <w:rsid w:val="00B373F5"/>
    <w:rsid w:val="00B375D4"/>
    <w:rsid w:val="00B37716"/>
    <w:rsid w:val="00B377E2"/>
    <w:rsid w:val="00B37937"/>
    <w:rsid w:val="00B37A86"/>
    <w:rsid w:val="00B37AA8"/>
    <w:rsid w:val="00B37ADC"/>
    <w:rsid w:val="00B37B8C"/>
    <w:rsid w:val="00B37C7A"/>
    <w:rsid w:val="00B37CBE"/>
    <w:rsid w:val="00B37CDE"/>
    <w:rsid w:val="00B37D44"/>
    <w:rsid w:val="00B37D6F"/>
    <w:rsid w:val="00B37E4A"/>
    <w:rsid w:val="00B400F9"/>
    <w:rsid w:val="00B406CA"/>
    <w:rsid w:val="00B40C4C"/>
    <w:rsid w:val="00B40C74"/>
    <w:rsid w:val="00B40D45"/>
    <w:rsid w:val="00B40DF4"/>
    <w:rsid w:val="00B4123A"/>
    <w:rsid w:val="00B4153C"/>
    <w:rsid w:val="00B4156D"/>
    <w:rsid w:val="00B415D6"/>
    <w:rsid w:val="00B416A7"/>
    <w:rsid w:val="00B416C3"/>
    <w:rsid w:val="00B41A42"/>
    <w:rsid w:val="00B41AEC"/>
    <w:rsid w:val="00B41C0C"/>
    <w:rsid w:val="00B41D5E"/>
    <w:rsid w:val="00B41D64"/>
    <w:rsid w:val="00B41FFD"/>
    <w:rsid w:val="00B42029"/>
    <w:rsid w:val="00B420B9"/>
    <w:rsid w:val="00B42204"/>
    <w:rsid w:val="00B422FF"/>
    <w:rsid w:val="00B425CA"/>
    <w:rsid w:val="00B42617"/>
    <w:rsid w:val="00B42ABC"/>
    <w:rsid w:val="00B42EBD"/>
    <w:rsid w:val="00B433D5"/>
    <w:rsid w:val="00B433F6"/>
    <w:rsid w:val="00B4358D"/>
    <w:rsid w:val="00B436AA"/>
    <w:rsid w:val="00B43911"/>
    <w:rsid w:val="00B43997"/>
    <w:rsid w:val="00B43A7F"/>
    <w:rsid w:val="00B43BCA"/>
    <w:rsid w:val="00B43BD0"/>
    <w:rsid w:val="00B43EAF"/>
    <w:rsid w:val="00B43EF5"/>
    <w:rsid w:val="00B4414F"/>
    <w:rsid w:val="00B441D5"/>
    <w:rsid w:val="00B4433E"/>
    <w:rsid w:val="00B444C2"/>
    <w:rsid w:val="00B44513"/>
    <w:rsid w:val="00B4454A"/>
    <w:rsid w:val="00B44675"/>
    <w:rsid w:val="00B44E44"/>
    <w:rsid w:val="00B44EF5"/>
    <w:rsid w:val="00B44F80"/>
    <w:rsid w:val="00B453DB"/>
    <w:rsid w:val="00B456C9"/>
    <w:rsid w:val="00B457E2"/>
    <w:rsid w:val="00B45CAE"/>
    <w:rsid w:val="00B45E61"/>
    <w:rsid w:val="00B45EF9"/>
    <w:rsid w:val="00B45F26"/>
    <w:rsid w:val="00B45F2F"/>
    <w:rsid w:val="00B45FAC"/>
    <w:rsid w:val="00B465DC"/>
    <w:rsid w:val="00B4660F"/>
    <w:rsid w:val="00B4663C"/>
    <w:rsid w:val="00B466A1"/>
    <w:rsid w:val="00B46971"/>
    <w:rsid w:val="00B46BCE"/>
    <w:rsid w:val="00B46CB1"/>
    <w:rsid w:val="00B46E65"/>
    <w:rsid w:val="00B46F2B"/>
    <w:rsid w:val="00B47114"/>
    <w:rsid w:val="00B47254"/>
    <w:rsid w:val="00B473C6"/>
    <w:rsid w:val="00B47402"/>
    <w:rsid w:val="00B47789"/>
    <w:rsid w:val="00B4780A"/>
    <w:rsid w:val="00B478E5"/>
    <w:rsid w:val="00B47C6E"/>
    <w:rsid w:val="00B47DF2"/>
    <w:rsid w:val="00B503E5"/>
    <w:rsid w:val="00B508A7"/>
    <w:rsid w:val="00B5092B"/>
    <w:rsid w:val="00B5093A"/>
    <w:rsid w:val="00B509BB"/>
    <w:rsid w:val="00B509C1"/>
    <w:rsid w:val="00B50AA3"/>
    <w:rsid w:val="00B50C74"/>
    <w:rsid w:val="00B50CC3"/>
    <w:rsid w:val="00B50D08"/>
    <w:rsid w:val="00B50DE5"/>
    <w:rsid w:val="00B50F97"/>
    <w:rsid w:val="00B51061"/>
    <w:rsid w:val="00B5111F"/>
    <w:rsid w:val="00B51162"/>
    <w:rsid w:val="00B51163"/>
    <w:rsid w:val="00B51266"/>
    <w:rsid w:val="00B513D1"/>
    <w:rsid w:val="00B515AC"/>
    <w:rsid w:val="00B51694"/>
    <w:rsid w:val="00B516A0"/>
    <w:rsid w:val="00B5170A"/>
    <w:rsid w:val="00B51767"/>
    <w:rsid w:val="00B5177D"/>
    <w:rsid w:val="00B51910"/>
    <w:rsid w:val="00B51B3D"/>
    <w:rsid w:val="00B51B48"/>
    <w:rsid w:val="00B51CDE"/>
    <w:rsid w:val="00B51D25"/>
    <w:rsid w:val="00B51EA0"/>
    <w:rsid w:val="00B5241B"/>
    <w:rsid w:val="00B526E8"/>
    <w:rsid w:val="00B52992"/>
    <w:rsid w:val="00B52A45"/>
    <w:rsid w:val="00B52B83"/>
    <w:rsid w:val="00B52BF1"/>
    <w:rsid w:val="00B52CF6"/>
    <w:rsid w:val="00B52E78"/>
    <w:rsid w:val="00B53214"/>
    <w:rsid w:val="00B5323F"/>
    <w:rsid w:val="00B5333B"/>
    <w:rsid w:val="00B53420"/>
    <w:rsid w:val="00B5348C"/>
    <w:rsid w:val="00B534B4"/>
    <w:rsid w:val="00B53614"/>
    <w:rsid w:val="00B5371E"/>
    <w:rsid w:val="00B5386B"/>
    <w:rsid w:val="00B53B30"/>
    <w:rsid w:val="00B53CE1"/>
    <w:rsid w:val="00B53ED6"/>
    <w:rsid w:val="00B54499"/>
    <w:rsid w:val="00B5484F"/>
    <w:rsid w:val="00B548B0"/>
    <w:rsid w:val="00B5492E"/>
    <w:rsid w:val="00B54B4C"/>
    <w:rsid w:val="00B54B9A"/>
    <w:rsid w:val="00B54D34"/>
    <w:rsid w:val="00B54E12"/>
    <w:rsid w:val="00B54E6D"/>
    <w:rsid w:val="00B54FB1"/>
    <w:rsid w:val="00B5511B"/>
    <w:rsid w:val="00B5520B"/>
    <w:rsid w:val="00B5528C"/>
    <w:rsid w:val="00B55380"/>
    <w:rsid w:val="00B55414"/>
    <w:rsid w:val="00B55591"/>
    <w:rsid w:val="00B55852"/>
    <w:rsid w:val="00B558A3"/>
    <w:rsid w:val="00B55A1A"/>
    <w:rsid w:val="00B55ABA"/>
    <w:rsid w:val="00B55E2E"/>
    <w:rsid w:val="00B55F90"/>
    <w:rsid w:val="00B5620D"/>
    <w:rsid w:val="00B563A5"/>
    <w:rsid w:val="00B56426"/>
    <w:rsid w:val="00B565E0"/>
    <w:rsid w:val="00B5697E"/>
    <w:rsid w:val="00B569AA"/>
    <w:rsid w:val="00B56A39"/>
    <w:rsid w:val="00B56A6C"/>
    <w:rsid w:val="00B56C27"/>
    <w:rsid w:val="00B56FBB"/>
    <w:rsid w:val="00B56FFA"/>
    <w:rsid w:val="00B575DA"/>
    <w:rsid w:val="00B57681"/>
    <w:rsid w:val="00B5789A"/>
    <w:rsid w:val="00B579DB"/>
    <w:rsid w:val="00B57A54"/>
    <w:rsid w:val="00B57AD8"/>
    <w:rsid w:val="00B57B30"/>
    <w:rsid w:val="00B57B5C"/>
    <w:rsid w:val="00B57CCC"/>
    <w:rsid w:val="00B57DEC"/>
    <w:rsid w:val="00B5A04E"/>
    <w:rsid w:val="00B60115"/>
    <w:rsid w:val="00B60230"/>
    <w:rsid w:val="00B6033F"/>
    <w:rsid w:val="00B604D7"/>
    <w:rsid w:val="00B6061F"/>
    <w:rsid w:val="00B60734"/>
    <w:rsid w:val="00B607BD"/>
    <w:rsid w:val="00B60817"/>
    <w:rsid w:val="00B60914"/>
    <w:rsid w:val="00B60C08"/>
    <w:rsid w:val="00B60E2D"/>
    <w:rsid w:val="00B611E6"/>
    <w:rsid w:val="00B612E8"/>
    <w:rsid w:val="00B61380"/>
    <w:rsid w:val="00B61702"/>
    <w:rsid w:val="00B619CD"/>
    <w:rsid w:val="00B61AB2"/>
    <w:rsid w:val="00B61E6C"/>
    <w:rsid w:val="00B62147"/>
    <w:rsid w:val="00B621E3"/>
    <w:rsid w:val="00B622F8"/>
    <w:rsid w:val="00B6238C"/>
    <w:rsid w:val="00B6252B"/>
    <w:rsid w:val="00B625BD"/>
    <w:rsid w:val="00B625D8"/>
    <w:rsid w:val="00B628E5"/>
    <w:rsid w:val="00B62A01"/>
    <w:rsid w:val="00B62B54"/>
    <w:rsid w:val="00B62C55"/>
    <w:rsid w:val="00B62D7A"/>
    <w:rsid w:val="00B633A6"/>
    <w:rsid w:val="00B635A0"/>
    <w:rsid w:val="00B635F9"/>
    <w:rsid w:val="00B63617"/>
    <w:rsid w:val="00B636E8"/>
    <w:rsid w:val="00B637B6"/>
    <w:rsid w:val="00B63825"/>
    <w:rsid w:val="00B639B1"/>
    <w:rsid w:val="00B63C0E"/>
    <w:rsid w:val="00B64104"/>
    <w:rsid w:val="00B64148"/>
    <w:rsid w:val="00B64168"/>
    <w:rsid w:val="00B641B8"/>
    <w:rsid w:val="00B64242"/>
    <w:rsid w:val="00B644C8"/>
    <w:rsid w:val="00B646A6"/>
    <w:rsid w:val="00B6496A"/>
    <w:rsid w:val="00B64981"/>
    <w:rsid w:val="00B649A1"/>
    <w:rsid w:val="00B64E2F"/>
    <w:rsid w:val="00B64FB1"/>
    <w:rsid w:val="00B652B1"/>
    <w:rsid w:val="00B654BE"/>
    <w:rsid w:val="00B6555D"/>
    <w:rsid w:val="00B656C4"/>
    <w:rsid w:val="00B6577B"/>
    <w:rsid w:val="00B657C0"/>
    <w:rsid w:val="00B657C8"/>
    <w:rsid w:val="00B65AD0"/>
    <w:rsid w:val="00B662C0"/>
    <w:rsid w:val="00B6637A"/>
    <w:rsid w:val="00B66421"/>
    <w:rsid w:val="00B6654A"/>
    <w:rsid w:val="00B66556"/>
    <w:rsid w:val="00B666F9"/>
    <w:rsid w:val="00B6670A"/>
    <w:rsid w:val="00B6673D"/>
    <w:rsid w:val="00B66A37"/>
    <w:rsid w:val="00B66A46"/>
    <w:rsid w:val="00B66CE4"/>
    <w:rsid w:val="00B66D59"/>
    <w:rsid w:val="00B66DF5"/>
    <w:rsid w:val="00B66E20"/>
    <w:rsid w:val="00B66FF4"/>
    <w:rsid w:val="00B67344"/>
    <w:rsid w:val="00B674FC"/>
    <w:rsid w:val="00B6751F"/>
    <w:rsid w:val="00B6758A"/>
    <w:rsid w:val="00B676A0"/>
    <w:rsid w:val="00B67892"/>
    <w:rsid w:val="00B67B43"/>
    <w:rsid w:val="00B67BDC"/>
    <w:rsid w:val="00B67C9D"/>
    <w:rsid w:val="00B67D08"/>
    <w:rsid w:val="00B67FBE"/>
    <w:rsid w:val="00B7041D"/>
    <w:rsid w:val="00B7044C"/>
    <w:rsid w:val="00B70519"/>
    <w:rsid w:val="00B70564"/>
    <w:rsid w:val="00B706DB"/>
    <w:rsid w:val="00B70782"/>
    <w:rsid w:val="00B708E3"/>
    <w:rsid w:val="00B70943"/>
    <w:rsid w:val="00B70B6C"/>
    <w:rsid w:val="00B70CF5"/>
    <w:rsid w:val="00B70E77"/>
    <w:rsid w:val="00B7129A"/>
    <w:rsid w:val="00B7158F"/>
    <w:rsid w:val="00B71625"/>
    <w:rsid w:val="00B7183D"/>
    <w:rsid w:val="00B718FE"/>
    <w:rsid w:val="00B71AFC"/>
    <w:rsid w:val="00B72099"/>
    <w:rsid w:val="00B720FC"/>
    <w:rsid w:val="00B7226E"/>
    <w:rsid w:val="00B72357"/>
    <w:rsid w:val="00B72488"/>
    <w:rsid w:val="00B72664"/>
    <w:rsid w:val="00B726D2"/>
    <w:rsid w:val="00B727F5"/>
    <w:rsid w:val="00B7282B"/>
    <w:rsid w:val="00B728BF"/>
    <w:rsid w:val="00B728C4"/>
    <w:rsid w:val="00B72BCF"/>
    <w:rsid w:val="00B72C2C"/>
    <w:rsid w:val="00B72D6D"/>
    <w:rsid w:val="00B72D74"/>
    <w:rsid w:val="00B72D8C"/>
    <w:rsid w:val="00B730E5"/>
    <w:rsid w:val="00B73103"/>
    <w:rsid w:val="00B731B0"/>
    <w:rsid w:val="00B73258"/>
    <w:rsid w:val="00B735A9"/>
    <w:rsid w:val="00B73770"/>
    <w:rsid w:val="00B737DC"/>
    <w:rsid w:val="00B73912"/>
    <w:rsid w:val="00B7392F"/>
    <w:rsid w:val="00B73A2F"/>
    <w:rsid w:val="00B73C09"/>
    <w:rsid w:val="00B7413D"/>
    <w:rsid w:val="00B7421C"/>
    <w:rsid w:val="00B74495"/>
    <w:rsid w:val="00B74672"/>
    <w:rsid w:val="00B746DB"/>
    <w:rsid w:val="00B7483B"/>
    <w:rsid w:val="00B749C5"/>
    <w:rsid w:val="00B74EF6"/>
    <w:rsid w:val="00B750A3"/>
    <w:rsid w:val="00B75134"/>
    <w:rsid w:val="00B7517E"/>
    <w:rsid w:val="00B75289"/>
    <w:rsid w:val="00B75324"/>
    <w:rsid w:val="00B75368"/>
    <w:rsid w:val="00B754B6"/>
    <w:rsid w:val="00B75697"/>
    <w:rsid w:val="00B75770"/>
    <w:rsid w:val="00B75813"/>
    <w:rsid w:val="00B75879"/>
    <w:rsid w:val="00B75A47"/>
    <w:rsid w:val="00B75B83"/>
    <w:rsid w:val="00B75C18"/>
    <w:rsid w:val="00B75FDA"/>
    <w:rsid w:val="00B760FF"/>
    <w:rsid w:val="00B76371"/>
    <w:rsid w:val="00B76417"/>
    <w:rsid w:val="00B764B0"/>
    <w:rsid w:val="00B76780"/>
    <w:rsid w:val="00B76E56"/>
    <w:rsid w:val="00B76EEC"/>
    <w:rsid w:val="00B773A4"/>
    <w:rsid w:val="00B776ED"/>
    <w:rsid w:val="00B779D4"/>
    <w:rsid w:val="00B77AFF"/>
    <w:rsid w:val="00B77B46"/>
    <w:rsid w:val="00B77BC2"/>
    <w:rsid w:val="00B77D9E"/>
    <w:rsid w:val="00B77E5B"/>
    <w:rsid w:val="00B77EDA"/>
    <w:rsid w:val="00B77FF4"/>
    <w:rsid w:val="00B80318"/>
    <w:rsid w:val="00B807A9"/>
    <w:rsid w:val="00B80B66"/>
    <w:rsid w:val="00B80CAC"/>
    <w:rsid w:val="00B80D86"/>
    <w:rsid w:val="00B80DD0"/>
    <w:rsid w:val="00B80E73"/>
    <w:rsid w:val="00B80F43"/>
    <w:rsid w:val="00B80FCA"/>
    <w:rsid w:val="00B81080"/>
    <w:rsid w:val="00B8112B"/>
    <w:rsid w:val="00B812C1"/>
    <w:rsid w:val="00B81433"/>
    <w:rsid w:val="00B81708"/>
    <w:rsid w:val="00B8187C"/>
    <w:rsid w:val="00B818F9"/>
    <w:rsid w:val="00B8198C"/>
    <w:rsid w:val="00B81A5A"/>
    <w:rsid w:val="00B81B7D"/>
    <w:rsid w:val="00B81D9A"/>
    <w:rsid w:val="00B81EF5"/>
    <w:rsid w:val="00B81F1C"/>
    <w:rsid w:val="00B8226C"/>
    <w:rsid w:val="00B822D2"/>
    <w:rsid w:val="00B822DA"/>
    <w:rsid w:val="00B8245C"/>
    <w:rsid w:val="00B824CE"/>
    <w:rsid w:val="00B8259A"/>
    <w:rsid w:val="00B8270A"/>
    <w:rsid w:val="00B829FD"/>
    <w:rsid w:val="00B82CC2"/>
    <w:rsid w:val="00B82FA7"/>
    <w:rsid w:val="00B8325B"/>
    <w:rsid w:val="00B832BD"/>
    <w:rsid w:val="00B832CE"/>
    <w:rsid w:val="00B834B5"/>
    <w:rsid w:val="00B835E9"/>
    <w:rsid w:val="00B8363D"/>
    <w:rsid w:val="00B83673"/>
    <w:rsid w:val="00B83795"/>
    <w:rsid w:val="00B837B0"/>
    <w:rsid w:val="00B83888"/>
    <w:rsid w:val="00B83998"/>
    <w:rsid w:val="00B83A2B"/>
    <w:rsid w:val="00B83BF4"/>
    <w:rsid w:val="00B83DAC"/>
    <w:rsid w:val="00B83E29"/>
    <w:rsid w:val="00B83EF3"/>
    <w:rsid w:val="00B8409A"/>
    <w:rsid w:val="00B84210"/>
    <w:rsid w:val="00B84311"/>
    <w:rsid w:val="00B8446B"/>
    <w:rsid w:val="00B845B1"/>
    <w:rsid w:val="00B8478E"/>
    <w:rsid w:val="00B847AD"/>
    <w:rsid w:val="00B8490A"/>
    <w:rsid w:val="00B84A5A"/>
    <w:rsid w:val="00B84BB9"/>
    <w:rsid w:val="00B84BEE"/>
    <w:rsid w:val="00B84C84"/>
    <w:rsid w:val="00B84D02"/>
    <w:rsid w:val="00B854C2"/>
    <w:rsid w:val="00B856AF"/>
    <w:rsid w:val="00B8570F"/>
    <w:rsid w:val="00B85743"/>
    <w:rsid w:val="00B857B3"/>
    <w:rsid w:val="00B8591D"/>
    <w:rsid w:val="00B85B32"/>
    <w:rsid w:val="00B85CFC"/>
    <w:rsid w:val="00B860C2"/>
    <w:rsid w:val="00B861ED"/>
    <w:rsid w:val="00B8626B"/>
    <w:rsid w:val="00B86302"/>
    <w:rsid w:val="00B863C0"/>
    <w:rsid w:val="00B8648C"/>
    <w:rsid w:val="00B8664F"/>
    <w:rsid w:val="00B866B5"/>
    <w:rsid w:val="00B86724"/>
    <w:rsid w:val="00B86883"/>
    <w:rsid w:val="00B8694C"/>
    <w:rsid w:val="00B86C26"/>
    <w:rsid w:val="00B86D6B"/>
    <w:rsid w:val="00B86E9F"/>
    <w:rsid w:val="00B86FA8"/>
    <w:rsid w:val="00B8700C"/>
    <w:rsid w:val="00B87092"/>
    <w:rsid w:val="00B870B0"/>
    <w:rsid w:val="00B874E2"/>
    <w:rsid w:val="00B8768D"/>
    <w:rsid w:val="00B8791D"/>
    <w:rsid w:val="00B879E6"/>
    <w:rsid w:val="00B87AAF"/>
    <w:rsid w:val="00B87BDC"/>
    <w:rsid w:val="00B87E2B"/>
    <w:rsid w:val="00B903C5"/>
    <w:rsid w:val="00B9044A"/>
    <w:rsid w:val="00B90959"/>
    <w:rsid w:val="00B90B9D"/>
    <w:rsid w:val="00B90C73"/>
    <w:rsid w:val="00B90D7B"/>
    <w:rsid w:val="00B911D5"/>
    <w:rsid w:val="00B9128C"/>
    <w:rsid w:val="00B91296"/>
    <w:rsid w:val="00B912C6"/>
    <w:rsid w:val="00B913A5"/>
    <w:rsid w:val="00B917B1"/>
    <w:rsid w:val="00B91871"/>
    <w:rsid w:val="00B91914"/>
    <w:rsid w:val="00B91988"/>
    <w:rsid w:val="00B91A25"/>
    <w:rsid w:val="00B91C6E"/>
    <w:rsid w:val="00B91E54"/>
    <w:rsid w:val="00B91EC9"/>
    <w:rsid w:val="00B9204C"/>
    <w:rsid w:val="00B9217E"/>
    <w:rsid w:val="00B921B5"/>
    <w:rsid w:val="00B922FC"/>
    <w:rsid w:val="00B923F5"/>
    <w:rsid w:val="00B92656"/>
    <w:rsid w:val="00B926B8"/>
    <w:rsid w:val="00B92795"/>
    <w:rsid w:val="00B92DFA"/>
    <w:rsid w:val="00B92E89"/>
    <w:rsid w:val="00B92EA2"/>
    <w:rsid w:val="00B92F4E"/>
    <w:rsid w:val="00B92FB8"/>
    <w:rsid w:val="00B931A9"/>
    <w:rsid w:val="00B931AB"/>
    <w:rsid w:val="00B931CD"/>
    <w:rsid w:val="00B93334"/>
    <w:rsid w:val="00B9359F"/>
    <w:rsid w:val="00B9379C"/>
    <w:rsid w:val="00B938CD"/>
    <w:rsid w:val="00B93940"/>
    <w:rsid w:val="00B93AEA"/>
    <w:rsid w:val="00B93C4C"/>
    <w:rsid w:val="00B93C86"/>
    <w:rsid w:val="00B93CF2"/>
    <w:rsid w:val="00B93E11"/>
    <w:rsid w:val="00B93F30"/>
    <w:rsid w:val="00B9405F"/>
    <w:rsid w:val="00B940EF"/>
    <w:rsid w:val="00B94494"/>
    <w:rsid w:val="00B9450B"/>
    <w:rsid w:val="00B94889"/>
    <w:rsid w:val="00B94BE6"/>
    <w:rsid w:val="00B94E66"/>
    <w:rsid w:val="00B94F2C"/>
    <w:rsid w:val="00B94F86"/>
    <w:rsid w:val="00B94FE9"/>
    <w:rsid w:val="00B952A6"/>
    <w:rsid w:val="00B95427"/>
    <w:rsid w:val="00B9575B"/>
    <w:rsid w:val="00B95BB0"/>
    <w:rsid w:val="00B95BD5"/>
    <w:rsid w:val="00B96097"/>
    <w:rsid w:val="00B960B1"/>
    <w:rsid w:val="00B9638B"/>
    <w:rsid w:val="00B964B6"/>
    <w:rsid w:val="00B96512"/>
    <w:rsid w:val="00B9665E"/>
    <w:rsid w:val="00B96988"/>
    <w:rsid w:val="00B96D96"/>
    <w:rsid w:val="00B96E3C"/>
    <w:rsid w:val="00B96E53"/>
    <w:rsid w:val="00B96EAD"/>
    <w:rsid w:val="00B96F48"/>
    <w:rsid w:val="00B9701F"/>
    <w:rsid w:val="00B970F4"/>
    <w:rsid w:val="00B971A6"/>
    <w:rsid w:val="00B97207"/>
    <w:rsid w:val="00B974D6"/>
    <w:rsid w:val="00B975AA"/>
    <w:rsid w:val="00B97826"/>
    <w:rsid w:val="00B978E1"/>
    <w:rsid w:val="00B97AEC"/>
    <w:rsid w:val="00B97D6D"/>
    <w:rsid w:val="00B97D73"/>
    <w:rsid w:val="00B97DF1"/>
    <w:rsid w:val="00B97FF1"/>
    <w:rsid w:val="00BA0039"/>
    <w:rsid w:val="00BA06C8"/>
    <w:rsid w:val="00BA07DB"/>
    <w:rsid w:val="00BA08EF"/>
    <w:rsid w:val="00BA0906"/>
    <w:rsid w:val="00BA0B39"/>
    <w:rsid w:val="00BA0BFF"/>
    <w:rsid w:val="00BA0C4F"/>
    <w:rsid w:val="00BA1114"/>
    <w:rsid w:val="00BA1142"/>
    <w:rsid w:val="00BA1596"/>
    <w:rsid w:val="00BA1A3C"/>
    <w:rsid w:val="00BA1AB0"/>
    <w:rsid w:val="00BA1AB9"/>
    <w:rsid w:val="00BA218C"/>
    <w:rsid w:val="00BA2403"/>
    <w:rsid w:val="00BA2566"/>
    <w:rsid w:val="00BA2581"/>
    <w:rsid w:val="00BA2640"/>
    <w:rsid w:val="00BA2A42"/>
    <w:rsid w:val="00BA2AA3"/>
    <w:rsid w:val="00BA302E"/>
    <w:rsid w:val="00BA3077"/>
    <w:rsid w:val="00BA320C"/>
    <w:rsid w:val="00BA3297"/>
    <w:rsid w:val="00BA32E3"/>
    <w:rsid w:val="00BA3357"/>
    <w:rsid w:val="00BA3603"/>
    <w:rsid w:val="00BA3A2A"/>
    <w:rsid w:val="00BA3B08"/>
    <w:rsid w:val="00BA3B6E"/>
    <w:rsid w:val="00BA3BAC"/>
    <w:rsid w:val="00BA3BD8"/>
    <w:rsid w:val="00BA3C06"/>
    <w:rsid w:val="00BA3CF2"/>
    <w:rsid w:val="00BA3F0D"/>
    <w:rsid w:val="00BA4338"/>
    <w:rsid w:val="00BA4734"/>
    <w:rsid w:val="00BA4AAE"/>
    <w:rsid w:val="00BA4E29"/>
    <w:rsid w:val="00BA5086"/>
    <w:rsid w:val="00BA5286"/>
    <w:rsid w:val="00BA5293"/>
    <w:rsid w:val="00BA52F6"/>
    <w:rsid w:val="00BA5305"/>
    <w:rsid w:val="00BA53DE"/>
    <w:rsid w:val="00BA5756"/>
    <w:rsid w:val="00BA57EE"/>
    <w:rsid w:val="00BA5854"/>
    <w:rsid w:val="00BA5DEE"/>
    <w:rsid w:val="00BA5EE7"/>
    <w:rsid w:val="00BA5F9A"/>
    <w:rsid w:val="00BA601C"/>
    <w:rsid w:val="00BA61C4"/>
    <w:rsid w:val="00BA6504"/>
    <w:rsid w:val="00BA6C2F"/>
    <w:rsid w:val="00BA6C47"/>
    <w:rsid w:val="00BA6F3F"/>
    <w:rsid w:val="00BA6F93"/>
    <w:rsid w:val="00BA7039"/>
    <w:rsid w:val="00BA7159"/>
    <w:rsid w:val="00BA754F"/>
    <w:rsid w:val="00BA7567"/>
    <w:rsid w:val="00BA7630"/>
    <w:rsid w:val="00BA771D"/>
    <w:rsid w:val="00BA77F1"/>
    <w:rsid w:val="00BA78BB"/>
    <w:rsid w:val="00BA78EE"/>
    <w:rsid w:val="00BA7914"/>
    <w:rsid w:val="00BB002D"/>
    <w:rsid w:val="00BB00BE"/>
    <w:rsid w:val="00BB0348"/>
    <w:rsid w:val="00BB0533"/>
    <w:rsid w:val="00BB05B1"/>
    <w:rsid w:val="00BB0632"/>
    <w:rsid w:val="00BB1410"/>
    <w:rsid w:val="00BB14B3"/>
    <w:rsid w:val="00BB155C"/>
    <w:rsid w:val="00BB1687"/>
    <w:rsid w:val="00BB16C7"/>
    <w:rsid w:val="00BB1915"/>
    <w:rsid w:val="00BB1BCF"/>
    <w:rsid w:val="00BB20E1"/>
    <w:rsid w:val="00BB224F"/>
    <w:rsid w:val="00BB2384"/>
    <w:rsid w:val="00BB2504"/>
    <w:rsid w:val="00BB283F"/>
    <w:rsid w:val="00BB28C8"/>
    <w:rsid w:val="00BB28E2"/>
    <w:rsid w:val="00BB2ABD"/>
    <w:rsid w:val="00BB2FD8"/>
    <w:rsid w:val="00BB2FDF"/>
    <w:rsid w:val="00BB2FF8"/>
    <w:rsid w:val="00BB3486"/>
    <w:rsid w:val="00BB359B"/>
    <w:rsid w:val="00BB3646"/>
    <w:rsid w:val="00BB3827"/>
    <w:rsid w:val="00BB3AC9"/>
    <w:rsid w:val="00BB3B2D"/>
    <w:rsid w:val="00BB3FF8"/>
    <w:rsid w:val="00BB412C"/>
    <w:rsid w:val="00BB4152"/>
    <w:rsid w:val="00BB41DC"/>
    <w:rsid w:val="00BB420A"/>
    <w:rsid w:val="00BB43DE"/>
    <w:rsid w:val="00BB4456"/>
    <w:rsid w:val="00BB44D2"/>
    <w:rsid w:val="00BB4767"/>
    <w:rsid w:val="00BB481B"/>
    <w:rsid w:val="00BB484C"/>
    <w:rsid w:val="00BB48B8"/>
    <w:rsid w:val="00BB49D3"/>
    <w:rsid w:val="00BB4B2C"/>
    <w:rsid w:val="00BB4B44"/>
    <w:rsid w:val="00BB4BBC"/>
    <w:rsid w:val="00BB4E8F"/>
    <w:rsid w:val="00BB5167"/>
    <w:rsid w:val="00BB52C9"/>
    <w:rsid w:val="00BB5413"/>
    <w:rsid w:val="00BB5623"/>
    <w:rsid w:val="00BB5726"/>
    <w:rsid w:val="00BB583F"/>
    <w:rsid w:val="00BB58B3"/>
    <w:rsid w:val="00BB58DE"/>
    <w:rsid w:val="00BB5ADC"/>
    <w:rsid w:val="00BB5C91"/>
    <w:rsid w:val="00BB5D76"/>
    <w:rsid w:val="00BB5D93"/>
    <w:rsid w:val="00BB5E7D"/>
    <w:rsid w:val="00BB5FF9"/>
    <w:rsid w:val="00BB60E8"/>
    <w:rsid w:val="00BB6134"/>
    <w:rsid w:val="00BB63BA"/>
    <w:rsid w:val="00BB645D"/>
    <w:rsid w:val="00BB65DF"/>
    <w:rsid w:val="00BB668C"/>
    <w:rsid w:val="00BB6775"/>
    <w:rsid w:val="00BB6961"/>
    <w:rsid w:val="00BB69EF"/>
    <w:rsid w:val="00BB6AA3"/>
    <w:rsid w:val="00BB6B55"/>
    <w:rsid w:val="00BB709A"/>
    <w:rsid w:val="00BB714B"/>
    <w:rsid w:val="00BB71C6"/>
    <w:rsid w:val="00BB721F"/>
    <w:rsid w:val="00BB73D7"/>
    <w:rsid w:val="00BB75BA"/>
    <w:rsid w:val="00BB78E2"/>
    <w:rsid w:val="00BB798D"/>
    <w:rsid w:val="00BB7B7C"/>
    <w:rsid w:val="00BB7B8B"/>
    <w:rsid w:val="00BB7D78"/>
    <w:rsid w:val="00BB7D9C"/>
    <w:rsid w:val="00BB7E68"/>
    <w:rsid w:val="00BB7EBB"/>
    <w:rsid w:val="00BC0344"/>
    <w:rsid w:val="00BC035B"/>
    <w:rsid w:val="00BC0391"/>
    <w:rsid w:val="00BC0477"/>
    <w:rsid w:val="00BC055E"/>
    <w:rsid w:val="00BC0637"/>
    <w:rsid w:val="00BC06A2"/>
    <w:rsid w:val="00BC0802"/>
    <w:rsid w:val="00BC08DD"/>
    <w:rsid w:val="00BC0986"/>
    <w:rsid w:val="00BC0AA9"/>
    <w:rsid w:val="00BC0AB2"/>
    <w:rsid w:val="00BC0AD7"/>
    <w:rsid w:val="00BC0FF9"/>
    <w:rsid w:val="00BC127C"/>
    <w:rsid w:val="00BC12EB"/>
    <w:rsid w:val="00BC13B8"/>
    <w:rsid w:val="00BC1437"/>
    <w:rsid w:val="00BC15C8"/>
    <w:rsid w:val="00BC167B"/>
    <w:rsid w:val="00BC1808"/>
    <w:rsid w:val="00BC1827"/>
    <w:rsid w:val="00BC1904"/>
    <w:rsid w:val="00BC194C"/>
    <w:rsid w:val="00BC1E9C"/>
    <w:rsid w:val="00BC1F25"/>
    <w:rsid w:val="00BC20D6"/>
    <w:rsid w:val="00BC2271"/>
    <w:rsid w:val="00BC2277"/>
    <w:rsid w:val="00BC2589"/>
    <w:rsid w:val="00BC2877"/>
    <w:rsid w:val="00BC2CAD"/>
    <w:rsid w:val="00BC2EA7"/>
    <w:rsid w:val="00BC2EB9"/>
    <w:rsid w:val="00BC30F6"/>
    <w:rsid w:val="00BC32D7"/>
    <w:rsid w:val="00BC343F"/>
    <w:rsid w:val="00BC3690"/>
    <w:rsid w:val="00BC3831"/>
    <w:rsid w:val="00BC38DF"/>
    <w:rsid w:val="00BC3E07"/>
    <w:rsid w:val="00BC3EAF"/>
    <w:rsid w:val="00BC41DE"/>
    <w:rsid w:val="00BC4215"/>
    <w:rsid w:val="00BC42C6"/>
    <w:rsid w:val="00BC48EB"/>
    <w:rsid w:val="00BC4941"/>
    <w:rsid w:val="00BC494B"/>
    <w:rsid w:val="00BC4A73"/>
    <w:rsid w:val="00BC4C1D"/>
    <w:rsid w:val="00BC4D0B"/>
    <w:rsid w:val="00BC4DF7"/>
    <w:rsid w:val="00BC4E03"/>
    <w:rsid w:val="00BC5130"/>
    <w:rsid w:val="00BC57C9"/>
    <w:rsid w:val="00BC5D5C"/>
    <w:rsid w:val="00BC5D70"/>
    <w:rsid w:val="00BC5DF9"/>
    <w:rsid w:val="00BC5F21"/>
    <w:rsid w:val="00BC5FFC"/>
    <w:rsid w:val="00BC6367"/>
    <w:rsid w:val="00BC6499"/>
    <w:rsid w:val="00BC64D5"/>
    <w:rsid w:val="00BC6770"/>
    <w:rsid w:val="00BC68A7"/>
    <w:rsid w:val="00BC69E4"/>
    <w:rsid w:val="00BC6CE5"/>
    <w:rsid w:val="00BC6DC9"/>
    <w:rsid w:val="00BC6E35"/>
    <w:rsid w:val="00BC6E6A"/>
    <w:rsid w:val="00BC6F9D"/>
    <w:rsid w:val="00BC6FF0"/>
    <w:rsid w:val="00BC70B8"/>
    <w:rsid w:val="00BC70E5"/>
    <w:rsid w:val="00BC71C1"/>
    <w:rsid w:val="00BC7370"/>
    <w:rsid w:val="00BC759E"/>
    <w:rsid w:val="00BC75C1"/>
    <w:rsid w:val="00BC785E"/>
    <w:rsid w:val="00BC7A56"/>
    <w:rsid w:val="00BC7C15"/>
    <w:rsid w:val="00BC7E6F"/>
    <w:rsid w:val="00BC7F28"/>
    <w:rsid w:val="00BC91FB"/>
    <w:rsid w:val="00BD0005"/>
    <w:rsid w:val="00BD02C0"/>
    <w:rsid w:val="00BD0317"/>
    <w:rsid w:val="00BD03B4"/>
    <w:rsid w:val="00BD0628"/>
    <w:rsid w:val="00BD0982"/>
    <w:rsid w:val="00BD0A56"/>
    <w:rsid w:val="00BD0AB3"/>
    <w:rsid w:val="00BD0B6A"/>
    <w:rsid w:val="00BD0CC1"/>
    <w:rsid w:val="00BD0D86"/>
    <w:rsid w:val="00BD0ED8"/>
    <w:rsid w:val="00BD0F72"/>
    <w:rsid w:val="00BD1004"/>
    <w:rsid w:val="00BD1123"/>
    <w:rsid w:val="00BD1155"/>
    <w:rsid w:val="00BD11AE"/>
    <w:rsid w:val="00BD122B"/>
    <w:rsid w:val="00BD125B"/>
    <w:rsid w:val="00BD1285"/>
    <w:rsid w:val="00BD1616"/>
    <w:rsid w:val="00BD1698"/>
    <w:rsid w:val="00BD16C5"/>
    <w:rsid w:val="00BD16F6"/>
    <w:rsid w:val="00BD1703"/>
    <w:rsid w:val="00BD178D"/>
    <w:rsid w:val="00BD1832"/>
    <w:rsid w:val="00BD1A3A"/>
    <w:rsid w:val="00BD1ACE"/>
    <w:rsid w:val="00BD1E21"/>
    <w:rsid w:val="00BD1F95"/>
    <w:rsid w:val="00BD2005"/>
    <w:rsid w:val="00BD2083"/>
    <w:rsid w:val="00BD21DB"/>
    <w:rsid w:val="00BD2227"/>
    <w:rsid w:val="00BD2294"/>
    <w:rsid w:val="00BD234F"/>
    <w:rsid w:val="00BD23FE"/>
    <w:rsid w:val="00BD24C9"/>
    <w:rsid w:val="00BD27D8"/>
    <w:rsid w:val="00BD2C94"/>
    <w:rsid w:val="00BD2DF4"/>
    <w:rsid w:val="00BD2E4F"/>
    <w:rsid w:val="00BD32FC"/>
    <w:rsid w:val="00BD342E"/>
    <w:rsid w:val="00BD366F"/>
    <w:rsid w:val="00BD3744"/>
    <w:rsid w:val="00BD389C"/>
    <w:rsid w:val="00BD3972"/>
    <w:rsid w:val="00BD39DE"/>
    <w:rsid w:val="00BD39F1"/>
    <w:rsid w:val="00BD3AA4"/>
    <w:rsid w:val="00BD3D30"/>
    <w:rsid w:val="00BD4102"/>
    <w:rsid w:val="00BD4178"/>
    <w:rsid w:val="00BD4295"/>
    <w:rsid w:val="00BD443C"/>
    <w:rsid w:val="00BD444D"/>
    <w:rsid w:val="00BD449D"/>
    <w:rsid w:val="00BD44C3"/>
    <w:rsid w:val="00BD480F"/>
    <w:rsid w:val="00BD48A8"/>
    <w:rsid w:val="00BD4A92"/>
    <w:rsid w:val="00BD4DBA"/>
    <w:rsid w:val="00BD4EF9"/>
    <w:rsid w:val="00BD50D1"/>
    <w:rsid w:val="00BD518D"/>
    <w:rsid w:val="00BD5330"/>
    <w:rsid w:val="00BD54C5"/>
    <w:rsid w:val="00BD554B"/>
    <w:rsid w:val="00BD56BE"/>
    <w:rsid w:val="00BD59A8"/>
    <w:rsid w:val="00BD5B8C"/>
    <w:rsid w:val="00BD5BB8"/>
    <w:rsid w:val="00BD5C68"/>
    <w:rsid w:val="00BD5EC9"/>
    <w:rsid w:val="00BD5F6E"/>
    <w:rsid w:val="00BD6002"/>
    <w:rsid w:val="00BD6009"/>
    <w:rsid w:val="00BD60F7"/>
    <w:rsid w:val="00BD6372"/>
    <w:rsid w:val="00BD63A3"/>
    <w:rsid w:val="00BD657C"/>
    <w:rsid w:val="00BD6594"/>
    <w:rsid w:val="00BD66B1"/>
    <w:rsid w:val="00BD6914"/>
    <w:rsid w:val="00BD6A55"/>
    <w:rsid w:val="00BD6B8A"/>
    <w:rsid w:val="00BD6FA1"/>
    <w:rsid w:val="00BD6FCC"/>
    <w:rsid w:val="00BD6FE2"/>
    <w:rsid w:val="00BD71A0"/>
    <w:rsid w:val="00BD7298"/>
    <w:rsid w:val="00BD753F"/>
    <w:rsid w:val="00BD758F"/>
    <w:rsid w:val="00BD75A4"/>
    <w:rsid w:val="00BD7A50"/>
    <w:rsid w:val="00BD7E69"/>
    <w:rsid w:val="00BD7F0B"/>
    <w:rsid w:val="00BE01C6"/>
    <w:rsid w:val="00BE0279"/>
    <w:rsid w:val="00BE06A8"/>
    <w:rsid w:val="00BE0767"/>
    <w:rsid w:val="00BE0A56"/>
    <w:rsid w:val="00BE0BDB"/>
    <w:rsid w:val="00BE0D8A"/>
    <w:rsid w:val="00BE0E79"/>
    <w:rsid w:val="00BE1119"/>
    <w:rsid w:val="00BE1120"/>
    <w:rsid w:val="00BE11C2"/>
    <w:rsid w:val="00BE15DB"/>
    <w:rsid w:val="00BE16AC"/>
    <w:rsid w:val="00BE1736"/>
    <w:rsid w:val="00BE1BD6"/>
    <w:rsid w:val="00BE1D2A"/>
    <w:rsid w:val="00BE1D80"/>
    <w:rsid w:val="00BE1D81"/>
    <w:rsid w:val="00BE1F25"/>
    <w:rsid w:val="00BE209D"/>
    <w:rsid w:val="00BE2872"/>
    <w:rsid w:val="00BE28EF"/>
    <w:rsid w:val="00BE2B02"/>
    <w:rsid w:val="00BE2B06"/>
    <w:rsid w:val="00BE2BB1"/>
    <w:rsid w:val="00BE330F"/>
    <w:rsid w:val="00BE3536"/>
    <w:rsid w:val="00BE36CB"/>
    <w:rsid w:val="00BE378E"/>
    <w:rsid w:val="00BE384C"/>
    <w:rsid w:val="00BE4711"/>
    <w:rsid w:val="00BE4A3D"/>
    <w:rsid w:val="00BE4A43"/>
    <w:rsid w:val="00BE4A80"/>
    <w:rsid w:val="00BE4C75"/>
    <w:rsid w:val="00BE4C8E"/>
    <w:rsid w:val="00BE4D8D"/>
    <w:rsid w:val="00BE4F5D"/>
    <w:rsid w:val="00BE50C4"/>
    <w:rsid w:val="00BE50FB"/>
    <w:rsid w:val="00BE5144"/>
    <w:rsid w:val="00BE514E"/>
    <w:rsid w:val="00BE5322"/>
    <w:rsid w:val="00BE53AC"/>
    <w:rsid w:val="00BE53DB"/>
    <w:rsid w:val="00BE54E9"/>
    <w:rsid w:val="00BE557C"/>
    <w:rsid w:val="00BE590B"/>
    <w:rsid w:val="00BE5C9A"/>
    <w:rsid w:val="00BE5CCD"/>
    <w:rsid w:val="00BE5D03"/>
    <w:rsid w:val="00BE5D38"/>
    <w:rsid w:val="00BE5DAE"/>
    <w:rsid w:val="00BE5DF9"/>
    <w:rsid w:val="00BE5E2B"/>
    <w:rsid w:val="00BE5EBA"/>
    <w:rsid w:val="00BE5F77"/>
    <w:rsid w:val="00BE6102"/>
    <w:rsid w:val="00BE622B"/>
    <w:rsid w:val="00BE6233"/>
    <w:rsid w:val="00BE624A"/>
    <w:rsid w:val="00BE628C"/>
    <w:rsid w:val="00BE630D"/>
    <w:rsid w:val="00BE64D1"/>
    <w:rsid w:val="00BE695C"/>
    <w:rsid w:val="00BE6C02"/>
    <w:rsid w:val="00BE6E49"/>
    <w:rsid w:val="00BE6FE1"/>
    <w:rsid w:val="00BE71FD"/>
    <w:rsid w:val="00BE72FD"/>
    <w:rsid w:val="00BE730E"/>
    <w:rsid w:val="00BE732C"/>
    <w:rsid w:val="00BE732D"/>
    <w:rsid w:val="00BE73DD"/>
    <w:rsid w:val="00BE73F9"/>
    <w:rsid w:val="00BE76BB"/>
    <w:rsid w:val="00BE76F8"/>
    <w:rsid w:val="00BE775E"/>
    <w:rsid w:val="00BE77B6"/>
    <w:rsid w:val="00BE785A"/>
    <w:rsid w:val="00BE7A3B"/>
    <w:rsid w:val="00BE7C4C"/>
    <w:rsid w:val="00BE7CB6"/>
    <w:rsid w:val="00BE7E05"/>
    <w:rsid w:val="00BF0143"/>
    <w:rsid w:val="00BF05C8"/>
    <w:rsid w:val="00BF069B"/>
    <w:rsid w:val="00BF077B"/>
    <w:rsid w:val="00BF07AF"/>
    <w:rsid w:val="00BF0AB7"/>
    <w:rsid w:val="00BF0D7E"/>
    <w:rsid w:val="00BF0DEA"/>
    <w:rsid w:val="00BF0F57"/>
    <w:rsid w:val="00BF0F94"/>
    <w:rsid w:val="00BF1186"/>
    <w:rsid w:val="00BF11D3"/>
    <w:rsid w:val="00BF1382"/>
    <w:rsid w:val="00BF13C5"/>
    <w:rsid w:val="00BF13F2"/>
    <w:rsid w:val="00BF155D"/>
    <w:rsid w:val="00BF1779"/>
    <w:rsid w:val="00BF1784"/>
    <w:rsid w:val="00BF18AF"/>
    <w:rsid w:val="00BF1ACE"/>
    <w:rsid w:val="00BF1B61"/>
    <w:rsid w:val="00BF1BFD"/>
    <w:rsid w:val="00BF1C28"/>
    <w:rsid w:val="00BF1E48"/>
    <w:rsid w:val="00BF1EA4"/>
    <w:rsid w:val="00BF1FB1"/>
    <w:rsid w:val="00BF2038"/>
    <w:rsid w:val="00BF221E"/>
    <w:rsid w:val="00BF228F"/>
    <w:rsid w:val="00BF230E"/>
    <w:rsid w:val="00BF23D6"/>
    <w:rsid w:val="00BF2B4F"/>
    <w:rsid w:val="00BF309D"/>
    <w:rsid w:val="00BF339E"/>
    <w:rsid w:val="00BF367E"/>
    <w:rsid w:val="00BF395F"/>
    <w:rsid w:val="00BF3D17"/>
    <w:rsid w:val="00BF3D5B"/>
    <w:rsid w:val="00BF3D9B"/>
    <w:rsid w:val="00BF3E36"/>
    <w:rsid w:val="00BF3F53"/>
    <w:rsid w:val="00BF3FF6"/>
    <w:rsid w:val="00BF42FF"/>
    <w:rsid w:val="00BF48D1"/>
    <w:rsid w:val="00BF49F4"/>
    <w:rsid w:val="00BF4A2E"/>
    <w:rsid w:val="00BF4F9B"/>
    <w:rsid w:val="00BF503A"/>
    <w:rsid w:val="00BF5240"/>
    <w:rsid w:val="00BF53A7"/>
    <w:rsid w:val="00BF56BD"/>
    <w:rsid w:val="00BF570D"/>
    <w:rsid w:val="00BF5711"/>
    <w:rsid w:val="00BF592F"/>
    <w:rsid w:val="00BF5941"/>
    <w:rsid w:val="00BF5C42"/>
    <w:rsid w:val="00BF6198"/>
    <w:rsid w:val="00BF6577"/>
    <w:rsid w:val="00BF65B7"/>
    <w:rsid w:val="00BF65C4"/>
    <w:rsid w:val="00BF66AF"/>
    <w:rsid w:val="00BF67DB"/>
    <w:rsid w:val="00BF6A07"/>
    <w:rsid w:val="00BF6AF7"/>
    <w:rsid w:val="00BF6C7A"/>
    <w:rsid w:val="00BF6CFC"/>
    <w:rsid w:val="00BF6E3A"/>
    <w:rsid w:val="00BF6F6D"/>
    <w:rsid w:val="00BF7001"/>
    <w:rsid w:val="00BF70D9"/>
    <w:rsid w:val="00BF7300"/>
    <w:rsid w:val="00BF73E9"/>
    <w:rsid w:val="00BF7489"/>
    <w:rsid w:val="00BF769B"/>
    <w:rsid w:val="00BF772D"/>
    <w:rsid w:val="00BF7897"/>
    <w:rsid w:val="00BF78D5"/>
    <w:rsid w:val="00BF7985"/>
    <w:rsid w:val="00BF7B19"/>
    <w:rsid w:val="00BF7B2A"/>
    <w:rsid w:val="00BF7C74"/>
    <w:rsid w:val="00BF7D72"/>
    <w:rsid w:val="00C00087"/>
    <w:rsid w:val="00C000BA"/>
    <w:rsid w:val="00C00242"/>
    <w:rsid w:val="00C006A4"/>
    <w:rsid w:val="00C0072E"/>
    <w:rsid w:val="00C007B4"/>
    <w:rsid w:val="00C009F7"/>
    <w:rsid w:val="00C00C22"/>
    <w:rsid w:val="00C00CBF"/>
    <w:rsid w:val="00C00D5D"/>
    <w:rsid w:val="00C00D73"/>
    <w:rsid w:val="00C00DE8"/>
    <w:rsid w:val="00C00E59"/>
    <w:rsid w:val="00C00FA7"/>
    <w:rsid w:val="00C0100F"/>
    <w:rsid w:val="00C013DD"/>
    <w:rsid w:val="00C01481"/>
    <w:rsid w:val="00C015AD"/>
    <w:rsid w:val="00C0171B"/>
    <w:rsid w:val="00C01773"/>
    <w:rsid w:val="00C0193E"/>
    <w:rsid w:val="00C01A85"/>
    <w:rsid w:val="00C01AAE"/>
    <w:rsid w:val="00C01AE9"/>
    <w:rsid w:val="00C01C7B"/>
    <w:rsid w:val="00C01F60"/>
    <w:rsid w:val="00C021EE"/>
    <w:rsid w:val="00C024AE"/>
    <w:rsid w:val="00C024DA"/>
    <w:rsid w:val="00C024E7"/>
    <w:rsid w:val="00C02500"/>
    <w:rsid w:val="00C026C0"/>
    <w:rsid w:val="00C028D5"/>
    <w:rsid w:val="00C02FE6"/>
    <w:rsid w:val="00C02FFA"/>
    <w:rsid w:val="00C03040"/>
    <w:rsid w:val="00C0308F"/>
    <w:rsid w:val="00C031B7"/>
    <w:rsid w:val="00C031FC"/>
    <w:rsid w:val="00C03420"/>
    <w:rsid w:val="00C03571"/>
    <w:rsid w:val="00C03891"/>
    <w:rsid w:val="00C039C7"/>
    <w:rsid w:val="00C03C05"/>
    <w:rsid w:val="00C041E8"/>
    <w:rsid w:val="00C0441B"/>
    <w:rsid w:val="00C04460"/>
    <w:rsid w:val="00C046C7"/>
    <w:rsid w:val="00C04829"/>
    <w:rsid w:val="00C0482D"/>
    <w:rsid w:val="00C0499B"/>
    <w:rsid w:val="00C04A4D"/>
    <w:rsid w:val="00C04A5E"/>
    <w:rsid w:val="00C04BF6"/>
    <w:rsid w:val="00C04F6E"/>
    <w:rsid w:val="00C05010"/>
    <w:rsid w:val="00C05109"/>
    <w:rsid w:val="00C051D2"/>
    <w:rsid w:val="00C05730"/>
    <w:rsid w:val="00C05775"/>
    <w:rsid w:val="00C058E4"/>
    <w:rsid w:val="00C05A76"/>
    <w:rsid w:val="00C05B94"/>
    <w:rsid w:val="00C05C5F"/>
    <w:rsid w:val="00C05D26"/>
    <w:rsid w:val="00C05D66"/>
    <w:rsid w:val="00C06311"/>
    <w:rsid w:val="00C066E8"/>
    <w:rsid w:val="00C06883"/>
    <w:rsid w:val="00C069C7"/>
    <w:rsid w:val="00C06CED"/>
    <w:rsid w:val="00C06D4E"/>
    <w:rsid w:val="00C072EA"/>
    <w:rsid w:val="00C07316"/>
    <w:rsid w:val="00C0747C"/>
    <w:rsid w:val="00C07606"/>
    <w:rsid w:val="00C076ED"/>
    <w:rsid w:val="00C07846"/>
    <w:rsid w:val="00C0791F"/>
    <w:rsid w:val="00C07AA2"/>
    <w:rsid w:val="00C07CCE"/>
    <w:rsid w:val="00C07D56"/>
    <w:rsid w:val="00C1037E"/>
    <w:rsid w:val="00C10540"/>
    <w:rsid w:val="00C10639"/>
    <w:rsid w:val="00C10706"/>
    <w:rsid w:val="00C107FA"/>
    <w:rsid w:val="00C10B56"/>
    <w:rsid w:val="00C10D0C"/>
    <w:rsid w:val="00C11067"/>
    <w:rsid w:val="00C11211"/>
    <w:rsid w:val="00C1126A"/>
    <w:rsid w:val="00C112CE"/>
    <w:rsid w:val="00C1134E"/>
    <w:rsid w:val="00C11589"/>
    <w:rsid w:val="00C115F4"/>
    <w:rsid w:val="00C11788"/>
    <w:rsid w:val="00C11A7C"/>
    <w:rsid w:val="00C11E55"/>
    <w:rsid w:val="00C11F2C"/>
    <w:rsid w:val="00C1216C"/>
    <w:rsid w:val="00C121AB"/>
    <w:rsid w:val="00C1228D"/>
    <w:rsid w:val="00C12301"/>
    <w:rsid w:val="00C12647"/>
    <w:rsid w:val="00C126EB"/>
    <w:rsid w:val="00C12D42"/>
    <w:rsid w:val="00C12E0D"/>
    <w:rsid w:val="00C12ED7"/>
    <w:rsid w:val="00C13049"/>
    <w:rsid w:val="00C13279"/>
    <w:rsid w:val="00C13338"/>
    <w:rsid w:val="00C1341A"/>
    <w:rsid w:val="00C135E0"/>
    <w:rsid w:val="00C1360E"/>
    <w:rsid w:val="00C137BD"/>
    <w:rsid w:val="00C13B05"/>
    <w:rsid w:val="00C13C75"/>
    <w:rsid w:val="00C13CDC"/>
    <w:rsid w:val="00C13D4A"/>
    <w:rsid w:val="00C1409F"/>
    <w:rsid w:val="00C141B9"/>
    <w:rsid w:val="00C1424A"/>
    <w:rsid w:val="00C14286"/>
    <w:rsid w:val="00C14386"/>
    <w:rsid w:val="00C14439"/>
    <w:rsid w:val="00C14465"/>
    <w:rsid w:val="00C14479"/>
    <w:rsid w:val="00C14674"/>
    <w:rsid w:val="00C149DA"/>
    <w:rsid w:val="00C14A1A"/>
    <w:rsid w:val="00C14F0B"/>
    <w:rsid w:val="00C1516F"/>
    <w:rsid w:val="00C15636"/>
    <w:rsid w:val="00C156C4"/>
    <w:rsid w:val="00C158B2"/>
    <w:rsid w:val="00C15A44"/>
    <w:rsid w:val="00C15EBE"/>
    <w:rsid w:val="00C15ED8"/>
    <w:rsid w:val="00C16154"/>
    <w:rsid w:val="00C16160"/>
    <w:rsid w:val="00C16194"/>
    <w:rsid w:val="00C162AC"/>
    <w:rsid w:val="00C16520"/>
    <w:rsid w:val="00C166F2"/>
    <w:rsid w:val="00C16879"/>
    <w:rsid w:val="00C16A5B"/>
    <w:rsid w:val="00C16ACD"/>
    <w:rsid w:val="00C16C4B"/>
    <w:rsid w:val="00C16D0D"/>
    <w:rsid w:val="00C16DE0"/>
    <w:rsid w:val="00C16F70"/>
    <w:rsid w:val="00C1703A"/>
    <w:rsid w:val="00C17084"/>
    <w:rsid w:val="00C173E6"/>
    <w:rsid w:val="00C179D1"/>
    <w:rsid w:val="00C179FE"/>
    <w:rsid w:val="00C17A43"/>
    <w:rsid w:val="00C17B59"/>
    <w:rsid w:val="00C17B68"/>
    <w:rsid w:val="00C17B7D"/>
    <w:rsid w:val="00C17D1D"/>
    <w:rsid w:val="00C200F8"/>
    <w:rsid w:val="00C201F1"/>
    <w:rsid w:val="00C204B9"/>
    <w:rsid w:val="00C2065B"/>
    <w:rsid w:val="00C2079B"/>
    <w:rsid w:val="00C207D2"/>
    <w:rsid w:val="00C20D37"/>
    <w:rsid w:val="00C20D96"/>
    <w:rsid w:val="00C21126"/>
    <w:rsid w:val="00C21215"/>
    <w:rsid w:val="00C21224"/>
    <w:rsid w:val="00C2152A"/>
    <w:rsid w:val="00C215FF"/>
    <w:rsid w:val="00C2188E"/>
    <w:rsid w:val="00C218B9"/>
    <w:rsid w:val="00C21962"/>
    <w:rsid w:val="00C21B60"/>
    <w:rsid w:val="00C21B6F"/>
    <w:rsid w:val="00C21D44"/>
    <w:rsid w:val="00C21D97"/>
    <w:rsid w:val="00C21EFC"/>
    <w:rsid w:val="00C21F1A"/>
    <w:rsid w:val="00C220B4"/>
    <w:rsid w:val="00C22603"/>
    <w:rsid w:val="00C2266B"/>
    <w:rsid w:val="00C2269E"/>
    <w:rsid w:val="00C2273F"/>
    <w:rsid w:val="00C22A7F"/>
    <w:rsid w:val="00C22B47"/>
    <w:rsid w:val="00C22B53"/>
    <w:rsid w:val="00C22F79"/>
    <w:rsid w:val="00C239E0"/>
    <w:rsid w:val="00C23A0A"/>
    <w:rsid w:val="00C23B57"/>
    <w:rsid w:val="00C23EA0"/>
    <w:rsid w:val="00C23EA6"/>
    <w:rsid w:val="00C24269"/>
    <w:rsid w:val="00C244EB"/>
    <w:rsid w:val="00C24D64"/>
    <w:rsid w:val="00C24D69"/>
    <w:rsid w:val="00C2506F"/>
    <w:rsid w:val="00C25272"/>
    <w:rsid w:val="00C252D3"/>
    <w:rsid w:val="00C25338"/>
    <w:rsid w:val="00C25484"/>
    <w:rsid w:val="00C25530"/>
    <w:rsid w:val="00C25559"/>
    <w:rsid w:val="00C2579B"/>
    <w:rsid w:val="00C25A5E"/>
    <w:rsid w:val="00C25D68"/>
    <w:rsid w:val="00C25E2B"/>
    <w:rsid w:val="00C25FEE"/>
    <w:rsid w:val="00C260ED"/>
    <w:rsid w:val="00C261F2"/>
    <w:rsid w:val="00C26449"/>
    <w:rsid w:val="00C26641"/>
    <w:rsid w:val="00C26643"/>
    <w:rsid w:val="00C26689"/>
    <w:rsid w:val="00C266F3"/>
    <w:rsid w:val="00C26745"/>
    <w:rsid w:val="00C2674C"/>
    <w:rsid w:val="00C26971"/>
    <w:rsid w:val="00C26EFC"/>
    <w:rsid w:val="00C2715B"/>
    <w:rsid w:val="00C2722F"/>
    <w:rsid w:val="00C27267"/>
    <w:rsid w:val="00C27321"/>
    <w:rsid w:val="00C27396"/>
    <w:rsid w:val="00C27980"/>
    <w:rsid w:val="00C279A1"/>
    <w:rsid w:val="00C279B0"/>
    <w:rsid w:val="00C279B2"/>
    <w:rsid w:val="00C27A3A"/>
    <w:rsid w:val="00C27C43"/>
    <w:rsid w:val="00C27C84"/>
    <w:rsid w:val="00C27F9A"/>
    <w:rsid w:val="00C2DDBC"/>
    <w:rsid w:val="00C30023"/>
    <w:rsid w:val="00C30091"/>
    <w:rsid w:val="00C301CA"/>
    <w:rsid w:val="00C30485"/>
    <w:rsid w:val="00C304DE"/>
    <w:rsid w:val="00C304FE"/>
    <w:rsid w:val="00C305FF"/>
    <w:rsid w:val="00C30636"/>
    <w:rsid w:val="00C30822"/>
    <w:rsid w:val="00C30D19"/>
    <w:rsid w:val="00C30E08"/>
    <w:rsid w:val="00C30E5D"/>
    <w:rsid w:val="00C30E7A"/>
    <w:rsid w:val="00C30FA4"/>
    <w:rsid w:val="00C30FB6"/>
    <w:rsid w:val="00C310AF"/>
    <w:rsid w:val="00C315A4"/>
    <w:rsid w:val="00C315EA"/>
    <w:rsid w:val="00C31890"/>
    <w:rsid w:val="00C31931"/>
    <w:rsid w:val="00C31D55"/>
    <w:rsid w:val="00C320F6"/>
    <w:rsid w:val="00C32183"/>
    <w:rsid w:val="00C32592"/>
    <w:rsid w:val="00C32614"/>
    <w:rsid w:val="00C326AB"/>
    <w:rsid w:val="00C3288D"/>
    <w:rsid w:val="00C328BA"/>
    <w:rsid w:val="00C328F8"/>
    <w:rsid w:val="00C32B52"/>
    <w:rsid w:val="00C32C88"/>
    <w:rsid w:val="00C32EBB"/>
    <w:rsid w:val="00C32F80"/>
    <w:rsid w:val="00C32FFA"/>
    <w:rsid w:val="00C33137"/>
    <w:rsid w:val="00C3317D"/>
    <w:rsid w:val="00C331E8"/>
    <w:rsid w:val="00C3332D"/>
    <w:rsid w:val="00C33351"/>
    <w:rsid w:val="00C335BD"/>
    <w:rsid w:val="00C33699"/>
    <w:rsid w:val="00C33A73"/>
    <w:rsid w:val="00C33CB9"/>
    <w:rsid w:val="00C33D6C"/>
    <w:rsid w:val="00C33D7C"/>
    <w:rsid w:val="00C33EEB"/>
    <w:rsid w:val="00C33FBE"/>
    <w:rsid w:val="00C34120"/>
    <w:rsid w:val="00C343C3"/>
    <w:rsid w:val="00C343D0"/>
    <w:rsid w:val="00C34515"/>
    <w:rsid w:val="00C346F8"/>
    <w:rsid w:val="00C3470C"/>
    <w:rsid w:val="00C3485D"/>
    <w:rsid w:val="00C34A3A"/>
    <w:rsid w:val="00C34DBE"/>
    <w:rsid w:val="00C34EE4"/>
    <w:rsid w:val="00C34EEF"/>
    <w:rsid w:val="00C34F66"/>
    <w:rsid w:val="00C350F8"/>
    <w:rsid w:val="00C35356"/>
    <w:rsid w:val="00C3545E"/>
    <w:rsid w:val="00C355E4"/>
    <w:rsid w:val="00C35663"/>
    <w:rsid w:val="00C357C1"/>
    <w:rsid w:val="00C35883"/>
    <w:rsid w:val="00C35B52"/>
    <w:rsid w:val="00C35EA1"/>
    <w:rsid w:val="00C35F92"/>
    <w:rsid w:val="00C361D7"/>
    <w:rsid w:val="00C363ED"/>
    <w:rsid w:val="00C363EF"/>
    <w:rsid w:val="00C36647"/>
    <w:rsid w:val="00C367B5"/>
    <w:rsid w:val="00C36A2A"/>
    <w:rsid w:val="00C36A30"/>
    <w:rsid w:val="00C36D4C"/>
    <w:rsid w:val="00C36DE2"/>
    <w:rsid w:val="00C36FD3"/>
    <w:rsid w:val="00C378BD"/>
    <w:rsid w:val="00C3792B"/>
    <w:rsid w:val="00C40199"/>
    <w:rsid w:val="00C401C4"/>
    <w:rsid w:val="00C403DA"/>
    <w:rsid w:val="00C40430"/>
    <w:rsid w:val="00C4062F"/>
    <w:rsid w:val="00C4073C"/>
    <w:rsid w:val="00C40811"/>
    <w:rsid w:val="00C40871"/>
    <w:rsid w:val="00C40A32"/>
    <w:rsid w:val="00C40C9E"/>
    <w:rsid w:val="00C40D37"/>
    <w:rsid w:val="00C40D8F"/>
    <w:rsid w:val="00C40DD8"/>
    <w:rsid w:val="00C40DDA"/>
    <w:rsid w:val="00C40E03"/>
    <w:rsid w:val="00C411F5"/>
    <w:rsid w:val="00C412BA"/>
    <w:rsid w:val="00C412E5"/>
    <w:rsid w:val="00C41590"/>
    <w:rsid w:val="00C41618"/>
    <w:rsid w:val="00C41678"/>
    <w:rsid w:val="00C41679"/>
    <w:rsid w:val="00C416FD"/>
    <w:rsid w:val="00C419CE"/>
    <w:rsid w:val="00C41A4C"/>
    <w:rsid w:val="00C41DCA"/>
    <w:rsid w:val="00C41DDB"/>
    <w:rsid w:val="00C41E7B"/>
    <w:rsid w:val="00C42093"/>
    <w:rsid w:val="00C421DD"/>
    <w:rsid w:val="00C422B9"/>
    <w:rsid w:val="00C42331"/>
    <w:rsid w:val="00C424D0"/>
    <w:rsid w:val="00C424EF"/>
    <w:rsid w:val="00C4251B"/>
    <w:rsid w:val="00C42537"/>
    <w:rsid w:val="00C425EC"/>
    <w:rsid w:val="00C42689"/>
    <w:rsid w:val="00C42944"/>
    <w:rsid w:val="00C429A0"/>
    <w:rsid w:val="00C42A36"/>
    <w:rsid w:val="00C42FF8"/>
    <w:rsid w:val="00C430E3"/>
    <w:rsid w:val="00C431BA"/>
    <w:rsid w:val="00C435A4"/>
    <w:rsid w:val="00C435F3"/>
    <w:rsid w:val="00C43685"/>
    <w:rsid w:val="00C4369A"/>
    <w:rsid w:val="00C4392E"/>
    <w:rsid w:val="00C43CBD"/>
    <w:rsid w:val="00C43EA6"/>
    <w:rsid w:val="00C43F38"/>
    <w:rsid w:val="00C43FDA"/>
    <w:rsid w:val="00C44057"/>
    <w:rsid w:val="00C441F8"/>
    <w:rsid w:val="00C44360"/>
    <w:rsid w:val="00C4445F"/>
    <w:rsid w:val="00C445FF"/>
    <w:rsid w:val="00C4464E"/>
    <w:rsid w:val="00C44D70"/>
    <w:rsid w:val="00C44DD8"/>
    <w:rsid w:val="00C44EF1"/>
    <w:rsid w:val="00C44FE6"/>
    <w:rsid w:val="00C45479"/>
    <w:rsid w:val="00C4588B"/>
    <w:rsid w:val="00C45963"/>
    <w:rsid w:val="00C459E4"/>
    <w:rsid w:val="00C45B1E"/>
    <w:rsid w:val="00C45CE4"/>
    <w:rsid w:val="00C46165"/>
    <w:rsid w:val="00C461CD"/>
    <w:rsid w:val="00C46300"/>
    <w:rsid w:val="00C46367"/>
    <w:rsid w:val="00C465CA"/>
    <w:rsid w:val="00C46763"/>
    <w:rsid w:val="00C46801"/>
    <w:rsid w:val="00C4683A"/>
    <w:rsid w:val="00C46A57"/>
    <w:rsid w:val="00C46BDC"/>
    <w:rsid w:val="00C46C09"/>
    <w:rsid w:val="00C46CBB"/>
    <w:rsid w:val="00C46CBD"/>
    <w:rsid w:val="00C46DB2"/>
    <w:rsid w:val="00C470B6"/>
    <w:rsid w:val="00C4740C"/>
    <w:rsid w:val="00C47516"/>
    <w:rsid w:val="00C4760C"/>
    <w:rsid w:val="00C47660"/>
    <w:rsid w:val="00C479A0"/>
    <w:rsid w:val="00C47E35"/>
    <w:rsid w:val="00C5000C"/>
    <w:rsid w:val="00C5016E"/>
    <w:rsid w:val="00C50177"/>
    <w:rsid w:val="00C5067A"/>
    <w:rsid w:val="00C506C9"/>
    <w:rsid w:val="00C5079A"/>
    <w:rsid w:val="00C507BB"/>
    <w:rsid w:val="00C5089F"/>
    <w:rsid w:val="00C50A62"/>
    <w:rsid w:val="00C50C87"/>
    <w:rsid w:val="00C50D69"/>
    <w:rsid w:val="00C50D70"/>
    <w:rsid w:val="00C50F8A"/>
    <w:rsid w:val="00C51290"/>
    <w:rsid w:val="00C51481"/>
    <w:rsid w:val="00C5177F"/>
    <w:rsid w:val="00C517A5"/>
    <w:rsid w:val="00C51914"/>
    <w:rsid w:val="00C51935"/>
    <w:rsid w:val="00C51A80"/>
    <w:rsid w:val="00C51A8C"/>
    <w:rsid w:val="00C51B24"/>
    <w:rsid w:val="00C51B53"/>
    <w:rsid w:val="00C51B5E"/>
    <w:rsid w:val="00C51FC3"/>
    <w:rsid w:val="00C52288"/>
    <w:rsid w:val="00C52629"/>
    <w:rsid w:val="00C52873"/>
    <w:rsid w:val="00C5292C"/>
    <w:rsid w:val="00C52947"/>
    <w:rsid w:val="00C529B4"/>
    <w:rsid w:val="00C52CBC"/>
    <w:rsid w:val="00C52D56"/>
    <w:rsid w:val="00C530D7"/>
    <w:rsid w:val="00C53143"/>
    <w:rsid w:val="00C5314D"/>
    <w:rsid w:val="00C531F3"/>
    <w:rsid w:val="00C5321A"/>
    <w:rsid w:val="00C532CF"/>
    <w:rsid w:val="00C533B6"/>
    <w:rsid w:val="00C533D7"/>
    <w:rsid w:val="00C5344C"/>
    <w:rsid w:val="00C53628"/>
    <w:rsid w:val="00C53AED"/>
    <w:rsid w:val="00C53DBD"/>
    <w:rsid w:val="00C53FC5"/>
    <w:rsid w:val="00C5448F"/>
    <w:rsid w:val="00C545BD"/>
    <w:rsid w:val="00C54685"/>
    <w:rsid w:val="00C547D5"/>
    <w:rsid w:val="00C54B5C"/>
    <w:rsid w:val="00C54D25"/>
    <w:rsid w:val="00C54E04"/>
    <w:rsid w:val="00C54E18"/>
    <w:rsid w:val="00C55383"/>
    <w:rsid w:val="00C55765"/>
    <w:rsid w:val="00C557F9"/>
    <w:rsid w:val="00C558E2"/>
    <w:rsid w:val="00C559B3"/>
    <w:rsid w:val="00C55B8A"/>
    <w:rsid w:val="00C55E89"/>
    <w:rsid w:val="00C561D1"/>
    <w:rsid w:val="00C561DD"/>
    <w:rsid w:val="00C562AD"/>
    <w:rsid w:val="00C562D4"/>
    <w:rsid w:val="00C564A5"/>
    <w:rsid w:val="00C56526"/>
    <w:rsid w:val="00C56604"/>
    <w:rsid w:val="00C56792"/>
    <w:rsid w:val="00C568C7"/>
    <w:rsid w:val="00C56B51"/>
    <w:rsid w:val="00C56C33"/>
    <w:rsid w:val="00C56CA5"/>
    <w:rsid w:val="00C571AE"/>
    <w:rsid w:val="00C572EA"/>
    <w:rsid w:val="00C57316"/>
    <w:rsid w:val="00C57489"/>
    <w:rsid w:val="00C5797F"/>
    <w:rsid w:val="00C57BDB"/>
    <w:rsid w:val="00C57BE5"/>
    <w:rsid w:val="00C57CB3"/>
    <w:rsid w:val="00C57E9D"/>
    <w:rsid w:val="00C600E1"/>
    <w:rsid w:val="00C6015A"/>
    <w:rsid w:val="00C6018C"/>
    <w:rsid w:val="00C6018D"/>
    <w:rsid w:val="00C60421"/>
    <w:rsid w:val="00C60646"/>
    <w:rsid w:val="00C60F6A"/>
    <w:rsid w:val="00C6108D"/>
    <w:rsid w:val="00C610FE"/>
    <w:rsid w:val="00C61343"/>
    <w:rsid w:val="00C61351"/>
    <w:rsid w:val="00C615C6"/>
    <w:rsid w:val="00C61691"/>
    <w:rsid w:val="00C6173E"/>
    <w:rsid w:val="00C6173F"/>
    <w:rsid w:val="00C617A3"/>
    <w:rsid w:val="00C618CC"/>
    <w:rsid w:val="00C619E4"/>
    <w:rsid w:val="00C61C66"/>
    <w:rsid w:val="00C61CE3"/>
    <w:rsid w:val="00C61D29"/>
    <w:rsid w:val="00C61FF0"/>
    <w:rsid w:val="00C6280E"/>
    <w:rsid w:val="00C62818"/>
    <w:rsid w:val="00C62A5C"/>
    <w:rsid w:val="00C62B7E"/>
    <w:rsid w:val="00C62CAF"/>
    <w:rsid w:val="00C62DA5"/>
    <w:rsid w:val="00C62F92"/>
    <w:rsid w:val="00C630F2"/>
    <w:rsid w:val="00C63158"/>
    <w:rsid w:val="00C632AA"/>
    <w:rsid w:val="00C632F4"/>
    <w:rsid w:val="00C633E3"/>
    <w:rsid w:val="00C6382D"/>
    <w:rsid w:val="00C6393E"/>
    <w:rsid w:val="00C63BC9"/>
    <w:rsid w:val="00C63F31"/>
    <w:rsid w:val="00C64256"/>
    <w:rsid w:val="00C642B7"/>
    <w:rsid w:val="00C6431E"/>
    <w:rsid w:val="00C64395"/>
    <w:rsid w:val="00C643D2"/>
    <w:rsid w:val="00C645C4"/>
    <w:rsid w:val="00C6475D"/>
    <w:rsid w:val="00C6478B"/>
    <w:rsid w:val="00C64870"/>
    <w:rsid w:val="00C64F63"/>
    <w:rsid w:val="00C65167"/>
    <w:rsid w:val="00C6521E"/>
    <w:rsid w:val="00C6545A"/>
    <w:rsid w:val="00C65492"/>
    <w:rsid w:val="00C65733"/>
    <w:rsid w:val="00C65A2E"/>
    <w:rsid w:val="00C65B24"/>
    <w:rsid w:val="00C65B85"/>
    <w:rsid w:val="00C65C9D"/>
    <w:rsid w:val="00C65C9F"/>
    <w:rsid w:val="00C65D88"/>
    <w:rsid w:val="00C66233"/>
    <w:rsid w:val="00C6627C"/>
    <w:rsid w:val="00C66392"/>
    <w:rsid w:val="00C669BA"/>
    <w:rsid w:val="00C66D43"/>
    <w:rsid w:val="00C66EF0"/>
    <w:rsid w:val="00C66FA5"/>
    <w:rsid w:val="00C670A4"/>
    <w:rsid w:val="00C670F1"/>
    <w:rsid w:val="00C6717B"/>
    <w:rsid w:val="00C675BD"/>
    <w:rsid w:val="00C67702"/>
    <w:rsid w:val="00C678A2"/>
    <w:rsid w:val="00C679FF"/>
    <w:rsid w:val="00C67A0E"/>
    <w:rsid w:val="00C67D88"/>
    <w:rsid w:val="00C67E83"/>
    <w:rsid w:val="00C67F02"/>
    <w:rsid w:val="00C701AF"/>
    <w:rsid w:val="00C7090D"/>
    <w:rsid w:val="00C70A25"/>
    <w:rsid w:val="00C70D33"/>
    <w:rsid w:val="00C7133C"/>
    <w:rsid w:val="00C71400"/>
    <w:rsid w:val="00C71423"/>
    <w:rsid w:val="00C716CD"/>
    <w:rsid w:val="00C7172F"/>
    <w:rsid w:val="00C7178D"/>
    <w:rsid w:val="00C71947"/>
    <w:rsid w:val="00C71970"/>
    <w:rsid w:val="00C71B17"/>
    <w:rsid w:val="00C71C29"/>
    <w:rsid w:val="00C71E72"/>
    <w:rsid w:val="00C71ED8"/>
    <w:rsid w:val="00C71EDE"/>
    <w:rsid w:val="00C71F92"/>
    <w:rsid w:val="00C720B6"/>
    <w:rsid w:val="00C72389"/>
    <w:rsid w:val="00C7276A"/>
    <w:rsid w:val="00C72BD3"/>
    <w:rsid w:val="00C72CD9"/>
    <w:rsid w:val="00C72E26"/>
    <w:rsid w:val="00C73135"/>
    <w:rsid w:val="00C7323A"/>
    <w:rsid w:val="00C7326E"/>
    <w:rsid w:val="00C733BA"/>
    <w:rsid w:val="00C7348E"/>
    <w:rsid w:val="00C7353A"/>
    <w:rsid w:val="00C739EE"/>
    <w:rsid w:val="00C73AFF"/>
    <w:rsid w:val="00C73CC6"/>
    <w:rsid w:val="00C73D3D"/>
    <w:rsid w:val="00C73ED8"/>
    <w:rsid w:val="00C7404D"/>
    <w:rsid w:val="00C74142"/>
    <w:rsid w:val="00C741E8"/>
    <w:rsid w:val="00C745B9"/>
    <w:rsid w:val="00C749A0"/>
    <w:rsid w:val="00C74B0C"/>
    <w:rsid w:val="00C74BD6"/>
    <w:rsid w:val="00C74C04"/>
    <w:rsid w:val="00C74CC2"/>
    <w:rsid w:val="00C74D44"/>
    <w:rsid w:val="00C750A5"/>
    <w:rsid w:val="00C75225"/>
    <w:rsid w:val="00C753C5"/>
    <w:rsid w:val="00C7554D"/>
    <w:rsid w:val="00C75621"/>
    <w:rsid w:val="00C7592A"/>
    <w:rsid w:val="00C75963"/>
    <w:rsid w:val="00C75A65"/>
    <w:rsid w:val="00C75A85"/>
    <w:rsid w:val="00C75CDC"/>
    <w:rsid w:val="00C75D6E"/>
    <w:rsid w:val="00C75F5F"/>
    <w:rsid w:val="00C7611A"/>
    <w:rsid w:val="00C764AD"/>
    <w:rsid w:val="00C764D3"/>
    <w:rsid w:val="00C76758"/>
    <w:rsid w:val="00C76852"/>
    <w:rsid w:val="00C76AA9"/>
    <w:rsid w:val="00C76C1F"/>
    <w:rsid w:val="00C76FDB"/>
    <w:rsid w:val="00C77037"/>
    <w:rsid w:val="00C7767A"/>
    <w:rsid w:val="00C77685"/>
    <w:rsid w:val="00C778CA"/>
    <w:rsid w:val="00C778EB"/>
    <w:rsid w:val="00C7799D"/>
    <w:rsid w:val="00C77BF7"/>
    <w:rsid w:val="00C77D22"/>
    <w:rsid w:val="00C77E9B"/>
    <w:rsid w:val="00C80032"/>
    <w:rsid w:val="00C801DE"/>
    <w:rsid w:val="00C801ED"/>
    <w:rsid w:val="00C8028A"/>
    <w:rsid w:val="00C80591"/>
    <w:rsid w:val="00C80792"/>
    <w:rsid w:val="00C80873"/>
    <w:rsid w:val="00C80BF5"/>
    <w:rsid w:val="00C80D1C"/>
    <w:rsid w:val="00C80EF4"/>
    <w:rsid w:val="00C810DD"/>
    <w:rsid w:val="00C81184"/>
    <w:rsid w:val="00C8126D"/>
    <w:rsid w:val="00C813E7"/>
    <w:rsid w:val="00C8154F"/>
    <w:rsid w:val="00C817C3"/>
    <w:rsid w:val="00C817F0"/>
    <w:rsid w:val="00C818E7"/>
    <w:rsid w:val="00C81A7F"/>
    <w:rsid w:val="00C81A87"/>
    <w:rsid w:val="00C81E29"/>
    <w:rsid w:val="00C82030"/>
    <w:rsid w:val="00C82151"/>
    <w:rsid w:val="00C821F5"/>
    <w:rsid w:val="00C82240"/>
    <w:rsid w:val="00C825A2"/>
    <w:rsid w:val="00C825D3"/>
    <w:rsid w:val="00C826D8"/>
    <w:rsid w:val="00C828AB"/>
    <w:rsid w:val="00C828DE"/>
    <w:rsid w:val="00C82978"/>
    <w:rsid w:val="00C8297B"/>
    <w:rsid w:val="00C82A52"/>
    <w:rsid w:val="00C82B3D"/>
    <w:rsid w:val="00C82B94"/>
    <w:rsid w:val="00C82E43"/>
    <w:rsid w:val="00C82EA5"/>
    <w:rsid w:val="00C82EBF"/>
    <w:rsid w:val="00C830F2"/>
    <w:rsid w:val="00C83538"/>
    <w:rsid w:val="00C836DA"/>
    <w:rsid w:val="00C838DB"/>
    <w:rsid w:val="00C84140"/>
    <w:rsid w:val="00C84178"/>
    <w:rsid w:val="00C8422A"/>
    <w:rsid w:val="00C842A7"/>
    <w:rsid w:val="00C8448B"/>
    <w:rsid w:val="00C848C6"/>
    <w:rsid w:val="00C84A48"/>
    <w:rsid w:val="00C84B9C"/>
    <w:rsid w:val="00C84D98"/>
    <w:rsid w:val="00C853B7"/>
    <w:rsid w:val="00C85940"/>
    <w:rsid w:val="00C85BA4"/>
    <w:rsid w:val="00C860C2"/>
    <w:rsid w:val="00C864F9"/>
    <w:rsid w:val="00C86707"/>
    <w:rsid w:val="00C86708"/>
    <w:rsid w:val="00C869B1"/>
    <w:rsid w:val="00C86CEC"/>
    <w:rsid w:val="00C86DA5"/>
    <w:rsid w:val="00C86EFC"/>
    <w:rsid w:val="00C87074"/>
    <w:rsid w:val="00C870CA"/>
    <w:rsid w:val="00C87330"/>
    <w:rsid w:val="00C87477"/>
    <w:rsid w:val="00C874D3"/>
    <w:rsid w:val="00C876B2"/>
    <w:rsid w:val="00C8778A"/>
    <w:rsid w:val="00C87A6E"/>
    <w:rsid w:val="00C87ADA"/>
    <w:rsid w:val="00C87F52"/>
    <w:rsid w:val="00C87F61"/>
    <w:rsid w:val="00C9000A"/>
    <w:rsid w:val="00C901FE"/>
    <w:rsid w:val="00C9023A"/>
    <w:rsid w:val="00C902D3"/>
    <w:rsid w:val="00C903FF"/>
    <w:rsid w:val="00C905AD"/>
    <w:rsid w:val="00C9062E"/>
    <w:rsid w:val="00C90CB8"/>
    <w:rsid w:val="00C90E08"/>
    <w:rsid w:val="00C90E51"/>
    <w:rsid w:val="00C90F6A"/>
    <w:rsid w:val="00C911D2"/>
    <w:rsid w:val="00C912A8"/>
    <w:rsid w:val="00C913A3"/>
    <w:rsid w:val="00C91456"/>
    <w:rsid w:val="00C914DB"/>
    <w:rsid w:val="00C91770"/>
    <w:rsid w:val="00C91C43"/>
    <w:rsid w:val="00C91C7E"/>
    <w:rsid w:val="00C91E0A"/>
    <w:rsid w:val="00C91FAE"/>
    <w:rsid w:val="00C922E0"/>
    <w:rsid w:val="00C92716"/>
    <w:rsid w:val="00C92766"/>
    <w:rsid w:val="00C929BB"/>
    <w:rsid w:val="00C930E0"/>
    <w:rsid w:val="00C931FD"/>
    <w:rsid w:val="00C932F2"/>
    <w:rsid w:val="00C9356D"/>
    <w:rsid w:val="00C93720"/>
    <w:rsid w:val="00C93C12"/>
    <w:rsid w:val="00C93C52"/>
    <w:rsid w:val="00C93C90"/>
    <w:rsid w:val="00C93DCC"/>
    <w:rsid w:val="00C940FB"/>
    <w:rsid w:val="00C94181"/>
    <w:rsid w:val="00C9439D"/>
    <w:rsid w:val="00C944A3"/>
    <w:rsid w:val="00C946E4"/>
    <w:rsid w:val="00C946FC"/>
    <w:rsid w:val="00C94730"/>
    <w:rsid w:val="00C94870"/>
    <w:rsid w:val="00C949B6"/>
    <w:rsid w:val="00C94B14"/>
    <w:rsid w:val="00C95108"/>
    <w:rsid w:val="00C951E8"/>
    <w:rsid w:val="00C95297"/>
    <w:rsid w:val="00C9541B"/>
    <w:rsid w:val="00C9575C"/>
    <w:rsid w:val="00C95795"/>
    <w:rsid w:val="00C95CA3"/>
    <w:rsid w:val="00C95F95"/>
    <w:rsid w:val="00C96028"/>
    <w:rsid w:val="00C961EB"/>
    <w:rsid w:val="00C96206"/>
    <w:rsid w:val="00C96369"/>
    <w:rsid w:val="00C96434"/>
    <w:rsid w:val="00C96744"/>
    <w:rsid w:val="00C968ED"/>
    <w:rsid w:val="00C969BA"/>
    <w:rsid w:val="00C96AE5"/>
    <w:rsid w:val="00C96B0A"/>
    <w:rsid w:val="00C96B8D"/>
    <w:rsid w:val="00C96D60"/>
    <w:rsid w:val="00C96F36"/>
    <w:rsid w:val="00C96FA5"/>
    <w:rsid w:val="00C97191"/>
    <w:rsid w:val="00C971E8"/>
    <w:rsid w:val="00C973BC"/>
    <w:rsid w:val="00C97437"/>
    <w:rsid w:val="00C9749C"/>
    <w:rsid w:val="00C9762A"/>
    <w:rsid w:val="00C976BB"/>
    <w:rsid w:val="00C97CB6"/>
    <w:rsid w:val="00C97D86"/>
    <w:rsid w:val="00C97E93"/>
    <w:rsid w:val="00C97F79"/>
    <w:rsid w:val="00CA0062"/>
    <w:rsid w:val="00CA03EF"/>
    <w:rsid w:val="00CA0494"/>
    <w:rsid w:val="00CA04AD"/>
    <w:rsid w:val="00CA0AD0"/>
    <w:rsid w:val="00CA0CFF"/>
    <w:rsid w:val="00CA0E2F"/>
    <w:rsid w:val="00CA0E45"/>
    <w:rsid w:val="00CA0FBA"/>
    <w:rsid w:val="00CA1170"/>
    <w:rsid w:val="00CA1253"/>
    <w:rsid w:val="00CA149D"/>
    <w:rsid w:val="00CA162B"/>
    <w:rsid w:val="00CA19B2"/>
    <w:rsid w:val="00CA19B3"/>
    <w:rsid w:val="00CA1BAA"/>
    <w:rsid w:val="00CA1EB3"/>
    <w:rsid w:val="00CA20C7"/>
    <w:rsid w:val="00CA20D4"/>
    <w:rsid w:val="00CA20F3"/>
    <w:rsid w:val="00CA269E"/>
    <w:rsid w:val="00CA284B"/>
    <w:rsid w:val="00CA28FB"/>
    <w:rsid w:val="00CA290B"/>
    <w:rsid w:val="00CA2921"/>
    <w:rsid w:val="00CA2C04"/>
    <w:rsid w:val="00CA2F34"/>
    <w:rsid w:val="00CA3071"/>
    <w:rsid w:val="00CA307F"/>
    <w:rsid w:val="00CA3193"/>
    <w:rsid w:val="00CA35E8"/>
    <w:rsid w:val="00CA3675"/>
    <w:rsid w:val="00CA3771"/>
    <w:rsid w:val="00CA398A"/>
    <w:rsid w:val="00CA40C1"/>
    <w:rsid w:val="00CA4265"/>
    <w:rsid w:val="00CA45DE"/>
    <w:rsid w:val="00CA4615"/>
    <w:rsid w:val="00CA4B3F"/>
    <w:rsid w:val="00CA4B60"/>
    <w:rsid w:val="00CA4B93"/>
    <w:rsid w:val="00CA4C0B"/>
    <w:rsid w:val="00CA4DAE"/>
    <w:rsid w:val="00CA52DF"/>
    <w:rsid w:val="00CA531A"/>
    <w:rsid w:val="00CA537F"/>
    <w:rsid w:val="00CA5430"/>
    <w:rsid w:val="00CA549F"/>
    <w:rsid w:val="00CA54AA"/>
    <w:rsid w:val="00CA55C9"/>
    <w:rsid w:val="00CA5643"/>
    <w:rsid w:val="00CA5822"/>
    <w:rsid w:val="00CA5A6D"/>
    <w:rsid w:val="00CA5A94"/>
    <w:rsid w:val="00CA5AFF"/>
    <w:rsid w:val="00CA5C53"/>
    <w:rsid w:val="00CA5CBF"/>
    <w:rsid w:val="00CA6049"/>
    <w:rsid w:val="00CA6320"/>
    <w:rsid w:val="00CA651F"/>
    <w:rsid w:val="00CA65F6"/>
    <w:rsid w:val="00CA66F9"/>
    <w:rsid w:val="00CA67EB"/>
    <w:rsid w:val="00CA6B57"/>
    <w:rsid w:val="00CA6C1F"/>
    <w:rsid w:val="00CA6EF3"/>
    <w:rsid w:val="00CA6FE9"/>
    <w:rsid w:val="00CA7070"/>
    <w:rsid w:val="00CA7072"/>
    <w:rsid w:val="00CA70BC"/>
    <w:rsid w:val="00CA74A0"/>
    <w:rsid w:val="00CA74C8"/>
    <w:rsid w:val="00CA76D3"/>
    <w:rsid w:val="00CA771E"/>
    <w:rsid w:val="00CB000B"/>
    <w:rsid w:val="00CB01DC"/>
    <w:rsid w:val="00CB0209"/>
    <w:rsid w:val="00CB020C"/>
    <w:rsid w:val="00CB0345"/>
    <w:rsid w:val="00CB044E"/>
    <w:rsid w:val="00CB078A"/>
    <w:rsid w:val="00CB0892"/>
    <w:rsid w:val="00CB0C8F"/>
    <w:rsid w:val="00CB1206"/>
    <w:rsid w:val="00CB123D"/>
    <w:rsid w:val="00CB125A"/>
    <w:rsid w:val="00CB149C"/>
    <w:rsid w:val="00CB153A"/>
    <w:rsid w:val="00CB1670"/>
    <w:rsid w:val="00CB16A7"/>
    <w:rsid w:val="00CB1757"/>
    <w:rsid w:val="00CB1898"/>
    <w:rsid w:val="00CB19DF"/>
    <w:rsid w:val="00CB1C80"/>
    <w:rsid w:val="00CB1D26"/>
    <w:rsid w:val="00CB1D50"/>
    <w:rsid w:val="00CB1EA5"/>
    <w:rsid w:val="00CB1ED2"/>
    <w:rsid w:val="00CB208E"/>
    <w:rsid w:val="00CB2096"/>
    <w:rsid w:val="00CB2251"/>
    <w:rsid w:val="00CB22CB"/>
    <w:rsid w:val="00CB2377"/>
    <w:rsid w:val="00CB2385"/>
    <w:rsid w:val="00CB23FA"/>
    <w:rsid w:val="00CB250E"/>
    <w:rsid w:val="00CB28EB"/>
    <w:rsid w:val="00CB2937"/>
    <w:rsid w:val="00CB2B75"/>
    <w:rsid w:val="00CB2BD5"/>
    <w:rsid w:val="00CB2C5A"/>
    <w:rsid w:val="00CB2CBB"/>
    <w:rsid w:val="00CB2CEB"/>
    <w:rsid w:val="00CB2DC6"/>
    <w:rsid w:val="00CB2EC6"/>
    <w:rsid w:val="00CB302B"/>
    <w:rsid w:val="00CB31E8"/>
    <w:rsid w:val="00CB35CC"/>
    <w:rsid w:val="00CB37B9"/>
    <w:rsid w:val="00CB37E9"/>
    <w:rsid w:val="00CB38A8"/>
    <w:rsid w:val="00CB3C03"/>
    <w:rsid w:val="00CB3C81"/>
    <w:rsid w:val="00CB3FC1"/>
    <w:rsid w:val="00CB4033"/>
    <w:rsid w:val="00CB4129"/>
    <w:rsid w:val="00CB43BA"/>
    <w:rsid w:val="00CB445F"/>
    <w:rsid w:val="00CB4625"/>
    <w:rsid w:val="00CB4665"/>
    <w:rsid w:val="00CB4776"/>
    <w:rsid w:val="00CB4799"/>
    <w:rsid w:val="00CB4A2C"/>
    <w:rsid w:val="00CB4C60"/>
    <w:rsid w:val="00CB4D2F"/>
    <w:rsid w:val="00CB4DFE"/>
    <w:rsid w:val="00CB4E91"/>
    <w:rsid w:val="00CB56FC"/>
    <w:rsid w:val="00CB5865"/>
    <w:rsid w:val="00CB5888"/>
    <w:rsid w:val="00CB59E9"/>
    <w:rsid w:val="00CB5CB2"/>
    <w:rsid w:val="00CB5DC6"/>
    <w:rsid w:val="00CB61B1"/>
    <w:rsid w:val="00CB6273"/>
    <w:rsid w:val="00CB65E9"/>
    <w:rsid w:val="00CB67DB"/>
    <w:rsid w:val="00CB69D4"/>
    <w:rsid w:val="00CB6A18"/>
    <w:rsid w:val="00CB6B66"/>
    <w:rsid w:val="00CB6B77"/>
    <w:rsid w:val="00CB6DAE"/>
    <w:rsid w:val="00CB6F38"/>
    <w:rsid w:val="00CB745B"/>
    <w:rsid w:val="00CB7463"/>
    <w:rsid w:val="00CB7497"/>
    <w:rsid w:val="00CB7511"/>
    <w:rsid w:val="00CB77A4"/>
    <w:rsid w:val="00CB7852"/>
    <w:rsid w:val="00CB79C1"/>
    <w:rsid w:val="00CB7BCE"/>
    <w:rsid w:val="00CB7D3E"/>
    <w:rsid w:val="00CC00BB"/>
    <w:rsid w:val="00CC0604"/>
    <w:rsid w:val="00CC06BD"/>
    <w:rsid w:val="00CC0997"/>
    <w:rsid w:val="00CC0D8B"/>
    <w:rsid w:val="00CC0DF8"/>
    <w:rsid w:val="00CC0E3F"/>
    <w:rsid w:val="00CC1024"/>
    <w:rsid w:val="00CC11F8"/>
    <w:rsid w:val="00CC1731"/>
    <w:rsid w:val="00CC19C7"/>
    <w:rsid w:val="00CC1AC5"/>
    <w:rsid w:val="00CC1ADE"/>
    <w:rsid w:val="00CC1D6E"/>
    <w:rsid w:val="00CC1E65"/>
    <w:rsid w:val="00CC1EFF"/>
    <w:rsid w:val="00CC210B"/>
    <w:rsid w:val="00CC21E3"/>
    <w:rsid w:val="00CC2212"/>
    <w:rsid w:val="00CC2332"/>
    <w:rsid w:val="00CC2369"/>
    <w:rsid w:val="00CC237E"/>
    <w:rsid w:val="00CC265D"/>
    <w:rsid w:val="00CC26D5"/>
    <w:rsid w:val="00CC27B1"/>
    <w:rsid w:val="00CC2A6E"/>
    <w:rsid w:val="00CC2AB6"/>
    <w:rsid w:val="00CC2B19"/>
    <w:rsid w:val="00CC2B42"/>
    <w:rsid w:val="00CC2C4C"/>
    <w:rsid w:val="00CC2CF4"/>
    <w:rsid w:val="00CC2ED1"/>
    <w:rsid w:val="00CC346B"/>
    <w:rsid w:val="00CC398C"/>
    <w:rsid w:val="00CC3AEC"/>
    <w:rsid w:val="00CC3E57"/>
    <w:rsid w:val="00CC411B"/>
    <w:rsid w:val="00CC41BD"/>
    <w:rsid w:val="00CC4233"/>
    <w:rsid w:val="00CC44D2"/>
    <w:rsid w:val="00CC45D1"/>
    <w:rsid w:val="00CC45FC"/>
    <w:rsid w:val="00CC46B6"/>
    <w:rsid w:val="00CC4811"/>
    <w:rsid w:val="00CC4A16"/>
    <w:rsid w:val="00CC4A1D"/>
    <w:rsid w:val="00CC4A96"/>
    <w:rsid w:val="00CC4CBF"/>
    <w:rsid w:val="00CC4DCE"/>
    <w:rsid w:val="00CC4F9D"/>
    <w:rsid w:val="00CC50C3"/>
    <w:rsid w:val="00CC51E2"/>
    <w:rsid w:val="00CC5476"/>
    <w:rsid w:val="00CC5757"/>
    <w:rsid w:val="00CC5846"/>
    <w:rsid w:val="00CC597E"/>
    <w:rsid w:val="00CC5C2D"/>
    <w:rsid w:val="00CC60A3"/>
    <w:rsid w:val="00CC6307"/>
    <w:rsid w:val="00CC6510"/>
    <w:rsid w:val="00CC685D"/>
    <w:rsid w:val="00CC69BE"/>
    <w:rsid w:val="00CC6ACD"/>
    <w:rsid w:val="00CC6C9F"/>
    <w:rsid w:val="00CC6CFC"/>
    <w:rsid w:val="00CC6D97"/>
    <w:rsid w:val="00CC6DE2"/>
    <w:rsid w:val="00CC7116"/>
    <w:rsid w:val="00CC7220"/>
    <w:rsid w:val="00CC73E3"/>
    <w:rsid w:val="00CC7521"/>
    <w:rsid w:val="00CC77AA"/>
    <w:rsid w:val="00CC79F0"/>
    <w:rsid w:val="00CC7A6C"/>
    <w:rsid w:val="00CC7C52"/>
    <w:rsid w:val="00CC7E92"/>
    <w:rsid w:val="00CC7F90"/>
    <w:rsid w:val="00CD00E4"/>
    <w:rsid w:val="00CD0226"/>
    <w:rsid w:val="00CD0754"/>
    <w:rsid w:val="00CD07AA"/>
    <w:rsid w:val="00CD08C3"/>
    <w:rsid w:val="00CD08E3"/>
    <w:rsid w:val="00CD09A4"/>
    <w:rsid w:val="00CD0EB0"/>
    <w:rsid w:val="00CD0EE5"/>
    <w:rsid w:val="00CD132B"/>
    <w:rsid w:val="00CD142C"/>
    <w:rsid w:val="00CD150B"/>
    <w:rsid w:val="00CD1537"/>
    <w:rsid w:val="00CD1677"/>
    <w:rsid w:val="00CD181A"/>
    <w:rsid w:val="00CD1861"/>
    <w:rsid w:val="00CD1C0E"/>
    <w:rsid w:val="00CD1CCC"/>
    <w:rsid w:val="00CD1DB3"/>
    <w:rsid w:val="00CD1E60"/>
    <w:rsid w:val="00CD1EC1"/>
    <w:rsid w:val="00CD229E"/>
    <w:rsid w:val="00CD2471"/>
    <w:rsid w:val="00CD24B2"/>
    <w:rsid w:val="00CD26A0"/>
    <w:rsid w:val="00CD2740"/>
    <w:rsid w:val="00CD2786"/>
    <w:rsid w:val="00CD2A3B"/>
    <w:rsid w:val="00CD2B52"/>
    <w:rsid w:val="00CD2BE8"/>
    <w:rsid w:val="00CD2C47"/>
    <w:rsid w:val="00CD2D76"/>
    <w:rsid w:val="00CD2FEF"/>
    <w:rsid w:val="00CD339C"/>
    <w:rsid w:val="00CD34B6"/>
    <w:rsid w:val="00CD3639"/>
    <w:rsid w:val="00CD36C8"/>
    <w:rsid w:val="00CD381C"/>
    <w:rsid w:val="00CD3AFE"/>
    <w:rsid w:val="00CD3B6B"/>
    <w:rsid w:val="00CD3C67"/>
    <w:rsid w:val="00CD3D2D"/>
    <w:rsid w:val="00CD3DB0"/>
    <w:rsid w:val="00CD3E72"/>
    <w:rsid w:val="00CD3FC3"/>
    <w:rsid w:val="00CD429F"/>
    <w:rsid w:val="00CD4369"/>
    <w:rsid w:val="00CD436C"/>
    <w:rsid w:val="00CD43FF"/>
    <w:rsid w:val="00CD4632"/>
    <w:rsid w:val="00CD4638"/>
    <w:rsid w:val="00CD47F1"/>
    <w:rsid w:val="00CD4904"/>
    <w:rsid w:val="00CD4940"/>
    <w:rsid w:val="00CD49FF"/>
    <w:rsid w:val="00CD4A2C"/>
    <w:rsid w:val="00CD4B61"/>
    <w:rsid w:val="00CD4BB5"/>
    <w:rsid w:val="00CD4C3D"/>
    <w:rsid w:val="00CD4F96"/>
    <w:rsid w:val="00CD5160"/>
    <w:rsid w:val="00CD516C"/>
    <w:rsid w:val="00CD5333"/>
    <w:rsid w:val="00CD55A1"/>
    <w:rsid w:val="00CD5839"/>
    <w:rsid w:val="00CD597C"/>
    <w:rsid w:val="00CD599A"/>
    <w:rsid w:val="00CD59FD"/>
    <w:rsid w:val="00CD5ABA"/>
    <w:rsid w:val="00CD5AEF"/>
    <w:rsid w:val="00CD5BF2"/>
    <w:rsid w:val="00CD5C50"/>
    <w:rsid w:val="00CD5D40"/>
    <w:rsid w:val="00CD5D90"/>
    <w:rsid w:val="00CD5D91"/>
    <w:rsid w:val="00CD5F9F"/>
    <w:rsid w:val="00CD5FEB"/>
    <w:rsid w:val="00CD610C"/>
    <w:rsid w:val="00CD616B"/>
    <w:rsid w:val="00CD622F"/>
    <w:rsid w:val="00CD65C4"/>
    <w:rsid w:val="00CD6B09"/>
    <w:rsid w:val="00CD6B53"/>
    <w:rsid w:val="00CD6DCC"/>
    <w:rsid w:val="00CD701C"/>
    <w:rsid w:val="00CD713F"/>
    <w:rsid w:val="00CD721A"/>
    <w:rsid w:val="00CD73A2"/>
    <w:rsid w:val="00CD75FA"/>
    <w:rsid w:val="00CD77C1"/>
    <w:rsid w:val="00CD77C8"/>
    <w:rsid w:val="00CD78D5"/>
    <w:rsid w:val="00CD78FA"/>
    <w:rsid w:val="00CD79A2"/>
    <w:rsid w:val="00CD7B9D"/>
    <w:rsid w:val="00CD7C6B"/>
    <w:rsid w:val="00CD7EED"/>
    <w:rsid w:val="00CD7F55"/>
    <w:rsid w:val="00CE018A"/>
    <w:rsid w:val="00CE0308"/>
    <w:rsid w:val="00CE030C"/>
    <w:rsid w:val="00CE0389"/>
    <w:rsid w:val="00CE04F9"/>
    <w:rsid w:val="00CE056A"/>
    <w:rsid w:val="00CE05FB"/>
    <w:rsid w:val="00CE088F"/>
    <w:rsid w:val="00CE08C2"/>
    <w:rsid w:val="00CE0959"/>
    <w:rsid w:val="00CE0B97"/>
    <w:rsid w:val="00CE106D"/>
    <w:rsid w:val="00CE11AC"/>
    <w:rsid w:val="00CE14DE"/>
    <w:rsid w:val="00CE14FD"/>
    <w:rsid w:val="00CE15CA"/>
    <w:rsid w:val="00CE16CC"/>
    <w:rsid w:val="00CE17AA"/>
    <w:rsid w:val="00CE1A1F"/>
    <w:rsid w:val="00CE1BCE"/>
    <w:rsid w:val="00CE1DB0"/>
    <w:rsid w:val="00CE1E2F"/>
    <w:rsid w:val="00CE2026"/>
    <w:rsid w:val="00CE207E"/>
    <w:rsid w:val="00CE2378"/>
    <w:rsid w:val="00CE237D"/>
    <w:rsid w:val="00CE2435"/>
    <w:rsid w:val="00CE2659"/>
    <w:rsid w:val="00CE27B3"/>
    <w:rsid w:val="00CE28B5"/>
    <w:rsid w:val="00CE2D36"/>
    <w:rsid w:val="00CE2D59"/>
    <w:rsid w:val="00CE2D86"/>
    <w:rsid w:val="00CE2F40"/>
    <w:rsid w:val="00CE313F"/>
    <w:rsid w:val="00CE3395"/>
    <w:rsid w:val="00CE3418"/>
    <w:rsid w:val="00CE3505"/>
    <w:rsid w:val="00CE3511"/>
    <w:rsid w:val="00CE35A6"/>
    <w:rsid w:val="00CE3728"/>
    <w:rsid w:val="00CE3834"/>
    <w:rsid w:val="00CE38B0"/>
    <w:rsid w:val="00CE3926"/>
    <w:rsid w:val="00CE39E8"/>
    <w:rsid w:val="00CE3A44"/>
    <w:rsid w:val="00CE3D64"/>
    <w:rsid w:val="00CE3D84"/>
    <w:rsid w:val="00CE3EAB"/>
    <w:rsid w:val="00CE4060"/>
    <w:rsid w:val="00CE42CA"/>
    <w:rsid w:val="00CE45B4"/>
    <w:rsid w:val="00CE4822"/>
    <w:rsid w:val="00CE4982"/>
    <w:rsid w:val="00CE49B4"/>
    <w:rsid w:val="00CE4BC9"/>
    <w:rsid w:val="00CE4C4A"/>
    <w:rsid w:val="00CE4E0D"/>
    <w:rsid w:val="00CE4F8D"/>
    <w:rsid w:val="00CE51E6"/>
    <w:rsid w:val="00CE523C"/>
    <w:rsid w:val="00CE5551"/>
    <w:rsid w:val="00CE560F"/>
    <w:rsid w:val="00CE56C9"/>
    <w:rsid w:val="00CE587B"/>
    <w:rsid w:val="00CE5A0E"/>
    <w:rsid w:val="00CE5DA5"/>
    <w:rsid w:val="00CE5DED"/>
    <w:rsid w:val="00CE5E76"/>
    <w:rsid w:val="00CE5EEC"/>
    <w:rsid w:val="00CE604E"/>
    <w:rsid w:val="00CE62BF"/>
    <w:rsid w:val="00CE6350"/>
    <w:rsid w:val="00CE643D"/>
    <w:rsid w:val="00CE6726"/>
    <w:rsid w:val="00CE68BF"/>
    <w:rsid w:val="00CE69C1"/>
    <w:rsid w:val="00CE6AAE"/>
    <w:rsid w:val="00CE6AF5"/>
    <w:rsid w:val="00CE6B64"/>
    <w:rsid w:val="00CE6C64"/>
    <w:rsid w:val="00CE6E29"/>
    <w:rsid w:val="00CE6F01"/>
    <w:rsid w:val="00CE7041"/>
    <w:rsid w:val="00CE70B6"/>
    <w:rsid w:val="00CE7149"/>
    <w:rsid w:val="00CE720F"/>
    <w:rsid w:val="00CE7288"/>
    <w:rsid w:val="00CE7711"/>
    <w:rsid w:val="00CE779F"/>
    <w:rsid w:val="00CE7838"/>
    <w:rsid w:val="00CE78FC"/>
    <w:rsid w:val="00CE7A0C"/>
    <w:rsid w:val="00CE7B42"/>
    <w:rsid w:val="00CE7B70"/>
    <w:rsid w:val="00CE7C56"/>
    <w:rsid w:val="00CE7D6C"/>
    <w:rsid w:val="00CF009E"/>
    <w:rsid w:val="00CF0187"/>
    <w:rsid w:val="00CF0216"/>
    <w:rsid w:val="00CF02DC"/>
    <w:rsid w:val="00CF05CE"/>
    <w:rsid w:val="00CF0600"/>
    <w:rsid w:val="00CF0635"/>
    <w:rsid w:val="00CF0689"/>
    <w:rsid w:val="00CF0839"/>
    <w:rsid w:val="00CF0850"/>
    <w:rsid w:val="00CF0A64"/>
    <w:rsid w:val="00CF0B34"/>
    <w:rsid w:val="00CF0BE8"/>
    <w:rsid w:val="00CF0F45"/>
    <w:rsid w:val="00CF1059"/>
    <w:rsid w:val="00CF1124"/>
    <w:rsid w:val="00CF113A"/>
    <w:rsid w:val="00CF12B0"/>
    <w:rsid w:val="00CF1312"/>
    <w:rsid w:val="00CF155C"/>
    <w:rsid w:val="00CF16FF"/>
    <w:rsid w:val="00CF1C24"/>
    <w:rsid w:val="00CF1DC3"/>
    <w:rsid w:val="00CF1DCD"/>
    <w:rsid w:val="00CF1EBE"/>
    <w:rsid w:val="00CF1F89"/>
    <w:rsid w:val="00CF204E"/>
    <w:rsid w:val="00CF20C8"/>
    <w:rsid w:val="00CF2144"/>
    <w:rsid w:val="00CF2558"/>
    <w:rsid w:val="00CF286A"/>
    <w:rsid w:val="00CF28FA"/>
    <w:rsid w:val="00CF2A8C"/>
    <w:rsid w:val="00CF2BD1"/>
    <w:rsid w:val="00CF2C68"/>
    <w:rsid w:val="00CF2DD6"/>
    <w:rsid w:val="00CF2E7F"/>
    <w:rsid w:val="00CF2FE1"/>
    <w:rsid w:val="00CF3070"/>
    <w:rsid w:val="00CF3195"/>
    <w:rsid w:val="00CF319B"/>
    <w:rsid w:val="00CF32C5"/>
    <w:rsid w:val="00CF352A"/>
    <w:rsid w:val="00CF36A9"/>
    <w:rsid w:val="00CF3815"/>
    <w:rsid w:val="00CF38D3"/>
    <w:rsid w:val="00CF3ADC"/>
    <w:rsid w:val="00CF3BDA"/>
    <w:rsid w:val="00CF3D32"/>
    <w:rsid w:val="00CF3DB0"/>
    <w:rsid w:val="00CF3F2A"/>
    <w:rsid w:val="00CF4090"/>
    <w:rsid w:val="00CF474B"/>
    <w:rsid w:val="00CF476A"/>
    <w:rsid w:val="00CF4BBD"/>
    <w:rsid w:val="00CF4D3D"/>
    <w:rsid w:val="00CF4D70"/>
    <w:rsid w:val="00CF520F"/>
    <w:rsid w:val="00CF530B"/>
    <w:rsid w:val="00CF533B"/>
    <w:rsid w:val="00CF53E3"/>
    <w:rsid w:val="00CF545B"/>
    <w:rsid w:val="00CF5583"/>
    <w:rsid w:val="00CF57E7"/>
    <w:rsid w:val="00CF5816"/>
    <w:rsid w:val="00CF5BCE"/>
    <w:rsid w:val="00CF5CEB"/>
    <w:rsid w:val="00CF5D29"/>
    <w:rsid w:val="00CF5EC8"/>
    <w:rsid w:val="00CF62F4"/>
    <w:rsid w:val="00CF6347"/>
    <w:rsid w:val="00CF63CA"/>
    <w:rsid w:val="00CF653B"/>
    <w:rsid w:val="00CF6697"/>
    <w:rsid w:val="00CF6C7E"/>
    <w:rsid w:val="00CF6D5C"/>
    <w:rsid w:val="00CF710C"/>
    <w:rsid w:val="00CF7206"/>
    <w:rsid w:val="00CF7378"/>
    <w:rsid w:val="00CF73A7"/>
    <w:rsid w:val="00CF74C7"/>
    <w:rsid w:val="00CF7529"/>
    <w:rsid w:val="00CF75C9"/>
    <w:rsid w:val="00CF792F"/>
    <w:rsid w:val="00CF797C"/>
    <w:rsid w:val="00CF79CE"/>
    <w:rsid w:val="00CF7AC9"/>
    <w:rsid w:val="00CF7E94"/>
    <w:rsid w:val="00CF7F16"/>
    <w:rsid w:val="00CF7FB5"/>
    <w:rsid w:val="00D00066"/>
    <w:rsid w:val="00D00095"/>
    <w:rsid w:val="00D002E4"/>
    <w:rsid w:val="00D003E1"/>
    <w:rsid w:val="00D0041D"/>
    <w:rsid w:val="00D0060C"/>
    <w:rsid w:val="00D0076F"/>
    <w:rsid w:val="00D00BFD"/>
    <w:rsid w:val="00D00C87"/>
    <w:rsid w:val="00D00E25"/>
    <w:rsid w:val="00D00E65"/>
    <w:rsid w:val="00D00FFB"/>
    <w:rsid w:val="00D01094"/>
    <w:rsid w:val="00D01203"/>
    <w:rsid w:val="00D01257"/>
    <w:rsid w:val="00D013D0"/>
    <w:rsid w:val="00D013F2"/>
    <w:rsid w:val="00D013FF"/>
    <w:rsid w:val="00D0145A"/>
    <w:rsid w:val="00D01472"/>
    <w:rsid w:val="00D014FD"/>
    <w:rsid w:val="00D01615"/>
    <w:rsid w:val="00D017CD"/>
    <w:rsid w:val="00D017E9"/>
    <w:rsid w:val="00D01801"/>
    <w:rsid w:val="00D01976"/>
    <w:rsid w:val="00D01A9E"/>
    <w:rsid w:val="00D01E00"/>
    <w:rsid w:val="00D01EED"/>
    <w:rsid w:val="00D01F76"/>
    <w:rsid w:val="00D01F8E"/>
    <w:rsid w:val="00D02005"/>
    <w:rsid w:val="00D0203A"/>
    <w:rsid w:val="00D02263"/>
    <w:rsid w:val="00D02373"/>
    <w:rsid w:val="00D024D2"/>
    <w:rsid w:val="00D02732"/>
    <w:rsid w:val="00D02943"/>
    <w:rsid w:val="00D02A04"/>
    <w:rsid w:val="00D02B74"/>
    <w:rsid w:val="00D02E9C"/>
    <w:rsid w:val="00D02F21"/>
    <w:rsid w:val="00D02F8C"/>
    <w:rsid w:val="00D03030"/>
    <w:rsid w:val="00D0314C"/>
    <w:rsid w:val="00D0341F"/>
    <w:rsid w:val="00D0346C"/>
    <w:rsid w:val="00D03485"/>
    <w:rsid w:val="00D0357C"/>
    <w:rsid w:val="00D0362E"/>
    <w:rsid w:val="00D0371B"/>
    <w:rsid w:val="00D037B4"/>
    <w:rsid w:val="00D03CAF"/>
    <w:rsid w:val="00D03DB1"/>
    <w:rsid w:val="00D03E6A"/>
    <w:rsid w:val="00D03E76"/>
    <w:rsid w:val="00D03F54"/>
    <w:rsid w:val="00D04158"/>
    <w:rsid w:val="00D044BF"/>
    <w:rsid w:val="00D046F5"/>
    <w:rsid w:val="00D049CE"/>
    <w:rsid w:val="00D04A58"/>
    <w:rsid w:val="00D04D48"/>
    <w:rsid w:val="00D04DB1"/>
    <w:rsid w:val="00D04E0F"/>
    <w:rsid w:val="00D04E22"/>
    <w:rsid w:val="00D04EE9"/>
    <w:rsid w:val="00D04F26"/>
    <w:rsid w:val="00D05119"/>
    <w:rsid w:val="00D05148"/>
    <w:rsid w:val="00D057D2"/>
    <w:rsid w:val="00D05D75"/>
    <w:rsid w:val="00D05E75"/>
    <w:rsid w:val="00D0622F"/>
    <w:rsid w:val="00D062F9"/>
    <w:rsid w:val="00D066D2"/>
    <w:rsid w:val="00D06945"/>
    <w:rsid w:val="00D06AB9"/>
    <w:rsid w:val="00D06C8C"/>
    <w:rsid w:val="00D06CE2"/>
    <w:rsid w:val="00D06E20"/>
    <w:rsid w:val="00D06F78"/>
    <w:rsid w:val="00D070D3"/>
    <w:rsid w:val="00D071F1"/>
    <w:rsid w:val="00D072A7"/>
    <w:rsid w:val="00D0745A"/>
    <w:rsid w:val="00D075E2"/>
    <w:rsid w:val="00D07625"/>
    <w:rsid w:val="00D07665"/>
    <w:rsid w:val="00D07690"/>
    <w:rsid w:val="00D079DC"/>
    <w:rsid w:val="00D07B5F"/>
    <w:rsid w:val="00D07B8F"/>
    <w:rsid w:val="00D07BFF"/>
    <w:rsid w:val="00D07C98"/>
    <w:rsid w:val="00D07CCB"/>
    <w:rsid w:val="00D07D59"/>
    <w:rsid w:val="00D07DA3"/>
    <w:rsid w:val="00D07DDA"/>
    <w:rsid w:val="00D07E38"/>
    <w:rsid w:val="00D07FAF"/>
    <w:rsid w:val="00D07FBF"/>
    <w:rsid w:val="00D07FC2"/>
    <w:rsid w:val="00D102C4"/>
    <w:rsid w:val="00D10323"/>
    <w:rsid w:val="00D10369"/>
    <w:rsid w:val="00D10401"/>
    <w:rsid w:val="00D1056E"/>
    <w:rsid w:val="00D1075A"/>
    <w:rsid w:val="00D1076A"/>
    <w:rsid w:val="00D10856"/>
    <w:rsid w:val="00D10870"/>
    <w:rsid w:val="00D10BDE"/>
    <w:rsid w:val="00D10CCB"/>
    <w:rsid w:val="00D10D23"/>
    <w:rsid w:val="00D10D3B"/>
    <w:rsid w:val="00D10F94"/>
    <w:rsid w:val="00D1119D"/>
    <w:rsid w:val="00D111B2"/>
    <w:rsid w:val="00D1124F"/>
    <w:rsid w:val="00D118AF"/>
    <w:rsid w:val="00D1193D"/>
    <w:rsid w:val="00D1199D"/>
    <w:rsid w:val="00D11BC9"/>
    <w:rsid w:val="00D11DC3"/>
    <w:rsid w:val="00D1280C"/>
    <w:rsid w:val="00D12820"/>
    <w:rsid w:val="00D128F2"/>
    <w:rsid w:val="00D12A35"/>
    <w:rsid w:val="00D12A54"/>
    <w:rsid w:val="00D12E09"/>
    <w:rsid w:val="00D12FDB"/>
    <w:rsid w:val="00D13081"/>
    <w:rsid w:val="00D13195"/>
    <w:rsid w:val="00D1335F"/>
    <w:rsid w:val="00D1343C"/>
    <w:rsid w:val="00D1351F"/>
    <w:rsid w:val="00D136A4"/>
    <w:rsid w:val="00D138B6"/>
    <w:rsid w:val="00D13A8D"/>
    <w:rsid w:val="00D13B0A"/>
    <w:rsid w:val="00D13B93"/>
    <w:rsid w:val="00D13BDA"/>
    <w:rsid w:val="00D13D92"/>
    <w:rsid w:val="00D13E25"/>
    <w:rsid w:val="00D13FB7"/>
    <w:rsid w:val="00D14669"/>
    <w:rsid w:val="00D148FB"/>
    <w:rsid w:val="00D14A0D"/>
    <w:rsid w:val="00D14F7B"/>
    <w:rsid w:val="00D15111"/>
    <w:rsid w:val="00D1518A"/>
    <w:rsid w:val="00D15331"/>
    <w:rsid w:val="00D15412"/>
    <w:rsid w:val="00D1565E"/>
    <w:rsid w:val="00D15697"/>
    <w:rsid w:val="00D157C4"/>
    <w:rsid w:val="00D1583B"/>
    <w:rsid w:val="00D15A22"/>
    <w:rsid w:val="00D15A44"/>
    <w:rsid w:val="00D15B4E"/>
    <w:rsid w:val="00D15B50"/>
    <w:rsid w:val="00D15C58"/>
    <w:rsid w:val="00D15D7F"/>
    <w:rsid w:val="00D15E2B"/>
    <w:rsid w:val="00D15F72"/>
    <w:rsid w:val="00D15FB1"/>
    <w:rsid w:val="00D16061"/>
    <w:rsid w:val="00D163E1"/>
    <w:rsid w:val="00D16416"/>
    <w:rsid w:val="00D16880"/>
    <w:rsid w:val="00D16929"/>
    <w:rsid w:val="00D16A0A"/>
    <w:rsid w:val="00D16A62"/>
    <w:rsid w:val="00D16D60"/>
    <w:rsid w:val="00D16D96"/>
    <w:rsid w:val="00D16E0C"/>
    <w:rsid w:val="00D172CE"/>
    <w:rsid w:val="00D172DC"/>
    <w:rsid w:val="00D1761D"/>
    <w:rsid w:val="00D17A73"/>
    <w:rsid w:val="00D17C4D"/>
    <w:rsid w:val="00D17D73"/>
    <w:rsid w:val="00D17FDC"/>
    <w:rsid w:val="00D20381"/>
    <w:rsid w:val="00D2053E"/>
    <w:rsid w:val="00D206B8"/>
    <w:rsid w:val="00D2086E"/>
    <w:rsid w:val="00D208AB"/>
    <w:rsid w:val="00D2090D"/>
    <w:rsid w:val="00D20A5F"/>
    <w:rsid w:val="00D20AFE"/>
    <w:rsid w:val="00D20C74"/>
    <w:rsid w:val="00D20E14"/>
    <w:rsid w:val="00D21155"/>
    <w:rsid w:val="00D211C6"/>
    <w:rsid w:val="00D214DF"/>
    <w:rsid w:val="00D21683"/>
    <w:rsid w:val="00D2183D"/>
    <w:rsid w:val="00D219AA"/>
    <w:rsid w:val="00D21A4B"/>
    <w:rsid w:val="00D21AA4"/>
    <w:rsid w:val="00D21DA4"/>
    <w:rsid w:val="00D21DBA"/>
    <w:rsid w:val="00D21F69"/>
    <w:rsid w:val="00D222C2"/>
    <w:rsid w:val="00D22571"/>
    <w:rsid w:val="00D228AD"/>
    <w:rsid w:val="00D2290E"/>
    <w:rsid w:val="00D22947"/>
    <w:rsid w:val="00D22A08"/>
    <w:rsid w:val="00D22A4C"/>
    <w:rsid w:val="00D22AB5"/>
    <w:rsid w:val="00D22C9C"/>
    <w:rsid w:val="00D22E3A"/>
    <w:rsid w:val="00D22E48"/>
    <w:rsid w:val="00D23066"/>
    <w:rsid w:val="00D2308F"/>
    <w:rsid w:val="00D232B6"/>
    <w:rsid w:val="00D233B2"/>
    <w:rsid w:val="00D2342C"/>
    <w:rsid w:val="00D23502"/>
    <w:rsid w:val="00D235EC"/>
    <w:rsid w:val="00D2366E"/>
    <w:rsid w:val="00D2384E"/>
    <w:rsid w:val="00D239B4"/>
    <w:rsid w:val="00D242D8"/>
    <w:rsid w:val="00D24579"/>
    <w:rsid w:val="00D2460F"/>
    <w:rsid w:val="00D24760"/>
    <w:rsid w:val="00D247A3"/>
    <w:rsid w:val="00D24889"/>
    <w:rsid w:val="00D24AB5"/>
    <w:rsid w:val="00D24E41"/>
    <w:rsid w:val="00D250DF"/>
    <w:rsid w:val="00D25274"/>
    <w:rsid w:val="00D252B8"/>
    <w:rsid w:val="00D25526"/>
    <w:rsid w:val="00D25570"/>
    <w:rsid w:val="00D255F5"/>
    <w:rsid w:val="00D2563E"/>
    <w:rsid w:val="00D2580A"/>
    <w:rsid w:val="00D25AD8"/>
    <w:rsid w:val="00D2602B"/>
    <w:rsid w:val="00D261A7"/>
    <w:rsid w:val="00D2666E"/>
    <w:rsid w:val="00D26815"/>
    <w:rsid w:val="00D26EE8"/>
    <w:rsid w:val="00D26EF7"/>
    <w:rsid w:val="00D26FA0"/>
    <w:rsid w:val="00D26FC0"/>
    <w:rsid w:val="00D2700F"/>
    <w:rsid w:val="00D27341"/>
    <w:rsid w:val="00D273FC"/>
    <w:rsid w:val="00D276FE"/>
    <w:rsid w:val="00D2784B"/>
    <w:rsid w:val="00D27896"/>
    <w:rsid w:val="00D27A9B"/>
    <w:rsid w:val="00D27B25"/>
    <w:rsid w:val="00D27D16"/>
    <w:rsid w:val="00D27E49"/>
    <w:rsid w:val="00D27E7B"/>
    <w:rsid w:val="00D27F6A"/>
    <w:rsid w:val="00D300A7"/>
    <w:rsid w:val="00D30375"/>
    <w:rsid w:val="00D304DA"/>
    <w:rsid w:val="00D306C5"/>
    <w:rsid w:val="00D30701"/>
    <w:rsid w:val="00D30D4C"/>
    <w:rsid w:val="00D30EC8"/>
    <w:rsid w:val="00D30ED8"/>
    <w:rsid w:val="00D30F5A"/>
    <w:rsid w:val="00D31171"/>
    <w:rsid w:val="00D311AE"/>
    <w:rsid w:val="00D3163F"/>
    <w:rsid w:val="00D316C8"/>
    <w:rsid w:val="00D31B9B"/>
    <w:rsid w:val="00D31DFC"/>
    <w:rsid w:val="00D31F2E"/>
    <w:rsid w:val="00D31F31"/>
    <w:rsid w:val="00D31FB8"/>
    <w:rsid w:val="00D32172"/>
    <w:rsid w:val="00D32468"/>
    <w:rsid w:val="00D32549"/>
    <w:rsid w:val="00D325D5"/>
    <w:rsid w:val="00D328C3"/>
    <w:rsid w:val="00D3294B"/>
    <w:rsid w:val="00D329DD"/>
    <w:rsid w:val="00D32A40"/>
    <w:rsid w:val="00D32B0D"/>
    <w:rsid w:val="00D32BBE"/>
    <w:rsid w:val="00D32DC0"/>
    <w:rsid w:val="00D3305F"/>
    <w:rsid w:val="00D331D9"/>
    <w:rsid w:val="00D3332B"/>
    <w:rsid w:val="00D33412"/>
    <w:rsid w:val="00D3341A"/>
    <w:rsid w:val="00D3350E"/>
    <w:rsid w:val="00D33702"/>
    <w:rsid w:val="00D33799"/>
    <w:rsid w:val="00D33816"/>
    <w:rsid w:val="00D3388A"/>
    <w:rsid w:val="00D33B3A"/>
    <w:rsid w:val="00D33B6A"/>
    <w:rsid w:val="00D33BAE"/>
    <w:rsid w:val="00D33DF5"/>
    <w:rsid w:val="00D33E15"/>
    <w:rsid w:val="00D34250"/>
    <w:rsid w:val="00D34345"/>
    <w:rsid w:val="00D345C0"/>
    <w:rsid w:val="00D34B73"/>
    <w:rsid w:val="00D351A2"/>
    <w:rsid w:val="00D3531A"/>
    <w:rsid w:val="00D355F6"/>
    <w:rsid w:val="00D35684"/>
    <w:rsid w:val="00D35743"/>
    <w:rsid w:val="00D35765"/>
    <w:rsid w:val="00D358A3"/>
    <w:rsid w:val="00D35965"/>
    <w:rsid w:val="00D35BDA"/>
    <w:rsid w:val="00D35EF8"/>
    <w:rsid w:val="00D35F40"/>
    <w:rsid w:val="00D35FC2"/>
    <w:rsid w:val="00D36288"/>
    <w:rsid w:val="00D3638C"/>
    <w:rsid w:val="00D36629"/>
    <w:rsid w:val="00D36758"/>
    <w:rsid w:val="00D3686E"/>
    <w:rsid w:val="00D36890"/>
    <w:rsid w:val="00D36902"/>
    <w:rsid w:val="00D36BA2"/>
    <w:rsid w:val="00D36C95"/>
    <w:rsid w:val="00D36D02"/>
    <w:rsid w:val="00D36D27"/>
    <w:rsid w:val="00D36D34"/>
    <w:rsid w:val="00D371C7"/>
    <w:rsid w:val="00D3723C"/>
    <w:rsid w:val="00D37265"/>
    <w:rsid w:val="00D37349"/>
    <w:rsid w:val="00D37399"/>
    <w:rsid w:val="00D37484"/>
    <w:rsid w:val="00D37566"/>
    <w:rsid w:val="00D3768C"/>
    <w:rsid w:val="00D376D5"/>
    <w:rsid w:val="00D37916"/>
    <w:rsid w:val="00D37C48"/>
    <w:rsid w:val="00D37F7B"/>
    <w:rsid w:val="00D37FBD"/>
    <w:rsid w:val="00D40085"/>
    <w:rsid w:val="00D4013C"/>
    <w:rsid w:val="00D402B7"/>
    <w:rsid w:val="00D405BF"/>
    <w:rsid w:val="00D4085D"/>
    <w:rsid w:val="00D409E7"/>
    <w:rsid w:val="00D40B8E"/>
    <w:rsid w:val="00D40CCE"/>
    <w:rsid w:val="00D40E27"/>
    <w:rsid w:val="00D40E4F"/>
    <w:rsid w:val="00D40F6E"/>
    <w:rsid w:val="00D4144C"/>
    <w:rsid w:val="00D415F4"/>
    <w:rsid w:val="00D41686"/>
    <w:rsid w:val="00D417CA"/>
    <w:rsid w:val="00D418AB"/>
    <w:rsid w:val="00D41BC4"/>
    <w:rsid w:val="00D41D46"/>
    <w:rsid w:val="00D41DFF"/>
    <w:rsid w:val="00D41F20"/>
    <w:rsid w:val="00D41F81"/>
    <w:rsid w:val="00D4210E"/>
    <w:rsid w:val="00D4211B"/>
    <w:rsid w:val="00D423CD"/>
    <w:rsid w:val="00D42592"/>
    <w:rsid w:val="00D425AE"/>
    <w:rsid w:val="00D42605"/>
    <w:rsid w:val="00D4271A"/>
    <w:rsid w:val="00D42790"/>
    <w:rsid w:val="00D42833"/>
    <w:rsid w:val="00D42910"/>
    <w:rsid w:val="00D429D5"/>
    <w:rsid w:val="00D42B52"/>
    <w:rsid w:val="00D42D4B"/>
    <w:rsid w:val="00D43244"/>
    <w:rsid w:val="00D43739"/>
    <w:rsid w:val="00D43AF9"/>
    <w:rsid w:val="00D43FF7"/>
    <w:rsid w:val="00D44243"/>
    <w:rsid w:val="00D44391"/>
    <w:rsid w:val="00D4456C"/>
    <w:rsid w:val="00D44612"/>
    <w:rsid w:val="00D44647"/>
    <w:rsid w:val="00D448C6"/>
    <w:rsid w:val="00D44B56"/>
    <w:rsid w:val="00D44C5F"/>
    <w:rsid w:val="00D44C6A"/>
    <w:rsid w:val="00D44CEE"/>
    <w:rsid w:val="00D44F45"/>
    <w:rsid w:val="00D450FE"/>
    <w:rsid w:val="00D451A4"/>
    <w:rsid w:val="00D453B1"/>
    <w:rsid w:val="00D45983"/>
    <w:rsid w:val="00D45BC0"/>
    <w:rsid w:val="00D45CB4"/>
    <w:rsid w:val="00D462AA"/>
    <w:rsid w:val="00D4673F"/>
    <w:rsid w:val="00D46841"/>
    <w:rsid w:val="00D468E3"/>
    <w:rsid w:val="00D46931"/>
    <w:rsid w:val="00D46AFF"/>
    <w:rsid w:val="00D46DCC"/>
    <w:rsid w:val="00D46E13"/>
    <w:rsid w:val="00D4712E"/>
    <w:rsid w:val="00D475A8"/>
    <w:rsid w:val="00D4766C"/>
    <w:rsid w:val="00D476E8"/>
    <w:rsid w:val="00D47A7A"/>
    <w:rsid w:val="00D47BD2"/>
    <w:rsid w:val="00D47BE5"/>
    <w:rsid w:val="00D47CDE"/>
    <w:rsid w:val="00D47E2B"/>
    <w:rsid w:val="00D47FCA"/>
    <w:rsid w:val="00D47FD7"/>
    <w:rsid w:val="00D500EE"/>
    <w:rsid w:val="00D50391"/>
    <w:rsid w:val="00D5044C"/>
    <w:rsid w:val="00D506A5"/>
    <w:rsid w:val="00D50768"/>
    <w:rsid w:val="00D50B10"/>
    <w:rsid w:val="00D50D0D"/>
    <w:rsid w:val="00D50DF7"/>
    <w:rsid w:val="00D510BA"/>
    <w:rsid w:val="00D510EA"/>
    <w:rsid w:val="00D511DA"/>
    <w:rsid w:val="00D51236"/>
    <w:rsid w:val="00D512F2"/>
    <w:rsid w:val="00D5133F"/>
    <w:rsid w:val="00D516B1"/>
    <w:rsid w:val="00D517AC"/>
    <w:rsid w:val="00D51940"/>
    <w:rsid w:val="00D51AA3"/>
    <w:rsid w:val="00D51ACE"/>
    <w:rsid w:val="00D51D17"/>
    <w:rsid w:val="00D51EAA"/>
    <w:rsid w:val="00D52432"/>
    <w:rsid w:val="00D52F2F"/>
    <w:rsid w:val="00D53220"/>
    <w:rsid w:val="00D53388"/>
    <w:rsid w:val="00D5347D"/>
    <w:rsid w:val="00D53588"/>
    <w:rsid w:val="00D535F3"/>
    <w:rsid w:val="00D53715"/>
    <w:rsid w:val="00D53755"/>
    <w:rsid w:val="00D53840"/>
    <w:rsid w:val="00D538BC"/>
    <w:rsid w:val="00D53A14"/>
    <w:rsid w:val="00D540C1"/>
    <w:rsid w:val="00D54686"/>
    <w:rsid w:val="00D5479C"/>
    <w:rsid w:val="00D54986"/>
    <w:rsid w:val="00D54DAD"/>
    <w:rsid w:val="00D552B6"/>
    <w:rsid w:val="00D5553C"/>
    <w:rsid w:val="00D555CE"/>
    <w:rsid w:val="00D555DA"/>
    <w:rsid w:val="00D55B18"/>
    <w:rsid w:val="00D55D23"/>
    <w:rsid w:val="00D55DE7"/>
    <w:rsid w:val="00D56166"/>
    <w:rsid w:val="00D56208"/>
    <w:rsid w:val="00D5636D"/>
    <w:rsid w:val="00D56397"/>
    <w:rsid w:val="00D56493"/>
    <w:rsid w:val="00D564F4"/>
    <w:rsid w:val="00D56559"/>
    <w:rsid w:val="00D5687E"/>
    <w:rsid w:val="00D5693A"/>
    <w:rsid w:val="00D56A1B"/>
    <w:rsid w:val="00D56A3B"/>
    <w:rsid w:val="00D56C77"/>
    <w:rsid w:val="00D56CF5"/>
    <w:rsid w:val="00D56D8D"/>
    <w:rsid w:val="00D56FE3"/>
    <w:rsid w:val="00D570DF"/>
    <w:rsid w:val="00D572DE"/>
    <w:rsid w:val="00D5788E"/>
    <w:rsid w:val="00D57A38"/>
    <w:rsid w:val="00D57ACD"/>
    <w:rsid w:val="00D57D8E"/>
    <w:rsid w:val="00D57DEF"/>
    <w:rsid w:val="00D57EA8"/>
    <w:rsid w:val="00D57EAB"/>
    <w:rsid w:val="00D57F5B"/>
    <w:rsid w:val="00D60081"/>
    <w:rsid w:val="00D6010A"/>
    <w:rsid w:val="00D60125"/>
    <w:rsid w:val="00D60296"/>
    <w:rsid w:val="00D60685"/>
    <w:rsid w:val="00D606D4"/>
    <w:rsid w:val="00D60720"/>
    <w:rsid w:val="00D609A2"/>
    <w:rsid w:val="00D60AF2"/>
    <w:rsid w:val="00D60B91"/>
    <w:rsid w:val="00D60D41"/>
    <w:rsid w:val="00D60D7F"/>
    <w:rsid w:val="00D60E85"/>
    <w:rsid w:val="00D60F61"/>
    <w:rsid w:val="00D61283"/>
    <w:rsid w:val="00D61565"/>
    <w:rsid w:val="00D615A1"/>
    <w:rsid w:val="00D6174D"/>
    <w:rsid w:val="00D61835"/>
    <w:rsid w:val="00D61900"/>
    <w:rsid w:val="00D619FC"/>
    <w:rsid w:val="00D61DE1"/>
    <w:rsid w:val="00D61DE4"/>
    <w:rsid w:val="00D61F62"/>
    <w:rsid w:val="00D620D9"/>
    <w:rsid w:val="00D62268"/>
    <w:rsid w:val="00D62367"/>
    <w:rsid w:val="00D6238D"/>
    <w:rsid w:val="00D623E8"/>
    <w:rsid w:val="00D6242E"/>
    <w:rsid w:val="00D62434"/>
    <w:rsid w:val="00D625A0"/>
    <w:rsid w:val="00D62756"/>
    <w:rsid w:val="00D62973"/>
    <w:rsid w:val="00D62A90"/>
    <w:rsid w:val="00D62AE8"/>
    <w:rsid w:val="00D62B0C"/>
    <w:rsid w:val="00D62C57"/>
    <w:rsid w:val="00D62D3F"/>
    <w:rsid w:val="00D63131"/>
    <w:rsid w:val="00D6322E"/>
    <w:rsid w:val="00D6353C"/>
    <w:rsid w:val="00D635B3"/>
    <w:rsid w:val="00D6367E"/>
    <w:rsid w:val="00D636BC"/>
    <w:rsid w:val="00D638BB"/>
    <w:rsid w:val="00D63B0C"/>
    <w:rsid w:val="00D63B15"/>
    <w:rsid w:val="00D63D72"/>
    <w:rsid w:val="00D63DC8"/>
    <w:rsid w:val="00D63EA7"/>
    <w:rsid w:val="00D63F0A"/>
    <w:rsid w:val="00D63F61"/>
    <w:rsid w:val="00D64098"/>
    <w:rsid w:val="00D6411F"/>
    <w:rsid w:val="00D641ED"/>
    <w:rsid w:val="00D64330"/>
    <w:rsid w:val="00D644BB"/>
    <w:rsid w:val="00D64981"/>
    <w:rsid w:val="00D649C3"/>
    <w:rsid w:val="00D64AA9"/>
    <w:rsid w:val="00D64AFD"/>
    <w:rsid w:val="00D64EAA"/>
    <w:rsid w:val="00D64EC9"/>
    <w:rsid w:val="00D64F2E"/>
    <w:rsid w:val="00D64F32"/>
    <w:rsid w:val="00D64F4A"/>
    <w:rsid w:val="00D64FA2"/>
    <w:rsid w:val="00D6547E"/>
    <w:rsid w:val="00D65560"/>
    <w:rsid w:val="00D6563D"/>
    <w:rsid w:val="00D65832"/>
    <w:rsid w:val="00D65A59"/>
    <w:rsid w:val="00D65BEC"/>
    <w:rsid w:val="00D65D92"/>
    <w:rsid w:val="00D661A3"/>
    <w:rsid w:val="00D663D3"/>
    <w:rsid w:val="00D66576"/>
    <w:rsid w:val="00D6664B"/>
    <w:rsid w:val="00D66697"/>
    <w:rsid w:val="00D6684B"/>
    <w:rsid w:val="00D6699C"/>
    <w:rsid w:val="00D66AE5"/>
    <w:rsid w:val="00D66BC3"/>
    <w:rsid w:val="00D66D3F"/>
    <w:rsid w:val="00D66D96"/>
    <w:rsid w:val="00D66DCC"/>
    <w:rsid w:val="00D671D2"/>
    <w:rsid w:val="00D67221"/>
    <w:rsid w:val="00D67482"/>
    <w:rsid w:val="00D67584"/>
    <w:rsid w:val="00D6758A"/>
    <w:rsid w:val="00D67635"/>
    <w:rsid w:val="00D67870"/>
    <w:rsid w:val="00D678A8"/>
    <w:rsid w:val="00D67A54"/>
    <w:rsid w:val="00D67B92"/>
    <w:rsid w:val="00D67C2B"/>
    <w:rsid w:val="00D700E2"/>
    <w:rsid w:val="00D701A0"/>
    <w:rsid w:val="00D70287"/>
    <w:rsid w:val="00D702DF"/>
    <w:rsid w:val="00D704C1"/>
    <w:rsid w:val="00D704FB"/>
    <w:rsid w:val="00D708D5"/>
    <w:rsid w:val="00D70A2E"/>
    <w:rsid w:val="00D7103B"/>
    <w:rsid w:val="00D71043"/>
    <w:rsid w:val="00D711D7"/>
    <w:rsid w:val="00D71263"/>
    <w:rsid w:val="00D71361"/>
    <w:rsid w:val="00D713EE"/>
    <w:rsid w:val="00D71502"/>
    <w:rsid w:val="00D71532"/>
    <w:rsid w:val="00D71758"/>
    <w:rsid w:val="00D71986"/>
    <w:rsid w:val="00D71B88"/>
    <w:rsid w:val="00D71CAD"/>
    <w:rsid w:val="00D71DC5"/>
    <w:rsid w:val="00D71E75"/>
    <w:rsid w:val="00D71EEA"/>
    <w:rsid w:val="00D7216D"/>
    <w:rsid w:val="00D7228E"/>
    <w:rsid w:val="00D72751"/>
    <w:rsid w:val="00D7289B"/>
    <w:rsid w:val="00D729B9"/>
    <w:rsid w:val="00D729EE"/>
    <w:rsid w:val="00D729F2"/>
    <w:rsid w:val="00D72A2B"/>
    <w:rsid w:val="00D72ABC"/>
    <w:rsid w:val="00D72BD8"/>
    <w:rsid w:val="00D72FB7"/>
    <w:rsid w:val="00D73119"/>
    <w:rsid w:val="00D73189"/>
    <w:rsid w:val="00D73210"/>
    <w:rsid w:val="00D7326A"/>
    <w:rsid w:val="00D73510"/>
    <w:rsid w:val="00D7368C"/>
    <w:rsid w:val="00D7375D"/>
    <w:rsid w:val="00D73B75"/>
    <w:rsid w:val="00D73CAF"/>
    <w:rsid w:val="00D7419C"/>
    <w:rsid w:val="00D74586"/>
    <w:rsid w:val="00D74670"/>
    <w:rsid w:val="00D7473B"/>
    <w:rsid w:val="00D747BF"/>
    <w:rsid w:val="00D74987"/>
    <w:rsid w:val="00D74B71"/>
    <w:rsid w:val="00D7506E"/>
    <w:rsid w:val="00D751C3"/>
    <w:rsid w:val="00D752AF"/>
    <w:rsid w:val="00D75673"/>
    <w:rsid w:val="00D75761"/>
    <w:rsid w:val="00D75776"/>
    <w:rsid w:val="00D757E4"/>
    <w:rsid w:val="00D757ED"/>
    <w:rsid w:val="00D75987"/>
    <w:rsid w:val="00D759F7"/>
    <w:rsid w:val="00D75A78"/>
    <w:rsid w:val="00D75B1A"/>
    <w:rsid w:val="00D75BC3"/>
    <w:rsid w:val="00D75E25"/>
    <w:rsid w:val="00D75E33"/>
    <w:rsid w:val="00D76603"/>
    <w:rsid w:val="00D76637"/>
    <w:rsid w:val="00D76820"/>
    <w:rsid w:val="00D76840"/>
    <w:rsid w:val="00D769DA"/>
    <w:rsid w:val="00D76C89"/>
    <w:rsid w:val="00D76D7F"/>
    <w:rsid w:val="00D76E8A"/>
    <w:rsid w:val="00D77121"/>
    <w:rsid w:val="00D7714F"/>
    <w:rsid w:val="00D771BF"/>
    <w:rsid w:val="00D772D6"/>
    <w:rsid w:val="00D77389"/>
    <w:rsid w:val="00D77498"/>
    <w:rsid w:val="00D779FE"/>
    <w:rsid w:val="00D77C3C"/>
    <w:rsid w:val="00D77C4B"/>
    <w:rsid w:val="00D77CD7"/>
    <w:rsid w:val="00D77D3B"/>
    <w:rsid w:val="00D77E25"/>
    <w:rsid w:val="00D8029E"/>
    <w:rsid w:val="00D802DE"/>
    <w:rsid w:val="00D8038D"/>
    <w:rsid w:val="00D8052F"/>
    <w:rsid w:val="00D8087A"/>
    <w:rsid w:val="00D808E3"/>
    <w:rsid w:val="00D80A9C"/>
    <w:rsid w:val="00D80AE1"/>
    <w:rsid w:val="00D80C2F"/>
    <w:rsid w:val="00D80D34"/>
    <w:rsid w:val="00D8129D"/>
    <w:rsid w:val="00D81388"/>
    <w:rsid w:val="00D813DA"/>
    <w:rsid w:val="00D81444"/>
    <w:rsid w:val="00D814A4"/>
    <w:rsid w:val="00D81515"/>
    <w:rsid w:val="00D819B9"/>
    <w:rsid w:val="00D819D2"/>
    <w:rsid w:val="00D81AC0"/>
    <w:rsid w:val="00D81B4C"/>
    <w:rsid w:val="00D81E90"/>
    <w:rsid w:val="00D824C6"/>
    <w:rsid w:val="00D82526"/>
    <w:rsid w:val="00D8254A"/>
    <w:rsid w:val="00D829AC"/>
    <w:rsid w:val="00D82C07"/>
    <w:rsid w:val="00D82D9A"/>
    <w:rsid w:val="00D82D9B"/>
    <w:rsid w:val="00D82EF1"/>
    <w:rsid w:val="00D8350D"/>
    <w:rsid w:val="00D83A5B"/>
    <w:rsid w:val="00D83A9A"/>
    <w:rsid w:val="00D83BC6"/>
    <w:rsid w:val="00D83DCC"/>
    <w:rsid w:val="00D84050"/>
    <w:rsid w:val="00D840FF"/>
    <w:rsid w:val="00D84156"/>
    <w:rsid w:val="00D8427B"/>
    <w:rsid w:val="00D84329"/>
    <w:rsid w:val="00D84481"/>
    <w:rsid w:val="00D844F5"/>
    <w:rsid w:val="00D8489A"/>
    <w:rsid w:val="00D8489D"/>
    <w:rsid w:val="00D84A7E"/>
    <w:rsid w:val="00D84C8E"/>
    <w:rsid w:val="00D84CE7"/>
    <w:rsid w:val="00D84DE0"/>
    <w:rsid w:val="00D851D9"/>
    <w:rsid w:val="00D85230"/>
    <w:rsid w:val="00D85266"/>
    <w:rsid w:val="00D85437"/>
    <w:rsid w:val="00D8549A"/>
    <w:rsid w:val="00D854C7"/>
    <w:rsid w:val="00D856C7"/>
    <w:rsid w:val="00D859F1"/>
    <w:rsid w:val="00D85A11"/>
    <w:rsid w:val="00D85C37"/>
    <w:rsid w:val="00D8600E"/>
    <w:rsid w:val="00D861F0"/>
    <w:rsid w:val="00D86216"/>
    <w:rsid w:val="00D86312"/>
    <w:rsid w:val="00D864EE"/>
    <w:rsid w:val="00D86753"/>
    <w:rsid w:val="00D868DF"/>
    <w:rsid w:val="00D86D91"/>
    <w:rsid w:val="00D86FB1"/>
    <w:rsid w:val="00D8704E"/>
    <w:rsid w:val="00D870F0"/>
    <w:rsid w:val="00D871AB"/>
    <w:rsid w:val="00D874E6"/>
    <w:rsid w:val="00D875E4"/>
    <w:rsid w:val="00D878C3"/>
    <w:rsid w:val="00D87A28"/>
    <w:rsid w:val="00D87BD6"/>
    <w:rsid w:val="00D87D21"/>
    <w:rsid w:val="00D87DF9"/>
    <w:rsid w:val="00D87FA6"/>
    <w:rsid w:val="00D87FDE"/>
    <w:rsid w:val="00D900A0"/>
    <w:rsid w:val="00D900DE"/>
    <w:rsid w:val="00D90262"/>
    <w:rsid w:val="00D9029D"/>
    <w:rsid w:val="00D903CF"/>
    <w:rsid w:val="00D90471"/>
    <w:rsid w:val="00D9054B"/>
    <w:rsid w:val="00D90806"/>
    <w:rsid w:val="00D90B0A"/>
    <w:rsid w:val="00D90FC3"/>
    <w:rsid w:val="00D911B2"/>
    <w:rsid w:val="00D9156B"/>
    <w:rsid w:val="00D9156F"/>
    <w:rsid w:val="00D91722"/>
    <w:rsid w:val="00D917BE"/>
    <w:rsid w:val="00D91829"/>
    <w:rsid w:val="00D919B3"/>
    <w:rsid w:val="00D91A9A"/>
    <w:rsid w:val="00D91B51"/>
    <w:rsid w:val="00D92103"/>
    <w:rsid w:val="00D9216C"/>
    <w:rsid w:val="00D92458"/>
    <w:rsid w:val="00D92488"/>
    <w:rsid w:val="00D9294B"/>
    <w:rsid w:val="00D92A7D"/>
    <w:rsid w:val="00D92ABF"/>
    <w:rsid w:val="00D92CBA"/>
    <w:rsid w:val="00D92EE5"/>
    <w:rsid w:val="00D92F78"/>
    <w:rsid w:val="00D9342A"/>
    <w:rsid w:val="00D93615"/>
    <w:rsid w:val="00D93C52"/>
    <w:rsid w:val="00D93D87"/>
    <w:rsid w:val="00D9401F"/>
    <w:rsid w:val="00D943AF"/>
    <w:rsid w:val="00D943B4"/>
    <w:rsid w:val="00D94455"/>
    <w:rsid w:val="00D945AB"/>
    <w:rsid w:val="00D945E4"/>
    <w:rsid w:val="00D946F9"/>
    <w:rsid w:val="00D94862"/>
    <w:rsid w:val="00D9492C"/>
    <w:rsid w:val="00D94A33"/>
    <w:rsid w:val="00D94B8C"/>
    <w:rsid w:val="00D94BB6"/>
    <w:rsid w:val="00D94DCF"/>
    <w:rsid w:val="00D95153"/>
    <w:rsid w:val="00D95163"/>
    <w:rsid w:val="00D954D1"/>
    <w:rsid w:val="00D95588"/>
    <w:rsid w:val="00D95590"/>
    <w:rsid w:val="00D95889"/>
    <w:rsid w:val="00D959E5"/>
    <w:rsid w:val="00D95A05"/>
    <w:rsid w:val="00D95BEF"/>
    <w:rsid w:val="00D95E07"/>
    <w:rsid w:val="00D961FD"/>
    <w:rsid w:val="00D96213"/>
    <w:rsid w:val="00D963DF"/>
    <w:rsid w:val="00D966C2"/>
    <w:rsid w:val="00D9688D"/>
    <w:rsid w:val="00D968B7"/>
    <w:rsid w:val="00D968CD"/>
    <w:rsid w:val="00D96A92"/>
    <w:rsid w:val="00D96B33"/>
    <w:rsid w:val="00D96C14"/>
    <w:rsid w:val="00D96CE6"/>
    <w:rsid w:val="00D96FFB"/>
    <w:rsid w:val="00D97091"/>
    <w:rsid w:val="00D974C5"/>
    <w:rsid w:val="00D97724"/>
    <w:rsid w:val="00D97DC4"/>
    <w:rsid w:val="00D97E39"/>
    <w:rsid w:val="00DA0417"/>
    <w:rsid w:val="00DA0A53"/>
    <w:rsid w:val="00DA0B61"/>
    <w:rsid w:val="00DA0E68"/>
    <w:rsid w:val="00DA11B8"/>
    <w:rsid w:val="00DA11D6"/>
    <w:rsid w:val="00DA1225"/>
    <w:rsid w:val="00DA1503"/>
    <w:rsid w:val="00DA16DB"/>
    <w:rsid w:val="00DA1725"/>
    <w:rsid w:val="00DA1734"/>
    <w:rsid w:val="00DA18A8"/>
    <w:rsid w:val="00DA18AC"/>
    <w:rsid w:val="00DA1BA6"/>
    <w:rsid w:val="00DA1E63"/>
    <w:rsid w:val="00DA1EDD"/>
    <w:rsid w:val="00DA205B"/>
    <w:rsid w:val="00DA21DB"/>
    <w:rsid w:val="00DA224E"/>
    <w:rsid w:val="00DA22D2"/>
    <w:rsid w:val="00DA24AD"/>
    <w:rsid w:val="00DA277E"/>
    <w:rsid w:val="00DA29D8"/>
    <w:rsid w:val="00DA2A89"/>
    <w:rsid w:val="00DA2A9C"/>
    <w:rsid w:val="00DA2B0C"/>
    <w:rsid w:val="00DA2BBC"/>
    <w:rsid w:val="00DA2BCD"/>
    <w:rsid w:val="00DA2C57"/>
    <w:rsid w:val="00DA2DE9"/>
    <w:rsid w:val="00DA36D3"/>
    <w:rsid w:val="00DA3AD9"/>
    <w:rsid w:val="00DA3B98"/>
    <w:rsid w:val="00DA3BD3"/>
    <w:rsid w:val="00DA3D75"/>
    <w:rsid w:val="00DA3E52"/>
    <w:rsid w:val="00DA3EDB"/>
    <w:rsid w:val="00DA418C"/>
    <w:rsid w:val="00DA42E8"/>
    <w:rsid w:val="00DA48FC"/>
    <w:rsid w:val="00DA49ED"/>
    <w:rsid w:val="00DA503E"/>
    <w:rsid w:val="00DA506C"/>
    <w:rsid w:val="00DA51E4"/>
    <w:rsid w:val="00DA5434"/>
    <w:rsid w:val="00DA58D4"/>
    <w:rsid w:val="00DA59B3"/>
    <w:rsid w:val="00DA59CF"/>
    <w:rsid w:val="00DA5A16"/>
    <w:rsid w:val="00DA5AEB"/>
    <w:rsid w:val="00DA5FB9"/>
    <w:rsid w:val="00DA6062"/>
    <w:rsid w:val="00DA629A"/>
    <w:rsid w:val="00DA6343"/>
    <w:rsid w:val="00DA641F"/>
    <w:rsid w:val="00DA65A6"/>
    <w:rsid w:val="00DA69B2"/>
    <w:rsid w:val="00DA6A79"/>
    <w:rsid w:val="00DA6B34"/>
    <w:rsid w:val="00DA6CA9"/>
    <w:rsid w:val="00DA6CB9"/>
    <w:rsid w:val="00DA6DFF"/>
    <w:rsid w:val="00DA6E82"/>
    <w:rsid w:val="00DA6E9C"/>
    <w:rsid w:val="00DA708D"/>
    <w:rsid w:val="00DA738D"/>
    <w:rsid w:val="00DA73B7"/>
    <w:rsid w:val="00DA73FE"/>
    <w:rsid w:val="00DA75E4"/>
    <w:rsid w:val="00DA76F6"/>
    <w:rsid w:val="00DA782E"/>
    <w:rsid w:val="00DA7CB6"/>
    <w:rsid w:val="00DA7DE2"/>
    <w:rsid w:val="00DB04BD"/>
    <w:rsid w:val="00DB053D"/>
    <w:rsid w:val="00DB0ADB"/>
    <w:rsid w:val="00DB0C97"/>
    <w:rsid w:val="00DB0D53"/>
    <w:rsid w:val="00DB0DB3"/>
    <w:rsid w:val="00DB0F97"/>
    <w:rsid w:val="00DB1119"/>
    <w:rsid w:val="00DB1187"/>
    <w:rsid w:val="00DB1551"/>
    <w:rsid w:val="00DB1905"/>
    <w:rsid w:val="00DB1A20"/>
    <w:rsid w:val="00DB1B4B"/>
    <w:rsid w:val="00DB1CB5"/>
    <w:rsid w:val="00DB1CE0"/>
    <w:rsid w:val="00DB1E91"/>
    <w:rsid w:val="00DB2239"/>
    <w:rsid w:val="00DB223C"/>
    <w:rsid w:val="00DB23A4"/>
    <w:rsid w:val="00DB268D"/>
    <w:rsid w:val="00DB2B51"/>
    <w:rsid w:val="00DB2C46"/>
    <w:rsid w:val="00DB2C74"/>
    <w:rsid w:val="00DB352F"/>
    <w:rsid w:val="00DB3994"/>
    <w:rsid w:val="00DB39CF"/>
    <w:rsid w:val="00DB3AFB"/>
    <w:rsid w:val="00DB3BAC"/>
    <w:rsid w:val="00DB3CE9"/>
    <w:rsid w:val="00DB3DF0"/>
    <w:rsid w:val="00DB3E22"/>
    <w:rsid w:val="00DB3EF8"/>
    <w:rsid w:val="00DB4058"/>
    <w:rsid w:val="00DB422A"/>
    <w:rsid w:val="00DB4329"/>
    <w:rsid w:val="00DB475E"/>
    <w:rsid w:val="00DB49F2"/>
    <w:rsid w:val="00DB4B92"/>
    <w:rsid w:val="00DB4D05"/>
    <w:rsid w:val="00DB4DC4"/>
    <w:rsid w:val="00DB4E6A"/>
    <w:rsid w:val="00DB4EAB"/>
    <w:rsid w:val="00DB4F7D"/>
    <w:rsid w:val="00DB5053"/>
    <w:rsid w:val="00DB512D"/>
    <w:rsid w:val="00DB5222"/>
    <w:rsid w:val="00DB5543"/>
    <w:rsid w:val="00DB55F9"/>
    <w:rsid w:val="00DB5610"/>
    <w:rsid w:val="00DB5797"/>
    <w:rsid w:val="00DB5945"/>
    <w:rsid w:val="00DB5A39"/>
    <w:rsid w:val="00DB5A6A"/>
    <w:rsid w:val="00DB5AB8"/>
    <w:rsid w:val="00DB5ABB"/>
    <w:rsid w:val="00DB5CC6"/>
    <w:rsid w:val="00DB5D19"/>
    <w:rsid w:val="00DB5E9E"/>
    <w:rsid w:val="00DB5F6C"/>
    <w:rsid w:val="00DB5F8E"/>
    <w:rsid w:val="00DB634B"/>
    <w:rsid w:val="00DB63D5"/>
    <w:rsid w:val="00DB657D"/>
    <w:rsid w:val="00DB65E2"/>
    <w:rsid w:val="00DB6ABE"/>
    <w:rsid w:val="00DB6BCF"/>
    <w:rsid w:val="00DB6D9A"/>
    <w:rsid w:val="00DB6FE7"/>
    <w:rsid w:val="00DB72A6"/>
    <w:rsid w:val="00DB72DA"/>
    <w:rsid w:val="00DB74BE"/>
    <w:rsid w:val="00DB7505"/>
    <w:rsid w:val="00DB7612"/>
    <w:rsid w:val="00DB7968"/>
    <w:rsid w:val="00DB7A27"/>
    <w:rsid w:val="00DC002E"/>
    <w:rsid w:val="00DC004E"/>
    <w:rsid w:val="00DC01F8"/>
    <w:rsid w:val="00DC01FC"/>
    <w:rsid w:val="00DC050C"/>
    <w:rsid w:val="00DC077B"/>
    <w:rsid w:val="00DC07E5"/>
    <w:rsid w:val="00DC0A1D"/>
    <w:rsid w:val="00DC0A39"/>
    <w:rsid w:val="00DC0DFB"/>
    <w:rsid w:val="00DC0FA1"/>
    <w:rsid w:val="00DC1276"/>
    <w:rsid w:val="00DC14C7"/>
    <w:rsid w:val="00DC15F2"/>
    <w:rsid w:val="00DC17FA"/>
    <w:rsid w:val="00DC1946"/>
    <w:rsid w:val="00DC1954"/>
    <w:rsid w:val="00DC1C54"/>
    <w:rsid w:val="00DC1C9D"/>
    <w:rsid w:val="00DC1E31"/>
    <w:rsid w:val="00DC1E9A"/>
    <w:rsid w:val="00DC1FDB"/>
    <w:rsid w:val="00DC205A"/>
    <w:rsid w:val="00DC2117"/>
    <w:rsid w:val="00DC211D"/>
    <w:rsid w:val="00DC2166"/>
    <w:rsid w:val="00DC2644"/>
    <w:rsid w:val="00DC26C1"/>
    <w:rsid w:val="00DC278D"/>
    <w:rsid w:val="00DC2A29"/>
    <w:rsid w:val="00DC2C5D"/>
    <w:rsid w:val="00DC2C72"/>
    <w:rsid w:val="00DC2CA4"/>
    <w:rsid w:val="00DC2E61"/>
    <w:rsid w:val="00DC2FAC"/>
    <w:rsid w:val="00DC30BC"/>
    <w:rsid w:val="00DC322C"/>
    <w:rsid w:val="00DC3247"/>
    <w:rsid w:val="00DC32F6"/>
    <w:rsid w:val="00DC3362"/>
    <w:rsid w:val="00DC3528"/>
    <w:rsid w:val="00DC3541"/>
    <w:rsid w:val="00DC3A8F"/>
    <w:rsid w:val="00DC3B26"/>
    <w:rsid w:val="00DC3B5B"/>
    <w:rsid w:val="00DC3D0E"/>
    <w:rsid w:val="00DC3D19"/>
    <w:rsid w:val="00DC417F"/>
    <w:rsid w:val="00DC41B0"/>
    <w:rsid w:val="00DC43BE"/>
    <w:rsid w:val="00DC4432"/>
    <w:rsid w:val="00DC44A8"/>
    <w:rsid w:val="00DC4863"/>
    <w:rsid w:val="00DC48E6"/>
    <w:rsid w:val="00DC49FE"/>
    <w:rsid w:val="00DC4AD5"/>
    <w:rsid w:val="00DC4CE4"/>
    <w:rsid w:val="00DC50EF"/>
    <w:rsid w:val="00DC5102"/>
    <w:rsid w:val="00DC5253"/>
    <w:rsid w:val="00DC53DA"/>
    <w:rsid w:val="00DC55C9"/>
    <w:rsid w:val="00DC55DF"/>
    <w:rsid w:val="00DC56A1"/>
    <w:rsid w:val="00DC570F"/>
    <w:rsid w:val="00DC5BCF"/>
    <w:rsid w:val="00DC5DE7"/>
    <w:rsid w:val="00DC630C"/>
    <w:rsid w:val="00DC6603"/>
    <w:rsid w:val="00DC667E"/>
    <w:rsid w:val="00DC690D"/>
    <w:rsid w:val="00DC6951"/>
    <w:rsid w:val="00DC69DA"/>
    <w:rsid w:val="00DC6A0D"/>
    <w:rsid w:val="00DC6ACD"/>
    <w:rsid w:val="00DC6C4F"/>
    <w:rsid w:val="00DC70F2"/>
    <w:rsid w:val="00DC723C"/>
    <w:rsid w:val="00DC7328"/>
    <w:rsid w:val="00DC7332"/>
    <w:rsid w:val="00DC77FA"/>
    <w:rsid w:val="00DC7B9F"/>
    <w:rsid w:val="00DC7C4E"/>
    <w:rsid w:val="00DC7DB2"/>
    <w:rsid w:val="00DC7E0C"/>
    <w:rsid w:val="00DC7E19"/>
    <w:rsid w:val="00DC7E7A"/>
    <w:rsid w:val="00DD00C1"/>
    <w:rsid w:val="00DD01BE"/>
    <w:rsid w:val="00DD01D2"/>
    <w:rsid w:val="00DD01F3"/>
    <w:rsid w:val="00DD05C4"/>
    <w:rsid w:val="00DD0622"/>
    <w:rsid w:val="00DD072F"/>
    <w:rsid w:val="00DD0755"/>
    <w:rsid w:val="00DD09BF"/>
    <w:rsid w:val="00DD0A26"/>
    <w:rsid w:val="00DD0A9A"/>
    <w:rsid w:val="00DD0BFE"/>
    <w:rsid w:val="00DD0D1B"/>
    <w:rsid w:val="00DD1077"/>
    <w:rsid w:val="00DD1363"/>
    <w:rsid w:val="00DD1465"/>
    <w:rsid w:val="00DD1A48"/>
    <w:rsid w:val="00DD1BBE"/>
    <w:rsid w:val="00DD1C55"/>
    <w:rsid w:val="00DD1EDC"/>
    <w:rsid w:val="00DD1F8D"/>
    <w:rsid w:val="00DD2222"/>
    <w:rsid w:val="00DD2267"/>
    <w:rsid w:val="00DD230C"/>
    <w:rsid w:val="00DD24BF"/>
    <w:rsid w:val="00DD2725"/>
    <w:rsid w:val="00DD279E"/>
    <w:rsid w:val="00DD27DA"/>
    <w:rsid w:val="00DD285F"/>
    <w:rsid w:val="00DD2D17"/>
    <w:rsid w:val="00DD2F67"/>
    <w:rsid w:val="00DD308A"/>
    <w:rsid w:val="00DD30D0"/>
    <w:rsid w:val="00DD33AD"/>
    <w:rsid w:val="00DD34E7"/>
    <w:rsid w:val="00DD3693"/>
    <w:rsid w:val="00DD389D"/>
    <w:rsid w:val="00DD39D8"/>
    <w:rsid w:val="00DD3A71"/>
    <w:rsid w:val="00DD3A7A"/>
    <w:rsid w:val="00DD3B92"/>
    <w:rsid w:val="00DD3B97"/>
    <w:rsid w:val="00DD3DD3"/>
    <w:rsid w:val="00DD3F7E"/>
    <w:rsid w:val="00DD3FFA"/>
    <w:rsid w:val="00DD40FF"/>
    <w:rsid w:val="00DD430E"/>
    <w:rsid w:val="00DD4456"/>
    <w:rsid w:val="00DD4570"/>
    <w:rsid w:val="00DD45BE"/>
    <w:rsid w:val="00DD474B"/>
    <w:rsid w:val="00DD482A"/>
    <w:rsid w:val="00DD4928"/>
    <w:rsid w:val="00DD494C"/>
    <w:rsid w:val="00DD4963"/>
    <w:rsid w:val="00DD4A85"/>
    <w:rsid w:val="00DD4AED"/>
    <w:rsid w:val="00DD4C39"/>
    <w:rsid w:val="00DD4C53"/>
    <w:rsid w:val="00DD4C72"/>
    <w:rsid w:val="00DD4D3C"/>
    <w:rsid w:val="00DD4D78"/>
    <w:rsid w:val="00DD4FA1"/>
    <w:rsid w:val="00DD4FD1"/>
    <w:rsid w:val="00DD5022"/>
    <w:rsid w:val="00DD5126"/>
    <w:rsid w:val="00DD5167"/>
    <w:rsid w:val="00DD516A"/>
    <w:rsid w:val="00DD5229"/>
    <w:rsid w:val="00DD5295"/>
    <w:rsid w:val="00DD53BD"/>
    <w:rsid w:val="00DD5577"/>
    <w:rsid w:val="00DD5B60"/>
    <w:rsid w:val="00DD5DF5"/>
    <w:rsid w:val="00DD5EB5"/>
    <w:rsid w:val="00DD5F7A"/>
    <w:rsid w:val="00DD60E9"/>
    <w:rsid w:val="00DD61AD"/>
    <w:rsid w:val="00DD6277"/>
    <w:rsid w:val="00DD6361"/>
    <w:rsid w:val="00DD667E"/>
    <w:rsid w:val="00DD6690"/>
    <w:rsid w:val="00DD6817"/>
    <w:rsid w:val="00DD6B9D"/>
    <w:rsid w:val="00DD6C42"/>
    <w:rsid w:val="00DD6E04"/>
    <w:rsid w:val="00DD6E90"/>
    <w:rsid w:val="00DD713C"/>
    <w:rsid w:val="00DD72A1"/>
    <w:rsid w:val="00DD7466"/>
    <w:rsid w:val="00DD74A1"/>
    <w:rsid w:val="00DD7530"/>
    <w:rsid w:val="00DD7641"/>
    <w:rsid w:val="00DD7676"/>
    <w:rsid w:val="00DD7731"/>
    <w:rsid w:val="00DD790E"/>
    <w:rsid w:val="00DD7A88"/>
    <w:rsid w:val="00DD7BB2"/>
    <w:rsid w:val="00DD7D94"/>
    <w:rsid w:val="00DE0179"/>
    <w:rsid w:val="00DE01BB"/>
    <w:rsid w:val="00DE020D"/>
    <w:rsid w:val="00DE023E"/>
    <w:rsid w:val="00DE076F"/>
    <w:rsid w:val="00DE08EF"/>
    <w:rsid w:val="00DE0B7D"/>
    <w:rsid w:val="00DE0BFF"/>
    <w:rsid w:val="00DE0DA5"/>
    <w:rsid w:val="00DE0F02"/>
    <w:rsid w:val="00DE0F46"/>
    <w:rsid w:val="00DE1015"/>
    <w:rsid w:val="00DE1188"/>
    <w:rsid w:val="00DE119B"/>
    <w:rsid w:val="00DE13F2"/>
    <w:rsid w:val="00DE198C"/>
    <w:rsid w:val="00DE1C8C"/>
    <w:rsid w:val="00DE1EC0"/>
    <w:rsid w:val="00DE202D"/>
    <w:rsid w:val="00DE20D5"/>
    <w:rsid w:val="00DE2314"/>
    <w:rsid w:val="00DE2410"/>
    <w:rsid w:val="00DE2626"/>
    <w:rsid w:val="00DE26EE"/>
    <w:rsid w:val="00DE2B05"/>
    <w:rsid w:val="00DE2B42"/>
    <w:rsid w:val="00DE2B80"/>
    <w:rsid w:val="00DE333F"/>
    <w:rsid w:val="00DE3492"/>
    <w:rsid w:val="00DE3510"/>
    <w:rsid w:val="00DE3548"/>
    <w:rsid w:val="00DE3C24"/>
    <w:rsid w:val="00DE3D1E"/>
    <w:rsid w:val="00DE3E69"/>
    <w:rsid w:val="00DE3F18"/>
    <w:rsid w:val="00DE3FE7"/>
    <w:rsid w:val="00DE444A"/>
    <w:rsid w:val="00DE47AC"/>
    <w:rsid w:val="00DE4AED"/>
    <w:rsid w:val="00DE4AF5"/>
    <w:rsid w:val="00DE4B2E"/>
    <w:rsid w:val="00DE4D97"/>
    <w:rsid w:val="00DE4F8C"/>
    <w:rsid w:val="00DE51BF"/>
    <w:rsid w:val="00DE5222"/>
    <w:rsid w:val="00DE5B5C"/>
    <w:rsid w:val="00DE5C1A"/>
    <w:rsid w:val="00DE5CD0"/>
    <w:rsid w:val="00DE5CE2"/>
    <w:rsid w:val="00DE5D70"/>
    <w:rsid w:val="00DE5F31"/>
    <w:rsid w:val="00DE6138"/>
    <w:rsid w:val="00DE6146"/>
    <w:rsid w:val="00DE630E"/>
    <w:rsid w:val="00DE6477"/>
    <w:rsid w:val="00DE658A"/>
    <w:rsid w:val="00DE6663"/>
    <w:rsid w:val="00DE6697"/>
    <w:rsid w:val="00DE673F"/>
    <w:rsid w:val="00DE67E5"/>
    <w:rsid w:val="00DE67EF"/>
    <w:rsid w:val="00DE6CA4"/>
    <w:rsid w:val="00DE6E8C"/>
    <w:rsid w:val="00DE6F01"/>
    <w:rsid w:val="00DE705B"/>
    <w:rsid w:val="00DE70C9"/>
    <w:rsid w:val="00DE718D"/>
    <w:rsid w:val="00DE7360"/>
    <w:rsid w:val="00DE74AE"/>
    <w:rsid w:val="00DE7799"/>
    <w:rsid w:val="00DE77CB"/>
    <w:rsid w:val="00DE7D45"/>
    <w:rsid w:val="00DE7DF0"/>
    <w:rsid w:val="00DE7E63"/>
    <w:rsid w:val="00DE7FE2"/>
    <w:rsid w:val="00DF0248"/>
    <w:rsid w:val="00DF031D"/>
    <w:rsid w:val="00DF04AE"/>
    <w:rsid w:val="00DF054C"/>
    <w:rsid w:val="00DF069F"/>
    <w:rsid w:val="00DF0B61"/>
    <w:rsid w:val="00DF0B9A"/>
    <w:rsid w:val="00DF0CDE"/>
    <w:rsid w:val="00DF0D36"/>
    <w:rsid w:val="00DF0EDA"/>
    <w:rsid w:val="00DF0EF6"/>
    <w:rsid w:val="00DF120D"/>
    <w:rsid w:val="00DF12DA"/>
    <w:rsid w:val="00DF12FA"/>
    <w:rsid w:val="00DF193E"/>
    <w:rsid w:val="00DF1B82"/>
    <w:rsid w:val="00DF1D1F"/>
    <w:rsid w:val="00DF20A6"/>
    <w:rsid w:val="00DF2256"/>
    <w:rsid w:val="00DF2313"/>
    <w:rsid w:val="00DF234B"/>
    <w:rsid w:val="00DF23F1"/>
    <w:rsid w:val="00DF281C"/>
    <w:rsid w:val="00DF284B"/>
    <w:rsid w:val="00DF28C5"/>
    <w:rsid w:val="00DF2929"/>
    <w:rsid w:val="00DF2D0D"/>
    <w:rsid w:val="00DF2D38"/>
    <w:rsid w:val="00DF2E10"/>
    <w:rsid w:val="00DF2E67"/>
    <w:rsid w:val="00DF2E9B"/>
    <w:rsid w:val="00DF3050"/>
    <w:rsid w:val="00DF3104"/>
    <w:rsid w:val="00DF313E"/>
    <w:rsid w:val="00DF3166"/>
    <w:rsid w:val="00DF322E"/>
    <w:rsid w:val="00DF3316"/>
    <w:rsid w:val="00DF33B0"/>
    <w:rsid w:val="00DF3445"/>
    <w:rsid w:val="00DF34DD"/>
    <w:rsid w:val="00DF37F4"/>
    <w:rsid w:val="00DF3BF9"/>
    <w:rsid w:val="00DF3E4B"/>
    <w:rsid w:val="00DF3EAB"/>
    <w:rsid w:val="00DF46CE"/>
    <w:rsid w:val="00DF474E"/>
    <w:rsid w:val="00DF4942"/>
    <w:rsid w:val="00DF5265"/>
    <w:rsid w:val="00DF52FA"/>
    <w:rsid w:val="00DF543A"/>
    <w:rsid w:val="00DF54C1"/>
    <w:rsid w:val="00DF55B2"/>
    <w:rsid w:val="00DF56C4"/>
    <w:rsid w:val="00DF5886"/>
    <w:rsid w:val="00DF5BCA"/>
    <w:rsid w:val="00DF5BDD"/>
    <w:rsid w:val="00DF60E5"/>
    <w:rsid w:val="00DF60E6"/>
    <w:rsid w:val="00DF61F2"/>
    <w:rsid w:val="00DF64EE"/>
    <w:rsid w:val="00DF64FE"/>
    <w:rsid w:val="00DF651D"/>
    <w:rsid w:val="00DF6746"/>
    <w:rsid w:val="00DF6A94"/>
    <w:rsid w:val="00DF6B7D"/>
    <w:rsid w:val="00DF6CA3"/>
    <w:rsid w:val="00DF6CB6"/>
    <w:rsid w:val="00DF7010"/>
    <w:rsid w:val="00DF71A3"/>
    <w:rsid w:val="00DF738A"/>
    <w:rsid w:val="00DF769F"/>
    <w:rsid w:val="00DF779E"/>
    <w:rsid w:val="00DF7986"/>
    <w:rsid w:val="00DF7E2C"/>
    <w:rsid w:val="00DF7EA2"/>
    <w:rsid w:val="00DF7F8E"/>
    <w:rsid w:val="00E001CA"/>
    <w:rsid w:val="00E0020B"/>
    <w:rsid w:val="00E0030E"/>
    <w:rsid w:val="00E00381"/>
    <w:rsid w:val="00E0050C"/>
    <w:rsid w:val="00E00915"/>
    <w:rsid w:val="00E009FB"/>
    <w:rsid w:val="00E00A0F"/>
    <w:rsid w:val="00E00B9B"/>
    <w:rsid w:val="00E00BD2"/>
    <w:rsid w:val="00E00D4D"/>
    <w:rsid w:val="00E01086"/>
    <w:rsid w:val="00E0121C"/>
    <w:rsid w:val="00E0137A"/>
    <w:rsid w:val="00E01476"/>
    <w:rsid w:val="00E01692"/>
    <w:rsid w:val="00E01AB5"/>
    <w:rsid w:val="00E0203E"/>
    <w:rsid w:val="00E020A9"/>
    <w:rsid w:val="00E021FF"/>
    <w:rsid w:val="00E02411"/>
    <w:rsid w:val="00E0266F"/>
    <w:rsid w:val="00E02751"/>
    <w:rsid w:val="00E02929"/>
    <w:rsid w:val="00E0293E"/>
    <w:rsid w:val="00E02AB1"/>
    <w:rsid w:val="00E02C0E"/>
    <w:rsid w:val="00E02FA9"/>
    <w:rsid w:val="00E02FB6"/>
    <w:rsid w:val="00E030A9"/>
    <w:rsid w:val="00E030D4"/>
    <w:rsid w:val="00E031F7"/>
    <w:rsid w:val="00E03A66"/>
    <w:rsid w:val="00E03A98"/>
    <w:rsid w:val="00E03B1C"/>
    <w:rsid w:val="00E03B6B"/>
    <w:rsid w:val="00E03D28"/>
    <w:rsid w:val="00E03D96"/>
    <w:rsid w:val="00E03F2A"/>
    <w:rsid w:val="00E04163"/>
    <w:rsid w:val="00E041B6"/>
    <w:rsid w:val="00E044A8"/>
    <w:rsid w:val="00E0469F"/>
    <w:rsid w:val="00E047DC"/>
    <w:rsid w:val="00E04B4F"/>
    <w:rsid w:val="00E04C4F"/>
    <w:rsid w:val="00E04E0C"/>
    <w:rsid w:val="00E04E90"/>
    <w:rsid w:val="00E04F61"/>
    <w:rsid w:val="00E0506E"/>
    <w:rsid w:val="00E05071"/>
    <w:rsid w:val="00E053CF"/>
    <w:rsid w:val="00E053D1"/>
    <w:rsid w:val="00E05448"/>
    <w:rsid w:val="00E055F0"/>
    <w:rsid w:val="00E05637"/>
    <w:rsid w:val="00E05844"/>
    <w:rsid w:val="00E058D7"/>
    <w:rsid w:val="00E05A4E"/>
    <w:rsid w:val="00E05B79"/>
    <w:rsid w:val="00E05D89"/>
    <w:rsid w:val="00E05E3E"/>
    <w:rsid w:val="00E0633A"/>
    <w:rsid w:val="00E06713"/>
    <w:rsid w:val="00E069A3"/>
    <w:rsid w:val="00E06A54"/>
    <w:rsid w:val="00E06BDC"/>
    <w:rsid w:val="00E06E84"/>
    <w:rsid w:val="00E070DB"/>
    <w:rsid w:val="00E071F0"/>
    <w:rsid w:val="00E07220"/>
    <w:rsid w:val="00E0727A"/>
    <w:rsid w:val="00E0730E"/>
    <w:rsid w:val="00E0736D"/>
    <w:rsid w:val="00E074A9"/>
    <w:rsid w:val="00E07671"/>
    <w:rsid w:val="00E077A1"/>
    <w:rsid w:val="00E078AD"/>
    <w:rsid w:val="00E079E6"/>
    <w:rsid w:val="00E07AA1"/>
    <w:rsid w:val="00E07AF8"/>
    <w:rsid w:val="00E07C39"/>
    <w:rsid w:val="00E07DF2"/>
    <w:rsid w:val="00E07E36"/>
    <w:rsid w:val="00E07EFB"/>
    <w:rsid w:val="00E07FAD"/>
    <w:rsid w:val="00E10003"/>
    <w:rsid w:val="00E100E9"/>
    <w:rsid w:val="00E101DB"/>
    <w:rsid w:val="00E102BD"/>
    <w:rsid w:val="00E102FC"/>
    <w:rsid w:val="00E103F4"/>
    <w:rsid w:val="00E104D6"/>
    <w:rsid w:val="00E10533"/>
    <w:rsid w:val="00E109D4"/>
    <w:rsid w:val="00E10F1C"/>
    <w:rsid w:val="00E10F5D"/>
    <w:rsid w:val="00E11178"/>
    <w:rsid w:val="00E111FE"/>
    <w:rsid w:val="00E112AC"/>
    <w:rsid w:val="00E117D3"/>
    <w:rsid w:val="00E11B3C"/>
    <w:rsid w:val="00E11F86"/>
    <w:rsid w:val="00E121A1"/>
    <w:rsid w:val="00E122CD"/>
    <w:rsid w:val="00E124F3"/>
    <w:rsid w:val="00E12712"/>
    <w:rsid w:val="00E12886"/>
    <w:rsid w:val="00E128B3"/>
    <w:rsid w:val="00E12ACE"/>
    <w:rsid w:val="00E12AFC"/>
    <w:rsid w:val="00E12B0A"/>
    <w:rsid w:val="00E12D79"/>
    <w:rsid w:val="00E12EF9"/>
    <w:rsid w:val="00E135E1"/>
    <w:rsid w:val="00E136F4"/>
    <w:rsid w:val="00E13831"/>
    <w:rsid w:val="00E139A2"/>
    <w:rsid w:val="00E13CF0"/>
    <w:rsid w:val="00E14032"/>
    <w:rsid w:val="00E1417D"/>
    <w:rsid w:val="00E1425D"/>
    <w:rsid w:val="00E14320"/>
    <w:rsid w:val="00E14732"/>
    <w:rsid w:val="00E1477E"/>
    <w:rsid w:val="00E14933"/>
    <w:rsid w:val="00E14949"/>
    <w:rsid w:val="00E149D8"/>
    <w:rsid w:val="00E14BA3"/>
    <w:rsid w:val="00E14F46"/>
    <w:rsid w:val="00E15184"/>
    <w:rsid w:val="00E151A9"/>
    <w:rsid w:val="00E15268"/>
    <w:rsid w:val="00E153CD"/>
    <w:rsid w:val="00E1555C"/>
    <w:rsid w:val="00E15809"/>
    <w:rsid w:val="00E15842"/>
    <w:rsid w:val="00E1597D"/>
    <w:rsid w:val="00E159F6"/>
    <w:rsid w:val="00E15ADF"/>
    <w:rsid w:val="00E15AFA"/>
    <w:rsid w:val="00E15C2E"/>
    <w:rsid w:val="00E15D0B"/>
    <w:rsid w:val="00E160BC"/>
    <w:rsid w:val="00E160C5"/>
    <w:rsid w:val="00E1649B"/>
    <w:rsid w:val="00E1659C"/>
    <w:rsid w:val="00E165D9"/>
    <w:rsid w:val="00E167A3"/>
    <w:rsid w:val="00E167E9"/>
    <w:rsid w:val="00E1693D"/>
    <w:rsid w:val="00E1699B"/>
    <w:rsid w:val="00E169A3"/>
    <w:rsid w:val="00E169C6"/>
    <w:rsid w:val="00E169EB"/>
    <w:rsid w:val="00E16F0D"/>
    <w:rsid w:val="00E16F64"/>
    <w:rsid w:val="00E17072"/>
    <w:rsid w:val="00E17083"/>
    <w:rsid w:val="00E17374"/>
    <w:rsid w:val="00E17391"/>
    <w:rsid w:val="00E17441"/>
    <w:rsid w:val="00E17592"/>
    <w:rsid w:val="00E176A8"/>
    <w:rsid w:val="00E177AB"/>
    <w:rsid w:val="00E179F4"/>
    <w:rsid w:val="00E17C49"/>
    <w:rsid w:val="00E17C89"/>
    <w:rsid w:val="00E17D9B"/>
    <w:rsid w:val="00E17F32"/>
    <w:rsid w:val="00E17F76"/>
    <w:rsid w:val="00E20239"/>
    <w:rsid w:val="00E20273"/>
    <w:rsid w:val="00E204CA"/>
    <w:rsid w:val="00E20725"/>
    <w:rsid w:val="00E208F6"/>
    <w:rsid w:val="00E20B5E"/>
    <w:rsid w:val="00E20C4D"/>
    <w:rsid w:val="00E20CBD"/>
    <w:rsid w:val="00E20DB3"/>
    <w:rsid w:val="00E20E0D"/>
    <w:rsid w:val="00E20E32"/>
    <w:rsid w:val="00E20E5F"/>
    <w:rsid w:val="00E21037"/>
    <w:rsid w:val="00E21335"/>
    <w:rsid w:val="00E21386"/>
    <w:rsid w:val="00E214AA"/>
    <w:rsid w:val="00E2165B"/>
    <w:rsid w:val="00E219E9"/>
    <w:rsid w:val="00E219F0"/>
    <w:rsid w:val="00E21CBD"/>
    <w:rsid w:val="00E21EC7"/>
    <w:rsid w:val="00E21F1D"/>
    <w:rsid w:val="00E223F1"/>
    <w:rsid w:val="00E22509"/>
    <w:rsid w:val="00E225DA"/>
    <w:rsid w:val="00E22619"/>
    <w:rsid w:val="00E22738"/>
    <w:rsid w:val="00E22749"/>
    <w:rsid w:val="00E227C6"/>
    <w:rsid w:val="00E228A6"/>
    <w:rsid w:val="00E22903"/>
    <w:rsid w:val="00E22984"/>
    <w:rsid w:val="00E22A6E"/>
    <w:rsid w:val="00E22E97"/>
    <w:rsid w:val="00E22ED4"/>
    <w:rsid w:val="00E22F9D"/>
    <w:rsid w:val="00E22FFF"/>
    <w:rsid w:val="00E23050"/>
    <w:rsid w:val="00E230B7"/>
    <w:rsid w:val="00E231CD"/>
    <w:rsid w:val="00E2325E"/>
    <w:rsid w:val="00E23317"/>
    <w:rsid w:val="00E23A3C"/>
    <w:rsid w:val="00E23AD4"/>
    <w:rsid w:val="00E23AEA"/>
    <w:rsid w:val="00E23B1E"/>
    <w:rsid w:val="00E23FFC"/>
    <w:rsid w:val="00E2405C"/>
    <w:rsid w:val="00E24218"/>
    <w:rsid w:val="00E2429B"/>
    <w:rsid w:val="00E242C9"/>
    <w:rsid w:val="00E24352"/>
    <w:rsid w:val="00E2447B"/>
    <w:rsid w:val="00E244CA"/>
    <w:rsid w:val="00E244DA"/>
    <w:rsid w:val="00E24908"/>
    <w:rsid w:val="00E2498D"/>
    <w:rsid w:val="00E24ACF"/>
    <w:rsid w:val="00E24E66"/>
    <w:rsid w:val="00E24EC8"/>
    <w:rsid w:val="00E2512E"/>
    <w:rsid w:val="00E253BC"/>
    <w:rsid w:val="00E25411"/>
    <w:rsid w:val="00E25491"/>
    <w:rsid w:val="00E2564D"/>
    <w:rsid w:val="00E25811"/>
    <w:rsid w:val="00E25896"/>
    <w:rsid w:val="00E25D11"/>
    <w:rsid w:val="00E25E76"/>
    <w:rsid w:val="00E25EB2"/>
    <w:rsid w:val="00E25F2B"/>
    <w:rsid w:val="00E2606C"/>
    <w:rsid w:val="00E260CB"/>
    <w:rsid w:val="00E26181"/>
    <w:rsid w:val="00E261EC"/>
    <w:rsid w:val="00E2623C"/>
    <w:rsid w:val="00E262FD"/>
    <w:rsid w:val="00E26514"/>
    <w:rsid w:val="00E26693"/>
    <w:rsid w:val="00E2673D"/>
    <w:rsid w:val="00E2682E"/>
    <w:rsid w:val="00E26970"/>
    <w:rsid w:val="00E26AB5"/>
    <w:rsid w:val="00E26B6C"/>
    <w:rsid w:val="00E270CA"/>
    <w:rsid w:val="00E270F4"/>
    <w:rsid w:val="00E27229"/>
    <w:rsid w:val="00E2739C"/>
    <w:rsid w:val="00E275B9"/>
    <w:rsid w:val="00E275C7"/>
    <w:rsid w:val="00E27633"/>
    <w:rsid w:val="00E27661"/>
    <w:rsid w:val="00E27813"/>
    <w:rsid w:val="00E27C0A"/>
    <w:rsid w:val="00E27C2B"/>
    <w:rsid w:val="00E27CDF"/>
    <w:rsid w:val="00E302CA"/>
    <w:rsid w:val="00E3043F"/>
    <w:rsid w:val="00E3048D"/>
    <w:rsid w:val="00E30798"/>
    <w:rsid w:val="00E30A2A"/>
    <w:rsid w:val="00E30A78"/>
    <w:rsid w:val="00E30D28"/>
    <w:rsid w:val="00E30DD5"/>
    <w:rsid w:val="00E311B4"/>
    <w:rsid w:val="00E31271"/>
    <w:rsid w:val="00E31278"/>
    <w:rsid w:val="00E3133A"/>
    <w:rsid w:val="00E313ED"/>
    <w:rsid w:val="00E31430"/>
    <w:rsid w:val="00E31678"/>
    <w:rsid w:val="00E31A21"/>
    <w:rsid w:val="00E31AB4"/>
    <w:rsid w:val="00E31C72"/>
    <w:rsid w:val="00E31DF9"/>
    <w:rsid w:val="00E3224F"/>
    <w:rsid w:val="00E324D7"/>
    <w:rsid w:val="00E325B1"/>
    <w:rsid w:val="00E32604"/>
    <w:rsid w:val="00E3278A"/>
    <w:rsid w:val="00E327B5"/>
    <w:rsid w:val="00E32D97"/>
    <w:rsid w:val="00E32DC4"/>
    <w:rsid w:val="00E32E16"/>
    <w:rsid w:val="00E32E2A"/>
    <w:rsid w:val="00E3300E"/>
    <w:rsid w:val="00E3311B"/>
    <w:rsid w:val="00E33137"/>
    <w:rsid w:val="00E3319A"/>
    <w:rsid w:val="00E33430"/>
    <w:rsid w:val="00E334A0"/>
    <w:rsid w:val="00E33660"/>
    <w:rsid w:val="00E33698"/>
    <w:rsid w:val="00E336C9"/>
    <w:rsid w:val="00E33736"/>
    <w:rsid w:val="00E33BEE"/>
    <w:rsid w:val="00E33BFF"/>
    <w:rsid w:val="00E33CA1"/>
    <w:rsid w:val="00E33F6E"/>
    <w:rsid w:val="00E34078"/>
    <w:rsid w:val="00E3445D"/>
    <w:rsid w:val="00E344F0"/>
    <w:rsid w:val="00E3460E"/>
    <w:rsid w:val="00E3485C"/>
    <w:rsid w:val="00E348AE"/>
    <w:rsid w:val="00E349D6"/>
    <w:rsid w:val="00E34A66"/>
    <w:rsid w:val="00E34AC1"/>
    <w:rsid w:val="00E34AD8"/>
    <w:rsid w:val="00E34B1B"/>
    <w:rsid w:val="00E34CC2"/>
    <w:rsid w:val="00E34D31"/>
    <w:rsid w:val="00E34F7D"/>
    <w:rsid w:val="00E3514A"/>
    <w:rsid w:val="00E351AA"/>
    <w:rsid w:val="00E351AE"/>
    <w:rsid w:val="00E3542E"/>
    <w:rsid w:val="00E354A0"/>
    <w:rsid w:val="00E3562C"/>
    <w:rsid w:val="00E356F1"/>
    <w:rsid w:val="00E35908"/>
    <w:rsid w:val="00E35C48"/>
    <w:rsid w:val="00E35CA7"/>
    <w:rsid w:val="00E35D95"/>
    <w:rsid w:val="00E35F23"/>
    <w:rsid w:val="00E36034"/>
    <w:rsid w:val="00E361B9"/>
    <w:rsid w:val="00E362BD"/>
    <w:rsid w:val="00E36307"/>
    <w:rsid w:val="00E36349"/>
    <w:rsid w:val="00E3647F"/>
    <w:rsid w:val="00E369F6"/>
    <w:rsid w:val="00E36B6A"/>
    <w:rsid w:val="00E36C06"/>
    <w:rsid w:val="00E36D19"/>
    <w:rsid w:val="00E36E00"/>
    <w:rsid w:val="00E36F4E"/>
    <w:rsid w:val="00E37462"/>
    <w:rsid w:val="00E3750A"/>
    <w:rsid w:val="00E378BB"/>
    <w:rsid w:val="00E37AEA"/>
    <w:rsid w:val="00E37BB1"/>
    <w:rsid w:val="00E37C96"/>
    <w:rsid w:val="00E37FAE"/>
    <w:rsid w:val="00E37FD5"/>
    <w:rsid w:val="00E4003A"/>
    <w:rsid w:val="00E4025D"/>
    <w:rsid w:val="00E404AF"/>
    <w:rsid w:val="00E405E5"/>
    <w:rsid w:val="00E4072A"/>
    <w:rsid w:val="00E4077E"/>
    <w:rsid w:val="00E408EF"/>
    <w:rsid w:val="00E40D07"/>
    <w:rsid w:val="00E40EED"/>
    <w:rsid w:val="00E40F3B"/>
    <w:rsid w:val="00E40FEA"/>
    <w:rsid w:val="00E41132"/>
    <w:rsid w:val="00E41337"/>
    <w:rsid w:val="00E413EE"/>
    <w:rsid w:val="00E41546"/>
    <w:rsid w:val="00E415CC"/>
    <w:rsid w:val="00E415E3"/>
    <w:rsid w:val="00E41953"/>
    <w:rsid w:val="00E41B89"/>
    <w:rsid w:val="00E41C10"/>
    <w:rsid w:val="00E41C8D"/>
    <w:rsid w:val="00E41CA0"/>
    <w:rsid w:val="00E41F71"/>
    <w:rsid w:val="00E420C8"/>
    <w:rsid w:val="00E42236"/>
    <w:rsid w:val="00E42258"/>
    <w:rsid w:val="00E4244F"/>
    <w:rsid w:val="00E42C85"/>
    <w:rsid w:val="00E42CA3"/>
    <w:rsid w:val="00E42D6E"/>
    <w:rsid w:val="00E42E24"/>
    <w:rsid w:val="00E42E25"/>
    <w:rsid w:val="00E42E66"/>
    <w:rsid w:val="00E42EBD"/>
    <w:rsid w:val="00E42F98"/>
    <w:rsid w:val="00E43062"/>
    <w:rsid w:val="00E43080"/>
    <w:rsid w:val="00E430C7"/>
    <w:rsid w:val="00E436F6"/>
    <w:rsid w:val="00E4373C"/>
    <w:rsid w:val="00E4378B"/>
    <w:rsid w:val="00E437D1"/>
    <w:rsid w:val="00E437F7"/>
    <w:rsid w:val="00E439E2"/>
    <w:rsid w:val="00E43A0B"/>
    <w:rsid w:val="00E43AD8"/>
    <w:rsid w:val="00E43CC8"/>
    <w:rsid w:val="00E43E7F"/>
    <w:rsid w:val="00E43F2C"/>
    <w:rsid w:val="00E43FAC"/>
    <w:rsid w:val="00E44257"/>
    <w:rsid w:val="00E442A3"/>
    <w:rsid w:val="00E44781"/>
    <w:rsid w:val="00E447C8"/>
    <w:rsid w:val="00E44B25"/>
    <w:rsid w:val="00E44E8C"/>
    <w:rsid w:val="00E4517B"/>
    <w:rsid w:val="00E453BA"/>
    <w:rsid w:val="00E454D6"/>
    <w:rsid w:val="00E454EE"/>
    <w:rsid w:val="00E455F2"/>
    <w:rsid w:val="00E45636"/>
    <w:rsid w:val="00E45782"/>
    <w:rsid w:val="00E45E0C"/>
    <w:rsid w:val="00E45E5B"/>
    <w:rsid w:val="00E46031"/>
    <w:rsid w:val="00E4628A"/>
    <w:rsid w:val="00E4643F"/>
    <w:rsid w:val="00E46740"/>
    <w:rsid w:val="00E46851"/>
    <w:rsid w:val="00E46C3C"/>
    <w:rsid w:val="00E46CC1"/>
    <w:rsid w:val="00E46E67"/>
    <w:rsid w:val="00E47138"/>
    <w:rsid w:val="00E47361"/>
    <w:rsid w:val="00E47541"/>
    <w:rsid w:val="00E476D8"/>
    <w:rsid w:val="00E47756"/>
    <w:rsid w:val="00E47B64"/>
    <w:rsid w:val="00E47B8F"/>
    <w:rsid w:val="00E47D76"/>
    <w:rsid w:val="00E5006D"/>
    <w:rsid w:val="00E5020E"/>
    <w:rsid w:val="00E50212"/>
    <w:rsid w:val="00E50344"/>
    <w:rsid w:val="00E5046E"/>
    <w:rsid w:val="00E50564"/>
    <w:rsid w:val="00E50654"/>
    <w:rsid w:val="00E50704"/>
    <w:rsid w:val="00E508B7"/>
    <w:rsid w:val="00E50A8B"/>
    <w:rsid w:val="00E51169"/>
    <w:rsid w:val="00E51173"/>
    <w:rsid w:val="00E51458"/>
    <w:rsid w:val="00E5186B"/>
    <w:rsid w:val="00E51899"/>
    <w:rsid w:val="00E519BC"/>
    <w:rsid w:val="00E51F46"/>
    <w:rsid w:val="00E5223D"/>
    <w:rsid w:val="00E525ED"/>
    <w:rsid w:val="00E52AF4"/>
    <w:rsid w:val="00E52B10"/>
    <w:rsid w:val="00E52C16"/>
    <w:rsid w:val="00E52D69"/>
    <w:rsid w:val="00E52DCF"/>
    <w:rsid w:val="00E52F79"/>
    <w:rsid w:val="00E53439"/>
    <w:rsid w:val="00E535B2"/>
    <w:rsid w:val="00E535B3"/>
    <w:rsid w:val="00E5367A"/>
    <w:rsid w:val="00E5376E"/>
    <w:rsid w:val="00E537B0"/>
    <w:rsid w:val="00E53B29"/>
    <w:rsid w:val="00E53C1B"/>
    <w:rsid w:val="00E53CC6"/>
    <w:rsid w:val="00E53D7B"/>
    <w:rsid w:val="00E53D93"/>
    <w:rsid w:val="00E53DE1"/>
    <w:rsid w:val="00E542B0"/>
    <w:rsid w:val="00E54837"/>
    <w:rsid w:val="00E54CE3"/>
    <w:rsid w:val="00E54D7B"/>
    <w:rsid w:val="00E54F1D"/>
    <w:rsid w:val="00E55064"/>
    <w:rsid w:val="00E5512B"/>
    <w:rsid w:val="00E555E7"/>
    <w:rsid w:val="00E55AF1"/>
    <w:rsid w:val="00E55E41"/>
    <w:rsid w:val="00E55E66"/>
    <w:rsid w:val="00E55FE3"/>
    <w:rsid w:val="00E563A0"/>
    <w:rsid w:val="00E563C4"/>
    <w:rsid w:val="00E564E8"/>
    <w:rsid w:val="00E565EF"/>
    <w:rsid w:val="00E56761"/>
    <w:rsid w:val="00E56776"/>
    <w:rsid w:val="00E56796"/>
    <w:rsid w:val="00E569A8"/>
    <w:rsid w:val="00E56E05"/>
    <w:rsid w:val="00E56FED"/>
    <w:rsid w:val="00E57096"/>
    <w:rsid w:val="00E571B6"/>
    <w:rsid w:val="00E571C4"/>
    <w:rsid w:val="00E571F4"/>
    <w:rsid w:val="00E5727B"/>
    <w:rsid w:val="00E57519"/>
    <w:rsid w:val="00E57635"/>
    <w:rsid w:val="00E578A2"/>
    <w:rsid w:val="00E579E5"/>
    <w:rsid w:val="00E57B73"/>
    <w:rsid w:val="00E57BA8"/>
    <w:rsid w:val="00E57FFD"/>
    <w:rsid w:val="00E60059"/>
    <w:rsid w:val="00E600BC"/>
    <w:rsid w:val="00E60288"/>
    <w:rsid w:val="00E605DF"/>
    <w:rsid w:val="00E60659"/>
    <w:rsid w:val="00E606C8"/>
    <w:rsid w:val="00E60830"/>
    <w:rsid w:val="00E60C13"/>
    <w:rsid w:val="00E60D46"/>
    <w:rsid w:val="00E60E62"/>
    <w:rsid w:val="00E60F76"/>
    <w:rsid w:val="00E61268"/>
    <w:rsid w:val="00E6142A"/>
    <w:rsid w:val="00E615FF"/>
    <w:rsid w:val="00E61687"/>
    <w:rsid w:val="00E618D8"/>
    <w:rsid w:val="00E6195E"/>
    <w:rsid w:val="00E61988"/>
    <w:rsid w:val="00E61A85"/>
    <w:rsid w:val="00E61B8A"/>
    <w:rsid w:val="00E6202C"/>
    <w:rsid w:val="00E6213C"/>
    <w:rsid w:val="00E62649"/>
    <w:rsid w:val="00E62745"/>
    <w:rsid w:val="00E62832"/>
    <w:rsid w:val="00E628CA"/>
    <w:rsid w:val="00E62C95"/>
    <w:rsid w:val="00E62DC5"/>
    <w:rsid w:val="00E62E06"/>
    <w:rsid w:val="00E62F08"/>
    <w:rsid w:val="00E630EF"/>
    <w:rsid w:val="00E633BD"/>
    <w:rsid w:val="00E633E3"/>
    <w:rsid w:val="00E636EF"/>
    <w:rsid w:val="00E63B92"/>
    <w:rsid w:val="00E63BC0"/>
    <w:rsid w:val="00E63C8F"/>
    <w:rsid w:val="00E63D2A"/>
    <w:rsid w:val="00E63F80"/>
    <w:rsid w:val="00E6401E"/>
    <w:rsid w:val="00E6431F"/>
    <w:rsid w:val="00E6439B"/>
    <w:rsid w:val="00E6454F"/>
    <w:rsid w:val="00E645EB"/>
    <w:rsid w:val="00E645F6"/>
    <w:rsid w:val="00E64639"/>
    <w:rsid w:val="00E646C9"/>
    <w:rsid w:val="00E64735"/>
    <w:rsid w:val="00E647CA"/>
    <w:rsid w:val="00E649FD"/>
    <w:rsid w:val="00E64B8F"/>
    <w:rsid w:val="00E64CEA"/>
    <w:rsid w:val="00E64DBF"/>
    <w:rsid w:val="00E65057"/>
    <w:rsid w:val="00E650A9"/>
    <w:rsid w:val="00E6510D"/>
    <w:rsid w:val="00E6512F"/>
    <w:rsid w:val="00E65183"/>
    <w:rsid w:val="00E65366"/>
    <w:rsid w:val="00E653DA"/>
    <w:rsid w:val="00E65583"/>
    <w:rsid w:val="00E6580E"/>
    <w:rsid w:val="00E658DB"/>
    <w:rsid w:val="00E65B83"/>
    <w:rsid w:val="00E65CAE"/>
    <w:rsid w:val="00E65CF9"/>
    <w:rsid w:val="00E65D74"/>
    <w:rsid w:val="00E6649A"/>
    <w:rsid w:val="00E66750"/>
    <w:rsid w:val="00E66774"/>
    <w:rsid w:val="00E667C1"/>
    <w:rsid w:val="00E6680A"/>
    <w:rsid w:val="00E6682A"/>
    <w:rsid w:val="00E66B64"/>
    <w:rsid w:val="00E66CDB"/>
    <w:rsid w:val="00E66F2F"/>
    <w:rsid w:val="00E66F35"/>
    <w:rsid w:val="00E66FB2"/>
    <w:rsid w:val="00E67040"/>
    <w:rsid w:val="00E671CE"/>
    <w:rsid w:val="00E673D9"/>
    <w:rsid w:val="00E6742D"/>
    <w:rsid w:val="00E675A4"/>
    <w:rsid w:val="00E6768F"/>
    <w:rsid w:val="00E678CF"/>
    <w:rsid w:val="00E67BEC"/>
    <w:rsid w:val="00E67D82"/>
    <w:rsid w:val="00E67FCC"/>
    <w:rsid w:val="00E67FD1"/>
    <w:rsid w:val="00E701AC"/>
    <w:rsid w:val="00E701B0"/>
    <w:rsid w:val="00E70594"/>
    <w:rsid w:val="00E705DE"/>
    <w:rsid w:val="00E70837"/>
    <w:rsid w:val="00E70B20"/>
    <w:rsid w:val="00E70B26"/>
    <w:rsid w:val="00E70EC4"/>
    <w:rsid w:val="00E70FE6"/>
    <w:rsid w:val="00E70FF3"/>
    <w:rsid w:val="00E710B5"/>
    <w:rsid w:val="00E7111A"/>
    <w:rsid w:val="00E71159"/>
    <w:rsid w:val="00E71166"/>
    <w:rsid w:val="00E711F9"/>
    <w:rsid w:val="00E71469"/>
    <w:rsid w:val="00E7155D"/>
    <w:rsid w:val="00E7156D"/>
    <w:rsid w:val="00E716EE"/>
    <w:rsid w:val="00E71707"/>
    <w:rsid w:val="00E71782"/>
    <w:rsid w:val="00E71CF2"/>
    <w:rsid w:val="00E71D00"/>
    <w:rsid w:val="00E71EA7"/>
    <w:rsid w:val="00E72020"/>
    <w:rsid w:val="00E720B6"/>
    <w:rsid w:val="00E727FA"/>
    <w:rsid w:val="00E7286F"/>
    <w:rsid w:val="00E72912"/>
    <w:rsid w:val="00E72C7F"/>
    <w:rsid w:val="00E72D88"/>
    <w:rsid w:val="00E72E59"/>
    <w:rsid w:val="00E72EB9"/>
    <w:rsid w:val="00E72EF9"/>
    <w:rsid w:val="00E72F0F"/>
    <w:rsid w:val="00E73161"/>
    <w:rsid w:val="00E73182"/>
    <w:rsid w:val="00E7324D"/>
    <w:rsid w:val="00E732DB"/>
    <w:rsid w:val="00E735D2"/>
    <w:rsid w:val="00E738C1"/>
    <w:rsid w:val="00E73A3F"/>
    <w:rsid w:val="00E73A89"/>
    <w:rsid w:val="00E73CC0"/>
    <w:rsid w:val="00E73CF7"/>
    <w:rsid w:val="00E73E3C"/>
    <w:rsid w:val="00E74065"/>
    <w:rsid w:val="00E7442A"/>
    <w:rsid w:val="00E745F2"/>
    <w:rsid w:val="00E7466C"/>
    <w:rsid w:val="00E746D5"/>
    <w:rsid w:val="00E74700"/>
    <w:rsid w:val="00E7483E"/>
    <w:rsid w:val="00E748B6"/>
    <w:rsid w:val="00E74AF2"/>
    <w:rsid w:val="00E74E7E"/>
    <w:rsid w:val="00E74EB7"/>
    <w:rsid w:val="00E74FF7"/>
    <w:rsid w:val="00E75161"/>
    <w:rsid w:val="00E75253"/>
    <w:rsid w:val="00E7528C"/>
    <w:rsid w:val="00E752E8"/>
    <w:rsid w:val="00E75477"/>
    <w:rsid w:val="00E757C7"/>
    <w:rsid w:val="00E7585B"/>
    <w:rsid w:val="00E758FE"/>
    <w:rsid w:val="00E75AE5"/>
    <w:rsid w:val="00E7610D"/>
    <w:rsid w:val="00E761FF"/>
    <w:rsid w:val="00E76332"/>
    <w:rsid w:val="00E7639D"/>
    <w:rsid w:val="00E7639E"/>
    <w:rsid w:val="00E76733"/>
    <w:rsid w:val="00E76964"/>
    <w:rsid w:val="00E76C7E"/>
    <w:rsid w:val="00E76CE0"/>
    <w:rsid w:val="00E76DCB"/>
    <w:rsid w:val="00E76E61"/>
    <w:rsid w:val="00E76EAB"/>
    <w:rsid w:val="00E76EE2"/>
    <w:rsid w:val="00E76F61"/>
    <w:rsid w:val="00E77170"/>
    <w:rsid w:val="00E77373"/>
    <w:rsid w:val="00E77398"/>
    <w:rsid w:val="00E7743D"/>
    <w:rsid w:val="00E77444"/>
    <w:rsid w:val="00E77501"/>
    <w:rsid w:val="00E77630"/>
    <w:rsid w:val="00E77A28"/>
    <w:rsid w:val="00E77B0A"/>
    <w:rsid w:val="00E77B97"/>
    <w:rsid w:val="00E77C47"/>
    <w:rsid w:val="00E77CED"/>
    <w:rsid w:val="00E77E03"/>
    <w:rsid w:val="00E77F75"/>
    <w:rsid w:val="00E80038"/>
    <w:rsid w:val="00E80090"/>
    <w:rsid w:val="00E80154"/>
    <w:rsid w:val="00E80401"/>
    <w:rsid w:val="00E8047C"/>
    <w:rsid w:val="00E80605"/>
    <w:rsid w:val="00E807EC"/>
    <w:rsid w:val="00E808E5"/>
    <w:rsid w:val="00E80D83"/>
    <w:rsid w:val="00E8114C"/>
    <w:rsid w:val="00E81396"/>
    <w:rsid w:val="00E81735"/>
    <w:rsid w:val="00E8199E"/>
    <w:rsid w:val="00E81A5C"/>
    <w:rsid w:val="00E81B4C"/>
    <w:rsid w:val="00E81B8D"/>
    <w:rsid w:val="00E82107"/>
    <w:rsid w:val="00E82169"/>
    <w:rsid w:val="00E8225F"/>
    <w:rsid w:val="00E82312"/>
    <w:rsid w:val="00E823EC"/>
    <w:rsid w:val="00E825FD"/>
    <w:rsid w:val="00E82638"/>
    <w:rsid w:val="00E8263A"/>
    <w:rsid w:val="00E82707"/>
    <w:rsid w:val="00E8276A"/>
    <w:rsid w:val="00E827A0"/>
    <w:rsid w:val="00E82995"/>
    <w:rsid w:val="00E82A8A"/>
    <w:rsid w:val="00E82E41"/>
    <w:rsid w:val="00E82FD4"/>
    <w:rsid w:val="00E836F3"/>
    <w:rsid w:val="00E836FA"/>
    <w:rsid w:val="00E838B4"/>
    <w:rsid w:val="00E838ED"/>
    <w:rsid w:val="00E83A81"/>
    <w:rsid w:val="00E83C58"/>
    <w:rsid w:val="00E84005"/>
    <w:rsid w:val="00E84017"/>
    <w:rsid w:val="00E8414C"/>
    <w:rsid w:val="00E8444D"/>
    <w:rsid w:val="00E8463F"/>
    <w:rsid w:val="00E846C0"/>
    <w:rsid w:val="00E8472B"/>
    <w:rsid w:val="00E84A46"/>
    <w:rsid w:val="00E84DD7"/>
    <w:rsid w:val="00E85422"/>
    <w:rsid w:val="00E85446"/>
    <w:rsid w:val="00E85629"/>
    <w:rsid w:val="00E856D3"/>
    <w:rsid w:val="00E857F7"/>
    <w:rsid w:val="00E8580F"/>
    <w:rsid w:val="00E85949"/>
    <w:rsid w:val="00E859A2"/>
    <w:rsid w:val="00E85AB8"/>
    <w:rsid w:val="00E85D48"/>
    <w:rsid w:val="00E85E46"/>
    <w:rsid w:val="00E860DF"/>
    <w:rsid w:val="00E86126"/>
    <w:rsid w:val="00E86176"/>
    <w:rsid w:val="00E862B3"/>
    <w:rsid w:val="00E862D4"/>
    <w:rsid w:val="00E866BA"/>
    <w:rsid w:val="00E8671A"/>
    <w:rsid w:val="00E867D6"/>
    <w:rsid w:val="00E8680D"/>
    <w:rsid w:val="00E868B0"/>
    <w:rsid w:val="00E86997"/>
    <w:rsid w:val="00E8699D"/>
    <w:rsid w:val="00E86C98"/>
    <w:rsid w:val="00E86CCF"/>
    <w:rsid w:val="00E86CE4"/>
    <w:rsid w:val="00E86D49"/>
    <w:rsid w:val="00E86D7F"/>
    <w:rsid w:val="00E86E39"/>
    <w:rsid w:val="00E86FDF"/>
    <w:rsid w:val="00E8710B"/>
    <w:rsid w:val="00E8716D"/>
    <w:rsid w:val="00E8727F"/>
    <w:rsid w:val="00E87364"/>
    <w:rsid w:val="00E87775"/>
    <w:rsid w:val="00E8788B"/>
    <w:rsid w:val="00E87916"/>
    <w:rsid w:val="00E879A4"/>
    <w:rsid w:val="00E87A3F"/>
    <w:rsid w:val="00E87DFE"/>
    <w:rsid w:val="00E87E06"/>
    <w:rsid w:val="00E90019"/>
    <w:rsid w:val="00E90A35"/>
    <w:rsid w:val="00E90AAF"/>
    <w:rsid w:val="00E90AFC"/>
    <w:rsid w:val="00E90B35"/>
    <w:rsid w:val="00E90D57"/>
    <w:rsid w:val="00E90DC7"/>
    <w:rsid w:val="00E90E68"/>
    <w:rsid w:val="00E911C2"/>
    <w:rsid w:val="00E914CF"/>
    <w:rsid w:val="00E91749"/>
    <w:rsid w:val="00E9189C"/>
    <w:rsid w:val="00E9193A"/>
    <w:rsid w:val="00E91C05"/>
    <w:rsid w:val="00E91C8F"/>
    <w:rsid w:val="00E91CC0"/>
    <w:rsid w:val="00E91D6E"/>
    <w:rsid w:val="00E91F86"/>
    <w:rsid w:val="00E91FA1"/>
    <w:rsid w:val="00E92059"/>
    <w:rsid w:val="00E921E0"/>
    <w:rsid w:val="00E9238D"/>
    <w:rsid w:val="00E92487"/>
    <w:rsid w:val="00E924CE"/>
    <w:rsid w:val="00E9286C"/>
    <w:rsid w:val="00E92C75"/>
    <w:rsid w:val="00E92CB6"/>
    <w:rsid w:val="00E92DE5"/>
    <w:rsid w:val="00E9319E"/>
    <w:rsid w:val="00E931FE"/>
    <w:rsid w:val="00E932BF"/>
    <w:rsid w:val="00E933FC"/>
    <w:rsid w:val="00E934C7"/>
    <w:rsid w:val="00E934DA"/>
    <w:rsid w:val="00E935B5"/>
    <w:rsid w:val="00E935CF"/>
    <w:rsid w:val="00E9377B"/>
    <w:rsid w:val="00E9381D"/>
    <w:rsid w:val="00E93933"/>
    <w:rsid w:val="00E939EE"/>
    <w:rsid w:val="00E93A71"/>
    <w:rsid w:val="00E93E67"/>
    <w:rsid w:val="00E93F4F"/>
    <w:rsid w:val="00E93F70"/>
    <w:rsid w:val="00E9418C"/>
    <w:rsid w:val="00E941F4"/>
    <w:rsid w:val="00E9423C"/>
    <w:rsid w:val="00E9434C"/>
    <w:rsid w:val="00E944BC"/>
    <w:rsid w:val="00E94523"/>
    <w:rsid w:val="00E9493A"/>
    <w:rsid w:val="00E94BF1"/>
    <w:rsid w:val="00E94D6F"/>
    <w:rsid w:val="00E94D7D"/>
    <w:rsid w:val="00E94E32"/>
    <w:rsid w:val="00E95157"/>
    <w:rsid w:val="00E95229"/>
    <w:rsid w:val="00E9538C"/>
    <w:rsid w:val="00E95552"/>
    <w:rsid w:val="00E955B0"/>
    <w:rsid w:val="00E95714"/>
    <w:rsid w:val="00E9572C"/>
    <w:rsid w:val="00E95B04"/>
    <w:rsid w:val="00E95C81"/>
    <w:rsid w:val="00E95D3D"/>
    <w:rsid w:val="00E95D4D"/>
    <w:rsid w:val="00E95ED1"/>
    <w:rsid w:val="00E95EF5"/>
    <w:rsid w:val="00E95F15"/>
    <w:rsid w:val="00E95FB9"/>
    <w:rsid w:val="00E960F6"/>
    <w:rsid w:val="00E961AE"/>
    <w:rsid w:val="00E962C9"/>
    <w:rsid w:val="00E96600"/>
    <w:rsid w:val="00E9677A"/>
    <w:rsid w:val="00E96BA6"/>
    <w:rsid w:val="00E96BF1"/>
    <w:rsid w:val="00E96C95"/>
    <w:rsid w:val="00E96DC7"/>
    <w:rsid w:val="00E96F53"/>
    <w:rsid w:val="00E97041"/>
    <w:rsid w:val="00E97309"/>
    <w:rsid w:val="00E97318"/>
    <w:rsid w:val="00E9768F"/>
    <w:rsid w:val="00E9773C"/>
    <w:rsid w:val="00E979AE"/>
    <w:rsid w:val="00E97CB8"/>
    <w:rsid w:val="00E97E0B"/>
    <w:rsid w:val="00E97E25"/>
    <w:rsid w:val="00E97E60"/>
    <w:rsid w:val="00E97EBE"/>
    <w:rsid w:val="00EA0008"/>
    <w:rsid w:val="00EA0049"/>
    <w:rsid w:val="00EA0326"/>
    <w:rsid w:val="00EA05D4"/>
    <w:rsid w:val="00EA0609"/>
    <w:rsid w:val="00EA0868"/>
    <w:rsid w:val="00EA0B68"/>
    <w:rsid w:val="00EA0DB7"/>
    <w:rsid w:val="00EA0FCA"/>
    <w:rsid w:val="00EA14DD"/>
    <w:rsid w:val="00EA14E1"/>
    <w:rsid w:val="00EA15B4"/>
    <w:rsid w:val="00EA1889"/>
    <w:rsid w:val="00EA1A29"/>
    <w:rsid w:val="00EA1A4C"/>
    <w:rsid w:val="00EA1AB1"/>
    <w:rsid w:val="00EA1BB6"/>
    <w:rsid w:val="00EA1C77"/>
    <w:rsid w:val="00EA1E8A"/>
    <w:rsid w:val="00EA2183"/>
    <w:rsid w:val="00EA242D"/>
    <w:rsid w:val="00EA26AE"/>
    <w:rsid w:val="00EA26B6"/>
    <w:rsid w:val="00EA270F"/>
    <w:rsid w:val="00EA2745"/>
    <w:rsid w:val="00EA2AA1"/>
    <w:rsid w:val="00EA2C90"/>
    <w:rsid w:val="00EA2DCD"/>
    <w:rsid w:val="00EA2F9E"/>
    <w:rsid w:val="00EA34D0"/>
    <w:rsid w:val="00EA35F0"/>
    <w:rsid w:val="00EA3915"/>
    <w:rsid w:val="00EA3AA6"/>
    <w:rsid w:val="00EA3B91"/>
    <w:rsid w:val="00EA3E99"/>
    <w:rsid w:val="00EA3F0C"/>
    <w:rsid w:val="00EA480E"/>
    <w:rsid w:val="00EA493E"/>
    <w:rsid w:val="00EA4C8F"/>
    <w:rsid w:val="00EA4CE0"/>
    <w:rsid w:val="00EA4F3A"/>
    <w:rsid w:val="00EA4FB1"/>
    <w:rsid w:val="00EA516E"/>
    <w:rsid w:val="00EA51AA"/>
    <w:rsid w:val="00EA533D"/>
    <w:rsid w:val="00EA5520"/>
    <w:rsid w:val="00EA5570"/>
    <w:rsid w:val="00EA5686"/>
    <w:rsid w:val="00EA5768"/>
    <w:rsid w:val="00EA5814"/>
    <w:rsid w:val="00EA5867"/>
    <w:rsid w:val="00EA5995"/>
    <w:rsid w:val="00EA5A87"/>
    <w:rsid w:val="00EA5E04"/>
    <w:rsid w:val="00EA5E7D"/>
    <w:rsid w:val="00EA5EB7"/>
    <w:rsid w:val="00EA606D"/>
    <w:rsid w:val="00EA6241"/>
    <w:rsid w:val="00EA63DB"/>
    <w:rsid w:val="00EA66FB"/>
    <w:rsid w:val="00EA6837"/>
    <w:rsid w:val="00EA6B1F"/>
    <w:rsid w:val="00EA6B61"/>
    <w:rsid w:val="00EA6B8A"/>
    <w:rsid w:val="00EA6D65"/>
    <w:rsid w:val="00EA6E93"/>
    <w:rsid w:val="00EA7035"/>
    <w:rsid w:val="00EA7249"/>
    <w:rsid w:val="00EA7256"/>
    <w:rsid w:val="00EA73C9"/>
    <w:rsid w:val="00EA73E6"/>
    <w:rsid w:val="00EA744D"/>
    <w:rsid w:val="00EA75D0"/>
    <w:rsid w:val="00EA76AF"/>
    <w:rsid w:val="00EA78D5"/>
    <w:rsid w:val="00EA7BC6"/>
    <w:rsid w:val="00EA7C7E"/>
    <w:rsid w:val="00EA7DF9"/>
    <w:rsid w:val="00EA7F00"/>
    <w:rsid w:val="00EB009F"/>
    <w:rsid w:val="00EB00DA"/>
    <w:rsid w:val="00EB0401"/>
    <w:rsid w:val="00EB0472"/>
    <w:rsid w:val="00EB060D"/>
    <w:rsid w:val="00EB072B"/>
    <w:rsid w:val="00EB0764"/>
    <w:rsid w:val="00EB07EC"/>
    <w:rsid w:val="00EB08AD"/>
    <w:rsid w:val="00EB0AF6"/>
    <w:rsid w:val="00EB0CB1"/>
    <w:rsid w:val="00EB0D78"/>
    <w:rsid w:val="00EB0EB8"/>
    <w:rsid w:val="00EB1052"/>
    <w:rsid w:val="00EB10B9"/>
    <w:rsid w:val="00EB1392"/>
    <w:rsid w:val="00EB1394"/>
    <w:rsid w:val="00EB1420"/>
    <w:rsid w:val="00EB146A"/>
    <w:rsid w:val="00EB15EC"/>
    <w:rsid w:val="00EB17C9"/>
    <w:rsid w:val="00EB1835"/>
    <w:rsid w:val="00EB1BE4"/>
    <w:rsid w:val="00EB1EB3"/>
    <w:rsid w:val="00EB1F5F"/>
    <w:rsid w:val="00EB2478"/>
    <w:rsid w:val="00EB2B0E"/>
    <w:rsid w:val="00EB2B91"/>
    <w:rsid w:val="00EB2C3E"/>
    <w:rsid w:val="00EB2D21"/>
    <w:rsid w:val="00EB2EC8"/>
    <w:rsid w:val="00EB3135"/>
    <w:rsid w:val="00EB31E4"/>
    <w:rsid w:val="00EB3523"/>
    <w:rsid w:val="00EB36A9"/>
    <w:rsid w:val="00EB3922"/>
    <w:rsid w:val="00EB3A99"/>
    <w:rsid w:val="00EB3B95"/>
    <w:rsid w:val="00EB3F57"/>
    <w:rsid w:val="00EB409B"/>
    <w:rsid w:val="00EB429C"/>
    <w:rsid w:val="00EB439E"/>
    <w:rsid w:val="00EB44E2"/>
    <w:rsid w:val="00EB45E9"/>
    <w:rsid w:val="00EB4876"/>
    <w:rsid w:val="00EB4B77"/>
    <w:rsid w:val="00EB4D6D"/>
    <w:rsid w:val="00EB4F3C"/>
    <w:rsid w:val="00EB5017"/>
    <w:rsid w:val="00EB50C5"/>
    <w:rsid w:val="00EB51A1"/>
    <w:rsid w:val="00EB54B4"/>
    <w:rsid w:val="00EB55DF"/>
    <w:rsid w:val="00EB5911"/>
    <w:rsid w:val="00EB5CAD"/>
    <w:rsid w:val="00EB5D8A"/>
    <w:rsid w:val="00EB5EA0"/>
    <w:rsid w:val="00EB5F65"/>
    <w:rsid w:val="00EB6015"/>
    <w:rsid w:val="00EB606F"/>
    <w:rsid w:val="00EB61AA"/>
    <w:rsid w:val="00EB6834"/>
    <w:rsid w:val="00EB6972"/>
    <w:rsid w:val="00EB69AF"/>
    <w:rsid w:val="00EB6B4F"/>
    <w:rsid w:val="00EB6C72"/>
    <w:rsid w:val="00EB6E27"/>
    <w:rsid w:val="00EB6E45"/>
    <w:rsid w:val="00EB6E4B"/>
    <w:rsid w:val="00EB6F94"/>
    <w:rsid w:val="00EB7135"/>
    <w:rsid w:val="00EB71A2"/>
    <w:rsid w:val="00EB7236"/>
    <w:rsid w:val="00EB728F"/>
    <w:rsid w:val="00EB72A3"/>
    <w:rsid w:val="00EB732A"/>
    <w:rsid w:val="00EB73FE"/>
    <w:rsid w:val="00EB7664"/>
    <w:rsid w:val="00EB76A2"/>
    <w:rsid w:val="00EB77DC"/>
    <w:rsid w:val="00EB7850"/>
    <w:rsid w:val="00EB789D"/>
    <w:rsid w:val="00EB7A01"/>
    <w:rsid w:val="00EB7AB9"/>
    <w:rsid w:val="00EB7B36"/>
    <w:rsid w:val="00EB7C27"/>
    <w:rsid w:val="00EB7C2E"/>
    <w:rsid w:val="00EB7F73"/>
    <w:rsid w:val="00EC0035"/>
    <w:rsid w:val="00EC0049"/>
    <w:rsid w:val="00EC02BE"/>
    <w:rsid w:val="00EC04E9"/>
    <w:rsid w:val="00EC0504"/>
    <w:rsid w:val="00EC0722"/>
    <w:rsid w:val="00EC07A1"/>
    <w:rsid w:val="00EC07E2"/>
    <w:rsid w:val="00EC0842"/>
    <w:rsid w:val="00EC08B0"/>
    <w:rsid w:val="00EC0959"/>
    <w:rsid w:val="00EC0B0D"/>
    <w:rsid w:val="00EC0CDC"/>
    <w:rsid w:val="00EC10F4"/>
    <w:rsid w:val="00EC154B"/>
    <w:rsid w:val="00EC18D5"/>
    <w:rsid w:val="00EC1B64"/>
    <w:rsid w:val="00EC1CC8"/>
    <w:rsid w:val="00EC1E73"/>
    <w:rsid w:val="00EC1E7F"/>
    <w:rsid w:val="00EC1F2B"/>
    <w:rsid w:val="00EC210D"/>
    <w:rsid w:val="00EC223B"/>
    <w:rsid w:val="00EC2344"/>
    <w:rsid w:val="00EC2373"/>
    <w:rsid w:val="00EC24F5"/>
    <w:rsid w:val="00EC2630"/>
    <w:rsid w:val="00EC2631"/>
    <w:rsid w:val="00EC284A"/>
    <w:rsid w:val="00EC28D1"/>
    <w:rsid w:val="00EC2963"/>
    <w:rsid w:val="00EC2971"/>
    <w:rsid w:val="00EC2A10"/>
    <w:rsid w:val="00EC2A8E"/>
    <w:rsid w:val="00EC2AF4"/>
    <w:rsid w:val="00EC2D76"/>
    <w:rsid w:val="00EC2E93"/>
    <w:rsid w:val="00EC2F99"/>
    <w:rsid w:val="00EC30BC"/>
    <w:rsid w:val="00EC30F0"/>
    <w:rsid w:val="00EC31FE"/>
    <w:rsid w:val="00EC3279"/>
    <w:rsid w:val="00EC34E3"/>
    <w:rsid w:val="00EC364F"/>
    <w:rsid w:val="00EC39A7"/>
    <w:rsid w:val="00EC3F2E"/>
    <w:rsid w:val="00EC400A"/>
    <w:rsid w:val="00EC401E"/>
    <w:rsid w:val="00EC42B9"/>
    <w:rsid w:val="00EC4652"/>
    <w:rsid w:val="00EC4A40"/>
    <w:rsid w:val="00EC4A64"/>
    <w:rsid w:val="00EC4AA3"/>
    <w:rsid w:val="00EC4BEA"/>
    <w:rsid w:val="00EC4CCA"/>
    <w:rsid w:val="00EC4F85"/>
    <w:rsid w:val="00EC4F9F"/>
    <w:rsid w:val="00EC506F"/>
    <w:rsid w:val="00EC51C3"/>
    <w:rsid w:val="00EC536F"/>
    <w:rsid w:val="00EC547E"/>
    <w:rsid w:val="00EC558E"/>
    <w:rsid w:val="00EC5644"/>
    <w:rsid w:val="00EC572D"/>
    <w:rsid w:val="00EC599A"/>
    <w:rsid w:val="00EC5DAB"/>
    <w:rsid w:val="00EC6183"/>
    <w:rsid w:val="00EC6222"/>
    <w:rsid w:val="00EC6374"/>
    <w:rsid w:val="00EC63EF"/>
    <w:rsid w:val="00EC63F4"/>
    <w:rsid w:val="00EC65C9"/>
    <w:rsid w:val="00EC68B2"/>
    <w:rsid w:val="00EC6B03"/>
    <w:rsid w:val="00EC6B8B"/>
    <w:rsid w:val="00EC6C77"/>
    <w:rsid w:val="00EC6F6B"/>
    <w:rsid w:val="00EC6FC7"/>
    <w:rsid w:val="00EC71FE"/>
    <w:rsid w:val="00EC754B"/>
    <w:rsid w:val="00EC7585"/>
    <w:rsid w:val="00EC7792"/>
    <w:rsid w:val="00EC7886"/>
    <w:rsid w:val="00EC78A7"/>
    <w:rsid w:val="00EC7AD6"/>
    <w:rsid w:val="00EC7B6D"/>
    <w:rsid w:val="00EC7C11"/>
    <w:rsid w:val="00EC7E33"/>
    <w:rsid w:val="00EC7EE4"/>
    <w:rsid w:val="00ED00BD"/>
    <w:rsid w:val="00ED0370"/>
    <w:rsid w:val="00ED043C"/>
    <w:rsid w:val="00ED053B"/>
    <w:rsid w:val="00ED08D2"/>
    <w:rsid w:val="00ED0D3A"/>
    <w:rsid w:val="00ED0D7B"/>
    <w:rsid w:val="00ED0DF7"/>
    <w:rsid w:val="00ED0E05"/>
    <w:rsid w:val="00ED1065"/>
    <w:rsid w:val="00ED11DC"/>
    <w:rsid w:val="00ED1359"/>
    <w:rsid w:val="00ED13BE"/>
    <w:rsid w:val="00ED140A"/>
    <w:rsid w:val="00ED1467"/>
    <w:rsid w:val="00ED16E8"/>
    <w:rsid w:val="00ED1792"/>
    <w:rsid w:val="00ED1834"/>
    <w:rsid w:val="00ED1BD5"/>
    <w:rsid w:val="00ED1BDE"/>
    <w:rsid w:val="00ED1FE9"/>
    <w:rsid w:val="00ED2309"/>
    <w:rsid w:val="00ED2648"/>
    <w:rsid w:val="00ED2654"/>
    <w:rsid w:val="00ED297E"/>
    <w:rsid w:val="00ED2ABA"/>
    <w:rsid w:val="00ED2BE9"/>
    <w:rsid w:val="00ED2C8B"/>
    <w:rsid w:val="00ED2E76"/>
    <w:rsid w:val="00ED2E7A"/>
    <w:rsid w:val="00ED2F2A"/>
    <w:rsid w:val="00ED2FD2"/>
    <w:rsid w:val="00ED2FF8"/>
    <w:rsid w:val="00ED3118"/>
    <w:rsid w:val="00ED33C5"/>
    <w:rsid w:val="00ED3425"/>
    <w:rsid w:val="00ED34FC"/>
    <w:rsid w:val="00ED39DE"/>
    <w:rsid w:val="00ED3AD4"/>
    <w:rsid w:val="00ED3C60"/>
    <w:rsid w:val="00ED3C67"/>
    <w:rsid w:val="00ED3CF9"/>
    <w:rsid w:val="00ED3D81"/>
    <w:rsid w:val="00ED41C2"/>
    <w:rsid w:val="00ED41E2"/>
    <w:rsid w:val="00ED4299"/>
    <w:rsid w:val="00ED44D4"/>
    <w:rsid w:val="00ED4739"/>
    <w:rsid w:val="00ED4813"/>
    <w:rsid w:val="00ED499C"/>
    <w:rsid w:val="00ED4A3A"/>
    <w:rsid w:val="00ED4BF2"/>
    <w:rsid w:val="00ED4CAB"/>
    <w:rsid w:val="00ED4FE9"/>
    <w:rsid w:val="00ED50CF"/>
    <w:rsid w:val="00ED5731"/>
    <w:rsid w:val="00ED592D"/>
    <w:rsid w:val="00ED5B6B"/>
    <w:rsid w:val="00ED5DE1"/>
    <w:rsid w:val="00ED5DF1"/>
    <w:rsid w:val="00ED5E9D"/>
    <w:rsid w:val="00ED6049"/>
    <w:rsid w:val="00ED612E"/>
    <w:rsid w:val="00ED6157"/>
    <w:rsid w:val="00ED62A3"/>
    <w:rsid w:val="00ED68E3"/>
    <w:rsid w:val="00ED6A5B"/>
    <w:rsid w:val="00ED6ADC"/>
    <w:rsid w:val="00ED6C91"/>
    <w:rsid w:val="00ED6CBF"/>
    <w:rsid w:val="00ED6CCA"/>
    <w:rsid w:val="00ED6E9F"/>
    <w:rsid w:val="00ED70A2"/>
    <w:rsid w:val="00ED7226"/>
    <w:rsid w:val="00ED7255"/>
    <w:rsid w:val="00ED73D2"/>
    <w:rsid w:val="00ED7577"/>
    <w:rsid w:val="00ED77FD"/>
    <w:rsid w:val="00ED7877"/>
    <w:rsid w:val="00ED79F9"/>
    <w:rsid w:val="00ED7B40"/>
    <w:rsid w:val="00ED7CD8"/>
    <w:rsid w:val="00ED7D2A"/>
    <w:rsid w:val="00ED7F0F"/>
    <w:rsid w:val="00ED7F13"/>
    <w:rsid w:val="00ED7F2F"/>
    <w:rsid w:val="00ED7F98"/>
    <w:rsid w:val="00ED7FF7"/>
    <w:rsid w:val="00EE0004"/>
    <w:rsid w:val="00EE0231"/>
    <w:rsid w:val="00EE0318"/>
    <w:rsid w:val="00EE0629"/>
    <w:rsid w:val="00EE0645"/>
    <w:rsid w:val="00EE06BB"/>
    <w:rsid w:val="00EE09F4"/>
    <w:rsid w:val="00EE0A15"/>
    <w:rsid w:val="00EE0DB7"/>
    <w:rsid w:val="00EE0DF0"/>
    <w:rsid w:val="00EE127C"/>
    <w:rsid w:val="00EE1296"/>
    <w:rsid w:val="00EE1441"/>
    <w:rsid w:val="00EE15CE"/>
    <w:rsid w:val="00EE161C"/>
    <w:rsid w:val="00EE1809"/>
    <w:rsid w:val="00EE1816"/>
    <w:rsid w:val="00EE1BC0"/>
    <w:rsid w:val="00EE1C95"/>
    <w:rsid w:val="00EE1DEF"/>
    <w:rsid w:val="00EE1F5A"/>
    <w:rsid w:val="00EE20CC"/>
    <w:rsid w:val="00EE2244"/>
    <w:rsid w:val="00EE258D"/>
    <w:rsid w:val="00EE25B5"/>
    <w:rsid w:val="00EE25C9"/>
    <w:rsid w:val="00EE277C"/>
    <w:rsid w:val="00EE280C"/>
    <w:rsid w:val="00EE29D0"/>
    <w:rsid w:val="00EE2A2C"/>
    <w:rsid w:val="00EE2C29"/>
    <w:rsid w:val="00EE2D1E"/>
    <w:rsid w:val="00EE2F03"/>
    <w:rsid w:val="00EE3051"/>
    <w:rsid w:val="00EE30E6"/>
    <w:rsid w:val="00EE395A"/>
    <w:rsid w:val="00EE3A5A"/>
    <w:rsid w:val="00EE3A6D"/>
    <w:rsid w:val="00EE3DB3"/>
    <w:rsid w:val="00EE3DCF"/>
    <w:rsid w:val="00EE3FD7"/>
    <w:rsid w:val="00EE4069"/>
    <w:rsid w:val="00EE4098"/>
    <w:rsid w:val="00EE41F1"/>
    <w:rsid w:val="00EE43E9"/>
    <w:rsid w:val="00EE4538"/>
    <w:rsid w:val="00EE4608"/>
    <w:rsid w:val="00EE4711"/>
    <w:rsid w:val="00EE4976"/>
    <w:rsid w:val="00EE4CC0"/>
    <w:rsid w:val="00EE4CDB"/>
    <w:rsid w:val="00EE4D6E"/>
    <w:rsid w:val="00EE52C5"/>
    <w:rsid w:val="00EE54AD"/>
    <w:rsid w:val="00EE54B5"/>
    <w:rsid w:val="00EE54CE"/>
    <w:rsid w:val="00EE57B2"/>
    <w:rsid w:val="00EE5899"/>
    <w:rsid w:val="00EE594E"/>
    <w:rsid w:val="00EE59BD"/>
    <w:rsid w:val="00EE5A7B"/>
    <w:rsid w:val="00EE5B0A"/>
    <w:rsid w:val="00EE5BBC"/>
    <w:rsid w:val="00EE5DB4"/>
    <w:rsid w:val="00EE5E3A"/>
    <w:rsid w:val="00EE5EB8"/>
    <w:rsid w:val="00EE6011"/>
    <w:rsid w:val="00EE61A5"/>
    <w:rsid w:val="00EE634E"/>
    <w:rsid w:val="00EE6582"/>
    <w:rsid w:val="00EE6794"/>
    <w:rsid w:val="00EE686F"/>
    <w:rsid w:val="00EE6BD7"/>
    <w:rsid w:val="00EE6BEA"/>
    <w:rsid w:val="00EE6C12"/>
    <w:rsid w:val="00EE6C6C"/>
    <w:rsid w:val="00EE6D71"/>
    <w:rsid w:val="00EE6DAA"/>
    <w:rsid w:val="00EE6E21"/>
    <w:rsid w:val="00EE6F99"/>
    <w:rsid w:val="00EE7213"/>
    <w:rsid w:val="00EE76B8"/>
    <w:rsid w:val="00EE77CC"/>
    <w:rsid w:val="00EE7916"/>
    <w:rsid w:val="00EE79CC"/>
    <w:rsid w:val="00EE7AC2"/>
    <w:rsid w:val="00EE7AFE"/>
    <w:rsid w:val="00EE7B3B"/>
    <w:rsid w:val="00EF01B0"/>
    <w:rsid w:val="00EF01B8"/>
    <w:rsid w:val="00EF033B"/>
    <w:rsid w:val="00EF04B5"/>
    <w:rsid w:val="00EF06C7"/>
    <w:rsid w:val="00EF08DA"/>
    <w:rsid w:val="00EF0917"/>
    <w:rsid w:val="00EF0BAE"/>
    <w:rsid w:val="00EF0F34"/>
    <w:rsid w:val="00EF1093"/>
    <w:rsid w:val="00EF10AC"/>
    <w:rsid w:val="00EF1258"/>
    <w:rsid w:val="00EF16E1"/>
    <w:rsid w:val="00EF183D"/>
    <w:rsid w:val="00EF1AE1"/>
    <w:rsid w:val="00EF1B71"/>
    <w:rsid w:val="00EF1B76"/>
    <w:rsid w:val="00EF1B94"/>
    <w:rsid w:val="00EF1CD5"/>
    <w:rsid w:val="00EF1E34"/>
    <w:rsid w:val="00EF201E"/>
    <w:rsid w:val="00EF25F9"/>
    <w:rsid w:val="00EF282C"/>
    <w:rsid w:val="00EF283F"/>
    <w:rsid w:val="00EF2840"/>
    <w:rsid w:val="00EF2909"/>
    <w:rsid w:val="00EF29F6"/>
    <w:rsid w:val="00EF2E97"/>
    <w:rsid w:val="00EF2FDD"/>
    <w:rsid w:val="00EF2FE6"/>
    <w:rsid w:val="00EF2FF5"/>
    <w:rsid w:val="00EF30E3"/>
    <w:rsid w:val="00EF3172"/>
    <w:rsid w:val="00EF32C0"/>
    <w:rsid w:val="00EF341C"/>
    <w:rsid w:val="00EF342C"/>
    <w:rsid w:val="00EF34C0"/>
    <w:rsid w:val="00EF353D"/>
    <w:rsid w:val="00EF3E4F"/>
    <w:rsid w:val="00EF3ED4"/>
    <w:rsid w:val="00EF3ED6"/>
    <w:rsid w:val="00EF3FC9"/>
    <w:rsid w:val="00EF3FE5"/>
    <w:rsid w:val="00EF412C"/>
    <w:rsid w:val="00EF41F7"/>
    <w:rsid w:val="00EF43DD"/>
    <w:rsid w:val="00EF4426"/>
    <w:rsid w:val="00EF445F"/>
    <w:rsid w:val="00EF45FB"/>
    <w:rsid w:val="00EF47A2"/>
    <w:rsid w:val="00EF489D"/>
    <w:rsid w:val="00EF4AD7"/>
    <w:rsid w:val="00EF4B35"/>
    <w:rsid w:val="00EF4B37"/>
    <w:rsid w:val="00EF4E5B"/>
    <w:rsid w:val="00EF590C"/>
    <w:rsid w:val="00EF5CBC"/>
    <w:rsid w:val="00EF5EAA"/>
    <w:rsid w:val="00EF5FBF"/>
    <w:rsid w:val="00EF60B7"/>
    <w:rsid w:val="00EF60E5"/>
    <w:rsid w:val="00EF617C"/>
    <w:rsid w:val="00EF6542"/>
    <w:rsid w:val="00EF669F"/>
    <w:rsid w:val="00EF698F"/>
    <w:rsid w:val="00EF6A2A"/>
    <w:rsid w:val="00EF6A59"/>
    <w:rsid w:val="00EF6C17"/>
    <w:rsid w:val="00EF6C5E"/>
    <w:rsid w:val="00EF6CDD"/>
    <w:rsid w:val="00EF6F26"/>
    <w:rsid w:val="00EF7068"/>
    <w:rsid w:val="00EF71A1"/>
    <w:rsid w:val="00EF71AD"/>
    <w:rsid w:val="00EF7515"/>
    <w:rsid w:val="00EF7672"/>
    <w:rsid w:val="00EF7730"/>
    <w:rsid w:val="00EF7739"/>
    <w:rsid w:val="00EF7753"/>
    <w:rsid w:val="00F00140"/>
    <w:rsid w:val="00F001A6"/>
    <w:rsid w:val="00F0027A"/>
    <w:rsid w:val="00F00507"/>
    <w:rsid w:val="00F00952"/>
    <w:rsid w:val="00F00C60"/>
    <w:rsid w:val="00F00DEF"/>
    <w:rsid w:val="00F0106C"/>
    <w:rsid w:val="00F0108D"/>
    <w:rsid w:val="00F010E7"/>
    <w:rsid w:val="00F011AB"/>
    <w:rsid w:val="00F01916"/>
    <w:rsid w:val="00F01C2B"/>
    <w:rsid w:val="00F01CED"/>
    <w:rsid w:val="00F01EA9"/>
    <w:rsid w:val="00F01EF4"/>
    <w:rsid w:val="00F020F3"/>
    <w:rsid w:val="00F02119"/>
    <w:rsid w:val="00F02128"/>
    <w:rsid w:val="00F02442"/>
    <w:rsid w:val="00F025DC"/>
    <w:rsid w:val="00F025E5"/>
    <w:rsid w:val="00F0263D"/>
    <w:rsid w:val="00F02668"/>
    <w:rsid w:val="00F02769"/>
    <w:rsid w:val="00F02850"/>
    <w:rsid w:val="00F02A83"/>
    <w:rsid w:val="00F02E0E"/>
    <w:rsid w:val="00F02E53"/>
    <w:rsid w:val="00F030D8"/>
    <w:rsid w:val="00F031EC"/>
    <w:rsid w:val="00F0335B"/>
    <w:rsid w:val="00F03454"/>
    <w:rsid w:val="00F035F6"/>
    <w:rsid w:val="00F0389E"/>
    <w:rsid w:val="00F038B4"/>
    <w:rsid w:val="00F03940"/>
    <w:rsid w:val="00F03B89"/>
    <w:rsid w:val="00F03EE6"/>
    <w:rsid w:val="00F03F37"/>
    <w:rsid w:val="00F03F7A"/>
    <w:rsid w:val="00F0409F"/>
    <w:rsid w:val="00F042A9"/>
    <w:rsid w:val="00F046FD"/>
    <w:rsid w:val="00F047F4"/>
    <w:rsid w:val="00F04AD3"/>
    <w:rsid w:val="00F04AF5"/>
    <w:rsid w:val="00F04C59"/>
    <w:rsid w:val="00F04D4B"/>
    <w:rsid w:val="00F04DDF"/>
    <w:rsid w:val="00F04E3D"/>
    <w:rsid w:val="00F0511A"/>
    <w:rsid w:val="00F051B4"/>
    <w:rsid w:val="00F0520F"/>
    <w:rsid w:val="00F05215"/>
    <w:rsid w:val="00F057AD"/>
    <w:rsid w:val="00F057F6"/>
    <w:rsid w:val="00F057FD"/>
    <w:rsid w:val="00F05865"/>
    <w:rsid w:val="00F05949"/>
    <w:rsid w:val="00F05A08"/>
    <w:rsid w:val="00F05A60"/>
    <w:rsid w:val="00F05A7C"/>
    <w:rsid w:val="00F05BD2"/>
    <w:rsid w:val="00F05C71"/>
    <w:rsid w:val="00F05D11"/>
    <w:rsid w:val="00F05E5A"/>
    <w:rsid w:val="00F06154"/>
    <w:rsid w:val="00F06312"/>
    <w:rsid w:val="00F0636F"/>
    <w:rsid w:val="00F066EA"/>
    <w:rsid w:val="00F067EC"/>
    <w:rsid w:val="00F06804"/>
    <w:rsid w:val="00F0689D"/>
    <w:rsid w:val="00F06B23"/>
    <w:rsid w:val="00F06E5D"/>
    <w:rsid w:val="00F07018"/>
    <w:rsid w:val="00F0705E"/>
    <w:rsid w:val="00F0746E"/>
    <w:rsid w:val="00F074C6"/>
    <w:rsid w:val="00F07B45"/>
    <w:rsid w:val="00F07ED5"/>
    <w:rsid w:val="00F101CB"/>
    <w:rsid w:val="00F1029C"/>
    <w:rsid w:val="00F102EE"/>
    <w:rsid w:val="00F10381"/>
    <w:rsid w:val="00F103FA"/>
    <w:rsid w:val="00F105F5"/>
    <w:rsid w:val="00F10673"/>
    <w:rsid w:val="00F1078E"/>
    <w:rsid w:val="00F107CE"/>
    <w:rsid w:val="00F10C21"/>
    <w:rsid w:val="00F10C6C"/>
    <w:rsid w:val="00F10C71"/>
    <w:rsid w:val="00F1166A"/>
    <w:rsid w:val="00F11B7A"/>
    <w:rsid w:val="00F11B7D"/>
    <w:rsid w:val="00F11B84"/>
    <w:rsid w:val="00F11C1D"/>
    <w:rsid w:val="00F11F57"/>
    <w:rsid w:val="00F11FA0"/>
    <w:rsid w:val="00F12181"/>
    <w:rsid w:val="00F124B8"/>
    <w:rsid w:val="00F1252A"/>
    <w:rsid w:val="00F1260D"/>
    <w:rsid w:val="00F12695"/>
    <w:rsid w:val="00F12743"/>
    <w:rsid w:val="00F12AF8"/>
    <w:rsid w:val="00F12CB7"/>
    <w:rsid w:val="00F12D7D"/>
    <w:rsid w:val="00F12E45"/>
    <w:rsid w:val="00F12F8F"/>
    <w:rsid w:val="00F12FA1"/>
    <w:rsid w:val="00F1319C"/>
    <w:rsid w:val="00F135E2"/>
    <w:rsid w:val="00F139B1"/>
    <w:rsid w:val="00F13B62"/>
    <w:rsid w:val="00F13C42"/>
    <w:rsid w:val="00F13DFC"/>
    <w:rsid w:val="00F13E29"/>
    <w:rsid w:val="00F13F09"/>
    <w:rsid w:val="00F13FF9"/>
    <w:rsid w:val="00F1419A"/>
    <w:rsid w:val="00F1421C"/>
    <w:rsid w:val="00F142BE"/>
    <w:rsid w:val="00F143E6"/>
    <w:rsid w:val="00F14460"/>
    <w:rsid w:val="00F14493"/>
    <w:rsid w:val="00F14501"/>
    <w:rsid w:val="00F147F4"/>
    <w:rsid w:val="00F14869"/>
    <w:rsid w:val="00F1494D"/>
    <w:rsid w:val="00F14BD8"/>
    <w:rsid w:val="00F14D1D"/>
    <w:rsid w:val="00F14D22"/>
    <w:rsid w:val="00F14E06"/>
    <w:rsid w:val="00F14E4B"/>
    <w:rsid w:val="00F14F0D"/>
    <w:rsid w:val="00F1503E"/>
    <w:rsid w:val="00F15136"/>
    <w:rsid w:val="00F15182"/>
    <w:rsid w:val="00F152C3"/>
    <w:rsid w:val="00F1545A"/>
    <w:rsid w:val="00F1546E"/>
    <w:rsid w:val="00F155B0"/>
    <w:rsid w:val="00F157AA"/>
    <w:rsid w:val="00F15940"/>
    <w:rsid w:val="00F15A6E"/>
    <w:rsid w:val="00F15B0A"/>
    <w:rsid w:val="00F15C9C"/>
    <w:rsid w:val="00F15E95"/>
    <w:rsid w:val="00F15F1D"/>
    <w:rsid w:val="00F15FCC"/>
    <w:rsid w:val="00F162E0"/>
    <w:rsid w:val="00F1642B"/>
    <w:rsid w:val="00F164D4"/>
    <w:rsid w:val="00F16540"/>
    <w:rsid w:val="00F1681C"/>
    <w:rsid w:val="00F168A1"/>
    <w:rsid w:val="00F16A02"/>
    <w:rsid w:val="00F16ABE"/>
    <w:rsid w:val="00F16B62"/>
    <w:rsid w:val="00F16DE2"/>
    <w:rsid w:val="00F16EE2"/>
    <w:rsid w:val="00F16F6F"/>
    <w:rsid w:val="00F17179"/>
    <w:rsid w:val="00F17368"/>
    <w:rsid w:val="00F17418"/>
    <w:rsid w:val="00F1742C"/>
    <w:rsid w:val="00F17667"/>
    <w:rsid w:val="00F176E9"/>
    <w:rsid w:val="00F1797C"/>
    <w:rsid w:val="00F17D0B"/>
    <w:rsid w:val="00F2007E"/>
    <w:rsid w:val="00F2029A"/>
    <w:rsid w:val="00F204EF"/>
    <w:rsid w:val="00F20883"/>
    <w:rsid w:val="00F209D3"/>
    <w:rsid w:val="00F20B7A"/>
    <w:rsid w:val="00F20D94"/>
    <w:rsid w:val="00F20E68"/>
    <w:rsid w:val="00F21013"/>
    <w:rsid w:val="00F21018"/>
    <w:rsid w:val="00F21085"/>
    <w:rsid w:val="00F2108B"/>
    <w:rsid w:val="00F21174"/>
    <w:rsid w:val="00F211EF"/>
    <w:rsid w:val="00F2135A"/>
    <w:rsid w:val="00F219BC"/>
    <w:rsid w:val="00F21AB8"/>
    <w:rsid w:val="00F21CE6"/>
    <w:rsid w:val="00F21D93"/>
    <w:rsid w:val="00F22449"/>
    <w:rsid w:val="00F22564"/>
    <w:rsid w:val="00F2266F"/>
    <w:rsid w:val="00F226BF"/>
    <w:rsid w:val="00F226CA"/>
    <w:rsid w:val="00F22822"/>
    <w:rsid w:val="00F22AFD"/>
    <w:rsid w:val="00F22BE2"/>
    <w:rsid w:val="00F22C74"/>
    <w:rsid w:val="00F22D3E"/>
    <w:rsid w:val="00F23115"/>
    <w:rsid w:val="00F23354"/>
    <w:rsid w:val="00F235FF"/>
    <w:rsid w:val="00F237A9"/>
    <w:rsid w:val="00F23AEF"/>
    <w:rsid w:val="00F23CB6"/>
    <w:rsid w:val="00F2408A"/>
    <w:rsid w:val="00F2409A"/>
    <w:rsid w:val="00F2412A"/>
    <w:rsid w:val="00F241BE"/>
    <w:rsid w:val="00F24603"/>
    <w:rsid w:val="00F24942"/>
    <w:rsid w:val="00F24B2D"/>
    <w:rsid w:val="00F24B68"/>
    <w:rsid w:val="00F24C1B"/>
    <w:rsid w:val="00F24F2B"/>
    <w:rsid w:val="00F25023"/>
    <w:rsid w:val="00F2511B"/>
    <w:rsid w:val="00F25135"/>
    <w:rsid w:val="00F25315"/>
    <w:rsid w:val="00F2537F"/>
    <w:rsid w:val="00F254A1"/>
    <w:rsid w:val="00F25641"/>
    <w:rsid w:val="00F2583B"/>
    <w:rsid w:val="00F25AD9"/>
    <w:rsid w:val="00F25B4E"/>
    <w:rsid w:val="00F25FDD"/>
    <w:rsid w:val="00F260E7"/>
    <w:rsid w:val="00F26154"/>
    <w:rsid w:val="00F2642A"/>
    <w:rsid w:val="00F26604"/>
    <w:rsid w:val="00F26BE2"/>
    <w:rsid w:val="00F26C22"/>
    <w:rsid w:val="00F26F91"/>
    <w:rsid w:val="00F273B7"/>
    <w:rsid w:val="00F273DA"/>
    <w:rsid w:val="00F2762E"/>
    <w:rsid w:val="00F27651"/>
    <w:rsid w:val="00F2777A"/>
    <w:rsid w:val="00F27A72"/>
    <w:rsid w:val="00F27CE7"/>
    <w:rsid w:val="00F27D20"/>
    <w:rsid w:val="00F302C4"/>
    <w:rsid w:val="00F30321"/>
    <w:rsid w:val="00F3035D"/>
    <w:rsid w:val="00F303A7"/>
    <w:rsid w:val="00F304F5"/>
    <w:rsid w:val="00F305B6"/>
    <w:rsid w:val="00F30626"/>
    <w:rsid w:val="00F30735"/>
    <w:rsid w:val="00F3077D"/>
    <w:rsid w:val="00F30865"/>
    <w:rsid w:val="00F3089B"/>
    <w:rsid w:val="00F30926"/>
    <w:rsid w:val="00F30A0D"/>
    <w:rsid w:val="00F30A54"/>
    <w:rsid w:val="00F30C1B"/>
    <w:rsid w:val="00F30E14"/>
    <w:rsid w:val="00F30F69"/>
    <w:rsid w:val="00F31038"/>
    <w:rsid w:val="00F31169"/>
    <w:rsid w:val="00F31191"/>
    <w:rsid w:val="00F31215"/>
    <w:rsid w:val="00F31A7A"/>
    <w:rsid w:val="00F32109"/>
    <w:rsid w:val="00F32375"/>
    <w:rsid w:val="00F3241F"/>
    <w:rsid w:val="00F3279B"/>
    <w:rsid w:val="00F327BD"/>
    <w:rsid w:val="00F32B8C"/>
    <w:rsid w:val="00F32FA8"/>
    <w:rsid w:val="00F331DE"/>
    <w:rsid w:val="00F3330A"/>
    <w:rsid w:val="00F3349D"/>
    <w:rsid w:val="00F334DC"/>
    <w:rsid w:val="00F33681"/>
    <w:rsid w:val="00F33696"/>
    <w:rsid w:val="00F336E9"/>
    <w:rsid w:val="00F33928"/>
    <w:rsid w:val="00F33B2F"/>
    <w:rsid w:val="00F33FB2"/>
    <w:rsid w:val="00F341B7"/>
    <w:rsid w:val="00F34211"/>
    <w:rsid w:val="00F3464D"/>
    <w:rsid w:val="00F3467A"/>
    <w:rsid w:val="00F34825"/>
    <w:rsid w:val="00F34841"/>
    <w:rsid w:val="00F3485C"/>
    <w:rsid w:val="00F3486C"/>
    <w:rsid w:val="00F3497D"/>
    <w:rsid w:val="00F34AFA"/>
    <w:rsid w:val="00F34B67"/>
    <w:rsid w:val="00F34C6E"/>
    <w:rsid w:val="00F34DC6"/>
    <w:rsid w:val="00F35122"/>
    <w:rsid w:val="00F3536E"/>
    <w:rsid w:val="00F355DB"/>
    <w:rsid w:val="00F3567C"/>
    <w:rsid w:val="00F358B1"/>
    <w:rsid w:val="00F35AA8"/>
    <w:rsid w:val="00F35B34"/>
    <w:rsid w:val="00F35D0A"/>
    <w:rsid w:val="00F35D46"/>
    <w:rsid w:val="00F35F6D"/>
    <w:rsid w:val="00F360F0"/>
    <w:rsid w:val="00F361EF"/>
    <w:rsid w:val="00F36215"/>
    <w:rsid w:val="00F36255"/>
    <w:rsid w:val="00F362A3"/>
    <w:rsid w:val="00F363A4"/>
    <w:rsid w:val="00F36484"/>
    <w:rsid w:val="00F364C9"/>
    <w:rsid w:val="00F36529"/>
    <w:rsid w:val="00F3662E"/>
    <w:rsid w:val="00F367F2"/>
    <w:rsid w:val="00F36815"/>
    <w:rsid w:val="00F36992"/>
    <w:rsid w:val="00F36C27"/>
    <w:rsid w:val="00F36E28"/>
    <w:rsid w:val="00F36F2C"/>
    <w:rsid w:val="00F37058"/>
    <w:rsid w:val="00F3710F"/>
    <w:rsid w:val="00F37220"/>
    <w:rsid w:val="00F37503"/>
    <w:rsid w:val="00F37702"/>
    <w:rsid w:val="00F37A3C"/>
    <w:rsid w:val="00F37C4B"/>
    <w:rsid w:val="00F37DE6"/>
    <w:rsid w:val="00F37E17"/>
    <w:rsid w:val="00F37F89"/>
    <w:rsid w:val="00F37FCD"/>
    <w:rsid w:val="00F40071"/>
    <w:rsid w:val="00F40290"/>
    <w:rsid w:val="00F4037B"/>
    <w:rsid w:val="00F403D6"/>
    <w:rsid w:val="00F403DD"/>
    <w:rsid w:val="00F405ED"/>
    <w:rsid w:val="00F4069B"/>
    <w:rsid w:val="00F40803"/>
    <w:rsid w:val="00F40C63"/>
    <w:rsid w:val="00F40CE1"/>
    <w:rsid w:val="00F40DB9"/>
    <w:rsid w:val="00F40DD2"/>
    <w:rsid w:val="00F41039"/>
    <w:rsid w:val="00F410B8"/>
    <w:rsid w:val="00F41501"/>
    <w:rsid w:val="00F415E3"/>
    <w:rsid w:val="00F41976"/>
    <w:rsid w:val="00F41D59"/>
    <w:rsid w:val="00F41F35"/>
    <w:rsid w:val="00F423BB"/>
    <w:rsid w:val="00F425CB"/>
    <w:rsid w:val="00F426CB"/>
    <w:rsid w:val="00F426DB"/>
    <w:rsid w:val="00F426DC"/>
    <w:rsid w:val="00F42904"/>
    <w:rsid w:val="00F42B5C"/>
    <w:rsid w:val="00F42C3D"/>
    <w:rsid w:val="00F42EB6"/>
    <w:rsid w:val="00F42EFB"/>
    <w:rsid w:val="00F4323F"/>
    <w:rsid w:val="00F43252"/>
    <w:rsid w:val="00F4331D"/>
    <w:rsid w:val="00F43416"/>
    <w:rsid w:val="00F4343F"/>
    <w:rsid w:val="00F43552"/>
    <w:rsid w:val="00F4357A"/>
    <w:rsid w:val="00F43590"/>
    <w:rsid w:val="00F43648"/>
    <w:rsid w:val="00F43A4F"/>
    <w:rsid w:val="00F43AEB"/>
    <w:rsid w:val="00F43C31"/>
    <w:rsid w:val="00F43DA4"/>
    <w:rsid w:val="00F43E79"/>
    <w:rsid w:val="00F43E80"/>
    <w:rsid w:val="00F440A2"/>
    <w:rsid w:val="00F443AE"/>
    <w:rsid w:val="00F44403"/>
    <w:rsid w:val="00F4478D"/>
    <w:rsid w:val="00F4490F"/>
    <w:rsid w:val="00F449E4"/>
    <w:rsid w:val="00F44C05"/>
    <w:rsid w:val="00F44E4C"/>
    <w:rsid w:val="00F44E5A"/>
    <w:rsid w:val="00F44F93"/>
    <w:rsid w:val="00F45034"/>
    <w:rsid w:val="00F4541C"/>
    <w:rsid w:val="00F455C3"/>
    <w:rsid w:val="00F45808"/>
    <w:rsid w:val="00F45929"/>
    <w:rsid w:val="00F45A10"/>
    <w:rsid w:val="00F45AA6"/>
    <w:rsid w:val="00F45AF6"/>
    <w:rsid w:val="00F45B6E"/>
    <w:rsid w:val="00F45C4A"/>
    <w:rsid w:val="00F45F31"/>
    <w:rsid w:val="00F4601D"/>
    <w:rsid w:val="00F4603C"/>
    <w:rsid w:val="00F46061"/>
    <w:rsid w:val="00F460EC"/>
    <w:rsid w:val="00F4619B"/>
    <w:rsid w:val="00F464A8"/>
    <w:rsid w:val="00F46824"/>
    <w:rsid w:val="00F46866"/>
    <w:rsid w:val="00F46B1C"/>
    <w:rsid w:val="00F46B5F"/>
    <w:rsid w:val="00F46C12"/>
    <w:rsid w:val="00F46C3C"/>
    <w:rsid w:val="00F47076"/>
    <w:rsid w:val="00F470F8"/>
    <w:rsid w:val="00F47138"/>
    <w:rsid w:val="00F47385"/>
    <w:rsid w:val="00F4783C"/>
    <w:rsid w:val="00F47A4C"/>
    <w:rsid w:val="00F47A51"/>
    <w:rsid w:val="00F47A94"/>
    <w:rsid w:val="00F47AC9"/>
    <w:rsid w:val="00F47BEB"/>
    <w:rsid w:val="00F47C1B"/>
    <w:rsid w:val="00F47D71"/>
    <w:rsid w:val="00F47F40"/>
    <w:rsid w:val="00F50090"/>
    <w:rsid w:val="00F50113"/>
    <w:rsid w:val="00F50222"/>
    <w:rsid w:val="00F50306"/>
    <w:rsid w:val="00F503C1"/>
    <w:rsid w:val="00F5064B"/>
    <w:rsid w:val="00F50662"/>
    <w:rsid w:val="00F506EF"/>
    <w:rsid w:val="00F50950"/>
    <w:rsid w:val="00F509F1"/>
    <w:rsid w:val="00F50AC5"/>
    <w:rsid w:val="00F50BCB"/>
    <w:rsid w:val="00F50EBA"/>
    <w:rsid w:val="00F50FDF"/>
    <w:rsid w:val="00F5104D"/>
    <w:rsid w:val="00F5105A"/>
    <w:rsid w:val="00F51405"/>
    <w:rsid w:val="00F514A6"/>
    <w:rsid w:val="00F51553"/>
    <w:rsid w:val="00F515E9"/>
    <w:rsid w:val="00F516A4"/>
    <w:rsid w:val="00F51770"/>
    <w:rsid w:val="00F519F9"/>
    <w:rsid w:val="00F51A91"/>
    <w:rsid w:val="00F51AFE"/>
    <w:rsid w:val="00F51BB8"/>
    <w:rsid w:val="00F51BEB"/>
    <w:rsid w:val="00F51E0E"/>
    <w:rsid w:val="00F51FC7"/>
    <w:rsid w:val="00F520E1"/>
    <w:rsid w:val="00F522FF"/>
    <w:rsid w:val="00F525FB"/>
    <w:rsid w:val="00F52723"/>
    <w:rsid w:val="00F52936"/>
    <w:rsid w:val="00F529CC"/>
    <w:rsid w:val="00F52AEB"/>
    <w:rsid w:val="00F52C04"/>
    <w:rsid w:val="00F52C15"/>
    <w:rsid w:val="00F52C4D"/>
    <w:rsid w:val="00F52CC4"/>
    <w:rsid w:val="00F52D72"/>
    <w:rsid w:val="00F53290"/>
    <w:rsid w:val="00F53333"/>
    <w:rsid w:val="00F53D61"/>
    <w:rsid w:val="00F53E30"/>
    <w:rsid w:val="00F53E71"/>
    <w:rsid w:val="00F53F17"/>
    <w:rsid w:val="00F53F95"/>
    <w:rsid w:val="00F54121"/>
    <w:rsid w:val="00F542ED"/>
    <w:rsid w:val="00F54615"/>
    <w:rsid w:val="00F54855"/>
    <w:rsid w:val="00F54997"/>
    <w:rsid w:val="00F54A02"/>
    <w:rsid w:val="00F54C35"/>
    <w:rsid w:val="00F54C48"/>
    <w:rsid w:val="00F54CA5"/>
    <w:rsid w:val="00F55280"/>
    <w:rsid w:val="00F552C8"/>
    <w:rsid w:val="00F5554A"/>
    <w:rsid w:val="00F555B6"/>
    <w:rsid w:val="00F5576B"/>
    <w:rsid w:val="00F557E7"/>
    <w:rsid w:val="00F557FF"/>
    <w:rsid w:val="00F559D4"/>
    <w:rsid w:val="00F55C41"/>
    <w:rsid w:val="00F560E7"/>
    <w:rsid w:val="00F56166"/>
    <w:rsid w:val="00F561DA"/>
    <w:rsid w:val="00F56297"/>
    <w:rsid w:val="00F562DD"/>
    <w:rsid w:val="00F56372"/>
    <w:rsid w:val="00F563E4"/>
    <w:rsid w:val="00F56564"/>
    <w:rsid w:val="00F56663"/>
    <w:rsid w:val="00F5674B"/>
    <w:rsid w:val="00F567DE"/>
    <w:rsid w:val="00F56838"/>
    <w:rsid w:val="00F56924"/>
    <w:rsid w:val="00F569B2"/>
    <w:rsid w:val="00F56ACF"/>
    <w:rsid w:val="00F56D12"/>
    <w:rsid w:val="00F56DE1"/>
    <w:rsid w:val="00F56E9C"/>
    <w:rsid w:val="00F56EFF"/>
    <w:rsid w:val="00F56FCA"/>
    <w:rsid w:val="00F57045"/>
    <w:rsid w:val="00F5705D"/>
    <w:rsid w:val="00F57075"/>
    <w:rsid w:val="00F57077"/>
    <w:rsid w:val="00F57231"/>
    <w:rsid w:val="00F572F9"/>
    <w:rsid w:val="00F573C9"/>
    <w:rsid w:val="00F574E7"/>
    <w:rsid w:val="00F57575"/>
    <w:rsid w:val="00F57621"/>
    <w:rsid w:val="00F57762"/>
    <w:rsid w:val="00F57983"/>
    <w:rsid w:val="00F57B91"/>
    <w:rsid w:val="00F60054"/>
    <w:rsid w:val="00F60169"/>
    <w:rsid w:val="00F602C3"/>
    <w:rsid w:val="00F60532"/>
    <w:rsid w:val="00F6056C"/>
    <w:rsid w:val="00F60613"/>
    <w:rsid w:val="00F60835"/>
    <w:rsid w:val="00F60850"/>
    <w:rsid w:val="00F609A0"/>
    <w:rsid w:val="00F60ADB"/>
    <w:rsid w:val="00F60D52"/>
    <w:rsid w:val="00F60D79"/>
    <w:rsid w:val="00F60EF6"/>
    <w:rsid w:val="00F6111F"/>
    <w:rsid w:val="00F61158"/>
    <w:rsid w:val="00F612A8"/>
    <w:rsid w:val="00F612D8"/>
    <w:rsid w:val="00F61326"/>
    <w:rsid w:val="00F616CC"/>
    <w:rsid w:val="00F6177A"/>
    <w:rsid w:val="00F617E7"/>
    <w:rsid w:val="00F6188F"/>
    <w:rsid w:val="00F61946"/>
    <w:rsid w:val="00F6197D"/>
    <w:rsid w:val="00F61A85"/>
    <w:rsid w:val="00F62061"/>
    <w:rsid w:val="00F62232"/>
    <w:rsid w:val="00F6224B"/>
    <w:rsid w:val="00F622DA"/>
    <w:rsid w:val="00F62327"/>
    <w:rsid w:val="00F62531"/>
    <w:rsid w:val="00F628D2"/>
    <w:rsid w:val="00F6292E"/>
    <w:rsid w:val="00F62ACB"/>
    <w:rsid w:val="00F62C8B"/>
    <w:rsid w:val="00F62D45"/>
    <w:rsid w:val="00F62D48"/>
    <w:rsid w:val="00F62EE3"/>
    <w:rsid w:val="00F62F9C"/>
    <w:rsid w:val="00F630A9"/>
    <w:rsid w:val="00F63148"/>
    <w:rsid w:val="00F634FA"/>
    <w:rsid w:val="00F635CC"/>
    <w:rsid w:val="00F635F4"/>
    <w:rsid w:val="00F638D3"/>
    <w:rsid w:val="00F639AC"/>
    <w:rsid w:val="00F63ACE"/>
    <w:rsid w:val="00F63AF1"/>
    <w:rsid w:val="00F63BCC"/>
    <w:rsid w:val="00F63ED3"/>
    <w:rsid w:val="00F63EE4"/>
    <w:rsid w:val="00F63F08"/>
    <w:rsid w:val="00F63FA1"/>
    <w:rsid w:val="00F6412E"/>
    <w:rsid w:val="00F6416C"/>
    <w:rsid w:val="00F6452B"/>
    <w:rsid w:val="00F6460C"/>
    <w:rsid w:val="00F6463E"/>
    <w:rsid w:val="00F64B1C"/>
    <w:rsid w:val="00F64CCC"/>
    <w:rsid w:val="00F64D38"/>
    <w:rsid w:val="00F64E20"/>
    <w:rsid w:val="00F64F22"/>
    <w:rsid w:val="00F650BF"/>
    <w:rsid w:val="00F65137"/>
    <w:rsid w:val="00F65178"/>
    <w:rsid w:val="00F65276"/>
    <w:rsid w:val="00F652DF"/>
    <w:rsid w:val="00F657DB"/>
    <w:rsid w:val="00F657F2"/>
    <w:rsid w:val="00F65805"/>
    <w:rsid w:val="00F658A2"/>
    <w:rsid w:val="00F658E9"/>
    <w:rsid w:val="00F65F2C"/>
    <w:rsid w:val="00F65F5E"/>
    <w:rsid w:val="00F65FC7"/>
    <w:rsid w:val="00F6611A"/>
    <w:rsid w:val="00F66120"/>
    <w:rsid w:val="00F66257"/>
    <w:rsid w:val="00F66577"/>
    <w:rsid w:val="00F66705"/>
    <w:rsid w:val="00F6686A"/>
    <w:rsid w:val="00F6699F"/>
    <w:rsid w:val="00F66B94"/>
    <w:rsid w:val="00F66C37"/>
    <w:rsid w:val="00F66EBA"/>
    <w:rsid w:val="00F66FB5"/>
    <w:rsid w:val="00F67085"/>
    <w:rsid w:val="00F674EE"/>
    <w:rsid w:val="00F675FD"/>
    <w:rsid w:val="00F6785C"/>
    <w:rsid w:val="00F6793C"/>
    <w:rsid w:val="00F67A00"/>
    <w:rsid w:val="00F67B86"/>
    <w:rsid w:val="00F67D4D"/>
    <w:rsid w:val="00F67D6D"/>
    <w:rsid w:val="00F7072E"/>
    <w:rsid w:val="00F7076E"/>
    <w:rsid w:val="00F70773"/>
    <w:rsid w:val="00F707D0"/>
    <w:rsid w:val="00F70826"/>
    <w:rsid w:val="00F70C69"/>
    <w:rsid w:val="00F70E05"/>
    <w:rsid w:val="00F70F84"/>
    <w:rsid w:val="00F70FC1"/>
    <w:rsid w:val="00F71069"/>
    <w:rsid w:val="00F713A9"/>
    <w:rsid w:val="00F71431"/>
    <w:rsid w:val="00F71955"/>
    <w:rsid w:val="00F71966"/>
    <w:rsid w:val="00F71BB1"/>
    <w:rsid w:val="00F71D52"/>
    <w:rsid w:val="00F71FF8"/>
    <w:rsid w:val="00F722E5"/>
    <w:rsid w:val="00F72383"/>
    <w:rsid w:val="00F7259A"/>
    <w:rsid w:val="00F726F3"/>
    <w:rsid w:val="00F7282E"/>
    <w:rsid w:val="00F728E8"/>
    <w:rsid w:val="00F72950"/>
    <w:rsid w:val="00F72A32"/>
    <w:rsid w:val="00F72B99"/>
    <w:rsid w:val="00F72D1A"/>
    <w:rsid w:val="00F7314C"/>
    <w:rsid w:val="00F73286"/>
    <w:rsid w:val="00F732E8"/>
    <w:rsid w:val="00F73657"/>
    <w:rsid w:val="00F73672"/>
    <w:rsid w:val="00F7378B"/>
    <w:rsid w:val="00F73BF7"/>
    <w:rsid w:val="00F73C04"/>
    <w:rsid w:val="00F73D84"/>
    <w:rsid w:val="00F73E13"/>
    <w:rsid w:val="00F73EA8"/>
    <w:rsid w:val="00F74021"/>
    <w:rsid w:val="00F7406A"/>
    <w:rsid w:val="00F74104"/>
    <w:rsid w:val="00F74311"/>
    <w:rsid w:val="00F74504"/>
    <w:rsid w:val="00F74B2B"/>
    <w:rsid w:val="00F74CCE"/>
    <w:rsid w:val="00F74E6E"/>
    <w:rsid w:val="00F74FAF"/>
    <w:rsid w:val="00F752CB"/>
    <w:rsid w:val="00F754A6"/>
    <w:rsid w:val="00F7572E"/>
    <w:rsid w:val="00F757FC"/>
    <w:rsid w:val="00F7580B"/>
    <w:rsid w:val="00F75990"/>
    <w:rsid w:val="00F75A50"/>
    <w:rsid w:val="00F75D52"/>
    <w:rsid w:val="00F75D8B"/>
    <w:rsid w:val="00F75F75"/>
    <w:rsid w:val="00F762F8"/>
    <w:rsid w:val="00F76489"/>
    <w:rsid w:val="00F766DC"/>
    <w:rsid w:val="00F7671E"/>
    <w:rsid w:val="00F767DF"/>
    <w:rsid w:val="00F768C6"/>
    <w:rsid w:val="00F768FA"/>
    <w:rsid w:val="00F76916"/>
    <w:rsid w:val="00F76C4F"/>
    <w:rsid w:val="00F77478"/>
    <w:rsid w:val="00F7759A"/>
    <w:rsid w:val="00F775E9"/>
    <w:rsid w:val="00F776F4"/>
    <w:rsid w:val="00F77770"/>
    <w:rsid w:val="00F7778B"/>
    <w:rsid w:val="00F7792B"/>
    <w:rsid w:val="00F7793E"/>
    <w:rsid w:val="00F7795E"/>
    <w:rsid w:val="00F77C11"/>
    <w:rsid w:val="00F77F49"/>
    <w:rsid w:val="00F80115"/>
    <w:rsid w:val="00F80203"/>
    <w:rsid w:val="00F80E1F"/>
    <w:rsid w:val="00F80E78"/>
    <w:rsid w:val="00F811A1"/>
    <w:rsid w:val="00F811AC"/>
    <w:rsid w:val="00F8136F"/>
    <w:rsid w:val="00F81575"/>
    <w:rsid w:val="00F81677"/>
    <w:rsid w:val="00F8175D"/>
    <w:rsid w:val="00F81AF0"/>
    <w:rsid w:val="00F81FD3"/>
    <w:rsid w:val="00F82026"/>
    <w:rsid w:val="00F821A3"/>
    <w:rsid w:val="00F82839"/>
    <w:rsid w:val="00F82B71"/>
    <w:rsid w:val="00F82CBF"/>
    <w:rsid w:val="00F83093"/>
    <w:rsid w:val="00F830FF"/>
    <w:rsid w:val="00F8312A"/>
    <w:rsid w:val="00F83385"/>
    <w:rsid w:val="00F833BC"/>
    <w:rsid w:val="00F83438"/>
    <w:rsid w:val="00F83502"/>
    <w:rsid w:val="00F83724"/>
    <w:rsid w:val="00F8383A"/>
    <w:rsid w:val="00F83876"/>
    <w:rsid w:val="00F838C6"/>
    <w:rsid w:val="00F83C39"/>
    <w:rsid w:val="00F83C94"/>
    <w:rsid w:val="00F83D04"/>
    <w:rsid w:val="00F83D7B"/>
    <w:rsid w:val="00F8401F"/>
    <w:rsid w:val="00F840A8"/>
    <w:rsid w:val="00F840B9"/>
    <w:rsid w:val="00F840EC"/>
    <w:rsid w:val="00F8410B"/>
    <w:rsid w:val="00F8412F"/>
    <w:rsid w:val="00F84132"/>
    <w:rsid w:val="00F8418B"/>
    <w:rsid w:val="00F8450F"/>
    <w:rsid w:val="00F8460A"/>
    <w:rsid w:val="00F847CA"/>
    <w:rsid w:val="00F849EA"/>
    <w:rsid w:val="00F84E30"/>
    <w:rsid w:val="00F85059"/>
    <w:rsid w:val="00F852E0"/>
    <w:rsid w:val="00F853BC"/>
    <w:rsid w:val="00F85412"/>
    <w:rsid w:val="00F8547E"/>
    <w:rsid w:val="00F854A6"/>
    <w:rsid w:val="00F8557F"/>
    <w:rsid w:val="00F8574D"/>
    <w:rsid w:val="00F857C0"/>
    <w:rsid w:val="00F85A16"/>
    <w:rsid w:val="00F85C63"/>
    <w:rsid w:val="00F85CA8"/>
    <w:rsid w:val="00F85EA6"/>
    <w:rsid w:val="00F86364"/>
    <w:rsid w:val="00F86643"/>
    <w:rsid w:val="00F8670D"/>
    <w:rsid w:val="00F8681D"/>
    <w:rsid w:val="00F86951"/>
    <w:rsid w:val="00F8697B"/>
    <w:rsid w:val="00F86A3B"/>
    <w:rsid w:val="00F86A62"/>
    <w:rsid w:val="00F86E4E"/>
    <w:rsid w:val="00F870EB"/>
    <w:rsid w:val="00F874B0"/>
    <w:rsid w:val="00F875F0"/>
    <w:rsid w:val="00F87623"/>
    <w:rsid w:val="00F87773"/>
    <w:rsid w:val="00F8788B"/>
    <w:rsid w:val="00F87ABC"/>
    <w:rsid w:val="00F87D62"/>
    <w:rsid w:val="00F87E38"/>
    <w:rsid w:val="00F87EF4"/>
    <w:rsid w:val="00F9009B"/>
    <w:rsid w:val="00F902BD"/>
    <w:rsid w:val="00F90502"/>
    <w:rsid w:val="00F9050E"/>
    <w:rsid w:val="00F9055E"/>
    <w:rsid w:val="00F9096B"/>
    <w:rsid w:val="00F90ACE"/>
    <w:rsid w:val="00F90BB2"/>
    <w:rsid w:val="00F90BF2"/>
    <w:rsid w:val="00F9109B"/>
    <w:rsid w:val="00F910A6"/>
    <w:rsid w:val="00F9134D"/>
    <w:rsid w:val="00F913B6"/>
    <w:rsid w:val="00F913D2"/>
    <w:rsid w:val="00F9145D"/>
    <w:rsid w:val="00F9148D"/>
    <w:rsid w:val="00F91501"/>
    <w:rsid w:val="00F915A6"/>
    <w:rsid w:val="00F919EF"/>
    <w:rsid w:val="00F91C2D"/>
    <w:rsid w:val="00F91C71"/>
    <w:rsid w:val="00F91C8F"/>
    <w:rsid w:val="00F91D38"/>
    <w:rsid w:val="00F91DA7"/>
    <w:rsid w:val="00F920FF"/>
    <w:rsid w:val="00F92162"/>
    <w:rsid w:val="00F921FA"/>
    <w:rsid w:val="00F9235B"/>
    <w:rsid w:val="00F92594"/>
    <w:rsid w:val="00F926A9"/>
    <w:rsid w:val="00F92C7C"/>
    <w:rsid w:val="00F92CA3"/>
    <w:rsid w:val="00F92FB5"/>
    <w:rsid w:val="00F93064"/>
    <w:rsid w:val="00F93182"/>
    <w:rsid w:val="00F93223"/>
    <w:rsid w:val="00F93299"/>
    <w:rsid w:val="00F93454"/>
    <w:rsid w:val="00F93502"/>
    <w:rsid w:val="00F935B4"/>
    <w:rsid w:val="00F9365E"/>
    <w:rsid w:val="00F93D7B"/>
    <w:rsid w:val="00F93EC9"/>
    <w:rsid w:val="00F93F4D"/>
    <w:rsid w:val="00F9401B"/>
    <w:rsid w:val="00F940CA"/>
    <w:rsid w:val="00F941E2"/>
    <w:rsid w:val="00F9444D"/>
    <w:rsid w:val="00F944FF"/>
    <w:rsid w:val="00F949D7"/>
    <w:rsid w:val="00F94E6A"/>
    <w:rsid w:val="00F94EFB"/>
    <w:rsid w:val="00F95135"/>
    <w:rsid w:val="00F951D0"/>
    <w:rsid w:val="00F953D7"/>
    <w:rsid w:val="00F953F9"/>
    <w:rsid w:val="00F95478"/>
    <w:rsid w:val="00F954F7"/>
    <w:rsid w:val="00F95551"/>
    <w:rsid w:val="00F95589"/>
    <w:rsid w:val="00F9571A"/>
    <w:rsid w:val="00F95747"/>
    <w:rsid w:val="00F95BE4"/>
    <w:rsid w:val="00F95DD1"/>
    <w:rsid w:val="00F95E5D"/>
    <w:rsid w:val="00F95EB3"/>
    <w:rsid w:val="00F95FFE"/>
    <w:rsid w:val="00F961B8"/>
    <w:rsid w:val="00F96266"/>
    <w:rsid w:val="00F966AB"/>
    <w:rsid w:val="00F96F44"/>
    <w:rsid w:val="00F96F8B"/>
    <w:rsid w:val="00F9701E"/>
    <w:rsid w:val="00F9728F"/>
    <w:rsid w:val="00F972F5"/>
    <w:rsid w:val="00F9730B"/>
    <w:rsid w:val="00F9757A"/>
    <w:rsid w:val="00F97736"/>
    <w:rsid w:val="00F9777A"/>
    <w:rsid w:val="00F978AC"/>
    <w:rsid w:val="00F978C2"/>
    <w:rsid w:val="00F978E1"/>
    <w:rsid w:val="00F97AE5"/>
    <w:rsid w:val="00F97B11"/>
    <w:rsid w:val="00F97B8F"/>
    <w:rsid w:val="00F97BDB"/>
    <w:rsid w:val="00F97D4A"/>
    <w:rsid w:val="00F97F41"/>
    <w:rsid w:val="00FA0018"/>
    <w:rsid w:val="00FA0019"/>
    <w:rsid w:val="00FA00E6"/>
    <w:rsid w:val="00FA0145"/>
    <w:rsid w:val="00FA0468"/>
    <w:rsid w:val="00FA058B"/>
    <w:rsid w:val="00FA05DB"/>
    <w:rsid w:val="00FA0632"/>
    <w:rsid w:val="00FA0921"/>
    <w:rsid w:val="00FA0B95"/>
    <w:rsid w:val="00FA0C15"/>
    <w:rsid w:val="00FA0C72"/>
    <w:rsid w:val="00FA0D13"/>
    <w:rsid w:val="00FA0DD1"/>
    <w:rsid w:val="00FA0DE3"/>
    <w:rsid w:val="00FA1078"/>
    <w:rsid w:val="00FA10E4"/>
    <w:rsid w:val="00FA12B6"/>
    <w:rsid w:val="00FA12E0"/>
    <w:rsid w:val="00FA173E"/>
    <w:rsid w:val="00FA19D0"/>
    <w:rsid w:val="00FA1A52"/>
    <w:rsid w:val="00FA1C97"/>
    <w:rsid w:val="00FA1D6F"/>
    <w:rsid w:val="00FA1D7B"/>
    <w:rsid w:val="00FA1E66"/>
    <w:rsid w:val="00FA1F6D"/>
    <w:rsid w:val="00FA20FC"/>
    <w:rsid w:val="00FA2278"/>
    <w:rsid w:val="00FA2478"/>
    <w:rsid w:val="00FA2976"/>
    <w:rsid w:val="00FA2EA6"/>
    <w:rsid w:val="00FA3047"/>
    <w:rsid w:val="00FA3248"/>
    <w:rsid w:val="00FA32E1"/>
    <w:rsid w:val="00FA3601"/>
    <w:rsid w:val="00FA3671"/>
    <w:rsid w:val="00FA37C0"/>
    <w:rsid w:val="00FA3AAE"/>
    <w:rsid w:val="00FA3B65"/>
    <w:rsid w:val="00FA3E51"/>
    <w:rsid w:val="00FA3EF8"/>
    <w:rsid w:val="00FA3F38"/>
    <w:rsid w:val="00FA40BE"/>
    <w:rsid w:val="00FA40DD"/>
    <w:rsid w:val="00FA4231"/>
    <w:rsid w:val="00FA446C"/>
    <w:rsid w:val="00FA45B3"/>
    <w:rsid w:val="00FA479B"/>
    <w:rsid w:val="00FA4855"/>
    <w:rsid w:val="00FA49DF"/>
    <w:rsid w:val="00FA4A7C"/>
    <w:rsid w:val="00FA4B16"/>
    <w:rsid w:val="00FA4BE5"/>
    <w:rsid w:val="00FA4D07"/>
    <w:rsid w:val="00FA4D12"/>
    <w:rsid w:val="00FA4E0F"/>
    <w:rsid w:val="00FA4F44"/>
    <w:rsid w:val="00FA4F92"/>
    <w:rsid w:val="00FA50ED"/>
    <w:rsid w:val="00FA5168"/>
    <w:rsid w:val="00FA51CF"/>
    <w:rsid w:val="00FA5202"/>
    <w:rsid w:val="00FA525A"/>
    <w:rsid w:val="00FA5303"/>
    <w:rsid w:val="00FA536A"/>
    <w:rsid w:val="00FA5457"/>
    <w:rsid w:val="00FA57E5"/>
    <w:rsid w:val="00FA5971"/>
    <w:rsid w:val="00FA5BF0"/>
    <w:rsid w:val="00FA5C05"/>
    <w:rsid w:val="00FA5C4C"/>
    <w:rsid w:val="00FA5CCE"/>
    <w:rsid w:val="00FA5D8C"/>
    <w:rsid w:val="00FA5DB2"/>
    <w:rsid w:val="00FA6557"/>
    <w:rsid w:val="00FA65C8"/>
    <w:rsid w:val="00FA67C3"/>
    <w:rsid w:val="00FA6935"/>
    <w:rsid w:val="00FA6C31"/>
    <w:rsid w:val="00FA6C73"/>
    <w:rsid w:val="00FA6C8D"/>
    <w:rsid w:val="00FA6F1A"/>
    <w:rsid w:val="00FA6F3B"/>
    <w:rsid w:val="00FA6F3F"/>
    <w:rsid w:val="00FA700F"/>
    <w:rsid w:val="00FA7402"/>
    <w:rsid w:val="00FA7503"/>
    <w:rsid w:val="00FA768C"/>
    <w:rsid w:val="00FA769A"/>
    <w:rsid w:val="00FA7935"/>
    <w:rsid w:val="00FA7965"/>
    <w:rsid w:val="00FA7D2D"/>
    <w:rsid w:val="00FA7DAA"/>
    <w:rsid w:val="00FA7DF0"/>
    <w:rsid w:val="00FA7F61"/>
    <w:rsid w:val="00FB0062"/>
    <w:rsid w:val="00FB01A4"/>
    <w:rsid w:val="00FB01B0"/>
    <w:rsid w:val="00FB0442"/>
    <w:rsid w:val="00FB0459"/>
    <w:rsid w:val="00FB059F"/>
    <w:rsid w:val="00FB06F0"/>
    <w:rsid w:val="00FB0891"/>
    <w:rsid w:val="00FB0BD6"/>
    <w:rsid w:val="00FB0C62"/>
    <w:rsid w:val="00FB0D33"/>
    <w:rsid w:val="00FB0E3C"/>
    <w:rsid w:val="00FB106A"/>
    <w:rsid w:val="00FB12A4"/>
    <w:rsid w:val="00FB1378"/>
    <w:rsid w:val="00FB1396"/>
    <w:rsid w:val="00FB1412"/>
    <w:rsid w:val="00FB1441"/>
    <w:rsid w:val="00FB1570"/>
    <w:rsid w:val="00FB1650"/>
    <w:rsid w:val="00FB19D0"/>
    <w:rsid w:val="00FB1A06"/>
    <w:rsid w:val="00FB1ABA"/>
    <w:rsid w:val="00FB1C33"/>
    <w:rsid w:val="00FB1C90"/>
    <w:rsid w:val="00FB1D14"/>
    <w:rsid w:val="00FB20F0"/>
    <w:rsid w:val="00FB2219"/>
    <w:rsid w:val="00FB2302"/>
    <w:rsid w:val="00FB23F9"/>
    <w:rsid w:val="00FB2434"/>
    <w:rsid w:val="00FB2627"/>
    <w:rsid w:val="00FB26EC"/>
    <w:rsid w:val="00FB2EEA"/>
    <w:rsid w:val="00FB32C6"/>
    <w:rsid w:val="00FB36C2"/>
    <w:rsid w:val="00FB3911"/>
    <w:rsid w:val="00FB3948"/>
    <w:rsid w:val="00FB3ABC"/>
    <w:rsid w:val="00FB3E18"/>
    <w:rsid w:val="00FB3E9C"/>
    <w:rsid w:val="00FB3F69"/>
    <w:rsid w:val="00FB4122"/>
    <w:rsid w:val="00FB427D"/>
    <w:rsid w:val="00FB44C0"/>
    <w:rsid w:val="00FB45A4"/>
    <w:rsid w:val="00FB46A0"/>
    <w:rsid w:val="00FB4751"/>
    <w:rsid w:val="00FB492F"/>
    <w:rsid w:val="00FB4A24"/>
    <w:rsid w:val="00FB4B6C"/>
    <w:rsid w:val="00FB4D50"/>
    <w:rsid w:val="00FB4FB5"/>
    <w:rsid w:val="00FB4FDF"/>
    <w:rsid w:val="00FB522E"/>
    <w:rsid w:val="00FB52DA"/>
    <w:rsid w:val="00FB55E7"/>
    <w:rsid w:val="00FB5774"/>
    <w:rsid w:val="00FB589A"/>
    <w:rsid w:val="00FB599B"/>
    <w:rsid w:val="00FB5A68"/>
    <w:rsid w:val="00FB5A8C"/>
    <w:rsid w:val="00FB5AC0"/>
    <w:rsid w:val="00FB5B98"/>
    <w:rsid w:val="00FB5C24"/>
    <w:rsid w:val="00FB5C29"/>
    <w:rsid w:val="00FB5CED"/>
    <w:rsid w:val="00FB5D18"/>
    <w:rsid w:val="00FB5D5F"/>
    <w:rsid w:val="00FB5DFD"/>
    <w:rsid w:val="00FB5E00"/>
    <w:rsid w:val="00FB5E3A"/>
    <w:rsid w:val="00FB60AE"/>
    <w:rsid w:val="00FB614C"/>
    <w:rsid w:val="00FB6269"/>
    <w:rsid w:val="00FB6341"/>
    <w:rsid w:val="00FB63B9"/>
    <w:rsid w:val="00FB652B"/>
    <w:rsid w:val="00FB6583"/>
    <w:rsid w:val="00FB68D0"/>
    <w:rsid w:val="00FB69F5"/>
    <w:rsid w:val="00FB6ABD"/>
    <w:rsid w:val="00FB6ADB"/>
    <w:rsid w:val="00FB6EF1"/>
    <w:rsid w:val="00FB70BD"/>
    <w:rsid w:val="00FB7134"/>
    <w:rsid w:val="00FB729F"/>
    <w:rsid w:val="00FB74E7"/>
    <w:rsid w:val="00FB7537"/>
    <w:rsid w:val="00FB7918"/>
    <w:rsid w:val="00FB79E8"/>
    <w:rsid w:val="00FB79EB"/>
    <w:rsid w:val="00FB7A3E"/>
    <w:rsid w:val="00FB7A53"/>
    <w:rsid w:val="00FB7A94"/>
    <w:rsid w:val="00FB7C62"/>
    <w:rsid w:val="00FB7C79"/>
    <w:rsid w:val="00FC00AD"/>
    <w:rsid w:val="00FC04F6"/>
    <w:rsid w:val="00FC0791"/>
    <w:rsid w:val="00FC0808"/>
    <w:rsid w:val="00FC0826"/>
    <w:rsid w:val="00FC0849"/>
    <w:rsid w:val="00FC085F"/>
    <w:rsid w:val="00FC0987"/>
    <w:rsid w:val="00FC09FC"/>
    <w:rsid w:val="00FC0AA3"/>
    <w:rsid w:val="00FC0CE7"/>
    <w:rsid w:val="00FC0F6C"/>
    <w:rsid w:val="00FC11FC"/>
    <w:rsid w:val="00FC1243"/>
    <w:rsid w:val="00FC1343"/>
    <w:rsid w:val="00FC13AD"/>
    <w:rsid w:val="00FC13B2"/>
    <w:rsid w:val="00FC13BC"/>
    <w:rsid w:val="00FC1442"/>
    <w:rsid w:val="00FC159D"/>
    <w:rsid w:val="00FC167C"/>
    <w:rsid w:val="00FC17C5"/>
    <w:rsid w:val="00FC18DF"/>
    <w:rsid w:val="00FC1AC3"/>
    <w:rsid w:val="00FC1D52"/>
    <w:rsid w:val="00FC1EC6"/>
    <w:rsid w:val="00FC2054"/>
    <w:rsid w:val="00FC228B"/>
    <w:rsid w:val="00FC238F"/>
    <w:rsid w:val="00FC23CC"/>
    <w:rsid w:val="00FC23DB"/>
    <w:rsid w:val="00FC256E"/>
    <w:rsid w:val="00FC257B"/>
    <w:rsid w:val="00FC2835"/>
    <w:rsid w:val="00FC2907"/>
    <w:rsid w:val="00FC2BB2"/>
    <w:rsid w:val="00FC2DA6"/>
    <w:rsid w:val="00FC2E88"/>
    <w:rsid w:val="00FC2EA3"/>
    <w:rsid w:val="00FC2EB2"/>
    <w:rsid w:val="00FC2ECB"/>
    <w:rsid w:val="00FC2EDB"/>
    <w:rsid w:val="00FC2F5B"/>
    <w:rsid w:val="00FC2FA0"/>
    <w:rsid w:val="00FC304B"/>
    <w:rsid w:val="00FC3112"/>
    <w:rsid w:val="00FC31AB"/>
    <w:rsid w:val="00FC34CA"/>
    <w:rsid w:val="00FC3518"/>
    <w:rsid w:val="00FC360A"/>
    <w:rsid w:val="00FC3666"/>
    <w:rsid w:val="00FC38F8"/>
    <w:rsid w:val="00FC398E"/>
    <w:rsid w:val="00FC39A4"/>
    <w:rsid w:val="00FC39DF"/>
    <w:rsid w:val="00FC3C2C"/>
    <w:rsid w:val="00FC3D98"/>
    <w:rsid w:val="00FC3EBF"/>
    <w:rsid w:val="00FC40EE"/>
    <w:rsid w:val="00FC42F9"/>
    <w:rsid w:val="00FC4427"/>
    <w:rsid w:val="00FC4906"/>
    <w:rsid w:val="00FC4961"/>
    <w:rsid w:val="00FC4BBC"/>
    <w:rsid w:val="00FC4BE0"/>
    <w:rsid w:val="00FC4E6B"/>
    <w:rsid w:val="00FC504C"/>
    <w:rsid w:val="00FC50A9"/>
    <w:rsid w:val="00FC51DE"/>
    <w:rsid w:val="00FC52B0"/>
    <w:rsid w:val="00FC54DC"/>
    <w:rsid w:val="00FC575F"/>
    <w:rsid w:val="00FC57A3"/>
    <w:rsid w:val="00FC58BC"/>
    <w:rsid w:val="00FC59B2"/>
    <w:rsid w:val="00FC59D9"/>
    <w:rsid w:val="00FC5A5C"/>
    <w:rsid w:val="00FC5AF2"/>
    <w:rsid w:val="00FC5BB0"/>
    <w:rsid w:val="00FC5C2C"/>
    <w:rsid w:val="00FC6263"/>
    <w:rsid w:val="00FC62CB"/>
    <w:rsid w:val="00FC636F"/>
    <w:rsid w:val="00FC65ED"/>
    <w:rsid w:val="00FC6773"/>
    <w:rsid w:val="00FC67F7"/>
    <w:rsid w:val="00FC6DC2"/>
    <w:rsid w:val="00FC6EA4"/>
    <w:rsid w:val="00FC6F57"/>
    <w:rsid w:val="00FC6FE9"/>
    <w:rsid w:val="00FC72E3"/>
    <w:rsid w:val="00FC72EA"/>
    <w:rsid w:val="00FC7453"/>
    <w:rsid w:val="00FC7738"/>
    <w:rsid w:val="00FC7751"/>
    <w:rsid w:val="00FC7DC8"/>
    <w:rsid w:val="00FD00B4"/>
    <w:rsid w:val="00FD03C1"/>
    <w:rsid w:val="00FD0406"/>
    <w:rsid w:val="00FD094C"/>
    <w:rsid w:val="00FD0975"/>
    <w:rsid w:val="00FD0B12"/>
    <w:rsid w:val="00FD0E9A"/>
    <w:rsid w:val="00FD1103"/>
    <w:rsid w:val="00FD128B"/>
    <w:rsid w:val="00FD175E"/>
    <w:rsid w:val="00FD179A"/>
    <w:rsid w:val="00FD17CF"/>
    <w:rsid w:val="00FD197F"/>
    <w:rsid w:val="00FD1A77"/>
    <w:rsid w:val="00FD1E32"/>
    <w:rsid w:val="00FD1F91"/>
    <w:rsid w:val="00FD23C7"/>
    <w:rsid w:val="00FD271C"/>
    <w:rsid w:val="00FD2AFB"/>
    <w:rsid w:val="00FD2C84"/>
    <w:rsid w:val="00FD2D96"/>
    <w:rsid w:val="00FD30B5"/>
    <w:rsid w:val="00FD3118"/>
    <w:rsid w:val="00FD330D"/>
    <w:rsid w:val="00FD382F"/>
    <w:rsid w:val="00FD39E4"/>
    <w:rsid w:val="00FD3A50"/>
    <w:rsid w:val="00FD3BE3"/>
    <w:rsid w:val="00FD3D29"/>
    <w:rsid w:val="00FD3E23"/>
    <w:rsid w:val="00FD3EEC"/>
    <w:rsid w:val="00FD404A"/>
    <w:rsid w:val="00FD4218"/>
    <w:rsid w:val="00FD4389"/>
    <w:rsid w:val="00FD439F"/>
    <w:rsid w:val="00FD4404"/>
    <w:rsid w:val="00FD45B6"/>
    <w:rsid w:val="00FD47C2"/>
    <w:rsid w:val="00FD4891"/>
    <w:rsid w:val="00FD492D"/>
    <w:rsid w:val="00FD4AF5"/>
    <w:rsid w:val="00FD4BCC"/>
    <w:rsid w:val="00FD4D4A"/>
    <w:rsid w:val="00FD51A5"/>
    <w:rsid w:val="00FD526F"/>
    <w:rsid w:val="00FD5668"/>
    <w:rsid w:val="00FD571E"/>
    <w:rsid w:val="00FD5831"/>
    <w:rsid w:val="00FD58FE"/>
    <w:rsid w:val="00FD59CA"/>
    <w:rsid w:val="00FD5EE7"/>
    <w:rsid w:val="00FD5F87"/>
    <w:rsid w:val="00FD6019"/>
    <w:rsid w:val="00FD601E"/>
    <w:rsid w:val="00FD627E"/>
    <w:rsid w:val="00FD65D5"/>
    <w:rsid w:val="00FD665B"/>
    <w:rsid w:val="00FD6707"/>
    <w:rsid w:val="00FD69AE"/>
    <w:rsid w:val="00FD7069"/>
    <w:rsid w:val="00FD7117"/>
    <w:rsid w:val="00FD7163"/>
    <w:rsid w:val="00FD71F4"/>
    <w:rsid w:val="00FD72C2"/>
    <w:rsid w:val="00FD73B5"/>
    <w:rsid w:val="00FD7B34"/>
    <w:rsid w:val="00FD7EFC"/>
    <w:rsid w:val="00FE001A"/>
    <w:rsid w:val="00FE02BE"/>
    <w:rsid w:val="00FE0480"/>
    <w:rsid w:val="00FE06A4"/>
    <w:rsid w:val="00FE0850"/>
    <w:rsid w:val="00FE085C"/>
    <w:rsid w:val="00FE089F"/>
    <w:rsid w:val="00FE0906"/>
    <w:rsid w:val="00FE0A1B"/>
    <w:rsid w:val="00FE0A78"/>
    <w:rsid w:val="00FE0C1C"/>
    <w:rsid w:val="00FE0C4C"/>
    <w:rsid w:val="00FE0DF7"/>
    <w:rsid w:val="00FE0F73"/>
    <w:rsid w:val="00FE0FFF"/>
    <w:rsid w:val="00FE1202"/>
    <w:rsid w:val="00FE134D"/>
    <w:rsid w:val="00FE1414"/>
    <w:rsid w:val="00FE1670"/>
    <w:rsid w:val="00FE16A2"/>
    <w:rsid w:val="00FE16D1"/>
    <w:rsid w:val="00FE17A2"/>
    <w:rsid w:val="00FE17E0"/>
    <w:rsid w:val="00FE1929"/>
    <w:rsid w:val="00FE1A3C"/>
    <w:rsid w:val="00FE1A78"/>
    <w:rsid w:val="00FE1B96"/>
    <w:rsid w:val="00FE1BD6"/>
    <w:rsid w:val="00FE1CFC"/>
    <w:rsid w:val="00FE1D5E"/>
    <w:rsid w:val="00FE1E77"/>
    <w:rsid w:val="00FE1EB8"/>
    <w:rsid w:val="00FE217A"/>
    <w:rsid w:val="00FE2258"/>
    <w:rsid w:val="00FE2513"/>
    <w:rsid w:val="00FE257A"/>
    <w:rsid w:val="00FE2587"/>
    <w:rsid w:val="00FE26D4"/>
    <w:rsid w:val="00FE2747"/>
    <w:rsid w:val="00FE2881"/>
    <w:rsid w:val="00FE2A28"/>
    <w:rsid w:val="00FE2ACD"/>
    <w:rsid w:val="00FE2B13"/>
    <w:rsid w:val="00FE2B3B"/>
    <w:rsid w:val="00FE2CDB"/>
    <w:rsid w:val="00FE2D13"/>
    <w:rsid w:val="00FE2DA1"/>
    <w:rsid w:val="00FE2EE0"/>
    <w:rsid w:val="00FE2F79"/>
    <w:rsid w:val="00FE315F"/>
    <w:rsid w:val="00FE33E0"/>
    <w:rsid w:val="00FE350F"/>
    <w:rsid w:val="00FE3530"/>
    <w:rsid w:val="00FE36EC"/>
    <w:rsid w:val="00FE38BA"/>
    <w:rsid w:val="00FE3A60"/>
    <w:rsid w:val="00FE3B0E"/>
    <w:rsid w:val="00FE407C"/>
    <w:rsid w:val="00FE41E7"/>
    <w:rsid w:val="00FE421A"/>
    <w:rsid w:val="00FE454E"/>
    <w:rsid w:val="00FE4594"/>
    <w:rsid w:val="00FE4597"/>
    <w:rsid w:val="00FE45BA"/>
    <w:rsid w:val="00FE49AA"/>
    <w:rsid w:val="00FE4AFE"/>
    <w:rsid w:val="00FE4F7D"/>
    <w:rsid w:val="00FE4FFC"/>
    <w:rsid w:val="00FE5042"/>
    <w:rsid w:val="00FE522C"/>
    <w:rsid w:val="00FE5523"/>
    <w:rsid w:val="00FE576E"/>
    <w:rsid w:val="00FE5817"/>
    <w:rsid w:val="00FE594D"/>
    <w:rsid w:val="00FE59A7"/>
    <w:rsid w:val="00FE5ACF"/>
    <w:rsid w:val="00FE5B74"/>
    <w:rsid w:val="00FE5B91"/>
    <w:rsid w:val="00FE5C02"/>
    <w:rsid w:val="00FE5C4C"/>
    <w:rsid w:val="00FE5DD6"/>
    <w:rsid w:val="00FE5EDD"/>
    <w:rsid w:val="00FE5FBC"/>
    <w:rsid w:val="00FE5FD7"/>
    <w:rsid w:val="00FE633D"/>
    <w:rsid w:val="00FE64B7"/>
    <w:rsid w:val="00FE65AB"/>
    <w:rsid w:val="00FE663A"/>
    <w:rsid w:val="00FE66CF"/>
    <w:rsid w:val="00FE68F7"/>
    <w:rsid w:val="00FE690F"/>
    <w:rsid w:val="00FE6CF3"/>
    <w:rsid w:val="00FE7413"/>
    <w:rsid w:val="00FE7431"/>
    <w:rsid w:val="00FE773B"/>
    <w:rsid w:val="00FE791B"/>
    <w:rsid w:val="00FE7B27"/>
    <w:rsid w:val="00FE7BA0"/>
    <w:rsid w:val="00FE7F61"/>
    <w:rsid w:val="00FE7FC9"/>
    <w:rsid w:val="00FF0068"/>
    <w:rsid w:val="00FF023B"/>
    <w:rsid w:val="00FF028D"/>
    <w:rsid w:val="00FF0361"/>
    <w:rsid w:val="00FF036F"/>
    <w:rsid w:val="00FF04BC"/>
    <w:rsid w:val="00FF05CA"/>
    <w:rsid w:val="00FF08F8"/>
    <w:rsid w:val="00FF0F0C"/>
    <w:rsid w:val="00FF0F7A"/>
    <w:rsid w:val="00FF1148"/>
    <w:rsid w:val="00FF14CD"/>
    <w:rsid w:val="00FF15C0"/>
    <w:rsid w:val="00FF15D0"/>
    <w:rsid w:val="00FF1824"/>
    <w:rsid w:val="00FF1951"/>
    <w:rsid w:val="00FF19DB"/>
    <w:rsid w:val="00FF1A60"/>
    <w:rsid w:val="00FF1A69"/>
    <w:rsid w:val="00FF1CD8"/>
    <w:rsid w:val="00FF1ED0"/>
    <w:rsid w:val="00FF1ED3"/>
    <w:rsid w:val="00FF238D"/>
    <w:rsid w:val="00FF2428"/>
    <w:rsid w:val="00FF24EA"/>
    <w:rsid w:val="00FF2740"/>
    <w:rsid w:val="00FF27EB"/>
    <w:rsid w:val="00FF298F"/>
    <w:rsid w:val="00FF2F01"/>
    <w:rsid w:val="00FF2F0C"/>
    <w:rsid w:val="00FF312F"/>
    <w:rsid w:val="00FF34E0"/>
    <w:rsid w:val="00FF363C"/>
    <w:rsid w:val="00FF3797"/>
    <w:rsid w:val="00FF39B1"/>
    <w:rsid w:val="00FF3C05"/>
    <w:rsid w:val="00FF3F2C"/>
    <w:rsid w:val="00FF41D2"/>
    <w:rsid w:val="00FF4505"/>
    <w:rsid w:val="00FF4548"/>
    <w:rsid w:val="00FF4596"/>
    <w:rsid w:val="00FF4959"/>
    <w:rsid w:val="00FF4A86"/>
    <w:rsid w:val="00FF4AB2"/>
    <w:rsid w:val="00FF4EE0"/>
    <w:rsid w:val="00FF4F15"/>
    <w:rsid w:val="00FF51E6"/>
    <w:rsid w:val="00FF56E0"/>
    <w:rsid w:val="00FF57FF"/>
    <w:rsid w:val="00FF584B"/>
    <w:rsid w:val="00FF5975"/>
    <w:rsid w:val="00FF59B6"/>
    <w:rsid w:val="00FF5C35"/>
    <w:rsid w:val="00FF5C68"/>
    <w:rsid w:val="00FF5E20"/>
    <w:rsid w:val="00FF5EBE"/>
    <w:rsid w:val="00FF656E"/>
    <w:rsid w:val="00FF65B3"/>
    <w:rsid w:val="00FF66E6"/>
    <w:rsid w:val="00FF6966"/>
    <w:rsid w:val="00FF6C16"/>
    <w:rsid w:val="00FF6C99"/>
    <w:rsid w:val="00FF6CD5"/>
    <w:rsid w:val="00FF6F7C"/>
    <w:rsid w:val="00FF6FD1"/>
    <w:rsid w:val="00FF7123"/>
    <w:rsid w:val="00FF7286"/>
    <w:rsid w:val="00FF7444"/>
    <w:rsid w:val="00FF7478"/>
    <w:rsid w:val="00FF74E9"/>
    <w:rsid w:val="00FF7554"/>
    <w:rsid w:val="00FF7593"/>
    <w:rsid w:val="00FF772F"/>
    <w:rsid w:val="00FF7DDF"/>
    <w:rsid w:val="00FF7F1F"/>
    <w:rsid w:val="00FF7F53"/>
    <w:rsid w:val="0101F8F5"/>
    <w:rsid w:val="01198A5F"/>
    <w:rsid w:val="015B918B"/>
    <w:rsid w:val="0192B518"/>
    <w:rsid w:val="01A73941"/>
    <w:rsid w:val="01B3E6E1"/>
    <w:rsid w:val="01B58A53"/>
    <w:rsid w:val="01B63149"/>
    <w:rsid w:val="01CB5E74"/>
    <w:rsid w:val="01F7A0BD"/>
    <w:rsid w:val="020260D7"/>
    <w:rsid w:val="023ACD73"/>
    <w:rsid w:val="02587EB7"/>
    <w:rsid w:val="026CA5B6"/>
    <w:rsid w:val="026F6C28"/>
    <w:rsid w:val="0270B497"/>
    <w:rsid w:val="02717607"/>
    <w:rsid w:val="02A51107"/>
    <w:rsid w:val="02A7D0AB"/>
    <w:rsid w:val="02C74BCD"/>
    <w:rsid w:val="02DBF1E4"/>
    <w:rsid w:val="02E3CFB9"/>
    <w:rsid w:val="03064668"/>
    <w:rsid w:val="030A92C5"/>
    <w:rsid w:val="030F9760"/>
    <w:rsid w:val="031AE604"/>
    <w:rsid w:val="03208C7E"/>
    <w:rsid w:val="0321D375"/>
    <w:rsid w:val="032C6F28"/>
    <w:rsid w:val="032E7360"/>
    <w:rsid w:val="03515AB4"/>
    <w:rsid w:val="03608AFB"/>
    <w:rsid w:val="03673D1D"/>
    <w:rsid w:val="036FFBAD"/>
    <w:rsid w:val="03862C32"/>
    <w:rsid w:val="039148FC"/>
    <w:rsid w:val="03999468"/>
    <w:rsid w:val="03A5B91C"/>
    <w:rsid w:val="03A9825A"/>
    <w:rsid w:val="03D1CF48"/>
    <w:rsid w:val="03DDDE13"/>
    <w:rsid w:val="03E340AC"/>
    <w:rsid w:val="03E53AD6"/>
    <w:rsid w:val="03F10399"/>
    <w:rsid w:val="03F30F2E"/>
    <w:rsid w:val="041CB78F"/>
    <w:rsid w:val="04296BF6"/>
    <w:rsid w:val="0447DF35"/>
    <w:rsid w:val="045BA7AF"/>
    <w:rsid w:val="047E8025"/>
    <w:rsid w:val="048D9251"/>
    <w:rsid w:val="04B55212"/>
    <w:rsid w:val="04BF9ED1"/>
    <w:rsid w:val="04C835B5"/>
    <w:rsid w:val="04CCECAF"/>
    <w:rsid w:val="04E1DA50"/>
    <w:rsid w:val="04EBB28F"/>
    <w:rsid w:val="04F96FA3"/>
    <w:rsid w:val="052B4C34"/>
    <w:rsid w:val="0540A1B1"/>
    <w:rsid w:val="056DDB84"/>
    <w:rsid w:val="05709F3B"/>
    <w:rsid w:val="058E5717"/>
    <w:rsid w:val="059214D6"/>
    <w:rsid w:val="05B69682"/>
    <w:rsid w:val="05E95D50"/>
    <w:rsid w:val="05EEF9A1"/>
    <w:rsid w:val="05F5E227"/>
    <w:rsid w:val="0624DD45"/>
    <w:rsid w:val="0640AB6A"/>
    <w:rsid w:val="06454F0E"/>
    <w:rsid w:val="0664000A"/>
    <w:rsid w:val="066DC1CE"/>
    <w:rsid w:val="06749FAB"/>
    <w:rsid w:val="067573BE"/>
    <w:rsid w:val="067CFE43"/>
    <w:rsid w:val="067EDD2C"/>
    <w:rsid w:val="068CBF6F"/>
    <w:rsid w:val="068F7CD2"/>
    <w:rsid w:val="06984A7C"/>
    <w:rsid w:val="06B86B4C"/>
    <w:rsid w:val="06C892E5"/>
    <w:rsid w:val="06D8809B"/>
    <w:rsid w:val="06DD238C"/>
    <w:rsid w:val="06E79499"/>
    <w:rsid w:val="06F26C51"/>
    <w:rsid w:val="06FC5CEF"/>
    <w:rsid w:val="0704EB09"/>
    <w:rsid w:val="071DF403"/>
    <w:rsid w:val="073CD4F6"/>
    <w:rsid w:val="073FBE9D"/>
    <w:rsid w:val="07446CD5"/>
    <w:rsid w:val="076609F6"/>
    <w:rsid w:val="0769A5F0"/>
    <w:rsid w:val="079E34E8"/>
    <w:rsid w:val="07A10CB3"/>
    <w:rsid w:val="07AE5CE8"/>
    <w:rsid w:val="07B28604"/>
    <w:rsid w:val="07B5BCAB"/>
    <w:rsid w:val="07B5E04F"/>
    <w:rsid w:val="07BA0710"/>
    <w:rsid w:val="0808EAFC"/>
    <w:rsid w:val="080E0905"/>
    <w:rsid w:val="0817B970"/>
    <w:rsid w:val="081B9446"/>
    <w:rsid w:val="081CFF14"/>
    <w:rsid w:val="083817C0"/>
    <w:rsid w:val="0844B73B"/>
    <w:rsid w:val="0880E4F4"/>
    <w:rsid w:val="0889E530"/>
    <w:rsid w:val="08926BFF"/>
    <w:rsid w:val="08A81FFF"/>
    <w:rsid w:val="08AE2724"/>
    <w:rsid w:val="08BD1B07"/>
    <w:rsid w:val="08C2F899"/>
    <w:rsid w:val="08D402A9"/>
    <w:rsid w:val="090B069B"/>
    <w:rsid w:val="0924E418"/>
    <w:rsid w:val="09287DCF"/>
    <w:rsid w:val="093BADE5"/>
    <w:rsid w:val="094BBDE9"/>
    <w:rsid w:val="0965327D"/>
    <w:rsid w:val="0967F58E"/>
    <w:rsid w:val="09992D61"/>
    <w:rsid w:val="09A6E6EC"/>
    <w:rsid w:val="09BF78C2"/>
    <w:rsid w:val="09C24269"/>
    <w:rsid w:val="09CF8279"/>
    <w:rsid w:val="09D6D74A"/>
    <w:rsid w:val="09DE6E14"/>
    <w:rsid w:val="09E4025E"/>
    <w:rsid w:val="09F64124"/>
    <w:rsid w:val="0A01F28A"/>
    <w:rsid w:val="0A1A19FB"/>
    <w:rsid w:val="0A212BCC"/>
    <w:rsid w:val="0A44A6C3"/>
    <w:rsid w:val="0A589E7B"/>
    <w:rsid w:val="0A645BD1"/>
    <w:rsid w:val="0A8215CE"/>
    <w:rsid w:val="0A8D3382"/>
    <w:rsid w:val="0A9F7E07"/>
    <w:rsid w:val="0AA52F37"/>
    <w:rsid w:val="0AA57443"/>
    <w:rsid w:val="0AA5F4AE"/>
    <w:rsid w:val="0ABC2C85"/>
    <w:rsid w:val="0AC34FC2"/>
    <w:rsid w:val="0ACD9D3C"/>
    <w:rsid w:val="0AD3469A"/>
    <w:rsid w:val="0AD6D07B"/>
    <w:rsid w:val="0AE1BBEB"/>
    <w:rsid w:val="0AEF9F1B"/>
    <w:rsid w:val="0B1A7BFC"/>
    <w:rsid w:val="0B376762"/>
    <w:rsid w:val="0B3A6E79"/>
    <w:rsid w:val="0B5C6C99"/>
    <w:rsid w:val="0B668B03"/>
    <w:rsid w:val="0B70CCB7"/>
    <w:rsid w:val="0B763D7E"/>
    <w:rsid w:val="0B7E0460"/>
    <w:rsid w:val="0BB1CC0F"/>
    <w:rsid w:val="0BC0F5D3"/>
    <w:rsid w:val="0BD50866"/>
    <w:rsid w:val="0BE8C1F4"/>
    <w:rsid w:val="0BEF2974"/>
    <w:rsid w:val="0BF8F0FE"/>
    <w:rsid w:val="0BFE46D0"/>
    <w:rsid w:val="0C33314F"/>
    <w:rsid w:val="0C691876"/>
    <w:rsid w:val="0CAFF369"/>
    <w:rsid w:val="0CB0DA48"/>
    <w:rsid w:val="0CBA1F3D"/>
    <w:rsid w:val="0CBEEE9A"/>
    <w:rsid w:val="0CD8173B"/>
    <w:rsid w:val="0CE241DD"/>
    <w:rsid w:val="0CE54318"/>
    <w:rsid w:val="0CEBEBCA"/>
    <w:rsid w:val="0CED56B5"/>
    <w:rsid w:val="0CF7852A"/>
    <w:rsid w:val="0CF83CFA"/>
    <w:rsid w:val="0D516AA3"/>
    <w:rsid w:val="0D563979"/>
    <w:rsid w:val="0D626EC5"/>
    <w:rsid w:val="0D776DD5"/>
    <w:rsid w:val="0D785A90"/>
    <w:rsid w:val="0D849255"/>
    <w:rsid w:val="0D8ECE6B"/>
    <w:rsid w:val="0D9E5291"/>
    <w:rsid w:val="0DA03D72"/>
    <w:rsid w:val="0DA67641"/>
    <w:rsid w:val="0DE12065"/>
    <w:rsid w:val="0E01B9F6"/>
    <w:rsid w:val="0E11A087"/>
    <w:rsid w:val="0E12CD1C"/>
    <w:rsid w:val="0E27906C"/>
    <w:rsid w:val="0E4686D6"/>
    <w:rsid w:val="0E59B0E5"/>
    <w:rsid w:val="0E5A3E85"/>
    <w:rsid w:val="0E6B5955"/>
    <w:rsid w:val="0E749B88"/>
    <w:rsid w:val="0E7F5954"/>
    <w:rsid w:val="0E8ED6B5"/>
    <w:rsid w:val="0E91E7B0"/>
    <w:rsid w:val="0EA4F6E3"/>
    <w:rsid w:val="0EA5E1C2"/>
    <w:rsid w:val="0EBAFE4A"/>
    <w:rsid w:val="0EC336BB"/>
    <w:rsid w:val="0EC70687"/>
    <w:rsid w:val="0ECE15CF"/>
    <w:rsid w:val="0EDA1DB3"/>
    <w:rsid w:val="0EFC1157"/>
    <w:rsid w:val="0F014FC7"/>
    <w:rsid w:val="0F037782"/>
    <w:rsid w:val="0F203C94"/>
    <w:rsid w:val="0F2846C1"/>
    <w:rsid w:val="0F325AE0"/>
    <w:rsid w:val="0F39D2BE"/>
    <w:rsid w:val="0F3C1460"/>
    <w:rsid w:val="0F4F736E"/>
    <w:rsid w:val="0F8D96DF"/>
    <w:rsid w:val="0FA28848"/>
    <w:rsid w:val="0FB00EDF"/>
    <w:rsid w:val="0FE13A91"/>
    <w:rsid w:val="0FE47323"/>
    <w:rsid w:val="0FF756B3"/>
    <w:rsid w:val="10012B41"/>
    <w:rsid w:val="1006A57C"/>
    <w:rsid w:val="1010DB57"/>
    <w:rsid w:val="103FEE0B"/>
    <w:rsid w:val="10417C72"/>
    <w:rsid w:val="10447D2A"/>
    <w:rsid w:val="10470B37"/>
    <w:rsid w:val="1056DD33"/>
    <w:rsid w:val="10572ECB"/>
    <w:rsid w:val="10596EA1"/>
    <w:rsid w:val="1066939D"/>
    <w:rsid w:val="1070C669"/>
    <w:rsid w:val="10787EB8"/>
    <w:rsid w:val="10820571"/>
    <w:rsid w:val="109A5CEE"/>
    <w:rsid w:val="10A7B2E2"/>
    <w:rsid w:val="10E5BD07"/>
    <w:rsid w:val="10EA2E06"/>
    <w:rsid w:val="10EF80D9"/>
    <w:rsid w:val="10F6A380"/>
    <w:rsid w:val="1102356B"/>
    <w:rsid w:val="112EC65D"/>
    <w:rsid w:val="1131942C"/>
    <w:rsid w:val="11338500"/>
    <w:rsid w:val="114645D5"/>
    <w:rsid w:val="11468CB0"/>
    <w:rsid w:val="1146C07A"/>
    <w:rsid w:val="11496630"/>
    <w:rsid w:val="1160073C"/>
    <w:rsid w:val="11868A57"/>
    <w:rsid w:val="1189F051"/>
    <w:rsid w:val="119FDC32"/>
    <w:rsid w:val="11E04D8B"/>
    <w:rsid w:val="11E9E14D"/>
    <w:rsid w:val="120E3A36"/>
    <w:rsid w:val="121AAE62"/>
    <w:rsid w:val="123A2603"/>
    <w:rsid w:val="123BC968"/>
    <w:rsid w:val="123E7F7C"/>
    <w:rsid w:val="124FCC8E"/>
    <w:rsid w:val="1263648D"/>
    <w:rsid w:val="12694151"/>
    <w:rsid w:val="1278A921"/>
    <w:rsid w:val="128FAFD1"/>
    <w:rsid w:val="12A8C3D0"/>
    <w:rsid w:val="12AE8CEF"/>
    <w:rsid w:val="12B3F2A5"/>
    <w:rsid w:val="12C01860"/>
    <w:rsid w:val="12C512F8"/>
    <w:rsid w:val="12C957F1"/>
    <w:rsid w:val="12CA5874"/>
    <w:rsid w:val="1301FD29"/>
    <w:rsid w:val="132CED91"/>
    <w:rsid w:val="134482F7"/>
    <w:rsid w:val="1360364C"/>
    <w:rsid w:val="1389C3F9"/>
    <w:rsid w:val="13985A34"/>
    <w:rsid w:val="13A80EA4"/>
    <w:rsid w:val="13CCB465"/>
    <w:rsid w:val="13EC27B0"/>
    <w:rsid w:val="13F7AE16"/>
    <w:rsid w:val="14036E23"/>
    <w:rsid w:val="14204140"/>
    <w:rsid w:val="1435998D"/>
    <w:rsid w:val="144C6597"/>
    <w:rsid w:val="14572E28"/>
    <w:rsid w:val="146A39FF"/>
    <w:rsid w:val="1471857E"/>
    <w:rsid w:val="1492E2B2"/>
    <w:rsid w:val="14A34854"/>
    <w:rsid w:val="14AE43A0"/>
    <w:rsid w:val="14B20294"/>
    <w:rsid w:val="14E8E897"/>
    <w:rsid w:val="14F054FD"/>
    <w:rsid w:val="15026E57"/>
    <w:rsid w:val="151BED2B"/>
    <w:rsid w:val="151D527F"/>
    <w:rsid w:val="15357DC2"/>
    <w:rsid w:val="1563AA34"/>
    <w:rsid w:val="158FA43A"/>
    <w:rsid w:val="15B4ED6E"/>
    <w:rsid w:val="15B60901"/>
    <w:rsid w:val="15E02794"/>
    <w:rsid w:val="15E92296"/>
    <w:rsid w:val="15EA3463"/>
    <w:rsid w:val="160429DF"/>
    <w:rsid w:val="1613AA38"/>
    <w:rsid w:val="162BA9DD"/>
    <w:rsid w:val="16733E1D"/>
    <w:rsid w:val="168A87CE"/>
    <w:rsid w:val="169386B4"/>
    <w:rsid w:val="1694BF03"/>
    <w:rsid w:val="1695C507"/>
    <w:rsid w:val="16CBC799"/>
    <w:rsid w:val="16CD6C75"/>
    <w:rsid w:val="16D5EDED"/>
    <w:rsid w:val="16DC8C81"/>
    <w:rsid w:val="16F0C611"/>
    <w:rsid w:val="17147DB4"/>
    <w:rsid w:val="171608BB"/>
    <w:rsid w:val="17189AC3"/>
    <w:rsid w:val="1723F414"/>
    <w:rsid w:val="1736852F"/>
    <w:rsid w:val="17455B7B"/>
    <w:rsid w:val="1748250A"/>
    <w:rsid w:val="174B1BC7"/>
    <w:rsid w:val="1772EC45"/>
    <w:rsid w:val="17ACE3D5"/>
    <w:rsid w:val="17DBAB20"/>
    <w:rsid w:val="17E7FD25"/>
    <w:rsid w:val="17F74DD1"/>
    <w:rsid w:val="17FF709A"/>
    <w:rsid w:val="180D0D49"/>
    <w:rsid w:val="18188472"/>
    <w:rsid w:val="182E9AEA"/>
    <w:rsid w:val="183E835A"/>
    <w:rsid w:val="18727501"/>
    <w:rsid w:val="187BAE51"/>
    <w:rsid w:val="188AFA49"/>
    <w:rsid w:val="18A1F539"/>
    <w:rsid w:val="18BA7385"/>
    <w:rsid w:val="18DBEE25"/>
    <w:rsid w:val="18E66903"/>
    <w:rsid w:val="18F759AA"/>
    <w:rsid w:val="1910FA01"/>
    <w:rsid w:val="19221256"/>
    <w:rsid w:val="19300C16"/>
    <w:rsid w:val="194865C7"/>
    <w:rsid w:val="196DBCB1"/>
    <w:rsid w:val="1978109B"/>
    <w:rsid w:val="198C9D50"/>
    <w:rsid w:val="199E5BCA"/>
    <w:rsid w:val="19C7C134"/>
    <w:rsid w:val="19C93634"/>
    <w:rsid w:val="19CD31EF"/>
    <w:rsid w:val="19CD8D4D"/>
    <w:rsid w:val="19E491DF"/>
    <w:rsid w:val="19E7D9FD"/>
    <w:rsid w:val="1A015FA4"/>
    <w:rsid w:val="1A109547"/>
    <w:rsid w:val="1A434305"/>
    <w:rsid w:val="1A4483C3"/>
    <w:rsid w:val="1A458800"/>
    <w:rsid w:val="1A49F45D"/>
    <w:rsid w:val="1A5FEF9E"/>
    <w:rsid w:val="1A6A8702"/>
    <w:rsid w:val="1A702467"/>
    <w:rsid w:val="1A7F318A"/>
    <w:rsid w:val="1A96723A"/>
    <w:rsid w:val="1AB6A929"/>
    <w:rsid w:val="1AEFEE58"/>
    <w:rsid w:val="1B06F5FA"/>
    <w:rsid w:val="1B089716"/>
    <w:rsid w:val="1B168BA9"/>
    <w:rsid w:val="1B1E7166"/>
    <w:rsid w:val="1B81F965"/>
    <w:rsid w:val="1B85FE57"/>
    <w:rsid w:val="1BB73FE8"/>
    <w:rsid w:val="1BBC591C"/>
    <w:rsid w:val="1BC8ACF1"/>
    <w:rsid w:val="1BCC65FE"/>
    <w:rsid w:val="1BF90511"/>
    <w:rsid w:val="1C061058"/>
    <w:rsid w:val="1C083B95"/>
    <w:rsid w:val="1C10299D"/>
    <w:rsid w:val="1C29E5D1"/>
    <w:rsid w:val="1C34D442"/>
    <w:rsid w:val="1C4F4426"/>
    <w:rsid w:val="1C716C1B"/>
    <w:rsid w:val="1C8E8171"/>
    <w:rsid w:val="1C9C2B21"/>
    <w:rsid w:val="1CACEFDF"/>
    <w:rsid w:val="1CB96D5A"/>
    <w:rsid w:val="1CBE70B8"/>
    <w:rsid w:val="1CDEEFE0"/>
    <w:rsid w:val="1D0818CA"/>
    <w:rsid w:val="1D58CEE7"/>
    <w:rsid w:val="1D6138A0"/>
    <w:rsid w:val="1D825F68"/>
    <w:rsid w:val="1D9522E3"/>
    <w:rsid w:val="1D9A0D9D"/>
    <w:rsid w:val="1DA092D0"/>
    <w:rsid w:val="1DA41075"/>
    <w:rsid w:val="1DAE04BA"/>
    <w:rsid w:val="1DD60D38"/>
    <w:rsid w:val="1DDF752B"/>
    <w:rsid w:val="1DF50E03"/>
    <w:rsid w:val="1DF740E0"/>
    <w:rsid w:val="1DFEB27E"/>
    <w:rsid w:val="1E05F377"/>
    <w:rsid w:val="1E088F50"/>
    <w:rsid w:val="1E300F67"/>
    <w:rsid w:val="1E3595C4"/>
    <w:rsid w:val="1E42732A"/>
    <w:rsid w:val="1E47947D"/>
    <w:rsid w:val="1E511164"/>
    <w:rsid w:val="1E5801D0"/>
    <w:rsid w:val="1E5DC5E8"/>
    <w:rsid w:val="1E62C72D"/>
    <w:rsid w:val="1E96DB80"/>
    <w:rsid w:val="1EAF5091"/>
    <w:rsid w:val="1EC18FBF"/>
    <w:rsid w:val="1EC9D7C0"/>
    <w:rsid w:val="1ED32F8A"/>
    <w:rsid w:val="1EE260F4"/>
    <w:rsid w:val="1F0817AF"/>
    <w:rsid w:val="1F12BF30"/>
    <w:rsid w:val="1F19A276"/>
    <w:rsid w:val="1F215BF1"/>
    <w:rsid w:val="1F29B455"/>
    <w:rsid w:val="1F2E5A2E"/>
    <w:rsid w:val="1F34D6E6"/>
    <w:rsid w:val="1F392EF6"/>
    <w:rsid w:val="1F3A2EE7"/>
    <w:rsid w:val="1F3F7E5C"/>
    <w:rsid w:val="1F49D51B"/>
    <w:rsid w:val="1F4AD0F4"/>
    <w:rsid w:val="1F4F3A40"/>
    <w:rsid w:val="1F51F5A8"/>
    <w:rsid w:val="1F73511D"/>
    <w:rsid w:val="1F754450"/>
    <w:rsid w:val="1F7B2025"/>
    <w:rsid w:val="1F8C46A9"/>
    <w:rsid w:val="1F940744"/>
    <w:rsid w:val="1F944E06"/>
    <w:rsid w:val="1F9969C6"/>
    <w:rsid w:val="1F9EF971"/>
    <w:rsid w:val="1FA3C714"/>
    <w:rsid w:val="1FA6DC52"/>
    <w:rsid w:val="1FB760F0"/>
    <w:rsid w:val="1FB76335"/>
    <w:rsid w:val="1FD32C3D"/>
    <w:rsid w:val="1FD8A56F"/>
    <w:rsid w:val="1FEA06BB"/>
    <w:rsid w:val="1FED3864"/>
    <w:rsid w:val="1FFF1FC8"/>
    <w:rsid w:val="201D3244"/>
    <w:rsid w:val="20648566"/>
    <w:rsid w:val="20A60C6E"/>
    <w:rsid w:val="20B01E9C"/>
    <w:rsid w:val="20B18F12"/>
    <w:rsid w:val="20B2B65F"/>
    <w:rsid w:val="20CFE173"/>
    <w:rsid w:val="2106A03C"/>
    <w:rsid w:val="211031F0"/>
    <w:rsid w:val="21171A72"/>
    <w:rsid w:val="21423036"/>
    <w:rsid w:val="21518515"/>
    <w:rsid w:val="21546D81"/>
    <w:rsid w:val="21679906"/>
    <w:rsid w:val="217015B3"/>
    <w:rsid w:val="2175B8B8"/>
    <w:rsid w:val="217B1A98"/>
    <w:rsid w:val="21802F20"/>
    <w:rsid w:val="219BA916"/>
    <w:rsid w:val="219FC8DA"/>
    <w:rsid w:val="21A314BB"/>
    <w:rsid w:val="21BC755A"/>
    <w:rsid w:val="21D70B9B"/>
    <w:rsid w:val="21F2699F"/>
    <w:rsid w:val="21F6645F"/>
    <w:rsid w:val="2215FA12"/>
    <w:rsid w:val="22313572"/>
    <w:rsid w:val="2233B1F2"/>
    <w:rsid w:val="223B0119"/>
    <w:rsid w:val="2249D4F7"/>
    <w:rsid w:val="225FA34B"/>
    <w:rsid w:val="22747063"/>
    <w:rsid w:val="2286A0A8"/>
    <w:rsid w:val="2298A12A"/>
    <w:rsid w:val="22B26E68"/>
    <w:rsid w:val="22B741BC"/>
    <w:rsid w:val="22BC6C7D"/>
    <w:rsid w:val="22CB2FDF"/>
    <w:rsid w:val="22E2DCA4"/>
    <w:rsid w:val="22F3FC6B"/>
    <w:rsid w:val="231AF0B9"/>
    <w:rsid w:val="231CEB67"/>
    <w:rsid w:val="2324F512"/>
    <w:rsid w:val="2325CEFA"/>
    <w:rsid w:val="23677F47"/>
    <w:rsid w:val="23717244"/>
    <w:rsid w:val="2378F21B"/>
    <w:rsid w:val="237908F6"/>
    <w:rsid w:val="238D9DA3"/>
    <w:rsid w:val="238E0F06"/>
    <w:rsid w:val="2393186C"/>
    <w:rsid w:val="23D04FF8"/>
    <w:rsid w:val="23D149F7"/>
    <w:rsid w:val="2408B9B8"/>
    <w:rsid w:val="2411E529"/>
    <w:rsid w:val="24120C5E"/>
    <w:rsid w:val="24264946"/>
    <w:rsid w:val="2455A69D"/>
    <w:rsid w:val="245D96A3"/>
    <w:rsid w:val="246EEC37"/>
    <w:rsid w:val="24D8CF8F"/>
    <w:rsid w:val="24F64557"/>
    <w:rsid w:val="2505EBAB"/>
    <w:rsid w:val="25138AC9"/>
    <w:rsid w:val="251ADF5F"/>
    <w:rsid w:val="25297477"/>
    <w:rsid w:val="2537B071"/>
    <w:rsid w:val="25A538AC"/>
    <w:rsid w:val="25AFAAC9"/>
    <w:rsid w:val="25BEFAF9"/>
    <w:rsid w:val="25C9ED8D"/>
    <w:rsid w:val="25D91E30"/>
    <w:rsid w:val="25F0BA9D"/>
    <w:rsid w:val="25F90CCA"/>
    <w:rsid w:val="260E1A81"/>
    <w:rsid w:val="2618242F"/>
    <w:rsid w:val="2635EFA5"/>
    <w:rsid w:val="264787CB"/>
    <w:rsid w:val="265546B6"/>
    <w:rsid w:val="265D1655"/>
    <w:rsid w:val="265E42B1"/>
    <w:rsid w:val="26677761"/>
    <w:rsid w:val="267C9177"/>
    <w:rsid w:val="267DB242"/>
    <w:rsid w:val="268CD5EF"/>
    <w:rsid w:val="269EBC58"/>
    <w:rsid w:val="26FC7588"/>
    <w:rsid w:val="270E2FE1"/>
    <w:rsid w:val="2720B19D"/>
    <w:rsid w:val="2748D7EB"/>
    <w:rsid w:val="2764E946"/>
    <w:rsid w:val="2783B340"/>
    <w:rsid w:val="27876ECD"/>
    <w:rsid w:val="278B1946"/>
    <w:rsid w:val="27BBCF0D"/>
    <w:rsid w:val="27D94B44"/>
    <w:rsid w:val="27E3CC11"/>
    <w:rsid w:val="27E3EA09"/>
    <w:rsid w:val="27E76485"/>
    <w:rsid w:val="27F43D8A"/>
    <w:rsid w:val="27F48683"/>
    <w:rsid w:val="28238089"/>
    <w:rsid w:val="2835DB96"/>
    <w:rsid w:val="284812E6"/>
    <w:rsid w:val="2848ACA5"/>
    <w:rsid w:val="2870DD1D"/>
    <w:rsid w:val="28A7D74B"/>
    <w:rsid w:val="28F336B6"/>
    <w:rsid w:val="28FD41C8"/>
    <w:rsid w:val="290BBAF2"/>
    <w:rsid w:val="29150865"/>
    <w:rsid w:val="294618A6"/>
    <w:rsid w:val="294C60CA"/>
    <w:rsid w:val="296BE38D"/>
    <w:rsid w:val="29707F95"/>
    <w:rsid w:val="297394EA"/>
    <w:rsid w:val="2982C74D"/>
    <w:rsid w:val="29A90F2B"/>
    <w:rsid w:val="29B1F868"/>
    <w:rsid w:val="29B853B5"/>
    <w:rsid w:val="29E59F82"/>
    <w:rsid w:val="2A07DC6D"/>
    <w:rsid w:val="2A16E879"/>
    <w:rsid w:val="2A253FBF"/>
    <w:rsid w:val="2A52A839"/>
    <w:rsid w:val="2A5A3191"/>
    <w:rsid w:val="2A702509"/>
    <w:rsid w:val="2A75843C"/>
    <w:rsid w:val="2A871CCF"/>
    <w:rsid w:val="2A9CC042"/>
    <w:rsid w:val="2A9CD962"/>
    <w:rsid w:val="2AA27D1D"/>
    <w:rsid w:val="2AA315B3"/>
    <w:rsid w:val="2AA6E9B8"/>
    <w:rsid w:val="2AD96049"/>
    <w:rsid w:val="2B068615"/>
    <w:rsid w:val="2B191A43"/>
    <w:rsid w:val="2B264E2F"/>
    <w:rsid w:val="2B3D7C69"/>
    <w:rsid w:val="2B551E44"/>
    <w:rsid w:val="2B5763D4"/>
    <w:rsid w:val="2B57D1A1"/>
    <w:rsid w:val="2B59B141"/>
    <w:rsid w:val="2B6A4ABF"/>
    <w:rsid w:val="2B74B8EE"/>
    <w:rsid w:val="2B8D2168"/>
    <w:rsid w:val="2BC53813"/>
    <w:rsid w:val="2BD96C17"/>
    <w:rsid w:val="2BE58C39"/>
    <w:rsid w:val="2BE6E403"/>
    <w:rsid w:val="2BF1ADE6"/>
    <w:rsid w:val="2C2C13A1"/>
    <w:rsid w:val="2C3B4AF6"/>
    <w:rsid w:val="2C430D32"/>
    <w:rsid w:val="2C4B5238"/>
    <w:rsid w:val="2C5B0AE7"/>
    <w:rsid w:val="2C5E9859"/>
    <w:rsid w:val="2C8B7628"/>
    <w:rsid w:val="2CA033A0"/>
    <w:rsid w:val="2CA3D85A"/>
    <w:rsid w:val="2CC8B8CA"/>
    <w:rsid w:val="2CDC2568"/>
    <w:rsid w:val="2CF0D4E8"/>
    <w:rsid w:val="2D087176"/>
    <w:rsid w:val="2D23D4D4"/>
    <w:rsid w:val="2D2983ED"/>
    <w:rsid w:val="2D3088BF"/>
    <w:rsid w:val="2D309D64"/>
    <w:rsid w:val="2D49BA6D"/>
    <w:rsid w:val="2D4A6A10"/>
    <w:rsid w:val="2D51F294"/>
    <w:rsid w:val="2D55D2D0"/>
    <w:rsid w:val="2D60737C"/>
    <w:rsid w:val="2D6D8A31"/>
    <w:rsid w:val="2D6DD105"/>
    <w:rsid w:val="2D737D31"/>
    <w:rsid w:val="2D7ED3E8"/>
    <w:rsid w:val="2D82A181"/>
    <w:rsid w:val="2D88AD02"/>
    <w:rsid w:val="2D8F248D"/>
    <w:rsid w:val="2DA92691"/>
    <w:rsid w:val="2DAB90B4"/>
    <w:rsid w:val="2DDE4250"/>
    <w:rsid w:val="2DE693B3"/>
    <w:rsid w:val="2DF38F8A"/>
    <w:rsid w:val="2DF74E30"/>
    <w:rsid w:val="2DF9CEBC"/>
    <w:rsid w:val="2E0396C1"/>
    <w:rsid w:val="2E04FBE4"/>
    <w:rsid w:val="2E09E02B"/>
    <w:rsid w:val="2E1A54A1"/>
    <w:rsid w:val="2E36D315"/>
    <w:rsid w:val="2E5DBEF6"/>
    <w:rsid w:val="2E87DA5F"/>
    <w:rsid w:val="2E9794A9"/>
    <w:rsid w:val="2E981CCA"/>
    <w:rsid w:val="2EAA2EC5"/>
    <w:rsid w:val="2EB3801F"/>
    <w:rsid w:val="2EC6CD47"/>
    <w:rsid w:val="2ECBF448"/>
    <w:rsid w:val="2EDA4237"/>
    <w:rsid w:val="2EDD1B12"/>
    <w:rsid w:val="2EF16A7C"/>
    <w:rsid w:val="2EF9EE1A"/>
    <w:rsid w:val="2F1FA09E"/>
    <w:rsid w:val="2F2A7205"/>
    <w:rsid w:val="2F379B9D"/>
    <w:rsid w:val="2F3C0E48"/>
    <w:rsid w:val="2F406D0D"/>
    <w:rsid w:val="2F616D21"/>
    <w:rsid w:val="2F70E0C0"/>
    <w:rsid w:val="2F74192E"/>
    <w:rsid w:val="2F9A4A51"/>
    <w:rsid w:val="2F9AE28F"/>
    <w:rsid w:val="2FA200B1"/>
    <w:rsid w:val="302CEECE"/>
    <w:rsid w:val="302DDD54"/>
    <w:rsid w:val="3044CFC8"/>
    <w:rsid w:val="30662851"/>
    <w:rsid w:val="3096799A"/>
    <w:rsid w:val="30AA7B85"/>
    <w:rsid w:val="30DF0296"/>
    <w:rsid w:val="30F50478"/>
    <w:rsid w:val="31088479"/>
    <w:rsid w:val="313022C7"/>
    <w:rsid w:val="3134A051"/>
    <w:rsid w:val="31448A7F"/>
    <w:rsid w:val="3148944D"/>
    <w:rsid w:val="31564FB6"/>
    <w:rsid w:val="31629C84"/>
    <w:rsid w:val="318428E5"/>
    <w:rsid w:val="31A5331A"/>
    <w:rsid w:val="31C9D346"/>
    <w:rsid w:val="31CA6022"/>
    <w:rsid w:val="31CEB6DC"/>
    <w:rsid w:val="31DBAFE1"/>
    <w:rsid w:val="31FC200A"/>
    <w:rsid w:val="32203492"/>
    <w:rsid w:val="3223385E"/>
    <w:rsid w:val="3238EC2E"/>
    <w:rsid w:val="323ED4AD"/>
    <w:rsid w:val="324CF4F1"/>
    <w:rsid w:val="32555CA9"/>
    <w:rsid w:val="32795A58"/>
    <w:rsid w:val="32839D55"/>
    <w:rsid w:val="32878724"/>
    <w:rsid w:val="328998E6"/>
    <w:rsid w:val="328A970A"/>
    <w:rsid w:val="329ACC79"/>
    <w:rsid w:val="329BA269"/>
    <w:rsid w:val="32C5F1B7"/>
    <w:rsid w:val="32E51855"/>
    <w:rsid w:val="32E7BA37"/>
    <w:rsid w:val="32FCACD0"/>
    <w:rsid w:val="3321B0C5"/>
    <w:rsid w:val="333BED72"/>
    <w:rsid w:val="339E911D"/>
    <w:rsid w:val="33A352B9"/>
    <w:rsid w:val="33C47AD6"/>
    <w:rsid w:val="33C639BC"/>
    <w:rsid w:val="33C82A9C"/>
    <w:rsid w:val="33E7AABE"/>
    <w:rsid w:val="340281F2"/>
    <w:rsid w:val="3427E331"/>
    <w:rsid w:val="342A2760"/>
    <w:rsid w:val="3464B406"/>
    <w:rsid w:val="347BDD32"/>
    <w:rsid w:val="3496B5D2"/>
    <w:rsid w:val="349D685D"/>
    <w:rsid w:val="34EC30BD"/>
    <w:rsid w:val="34ED02B7"/>
    <w:rsid w:val="3509D9DB"/>
    <w:rsid w:val="350AD58A"/>
    <w:rsid w:val="351BAFE3"/>
    <w:rsid w:val="353BA3D8"/>
    <w:rsid w:val="3551CDA9"/>
    <w:rsid w:val="3570AF8B"/>
    <w:rsid w:val="357632EE"/>
    <w:rsid w:val="3596B327"/>
    <w:rsid w:val="359C2BB1"/>
    <w:rsid w:val="35D5347B"/>
    <w:rsid w:val="35D9F51F"/>
    <w:rsid w:val="35FBCF31"/>
    <w:rsid w:val="36005EE5"/>
    <w:rsid w:val="360484BD"/>
    <w:rsid w:val="3615DDD9"/>
    <w:rsid w:val="361F5AF9"/>
    <w:rsid w:val="363BDDA9"/>
    <w:rsid w:val="363D1C77"/>
    <w:rsid w:val="3642681F"/>
    <w:rsid w:val="3648C113"/>
    <w:rsid w:val="365B1174"/>
    <w:rsid w:val="3667D580"/>
    <w:rsid w:val="3670DCD4"/>
    <w:rsid w:val="368A0ADA"/>
    <w:rsid w:val="36C1B5B7"/>
    <w:rsid w:val="36CA0060"/>
    <w:rsid w:val="36D662CD"/>
    <w:rsid w:val="36DCD046"/>
    <w:rsid w:val="371A9B8C"/>
    <w:rsid w:val="372E0FAE"/>
    <w:rsid w:val="373843E6"/>
    <w:rsid w:val="373F9849"/>
    <w:rsid w:val="37421272"/>
    <w:rsid w:val="3746F220"/>
    <w:rsid w:val="37470E61"/>
    <w:rsid w:val="3747C2ED"/>
    <w:rsid w:val="374CB30E"/>
    <w:rsid w:val="376015B9"/>
    <w:rsid w:val="378AD3D9"/>
    <w:rsid w:val="37AB79D6"/>
    <w:rsid w:val="37C602F9"/>
    <w:rsid w:val="37D7F614"/>
    <w:rsid w:val="37E80C84"/>
    <w:rsid w:val="3854C078"/>
    <w:rsid w:val="38568E13"/>
    <w:rsid w:val="385A713C"/>
    <w:rsid w:val="388B2718"/>
    <w:rsid w:val="38C990D3"/>
    <w:rsid w:val="38DB482A"/>
    <w:rsid w:val="38E3BB87"/>
    <w:rsid w:val="38E72777"/>
    <w:rsid w:val="38F662B7"/>
    <w:rsid w:val="390C93C8"/>
    <w:rsid w:val="391066F1"/>
    <w:rsid w:val="39249988"/>
    <w:rsid w:val="393A7DD5"/>
    <w:rsid w:val="39497EE1"/>
    <w:rsid w:val="39625A49"/>
    <w:rsid w:val="398FC359"/>
    <w:rsid w:val="399AD80D"/>
    <w:rsid w:val="39A20F84"/>
    <w:rsid w:val="39A959B1"/>
    <w:rsid w:val="39AFAD0C"/>
    <w:rsid w:val="39B04274"/>
    <w:rsid w:val="39CA6C60"/>
    <w:rsid w:val="39D25606"/>
    <w:rsid w:val="3A584FA8"/>
    <w:rsid w:val="3A6983A0"/>
    <w:rsid w:val="3A763CD6"/>
    <w:rsid w:val="3A859F66"/>
    <w:rsid w:val="3A913CC1"/>
    <w:rsid w:val="3A992827"/>
    <w:rsid w:val="3AA8A017"/>
    <w:rsid w:val="3ABDD488"/>
    <w:rsid w:val="3ABE95FB"/>
    <w:rsid w:val="3AC19C01"/>
    <w:rsid w:val="3AD8F1FF"/>
    <w:rsid w:val="3AE553AC"/>
    <w:rsid w:val="3AF605AC"/>
    <w:rsid w:val="3B0E38EB"/>
    <w:rsid w:val="3B1590BB"/>
    <w:rsid w:val="3B1593AF"/>
    <w:rsid w:val="3B1F7B14"/>
    <w:rsid w:val="3B33E5E7"/>
    <w:rsid w:val="3B47BF42"/>
    <w:rsid w:val="3B4A7168"/>
    <w:rsid w:val="3B573F41"/>
    <w:rsid w:val="3B5E9026"/>
    <w:rsid w:val="3B6E1BCF"/>
    <w:rsid w:val="3B75CEA7"/>
    <w:rsid w:val="3B8F468D"/>
    <w:rsid w:val="3BA119E6"/>
    <w:rsid w:val="3BA7618F"/>
    <w:rsid w:val="3BAFDDEA"/>
    <w:rsid w:val="3BCEC9D6"/>
    <w:rsid w:val="3BD34137"/>
    <w:rsid w:val="3BFDAA91"/>
    <w:rsid w:val="3BFF17C7"/>
    <w:rsid w:val="3C0B311B"/>
    <w:rsid w:val="3C182753"/>
    <w:rsid w:val="3C2BE9C8"/>
    <w:rsid w:val="3C3EF2C8"/>
    <w:rsid w:val="3C457D32"/>
    <w:rsid w:val="3C534116"/>
    <w:rsid w:val="3C5639F3"/>
    <w:rsid w:val="3C579EA9"/>
    <w:rsid w:val="3C5B08F2"/>
    <w:rsid w:val="3C7BC3CB"/>
    <w:rsid w:val="3C892A46"/>
    <w:rsid w:val="3C8E9765"/>
    <w:rsid w:val="3C8EFFA5"/>
    <w:rsid w:val="3C993700"/>
    <w:rsid w:val="3CBC1F3C"/>
    <w:rsid w:val="3CC5D4A6"/>
    <w:rsid w:val="3CDAE87F"/>
    <w:rsid w:val="3CE960FB"/>
    <w:rsid w:val="3CF22906"/>
    <w:rsid w:val="3CF2D9FA"/>
    <w:rsid w:val="3CFBA5CC"/>
    <w:rsid w:val="3D2E3877"/>
    <w:rsid w:val="3D4DDFA4"/>
    <w:rsid w:val="3D5ECE2A"/>
    <w:rsid w:val="3D6784FE"/>
    <w:rsid w:val="3D69B00D"/>
    <w:rsid w:val="3DADAADD"/>
    <w:rsid w:val="3DBE9C70"/>
    <w:rsid w:val="3E193760"/>
    <w:rsid w:val="3E4161EC"/>
    <w:rsid w:val="3E442163"/>
    <w:rsid w:val="3E4F98B4"/>
    <w:rsid w:val="3E51C3B6"/>
    <w:rsid w:val="3E5653B3"/>
    <w:rsid w:val="3E6EE2A1"/>
    <w:rsid w:val="3E773AF6"/>
    <w:rsid w:val="3EA2BD82"/>
    <w:rsid w:val="3EC58A1C"/>
    <w:rsid w:val="3ECF6CB1"/>
    <w:rsid w:val="3EE30F7E"/>
    <w:rsid w:val="3F2F346F"/>
    <w:rsid w:val="3F38AEB0"/>
    <w:rsid w:val="3F584C5C"/>
    <w:rsid w:val="3F5A8B4A"/>
    <w:rsid w:val="3F6F0A42"/>
    <w:rsid w:val="3F9FD878"/>
    <w:rsid w:val="3FA84F85"/>
    <w:rsid w:val="3FB4026C"/>
    <w:rsid w:val="3FB5650A"/>
    <w:rsid w:val="3FB9A097"/>
    <w:rsid w:val="3FE0A2BE"/>
    <w:rsid w:val="40037BD7"/>
    <w:rsid w:val="4003A1DD"/>
    <w:rsid w:val="401228C8"/>
    <w:rsid w:val="4033EC94"/>
    <w:rsid w:val="4041BF21"/>
    <w:rsid w:val="4048F226"/>
    <w:rsid w:val="40563E5D"/>
    <w:rsid w:val="406AF0AE"/>
    <w:rsid w:val="4081E51D"/>
    <w:rsid w:val="4094B321"/>
    <w:rsid w:val="409E1051"/>
    <w:rsid w:val="40A23AF9"/>
    <w:rsid w:val="40AD993B"/>
    <w:rsid w:val="40C15F2A"/>
    <w:rsid w:val="40D7E3A8"/>
    <w:rsid w:val="40FE0DD5"/>
    <w:rsid w:val="4100B239"/>
    <w:rsid w:val="411C2E07"/>
    <w:rsid w:val="4123A071"/>
    <w:rsid w:val="4138389B"/>
    <w:rsid w:val="413C75AA"/>
    <w:rsid w:val="4193802B"/>
    <w:rsid w:val="4193DC77"/>
    <w:rsid w:val="419A22D4"/>
    <w:rsid w:val="41A4A6AF"/>
    <w:rsid w:val="41DF138B"/>
    <w:rsid w:val="41E1E227"/>
    <w:rsid w:val="41E911CA"/>
    <w:rsid w:val="41F928E3"/>
    <w:rsid w:val="41FCEEA8"/>
    <w:rsid w:val="4200A611"/>
    <w:rsid w:val="420C4F8B"/>
    <w:rsid w:val="4236B85F"/>
    <w:rsid w:val="4236E3BA"/>
    <w:rsid w:val="424B1E65"/>
    <w:rsid w:val="4256F357"/>
    <w:rsid w:val="425FCF75"/>
    <w:rsid w:val="426862E7"/>
    <w:rsid w:val="426DF192"/>
    <w:rsid w:val="4270883E"/>
    <w:rsid w:val="428238E2"/>
    <w:rsid w:val="42A9811F"/>
    <w:rsid w:val="42F6A562"/>
    <w:rsid w:val="42FFFECC"/>
    <w:rsid w:val="430283EA"/>
    <w:rsid w:val="4305F5B7"/>
    <w:rsid w:val="4307B981"/>
    <w:rsid w:val="430B622A"/>
    <w:rsid w:val="43252633"/>
    <w:rsid w:val="432E89E3"/>
    <w:rsid w:val="433CD9F6"/>
    <w:rsid w:val="4362B049"/>
    <w:rsid w:val="437CA47E"/>
    <w:rsid w:val="4385968C"/>
    <w:rsid w:val="43A7397B"/>
    <w:rsid w:val="43AF1C5C"/>
    <w:rsid w:val="43B4DE21"/>
    <w:rsid w:val="43B68ECE"/>
    <w:rsid w:val="43ECA1D3"/>
    <w:rsid w:val="43ED5BED"/>
    <w:rsid w:val="43FBD832"/>
    <w:rsid w:val="44074BFF"/>
    <w:rsid w:val="443628F8"/>
    <w:rsid w:val="443940FC"/>
    <w:rsid w:val="44457220"/>
    <w:rsid w:val="4453CFA7"/>
    <w:rsid w:val="44591CC8"/>
    <w:rsid w:val="446668F1"/>
    <w:rsid w:val="4479A9D3"/>
    <w:rsid w:val="447B272B"/>
    <w:rsid w:val="44867A52"/>
    <w:rsid w:val="448B7702"/>
    <w:rsid w:val="448D7BFD"/>
    <w:rsid w:val="4492DC47"/>
    <w:rsid w:val="44A15DD2"/>
    <w:rsid w:val="44BB87C6"/>
    <w:rsid w:val="44C50E09"/>
    <w:rsid w:val="44C9A4D3"/>
    <w:rsid w:val="44D35ACB"/>
    <w:rsid w:val="44E11D7D"/>
    <w:rsid w:val="44FBD5B8"/>
    <w:rsid w:val="45107C83"/>
    <w:rsid w:val="45364C23"/>
    <w:rsid w:val="453A6711"/>
    <w:rsid w:val="454D3B6D"/>
    <w:rsid w:val="45A9FD4E"/>
    <w:rsid w:val="45B3A6F8"/>
    <w:rsid w:val="45CAD72C"/>
    <w:rsid w:val="45D59673"/>
    <w:rsid w:val="45F08B70"/>
    <w:rsid w:val="460C4A7F"/>
    <w:rsid w:val="460FF467"/>
    <w:rsid w:val="461F0217"/>
    <w:rsid w:val="46360AEB"/>
    <w:rsid w:val="46369851"/>
    <w:rsid w:val="4639C0F8"/>
    <w:rsid w:val="4640ABB5"/>
    <w:rsid w:val="4647FAEC"/>
    <w:rsid w:val="464BCD4D"/>
    <w:rsid w:val="4661440C"/>
    <w:rsid w:val="466313BD"/>
    <w:rsid w:val="46743AAE"/>
    <w:rsid w:val="46795D73"/>
    <w:rsid w:val="46894E8C"/>
    <w:rsid w:val="46AA68E0"/>
    <w:rsid w:val="46CB83E9"/>
    <w:rsid w:val="46D7041C"/>
    <w:rsid w:val="46E86E14"/>
    <w:rsid w:val="46E9D5A2"/>
    <w:rsid w:val="46FA38C0"/>
    <w:rsid w:val="4723DA9D"/>
    <w:rsid w:val="473B9797"/>
    <w:rsid w:val="474BE17D"/>
    <w:rsid w:val="4754128A"/>
    <w:rsid w:val="4765AA5E"/>
    <w:rsid w:val="47716087"/>
    <w:rsid w:val="478AD8F1"/>
    <w:rsid w:val="47A4D3D3"/>
    <w:rsid w:val="47A979AA"/>
    <w:rsid w:val="47B14A7D"/>
    <w:rsid w:val="47BFF5CF"/>
    <w:rsid w:val="47CF82D7"/>
    <w:rsid w:val="47D73136"/>
    <w:rsid w:val="47DD605C"/>
    <w:rsid w:val="47E3830C"/>
    <w:rsid w:val="47F23BD3"/>
    <w:rsid w:val="48022A37"/>
    <w:rsid w:val="4802E62C"/>
    <w:rsid w:val="4839FC72"/>
    <w:rsid w:val="484F2A2A"/>
    <w:rsid w:val="4867883E"/>
    <w:rsid w:val="4872C730"/>
    <w:rsid w:val="48A17A07"/>
    <w:rsid w:val="48A449E3"/>
    <w:rsid w:val="48AF947A"/>
    <w:rsid w:val="48C56C95"/>
    <w:rsid w:val="48CBBD77"/>
    <w:rsid w:val="48D34E4D"/>
    <w:rsid w:val="48D767F8"/>
    <w:rsid w:val="49034C4D"/>
    <w:rsid w:val="49092D41"/>
    <w:rsid w:val="49206DDE"/>
    <w:rsid w:val="4954AF36"/>
    <w:rsid w:val="49AF85C3"/>
    <w:rsid w:val="49C31144"/>
    <w:rsid w:val="49CA2CDB"/>
    <w:rsid w:val="49DC72D1"/>
    <w:rsid w:val="49FB3943"/>
    <w:rsid w:val="4A086099"/>
    <w:rsid w:val="4A0ADB71"/>
    <w:rsid w:val="4A214EC0"/>
    <w:rsid w:val="4A45B799"/>
    <w:rsid w:val="4A490B46"/>
    <w:rsid w:val="4A5270CD"/>
    <w:rsid w:val="4A542B75"/>
    <w:rsid w:val="4A6D9460"/>
    <w:rsid w:val="4A7641EB"/>
    <w:rsid w:val="4A916906"/>
    <w:rsid w:val="4AA8F6DB"/>
    <w:rsid w:val="4AE4DB0E"/>
    <w:rsid w:val="4AEDF7D8"/>
    <w:rsid w:val="4B097C0E"/>
    <w:rsid w:val="4B106268"/>
    <w:rsid w:val="4B1DC1ED"/>
    <w:rsid w:val="4B1E7938"/>
    <w:rsid w:val="4B2085A0"/>
    <w:rsid w:val="4B283C61"/>
    <w:rsid w:val="4B61BBFA"/>
    <w:rsid w:val="4B667DD3"/>
    <w:rsid w:val="4B8B69DE"/>
    <w:rsid w:val="4B9D5B54"/>
    <w:rsid w:val="4B9F4B9B"/>
    <w:rsid w:val="4BB148F2"/>
    <w:rsid w:val="4BB7EE8A"/>
    <w:rsid w:val="4BB86E15"/>
    <w:rsid w:val="4BF2C778"/>
    <w:rsid w:val="4C0AAEB7"/>
    <w:rsid w:val="4C0E7142"/>
    <w:rsid w:val="4C3C431B"/>
    <w:rsid w:val="4C60568C"/>
    <w:rsid w:val="4C92CE84"/>
    <w:rsid w:val="4CA54C6F"/>
    <w:rsid w:val="4CAA58C3"/>
    <w:rsid w:val="4CBC07DB"/>
    <w:rsid w:val="4CE0C58A"/>
    <w:rsid w:val="4CE983A0"/>
    <w:rsid w:val="4CEF76AD"/>
    <w:rsid w:val="4D0DFDE4"/>
    <w:rsid w:val="4D14BBA2"/>
    <w:rsid w:val="4D1CB55B"/>
    <w:rsid w:val="4D42E56F"/>
    <w:rsid w:val="4D57DB6B"/>
    <w:rsid w:val="4D64165A"/>
    <w:rsid w:val="4D646180"/>
    <w:rsid w:val="4D856FC0"/>
    <w:rsid w:val="4D951424"/>
    <w:rsid w:val="4D9A6792"/>
    <w:rsid w:val="4DA9677B"/>
    <w:rsid w:val="4DB3222E"/>
    <w:rsid w:val="4DBD2139"/>
    <w:rsid w:val="4DBEB532"/>
    <w:rsid w:val="4DC8F41E"/>
    <w:rsid w:val="4DCE50F3"/>
    <w:rsid w:val="4DD5E7EA"/>
    <w:rsid w:val="4E04442F"/>
    <w:rsid w:val="4E28975C"/>
    <w:rsid w:val="4E4768A1"/>
    <w:rsid w:val="4E53E4A3"/>
    <w:rsid w:val="4E7E9FFE"/>
    <w:rsid w:val="4E92D43D"/>
    <w:rsid w:val="4EB5F011"/>
    <w:rsid w:val="4EC0BBE3"/>
    <w:rsid w:val="4ED4795E"/>
    <w:rsid w:val="4ED610A6"/>
    <w:rsid w:val="4EEDC41E"/>
    <w:rsid w:val="4EF1A11E"/>
    <w:rsid w:val="4F080B81"/>
    <w:rsid w:val="4F34ADFE"/>
    <w:rsid w:val="4F3BC7F0"/>
    <w:rsid w:val="4F56461B"/>
    <w:rsid w:val="4F64B279"/>
    <w:rsid w:val="4F652F5E"/>
    <w:rsid w:val="4F76681C"/>
    <w:rsid w:val="4F8D4F97"/>
    <w:rsid w:val="4F90A12B"/>
    <w:rsid w:val="4FAC800F"/>
    <w:rsid w:val="4FB41B1A"/>
    <w:rsid w:val="4FC42B82"/>
    <w:rsid w:val="4FD12ED2"/>
    <w:rsid w:val="4FE50EA8"/>
    <w:rsid w:val="50159C18"/>
    <w:rsid w:val="50316465"/>
    <w:rsid w:val="50322E7C"/>
    <w:rsid w:val="503AD09F"/>
    <w:rsid w:val="504CE17E"/>
    <w:rsid w:val="5064A9EE"/>
    <w:rsid w:val="50739642"/>
    <w:rsid w:val="508031BD"/>
    <w:rsid w:val="5085F8C5"/>
    <w:rsid w:val="50962F3E"/>
    <w:rsid w:val="50C76D28"/>
    <w:rsid w:val="50DBBDA5"/>
    <w:rsid w:val="50FC44FA"/>
    <w:rsid w:val="50FDADA6"/>
    <w:rsid w:val="510FFA84"/>
    <w:rsid w:val="5114792F"/>
    <w:rsid w:val="51186267"/>
    <w:rsid w:val="5118B7B6"/>
    <w:rsid w:val="5123F3C5"/>
    <w:rsid w:val="516E16D0"/>
    <w:rsid w:val="517979BD"/>
    <w:rsid w:val="5193E17D"/>
    <w:rsid w:val="51D88C74"/>
    <w:rsid w:val="51F435D2"/>
    <w:rsid w:val="522C6739"/>
    <w:rsid w:val="5236295A"/>
    <w:rsid w:val="52670F5A"/>
    <w:rsid w:val="527712AE"/>
    <w:rsid w:val="529597E0"/>
    <w:rsid w:val="52AE4BC7"/>
    <w:rsid w:val="52BA31F5"/>
    <w:rsid w:val="52BC6E44"/>
    <w:rsid w:val="52DA3BDA"/>
    <w:rsid w:val="52DB8758"/>
    <w:rsid w:val="53048622"/>
    <w:rsid w:val="5306E29E"/>
    <w:rsid w:val="5309FE3C"/>
    <w:rsid w:val="5311A1E6"/>
    <w:rsid w:val="5324CCAB"/>
    <w:rsid w:val="532CF4FD"/>
    <w:rsid w:val="533D32B4"/>
    <w:rsid w:val="535C5CBE"/>
    <w:rsid w:val="536613F9"/>
    <w:rsid w:val="5397CD71"/>
    <w:rsid w:val="53A73E87"/>
    <w:rsid w:val="53C12FF4"/>
    <w:rsid w:val="53C4A24A"/>
    <w:rsid w:val="53CEB099"/>
    <w:rsid w:val="53D8F124"/>
    <w:rsid w:val="53EA02C9"/>
    <w:rsid w:val="53F32028"/>
    <w:rsid w:val="541131F3"/>
    <w:rsid w:val="541890AA"/>
    <w:rsid w:val="542936AA"/>
    <w:rsid w:val="543729BD"/>
    <w:rsid w:val="5449AA35"/>
    <w:rsid w:val="54607118"/>
    <w:rsid w:val="54765F30"/>
    <w:rsid w:val="5480BB88"/>
    <w:rsid w:val="5495D63D"/>
    <w:rsid w:val="54A3853F"/>
    <w:rsid w:val="54CA20F6"/>
    <w:rsid w:val="54E25BE7"/>
    <w:rsid w:val="54F1F459"/>
    <w:rsid w:val="54F28C12"/>
    <w:rsid w:val="54FACA3E"/>
    <w:rsid w:val="55137D4F"/>
    <w:rsid w:val="551898E7"/>
    <w:rsid w:val="552C6E0C"/>
    <w:rsid w:val="55368D55"/>
    <w:rsid w:val="5539D045"/>
    <w:rsid w:val="555C68DD"/>
    <w:rsid w:val="5578F233"/>
    <w:rsid w:val="557A62A4"/>
    <w:rsid w:val="55A04A62"/>
    <w:rsid w:val="55BC2658"/>
    <w:rsid w:val="55D13E90"/>
    <w:rsid w:val="55D5B35C"/>
    <w:rsid w:val="55D9B982"/>
    <w:rsid w:val="55FE279B"/>
    <w:rsid w:val="5609A88E"/>
    <w:rsid w:val="560D2528"/>
    <w:rsid w:val="56104D09"/>
    <w:rsid w:val="5615FD3B"/>
    <w:rsid w:val="5617E675"/>
    <w:rsid w:val="5643F851"/>
    <w:rsid w:val="564A5E3B"/>
    <w:rsid w:val="564D223E"/>
    <w:rsid w:val="567ADA2C"/>
    <w:rsid w:val="56AC84B4"/>
    <w:rsid w:val="56B6D1D4"/>
    <w:rsid w:val="56E4E566"/>
    <w:rsid w:val="56E7C315"/>
    <w:rsid w:val="56E94FC7"/>
    <w:rsid w:val="56F0FC82"/>
    <w:rsid w:val="56FAF3CE"/>
    <w:rsid w:val="571091E6"/>
    <w:rsid w:val="5718C58F"/>
    <w:rsid w:val="571E3EBE"/>
    <w:rsid w:val="575EA01A"/>
    <w:rsid w:val="57680DA0"/>
    <w:rsid w:val="5790CEEC"/>
    <w:rsid w:val="57A7A391"/>
    <w:rsid w:val="57A9B89F"/>
    <w:rsid w:val="57B37ABC"/>
    <w:rsid w:val="57B47164"/>
    <w:rsid w:val="57B69B64"/>
    <w:rsid w:val="57EE4499"/>
    <w:rsid w:val="581B5793"/>
    <w:rsid w:val="583A0F1B"/>
    <w:rsid w:val="584182DB"/>
    <w:rsid w:val="58501F01"/>
    <w:rsid w:val="585B6A35"/>
    <w:rsid w:val="58801E1A"/>
    <w:rsid w:val="58A20D2B"/>
    <w:rsid w:val="58A66983"/>
    <w:rsid w:val="58C3F723"/>
    <w:rsid w:val="58D95681"/>
    <w:rsid w:val="58EF6D8B"/>
    <w:rsid w:val="5902CEEB"/>
    <w:rsid w:val="5917999C"/>
    <w:rsid w:val="591CBD23"/>
    <w:rsid w:val="59327F1E"/>
    <w:rsid w:val="594078BE"/>
    <w:rsid w:val="59962FB2"/>
    <w:rsid w:val="59A165C1"/>
    <w:rsid w:val="59A34832"/>
    <w:rsid w:val="59A9A126"/>
    <w:rsid w:val="59AD56A5"/>
    <w:rsid w:val="59C47E34"/>
    <w:rsid w:val="59E023FB"/>
    <w:rsid w:val="59EB72B3"/>
    <w:rsid w:val="59F1CB86"/>
    <w:rsid w:val="5A14E4A3"/>
    <w:rsid w:val="5A213D56"/>
    <w:rsid w:val="5A3FD6C5"/>
    <w:rsid w:val="5A419030"/>
    <w:rsid w:val="5A4A3A96"/>
    <w:rsid w:val="5A6275E2"/>
    <w:rsid w:val="5A68F2ED"/>
    <w:rsid w:val="5A6EF5F4"/>
    <w:rsid w:val="5A7486C7"/>
    <w:rsid w:val="5A7AAD9F"/>
    <w:rsid w:val="5A7E0A5B"/>
    <w:rsid w:val="5A9B4AC3"/>
    <w:rsid w:val="5A9EC212"/>
    <w:rsid w:val="5AAFEC5E"/>
    <w:rsid w:val="5AE43CEE"/>
    <w:rsid w:val="5B3304C9"/>
    <w:rsid w:val="5B4D5B44"/>
    <w:rsid w:val="5B8FD72C"/>
    <w:rsid w:val="5BBEF9D0"/>
    <w:rsid w:val="5BCC63F4"/>
    <w:rsid w:val="5BCEB3AE"/>
    <w:rsid w:val="5BD89FF7"/>
    <w:rsid w:val="5BDA5EA9"/>
    <w:rsid w:val="5BE023E8"/>
    <w:rsid w:val="5BE59C0C"/>
    <w:rsid w:val="5BEECA49"/>
    <w:rsid w:val="5C07CBE8"/>
    <w:rsid w:val="5C2E8F0A"/>
    <w:rsid w:val="5C31E2A2"/>
    <w:rsid w:val="5C6516F2"/>
    <w:rsid w:val="5C755CBE"/>
    <w:rsid w:val="5C9C148C"/>
    <w:rsid w:val="5CB31731"/>
    <w:rsid w:val="5CF6609D"/>
    <w:rsid w:val="5D013A65"/>
    <w:rsid w:val="5D3210AC"/>
    <w:rsid w:val="5D3FA9F7"/>
    <w:rsid w:val="5D420524"/>
    <w:rsid w:val="5D644AAC"/>
    <w:rsid w:val="5D65B555"/>
    <w:rsid w:val="5D756FC3"/>
    <w:rsid w:val="5DA9681F"/>
    <w:rsid w:val="5DB2E1DF"/>
    <w:rsid w:val="5DC03C41"/>
    <w:rsid w:val="5DD63702"/>
    <w:rsid w:val="5E1082F8"/>
    <w:rsid w:val="5E1ED308"/>
    <w:rsid w:val="5E26F5C3"/>
    <w:rsid w:val="5E294805"/>
    <w:rsid w:val="5E2C7CFF"/>
    <w:rsid w:val="5E328CAF"/>
    <w:rsid w:val="5E397D1B"/>
    <w:rsid w:val="5E71ACD4"/>
    <w:rsid w:val="5E77839E"/>
    <w:rsid w:val="5E8AC99B"/>
    <w:rsid w:val="5EA2FF79"/>
    <w:rsid w:val="5EA5EB69"/>
    <w:rsid w:val="5EA9FD7F"/>
    <w:rsid w:val="5EBFDCAD"/>
    <w:rsid w:val="5EC4928C"/>
    <w:rsid w:val="5EE254D2"/>
    <w:rsid w:val="5EE775A2"/>
    <w:rsid w:val="5F0369BA"/>
    <w:rsid w:val="5F4091A1"/>
    <w:rsid w:val="5F818776"/>
    <w:rsid w:val="5F9733BC"/>
    <w:rsid w:val="5FA50075"/>
    <w:rsid w:val="5FB040A2"/>
    <w:rsid w:val="5FB890A7"/>
    <w:rsid w:val="5FC8389A"/>
    <w:rsid w:val="5FCAC3B4"/>
    <w:rsid w:val="5FE0FEB8"/>
    <w:rsid w:val="5FFA3FDC"/>
    <w:rsid w:val="6002224F"/>
    <w:rsid w:val="6006C55B"/>
    <w:rsid w:val="6019C871"/>
    <w:rsid w:val="601D3758"/>
    <w:rsid w:val="602B533D"/>
    <w:rsid w:val="6032FA15"/>
    <w:rsid w:val="60363D22"/>
    <w:rsid w:val="603A0CC7"/>
    <w:rsid w:val="604E55FF"/>
    <w:rsid w:val="604F8C39"/>
    <w:rsid w:val="60500CFB"/>
    <w:rsid w:val="6054C883"/>
    <w:rsid w:val="606062ED"/>
    <w:rsid w:val="608393AB"/>
    <w:rsid w:val="60889B96"/>
    <w:rsid w:val="609F8126"/>
    <w:rsid w:val="60D998AF"/>
    <w:rsid w:val="60F04515"/>
    <w:rsid w:val="60FFC0E4"/>
    <w:rsid w:val="6100684A"/>
    <w:rsid w:val="6102523D"/>
    <w:rsid w:val="61181EB9"/>
    <w:rsid w:val="611DAE9E"/>
    <w:rsid w:val="61356166"/>
    <w:rsid w:val="614BAE25"/>
    <w:rsid w:val="6169C27B"/>
    <w:rsid w:val="617A4D92"/>
    <w:rsid w:val="6190D7A9"/>
    <w:rsid w:val="61A9D00A"/>
    <w:rsid w:val="61AB93A7"/>
    <w:rsid w:val="61CA41C2"/>
    <w:rsid w:val="61D7564F"/>
    <w:rsid w:val="61EB4D28"/>
    <w:rsid w:val="61ECD97B"/>
    <w:rsid w:val="61F4A625"/>
    <w:rsid w:val="61FC334E"/>
    <w:rsid w:val="6209A4CE"/>
    <w:rsid w:val="621A7CC9"/>
    <w:rsid w:val="621C723D"/>
    <w:rsid w:val="6223FB39"/>
    <w:rsid w:val="622B8DB5"/>
    <w:rsid w:val="62394831"/>
    <w:rsid w:val="626BA958"/>
    <w:rsid w:val="62A31B87"/>
    <w:rsid w:val="62B1601E"/>
    <w:rsid w:val="62B5562A"/>
    <w:rsid w:val="62D16376"/>
    <w:rsid w:val="631E5415"/>
    <w:rsid w:val="634CDD92"/>
    <w:rsid w:val="634E528F"/>
    <w:rsid w:val="63662996"/>
    <w:rsid w:val="636CF416"/>
    <w:rsid w:val="63734120"/>
    <w:rsid w:val="637416AE"/>
    <w:rsid w:val="63A849EE"/>
    <w:rsid w:val="63CDAC72"/>
    <w:rsid w:val="63F56830"/>
    <w:rsid w:val="644CE65C"/>
    <w:rsid w:val="6451996E"/>
    <w:rsid w:val="6454B7E8"/>
    <w:rsid w:val="645AB95E"/>
    <w:rsid w:val="647912A4"/>
    <w:rsid w:val="64855FBD"/>
    <w:rsid w:val="6499CC5A"/>
    <w:rsid w:val="64A8C457"/>
    <w:rsid w:val="64AC9BC3"/>
    <w:rsid w:val="64B3DB74"/>
    <w:rsid w:val="64F7E7CC"/>
    <w:rsid w:val="6501B7FC"/>
    <w:rsid w:val="651442C9"/>
    <w:rsid w:val="651E1857"/>
    <w:rsid w:val="6549EB28"/>
    <w:rsid w:val="656A08A4"/>
    <w:rsid w:val="6586E940"/>
    <w:rsid w:val="658DF1EF"/>
    <w:rsid w:val="65A26063"/>
    <w:rsid w:val="65A6F198"/>
    <w:rsid w:val="65BE422C"/>
    <w:rsid w:val="65C925B5"/>
    <w:rsid w:val="65C93019"/>
    <w:rsid w:val="65EB6747"/>
    <w:rsid w:val="6613296B"/>
    <w:rsid w:val="661B3194"/>
    <w:rsid w:val="66271B22"/>
    <w:rsid w:val="663D9E94"/>
    <w:rsid w:val="6643F415"/>
    <w:rsid w:val="6645DB93"/>
    <w:rsid w:val="666CDB5F"/>
    <w:rsid w:val="667C9DC9"/>
    <w:rsid w:val="6684796E"/>
    <w:rsid w:val="66872D24"/>
    <w:rsid w:val="66935460"/>
    <w:rsid w:val="66A606A4"/>
    <w:rsid w:val="66DCCEA0"/>
    <w:rsid w:val="66F290BB"/>
    <w:rsid w:val="66F7AF5E"/>
    <w:rsid w:val="6735CD85"/>
    <w:rsid w:val="67A58243"/>
    <w:rsid w:val="67ACF198"/>
    <w:rsid w:val="67AD2469"/>
    <w:rsid w:val="67C67938"/>
    <w:rsid w:val="67C851A1"/>
    <w:rsid w:val="67D436F9"/>
    <w:rsid w:val="67D89F89"/>
    <w:rsid w:val="67EB1B11"/>
    <w:rsid w:val="67FEEE35"/>
    <w:rsid w:val="6803EB49"/>
    <w:rsid w:val="6814490C"/>
    <w:rsid w:val="6831B470"/>
    <w:rsid w:val="683A96D8"/>
    <w:rsid w:val="6840BC7F"/>
    <w:rsid w:val="6851BC5A"/>
    <w:rsid w:val="685DAD8A"/>
    <w:rsid w:val="685DB30B"/>
    <w:rsid w:val="686000D8"/>
    <w:rsid w:val="6862928A"/>
    <w:rsid w:val="68754B8F"/>
    <w:rsid w:val="6876FF27"/>
    <w:rsid w:val="6889435B"/>
    <w:rsid w:val="68B2D7DC"/>
    <w:rsid w:val="68C4011F"/>
    <w:rsid w:val="68D8BD76"/>
    <w:rsid w:val="68EDFFAC"/>
    <w:rsid w:val="68FDE4DB"/>
    <w:rsid w:val="6900EA19"/>
    <w:rsid w:val="691064CD"/>
    <w:rsid w:val="69271296"/>
    <w:rsid w:val="693287B0"/>
    <w:rsid w:val="693481D9"/>
    <w:rsid w:val="6935F230"/>
    <w:rsid w:val="695E246C"/>
    <w:rsid w:val="698C96C3"/>
    <w:rsid w:val="69932EF4"/>
    <w:rsid w:val="69CAF06F"/>
    <w:rsid w:val="69E3396B"/>
    <w:rsid w:val="69F6C8F9"/>
    <w:rsid w:val="6A31E4D5"/>
    <w:rsid w:val="6A51C9FF"/>
    <w:rsid w:val="6A5F6236"/>
    <w:rsid w:val="6A5F8453"/>
    <w:rsid w:val="6A63E151"/>
    <w:rsid w:val="6A69EE98"/>
    <w:rsid w:val="6A6C0574"/>
    <w:rsid w:val="6A6D28DA"/>
    <w:rsid w:val="6A8B65A9"/>
    <w:rsid w:val="6AA46A57"/>
    <w:rsid w:val="6AB5F206"/>
    <w:rsid w:val="6ABF3F57"/>
    <w:rsid w:val="6AC7D924"/>
    <w:rsid w:val="6AE9BD86"/>
    <w:rsid w:val="6AEAB234"/>
    <w:rsid w:val="6AF1C013"/>
    <w:rsid w:val="6B2C0826"/>
    <w:rsid w:val="6B533442"/>
    <w:rsid w:val="6B638C79"/>
    <w:rsid w:val="6B78EFC9"/>
    <w:rsid w:val="6B7C59CC"/>
    <w:rsid w:val="6B96DB24"/>
    <w:rsid w:val="6BB8D0BD"/>
    <w:rsid w:val="6BC08C99"/>
    <w:rsid w:val="6BC96820"/>
    <w:rsid w:val="6BCDBC93"/>
    <w:rsid w:val="6BE38260"/>
    <w:rsid w:val="6BE798F5"/>
    <w:rsid w:val="6BEE0A17"/>
    <w:rsid w:val="6BF9EF0E"/>
    <w:rsid w:val="6C331A9A"/>
    <w:rsid w:val="6C360174"/>
    <w:rsid w:val="6C4EFFE0"/>
    <w:rsid w:val="6C4F734E"/>
    <w:rsid w:val="6C50BA05"/>
    <w:rsid w:val="6C6C4CB1"/>
    <w:rsid w:val="6C6CB2BC"/>
    <w:rsid w:val="6C6ED1D7"/>
    <w:rsid w:val="6C75DD93"/>
    <w:rsid w:val="6C777D27"/>
    <w:rsid w:val="6C8E6F20"/>
    <w:rsid w:val="6C91698A"/>
    <w:rsid w:val="6CA820B6"/>
    <w:rsid w:val="6CD975B3"/>
    <w:rsid w:val="6D003234"/>
    <w:rsid w:val="6D1B7CA7"/>
    <w:rsid w:val="6D1CADB0"/>
    <w:rsid w:val="6D25C873"/>
    <w:rsid w:val="6D39CB6F"/>
    <w:rsid w:val="6D3C91D0"/>
    <w:rsid w:val="6D4316AE"/>
    <w:rsid w:val="6D44FE15"/>
    <w:rsid w:val="6D4BEEAE"/>
    <w:rsid w:val="6D50E8DC"/>
    <w:rsid w:val="6D7BE36B"/>
    <w:rsid w:val="6D7EF8AA"/>
    <w:rsid w:val="6D9AC4B2"/>
    <w:rsid w:val="6DA0B516"/>
    <w:rsid w:val="6DC9804A"/>
    <w:rsid w:val="6DE80B19"/>
    <w:rsid w:val="6DF3470B"/>
    <w:rsid w:val="6E0C57EE"/>
    <w:rsid w:val="6E41D940"/>
    <w:rsid w:val="6E496574"/>
    <w:rsid w:val="6E4BF845"/>
    <w:rsid w:val="6E55FE7E"/>
    <w:rsid w:val="6E6C2CDE"/>
    <w:rsid w:val="6E6EA93C"/>
    <w:rsid w:val="6E804B18"/>
    <w:rsid w:val="6E90DC2D"/>
    <w:rsid w:val="6F242843"/>
    <w:rsid w:val="6F2C2D65"/>
    <w:rsid w:val="6F33C7E0"/>
    <w:rsid w:val="6F4E940A"/>
    <w:rsid w:val="6F5B66C8"/>
    <w:rsid w:val="6F61ED87"/>
    <w:rsid w:val="6F87C3FF"/>
    <w:rsid w:val="6F9703F7"/>
    <w:rsid w:val="6FAC5108"/>
    <w:rsid w:val="6FB50565"/>
    <w:rsid w:val="6FBF26BA"/>
    <w:rsid w:val="6FBF353F"/>
    <w:rsid w:val="6FC33921"/>
    <w:rsid w:val="6FDD494A"/>
    <w:rsid w:val="6FE1C285"/>
    <w:rsid w:val="6FF34035"/>
    <w:rsid w:val="7007D500"/>
    <w:rsid w:val="7017C195"/>
    <w:rsid w:val="70198965"/>
    <w:rsid w:val="7046AF74"/>
    <w:rsid w:val="706D7A4F"/>
    <w:rsid w:val="70A6302D"/>
    <w:rsid w:val="70B0CCDD"/>
    <w:rsid w:val="70BCFF2F"/>
    <w:rsid w:val="70D738B2"/>
    <w:rsid w:val="70EEBDDD"/>
    <w:rsid w:val="70F82FB3"/>
    <w:rsid w:val="70F9ED87"/>
    <w:rsid w:val="71048667"/>
    <w:rsid w:val="710E7A4D"/>
    <w:rsid w:val="71143CC4"/>
    <w:rsid w:val="711466E2"/>
    <w:rsid w:val="7114AB9D"/>
    <w:rsid w:val="71237519"/>
    <w:rsid w:val="71495CB6"/>
    <w:rsid w:val="7153530E"/>
    <w:rsid w:val="71733102"/>
    <w:rsid w:val="71775343"/>
    <w:rsid w:val="718FF3BF"/>
    <w:rsid w:val="71AE4C8E"/>
    <w:rsid w:val="71C31DCB"/>
    <w:rsid w:val="71CB59FA"/>
    <w:rsid w:val="71F01ED3"/>
    <w:rsid w:val="71FB6127"/>
    <w:rsid w:val="71FFA265"/>
    <w:rsid w:val="720A39BA"/>
    <w:rsid w:val="723C669F"/>
    <w:rsid w:val="724C8852"/>
    <w:rsid w:val="7257C63D"/>
    <w:rsid w:val="7258CF90"/>
    <w:rsid w:val="726D3F40"/>
    <w:rsid w:val="7296C5AD"/>
    <w:rsid w:val="729ECA97"/>
    <w:rsid w:val="72AF53B0"/>
    <w:rsid w:val="72B3F9A6"/>
    <w:rsid w:val="72BE6AD4"/>
    <w:rsid w:val="72C3A008"/>
    <w:rsid w:val="731565A2"/>
    <w:rsid w:val="7319C134"/>
    <w:rsid w:val="73303334"/>
    <w:rsid w:val="7337FD68"/>
    <w:rsid w:val="7342C719"/>
    <w:rsid w:val="7361ED93"/>
    <w:rsid w:val="736C6C55"/>
    <w:rsid w:val="73730428"/>
    <w:rsid w:val="737FCB65"/>
    <w:rsid w:val="73800D29"/>
    <w:rsid w:val="73976C7A"/>
    <w:rsid w:val="73B0D5A7"/>
    <w:rsid w:val="73D5D493"/>
    <w:rsid w:val="73D811AA"/>
    <w:rsid w:val="73E1A0CA"/>
    <w:rsid w:val="73E393FD"/>
    <w:rsid w:val="73F46083"/>
    <w:rsid w:val="744920D0"/>
    <w:rsid w:val="74511BC2"/>
    <w:rsid w:val="7494C3F7"/>
    <w:rsid w:val="74952A65"/>
    <w:rsid w:val="74A05E4A"/>
    <w:rsid w:val="74B637D8"/>
    <w:rsid w:val="74E7824C"/>
    <w:rsid w:val="7515F991"/>
    <w:rsid w:val="75198ECC"/>
    <w:rsid w:val="753A6EE7"/>
    <w:rsid w:val="754198B7"/>
    <w:rsid w:val="7547FE40"/>
    <w:rsid w:val="75858829"/>
    <w:rsid w:val="758C6C9A"/>
    <w:rsid w:val="75A5C0F9"/>
    <w:rsid w:val="75A99383"/>
    <w:rsid w:val="75AFF70F"/>
    <w:rsid w:val="75C59248"/>
    <w:rsid w:val="75D28B54"/>
    <w:rsid w:val="75EF9CDB"/>
    <w:rsid w:val="75F8F707"/>
    <w:rsid w:val="762DB548"/>
    <w:rsid w:val="7642FB6B"/>
    <w:rsid w:val="76448C08"/>
    <w:rsid w:val="765A4E23"/>
    <w:rsid w:val="7665078C"/>
    <w:rsid w:val="766D2562"/>
    <w:rsid w:val="76799AAE"/>
    <w:rsid w:val="767EE320"/>
    <w:rsid w:val="7690C020"/>
    <w:rsid w:val="7697D3FA"/>
    <w:rsid w:val="76B14156"/>
    <w:rsid w:val="76B77F45"/>
    <w:rsid w:val="76C38FF6"/>
    <w:rsid w:val="76D549BC"/>
    <w:rsid w:val="76ED0912"/>
    <w:rsid w:val="77196D19"/>
    <w:rsid w:val="772DCBE4"/>
    <w:rsid w:val="773578D4"/>
    <w:rsid w:val="775DBC9B"/>
    <w:rsid w:val="77752E85"/>
    <w:rsid w:val="778B482A"/>
    <w:rsid w:val="7790C22E"/>
    <w:rsid w:val="77913449"/>
    <w:rsid w:val="7793A02D"/>
    <w:rsid w:val="779A8F80"/>
    <w:rsid w:val="779E0920"/>
    <w:rsid w:val="77A15FDE"/>
    <w:rsid w:val="77A75D38"/>
    <w:rsid w:val="77C1B6A1"/>
    <w:rsid w:val="77F72E55"/>
    <w:rsid w:val="77FE59B0"/>
    <w:rsid w:val="781180A5"/>
    <w:rsid w:val="78247CCC"/>
    <w:rsid w:val="78371DC4"/>
    <w:rsid w:val="783B5CEB"/>
    <w:rsid w:val="78423E05"/>
    <w:rsid w:val="78459DF7"/>
    <w:rsid w:val="784925C8"/>
    <w:rsid w:val="785472E1"/>
    <w:rsid w:val="785BD9EE"/>
    <w:rsid w:val="785F5D5C"/>
    <w:rsid w:val="787500AA"/>
    <w:rsid w:val="787E13EC"/>
    <w:rsid w:val="78B0954C"/>
    <w:rsid w:val="78B980D1"/>
    <w:rsid w:val="78E451D1"/>
    <w:rsid w:val="78F0887B"/>
    <w:rsid w:val="78F90579"/>
    <w:rsid w:val="790227CB"/>
    <w:rsid w:val="79124F62"/>
    <w:rsid w:val="792006B7"/>
    <w:rsid w:val="7926CD44"/>
    <w:rsid w:val="795944A3"/>
    <w:rsid w:val="795AC8F1"/>
    <w:rsid w:val="796A9635"/>
    <w:rsid w:val="79704C27"/>
    <w:rsid w:val="79B01817"/>
    <w:rsid w:val="79B72A55"/>
    <w:rsid w:val="79B9DBCC"/>
    <w:rsid w:val="79BD6272"/>
    <w:rsid w:val="79E5C529"/>
    <w:rsid w:val="79FEE682"/>
    <w:rsid w:val="7A12ABFA"/>
    <w:rsid w:val="7A1D7EE0"/>
    <w:rsid w:val="7A1F4330"/>
    <w:rsid w:val="7A2AD838"/>
    <w:rsid w:val="7A337CD1"/>
    <w:rsid w:val="7A5CEDF8"/>
    <w:rsid w:val="7A60D94A"/>
    <w:rsid w:val="7A6598DF"/>
    <w:rsid w:val="7A960E0F"/>
    <w:rsid w:val="7ADBF7D8"/>
    <w:rsid w:val="7AE1EC25"/>
    <w:rsid w:val="7AE92991"/>
    <w:rsid w:val="7AF93EF0"/>
    <w:rsid w:val="7B061F49"/>
    <w:rsid w:val="7B0E5AD3"/>
    <w:rsid w:val="7B1922B8"/>
    <w:rsid w:val="7B689DA0"/>
    <w:rsid w:val="7B68A777"/>
    <w:rsid w:val="7B7B3C96"/>
    <w:rsid w:val="7B808C1B"/>
    <w:rsid w:val="7B83A09F"/>
    <w:rsid w:val="7B970119"/>
    <w:rsid w:val="7BB35F9C"/>
    <w:rsid w:val="7BBFE0BA"/>
    <w:rsid w:val="7BC9A2BA"/>
    <w:rsid w:val="7BF4B68D"/>
    <w:rsid w:val="7C0D218E"/>
    <w:rsid w:val="7C25D312"/>
    <w:rsid w:val="7C2E6F88"/>
    <w:rsid w:val="7C408995"/>
    <w:rsid w:val="7C5632E3"/>
    <w:rsid w:val="7C5AE3A9"/>
    <w:rsid w:val="7C69AE29"/>
    <w:rsid w:val="7C805346"/>
    <w:rsid w:val="7C9A945F"/>
    <w:rsid w:val="7C9BB66E"/>
    <w:rsid w:val="7CA15782"/>
    <w:rsid w:val="7CABD264"/>
    <w:rsid w:val="7CC92BB0"/>
    <w:rsid w:val="7CFBB72D"/>
    <w:rsid w:val="7CFDABF9"/>
    <w:rsid w:val="7D0ED72D"/>
    <w:rsid w:val="7D136AB0"/>
    <w:rsid w:val="7D202753"/>
    <w:rsid w:val="7D28E92B"/>
    <w:rsid w:val="7D2C2D2C"/>
    <w:rsid w:val="7D46D6E5"/>
    <w:rsid w:val="7D5EBE87"/>
    <w:rsid w:val="7D956C9A"/>
    <w:rsid w:val="7DA4C5D2"/>
    <w:rsid w:val="7DC06C3A"/>
    <w:rsid w:val="7DEDBE55"/>
    <w:rsid w:val="7E162442"/>
    <w:rsid w:val="7E4B4B1A"/>
    <w:rsid w:val="7E50348E"/>
    <w:rsid w:val="7E5E2A97"/>
    <w:rsid w:val="7E5F6C4B"/>
    <w:rsid w:val="7E61DF56"/>
    <w:rsid w:val="7E7CD6A4"/>
    <w:rsid w:val="7E8064AD"/>
    <w:rsid w:val="7E85EE8D"/>
    <w:rsid w:val="7EA4493F"/>
    <w:rsid w:val="7EAA0B77"/>
    <w:rsid w:val="7EC0245C"/>
    <w:rsid w:val="7EC6BC62"/>
    <w:rsid w:val="7EF0F8DB"/>
    <w:rsid w:val="7EFBC3DB"/>
    <w:rsid w:val="7F06D636"/>
    <w:rsid w:val="7F0CED95"/>
    <w:rsid w:val="7F1A5E72"/>
    <w:rsid w:val="7F1BCADC"/>
    <w:rsid w:val="7F263D02"/>
    <w:rsid w:val="7F2D863F"/>
    <w:rsid w:val="7F60C862"/>
    <w:rsid w:val="7F694A60"/>
    <w:rsid w:val="7F6C02D0"/>
    <w:rsid w:val="7F71289B"/>
    <w:rsid w:val="7F8C43C0"/>
    <w:rsid w:val="7FB56B6D"/>
    <w:rsid w:val="7FB62382"/>
    <w:rsid w:val="7FD24350"/>
    <w:rsid w:val="7FF7A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5E0EEE"/>
  <w15:docId w15:val="{BE7999DA-9643-447C-A443-C0C26BBD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0"/>
      </w:numPr>
      <w:outlineLvl w:val="6"/>
    </w:pPr>
    <w:rPr>
      <w:rFonts w:eastAsiaTheme="majorEastAsia"/>
      <w:iCs/>
    </w:rPr>
  </w:style>
  <w:style w:type="paragraph" w:styleId="Heading8">
    <w:name w:val="heading 8"/>
    <w:basedOn w:val="Normal"/>
    <w:next w:val="Normal"/>
    <w:link w:val="Heading8Char"/>
    <w:uiPriority w:val="9"/>
    <w:unhideWhenUsed/>
    <w:qFormat/>
    <w:rsid w:val="009123CF"/>
    <w:pPr>
      <w:keepNext/>
      <w:keepLines/>
      <w:spacing w:before="40" w:after="0" w:line="276" w:lineRule="auto"/>
      <w:outlineLvl w:val="7"/>
    </w:pPr>
    <w:rPr>
      <w:rFonts w:asciiTheme="majorHAnsi" w:eastAsiaTheme="majorEastAsia" w:hAnsiTheme="majorHAnsi" w:cstheme="majorBidi"/>
      <w:color w:val="272727"/>
      <w:sz w:val="21"/>
    </w:rPr>
  </w:style>
  <w:style w:type="paragraph" w:styleId="Heading9">
    <w:name w:val="heading 9"/>
    <w:basedOn w:val="Normal"/>
    <w:next w:val="Normal"/>
    <w:link w:val="Heading9Char"/>
    <w:uiPriority w:val="9"/>
    <w:unhideWhenUsed/>
    <w:qFormat/>
    <w:rsid w:val="009123CF"/>
    <w:pPr>
      <w:keepNext/>
      <w:keepLines/>
      <w:spacing w:before="40" w:after="0" w:line="276" w:lineRule="auto"/>
      <w:outlineLvl w:val="8"/>
    </w:pPr>
    <w:rPr>
      <w:rFonts w:asciiTheme="majorHAnsi" w:eastAsiaTheme="majorEastAsia" w:hAnsiTheme="majorHAnsi" w:cstheme="majorBidi"/>
      <w:i/>
      <w:color w:val="272727"/>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E05"/>
    <w:rPr>
      <w:color w:val="0000FF"/>
      <w:u w:val="single"/>
      <w:shd w:val="clear" w:color="auto" w:fill="auto"/>
    </w:rPr>
  </w:style>
  <w:style w:type="paragraph" w:styleId="ListBullet4">
    <w:name w:val="List Bullet 4"/>
    <w:basedOn w:val="Normal"/>
    <w:uiPriority w:val="99"/>
    <w:rsid w:val="00BE7E05"/>
    <w:pPr>
      <w:numPr>
        <w:numId w:val="3"/>
      </w:numPr>
    </w:pPr>
  </w:style>
  <w:style w:type="paragraph" w:styleId="ListNumber">
    <w:name w:val="List Number"/>
    <w:basedOn w:val="Normal"/>
    <w:rsid w:val="00BE7E05"/>
  </w:style>
  <w:style w:type="paragraph" w:customStyle="1" w:styleId="ListBullet1">
    <w:name w:val="List Bullet 1"/>
    <w:basedOn w:val="Normal"/>
    <w:rsid w:val="00BE7E05"/>
    <w:pPr>
      <w:numPr>
        <w:numId w:val="2"/>
      </w:numPr>
    </w:pPr>
  </w:style>
  <w:style w:type="paragraph" w:customStyle="1" w:styleId="ListDash">
    <w:name w:val="List Dash"/>
    <w:basedOn w:val="Normal"/>
    <w:rsid w:val="00BE7E05"/>
    <w:pPr>
      <w:numPr>
        <w:numId w:val="4"/>
      </w:numPr>
    </w:pPr>
  </w:style>
  <w:style w:type="paragraph" w:customStyle="1" w:styleId="ListDash1">
    <w:name w:val="List Dash 1"/>
    <w:basedOn w:val="Normal"/>
    <w:rsid w:val="00BE7E05"/>
    <w:pPr>
      <w:numPr>
        <w:numId w:val="5"/>
      </w:numPr>
    </w:pPr>
  </w:style>
  <w:style w:type="paragraph" w:customStyle="1" w:styleId="ListDash2">
    <w:name w:val="List Dash 2"/>
    <w:basedOn w:val="Normal"/>
    <w:rsid w:val="00BE7E05"/>
    <w:pPr>
      <w:numPr>
        <w:numId w:val="6"/>
      </w:numPr>
    </w:pPr>
  </w:style>
  <w:style w:type="paragraph" w:customStyle="1" w:styleId="ListNumberLevel2">
    <w:name w:val="List Number (Level 2)"/>
    <w:basedOn w:val="Normal"/>
    <w:rsid w:val="00BE7E05"/>
  </w:style>
  <w:style w:type="paragraph" w:customStyle="1" w:styleId="ListNumberLevel3">
    <w:name w:val="List Number (Level 3)"/>
    <w:basedOn w:val="Normal"/>
    <w:rsid w:val="00BE7E05"/>
  </w:style>
  <w:style w:type="paragraph" w:customStyle="1" w:styleId="ListNumberLevel4">
    <w:name w:val="List Number (Level 4)"/>
    <w:basedOn w:val="Normal"/>
    <w:rsid w:val="00BE7E05"/>
  </w:style>
  <w:style w:type="table" w:styleId="TableGrid">
    <w:name w:val="Table Grid"/>
    <w:basedOn w:val="TableNormal"/>
    <w:rsid w:val="00BE7E05"/>
    <w:pPr>
      <w:spacing w:before="120" w:after="120" w:line="240" w:lineRule="auto"/>
      <w:jc w:val="both"/>
    </w:pPr>
    <w:rPr>
      <w:rFonts w:ascii="Calibri" w:eastAsia="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BE7E05"/>
    <w:pPr>
      <w:numPr>
        <w:numId w:val="7"/>
      </w:numPr>
    </w:pPr>
  </w:style>
  <w:style w:type="paragraph" w:styleId="ListBullet2">
    <w:name w:val="List Bullet 2"/>
    <w:basedOn w:val="Normal"/>
    <w:uiPriority w:val="99"/>
    <w:rsid w:val="00BE7E05"/>
    <w:pPr>
      <w:numPr>
        <w:numId w:val="8"/>
      </w:numPr>
    </w:pPr>
  </w:style>
  <w:style w:type="paragraph" w:styleId="ListBullet3">
    <w:name w:val="List Bullet 3"/>
    <w:basedOn w:val="Normal"/>
    <w:uiPriority w:val="99"/>
    <w:rsid w:val="00BE7E05"/>
    <w:pPr>
      <w:numPr>
        <w:numId w:val="9"/>
      </w:numPr>
    </w:pPr>
  </w:style>
  <w:style w:type="paragraph" w:styleId="ListNumber2">
    <w:name w:val="List Number 2"/>
    <w:basedOn w:val="Normal"/>
    <w:rsid w:val="00BE7E05"/>
    <w:pPr>
      <w:numPr>
        <w:numId w:val="12"/>
      </w:numPr>
    </w:pPr>
  </w:style>
  <w:style w:type="paragraph" w:styleId="ListNumber3">
    <w:name w:val="List Number 3"/>
    <w:basedOn w:val="Normal"/>
    <w:rsid w:val="00BE7E05"/>
    <w:pPr>
      <w:numPr>
        <w:numId w:val="13"/>
      </w:numPr>
    </w:pPr>
  </w:style>
  <w:style w:type="paragraph" w:styleId="ListNumber4">
    <w:name w:val="List Number 4"/>
    <w:basedOn w:val="Normal"/>
    <w:rsid w:val="00BE7E05"/>
    <w:pPr>
      <w:numPr>
        <w:numId w:val="14"/>
      </w:numPr>
    </w:pPr>
  </w:style>
  <w:style w:type="paragraph" w:customStyle="1" w:styleId="ListDash3">
    <w:name w:val="List Dash 3"/>
    <w:basedOn w:val="Normal"/>
    <w:rsid w:val="00BE7E05"/>
    <w:pPr>
      <w:numPr>
        <w:numId w:val="10"/>
      </w:numPr>
    </w:pPr>
  </w:style>
  <w:style w:type="paragraph" w:customStyle="1" w:styleId="ListDash4">
    <w:name w:val="List Dash 4"/>
    <w:basedOn w:val="Normal"/>
    <w:rsid w:val="00BE7E05"/>
    <w:pPr>
      <w:numPr>
        <w:numId w:val="11"/>
      </w:numPr>
    </w:pPr>
  </w:style>
  <w:style w:type="paragraph" w:customStyle="1" w:styleId="ListNumber1">
    <w:name w:val="List Number 1"/>
    <w:basedOn w:val="Text1"/>
    <w:rsid w:val="00BE7E05"/>
    <w:pPr>
      <w:tabs>
        <w:tab w:val="num" w:pos="1560"/>
      </w:tabs>
      <w:ind w:left="1560" w:hanging="709"/>
    </w:pPr>
  </w:style>
  <w:style w:type="paragraph" w:customStyle="1" w:styleId="ListNumber1Level2">
    <w:name w:val="List Number 1 (Level 2)"/>
    <w:basedOn w:val="Text1"/>
    <w:rsid w:val="00BE7E05"/>
    <w:pPr>
      <w:tabs>
        <w:tab w:val="num" w:pos="2268"/>
      </w:tabs>
      <w:ind w:left="2268" w:hanging="708"/>
    </w:pPr>
  </w:style>
  <w:style w:type="paragraph" w:customStyle="1" w:styleId="ListNumber2Level2">
    <w:name w:val="List Number 2 (Level 2)"/>
    <w:basedOn w:val="Text2"/>
    <w:rsid w:val="00BE7E05"/>
    <w:pPr>
      <w:numPr>
        <w:ilvl w:val="1"/>
        <w:numId w:val="12"/>
      </w:numPr>
    </w:pPr>
  </w:style>
  <w:style w:type="paragraph" w:customStyle="1" w:styleId="ListNumber3Level2">
    <w:name w:val="List Number 3 (Level 2)"/>
    <w:basedOn w:val="Text3"/>
    <w:rsid w:val="00BE7E05"/>
    <w:pPr>
      <w:numPr>
        <w:ilvl w:val="1"/>
        <w:numId w:val="13"/>
      </w:numPr>
    </w:pPr>
  </w:style>
  <w:style w:type="paragraph" w:customStyle="1" w:styleId="ListNumber4Level2">
    <w:name w:val="List Number 4 (Level 2)"/>
    <w:basedOn w:val="Text4"/>
    <w:rsid w:val="00BE7E05"/>
    <w:pPr>
      <w:numPr>
        <w:ilvl w:val="1"/>
        <w:numId w:val="14"/>
      </w:numPr>
    </w:pPr>
  </w:style>
  <w:style w:type="paragraph" w:customStyle="1" w:styleId="ListNumber1Level3">
    <w:name w:val="List Number 1 (Level 3)"/>
    <w:basedOn w:val="Text1"/>
    <w:rsid w:val="00BE7E05"/>
    <w:pPr>
      <w:tabs>
        <w:tab w:val="num" w:pos="2977"/>
      </w:tabs>
      <w:ind w:left="2977" w:hanging="709"/>
    </w:pPr>
  </w:style>
  <w:style w:type="paragraph" w:customStyle="1" w:styleId="ListNumber2Level3">
    <w:name w:val="List Number 2 (Level 3)"/>
    <w:basedOn w:val="Text2"/>
    <w:rsid w:val="00BE7E05"/>
    <w:pPr>
      <w:numPr>
        <w:ilvl w:val="2"/>
        <w:numId w:val="12"/>
      </w:numPr>
    </w:pPr>
  </w:style>
  <w:style w:type="paragraph" w:customStyle="1" w:styleId="ListNumber3Level3">
    <w:name w:val="List Number 3 (Level 3)"/>
    <w:basedOn w:val="Text3"/>
    <w:rsid w:val="00BE7E05"/>
    <w:pPr>
      <w:numPr>
        <w:ilvl w:val="2"/>
        <w:numId w:val="13"/>
      </w:numPr>
    </w:pPr>
  </w:style>
  <w:style w:type="paragraph" w:customStyle="1" w:styleId="ListNumber4Level3">
    <w:name w:val="List Number 4 (Level 3)"/>
    <w:basedOn w:val="Text4"/>
    <w:rsid w:val="00BE7E05"/>
    <w:pPr>
      <w:numPr>
        <w:ilvl w:val="2"/>
        <w:numId w:val="14"/>
      </w:numPr>
    </w:pPr>
  </w:style>
  <w:style w:type="paragraph" w:customStyle="1" w:styleId="ListNumber1Level4">
    <w:name w:val="List Number 1 (Level 4)"/>
    <w:basedOn w:val="Text1"/>
    <w:rsid w:val="00BE7E05"/>
    <w:pPr>
      <w:tabs>
        <w:tab w:val="num" w:pos="3686"/>
      </w:tabs>
      <w:ind w:left="3686" w:hanging="709"/>
    </w:pPr>
  </w:style>
  <w:style w:type="paragraph" w:customStyle="1" w:styleId="ListNumber2Level4">
    <w:name w:val="List Number 2 (Level 4)"/>
    <w:basedOn w:val="Text2"/>
    <w:rsid w:val="00BE7E05"/>
    <w:pPr>
      <w:numPr>
        <w:ilvl w:val="3"/>
        <w:numId w:val="12"/>
      </w:numPr>
    </w:pPr>
  </w:style>
  <w:style w:type="paragraph" w:customStyle="1" w:styleId="ListNumber3Level4">
    <w:name w:val="List Number 3 (Level 4)"/>
    <w:basedOn w:val="Text3"/>
    <w:rsid w:val="00BE7E05"/>
    <w:pPr>
      <w:numPr>
        <w:ilvl w:val="3"/>
        <w:numId w:val="13"/>
      </w:numPr>
    </w:pPr>
  </w:style>
  <w:style w:type="paragraph" w:customStyle="1" w:styleId="ListNumber4Level4">
    <w:name w:val="List Number 4 (Level 4)"/>
    <w:basedOn w:val="Text4"/>
    <w:rsid w:val="00BE7E05"/>
    <w:pPr>
      <w:numPr>
        <w:ilvl w:val="3"/>
        <w:numId w:val="14"/>
      </w:numPr>
    </w:pPr>
  </w:style>
  <w:style w:type="paragraph" w:customStyle="1" w:styleId="Annexetitreacte">
    <w:name w:val="Annexe titre (acte)"/>
    <w:basedOn w:val="Normal"/>
    <w:next w:val="Normal"/>
    <w:rsid w:val="00BE7E05"/>
    <w:pPr>
      <w:jc w:val="center"/>
    </w:pPr>
    <w:rPr>
      <w:b/>
      <w:u w:val="single"/>
    </w:rPr>
  </w:style>
  <w:style w:type="paragraph" w:customStyle="1" w:styleId="Annexetitreexposglobal">
    <w:name w:val="Annexe titre (exposé global)"/>
    <w:basedOn w:val="Normal"/>
    <w:next w:val="Normal"/>
    <w:rsid w:val="00BE7E05"/>
    <w:pPr>
      <w:jc w:val="center"/>
    </w:pPr>
    <w:rPr>
      <w:b/>
      <w:u w:val="single"/>
    </w:rPr>
  </w:style>
  <w:style w:type="paragraph" w:customStyle="1" w:styleId="Annexetitrefichefinacte">
    <w:name w:val="Annexe titre (fiche fin. acte)"/>
    <w:basedOn w:val="Normal"/>
    <w:next w:val="Normal"/>
    <w:rsid w:val="00BE7E05"/>
    <w:pPr>
      <w:jc w:val="center"/>
    </w:pPr>
    <w:rPr>
      <w:b/>
      <w:u w:val="single"/>
    </w:rPr>
  </w:style>
  <w:style w:type="paragraph" w:customStyle="1" w:styleId="Annexetitrefichefinglobale">
    <w:name w:val="Annexe titre (fiche fin. globale)"/>
    <w:basedOn w:val="Normal"/>
    <w:next w:val="Normal"/>
    <w:rsid w:val="00BE7E05"/>
    <w:pPr>
      <w:jc w:val="center"/>
    </w:pPr>
    <w:rPr>
      <w:b/>
      <w:u w:val="single"/>
    </w:rPr>
  </w:style>
  <w:style w:type="paragraph" w:customStyle="1" w:styleId="Annexetitreglobale">
    <w:name w:val="Annexe titre (globale)"/>
    <w:basedOn w:val="Normal"/>
    <w:next w:val="Normal"/>
    <w:rsid w:val="00BE7E05"/>
    <w:pPr>
      <w:jc w:val="center"/>
    </w:pPr>
    <w:rPr>
      <w:b/>
      <w:u w:val="single"/>
    </w:rPr>
  </w:style>
  <w:style w:type="paragraph" w:customStyle="1" w:styleId="Exposdesmotifstitreglobal">
    <w:name w:val="Exposé des motifs titre (global)"/>
    <w:basedOn w:val="Normal"/>
    <w:next w:val="Normal"/>
    <w:rsid w:val="00BE7E05"/>
    <w:pPr>
      <w:jc w:val="center"/>
    </w:pPr>
    <w:rPr>
      <w:b/>
      <w:u w:val="single"/>
    </w:rPr>
  </w:style>
  <w:style w:type="paragraph" w:customStyle="1" w:styleId="Langueoriginale">
    <w:name w:val="Langue originale"/>
    <w:basedOn w:val="Normal"/>
    <w:rsid w:val="00BE7E05"/>
    <w:pPr>
      <w:spacing w:before="360"/>
      <w:jc w:val="center"/>
    </w:pPr>
    <w:rPr>
      <w:caps/>
    </w:rPr>
  </w:style>
  <w:style w:type="paragraph" w:customStyle="1" w:styleId="Phrasefinale">
    <w:name w:val="Phrase finale"/>
    <w:basedOn w:val="Normal"/>
    <w:next w:val="Normal"/>
    <w:rsid w:val="00BE7E05"/>
    <w:pPr>
      <w:spacing w:before="360" w:after="0"/>
      <w:jc w:val="center"/>
    </w:pPr>
  </w:style>
  <w:style w:type="paragraph" w:customStyle="1" w:styleId="Prliminairetitre">
    <w:name w:val="Préliminaire titre"/>
    <w:basedOn w:val="Normal"/>
    <w:next w:val="Normal"/>
    <w:rsid w:val="00BE7E05"/>
    <w:pPr>
      <w:spacing w:before="360" w:after="360"/>
      <w:jc w:val="center"/>
    </w:pPr>
    <w:rPr>
      <w:b/>
    </w:rPr>
  </w:style>
  <w:style w:type="paragraph" w:customStyle="1" w:styleId="Prliminairetype">
    <w:name w:val="Préliminaire type"/>
    <w:basedOn w:val="Normal"/>
    <w:next w:val="Normal"/>
    <w:rsid w:val="00BE7E05"/>
    <w:pPr>
      <w:spacing w:before="360" w:after="0"/>
      <w:jc w:val="center"/>
    </w:pPr>
    <w:rPr>
      <w:b/>
    </w:rPr>
  </w:style>
  <w:style w:type="paragraph" w:customStyle="1" w:styleId="Rfrenceinstitutionelle">
    <w:name w:val="Référence institutionelle"/>
    <w:basedOn w:val="Normal"/>
    <w:next w:val="Statut"/>
    <w:rsid w:val="00BE7E05"/>
    <w:pPr>
      <w:spacing w:before="0" w:after="240"/>
      <w:ind w:left="5103"/>
      <w:jc w:val="left"/>
    </w:pPr>
  </w:style>
  <w:style w:type="paragraph" w:customStyle="1" w:styleId="Rfrenceinterinstitutionelle">
    <w:name w:val="Référence interinstitutionelle"/>
    <w:basedOn w:val="Normal"/>
    <w:next w:val="Statut"/>
    <w:rsid w:val="00BE7E05"/>
    <w:pPr>
      <w:spacing w:before="0" w:after="0"/>
      <w:ind w:left="5103"/>
      <w:jc w:val="left"/>
    </w:pPr>
  </w:style>
  <w:style w:type="paragraph" w:customStyle="1" w:styleId="Rfrenceinterinstitutionelleprliminaire">
    <w:name w:val="Référence interinstitutionelle (préliminaire)"/>
    <w:basedOn w:val="Normal"/>
    <w:next w:val="Normal"/>
    <w:rsid w:val="00BE7E05"/>
    <w:pPr>
      <w:spacing w:before="0" w:after="0"/>
      <w:ind w:left="5103"/>
      <w:jc w:val="left"/>
    </w:pPr>
  </w:style>
  <w:style w:type="paragraph" w:customStyle="1" w:styleId="Sous-titreobjetprliminaire">
    <w:name w:val="Sous-titre objet (préliminaire)"/>
    <w:basedOn w:val="Normal"/>
    <w:rsid w:val="00BE7E05"/>
    <w:pPr>
      <w:spacing w:before="0" w:after="0"/>
      <w:jc w:val="center"/>
    </w:pPr>
    <w:rPr>
      <w:b/>
    </w:rPr>
  </w:style>
  <w:style w:type="paragraph" w:customStyle="1" w:styleId="Statutprliminaire">
    <w:name w:val="Statut (préliminaire)"/>
    <w:basedOn w:val="Normal"/>
    <w:next w:val="Normal"/>
    <w:rsid w:val="00BE7E05"/>
    <w:pPr>
      <w:spacing w:before="360" w:after="0"/>
      <w:jc w:val="center"/>
    </w:pPr>
  </w:style>
  <w:style w:type="paragraph" w:customStyle="1" w:styleId="Titreobjetprliminaire">
    <w:name w:val="Titre objet (préliminaire)"/>
    <w:basedOn w:val="Normal"/>
    <w:next w:val="Normal"/>
    <w:rsid w:val="00BE7E05"/>
    <w:pPr>
      <w:spacing w:before="360" w:after="360"/>
      <w:jc w:val="center"/>
    </w:pPr>
    <w:rPr>
      <w:b/>
    </w:rPr>
  </w:style>
  <w:style w:type="paragraph" w:customStyle="1" w:styleId="Typedudocumentprliminaire">
    <w:name w:val="Type du document (préliminaire)"/>
    <w:basedOn w:val="Normal"/>
    <w:next w:val="Normal"/>
    <w:rsid w:val="00BE7E05"/>
    <w:pPr>
      <w:spacing w:before="360" w:after="0"/>
      <w:jc w:val="center"/>
    </w:pPr>
    <w:rPr>
      <w:b/>
    </w:rPr>
  </w:style>
  <w:style w:type="paragraph" w:customStyle="1" w:styleId="Fichefinancirestandardtitre">
    <w:name w:val="Fiche financière (standard) titre"/>
    <w:basedOn w:val="Normal"/>
    <w:next w:val="Normal"/>
    <w:rsid w:val="00BE7E05"/>
    <w:pPr>
      <w:jc w:val="center"/>
    </w:pPr>
    <w:rPr>
      <w:b/>
      <w:u w:val="single"/>
    </w:rPr>
  </w:style>
  <w:style w:type="paragraph" w:customStyle="1" w:styleId="Fichefinancirestandardtitreacte">
    <w:name w:val="Fiche financière (standard) titre (acte)"/>
    <w:basedOn w:val="Normal"/>
    <w:next w:val="Normal"/>
    <w:rsid w:val="00BE7E05"/>
    <w:pPr>
      <w:jc w:val="center"/>
    </w:pPr>
    <w:rPr>
      <w:b/>
      <w:u w:val="single"/>
    </w:rPr>
  </w:style>
  <w:style w:type="paragraph" w:customStyle="1" w:styleId="Fichefinanciretravailtitre">
    <w:name w:val="Fiche financière (travail) titre"/>
    <w:basedOn w:val="Normal"/>
    <w:next w:val="Normal"/>
    <w:rsid w:val="00BE7E05"/>
    <w:pPr>
      <w:jc w:val="center"/>
    </w:pPr>
    <w:rPr>
      <w:b/>
      <w:u w:val="single"/>
    </w:rPr>
  </w:style>
  <w:style w:type="paragraph" w:customStyle="1" w:styleId="Fichefinanciretravailtitreacte">
    <w:name w:val="Fiche financière (travail) titre (acte)"/>
    <w:basedOn w:val="Normal"/>
    <w:next w:val="Normal"/>
    <w:rsid w:val="00BE7E05"/>
    <w:pPr>
      <w:jc w:val="center"/>
    </w:pPr>
    <w:rPr>
      <w:b/>
      <w:u w:val="single"/>
    </w:rPr>
  </w:style>
  <w:style w:type="paragraph" w:customStyle="1" w:styleId="Fichefinancireattributiontitre">
    <w:name w:val="Fiche financière (attribution) titre"/>
    <w:basedOn w:val="Normal"/>
    <w:next w:val="Normal"/>
    <w:rsid w:val="00BE7E05"/>
    <w:pPr>
      <w:jc w:val="center"/>
    </w:pPr>
    <w:rPr>
      <w:b/>
      <w:u w:val="single"/>
    </w:rPr>
  </w:style>
  <w:style w:type="paragraph" w:customStyle="1" w:styleId="Fichefinancireattributiontitreacte">
    <w:name w:val="Fiche financière (attribution) titre (acte)"/>
    <w:basedOn w:val="Normal"/>
    <w:next w:val="Normal"/>
    <w:rsid w:val="00BE7E05"/>
    <w:pPr>
      <w:jc w:val="center"/>
    </w:pPr>
    <w:rPr>
      <w:b/>
      <w:u w:val="single"/>
    </w:rPr>
  </w:style>
  <w:style w:type="character" w:styleId="CommentReference">
    <w:name w:val="annotation reference"/>
    <w:uiPriority w:val="99"/>
    <w:rsid w:val="00BE7E05"/>
    <w:rPr>
      <w:rFonts w:cs="Times New Roman"/>
      <w:sz w:val="16"/>
    </w:rPr>
  </w:style>
  <w:style w:type="paragraph" w:styleId="CommentText">
    <w:name w:val="annotation text"/>
    <w:basedOn w:val="Normal"/>
    <w:link w:val="CommentTextChar"/>
    <w:uiPriority w:val="99"/>
    <w:rsid w:val="00BE7E05"/>
    <w:rPr>
      <w:sz w:val="20"/>
    </w:rPr>
  </w:style>
  <w:style w:type="character" w:customStyle="1" w:styleId="CommentTextChar">
    <w:name w:val="Comment Text Char"/>
    <w:basedOn w:val="DefaultParagraphFont"/>
    <w:link w:val="CommentText"/>
    <w:uiPriority w:val="99"/>
    <w:rsid w:val="00BE7E05"/>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rsid w:val="00BE7E05"/>
    <w:rPr>
      <w:b/>
    </w:rPr>
  </w:style>
  <w:style w:type="character" w:customStyle="1" w:styleId="CommentSubjectChar">
    <w:name w:val="Comment Subject Char"/>
    <w:basedOn w:val="CommentTextChar"/>
    <w:link w:val="CommentSubject"/>
    <w:uiPriority w:val="99"/>
    <w:rsid w:val="00BE7E05"/>
    <w:rPr>
      <w:rFonts w:ascii="Times New Roman" w:eastAsia="Times New Roman" w:hAnsi="Times New Roman" w:cs="Times New Roman"/>
      <w:b/>
      <w:sz w:val="20"/>
    </w:rPr>
  </w:style>
  <w:style w:type="paragraph" w:styleId="BalloonText">
    <w:name w:val="Balloon Text"/>
    <w:basedOn w:val="Normal"/>
    <w:link w:val="BalloonTextChar"/>
    <w:uiPriority w:val="99"/>
    <w:rsid w:val="00BE7E05"/>
    <w:rPr>
      <w:rFonts w:ascii="MS Mincho" w:eastAsia="Calibri" w:hAnsi="MS Mincho" w:cs="MS Mincho"/>
      <w:sz w:val="16"/>
    </w:rPr>
  </w:style>
  <w:style w:type="character" w:customStyle="1" w:styleId="BalloonTextChar">
    <w:name w:val="Balloon Text Char"/>
    <w:basedOn w:val="DefaultParagraphFont"/>
    <w:link w:val="BalloonText"/>
    <w:uiPriority w:val="99"/>
    <w:rsid w:val="00BE7E05"/>
    <w:rPr>
      <w:rFonts w:ascii="MS Mincho" w:eastAsia="Calibri" w:hAnsi="MS Mincho" w:cs="MS Mincho"/>
      <w:sz w:val="16"/>
    </w:rPr>
  </w:style>
  <w:style w:type="paragraph" w:styleId="Caption">
    <w:name w:val="caption"/>
    <w:basedOn w:val="Normal"/>
    <w:next w:val="Normal"/>
    <w:qFormat/>
    <w:rsid w:val="00BE7E05"/>
    <w:rPr>
      <w:b/>
      <w:sz w:val="20"/>
    </w:rPr>
  </w:style>
  <w:style w:type="paragraph" w:styleId="TableofFigures">
    <w:name w:val="table of figures"/>
    <w:basedOn w:val="Normal"/>
    <w:next w:val="Normal"/>
    <w:rsid w:val="00BE7E05"/>
  </w:style>
  <w:style w:type="character" w:styleId="PageNumber">
    <w:name w:val="page number"/>
    <w:rsid w:val="00BE7E05"/>
  </w:style>
  <w:style w:type="character" w:customStyle="1" w:styleId="tw4winMark">
    <w:name w:val="tw4winMark"/>
    <w:rsid w:val="00BE7E05"/>
    <w:rPr>
      <w:vanish/>
      <w:color w:val="800080"/>
      <w:vertAlign w:val="subscript"/>
    </w:rPr>
  </w:style>
  <w:style w:type="character" w:styleId="FollowedHyperlink">
    <w:name w:val="FollowedHyperlink"/>
    <w:uiPriority w:val="99"/>
    <w:rsid w:val="00BE7E05"/>
    <w:rPr>
      <w:color w:val="800080"/>
      <w:u w:val="single"/>
    </w:rPr>
  </w:style>
  <w:style w:type="paragraph" w:customStyle="1" w:styleId="Sous-titreobjet">
    <w:name w:val="Sous-titre objet"/>
    <w:basedOn w:val="Normal"/>
    <w:rsid w:val="00BE7E05"/>
    <w:pPr>
      <w:spacing w:before="0" w:after="0"/>
      <w:jc w:val="center"/>
    </w:pPr>
    <w:rPr>
      <w:b/>
    </w:rPr>
  </w:style>
  <w:style w:type="paragraph" w:customStyle="1" w:styleId="Sous-titreobjetPagedecouverture">
    <w:name w:val="Sous-titre objet (Page de couverture)"/>
    <w:basedOn w:val="Sous-titreobjet"/>
    <w:rsid w:val="00BE7E05"/>
  </w:style>
  <w:style w:type="paragraph" w:styleId="Revision">
    <w:name w:val="Revision"/>
    <w:hidden/>
    <w:uiPriority w:val="99"/>
    <w:semiHidden/>
    <w:rsid w:val="00BE7E05"/>
    <w:rPr>
      <w:rFonts w:ascii="Arial Narrow" w:eastAsia="Arial Narrow" w:hAnsi="Arial Narrow" w:cs="Calibri"/>
      <w:sz w:val="24"/>
    </w:rPr>
  </w:style>
  <w:style w:type="paragraph" w:customStyle="1" w:styleId="FooterCoverPage">
    <w:name w:val="Footer Cover Page"/>
    <w:basedOn w:val="Normal"/>
    <w:link w:val="FooterCoverPageChar"/>
    <w:rsid w:val="00BE7E05"/>
    <w:pPr>
      <w:tabs>
        <w:tab w:val="center" w:pos="4535"/>
        <w:tab w:val="right" w:pos="9071"/>
        <w:tab w:val="right" w:pos="9921"/>
      </w:tabs>
      <w:spacing w:before="360" w:after="0"/>
      <w:ind w:left="-850" w:right="-850"/>
      <w:jc w:val="left"/>
    </w:pPr>
  </w:style>
  <w:style w:type="character" w:customStyle="1" w:styleId="TOCHeadingChar">
    <w:name w:val="TOC Heading Char"/>
    <w:uiPriority w:val="39"/>
    <w:rsid w:val="00BE7E05"/>
    <w:rPr>
      <w:rFonts w:ascii="Times New Roman" w:hAnsi="Times New Roman" w:cs="Times New Roman"/>
      <w:b/>
      <w:sz w:val="28"/>
    </w:rPr>
  </w:style>
  <w:style w:type="character" w:customStyle="1" w:styleId="FooterCoverPageChar">
    <w:name w:val="Footer Cover Page Char"/>
    <w:link w:val="FooterCoverPage"/>
    <w:rsid w:val="00BE7E05"/>
    <w:rPr>
      <w:rFonts w:ascii="Times New Roman" w:eastAsia="Calibri" w:hAnsi="Times New Roman" w:cs="Times New Roman"/>
      <w:sz w:val="24"/>
    </w:rPr>
  </w:style>
  <w:style w:type="paragraph" w:customStyle="1" w:styleId="HeaderCoverPage">
    <w:name w:val="Header Cover Page"/>
    <w:basedOn w:val="Normal"/>
    <w:link w:val="HeaderCoverPageChar"/>
    <w:rsid w:val="00BE7E05"/>
    <w:pPr>
      <w:tabs>
        <w:tab w:val="center" w:pos="4535"/>
        <w:tab w:val="right" w:pos="9071"/>
      </w:tabs>
      <w:spacing w:before="0"/>
    </w:pPr>
  </w:style>
  <w:style w:type="character" w:customStyle="1" w:styleId="HeaderCoverPageChar">
    <w:name w:val="Header Cover Page Char"/>
    <w:link w:val="HeaderCoverPage"/>
    <w:rsid w:val="00BE7E05"/>
    <w:rPr>
      <w:rFonts w:ascii="Times New Roman" w:eastAsia="Calibri" w:hAnsi="Times New Roman" w:cs="Times New Roman"/>
      <w:sz w:val="24"/>
    </w:rPr>
  </w:style>
  <w:style w:type="character" w:customStyle="1" w:styleId="FooterSensitivityChar">
    <w:name w:val="Footer Sensitivity Char"/>
    <w:rsid w:val="00BE7E05"/>
    <w:rPr>
      <w:rFonts w:ascii="Calibri" w:hAnsi="Calibri" w:cs="Calibri"/>
      <w:b/>
      <w:sz w:val="32"/>
    </w:rPr>
  </w:style>
  <w:style w:type="character" w:customStyle="1" w:styleId="HeaderSensitivityChar">
    <w:name w:val="Header Sensitivity Char"/>
    <w:rsid w:val="00BE7E05"/>
    <w:rPr>
      <w:rFonts w:ascii="Calibri" w:hAnsi="Calibri" w:cs="Calibri"/>
      <w:b/>
      <w:sz w:val="32"/>
    </w:rPr>
  </w:style>
  <w:style w:type="character" w:customStyle="1" w:styleId="HeaderSensitivityRightChar">
    <w:name w:val="Header Sensitivity Right Char"/>
    <w:rsid w:val="00BE7E05"/>
    <w:rPr>
      <w:rFonts w:ascii="Calibri" w:hAnsi="Calibri" w:cs="Calibri"/>
      <w:sz w:val="28"/>
    </w:rPr>
  </w:style>
  <w:style w:type="paragraph" w:customStyle="1" w:styleId="paragraph">
    <w:name w:val="paragraph"/>
    <w:basedOn w:val="Normal"/>
    <w:rsid w:val="008C7F36"/>
    <w:pPr>
      <w:spacing w:before="100" w:beforeAutospacing="1" w:after="100" w:afterAutospacing="1"/>
      <w:jc w:val="left"/>
    </w:pPr>
  </w:style>
  <w:style w:type="character" w:customStyle="1" w:styleId="normaltextrun">
    <w:name w:val="normaltextrun"/>
    <w:basedOn w:val="DefaultParagraphFont"/>
    <w:rsid w:val="008C7F36"/>
  </w:style>
  <w:style w:type="character" w:customStyle="1" w:styleId="eop">
    <w:name w:val="eop"/>
    <w:basedOn w:val="DefaultParagraphFont"/>
    <w:rsid w:val="008C7F36"/>
  </w:style>
  <w:style w:type="character" w:customStyle="1" w:styleId="superscript">
    <w:name w:val="superscript"/>
    <w:basedOn w:val="DefaultParagraphFont"/>
    <w:rsid w:val="008C7F36"/>
  </w:style>
  <w:style w:type="paragraph" w:styleId="ListParagraph">
    <w:name w:val="List Paragraph"/>
    <w:basedOn w:val="Normal"/>
    <w:uiPriority w:val="34"/>
    <w:qFormat/>
    <w:pPr>
      <w:ind w:left="720"/>
      <w:contextualSpacing/>
    </w:pPr>
  </w:style>
  <w:style w:type="character" w:customStyle="1" w:styleId="Heading8Char">
    <w:name w:val="Heading 8 Char"/>
    <w:basedOn w:val="DefaultParagraphFont"/>
    <w:link w:val="Heading8"/>
    <w:uiPriority w:val="9"/>
    <w:rsid w:val="009123CF"/>
    <w:rPr>
      <w:rFonts w:asciiTheme="majorHAnsi" w:eastAsiaTheme="majorEastAsia" w:hAnsiTheme="majorHAnsi" w:cstheme="majorBidi"/>
      <w:color w:val="272727"/>
      <w:sz w:val="21"/>
    </w:rPr>
  </w:style>
  <w:style w:type="character" w:customStyle="1" w:styleId="Heading9Char">
    <w:name w:val="Heading 9 Char"/>
    <w:basedOn w:val="DefaultParagraphFont"/>
    <w:link w:val="Heading9"/>
    <w:uiPriority w:val="9"/>
    <w:rsid w:val="009123CF"/>
    <w:rPr>
      <w:rFonts w:asciiTheme="majorHAnsi" w:eastAsiaTheme="majorEastAsia" w:hAnsiTheme="majorHAnsi" w:cstheme="majorBidi"/>
      <w:i/>
      <w:color w:val="272727"/>
      <w:sz w:val="21"/>
    </w:rPr>
  </w:style>
  <w:style w:type="paragraph" w:customStyle="1" w:styleId="Normal1">
    <w:name w:val="Normal1"/>
    <w:basedOn w:val="Normal"/>
    <w:rsid w:val="009123CF"/>
    <w:pPr>
      <w:spacing w:beforeAutospacing="1" w:afterAutospacing="1" w:line="276" w:lineRule="auto"/>
      <w:jc w:val="left"/>
    </w:pPr>
  </w:style>
  <w:style w:type="paragraph" w:customStyle="1" w:styleId="Articletitle">
    <w:name w:val="Article title"/>
    <w:basedOn w:val="Normal"/>
    <w:rsid w:val="009123CF"/>
    <w:pPr>
      <w:spacing w:line="276" w:lineRule="auto"/>
    </w:pPr>
  </w:style>
  <w:style w:type="paragraph" w:customStyle="1" w:styleId="Titreaarticle">
    <w:name w:val="Titre aarticle"/>
    <w:basedOn w:val="Articletitle"/>
    <w:rsid w:val="009123CF"/>
  </w:style>
  <w:style w:type="paragraph" w:customStyle="1" w:styleId="Titresection">
    <w:name w:val="Titre section"/>
    <w:basedOn w:val="Normal"/>
    <w:rsid w:val="009123CF"/>
    <w:pPr>
      <w:spacing w:line="276" w:lineRule="auto"/>
      <w:jc w:val="center"/>
    </w:pPr>
    <w:rPr>
      <w:i/>
    </w:rPr>
  </w:style>
  <w:style w:type="paragraph" w:customStyle="1" w:styleId="Titrearticme">
    <w:name w:val="Titre articme"/>
    <w:basedOn w:val="Text1"/>
    <w:rsid w:val="009123CF"/>
    <w:pPr>
      <w:spacing w:line="276" w:lineRule="auto"/>
    </w:pPr>
  </w:style>
  <w:style w:type="paragraph" w:customStyle="1" w:styleId="Manuaelnumpar1">
    <w:name w:val="Manuael numpar 1"/>
    <w:basedOn w:val="Text1"/>
    <w:rsid w:val="009123CF"/>
    <w:pPr>
      <w:spacing w:line="276" w:lineRule="auto"/>
    </w:pPr>
  </w:style>
  <w:style w:type="paragraph" w:customStyle="1" w:styleId="Default">
    <w:name w:val="Default"/>
    <w:rsid w:val="009123CF"/>
    <w:pPr>
      <w:autoSpaceDE w:val="0"/>
      <w:autoSpaceDN w:val="0"/>
      <w:adjustRightInd w:val="0"/>
      <w:spacing w:after="0" w:line="240" w:lineRule="auto"/>
    </w:pPr>
    <w:rPr>
      <w:rFonts w:ascii="Calibri" w:hAnsi="Calibri" w:cs="Calibri"/>
      <w:sz w:val="24"/>
    </w:rPr>
  </w:style>
  <w:style w:type="paragraph" w:customStyle="1" w:styleId="Text">
    <w:name w:val="Text"/>
    <w:basedOn w:val="Text1"/>
    <w:rsid w:val="009123CF"/>
    <w:pPr>
      <w:spacing w:line="276" w:lineRule="auto"/>
    </w:pPr>
  </w:style>
  <w:style w:type="paragraph" w:styleId="Title">
    <w:name w:val="Title"/>
    <w:basedOn w:val="Normal"/>
    <w:next w:val="Normal"/>
    <w:link w:val="TitleChar"/>
    <w:uiPriority w:val="10"/>
    <w:qFormat/>
    <w:rsid w:val="009123CF"/>
    <w:pPr>
      <w:spacing w:after="0" w:line="276" w:lineRule="auto"/>
      <w:contextualSpacing/>
    </w:pPr>
    <w:rPr>
      <w:rFonts w:asciiTheme="majorHAnsi" w:eastAsiaTheme="majorEastAsia" w:hAnsiTheme="majorHAnsi" w:cstheme="majorBidi"/>
      <w:sz w:val="56"/>
    </w:rPr>
  </w:style>
  <w:style w:type="character" w:customStyle="1" w:styleId="TitleChar">
    <w:name w:val="Title Char"/>
    <w:basedOn w:val="DefaultParagraphFont"/>
    <w:link w:val="Title"/>
    <w:uiPriority w:val="10"/>
    <w:rsid w:val="009123CF"/>
    <w:rPr>
      <w:rFonts w:asciiTheme="majorHAnsi" w:eastAsiaTheme="majorEastAsia" w:hAnsiTheme="majorHAnsi" w:cstheme="majorBidi"/>
      <w:sz w:val="56"/>
    </w:rPr>
  </w:style>
  <w:style w:type="paragraph" w:styleId="Subtitle">
    <w:name w:val="Subtitle"/>
    <w:basedOn w:val="Normal"/>
    <w:next w:val="Normal"/>
    <w:link w:val="SubtitleChar"/>
    <w:uiPriority w:val="11"/>
    <w:qFormat/>
    <w:rsid w:val="009123CF"/>
    <w:pPr>
      <w:spacing w:line="276" w:lineRule="auto"/>
    </w:pPr>
    <w:rPr>
      <w:rFonts w:eastAsiaTheme="minorEastAsia"/>
      <w:color w:val="5A5A5A"/>
    </w:rPr>
  </w:style>
  <w:style w:type="character" w:customStyle="1" w:styleId="SubtitleChar">
    <w:name w:val="Subtitle Char"/>
    <w:basedOn w:val="DefaultParagraphFont"/>
    <w:link w:val="Subtitle"/>
    <w:uiPriority w:val="11"/>
    <w:rsid w:val="009123CF"/>
    <w:rPr>
      <w:rFonts w:ascii="Calibri" w:eastAsiaTheme="minorEastAsia" w:hAnsi="Calibri" w:cs="Calibri"/>
      <w:color w:val="5A5A5A"/>
      <w:sz w:val="24"/>
    </w:rPr>
  </w:style>
  <w:style w:type="paragraph" w:styleId="Quote">
    <w:name w:val="Quote"/>
    <w:basedOn w:val="Normal"/>
    <w:next w:val="Normal"/>
    <w:link w:val="QuoteChar"/>
    <w:uiPriority w:val="29"/>
    <w:qFormat/>
    <w:rsid w:val="009123CF"/>
    <w:pPr>
      <w:spacing w:before="200" w:line="276" w:lineRule="auto"/>
      <w:ind w:left="864" w:right="864"/>
      <w:jc w:val="center"/>
    </w:pPr>
    <w:rPr>
      <w:i/>
      <w:color w:val="404040" w:themeColor="text1" w:themeTint="BF"/>
    </w:rPr>
  </w:style>
  <w:style w:type="character" w:customStyle="1" w:styleId="QuoteChar">
    <w:name w:val="Quote Char"/>
    <w:basedOn w:val="DefaultParagraphFont"/>
    <w:link w:val="Quote"/>
    <w:uiPriority w:val="29"/>
    <w:rsid w:val="009123CF"/>
    <w:rPr>
      <w:rFonts w:ascii="Calibri" w:hAnsi="Calibri" w:cs="Calibri"/>
      <w:i/>
      <w:color w:val="404040" w:themeColor="text1" w:themeTint="BF"/>
      <w:sz w:val="24"/>
    </w:rPr>
  </w:style>
  <w:style w:type="paragraph" w:styleId="IntenseQuote">
    <w:name w:val="Intense Quote"/>
    <w:basedOn w:val="Normal"/>
    <w:next w:val="Normal"/>
    <w:link w:val="IntenseQuoteChar"/>
    <w:uiPriority w:val="30"/>
    <w:qFormat/>
    <w:rsid w:val="009123CF"/>
    <w:pPr>
      <w:spacing w:before="360" w:after="360" w:line="276" w:lineRule="auto"/>
      <w:ind w:left="864" w:right="864"/>
      <w:jc w:val="center"/>
    </w:pPr>
    <w:rPr>
      <w:i/>
      <w:color w:val="4F81BD" w:themeColor="accent1"/>
    </w:rPr>
  </w:style>
  <w:style w:type="character" w:customStyle="1" w:styleId="IntenseQuoteChar">
    <w:name w:val="Intense Quote Char"/>
    <w:basedOn w:val="DefaultParagraphFont"/>
    <w:link w:val="IntenseQuote"/>
    <w:uiPriority w:val="30"/>
    <w:rsid w:val="009123CF"/>
    <w:rPr>
      <w:rFonts w:ascii="Calibri" w:hAnsi="Calibri" w:cs="Calibri"/>
      <w:i/>
      <w:color w:val="4F81BD" w:themeColor="accent1"/>
      <w:sz w:val="24"/>
    </w:rPr>
  </w:style>
  <w:style w:type="paragraph" w:styleId="EndnoteText">
    <w:name w:val="endnote text"/>
    <w:basedOn w:val="Normal"/>
    <w:link w:val="EndnoteTextChar"/>
    <w:uiPriority w:val="99"/>
    <w:semiHidden/>
    <w:unhideWhenUsed/>
    <w:rsid w:val="009123CF"/>
    <w:pPr>
      <w:spacing w:after="0" w:line="276" w:lineRule="auto"/>
    </w:pPr>
    <w:rPr>
      <w:sz w:val="20"/>
    </w:rPr>
  </w:style>
  <w:style w:type="character" w:customStyle="1" w:styleId="EndnoteTextChar">
    <w:name w:val="Endnote Text Char"/>
    <w:basedOn w:val="DefaultParagraphFont"/>
    <w:link w:val="EndnoteText"/>
    <w:uiPriority w:val="99"/>
    <w:semiHidden/>
    <w:rsid w:val="009123CF"/>
    <w:rPr>
      <w:rFonts w:ascii="Calibri" w:hAnsi="Calibri" w:cs="Calibri"/>
      <w:sz w:val="20"/>
    </w:rPr>
  </w:style>
  <w:style w:type="paragraph" w:customStyle="1" w:styleId="ti-art">
    <w:name w:val="ti-art"/>
    <w:basedOn w:val="Normal"/>
    <w:rsid w:val="009123CF"/>
    <w:pPr>
      <w:spacing w:before="100" w:beforeAutospacing="1" w:after="100" w:afterAutospacing="1"/>
      <w:jc w:val="left"/>
    </w:pPr>
  </w:style>
  <w:style w:type="paragraph" w:customStyle="1" w:styleId="Normal2">
    <w:name w:val="Normal2"/>
    <w:basedOn w:val="Normal"/>
    <w:rsid w:val="009123CF"/>
    <w:pPr>
      <w:spacing w:before="100" w:beforeAutospacing="1" w:after="100" w:afterAutospacing="1"/>
      <w:jc w:val="left"/>
    </w:pPr>
  </w:style>
  <w:style w:type="paragraph" w:customStyle="1" w:styleId="CharCharChar1">
    <w:name w:val="Char Char Char1"/>
    <w:basedOn w:val="Normal"/>
    <w:link w:val="FootnoteReference"/>
    <w:uiPriority w:val="99"/>
    <w:rsid w:val="009123CF"/>
    <w:pPr>
      <w:spacing w:before="0" w:after="160" w:line="240" w:lineRule="exact"/>
    </w:pPr>
    <w:rPr>
      <w:rFonts w:asciiTheme="minorHAnsi" w:hAnsiTheme="minorHAnsi" w:cstheme="minorBidi"/>
      <w:sz w:val="22"/>
      <w:vertAlign w:val="superscript"/>
    </w:rPr>
  </w:style>
  <w:style w:type="paragraph" w:customStyle="1" w:styleId="msonormal0">
    <w:name w:val="msonormal"/>
    <w:basedOn w:val="Normal"/>
    <w:rsid w:val="009123CF"/>
    <w:pPr>
      <w:spacing w:before="100" w:beforeAutospacing="1" w:after="100" w:afterAutospacing="1"/>
      <w:jc w:val="left"/>
    </w:pPr>
  </w:style>
  <w:style w:type="character" w:customStyle="1" w:styleId="tabchar">
    <w:name w:val="tabchar"/>
    <w:basedOn w:val="DefaultParagraphFont"/>
    <w:rsid w:val="009123CF"/>
  </w:style>
  <w:style w:type="paragraph" w:customStyle="1" w:styleId="outlineelement">
    <w:name w:val="outlineelement"/>
    <w:basedOn w:val="Normal"/>
    <w:rsid w:val="009123CF"/>
    <w:pPr>
      <w:spacing w:before="100" w:beforeAutospacing="1" w:after="100" w:afterAutospacing="1"/>
      <w:jc w:val="left"/>
    </w:pPr>
  </w:style>
  <w:style w:type="paragraph" w:styleId="NormalWeb">
    <w:name w:val="Normal (Web)"/>
    <w:basedOn w:val="Normal"/>
    <w:uiPriority w:val="99"/>
    <w:semiHidden/>
    <w:unhideWhenUsed/>
    <w:rsid w:val="009123CF"/>
    <w:pPr>
      <w:spacing w:before="100" w:beforeAutospacing="1" w:after="100" w:afterAutospacing="1"/>
      <w:jc w:val="left"/>
    </w:pPr>
  </w:style>
  <w:style w:type="paragraph" w:customStyle="1" w:styleId="FootnoteReference1">
    <w:name w:val="Footnote Reference1"/>
    <w:basedOn w:val="Normal"/>
    <w:uiPriority w:val="99"/>
    <w:rsid w:val="009123CF"/>
    <w:pPr>
      <w:spacing w:before="0" w:after="160" w:line="240" w:lineRule="exact"/>
      <w:jc w:val="left"/>
    </w:pPr>
    <w:rPr>
      <w:rFonts w:asciiTheme="minorHAnsi" w:hAnsiTheme="minorHAnsi" w:cstheme="minorBidi"/>
      <w:sz w:val="22"/>
      <w:vertAlign w:val="superscript"/>
    </w:rPr>
  </w:style>
  <w:style w:type="character" w:customStyle="1" w:styleId="UnresolvedMention1">
    <w:name w:val="Unresolved Mention1"/>
    <w:basedOn w:val="DefaultParagraphFont"/>
    <w:uiPriority w:val="99"/>
    <w:unhideWhenUsed/>
    <w:rsid w:val="009123CF"/>
    <w:rPr>
      <w:color w:val="605E5C"/>
      <w:shd w:val="clear" w:color="auto" w:fill="E1DFDD"/>
    </w:rPr>
  </w:style>
  <w:style w:type="character" w:customStyle="1" w:styleId="Mention1">
    <w:name w:val="Mention1"/>
    <w:basedOn w:val="DefaultParagraphFont"/>
    <w:uiPriority w:val="99"/>
    <w:unhideWhenUsed/>
    <w:rsid w:val="009123CF"/>
    <w:rPr>
      <w:color w:val="2B579A"/>
      <w:shd w:val="clear" w:color="auto" w:fill="E1DFDD"/>
    </w:rPr>
  </w:style>
  <w:style w:type="character" w:customStyle="1" w:styleId="UnresolvedMention10">
    <w:name w:val="Unresolved Mention10"/>
    <w:basedOn w:val="DefaultParagraphFont"/>
    <w:uiPriority w:val="99"/>
    <w:unhideWhenUsed/>
    <w:rsid w:val="009123CF"/>
    <w:rPr>
      <w:color w:val="605E5C"/>
      <w:shd w:val="clear" w:color="auto" w:fill="E1DFDD"/>
    </w:rPr>
  </w:style>
  <w:style w:type="character" w:customStyle="1" w:styleId="Mention10">
    <w:name w:val="Mention10"/>
    <w:basedOn w:val="DefaultParagraphFont"/>
    <w:uiPriority w:val="99"/>
    <w:unhideWhenUsed/>
    <w:rsid w:val="009123CF"/>
    <w:rPr>
      <w:color w:val="2B579A"/>
      <w:shd w:val="clear" w:color="auto" w:fill="E1DFDD"/>
    </w:rPr>
  </w:style>
  <w:style w:type="paragraph" w:customStyle="1" w:styleId="TitleArticle">
    <w:name w:val="Title Article"/>
    <w:basedOn w:val="Text1"/>
    <w:rsid w:val="009123CF"/>
    <w:pPr>
      <w:jc w:val="center"/>
    </w:pPr>
    <w:rPr>
      <w:i/>
    </w:rPr>
  </w:style>
  <w:style w:type="character" w:customStyle="1" w:styleId="SmartLink1">
    <w:name w:val="SmartLink1"/>
    <w:basedOn w:val="DefaultParagraphFont"/>
    <w:uiPriority w:val="99"/>
    <w:semiHidden/>
    <w:unhideWhenUsed/>
    <w:rsid w:val="006418F9"/>
    <w:rPr>
      <w:color w:val="0000FF"/>
      <w:u w:val="single"/>
      <w:shd w:val="clear" w:color="auto" w:fill="F3F2F1"/>
    </w:rPr>
  </w:style>
  <w:style w:type="character" w:customStyle="1" w:styleId="UnresolvedMention2">
    <w:name w:val="Unresolved Mention2"/>
    <w:basedOn w:val="DefaultParagraphFont"/>
    <w:uiPriority w:val="99"/>
    <w:semiHidden/>
    <w:unhideWhenUsed/>
    <w:rsid w:val="00C739EE"/>
    <w:rPr>
      <w:color w:val="605E5C"/>
      <w:shd w:val="clear" w:color="auto" w:fill="E1DFDD"/>
    </w:rPr>
  </w:style>
  <w:style w:type="character" w:customStyle="1" w:styleId="UnresolvedMention3">
    <w:name w:val="Unresolved Mention3"/>
    <w:basedOn w:val="DefaultParagraphFont"/>
    <w:uiPriority w:val="99"/>
    <w:unhideWhenUsed/>
    <w:rsid w:val="00517F2D"/>
    <w:rPr>
      <w:color w:val="605E5C"/>
      <w:shd w:val="clear" w:color="auto" w:fill="E1DFDD"/>
    </w:rPr>
  </w:style>
  <w:style w:type="character" w:customStyle="1" w:styleId="Mention2">
    <w:name w:val="Mention2"/>
    <w:basedOn w:val="DefaultParagraphFont"/>
    <w:uiPriority w:val="99"/>
    <w:unhideWhenUsed/>
    <w:rsid w:val="00517F2D"/>
    <w:rPr>
      <w:color w:val="2B579A"/>
      <w:shd w:val="clear" w:color="auto" w:fill="E1DFDD"/>
    </w:rPr>
  </w:style>
  <w:style w:type="character" w:customStyle="1" w:styleId="UnresolvedMention4">
    <w:name w:val="Unresolved Mention4"/>
    <w:basedOn w:val="DefaultParagraphFont"/>
    <w:uiPriority w:val="99"/>
    <w:unhideWhenUsed/>
    <w:rsid w:val="00517F2D"/>
    <w:rPr>
      <w:color w:val="605E5C"/>
      <w:shd w:val="clear" w:color="auto" w:fill="E1DFDD"/>
    </w:rPr>
  </w:style>
  <w:style w:type="character" w:customStyle="1" w:styleId="Mention3">
    <w:name w:val="Mention3"/>
    <w:basedOn w:val="DefaultParagraphFont"/>
    <w:uiPriority w:val="99"/>
    <w:unhideWhenUsed/>
    <w:rsid w:val="00517F2D"/>
    <w:rPr>
      <w:color w:val="2B579A"/>
      <w:shd w:val="clear" w:color="auto" w:fill="E1DFDD"/>
    </w:rPr>
  </w:style>
  <w:style w:type="paragraph" w:customStyle="1" w:styleId="Num">
    <w:name w:val="Num"/>
    <w:basedOn w:val="ManualNumPar1"/>
    <w:rsid w:val="0051713F"/>
    <w:pPr>
      <w:numPr>
        <w:numId w:val="15"/>
      </w:numPr>
    </w:pPr>
  </w:style>
  <w:style w:type="paragraph" w:customStyle="1" w:styleId="N">
    <w:name w:val="N"/>
    <w:basedOn w:val="NumPar1"/>
    <w:rsid w:val="0051713F"/>
    <w:pPr>
      <w:tabs>
        <w:tab w:val="clear" w:pos="850"/>
      </w:tabs>
      <w:ind w:firstLine="0"/>
    </w:pPr>
  </w:style>
  <w:style w:type="character" w:customStyle="1" w:styleId="UnresolvedMention5">
    <w:name w:val="Unresolved Mention5"/>
    <w:basedOn w:val="DefaultParagraphFont"/>
    <w:uiPriority w:val="99"/>
    <w:unhideWhenUsed/>
    <w:rsid w:val="00907061"/>
    <w:rPr>
      <w:color w:val="605E5C"/>
      <w:shd w:val="clear" w:color="auto" w:fill="E1DFDD"/>
    </w:rPr>
  </w:style>
  <w:style w:type="character" w:customStyle="1" w:styleId="Mention4">
    <w:name w:val="Mention4"/>
    <w:basedOn w:val="DefaultParagraphFont"/>
    <w:uiPriority w:val="99"/>
    <w:unhideWhenUsed/>
    <w:rsid w:val="00907061"/>
    <w:rPr>
      <w:color w:val="2B579A"/>
      <w:shd w:val="clear" w:color="auto" w:fill="E1DFDD"/>
    </w:rPr>
  </w:style>
  <w:style w:type="character" w:customStyle="1" w:styleId="markedcontent">
    <w:name w:val="markedcontent"/>
    <w:basedOn w:val="DefaultParagraphFont"/>
    <w:rsid w:val="00BE1D2A"/>
  </w:style>
  <w:style w:type="paragraph" w:customStyle="1" w:styleId="market">
    <w:name w:val="market"/>
    <w:basedOn w:val="Normal"/>
    <w:rsid w:val="003D345A"/>
  </w:style>
  <w:style w:type="character" w:customStyle="1" w:styleId="Mention5">
    <w:name w:val="Mention5"/>
    <w:basedOn w:val="DefaultParagraphFont"/>
    <w:uiPriority w:val="99"/>
    <w:unhideWhenUsed/>
    <w:rsid w:val="007C0756"/>
    <w:rPr>
      <w:color w:val="2B579A"/>
      <w:shd w:val="clear" w:color="auto" w:fill="E1DFDD"/>
    </w:rPr>
  </w:style>
  <w:style w:type="character" w:customStyle="1" w:styleId="UnresolvedMention6">
    <w:name w:val="Unresolved Mention6"/>
    <w:basedOn w:val="DefaultParagraphFont"/>
    <w:uiPriority w:val="99"/>
    <w:unhideWhenUsed/>
    <w:rsid w:val="005F7116"/>
    <w:rPr>
      <w:color w:val="605E5C"/>
      <w:shd w:val="clear" w:color="auto" w:fill="E1DFDD"/>
    </w:rPr>
  </w:style>
  <w:style w:type="character" w:customStyle="1" w:styleId="UnresolvedMention7">
    <w:name w:val="Unresolved Mention7"/>
    <w:basedOn w:val="DefaultParagraphFont"/>
    <w:uiPriority w:val="99"/>
    <w:unhideWhenUsed/>
    <w:rsid w:val="002C5CAA"/>
    <w:rPr>
      <w:color w:val="605E5C"/>
      <w:shd w:val="clear" w:color="auto" w:fill="E1DFDD"/>
    </w:rPr>
  </w:style>
  <w:style w:type="character" w:customStyle="1" w:styleId="Mention6">
    <w:name w:val="Mention6"/>
    <w:basedOn w:val="DefaultParagraphFont"/>
    <w:uiPriority w:val="99"/>
    <w:unhideWhenUsed/>
    <w:rsid w:val="002C5CAA"/>
    <w:rPr>
      <w:color w:val="2B579A"/>
      <w:shd w:val="clear" w:color="auto" w:fill="E1DFDD"/>
    </w:rPr>
  </w:style>
  <w:style w:type="character" w:customStyle="1" w:styleId="UnresolvedMention8">
    <w:name w:val="Unresolved Mention8"/>
    <w:basedOn w:val="DefaultParagraphFont"/>
    <w:uiPriority w:val="99"/>
    <w:unhideWhenUsed/>
    <w:rsid w:val="00AD78B4"/>
    <w:rPr>
      <w:color w:val="605E5C"/>
      <w:shd w:val="clear" w:color="auto" w:fill="E1DFDD"/>
    </w:rPr>
  </w:style>
  <w:style w:type="character" w:customStyle="1" w:styleId="Mention7">
    <w:name w:val="Mention7"/>
    <w:basedOn w:val="DefaultParagraphFont"/>
    <w:uiPriority w:val="99"/>
    <w:unhideWhenUsed/>
    <w:rsid w:val="004A1449"/>
    <w:rPr>
      <w:color w:val="2B579A"/>
      <w:shd w:val="clear" w:color="auto" w:fill="E1DFDD"/>
    </w:rPr>
  </w:style>
  <w:style w:type="character" w:customStyle="1" w:styleId="UnresolvedMention9">
    <w:name w:val="Unresolved Mention9"/>
    <w:basedOn w:val="DefaultParagraphFont"/>
    <w:uiPriority w:val="99"/>
    <w:unhideWhenUsed/>
    <w:rsid w:val="00A13E85"/>
    <w:rPr>
      <w:color w:val="605E5C"/>
      <w:shd w:val="clear" w:color="auto" w:fill="E1DFDD"/>
    </w:rPr>
  </w:style>
  <w:style w:type="character" w:customStyle="1" w:styleId="Mention8">
    <w:name w:val="Mention8"/>
    <w:basedOn w:val="DefaultParagraphFont"/>
    <w:uiPriority w:val="99"/>
    <w:unhideWhenUsed/>
    <w:rsid w:val="00A13E85"/>
    <w:rPr>
      <w:color w:val="2B579A"/>
      <w:shd w:val="clear" w:color="auto" w:fill="E1DFDD"/>
    </w:rPr>
  </w:style>
  <w:style w:type="character" w:customStyle="1" w:styleId="UnresolvedMention11">
    <w:name w:val="Unresolved Mention11"/>
    <w:basedOn w:val="DefaultParagraphFont"/>
    <w:uiPriority w:val="99"/>
    <w:unhideWhenUsed/>
    <w:rsid w:val="00B861ED"/>
    <w:rPr>
      <w:color w:val="605E5C"/>
      <w:shd w:val="clear" w:color="auto" w:fill="E1DFDD"/>
    </w:rPr>
  </w:style>
  <w:style w:type="character" w:customStyle="1" w:styleId="Mention9">
    <w:name w:val="Mention9"/>
    <w:basedOn w:val="DefaultParagraphFont"/>
    <w:uiPriority w:val="99"/>
    <w:unhideWhenUsed/>
    <w:rsid w:val="00B861ED"/>
    <w:rPr>
      <w:color w:val="2B579A"/>
      <w:shd w:val="clear" w:color="auto" w:fill="E1DFDD"/>
    </w:rPr>
  </w:style>
  <w:style w:type="paragraph" w:customStyle="1" w:styleId="NumPar">
    <w:name w:val="Num Par"/>
    <w:basedOn w:val="Text1"/>
    <w:rsid w:val="00B861ED"/>
  </w:style>
  <w:style w:type="character" w:customStyle="1" w:styleId="Mention110">
    <w:name w:val="Mention110"/>
    <w:basedOn w:val="DefaultParagraphFont"/>
    <w:uiPriority w:val="99"/>
    <w:unhideWhenUsed/>
    <w:rsid w:val="00B7413D"/>
    <w:rPr>
      <w:color w:val="2B579A"/>
      <w:shd w:val="clear" w:color="auto" w:fill="E1DFDD"/>
    </w:rPr>
  </w:style>
  <w:style w:type="character" w:customStyle="1" w:styleId="UnresolvedMention12">
    <w:name w:val="Unresolved Mention12"/>
    <w:basedOn w:val="DefaultParagraphFont"/>
    <w:uiPriority w:val="99"/>
    <w:unhideWhenUsed/>
    <w:rsid w:val="00B53ED6"/>
    <w:rPr>
      <w:color w:val="605E5C"/>
      <w:shd w:val="clear" w:color="auto" w:fill="E1DFDD"/>
    </w:rPr>
  </w:style>
  <w:style w:type="character" w:customStyle="1" w:styleId="Mention11">
    <w:name w:val="Mention11"/>
    <w:basedOn w:val="DefaultParagraphFont"/>
    <w:uiPriority w:val="99"/>
    <w:unhideWhenUsed/>
    <w:rsid w:val="00960BA2"/>
    <w:rPr>
      <w:color w:val="2B579A"/>
      <w:shd w:val="clear" w:color="auto" w:fill="E6E6E6"/>
    </w:rPr>
  </w:style>
  <w:style w:type="character" w:customStyle="1" w:styleId="UnresolvedMention13">
    <w:name w:val="Unresolved Mention13"/>
    <w:basedOn w:val="DefaultParagraphFont"/>
    <w:uiPriority w:val="99"/>
    <w:semiHidden/>
    <w:unhideWhenUsed/>
    <w:rsid w:val="00A110CF"/>
    <w:rPr>
      <w:color w:val="605E5C"/>
      <w:shd w:val="clear" w:color="auto" w:fill="E1DFDD"/>
    </w:rPr>
  </w:style>
  <w:style w:type="character" w:customStyle="1" w:styleId="UnresolvedMention14">
    <w:name w:val="Unresolved Mention14"/>
    <w:basedOn w:val="DefaultParagraphFont"/>
    <w:uiPriority w:val="99"/>
    <w:unhideWhenUsed/>
    <w:rsid w:val="00D1075A"/>
    <w:rPr>
      <w:color w:val="605E5C"/>
      <w:shd w:val="clear" w:color="auto" w:fill="E1DFDD"/>
    </w:rPr>
  </w:style>
  <w:style w:type="character" w:customStyle="1" w:styleId="Mention12">
    <w:name w:val="Mention12"/>
    <w:basedOn w:val="DefaultParagraphFont"/>
    <w:uiPriority w:val="99"/>
    <w:unhideWhenUsed/>
    <w:rsid w:val="00D1075A"/>
    <w:rPr>
      <w:color w:val="2B579A"/>
      <w:shd w:val="clear" w:color="auto" w:fill="E1DFDD"/>
    </w:rPr>
  </w:style>
  <w:style w:type="character" w:customStyle="1" w:styleId="UnresolvedMention15">
    <w:name w:val="Unresolved Mention15"/>
    <w:basedOn w:val="DefaultParagraphFont"/>
    <w:uiPriority w:val="99"/>
    <w:unhideWhenUsed/>
    <w:rsid w:val="00571DDE"/>
    <w:rPr>
      <w:color w:val="605E5C"/>
      <w:shd w:val="clear" w:color="auto" w:fill="E1DFDD"/>
    </w:rPr>
  </w:style>
  <w:style w:type="character" w:customStyle="1" w:styleId="Mention13">
    <w:name w:val="Mention13"/>
    <w:basedOn w:val="DefaultParagraphFont"/>
    <w:uiPriority w:val="99"/>
    <w:unhideWhenUsed/>
    <w:rsid w:val="00571DDE"/>
    <w:rPr>
      <w:color w:val="2B579A"/>
      <w:shd w:val="clear" w:color="auto" w:fill="E1DFDD"/>
    </w:rPr>
  </w:style>
  <w:style w:type="character" w:customStyle="1" w:styleId="UnresolvedMention16">
    <w:name w:val="Unresolved Mention16"/>
    <w:basedOn w:val="DefaultParagraphFont"/>
    <w:uiPriority w:val="99"/>
    <w:unhideWhenUsed/>
    <w:rsid w:val="00A745A4"/>
    <w:rPr>
      <w:color w:val="605E5C"/>
      <w:shd w:val="clear" w:color="auto" w:fill="E1DFDD"/>
    </w:rPr>
  </w:style>
  <w:style w:type="character" w:customStyle="1" w:styleId="Mention14">
    <w:name w:val="Mention14"/>
    <w:basedOn w:val="DefaultParagraphFont"/>
    <w:uiPriority w:val="99"/>
    <w:unhideWhenUsed/>
    <w:rsid w:val="00A745A4"/>
    <w:rPr>
      <w:color w:val="2B579A"/>
      <w:shd w:val="clear" w:color="auto" w:fill="E1DFDD"/>
    </w:rPr>
  </w:style>
  <w:style w:type="character" w:customStyle="1" w:styleId="Mention15">
    <w:name w:val="Mention15"/>
    <w:basedOn w:val="DefaultParagraphFont"/>
    <w:uiPriority w:val="99"/>
    <w:unhideWhenUsed/>
    <w:rsid w:val="00045892"/>
    <w:rPr>
      <w:color w:val="2B579A"/>
      <w:shd w:val="clear" w:color="auto" w:fill="E6E6E6"/>
    </w:rPr>
  </w:style>
  <w:style w:type="character" w:customStyle="1" w:styleId="Mention16">
    <w:name w:val="Mention16"/>
    <w:basedOn w:val="DefaultParagraphFont"/>
    <w:uiPriority w:val="99"/>
    <w:unhideWhenUsed/>
    <w:rsid w:val="0079067C"/>
    <w:rPr>
      <w:color w:val="2B579A"/>
      <w:shd w:val="clear" w:color="auto" w:fill="E1DFDD"/>
    </w:rPr>
  </w:style>
  <w:style w:type="paragraph" w:customStyle="1" w:styleId="ManualNumPar10">
    <w:name w:val="Manual NumPar 1"/>
    <w:basedOn w:val="Normal"/>
    <w:next w:val="Text1"/>
    <w:pPr>
      <w:ind w:left="850" w:hanging="850"/>
    </w:pPr>
  </w:style>
  <w:style w:type="character" w:customStyle="1" w:styleId="UnresolvedMention17">
    <w:name w:val="Unresolved Mention17"/>
    <w:basedOn w:val="DefaultParagraphFont"/>
    <w:uiPriority w:val="99"/>
    <w:semiHidden/>
    <w:unhideWhenUsed/>
    <w:rsid w:val="00485525"/>
    <w:rPr>
      <w:color w:val="605E5C"/>
      <w:shd w:val="clear" w:color="auto" w:fill="E1DFDD"/>
    </w:rPr>
  </w:style>
  <w:style w:type="character" w:customStyle="1" w:styleId="UnresolvedMention">
    <w:name w:val="Unresolved Mention"/>
    <w:basedOn w:val="DefaultParagraphFont"/>
    <w:uiPriority w:val="99"/>
    <w:semiHidden/>
    <w:unhideWhenUsed/>
    <w:rsid w:val="00C801ED"/>
    <w:rPr>
      <w:color w:val="605E5C"/>
      <w:shd w:val="clear" w:color="auto" w:fill="E1DFDD"/>
    </w:rPr>
  </w:style>
  <w:style w:type="paragraph" w:styleId="Header">
    <w:name w:val="header"/>
    <w:basedOn w:val="Normal"/>
    <w:link w:val="HeaderChar"/>
    <w:uiPriority w:val="99"/>
    <w:unhideWhenUsed/>
    <w:rsid w:val="002D57EB"/>
    <w:pPr>
      <w:tabs>
        <w:tab w:val="center" w:pos="4535"/>
        <w:tab w:val="right" w:pos="9071"/>
      </w:tabs>
      <w:spacing w:before="0"/>
    </w:pPr>
  </w:style>
  <w:style w:type="character" w:customStyle="1" w:styleId="HeaderChar">
    <w:name w:val="Header Char"/>
    <w:basedOn w:val="DefaultParagraphFont"/>
    <w:link w:val="Header"/>
    <w:uiPriority w:val="99"/>
    <w:rsid w:val="002D57EB"/>
    <w:rPr>
      <w:rFonts w:ascii="Times New Roman" w:hAnsi="Times New Roman" w:cs="Times New Roman"/>
      <w:sz w:val="24"/>
      <w:lang w:val="pl-PL"/>
    </w:rPr>
  </w:style>
  <w:style w:type="paragraph" w:styleId="Footer">
    <w:name w:val="footer"/>
    <w:basedOn w:val="Normal"/>
    <w:link w:val="FooterChar"/>
    <w:uiPriority w:val="99"/>
    <w:unhideWhenUsed/>
    <w:rsid w:val="002D57E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D57EB"/>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D57EB"/>
    <w:pPr>
      <w:tabs>
        <w:tab w:val="center" w:pos="7285"/>
        <w:tab w:val="right" w:pos="14003"/>
      </w:tabs>
      <w:spacing w:before="0"/>
    </w:pPr>
  </w:style>
  <w:style w:type="paragraph" w:customStyle="1" w:styleId="FooterLandscape">
    <w:name w:val="FooterLandscape"/>
    <w:basedOn w:val="Normal"/>
    <w:rsid w:val="002D57E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2D57E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D57EB"/>
    <w:pPr>
      <w:spacing w:before="0"/>
      <w:jc w:val="right"/>
    </w:pPr>
    <w:rPr>
      <w:sz w:val="28"/>
    </w:rPr>
  </w:style>
  <w:style w:type="paragraph" w:customStyle="1" w:styleId="FooterSensitivity">
    <w:name w:val="Footer Sensitivity"/>
    <w:basedOn w:val="Normal"/>
    <w:rsid w:val="002D57E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3"/>
      </w:numPr>
    </w:pPr>
  </w:style>
  <w:style w:type="paragraph" w:customStyle="1" w:styleId="Tiret1">
    <w:name w:val="Tiret 1"/>
    <w:basedOn w:val="Point1"/>
    <w:pPr>
      <w:numPr>
        <w:numId w:val="44"/>
      </w:numPr>
    </w:pPr>
  </w:style>
  <w:style w:type="paragraph" w:customStyle="1" w:styleId="Tiret2">
    <w:name w:val="Tiret 2"/>
    <w:basedOn w:val="Point2"/>
    <w:pPr>
      <w:numPr>
        <w:numId w:val="45"/>
      </w:numPr>
    </w:pPr>
  </w:style>
  <w:style w:type="paragraph" w:customStyle="1" w:styleId="Tiret3">
    <w:name w:val="Tiret 3"/>
    <w:basedOn w:val="Point3"/>
    <w:pPr>
      <w:numPr>
        <w:numId w:val="46"/>
      </w:numPr>
    </w:pPr>
  </w:style>
  <w:style w:type="paragraph" w:customStyle="1" w:styleId="Tiret4">
    <w:name w:val="Tiret 4"/>
    <w:basedOn w:val="Point4"/>
    <w:pPr>
      <w:numPr>
        <w:numId w:val="47"/>
      </w:numPr>
    </w:pPr>
  </w:style>
  <w:style w:type="paragraph" w:customStyle="1" w:styleId="Tiret5">
    <w:name w:val="Tiret 5"/>
    <w:basedOn w:val="Point5"/>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NumPar5">
    <w:name w:val="NumPar 5"/>
    <w:basedOn w:val="Normal"/>
    <w:next w:val="Text2"/>
    <w:pPr>
      <w:numPr>
        <w:ilvl w:val="4"/>
        <w:numId w:val="49"/>
      </w:numPr>
    </w:pPr>
  </w:style>
  <w:style w:type="paragraph" w:customStyle="1" w:styleId="NumPar6">
    <w:name w:val="NumPar 6"/>
    <w:basedOn w:val="Normal"/>
    <w:next w:val="Text2"/>
    <w:pPr>
      <w:numPr>
        <w:ilvl w:val="5"/>
        <w:numId w:val="49"/>
      </w:numPr>
    </w:pPr>
  </w:style>
  <w:style w:type="paragraph" w:customStyle="1" w:styleId="NumPar7">
    <w:name w:val="NumPar 7"/>
    <w:basedOn w:val="Normal"/>
    <w:next w:val="Text2"/>
    <w:pPr>
      <w:numPr>
        <w:ilvl w:val="6"/>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927EEB"/>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894">
      <w:bodyDiv w:val="1"/>
      <w:marLeft w:val="0"/>
      <w:marRight w:val="0"/>
      <w:marTop w:val="0"/>
      <w:marBottom w:val="0"/>
      <w:divBdr>
        <w:top w:val="none" w:sz="0" w:space="0" w:color="auto"/>
        <w:left w:val="none" w:sz="0" w:space="0" w:color="auto"/>
        <w:bottom w:val="none" w:sz="0" w:space="0" w:color="auto"/>
        <w:right w:val="none" w:sz="0" w:space="0" w:color="auto"/>
      </w:divBdr>
    </w:div>
    <w:div w:id="92943051">
      <w:bodyDiv w:val="1"/>
      <w:marLeft w:val="0"/>
      <w:marRight w:val="0"/>
      <w:marTop w:val="0"/>
      <w:marBottom w:val="0"/>
      <w:divBdr>
        <w:top w:val="none" w:sz="0" w:space="0" w:color="auto"/>
        <w:left w:val="none" w:sz="0" w:space="0" w:color="auto"/>
        <w:bottom w:val="none" w:sz="0" w:space="0" w:color="auto"/>
        <w:right w:val="none" w:sz="0" w:space="0" w:color="auto"/>
      </w:divBdr>
    </w:div>
    <w:div w:id="142896529">
      <w:bodyDiv w:val="1"/>
      <w:marLeft w:val="0"/>
      <w:marRight w:val="0"/>
      <w:marTop w:val="0"/>
      <w:marBottom w:val="0"/>
      <w:divBdr>
        <w:top w:val="none" w:sz="0" w:space="0" w:color="auto"/>
        <w:left w:val="none" w:sz="0" w:space="0" w:color="auto"/>
        <w:bottom w:val="none" w:sz="0" w:space="0" w:color="auto"/>
        <w:right w:val="none" w:sz="0" w:space="0" w:color="auto"/>
      </w:divBdr>
    </w:div>
    <w:div w:id="180976364">
      <w:bodyDiv w:val="1"/>
      <w:marLeft w:val="0"/>
      <w:marRight w:val="0"/>
      <w:marTop w:val="0"/>
      <w:marBottom w:val="0"/>
      <w:divBdr>
        <w:top w:val="none" w:sz="0" w:space="0" w:color="auto"/>
        <w:left w:val="none" w:sz="0" w:space="0" w:color="auto"/>
        <w:bottom w:val="none" w:sz="0" w:space="0" w:color="auto"/>
        <w:right w:val="none" w:sz="0" w:space="0" w:color="auto"/>
      </w:divBdr>
      <w:divsChild>
        <w:div w:id="1245072223">
          <w:marLeft w:val="0"/>
          <w:marRight w:val="0"/>
          <w:marTop w:val="0"/>
          <w:marBottom w:val="0"/>
          <w:divBdr>
            <w:top w:val="none" w:sz="0" w:space="0" w:color="auto"/>
            <w:left w:val="none" w:sz="0" w:space="0" w:color="auto"/>
            <w:bottom w:val="none" w:sz="0" w:space="0" w:color="auto"/>
            <w:right w:val="none" w:sz="0" w:space="0" w:color="auto"/>
          </w:divBdr>
          <w:divsChild>
            <w:div w:id="643894348">
              <w:marLeft w:val="0"/>
              <w:marRight w:val="0"/>
              <w:marTop w:val="0"/>
              <w:marBottom w:val="0"/>
              <w:divBdr>
                <w:top w:val="none" w:sz="0" w:space="0" w:color="auto"/>
                <w:left w:val="none" w:sz="0" w:space="0" w:color="auto"/>
                <w:bottom w:val="none" w:sz="0" w:space="0" w:color="auto"/>
                <w:right w:val="none" w:sz="0" w:space="0" w:color="auto"/>
              </w:divBdr>
              <w:divsChild>
                <w:div w:id="4066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0815">
      <w:bodyDiv w:val="1"/>
      <w:marLeft w:val="0"/>
      <w:marRight w:val="0"/>
      <w:marTop w:val="0"/>
      <w:marBottom w:val="0"/>
      <w:divBdr>
        <w:top w:val="none" w:sz="0" w:space="0" w:color="auto"/>
        <w:left w:val="none" w:sz="0" w:space="0" w:color="auto"/>
        <w:bottom w:val="none" w:sz="0" w:space="0" w:color="auto"/>
        <w:right w:val="none" w:sz="0" w:space="0" w:color="auto"/>
      </w:divBdr>
      <w:divsChild>
        <w:div w:id="482814345">
          <w:marLeft w:val="0"/>
          <w:marRight w:val="0"/>
          <w:marTop w:val="0"/>
          <w:marBottom w:val="0"/>
          <w:divBdr>
            <w:top w:val="none" w:sz="0" w:space="0" w:color="auto"/>
            <w:left w:val="none" w:sz="0" w:space="0" w:color="auto"/>
            <w:bottom w:val="none" w:sz="0" w:space="0" w:color="auto"/>
            <w:right w:val="none" w:sz="0" w:space="0" w:color="auto"/>
          </w:divBdr>
          <w:divsChild>
            <w:div w:id="500314002">
              <w:marLeft w:val="0"/>
              <w:marRight w:val="0"/>
              <w:marTop w:val="0"/>
              <w:marBottom w:val="0"/>
              <w:divBdr>
                <w:top w:val="none" w:sz="0" w:space="0" w:color="auto"/>
                <w:left w:val="none" w:sz="0" w:space="0" w:color="auto"/>
                <w:bottom w:val="none" w:sz="0" w:space="0" w:color="auto"/>
                <w:right w:val="none" w:sz="0" w:space="0" w:color="auto"/>
              </w:divBdr>
              <w:divsChild>
                <w:div w:id="1005672964">
                  <w:marLeft w:val="0"/>
                  <w:marRight w:val="0"/>
                  <w:marTop w:val="0"/>
                  <w:marBottom w:val="0"/>
                  <w:divBdr>
                    <w:top w:val="none" w:sz="0" w:space="0" w:color="auto"/>
                    <w:left w:val="none" w:sz="0" w:space="0" w:color="auto"/>
                    <w:bottom w:val="none" w:sz="0" w:space="0" w:color="auto"/>
                    <w:right w:val="none" w:sz="0" w:space="0" w:color="auto"/>
                  </w:divBdr>
                </w:div>
                <w:div w:id="1092972242">
                  <w:marLeft w:val="0"/>
                  <w:marRight w:val="0"/>
                  <w:marTop w:val="0"/>
                  <w:marBottom w:val="0"/>
                  <w:divBdr>
                    <w:top w:val="none" w:sz="0" w:space="0" w:color="auto"/>
                    <w:left w:val="none" w:sz="0" w:space="0" w:color="auto"/>
                    <w:bottom w:val="none" w:sz="0" w:space="0" w:color="auto"/>
                    <w:right w:val="none" w:sz="0" w:space="0" w:color="auto"/>
                  </w:divBdr>
                </w:div>
                <w:div w:id="1490436495">
                  <w:marLeft w:val="0"/>
                  <w:marRight w:val="0"/>
                  <w:marTop w:val="0"/>
                  <w:marBottom w:val="0"/>
                  <w:divBdr>
                    <w:top w:val="none" w:sz="0" w:space="0" w:color="auto"/>
                    <w:left w:val="none" w:sz="0" w:space="0" w:color="auto"/>
                    <w:bottom w:val="none" w:sz="0" w:space="0" w:color="auto"/>
                    <w:right w:val="none" w:sz="0" w:space="0" w:color="auto"/>
                  </w:divBdr>
                </w:div>
                <w:div w:id="15548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22321">
      <w:bodyDiv w:val="1"/>
      <w:marLeft w:val="0"/>
      <w:marRight w:val="0"/>
      <w:marTop w:val="0"/>
      <w:marBottom w:val="0"/>
      <w:divBdr>
        <w:top w:val="none" w:sz="0" w:space="0" w:color="auto"/>
        <w:left w:val="none" w:sz="0" w:space="0" w:color="auto"/>
        <w:bottom w:val="none" w:sz="0" w:space="0" w:color="auto"/>
        <w:right w:val="none" w:sz="0" w:space="0" w:color="auto"/>
      </w:divBdr>
    </w:div>
    <w:div w:id="473301135">
      <w:bodyDiv w:val="1"/>
      <w:marLeft w:val="0"/>
      <w:marRight w:val="0"/>
      <w:marTop w:val="0"/>
      <w:marBottom w:val="0"/>
      <w:divBdr>
        <w:top w:val="none" w:sz="0" w:space="0" w:color="auto"/>
        <w:left w:val="none" w:sz="0" w:space="0" w:color="auto"/>
        <w:bottom w:val="none" w:sz="0" w:space="0" w:color="auto"/>
        <w:right w:val="none" w:sz="0" w:space="0" w:color="auto"/>
      </w:divBdr>
    </w:div>
    <w:div w:id="622884997">
      <w:bodyDiv w:val="1"/>
      <w:marLeft w:val="0"/>
      <w:marRight w:val="0"/>
      <w:marTop w:val="0"/>
      <w:marBottom w:val="0"/>
      <w:divBdr>
        <w:top w:val="none" w:sz="0" w:space="0" w:color="auto"/>
        <w:left w:val="none" w:sz="0" w:space="0" w:color="auto"/>
        <w:bottom w:val="none" w:sz="0" w:space="0" w:color="auto"/>
        <w:right w:val="none" w:sz="0" w:space="0" w:color="auto"/>
      </w:divBdr>
    </w:div>
    <w:div w:id="640307578">
      <w:bodyDiv w:val="1"/>
      <w:marLeft w:val="0"/>
      <w:marRight w:val="0"/>
      <w:marTop w:val="0"/>
      <w:marBottom w:val="0"/>
      <w:divBdr>
        <w:top w:val="none" w:sz="0" w:space="0" w:color="auto"/>
        <w:left w:val="none" w:sz="0" w:space="0" w:color="auto"/>
        <w:bottom w:val="none" w:sz="0" w:space="0" w:color="auto"/>
        <w:right w:val="none" w:sz="0" w:space="0" w:color="auto"/>
      </w:divBdr>
      <w:divsChild>
        <w:div w:id="183128820">
          <w:marLeft w:val="0"/>
          <w:marRight w:val="0"/>
          <w:marTop w:val="0"/>
          <w:marBottom w:val="0"/>
          <w:divBdr>
            <w:top w:val="none" w:sz="0" w:space="0" w:color="auto"/>
            <w:left w:val="none" w:sz="0" w:space="0" w:color="auto"/>
            <w:bottom w:val="none" w:sz="0" w:space="0" w:color="auto"/>
            <w:right w:val="none" w:sz="0" w:space="0" w:color="auto"/>
          </w:divBdr>
        </w:div>
        <w:div w:id="1022587250">
          <w:marLeft w:val="0"/>
          <w:marRight w:val="0"/>
          <w:marTop w:val="0"/>
          <w:marBottom w:val="0"/>
          <w:divBdr>
            <w:top w:val="none" w:sz="0" w:space="0" w:color="auto"/>
            <w:left w:val="none" w:sz="0" w:space="0" w:color="auto"/>
            <w:bottom w:val="none" w:sz="0" w:space="0" w:color="auto"/>
            <w:right w:val="none" w:sz="0" w:space="0" w:color="auto"/>
          </w:divBdr>
        </w:div>
        <w:div w:id="1651396561">
          <w:marLeft w:val="0"/>
          <w:marRight w:val="0"/>
          <w:marTop w:val="0"/>
          <w:marBottom w:val="0"/>
          <w:divBdr>
            <w:top w:val="none" w:sz="0" w:space="0" w:color="auto"/>
            <w:left w:val="none" w:sz="0" w:space="0" w:color="auto"/>
            <w:bottom w:val="none" w:sz="0" w:space="0" w:color="auto"/>
            <w:right w:val="none" w:sz="0" w:space="0" w:color="auto"/>
          </w:divBdr>
        </w:div>
        <w:div w:id="1757167404">
          <w:marLeft w:val="0"/>
          <w:marRight w:val="0"/>
          <w:marTop w:val="0"/>
          <w:marBottom w:val="0"/>
          <w:divBdr>
            <w:top w:val="none" w:sz="0" w:space="0" w:color="auto"/>
            <w:left w:val="none" w:sz="0" w:space="0" w:color="auto"/>
            <w:bottom w:val="none" w:sz="0" w:space="0" w:color="auto"/>
            <w:right w:val="none" w:sz="0" w:space="0" w:color="auto"/>
          </w:divBdr>
          <w:divsChild>
            <w:div w:id="218789519">
              <w:marLeft w:val="0"/>
              <w:marRight w:val="0"/>
              <w:marTop w:val="0"/>
              <w:marBottom w:val="0"/>
              <w:divBdr>
                <w:top w:val="none" w:sz="0" w:space="0" w:color="auto"/>
                <w:left w:val="none" w:sz="0" w:space="0" w:color="auto"/>
                <w:bottom w:val="none" w:sz="0" w:space="0" w:color="auto"/>
                <w:right w:val="none" w:sz="0" w:space="0" w:color="auto"/>
              </w:divBdr>
            </w:div>
            <w:div w:id="911893604">
              <w:marLeft w:val="0"/>
              <w:marRight w:val="0"/>
              <w:marTop w:val="0"/>
              <w:marBottom w:val="0"/>
              <w:divBdr>
                <w:top w:val="none" w:sz="0" w:space="0" w:color="auto"/>
                <w:left w:val="none" w:sz="0" w:space="0" w:color="auto"/>
                <w:bottom w:val="none" w:sz="0" w:space="0" w:color="auto"/>
                <w:right w:val="none" w:sz="0" w:space="0" w:color="auto"/>
              </w:divBdr>
            </w:div>
            <w:div w:id="2144617391">
              <w:marLeft w:val="0"/>
              <w:marRight w:val="0"/>
              <w:marTop w:val="0"/>
              <w:marBottom w:val="0"/>
              <w:divBdr>
                <w:top w:val="none" w:sz="0" w:space="0" w:color="auto"/>
                <w:left w:val="none" w:sz="0" w:space="0" w:color="auto"/>
                <w:bottom w:val="none" w:sz="0" w:space="0" w:color="auto"/>
                <w:right w:val="none" w:sz="0" w:space="0" w:color="auto"/>
              </w:divBdr>
            </w:div>
          </w:divsChild>
        </w:div>
        <w:div w:id="1846629187">
          <w:marLeft w:val="0"/>
          <w:marRight w:val="0"/>
          <w:marTop w:val="0"/>
          <w:marBottom w:val="0"/>
          <w:divBdr>
            <w:top w:val="none" w:sz="0" w:space="0" w:color="auto"/>
            <w:left w:val="none" w:sz="0" w:space="0" w:color="auto"/>
            <w:bottom w:val="none" w:sz="0" w:space="0" w:color="auto"/>
            <w:right w:val="none" w:sz="0" w:space="0" w:color="auto"/>
          </w:divBdr>
        </w:div>
        <w:div w:id="1948149024">
          <w:marLeft w:val="0"/>
          <w:marRight w:val="0"/>
          <w:marTop w:val="0"/>
          <w:marBottom w:val="0"/>
          <w:divBdr>
            <w:top w:val="none" w:sz="0" w:space="0" w:color="auto"/>
            <w:left w:val="none" w:sz="0" w:space="0" w:color="auto"/>
            <w:bottom w:val="none" w:sz="0" w:space="0" w:color="auto"/>
            <w:right w:val="none" w:sz="0" w:space="0" w:color="auto"/>
          </w:divBdr>
          <w:divsChild>
            <w:div w:id="357433624">
              <w:marLeft w:val="0"/>
              <w:marRight w:val="0"/>
              <w:marTop w:val="0"/>
              <w:marBottom w:val="0"/>
              <w:divBdr>
                <w:top w:val="none" w:sz="0" w:space="0" w:color="auto"/>
                <w:left w:val="none" w:sz="0" w:space="0" w:color="auto"/>
                <w:bottom w:val="none" w:sz="0" w:space="0" w:color="auto"/>
                <w:right w:val="none" w:sz="0" w:space="0" w:color="auto"/>
              </w:divBdr>
            </w:div>
            <w:div w:id="853497111">
              <w:marLeft w:val="0"/>
              <w:marRight w:val="0"/>
              <w:marTop w:val="0"/>
              <w:marBottom w:val="0"/>
              <w:divBdr>
                <w:top w:val="none" w:sz="0" w:space="0" w:color="auto"/>
                <w:left w:val="none" w:sz="0" w:space="0" w:color="auto"/>
                <w:bottom w:val="none" w:sz="0" w:space="0" w:color="auto"/>
                <w:right w:val="none" w:sz="0" w:space="0" w:color="auto"/>
              </w:divBdr>
            </w:div>
            <w:div w:id="1047069352">
              <w:marLeft w:val="0"/>
              <w:marRight w:val="0"/>
              <w:marTop w:val="0"/>
              <w:marBottom w:val="0"/>
              <w:divBdr>
                <w:top w:val="none" w:sz="0" w:space="0" w:color="auto"/>
                <w:left w:val="none" w:sz="0" w:space="0" w:color="auto"/>
                <w:bottom w:val="none" w:sz="0" w:space="0" w:color="auto"/>
                <w:right w:val="none" w:sz="0" w:space="0" w:color="auto"/>
              </w:divBdr>
            </w:div>
            <w:div w:id="1518423783">
              <w:marLeft w:val="0"/>
              <w:marRight w:val="0"/>
              <w:marTop w:val="0"/>
              <w:marBottom w:val="0"/>
              <w:divBdr>
                <w:top w:val="none" w:sz="0" w:space="0" w:color="auto"/>
                <w:left w:val="none" w:sz="0" w:space="0" w:color="auto"/>
                <w:bottom w:val="none" w:sz="0" w:space="0" w:color="auto"/>
                <w:right w:val="none" w:sz="0" w:space="0" w:color="auto"/>
              </w:divBdr>
            </w:div>
            <w:div w:id="19408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993">
      <w:bodyDiv w:val="1"/>
      <w:marLeft w:val="0"/>
      <w:marRight w:val="0"/>
      <w:marTop w:val="0"/>
      <w:marBottom w:val="0"/>
      <w:divBdr>
        <w:top w:val="none" w:sz="0" w:space="0" w:color="auto"/>
        <w:left w:val="none" w:sz="0" w:space="0" w:color="auto"/>
        <w:bottom w:val="none" w:sz="0" w:space="0" w:color="auto"/>
        <w:right w:val="none" w:sz="0" w:space="0" w:color="auto"/>
      </w:divBdr>
    </w:div>
    <w:div w:id="716977473">
      <w:bodyDiv w:val="1"/>
      <w:marLeft w:val="0"/>
      <w:marRight w:val="0"/>
      <w:marTop w:val="0"/>
      <w:marBottom w:val="0"/>
      <w:divBdr>
        <w:top w:val="none" w:sz="0" w:space="0" w:color="auto"/>
        <w:left w:val="none" w:sz="0" w:space="0" w:color="auto"/>
        <w:bottom w:val="none" w:sz="0" w:space="0" w:color="auto"/>
        <w:right w:val="none" w:sz="0" w:space="0" w:color="auto"/>
      </w:divBdr>
    </w:div>
    <w:div w:id="741102553">
      <w:bodyDiv w:val="1"/>
      <w:marLeft w:val="0"/>
      <w:marRight w:val="0"/>
      <w:marTop w:val="0"/>
      <w:marBottom w:val="0"/>
      <w:divBdr>
        <w:top w:val="none" w:sz="0" w:space="0" w:color="auto"/>
        <w:left w:val="none" w:sz="0" w:space="0" w:color="auto"/>
        <w:bottom w:val="none" w:sz="0" w:space="0" w:color="auto"/>
        <w:right w:val="none" w:sz="0" w:space="0" w:color="auto"/>
      </w:divBdr>
    </w:div>
    <w:div w:id="868102887">
      <w:bodyDiv w:val="1"/>
      <w:marLeft w:val="0"/>
      <w:marRight w:val="0"/>
      <w:marTop w:val="0"/>
      <w:marBottom w:val="0"/>
      <w:divBdr>
        <w:top w:val="none" w:sz="0" w:space="0" w:color="auto"/>
        <w:left w:val="none" w:sz="0" w:space="0" w:color="auto"/>
        <w:bottom w:val="none" w:sz="0" w:space="0" w:color="auto"/>
        <w:right w:val="none" w:sz="0" w:space="0" w:color="auto"/>
      </w:divBdr>
    </w:div>
    <w:div w:id="905382759">
      <w:bodyDiv w:val="1"/>
      <w:marLeft w:val="0"/>
      <w:marRight w:val="0"/>
      <w:marTop w:val="0"/>
      <w:marBottom w:val="0"/>
      <w:divBdr>
        <w:top w:val="none" w:sz="0" w:space="0" w:color="auto"/>
        <w:left w:val="none" w:sz="0" w:space="0" w:color="auto"/>
        <w:bottom w:val="none" w:sz="0" w:space="0" w:color="auto"/>
        <w:right w:val="none" w:sz="0" w:space="0" w:color="auto"/>
      </w:divBdr>
      <w:divsChild>
        <w:div w:id="248973611">
          <w:marLeft w:val="0"/>
          <w:marRight w:val="0"/>
          <w:marTop w:val="0"/>
          <w:marBottom w:val="0"/>
          <w:divBdr>
            <w:top w:val="none" w:sz="0" w:space="0" w:color="auto"/>
            <w:left w:val="none" w:sz="0" w:space="0" w:color="auto"/>
            <w:bottom w:val="none" w:sz="0" w:space="0" w:color="auto"/>
            <w:right w:val="none" w:sz="0" w:space="0" w:color="auto"/>
          </w:divBdr>
          <w:divsChild>
            <w:div w:id="1195120245">
              <w:marLeft w:val="0"/>
              <w:marRight w:val="0"/>
              <w:marTop w:val="0"/>
              <w:marBottom w:val="0"/>
              <w:divBdr>
                <w:top w:val="none" w:sz="0" w:space="0" w:color="auto"/>
                <w:left w:val="none" w:sz="0" w:space="0" w:color="auto"/>
                <w:bottom w:val="none" w:sz="0" w:space="0" w:color="auto"/>
                <w:right w:val="none" w:sz="0" w:space="0" w:color="auto"/>
              </w:divBdr>
            </w:div>
          </w:divsChild>
        </w:div>
        <w:div w:id="729813314">
          <w:marLeft w:val="0"/>
          <w:marRight w:val="0"/>
          <w:marTop w:val="0"/>
          <w:marBottom w:val="0"/>
          <w:divBdr>
            <w:top w:val="none" w:sz="0" w:space="0" w:color="auto"/>
            <w:left w:val="none" w:sz="0" w:space="0" w:color="auto"/>
            <w:bottom w:val="none" w:sz="0" w:space="0" w:color="auto"/>
            <w:right w:val="none" w:sz="0" w:space="0" w:color="auto"/>
          </w:divBdr>
          <w:divsChild>
            <w:div w:id="93283957">
              <w:marLeft w:val="0"/>
              <w:marRight w:val="0"/>
              <w:marTop w:val="0"/>
              <w:marBottom w:val="0"/>
              <w:divBdr>
                <w:top w:val="none" w:sz="0" w:space="0" w:color="auto"/>
                <w:left w:val="none" w:sz="0" w:space="0" w:color="auto"/>
                <w:bottom w:val="none" w:sz="0" w:space="0" w:color="auto"/>
                <w:right w:val="none" w:sz="0" w:space="0" w:color="auto"/>
              </w:divBdr>
            </w:div>
          </w:divsChild>
        </w:div>
        <w:div w:id="1359627330">
          <w:marLeft w:val="0"/>
          <w:marRight w:val="0"/>
          <w:marTop w:val="0"/>
          <w:marBottom w:val="0"/>
          <w:divBdr>
            <w:top w:val="none" w:sz="0" w:space="0" w:color="auto"/>
            <w:left w:val="none" w:sz="0" w:space="0" w:color="auto"/>
            <w:bottom w:val="none" w:sz="0" w:space="0" w:color="auto"/>
            <w:right w:val="none" w:sz="0" w:space="0" w:color="auto"/>
          </w:divBdr>
          <w:divsChild>
            <w:div w:id="464589297">
              <w:marLeft w:val="0"/>
              <w:marRight w:val="0"/>
              <w:marTop w:val="0"/>
              <w:marBottom w:val="0"/>
              <w:divBdr>
                <w:top w:val="none" w:sz="0" w:space="0" w:color="auto"/>
                <w:left w:val="none" w:sz="0" w:space="0" w:color="auto"/>
                <w:bottom w:val="none" w:sz="0" w:space="0" w:color="auto"/>
                <w:right w:val="none" w:sz="0" w:space="0" w:color="auto"/>
              </w:divBdr>
            </w:div>
          </w:divsChild>
        </w:div>
        <w:div w:id="1939293696">
          <w:marLeft w:val="0"/>
          <w:marRight w:val="0"/>
          <w:marTop w:val="0"/>
          <w:marBottom w:val="0"/>
          <w:divBdr>
            <w:top w:val="none" w:sz="0" w:space="0" w:color="auto"/>
            <w:left w:val="none" w:sz="0" w:space="0" w:color="auto"/>
            <w:bottom w:val="none" w:sz="0" w:space="0" w:color="auto"/>
            <w:right w:val="none" w:sz="0" w:space="0" w:color="auto"/>
          </w:divBdr>
          <w:divsChild>
            <w:div w:id="4144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5995">
      <w:bodyDiv w:val="1"/>
      <w:marLeft w:val="0"/>
      <w:marRight w:val="0"/>
      <w:marTop w:val="0"/>
      <w:marBottom w:val="0"/>
      <w:divBdr>
        <w:top w:val="none" w:sz="0" w:space="0" w:color="auto"/>
        <w:left w:val="none" w:sz="0" w:space="0" w:color="auto"/>
        <w:bottom w:val="none" w:sz="0" w:space="0" w:color="auto"/>
        <w:right w:val="none" w:sz="0" w:space="0" w:color="auto"/>
      </w:divBdr>
      <w:divsChild>
        <w:div w:id="251009009">
          <w:marLeft w:val="0"/>
          <w:marRight w:val="0"/>
          <w:marTop w:val="0"/>
          <w:marBottom w:val="0"/>
          <w:divBdr>
            <w:top w:val="none" w:sz="0" w:space="0" w:color="auto"/>
            <w:left w:val="none" w:sz="0" w:space="0" w:color="auto"/>
            <w:bottom w:val="none" w:sz="0" w:space="0" w:color="auto"/>
            <w:right w:val="none" w:sz="0" w:space="0" w:color="auto"/>
          </w:divBdr>
        </w:div>
        <w:div w:id="266814292">
          <w:marLeft w:val="0"/>
          <w:marRight w:val="0"/>
          <w:marTop w:val="0"/>
          <w:marBottom w:val="0"/>
          <w:divBdr>
            <w:top w:val="none" w:sz="0" w:space="0" w:color="auto"/>
            <w:left w:val="none" w:sz="0" w:space="0" w:color="auto"/>
            <w:bottom w:val="none" w:sz="0" w:space="0" w:color="auto"/>
            <w:right w:val="none" w:sz="0" w:space="0" w:color="auto"/>
          </w:divBdr>
        </w:div>
        <w:div w:id="457335811">
          <w:marLeft w:val="0"/>
          <w:marRight w:val="0"/>
          <w:marTop w:val="0"/>
          <w:marBottom w:val="0"/>
          <w:divBdr>
            <w:top w:val="none" w:sz="0" w:space="0" w:color="auto"/>
            <w:left w:val="none" w:sz="0" w:space="0" w:color="auto"/>
            <w:bottom w:val="none" w:sz="0" w:space="0" w:color="auto"/>
            <w:right w:val="none" w:sz="0" w:space="0" w:color="auto"/>
          </w:divBdr>
        </w:div>
        <w:div w:id="561602001">
          <w:marLeft w:val="0"/>
          <w:marRight w:val="0"/>
          <w:marTop w:val="0"/>
          <w:marBottom w:val="0"/>
          <w:divBdr>
            <w:top w:val="none" w:sz="0" w:space="0" w:color="auto"/>
            <w:left w:val="none" w:sz="0" w:space="0" w:color="auto"/>
            <w:bottom w:val="none" w:sz="0" w:space="0" w:color="auto"/>
            <w:right w:val="none" w:sz="0" w:space="0" w:color="auto"/>
          </w:divBdr>
        </w:div>
        <w:div w:id="1086920871">
          <w:marLeft w:val="0"/>
          <w:marRight w:val="0"/>
          <w:marTop w:val="0"/>
          <w:marBottom w:val="0"/>
          <w:divBdr>
            <w:top w:val="none" w:sz="0" w:space="0" w:color="auto"/>
            <w:left w:val="none" w:sz="0" w:space="0" w:color="auto"/>
            <w:bottom w:val="none" w:sz="0" w:space="0" w:color="auto"/>
            <w:right w:val="none" w:sz="0" w:space="0" w:color="auto"/>
          </w:divBdr>
        </w:div>
        <w:div w:id="1322273164">
          <w:marLeft w:val="0"/>
          <w:marRight w:val="0"/>
          <w:marTop w:val="0"/>
          <w:marBottom w:val="0"/>
          <w:divBdr>
            <w:top w:val="none" w:sz="0" w:space="0" w:color="auto"/>
            <w:left w:val="none" w:sz="0" w:space="0" w:color="auto"/>
            <w:bottom w:val="none" w:sz="0" w:space="0" w:color="auto"/>
            <w:right w:val="none" w:sz="0" w:space="0" w:color="auto"/>
          </w:divBdr>
        </w:div>
        <w:div w:id="1439525463">
          <w:marLeft w:val="0"/>
          <w:marRight w:val="0"/>
          <w:marTop w:val="0"/>
          <w:marBottom w:val="0"/>
          <w:divBdr>
            <w:top w:val="none" w:sz="0" w:space="0" w:color="auto"/>
            <w:left w:val="none" w:sz="0" w:space="0" w:color="auto"/>
            <w:bottom w:val="none" w:sz="0" w:space="0" w:color="auto"/>
            <w:right w:val="none" w:sz="0" w:space="0" w:color="auto"/>
          </w:divBdr>
        </w:div>
        <w:div w:id="1758134314">
          <w:marLeft w:val="0"/>
          <w:marRight w:val="0"/>
          <w:marTop w:val="0"/>
          <w:marBottom w:val="0"/>
          <w:divBdr>
            <w:top w:val="none" w:sz="0" w:space="0" w:color="auto"/>
            <w:left w:val="none" w:sz="0" w:space="0" w:color="auto"/>
            <w:bottom w:val="none" w:sz="0" w:space="0" w:color="auto"/>
            <w:right w:val="none" w:sz="0" w:space="0" w:color="auto"/>
          </w:divBdr>
        </w:div>
        <w:div w:id="1980837642">
          <w:marLeft w:val="0"/>
          <w:marRight w:val="0"/>
          <w:marTop w:val="0"/>
          <w:marBottom w:val="0"/>
          <w:divBdr>
            <w:top w:val="none" w:sz="0" w:space="0" w:color="auto"/>
            <w:left w:val="none" w:sz="0" w:space="0" w:color="auto"/>
            <w:bottom w:val="none" w:sz="0" w:space="0" w:color="auto"/>
            <w:right w:val="none" w:sz="0" w:space="0" w:color="auto"/>
          </w:divBdr>
        </w:div>
      </w:divsChild>
    </w:div>
    <w:div w:id="927227641">
      <w:bodyDiv w:val="1"/>
      <w:marLeft w:val="0"/>
      <w:marRight w:val="0"/>
      <w:marTop w:val="0"/>
      <w:marBottom w:val="0"/>
      <w:divBdr>
        <w:top w:val="none" w:sz="0" w:space="0" w:color="auto"/>
        <w:left w:val="none" w:sz="0" w:space="0" w:color="auto"/>
        <w:bottom w:val="none" w:sz="0" w:space="0" w:color="auto"/>
        <w:right w:val="none" w:sz="0" w:space="0" w:color="auto"/>
      </w:divBdr>
    </w:div>
    <w:div w:id="1066801996">
      <w:bodyDiv w:val="1"/>
      <w:marLeft w:val="0"/>
      <w:marRight w:val="0"/>
      <w:marTop w:val="0"/>
      <w:marBottom w:val="0"/>
      <w:divBdr>
        <w:top w:val="none" w:sz="0" w:space="0" w:color="auto"/>
        <w:left w:val="none" w:sz="0" w:space="0" w:color="auto"/>
        <w:bottom w:val="none" w:sz="0" w:space="0" w:color="auto"/>
        <w:right w:val="none" w:sz="0" w:space="0" w:color="auto"/>
      </w:divBdr>
      <w:divsChild>
        <w:div w:id="359209408">
          <w:marLeft w:val="0"/>
          <w:marRight w:val="0"/>
          <w:marTop w:val="0"/>
          <w:marBottom w:val="0"/>
          <w:divBdr>
            <w:top w:val="none" w:sz="0" w:space="0" w:color="auto"/>
            <w:left w:val="none" w:sz="0" w:space="0" w:color="auto"/>
            <w:bottom w:val="none" w:sz="0" w:space="0" w:color="auto"/>
            <w:right w:val="none" w:sz="0" w:space="0" w:color="auto"/>
          </w:divBdr>
        </w:div>
        <w:div w:id="1018577283">
          <w:marLeft w:val="0"/>
          <w:marRight w:val="0"/>
          <w:marTop w:val="0"/>
          <w:marBottom w:val="0"/>
          <w:divBdr>
            <w:top w:val="none" w:sz="0" w:space="0" w:color="auto"/>
            <w:left w:val="none" w:sz="0" w:space="0" w:color="auto"/>
            <w:bottom w:val="none" w:sz="0" w:space="0" w:color="auto"/>
            <w:right w:val="none" w:sz="0" w:space="0" w:color="auto"/>
          </w:divBdr>
          <w:divsChild>
            <w:div w:id="610162922">
              <w:marLeft w:val="0"/>
              <w:marRight w:val="0"/>
              <w:marTop w:val="0"/>
              <w:marBottom w:val="0"/>
              <w:divBdr>
                <w:top w:val="none" w:sz="0" w:space="0" w:color="auto"/>
                <w:left w:val="none" w:sz="0" w:space="0" w:color="auto"/>
                <w:bottom w:val="none" w:sz="0" w:space="0" w:color="auto"/>
                <w:right w:val="none" w:sz="0" w:space="0" w:color="auto"/>
              </w:divBdr>
            </w:div>
            <w:div w:id="908226481">
              <w:marLeft w:val="0"/>
              <w:marRight w:val="0"/>
              <w:marTop w:val="0"/>
              <w:marBottom w:val="0"/>
              <w:divBdr>
                <w:top w:val="none" w:sz="0" w:space="0" w:color="auto"/>
                <w:left w:val="none" w:sz="0" w:space="0" w:color="auto"/>
                <w:bottom w:val="none" w:sz="0" w:space="0" w:color="auto"/>
                <w:right w:val="none" w:sz="0" w:space="0" w:color="auto"/>
              </w:divBdr>
            </w:div>
            <w:div w:id="1891644314">
              <w:marLeft w:val="0"/>
              <w:marRight w:val="0"/>
              <w:marTop w:val="0"/>
              <w:marBottom w:val="0"/>
              <w:divBdr>
                <w:top w:val="none" w:sz="0" w:space="0" w:color="auto"/>
                <w:left w:val="none" w:sz="0" w:space="0" w:color="auto"/>
                <w:bottom w:val="none" w:sz="0" w:space="0" w:color="auto"/>
                <w:right w:val="none" w:sz="0" w:space="0" w:color="auto"/>
              </w:divBdr>
            </w:div>
          </w:divsChild>
        </w:div>
        <w:div w:id="1450589433">
          <w:marLeft w:val="0"/>
          <w:marRight w:val="0"/>
          <w:marTop w:val="0"/>
          <w:marBottom w:val="0"/>
          <w:divBdr>
            <w:top w:val="none" w:sz="0" w:space="0" w:color="auto"/>
            <w:left w:val="none" w:sz="0" w:space="0" w:color="auto"/>
            <w:bottom w:val="none" w:sz="0" w:space="0" w:color="auto"/>
            <w:right w:val="none" w:sz="0" w:space="0" w:color="auto"/>
          </w:divBdr>
        </w:div>
        <w:div w:id="1626886706">
          <w:marLeft w:val="0"/>
          <w:marRight w:val="0"/>
          <w:marTop w:val="0"/>
          <w:marBottom w:val="0"/>
          <w:divBdr>
            <w:top w:val="none" w:sz="0" w:space="0" w:color="auto"/>
            <w:left w:val="none" w:sz="0" w:space="0" w:color="auto"/>
            <w:bottom w:val="none" w:sz="0" w:space="0" w:color="auto"/>
            <w:right w:val="none" w:sz="0" w:space="0" w:color="auto"/>
          </w:divBdr>
        </w:div>
        <w:div w:id="1836914310">
          <w:marLeft w:val="0"/>
          <w:marRight w:val="0"/>
          <w:marTop w:val="0"/>
          <w:marBottom w:val="0"/>
          <w:divBdr>
            <w:top w:val="none" w:sz="0" w:space="0" w:color="auto"/>
            <w:left w:val="none" w:sz="0" w:space="0" w:color="auto"/>
            <w:bottom w:val="none" w:sz="0" w:space="0" w:color="auto"/>
            <w:right w:val="none" w:sz="0" w:space="0" w:color="auto"/>
          </w:divBdr>
          <w:divsChild>
            <w:div w:id="268970210">
              <w:marLeft w:val="0"/>
              <w:marRight w:val="0"/>
              <w:marTop w:val="0"/>
              <w:marBottom w:val="0"/>
              <w:divBdr>
                <w:top w:val="none" w:sz="0" w:space="0" w:color="auto"/>
                <w:left w:val="none" w:sz="0" w:space="0" w:color="auto"/>
                <w:bottom w:val="none" w:sz="0" w:space="0" w:color="auto"/>
                <w:right w:val="none" w:sz="0" w:space="0" w:color="auto"/>
              </w:divBdr>
            </w:div>
            <w:div w:id="592669199">
              <w:marLeft w:val="0"/>
              <w:marRight w:val="0"/>
              <w:marTop w:val="0"/>
              <w:marBottom w:val="0"/>
              <w:divBdr>
                <w:top w:val="none" w:sz="0" w:space="0" w:color="auto"/>
                <w:left w:val="none" w:sz="0" w:space="0" w:color="auto"/>
                <w:bottom w:val="none" w:sz="0" w:space="0" w:color="auto"/>
                <w:right w:val="none" w:sz="0" w:space="0" w:color="auto"/>
              </w:divBdr>
            </w:div>
            <w:div w:id="1293562534">
              <w:marLeft w:val="0"/>
              <w:marRight w:val="0"/>
              <w:marTop w:val="0"/>
              <w:marBottom w:val="0"/>
              <w:divBdr>
                <w:top w:val="none" w:sz="0" w:space="0" w:color="auto"/>
                <w:left w:val="none" w:sz="0" w:space="0" w:color="auto"/>
                <w:bottom w:val="none" w:sz="0" w:space="0" w:color="auto"/>
                <w:right w:val="none" w:sz="0" w:space="0" w:color="auto"/>
              </w:divBdr>
            </w:div>
            <w:div w:id="1503811265">
              <w:marLeft w:val="0"/>
              <w:marRight w:val="0"/>
              <w:marTop w:val="0"/>
              <w:marBottom w:val="0"/>
              <w:divBdr>
                <w:top w:val="none" w:sz="0" w:space="0" w:color="auto"/>
                <w:left w:val="none" w:sz="0" w:space="0" w:color="auto"/>
                <w:bottom w:val="none" w:sz="0" w:space="0" w:color="auto"/>
                <w:right w:val="none" w:sz="0" w:space="0" w:color="auto"/>
              </w:divBdr>
            </w:div>
            <w:div w:id="1976787349">
              <w:marLeft w:val="0"/>
              <w:marRight w:val="0"/>
              <w:marTop w:val="0"/>
              <w:marBottom w:val="0"/>
              <w:divBdr>
                <w:top w:val="none" w:sz="0" w:space="0" w:color="auto"/>
                <w:left w:val="none" w:sz="0" w:space="0" w:color="auto"/>
                <w:bottom w:val="none" w:sz="0" w:space="0" w:color="auto"/>
                <w:right w:val="none" w:sz="0" w:space="0" w:color="auto"/>
              </w:divBdr>
            </w:div>
          </w:divsChild>
        </w:div>
        <w:div w:id="2062705032">
          <w:marLeft w:val="0"/>
          <w:marRight w:val="0"/>
          <w:marTop w:val="0"/>
          <w:marBottom w:val="0"/>
          <w:divBdr>
            <w:top w:val="none" w:sz="0" w:space="0" w:color="auto"/>
            <w:left w:val="none" w:sz="0" w:space="0" w:color="auto"/>
            <w:bottom w:val="none" w:sz="0" w:space="0" w:color="auto"/>
            <w:right w:val="none" w:sz="0" w:space="0" w:color="auto"/>
          </w:divBdr>
        </w:div>
      </w:divsChild>
    </w:div>
    <w:div w:id="1094320718">
      <w:bodyDiv w:val="1"/>
      <w:marLeft w:val="0"/>
      <w:marRight w:val="0"/>
      <w:marTop w:val="0"/>
      <w:marBottom w:val="0"/>
      <w:divBdr>
        <w:top w:val="none" w:sz="0" w:space="0" w:color="auto"/>
        <w:left w:val="none" w:sz="0" w:space="0" w:color="auto"/>
        <w:bottom w:val="none" w:sz="0" w:space="0" w:color="auto"/>
        <w:right w:val="none" w:sz="0" w:space="0" w:color="auto"/>
      </w:divBdr>
    </w:div>
    <w:div w:id="1132164594">
      <w:bodyDiv w:val="1"/>
      <w:marLeft w:val="0"/>
      <w:marRight w:val="0"/>
      <w:marTop w:val="0"/>
      <w:marBottom w:val="0"/>
      <w:divBdr>
        <w:top w:val="none" w:sz="0" w:space="0" w:color="auto"/>
        <w:left w:val="none" w:sz="0" w:space="0" w:color="auto"/>
        <w:bottom w:val="none" w:sz="0" w:space="0" w:color="auto"/>
        <w:right w:val="none" w:sz="0" w:space="0" w:color="auto"/>
      </w:divBdr>
    </w:div>
    <w:div w:id="1294093414">
      <w:bodyDiv w:val="1"/>
      <w:marLeft w:val="0"/>
      <w:marRight w:val="0"/>
      <w:marTop w:val="0"/>
      <w:marBottom w:val="0"/>
      <w:divBdr>
        <w:top w:val="none" w:sz="0" w:space="0" w:color="auto"/>
        <w:left w:val="none" w:sz="0" w:space="0" w:color="auto"/>
        <w:bottom w:val="none" w:sz="0" w:space="0" w:color="auto"/>
        <w:right w:val="none" w:sz="0" w:space="0" w:color="auto"/>
      </w:divBdr>
    </w:div>
    <w:div w:id="1471940517">
      <w:bodyDiv w:val="1"/>
      <w:marLeft w:val="0"/>
      <w:marRight w:val="0"/>
      <w:marTop w:val="0"/>
      <w:marBottom w:val="0"/>
      <w:divBdr>
        <w:top w:val="none" w:sz="0" w:space="0" w:color="auto"/>
        <w:left w:val="none" w:sz="0" w:space="0" w:color="auto"/>
        <w:bottom w:val="none" w:sz="0" w:space="0" w:color="auto"/>
        <w:right w:val="none" w:sz="0" w:space="0" w:color="auto"/>
      </w:divBdr>
      <w:divsChild>
        <w:div w:id="28648072">
          <w:marLeft w:val="0"/>
          <w:marRight w:val="0"/>
          <w:marTop w:val="0"/>
          <w:marBottom w:val="0"/>
          <w:divBdr>
            <w:top w:val="none" w:sz="0" w:space="0" w:color="auto"/>
            <w:left w:val="none" w:sz="0" w:space="0" w:color="auto"/>
            <w:bottom w:val="none" w:sz="0" w:space="0" w:color="auto"/>
            <w:right w:val="none" w:sz="0" w:space="0" w:color="auto"/>
          </w:divBdr>
        </w:div>
        <w:div w:id="62680120">
          <w:marLeft w:val="0"/>
          <w:marRight w:val="0"/>
          <w:marTop w:val="0"/>
          <w:marBottom w:val="0"/>
          <w:divBdr>
            <w:top w:val="none" w:sz="0" w:space="0" w:color="auto"/>
            <w:left w:val="none" w:sz="0" w:space="0" w:color="auto"/>
            <w:bottom w:val="none" w:sz="0" w:space="0" w:color="auto"/>
            <w:right w:val="none" w:sz="0" w:space="0" w:color="auto"/>
          </w:divBdr>
        </w:div>
        <w:div w:id="73165423">
          <w:marLeft w:val="0"/>
          <w:marRight w:val="0"/>
          <w:marTop w:val="0"/>
          <w:marBottom w:val="0"/>
          <w:divBdr>
            <w:top w:val="none" w:sz="0" w:space="0" w:color="auto"/>
            <w:left w:val="none" w:sz="0" w:space="0" w:color="auto"/>
            <w:bottom w:val="none" w:sz="0" w:space="0" w:color="auto"/>
            <w:right w:val="none" w:sz="0" w:space="0" w:color="auto"/>
          </w:divBdr>
        </w:div>
        <w:div w:id="172719759">
          <w:marLeft w:val="0"/>
          <w:marRight w:val="0"/>
          <w:marTop w:val="0"/>
          <w:marBottom w:val="0"/>
          <w:divBdr>
            <w:top w:val="none" w:sz="0" w:space="0" w:color="auto"/>
            <w:left w:val="none" w:sz="0" w:space="0" w:color="auto"/>
            <w:bottom w:val="none" w:sz="0" w:space="0" w:color="auto"/>
            <w:right w:val="none" w:sz="0" w:space="0" w:color="auto"/>
          </w:divBdr>
        </w:div>
        <w:div w:id="267347359">
          <w:marLeft w:val="0"/>
          <w:marRight w:val="0"/>
          <w:marTop w:val="0"/>
          <w:marBottom w:val="0"/>
          <w:divBdr>
            <w:top w:val="none" w:sz="0" w:space="0" w:color="auto"/>
            <w:left w:val="none" w:sz="0" w:space="0" w:color="auto"/>
            <w:bottom w:val="none" w:sz="0" w:space="0" w:color="auto"/>
            <w:right w:val="none" w:sz="0" w:space="0" w:color="auto"/>
          </w:divBdr>
        </w:div>
        <w:div w:id="323896594">
          <w:marLeft w:val="0"/>
          <w:marRight w:val="0"/>
          <w:marTop w:val="0"/>
          <w:marBottom w:val="0"/>
          <w:divBdr>
            <w:top w:val="none" w:sz="0" w:space="0" w:color="auto"/>
            <w:left w:val="none" w:sz="0" w:space="0" w:color="auto"/>
            <w:bottom w:val="none" w:sz="0" w:space="0" w:color="auto"/>
            <w:right w:val="none" w:sz="0" w:space="0" w:color="auto"/>
          </w:divBdr>
          <w:divsChild>
            <w:div w:id="97481833">
              <w:marLeft w:val="0"/>
              <w:marRight w:val="0"/>
              <w:marTop w:val="0"/>
              <w:marBottom w:val="0"/>
              <w:divBdr>
                <w:top w:val="none" w:sz="0" w:space="0" w:color="auto"/>
                <w:left w:val="none" w:sz="0" w:space="0" w:color="auto"/>
                <w:bottom w:val="none" w:sz="0" w:space="0" w:color="auto"/>
                <w:right w:val="none" w:sz="0" w:space="0" w:color="auto"/>
              </w:divBdr>
            </w:div>
            <w:div w:id="339242948">
              <w:marLeft w:val="0"/>
              <w:marRight w:val="0"/>
              <w:marTop w:val="0"/>
              <w:marBottom w:val="0"/>
              <w:divBdr>
                <w:top w:val="none" w:sz="0" w:space="0" w:color="auto"/>
                <w:left w:val="none" w:sz="0" w:space="0" w:color="auto"/>
                <w:bottom w:val="none" w:sz="0" w:space="0" w:color="auto"/>
                <w:right w:val="none" w:sz="0" w:space="0" w:color="auto"/>
              </w:divBdr>
            </w:div>
            <w:div w:id="1628201824">
              <w:marLeft w:val="0"/>
              <w:marRight w:val="0"/>
              <w:marTop w:val="0"/>
              <w:marBottom w:val="0"/>
              <w:divBdr>
                <w:top w:val="none" w:sz="0" w:space="0" w:color="auto"/>
                <w:left w:val="none" w:sz="0" w:space="0" w:color="auto"/>
                <w:bottom w:val="none" w:sz="0" w:space="0" w:color="auto"/>
                <w:right w:val="none" w:sz="0" w:space="0" w:color="auto"/>
              </w:divBdr>
            </w:div>
            <w:div w:id="1841194609">
              <w:marLeft w:val="0"/>
              <w:marRight w:val="0"/>
              <w:marTop w:val="0"/>
              <w:marBottom w:val="0"/>
              <w:divBdr>
                <w:top w:val="none" w:sz="0" w:space="0" w:color="auto"/>
                <w:left w:val="none" w:sz="0" w:space="0" w:color="auto"/>
                <w:bottom w:val="none" w:sz="0" w:space="0" w:color="auto"/>
                <w:right w:val="none" w:sz="0" w:space="0" w:color="auto"/>
              </w:divBdr>
            </w:div>
            <w:div w:id="2146508953">
              <w:marLeft w:val="0"/>
              <w:marRight w:val="0"/>
              <w:marTop w:val="0"/>
              <w:marBottom w:val="0"/>
              <w:divBdr>
                <w:top w:val="none" w:sz="0" w:space="0" w:color="auto"/>
                <w:left w:val="none" w:sz="0" w:space="0" w:color="auto"/>
                <w:bottom w:val="none" w:sz="0" w:space="0" w:color="auto"/>
                <w:right w:val="none" w:sz="0" w:space="0" w:color="auto"/>
              </w:divBdr>
            </w:div>
          </w:divsChild>
        </w:div>
        <w:div w:id="329721274">
          <w:marLeft w:val="0"/>
          <w:marRight w:val="0"/>
          <w:marTop w:val="0"/>
          <w:marBottom w:val="0"/>
          <w:divBdr>
            <w:top w:val="none" w:sz="0" w:space="0" w:color="auto"/>
            <w:left w:val="none" w:sz="0" w:space="0" w:color="auto"/>
            <w:bottom w:val="none" w:sz="0" w:space="0" w:color="auto"/>
            <w:right w:val="none" w:sz="0" w:space="0" w:color="auto"/>
          </w:divBdr>
        </w:div>
        <w:div w:id="373121579">
          <w:marLeft w:val="0"/>
          <w:marRight w:val="0"/>
          <w:marTop w:val="0"/>
          <w:marBottom w:val="0"/>
          <w:divBdr>
            <w:top w:val="none" w:sz="0" w:space="0" w:color="auto"/>
            <w:left w:val="none" w:sz="0" w:space="0" w:color="auto"/>
            <w:bottom w:val="none" w:sz="0" w:space="0" w:color="auto"/>
            <w:right w:val="none" w:sz="0" w:space="0" w:color="auto"/>
          </w:divBdr>
        </w:div>
        <w:div w:id="427431600">
          <w:marLeft w:val="0"/>
          <w:marRight w:val="0"/>
          <w:marTop w:val="0"/>
          <w:marBottom w:val="0"/>
          <w:divBdr>
            <w:top w:val="none" w:sz="0" w:space="0" w:color="auto"/>
            <w:left w:val="none" w:sz="0" w:space="0" w:color="auto"/>
            <w:bottom w:val="none" w:sz="0" w:space="0" w:color="auto"/>
            <w:right w:val="none" w:sz="0" w:space="0" w:color="auto"/>
          </w:divBdr>
        </w:div>
        <w:div w:id="450322571">
          <w:marLeft w:val="0"/>
          <w:marRight w:val="0"/>
          <w:marTop w:val="0"/>
          <w:marBottom w:val="0"/>
          <w:divBdr>
            <w:top w:val="none" w:sz="0" w:space="0" w:color="auto"/>
            <w:left w:val="none" w:sz="0" w:space="0" w:color="auto"/>
            <w:bottom w:val="none" w:sz="0" w:space="0" w:color="auto"/>
            <w:right w:val="none" w:sz="0" w:space="0" w:color="auto"/>
          </w:divBdr>
        </w:div>
        <w:div w:id="517350574">
          <w:marLeft w:val="0"/>
          <w:marRight w:val="0"/>
          <w:marTop w:val="0"/>
          <w:marBottom w:val="0"/>
          <w:divBdr>
            <w:top w:val="none" w:sz="0" w:space="0" w:color="auto"/>
            <w:left w:val="none" w:sz="0" w:space="0" w:color="auto"/>
            <w:bottom w:val="none" w:sz="0" w:space="0" w:color="auto"/>
            <w:right w:val="none" w:sz="0" w:space="0" w:color="auto"/>
          </w:divBdr>
        </w:div>
        <w:div w:id="525413062">
          <w:marLeft w:val="0"/>
          <w:marRight w:val="0"/>
          <w:marTop w:val="0"/>
          <w:marBottom w:val="0"/>
          <w:divBdr>
            <w:top w:val="none" w:sz="0" w:space="0" w:color="auto"/>
            <w:left w:val="none" w:sz="0" w:space="0" w:color="auto"/>
            <w:bottom w:val="none" w:sz="0" w:space="0" w:color="auto"/>
            <w:right w:val="none" w:sz="0" w:space="0" w:color="auto"/>
          </w:divBdr>
        </w:div>
        <w:div w:id="575745777">
          <w:marLeft w:val="0"/>
          <w:marRight w:val="0"/>
          <w:marTop w:val="0"/>
          <w:marBottom w:val="0"/>
          <w:divBdr>
            <w:top w:val="none" w:sz="0" w:space="0" w:color="auto"/>
            <w:left w:val="none" w:sz="0" w:space="0" w:color="auto"/>
            <w:bottom w:val="none" w:sz="0" w:space="0" w:color="auto"/>
            <w:right w:val="none" w:sz="0" w:space="0" w:color="auto"/>
          </w:divBdr>
        </w:div>
        <w:div w:id="586891840">
          <w:marLeft w:val="0"/>
          <w:marRight w:val="0"/>
          <w:marTop w:val="0"/>
          <w:marBottom w:val="0"/>
          <w:divBdr>
            <w:top w:val="none" w:sz="0" w:space="0" w:color="auto"/>
            <w:left w:val="none" w:sz="0" w:space="0" w:color="auto"/>
            <w:bottom w:val="none" w:sz="0" w:space="0" w:color="auto"/>
            <w:right w:val="none" w:sz="0" w:space="0" w:color="auto"/>
          </w:divBdr>
        </w:div>
        <w:div w:id="601766190">
          <w:marLeft w:val="0"/>
          <w:marRight w:val="0"/>
          <w:marTop w:val="0"/>
          <w:marBottom w:val="0"/>
          <w:divBdr>
            <w:top w:val="none" w:sz="0" w:space="0" w:color="auto"/>
            <w:left w:val="none" w:sz="0" w:space="0" w:color="auto"/>
            <w:bottom w:val="none" w:sz="0" w:space="0" w:color="auto"/>
            <w:right w:val="none" w:sz="0" w:space="0" w:color="auto"/>
          </w:divBdr>
        </w:div>
        <w:div w:id="602955898">
          <w:marLeft w:val="0"/>
          <w:marRight w:val="0"/>
          <w:marTop w:val="0"/>
          <w:marBottom w:val="0"/>
          <w:divBdr>
            <w:top w:val="none" w:sz="0" w:space="0" w:color="auto"/>
            <w:left w:val="none" w:sz="0" w:space="0" w:color="auto"/>
            <w:bottom w:val="none" w:sz="0" w:space="0" w:color="auto"/>
            <w:right w:val="none" w:sz="0" w:space="0" w:color="auto"/>
          </w:divBdr>
        </w:div>
        <w:div w:id="607548402">
          <w:marLeft w:val="0"/>
          <w:marRight w:val="0"/>
          <w:marTop w:val="0"/>
          <w:marBottom w:val="0"/>
          <w:divBdr>
            <w:top w:val="none" w:sz="0" w:space="0" w:color="auto"/>
            <w:left w:val="none" w:sz="0" w:space="0" w:color="auto"/>
            <w:bottom w:val="none" w:sz="0" w:space="0" w:color="auto"/>
            <w:right w:val="none" w:sz="0" w:space="0" w:color="auto"/>
          </w:divBdr>
        </w:div>
        <w:div w:id="622466364">
          <w:marLeft w:val="0"/>
          <w:marRight w:val="0"/>
          <w:marTop w:val="0"/>
          <w:marBottom w:val="0"/>
          <w:divBdr>
            <w:top w:val="none" w:sz="0" w:space="0" w:color="auto"/>
            <w:left w:val="none" w:sz="0" w:space="0" w:color="auto"/>
            <w:bottom w:val="none" w:sz="0" w:space="0" w:color="auto"/>
            <w:right w:val="none" w:sz="0" w:space="0" w:color="auto"/>
          </w:divBdr>
        </w:div>
        <w:div w:id="644816733">
          <w:marLeft w:val="0"/>
          <w:marRight w:val="0"/>
          <w:marTop w:val="0"/>
          <w:marBottom w:val="0"/>
          <w:divBdr>
            <w:top w:val="none" w:sz="0" w:space="0" w:color="auto"/>
            <w:left w:val="none" w:sz="0" w:space="0" w:color="auto"/>
            <w:bottom w:val="none" w:sz="0" w:space="0" w:color="auto"/>
            <w:right w:val="none" w:sz="0" w:space="0" w:color="auto"/>
          </w:divBdr>
        </w:div>
        <w:div w:id="669138651">
          <w:marLeft w:val="0"/>
          <w:marRight w:val="0"/>
          <w:marTop w:val="0"/>
          <w:marBottom w:val="0"/>
          <w:divBdr>
            <w:top w:val="none" w:sz="0" w:space="0" w:color="auto"/>
            <w:left w:val="none" w:sz="0" w:space="0" w:color="auto"/>
            <w:bottom w:val="none" w:sz="0" w:space="0" w:color="auto"/>
            <w:right w:val="none" w:sz="0" w:space="0" w:color="auto"/>
          </w:divBdr>
        </w:div>
        <w:div w:id="695078071">
          <w:marLeft w:val="0"/>
          <w:marRight w:val="0"/>
          <w:marTop w:val="0"/>
          <w:marBottom w:val="0"/>
          <w:divBdr>
            <w:top w:val="none" w:sz="0" w:space="0" w:color="auto"/>
            <w:left w:val="none" w:sz="0" w:space="0" w:color="auto"/>
            <w:bottom w:val="none" w:sz="0" w:space="0" w:color="auto"/>
            <w:right w:val="none" w:sz="0" w:space="0" w:color="auto"/>
          </w:divBdr>
        </w:div>
        <w:div w:id="728844771">
          <w:marLeft w:val="0"/>
          <w:marRight w:val="0"/>
          <w:marTop w:val="0"/>
          <w:marBottom w:val="0"/>
          <w:divBdr>
            <w:top w:val="none" w:sz="0" w:space="0" w:color="auto"/>
            <w:left w:val="none" w:sz="0" w:space="0" w:color="auto"/>
            <w:bottom w:val="none" w:sz="0" w:space="0" w:color="auto"/>
            <w:right w:val="none" w:sz="0" w:space="0" w:color="auto"/>
          </w:divBdr>
        </w:div>
        <w:div w:id="731584391">
          <w:marLeft w:val="0"/>
          <w:marRight w:val="0"/>
          <w:marTop w:val="0"/>
          <w:marBottom w:val="0"/>
          <w:divBdr>
            <w:top w:val="none" w:sz="0" w:space="0" w:color="auto"/>
            <w:left w:val="none" w:sz="0" w:space="0" w:color="auto"/>
            <w:bottom w:val="none" w:sz="0" w:space="0" w:color="auto"/>
            <w:right w:val="none" w:sz="0" w:space="0" w:color="auto"/>
          </w:divBdr>
        </w:div>
        <w:div w:id="742289565">
          <w:marLeft w:val="0"/>
          <w:marRight w:val="0"/>
          <w:marTop w:val="0"/>
          <w:marBottom w:val="0"/>
          <w:divBdr>
            <w:top w:val="none" w:sz="0" w:space="0" w:color="auto"/>
            <w:left w:val="none" w:sz="0" w:space="0" w:color="auto"/>
            <w:bottom w:val="none" w:sz="0" w:space="0" w:color="auto"/>
            <w:right w:val="none" w:sz="0" w:space="0" w:color="auto"/>
          </w:divBdr>
        </w:div>
        <w:div w:id="769006444">
          <w:marLeft w:val="0"/>
          <w:marRight w:val="0"/>
          <w:marTop w:val="0"/>
          <w:marBottom w:val="0"/>
          <w:divBdr>
            <w:top w:val="none" w:sz="0" w:space="0" w:color="auto"/>
            <w:left w:val="none" w:sz="0" w:space="0" w:color="auto"/>
            <w:bottom w:val="none" w:sz="0" w:space="0" w:color="auto"/>
            <w:right w:val="none" w:sz="0" w:space="0" w:color="auto"/>
          </w:divBdr>
        </w:div>
        <w:div w:id="801309488">
          <w:marLeft w:val="0"/>
          <w:marRight w:val="0"/>
          <w:marTop w:val="0"/>
          <w:marBottom w:val="0"/>
          <w:divBdr>
            <w:top w:val="none" w:sz="0" w:space="0" w:color="auto"/>
            <w:left w:val="none" w:sz="0" w:space="0" w:color="auto"/>
            <w:bottom w:val="none" w:sz="0" w:space="0" w:color="auto"/>
            <w:right w:val="none" w:sz="0" w:space="0" w:color="auto"/>
          </w:divBdr>
        </w:div>
        <w:div w:id="827133557">
          <w:marLeft w:val="0"/>
          <w:marRight w:val="0"/>
          <w:marTop w:val="0"/>
          <w:marBottom w:val="0"/>
          <w:divBdr>
            <w:top w:val="none" w:sz="0" w:space="0" w:color="auto"/>
            <w:left w:val="none" w:sz="0" w:space="0" w:color="auto"/>
            <w:bottom w:val="none" w:sz="0" w:space="0" w:color="auto"/>
            <w:right w:val="none" w:sz="0" w:space="0" w:color="auto"/>
          </w:divBdr>
        </w:div>
        <w:div w:id="844173442">
          <w:marLeft w:val="0"/>
          <w:marRight w:val="0"/>
          <w:marTop w:val="0"/>
          <w:marBottom w:val="0"/>
          <w:divBdr>
            <w:top w:val="none" w:sz="0" w:space="0" w:color="auto"/>
            <w:left w:val="none" w:sz="0" w:space="0" w:color="auto"/>
            <w:bottom w:val="none" w:sz="0" w:space="0" w:color="auto"/>
            <w:right w:val="none" w:sz="0" w:space="0" w:color="auto"/>
          </w:divBdr>
        </w:div>
        <w:div w:id="881594732">
          <w:marLeft w:val="0"/>
          <w:marRight w:val="0"/>
          <w:marTop w:val="0"/>
          <w:marBottom w:val="0"/>
          <w:divBdr>
            <w:top w:val="none" w:sz="0" w:space="0" w:color="auto"/>
            <w:left w:val="none" w:sz="0" w:space="0" w:color="auto"/>
            <w:bottom w:val="none" w:sz="0" w:space="0" w:color="auto"/>
            <w:right w:val="none" w:sz="0" w:space="0" w:color="auto"/>
          </w:divBdr>
        </w:div>
        <w:div w:id="898638673">
          <w:marLeft w:val="0"/>
          <w:marRight w:val="0"/>
          <w:marTop w:val="0"/>
          <w:marBottom w:val="0"/>
          <w:divBdr>
            <w:top w:val="none" w:sz="0" w:space="0" w:color="auto"/>
            <w:left w:val="none" w:sz="0" w:space="0" w:color="auto"/>
            <w:bottom w:val="none" w:sz="0" w:space="0" w:color="auto"/>
            <w:right w:val="none" w:sz="0" w:space="0" w:color="auto"/>
          </w:divBdr>
        </w:div>
        <w:div w:id="903680634">
          <w:marLeft w:val="0"/>
          <w:marRight w:val="0"/>
          <w:marTop w:val="0"/>
          <w:marBottom w:val="0"/>
          <w:divBdr>
            <w:top w:val="none" w:sz="0" w:space="0" w:color="auto"/>
            <w:left w:val="none" w:sz="0" w:space="0" w:color="auto"/>
            <w:bottom w:val="none" w:sz="0" w:space="0" w:color="auto"/>
            <w:right w:val="none" w:sz="0" w:space="0" w:color="auto"/>
          </w:divBdr>
        </w:div>
        <w:div w:id="910458654">
          <w:marLeft w:val="0"/>
          <w:marRight w:val="0"/>
          <w:marTop w:val="0"/>
          <w:marBottom w:val="0"/>
          <w:divBdr>
            <w:top w:val="none" w:sz="0" w:space="0" w:color="auto"/>
            <w:left w:val="none" w:sz="0" w:space="0" w:color="auto"/>
            <w:bottom w:val="none" w:sz="0" w:space="0" w:color="auto"/>
            <w:right w:val="none" w:sz="0" w:space="0" w:color="auto"/>
          </w:divBdr>
        </w:div>
        <w:div w:id="931203435">
          <w:marLeft w:val="0"/>
          <w:marRight w:val="0"/>
          <w:marTop w:val="0"/>
          <w:marBottom w:val="0"/>
          <w:divBdr>
            <w:top w:val="none" w:sz="0" w:space="0" w:color="auto"/>
            <w:left w:val="none" w:sz="0" w:space="0" w:color="auto"/>
            <w:bottom w:val="none" w:sz="0" w:space="0" w:color="auto"/>
            <w:right w:val="none" w:sz="0" w:space="0" w:color="auto"/>
          </w:divBdr>
        </w:div>
        <w:div w:id="969242311">
          <w:marLeft w:val="0"/>
          <w:marRight w:val="0"/>
          <w:marTop w:val="0"/>
          <w:marBottom w:val="0"/>
          <w:divBdr>
            <w:top w:val="none" w:sz="0" w:space="0" w:color="auto"/>
            <w:left w:val="none" w:sz="0" w:space="0" w:color="auto"/>
            <w:bottom w:val="none" w:sz="0" w:space="0" w:color="auto"/>
            <w:right w:val="none" w:sz="0" w:space="0" w:color="auto"/>
          </w:divBdr>
        </w:div>
        <w:div w:id="983661252">
          <w:marLeft w:val="0"/>
          <w:marRight w:val="0"/>
          <w:marTop w:val="0"/>
          <w:marBottom w:val="0"/>
          <w:divBdr>
            <w:top w:val="none" w:sz="0" w:space="0" w:color="auto"/>
            <w:left w:val="none" w:sz="0" w:space="0" w:color="auto"/>
            <w:bottom w:val="none" w:sz="0" w:space="0" w:color="auto"/>
            <w:right w:val="none" w:sz="0" w:space="0" w:color="auto"/>
          </w:divBdr>
        </w:div>
        <w:div w:id="1003243548">
          <w:marLeft w:val="0"/>
          <w:marRight w:val="0"/>
          <w:marTop w:val="0"/>
          <w:marBottom w:val="0"/>
          <w:divBdr>
            <w:top w:val="none" w:sz="0" w:space="0" w:color="auto"/>
            <w:left w:val="none" w:sz="0" w:space="0" w:color="auto"/>
            <w:bottom w:val="none" w:sz="0" w:space="0" w:color="auto"/>
            <w:right w:val="none" w:sz="0" w:space="0" w:color="auto"/>
          </w:divBdr>
        </w:div>
        <w:div w:id="1019503709">
          <w:marLeft w:val="0"/>
          <w:marRight w:val="0"/>
          <w:marTop w:val="0"/>
          <w:marBottom w:val="0"/>
          <w:divBdr>
            <w:top w:val="none" w:sz="0" w:space="0" w:color="auto"/>
            <w:left w:val="none" w:sz="0" w:space="0" w:color="auto"/>
            <w:bottom w:val="none" w:sz="0" w:space="0" w:color="auto"/>
            <w:right w:val="none" w:sz="0" w:space="0" w:color="auto"/>
          </w:divBdr>
        </w:div>
        <w:div w:id="1037580089">
          <w:marLeft w:val="0"/>
          <w:marRight w:val="0"/>
          <w:marTop w:val="0"/>
          <w:marBottom w:val="0"/>
          <w:divBdr>
            <w:top w:val="none" w:sz="0" w:space="0" w:color="auto"/>
            <w:left w:val="none" w:sz="0" w:space="0" w:color="auto"/>
            <w:bottom w:val="none" w:sz="0" w:space="0" w:color="auto"/>
            <w:right w:val="none" w:sz="0" w:space="0" w:color="auto"/>
          </w:divBdr>
        </w:div>
        <w:div w:id="1054087271">
          <w:marLeft w:val="0"/>
          <w:marRight w:val="0"/>
          <w:marTop w:val="0"/>
          <w:marBottom w:val="0"/>
          <w:divBdr>
            <w:top w:val="none" w:sz="0" w:space="0" w:color="auto"/>
            <w:left w:val="none" w:sz="0" w:space="0" w:color="auto"/>
            <w:bottom w:val="none" w:sz="0" w:space="0" w:color="auto"/>
            <w:right w:val="none" w:sz="0" w:space="0" w:color="auto"/>
          </w:divBdr>
        </w:div>
        <w:div w:id="1091707770">
          <w:marLeft w:val="0"/>
          <w:marRight w:val="0"/>
          <w:marTop w:val="0"/>
          <w:marBottom w:val="0"/>
          <w:divBdr>
            <w:top w:val="none" w:sz="0" w:space="0" w:color="auto"/>
            <w:left w:val="none" w:sz="0" w:space="0" w:color="auto"/>
            <w:bottom w:val="none" w:sz="0" w:space="0" w:color="auto"/>
            <w:right w:val="none" w:sz="0" w:space="0" w:color="auto"/>
          </w:divBdr>
        </w:div>
        <w:div w:id="1111706482">
          <w:marLeft w:val="0"/>
          <w:marRight w:val="0"/>
          <w:marTop w:val="0"/>
          <w:marBottom w:val="0"/>
          <w:divBdr>
            <w:top w:val="none" w:sz="0" w:space="0" w:color="auto"/>
            <w:left w:val="none" w:sz="0" w:space="0" w:color="auto"/>
            <w:bottom w:val="none" w:sz="0" w:space="0" w:color="auto"/>
            <w:right w:val="none" w:sz="0" w:space="0" w:color="auto"/>
          </w:divBdr>
        </w:div>
        <w:div w:id="1117022526">
          <w:marLeft w:val="0"/>
          <w:marRight w:val="0"/>
          <w:marTop w:val="0"/>
          <w:marBottom w:val="0"/>
          <w:divBdr>
            <w:top w:val="none" w:sz="0" w:space="0" w:color="auto"/>
            <w:left w:val="none" w:sz="0" w:space="0" w:color="auto"/>
            <w:bottom w:val="none" w:sz="0" w:space="0" w:color="auto"/>
            <w:right w:val="none" w:sz="0" w:space="0" w:color="auto"/>
          </w:divBdr>
        </w:div>
        <w:div w:id="1135640375">
          <w:marLeft w:val="0"/>
          <w:marRight w:val="0"/>
          <w:marTop w:val="0"/>
          <w:marBottom w:val="0"/>
          <w:divBdr>
            <w:top w:val="none" w:sz="0" w:space="0" w:color="auto"/>
            <w:left w:val="none" w:sz="0" w:space="0" w:color="auto"/>
            <w:bottom w:val="none" w:sz="0" w:space="0" w:color="auto"/>
            <w:right w:val="none" w:sz="0" w:space="0" w:color="auto"/>
          </w:divBdr>
        </w:div>
        <w:div w:id="1162040896">
          <w:marLeft w:val="0"/>
          <w:marRight w:val="0"/>
          <w:marTop w:val="0"/>
          <w:marBottom w:val="0"/>
          <w:divBdr>
            <w:top w:val="none" w:sz="0" w:space="0" w:color="auto"/>
            <w:left w:val="none" w:sz="0" w:space="0" w:color="auto"/>
            <w:bottom w:val="none" w:sz="0" w:space="0" w:color="auto"/>
            <w:right w:val="none" w:sz="0" w:space="0" w:color="auto"/>
          </w:divBdr>
        </w:div>
        <w:div w:id="1165512903">
          <w:marLeft w:val="0"/>
          <w:marRight w:val="0"/>
          <w:marTop w:val="0"/>
          <w:marBottom w:val="0"/>
          <w:divBdr>
            <w:top w:val="none" w:sz="0" w:space="0" w:color="auto"/>
            <w:left w:val="none" w:sz="0" w:space="0" w:color="auto"/>
            <w:bottom w:val="none" w:sz="0" w:space="0" w:color="auto"/>
            <w:right w:val="none" w:sz="0" w:space="0" w:color="auto"/>
          </w:divBdr>
        </w:div>
        <w:div w:id="1228150223">
          <w:marLeft w:val="0"/>
          <w:marRight w:val="0"/>
          <w:marTop w:val="0"/>
          <w:marBottom w:val="0"/>
          <w:divBdr>
            <w:top w:val="none" w:sz="0" w:space="0" w:color="auto"/>
            <w:left w:val="none" w:sz="0" w:space="0" w:color="auto"/>
            <w:bottom w:val="none" w:sz="0" w:space="0" w:color="auto"/>
            <w:right w:val="none" w:sz="0" w:space="0" w:color="auto"/>
          </w:divBdr>
        </w:div>
        <w:div w:id="1231423289">
          <w:marLeft w:val="0"/>
          <w:marRight w:val="0"/>
          <w:marTop w:val="0"/>
          <w:marBottom w:val="0"/>
          <w:divBdr>
            <w:top w:val="none" w:sz="0" w:space="0" w:color="auto"/>
            <w:left w:val="none" w:sz="0" w:space="0" w:color="auto"/>
            <w:bottom w:val="none" w:sz="0" w:space="0" w:color="auto"/>
            <w:right w:val="none" w:sz="0" w:space="0" w:color="auto"/>
          </w:divBdr>
        </w:div>
        <w:div w:id="1250655179">
          <w:marLeft w:val="0"/>
          <w:marRight w:val="0"/>
          <w:marTop w:val="0"/>
          <w:marBottom w:val="0"/>
          <w:divBdr>
            <w:top w:val="none" w:sz="0" w:space="0" w:color="auto"/>
            <w:left w:val="none" w:sz="0" w:space="0" w:color="auto"/>
            <w:bottom w:val="none" w:sz="0" w:space="0" w:color="auto"/>
            <w:right w:val="none" w:sz="0" w:space="0" w:color="auto"/>
          </w:divBdr>
        </w:div>
        <w:div w:id="1279876476">
          <w:marLeft w:val="0"/>
          <w:marRight w:val="0"/>
          <w:marTop w:val="0"/>
          <w:marBottom w:val="0"/>
          <w:divBdr>
            <w:top w:val="none" w:sz="0" w:space="0" w:color="auto"/>
            <w:left w:val="none" w:sz="0" w:space="0" w:color="auto"/>
            <w:bottom w:val="none" w:sz="0" w:space="0" w:color="auto"/>
            <w:right w:val="none" w:sz="0" w:space="0" w:color="auto"/>
          </w:divBdr>
        </w:div>
        <w:div w:id="1285307013">
          <w:marLeft w:val="0"/>
          <w:marRight w:val="0"/>
          <w:marTop w:val="0"/>
          <w:marBottom w:val="0"/>
          <w:divBdr>
            <w:top w:val="none" w:sz="0" w:space="0" w:color="auto"/>
            <w:left w:val="none" w:sz="0" w:space="0" w:color="auto"/>
            <w:bottom w:val="none" w:sz="0" w:space="0" w:color="auto"/>
            <w:right w:val="none" w:sz="0" w:space="0" w:color="auto"/>
          </w:divBdr>
        </w:div>
        <w:div w:id="1342782228">
          <w:marLeft w:val="0"/>
          <w:marRight w:val="0"/>
          <w:marTop w:val="0"/>
          <w:marBottom w:val="0"/>
          <w:divBdr>
            <w:top w:val="none" w:sz="0" w:space="0" w:color="auto"/>
            <w:left w:val="none" w:sz="0" w:space="0" w:color="auto"/>
            <w:bottom w:val="none" w:sz="0" w:space="0" w:color="auto"/>
            <w:right w:val="none" w:sz="0" w:space="0" w:color="auto"/>
          </w:divBdr>
        </w:div>
        <w:div w:id="1357536772">
          <w:marLeft w:val="0"/>
          <w:marRight w:val="0"/>
          <w:marTop w:val="0"/>
          <w:marBottom w:val="0"/>
          <w:divBdr>
            <w:top w:val="none" w:sz="0" w:space="0" w:color="auto"/>
            <w:left w:val="none" w:sz="0" w:space="0" w:color="auto"/>
            <w:bottom w:val="none" w:sz="0" w:space="0" w:color="auto"/>
            <w:right w:val="none" w:sz="0" w:space="0" w:color="auto"/>
          </w:divBdr>
        </w:div>
        <w:div w:id="1415786599">
          <w:marLeft w:val="0"/>
          <w:marRight w:val="0"/>
          <w:marTop w:val="0"/>
          <w:marBottom w:val="0"/>
          <w:divBdr>
            <w:top w:val="none" w:sz="0" w:space="0" w:color="auto"/>
            <w:left w:val="none" w:sz="0" w:space="0" w:color="auto"/>
            <w:bottom w:val="none" w:sz="0" w:space="0" w:color="auto"/>
            <w:right w:val="none" w:sz="0" w:space="0" w:color="auto"/>
          </w:divBdr>
        </w:div>
        <w:div w:id="1432697778">
          <w:marLeft w:val="0"/>
          <w:marRight w:val="0"/>
          <w:marTop w:val="0"/>
          <w:marBottom w:val="0"/>
          <w:divBdr>
            <w:top w:val="none" w:sz="0" w:space="0" w:color="auto"/>
            <w:left w:val="none" w:sz="0" w:space="0" w:color="auto"/>
            <w:bottom w:val="none" w:sz="0" w:space="0" w:color="auto"/>
            <w:right w:val="none" w:sz="0" w:space="0" w:color="auto"/>
          </w:divBdr>
        </w:div>
        <w:div w:id="1445223832">
          <w:marLeft w:val="0"/>
          <w:marRight w:val="0"/>
          <w:marTop w:val="0"/>
          <w:marBottom w:val="0"/>
          <w:divBdr>
            <w:top w:val="none" w:sz="0" w:space="0" w:color="auto"/>
            <w:left w:val="none" w:sz="0" w:space="0" w:color="auto"/>
            <w:bottom w:val="none" w:sz="0" w:space="0" w:color="auto"/>
            <w:right w:val="none" w:sz="0" w:space="0" w:color="auto"/>
          </w:divBdr>
        </w:div>
        <w:div w:id="1450205275">
          <w:marLeft w:val="0"/>
          <w:marRight w:val="0"/>
          <w:marTop w:val="0"/>
          <w:marBottom w:val="0"/>
          <w:divBdr>
            <w:top w:val="none" w:sz="0" w:space="0" w:color="auto"/>
            <w:left w:val="none" w:sz="0" w:space="0" w:color="auto"/>
            <w:bottom w:val="none" w:sz="0" w:space="0" w:color="auto"/>
            <w:right w:val="none" w:sz="0" w:space="0" w:color="auto"/>
          </w:divBdr>
          <w:divsChild>
            <w:div w:id="460995586">
              <w:marLeft w:val="0"/>
              <w:marRight w:val="0"/>
              <w:marTop w:val="0"/>
              <w:marBottom w:val="0"/>
              <w:divBdr>
                <w:top w:val="none" w:sz="0" w:space="0" w:color="auto"/>
                <w:left w:val="none" w:sz="0" w:space="0" w:color="auto"/>
                <w:bottom w:val="none" w:sz="0" w:space="0" w:color="auto"/>
                <w:right w:val="none" w:sz="0" w:space="0" w:color="auto"/>
              </w:divBdr>
            </w:div>
            <w:div w:id="574510652">
              <w:marLeft w:val="0"/>
              <w:marRight w:val="0"/>
              <w:marTop w:val="0"/>
              <w:marBottom w:val="0"/>
              <w:divBdr>
                <w:top w:val="none" w:sz="0" w:space="0" w:color="auto"/>
                <w:left w:val="none" w:sz="0" w:space="0" w:color="auto"/>
                <w:bottom w:val="none" w:sz="0" w:space="0" w:color="auto"/>
                <w:right w:val="none" w:sz="0" w:space="0" w:color="auto"/>
              </w:divBdr>
            </w:div>
            <w:div w:id="674502722">
              <w:marLeft w:val="0"/>
              <w:marRight w:val="0"/>
              <w:marTop w:val="0"/>
              <w:marBottom w:val="0"/>
              <w:divBdr>
                <w:top w:val="none" w:sz="0" w:space="0" w:color="auto"/>
                <w:left w:val="none" w:sz="0" w:space="0" w:color="auto"/>
                <w:bottom w:val="none" w:sz="0" w:space="0" w:color="auto"/>
                <w:right w:val="none" w:sz="0" w:space="0" w:color="auto"/>
              </w:divBdr>
            </w:div>
          </w:divsChild>
        </w:div>
        <w:div w:id="1531527225">
          <w:marLeft w:val="0"/>
          <w:marRight w:val="0"/>
          <w:marTop w:val="0"/>
          <w:marBottom w:val="0"/>
          <w:divBdr>
            <w:top w:val="none" w:sz="0" w:space="0" w:color="auto"/>
            <w:left w:val="none" w:sz="0" w:space="0" w:color="auto"/>
            <w:bottom w:val="none" w:sz="0" w:space="0" w:color="auto"/>
            <w:right w:val="none" w:sz="0" w:space="0" w:color="auto"/>
          </w:divBdr>
        </w:div>
        <w:div w:id="1549873139">
          <w:marLeft w:val="0"/>
          <w:marRight w:val="0"/>
          <w:marTop w:val="0"/>
          <w:marBottom w:val="0"/>
          <w:divBdr>
            <w:top w:val="none" w:sz="0" w:space="0" w:color="auto"/>
            <w:left w:val="none" w:sz="0" w:space="0" w:color="auto"/>
            <w:bottom w:val="none" w:sz="0" w:space="0" w:color="auto"/>
            <w:right w:val="none" w:sz="0" w:space="0" w:color="auto"/>
          </w:divBdr>
        </w:div>
        <w:div w:id="1567717119">
          <w:marLeft w:val="0"/>
          <w:marRight w:val="0"/>
          <w:marTop w:val="0"/>
          <w:marBottom w:val="0"/>
          <w:divBdr>
            <w:top w:val="none" w:sz="0" w:space="0" w:color="auto"/>
            <w:left w:val="none" w:sz="0" w:space="0" w:color="auto"/>
            <w:bottom w:val="none" w:sz="0" w:space="0" w:color="auto"/>
            <w:right w:val="none" w:sz="0" w:space="0" w:color="auto"/>
          </w:divBdr>
        </w:div>
        <w:div w:id="1575628797">
          <w:marLeft w:val="0"/>
          <w:marRight w:val="0"/>
          <w:marTop w:val="0"/>
          <w:marBottom w:val="0"/>
          <w:divBdr>
            <w:top w:val="none" w:sz="0" w:space="0" w:color="auto"/>
            <w:left w:val="none" w:sz="0" w:space="0" w:color="auto"/>
            <w:bottom w:val="none" w:sz="0" w:space="0" w:color="auto"/>
            <w:right w:val="none" w:sz="0" w:space="0" w:color="auto"/>
          </w:divBdr>
        </w:div>
        <w:div w:id="1607229756">
          <w:marLeft w:val="0"/>
          <w:marRight w:val="0"/>
          <w:marTop w:val="0"/>
          <w:marBottom w:val="0"/>
          <w:divBdr>
            <w:top w:val="none" w:sz="0" w:space="0" w:color="auto"/>
            <w:left w:val="none" w:sz="0" w:space="0" w:color="auto"/>
            <w:bottom w:val="none" w:sz="0" w:space="0" w:color="auto"/>
            <w:right w:val="none" w:sz="0" w:space="0" w:color="auto"/>
          </w:divBdr>
        </w:div>
        <w:div w:id="1627195015">
          <w:marLeft w:val="0"/>
          <w:marRight w:val="0"/>
          <w:marTop w:val="0"/>
          <w:marBottom w:val="0"/>
          <w:divBdr>
            <w:top w:val="none" w:sz="0" w:space="0" w:color="auto"/>
            <w:left w:val="none" w:sz="0" w:space="0" w:color="auto"/>
            <w:bottom w:val="none" w:sz="0" w:space="0" w:color="auto"/>
            <w:right w:val="none" w:sz="0" w:space="0" w:color="auto"/>
          </w:divBdr>
        </w:div>
        <w:div w:id="1627614640">
          <w:marLeft w:val="0"/>
          <w:marRight w:val="0"/>
          <w:marTop w:val="0"/>
          <w:marBottom w:val="0"/>
          <w:divBdr>
            <w:top w:val="none" w:sz="0" w:space="0" w:color="auto"/>
            <w:left w:val="none" w:sz="0" w:space="0" w:color="auto"/>
            <w:bottom w:val="none" w:sz="0" w:space="0" w:color="auto"/>
            <w:right w:val="none" w:sz="0" w:space="0" w:color="auto"/>
          </w:divBdr>
        </w:div>
        <w:div w:id="1653369078">
          <w:marLeft w:val="0"/>
          <w:marRight w:val="0"/>
          <w:marTop w:val="0"/>
          <w:marBottom w:val="0"/>
          <w:divBdr>
            <w:top w:val="none" w:sz="0" w:space="0" w:color="auto"/>
            <w:left w:val="none" w:sz="0" w:space="0" w:color="auto"/>
            <w:bottom w:val="none" w:sz="0" w:space="0" w:color="auto"/>
            <w:right w:val="none" w:sz="0" w:space="0" w:color="auto"/>
          </w:divBdr>
        </w:div>
        <w:div w:id="1666663589">
          <w:marLeft w:val="0"/>
          <w:marRight w:val="0"/>
          <w:marTop w:val="0"/>
          <w:marBottom w:val="0"/>
          <w:divBdr>
            <w:top w:val="none" w:sz="0" w:space="0" w:color="auto"/>
            <w:left w:val="none" w:sz="0" w:space="0" w:color="auto"/>
            <w:bottom w:val="none" w:sz="0" w:space="0" w:color="auto"/>
            <w:right w:val="none" w:sz="0" w:space="0" w:color="auto"/>
          </w:divBdr>
        </w:div>
        <w:div w:id="1674647366">
          <w:marLeft w:val="0"/>
          <w:marRight w:val="0"/>
          <w:marTop w:val="0"/>
          <w:marBottom w:val="0"/>
          <w:divBdr>
            <w:top w:val="none" w:sz="0" w:space="0" w:color="auto"/>
            <w:left w:val="none" w:sz="0" w:space="0" w:color="auto"/>
            <w:bottom w:val="none" w:sz="0" w:space="0" w:color="auto"/>
            <w:right w:val="none" w:sz="0" w:space="0" w:color="auto"/>
          </w:divBdr>
        </w:div>
        <w:div w:id="1680808229">
          <w:marLeft w:val="0"/>
          <w:marRight w:val="0"/>
          <w:marTop w:val="0"/>
          <w:marBottom w:val="0"/>
          <w:divBdr>
            <w:top w:val="none" w:sz="0" w:space="0" w:color="auto"/>
            <w:left w:val="none" w:sz="0" w:space="0" w:color="auto"/>
            <w:bottom w:val="none" w:sz="0" w:space="0" w:color="auto"/>
            <w:right w:val="none" w:sz="0" w:space="0" w:color="auto"/>
          </w:divBdr>
        </w:div>
        <w:div w:id="1695884291">
          <w:marLeft w:val="0"/>
          <w:marRight w:val="0"/>
          <w:marTop w:val="0"/>
          <w:marBottom w:val="0"/>
          <w:divBdr>
            <w:top w:val="none" w:sz="0" w:space="0" w:color="auto"/>
            <w:left w:val="none" w:sz="0" w:space="0" w:color="auto"/>
            <w:bottom w:val="none" w:sz="0" w:space="0" w:color="auto"/>
            <w:right w:val="none" w:sz="0" w:space="0" w:color="auto"/>
          </w:divBdr>
        </w:div>
        <w:div w:id="1725981882">
          <w:marLeft w:val="0"/>
          <w:marRight w:val="0"/>
          <w:marTop w:val="0"/>
          <w:marBottom w:val="0"/>
          <w:divBdr>
            <w:top w:val="none" w:sz="0" w:space="0" w:color="auto"/>
            <w:left w:val="none" w:sz="0" w:space="0" w:color="auto"/>
            <w:bottom w:val="none" w:sz="0" w:space="0" w:color="auto"/>
            <w:right w:val="none" w:sz="0" w:space="0" w:color="auto"/>
          </w:divBdr>
        </w:div>
        <w:div w:id="1727294500">
          <w:marLeft w:val="0"/>
          <w:marRight w:val="0"/>
          <w:marTop w:val="0"/>
          <w:marBottom w:val="0"/>
          <w:divBdr>
            <w:top w:val="none" w:sz="0" w:space="0" w:color="auto"/>
            <w:left w:val="none" w:sz="0" w:space="0" w:color="auto"/>
            <w:bottom w:val="none" w:sz="0" w:space="0" w:color="auto"/>
            <w:right w:val="none" w:sz="0" w:space="0" w:color="auto"/>
          </w:divBdr>
        </w:div>
        <w:div w:id="1775468144">
          <w:marLeft w:val="0"/>
          <w:marRight w:val="0"/>
          <w:marTop w:val="0"/>
          <w:marBottom w:val="0"/>
          <w:divBdr>
            <w:top w:val="none" w:sz="0" w:space="0" w:color="auto"/>
            <w:left w:val="none" w:sz="0" w:space="0" w:color="auto"/>
            <w:bottom w:val="none" w:sz="0" w:space="0" w:color="auto"/>
            <w:right w:val="none" w:sz="0" w:space="0" w:color="auto"/>
          </w:divBdr>
        </w:div>
        <w:div w:id="1780951158">
          <w:marLeft w:val="0"/>
          <w:marRight w:val="0"/>
          <w:marTop w:val="0"/>
          <w:marBottom w:val="0"/>
          <w:divBdr>
            <w:top w:val="none" w:sz="0" w:space="0" w:color="auto"/>
            <w:left w:val="none" w:sz="0" w:space="0" w:color="auto"/>
            <w:bottom w:val="none" w:sz="0" w:space="0" w:color="auto"/>
            <w:right w:val="none" w:sz="0" w:space="0" w:color="auto"/>
          </w:divBdr>
          <w:divsChild>
            <w:div w:id="410977474">
              <w:marLeft w:val="0"/>
              <w:marRight w:val="0"/>
              <w:marTop w:val="0"/>
              <w:marBottom w:val="0"/>
              <w:divBdr>
                <w:top w:val="none" w:sz="0" w:space="0" w:color="auto"/>
                <w:left w:val="none" w:sz="0" w:space="0" w:color="auto"/>
                <w:bottom w:val="none" w:sz="0" w:space="0" w:color="auto"/>
                <w:right w:val="none" w:sz="0" w:space="0" w:color="auto"/>
              </w:divBdr>
            </w:div>
            <w:div w:id="586814638">
              <w:marLeft w:val="0"/>
              <w:marRight w:val="0"/>
              <w:marTop w:val="0"/>
              <w:marBottom w:val="0"/>
              <w:divBdr>
                <w:top w:val="none" w:sz="0" w:space="0" w:color="auto"/>
                <w:left w:val="none" w:sz="0" w:space="0" w:color="auto"/>
                <w:bottom w:val="none" w:sz="0" w:space="0" w:color="auto"/>
                <w:right w:val="none" w:sz="0" w:space="0" w:color="auto"/>
              </w:divBdr>
            </w:div>
            <w:div w:id="1811558663">
              <w:marLeft w:val="0"/>
              <w:marRight w:val="0"/>
              <w:marTop w:val="0"/>
              <w:marBottom w:val="0"/>
              <w:divBdr>
                <w:top w:val="none" w:sz="0" w:space="0" w:color="auto"/>
                <w:left w:val="none" w:sz="0" w:space="0" w:color="auto"/>
                <w:bottom w:val="none" w:sz="0" w:space="0" w:color="auto"/>
                <w:right w:val="none" w:sz="0" w:space="0" w:color="auto"/>
              </w:divBdr>
            </w:div>
          </w:divsChild>
        </w:div>
        <w:div w:id="1805151321">
          <w:marLeft w:val="0"/>
          <w:marRight w:val="0"/>
          <w:marTop w:val="0"/>
          <w:marBottom w:val="0"/>
          <w:divBdr>
            <w:top w:val="none" w:sz="0" w:space="0" w:color="auto"/>
            <w:left w:val="none" w:sz="0" w:space="0" w:color="auto"/>
            <w:bottom w:val="none" w:sz="0" w:space="0" w:color="auto"/>
            <w:right w:val="none" w:sz="0" w:space="0" w:color="auto"/>
          </w:divBdr>
        </w:div>
        <w:div w:id="1805200722">
          <w:marLeft w:val="0"/>
          <w:marRight w:val="0"/>
          <w:marTop w:val="0"/>
          <w:marBottom w:val="0"/>
          <w:divBdr>
            <w:top w:val="none" w:sz="0" w:space="0" w:color="auto"/>
            <w:left w:val="none" w:sz="0" w:space="0" w:color="auto"/>
            <w:bottom w:val="none" w:sz="0" w:space="0" w:color="auto"/>
            <w:right w:val="none" w:sz="0" w:space="0" w:color="auto"/>
          </w:divBdr>
        </w:div>
        <w:div w:id="1809131721">
          <w:marLeft w:val="0"/>
          <w:marRight w:val="0"/>
          <w:marTop w:val="0"/>
          <w:marBottom w:val="0"/>
          <w:divBdr>
            <w:top w:val="none" w:sz="0" w:space="0" w:color="auto"/>
            <w:left w:val="none" w:sz="0" w:space="0" w:color="auto"/>
            <w:bottom w:val="none" w:sz="0" w:space="0" w:color="auto"/>
            <w:right w:val="none" w:sz="0" w:space="0" w:color="auto"/>
          </w:divBdr>
        </w:div>
        <w:div w:id="1864321941">
          <w:marLeft w:val="0"/>
          <w:marRight w:val="0"/>
          <w:marTop w:val="0"/>
          <w:marBottom w:val="0"/>
          <w:divBdr>
            <w:top w:val="none" w:sz="0" w:space="0" w:color="auto"/>
            <w:left w:val="none" w:sz="0" w:space="0" w:color="auto"/>
            <w:bottom w:val="none" w:sz="0" w:space="0" w:color="auto"/>
            <w:right w:val="none" w:sz="0" w:space="0" w:color="auto"/>
          </w:divBdr>
        </w:div>
        <w:div w:id="1875845714">
          <w:marLeft w:val="0"/>
          <w:marRight w:val="0"/>
          <w:marTop w:val="0"/>
          <w:marBottom w:val="0"/>
          <w:divBdr>
            <w:top w:val="none" w:sz="0" w:space="0" w:color="auto"/>
            <w:left w:val="none" w:sz="0" w:space="0" w:color="auto"/>
            <w:bottom w:val="none" w:sz="0" w:space="0" w:color="auto"/>
            <w:right w:val="none" w:sz="0" w:space="0" w:color="auto"/>
          </w:divBdr>
        </w:div>
        <w:div w:id="1899517059">
          <w:marLeft w:val="0"/>
          <w:marRight w:val="0"/>
          <w:marTop w:val="0"/>
          <w:marBottom w:val="0"/>
          <w:divBdr>
            <w:top w:val="none" w:sz="0" w:space="0" w:color="auto"/>
            <w:left w:val="none" w:sz="0" w:space="0" w:color="auto"/>
            <w:bottom w:val="none" w:sz="0" w:space="0" w:color="auto"/>
            <w:right w:val="none" w:sz="0" w:space="0" w:color="auto"/>
          </w:divBdr>
        </w:div>
        <w:div w:id="1957522697">
          <w:marLeft w:val="0"/>
          <w:marRight w:val="0"/>
          <w:marTop w:val="0"/>
          <w:marBottom w:val="0"/>
          <w:divBdr>
            <w:top w:val="none" w:sz="0" w:space="0" w:color="auto"/>
            <w:left w:val="none" w:sz="0" w:space="0" w:color="auto"/>
            <w:bottom w:val="none" w:sz="0" w:space="0" w:color="auto"/>
            <w:right w:val="none" w:sz="0" w:space="0" w:color="auto"/>
          </w:divBdr>
        </w:div>
        <w:div w:id="1965774008">
          <w:marLeft w:val="0"/>
          <w:marRight w:val="0"/>
          <w:marTop w:val="0"/>
          <w:marBottom w:val="0"/>
          <w:divBdr>
            <w:top w:val="none" w:sz="0" w:space="0" w:color="auto"/>
            <w:left w:val="none" w:sz="0" w:space="0" w:color="auto"/>
            <w:bottom w:val="none" w:sz="0" w:space="0" w:color="auto"/>
            <w:right w:val="none" w:sz="0" w:space="0" w:color="auto"/>
          </w:divBdr>
        </w:div>
        <w:div w:id="2033916731">
          <w:marLeft w:val="0"/>
          <w:marRight w:val="0"/>
          <w:marTop w:val="0"/>
          <w:marBottom w:val="0"/>
          <w:divBdr>
            <w:top w:val="none" w:sz="0" w:space="0" w:color="auto"/>
            <w:left w:val="none" w:sz="0" w:space="0" w:color="auto"/>
            <w:bottom w:val="none" w:sz="0" w:space="0" w:color="auto"/>
            <w:right w:val="none" w:sz="0" w:space="0" w:color="auto"/>
          </w:divBdr>
        </w:div>
        <w:div w:id="2109349169">
          <w:marLeft w:val="0"/>
          <w:marRight w:val="0"/>
          <w:marTop w:val="0"/>
          <w:marBottom w:val="0"/>
          <w:divBdr>
            <w:top w:val="none" w:sz="0" w:space="0" w:color="auto"/>
            <w:left w:val="none" w:sz="0" w:space="0" w:color="auto"/>
            <w:bottom w:val="none" w:sz="0" w:space="0" w:color="auto"/>
            <w:right w:val="none" w:sz="0" w:space="0" w:color="auto"/>
          </w:divBdr>
        </w:div>
        <w:div w:id="2120753261">
          <w:marLeft w:val="0"/>
          <w:marRight w:val="0"/>
          <w:marTop w:val="0"/>
          <w:marBottom w:val="0"/>
          <w:divBdr>
            <w:top w:val="none" w:sz="0" w:space="0" w:color="auto"/>
            <w:left w:val="none" w:sz="0" w:space="0" w:color="auto"/>
            <w:bottom w:val="none" w:sz="0" w:space="0" w:color="auto"/>
            <w:right w:val="none" w:sz="0" w:space="0" w:color="auto"/>
          </w:divBdr>
        </w:div>
      </w:divsChild>
    </w:div>
    <w:div w:id="1499811910">
      <w:bodyDiv w:val="1"/>
      <w:marLeft w:val="0"/>
      <w:marRight w:val="0"/>
      <w:marTop w:val="0"/>
      <w:marBottom w:val="0"/>
      <w:divBdr>
        <w:top w:val="none" w:sz="0" w:space="0" w:color="auto"/>
        <w:left w:val="none" w:sz="0" w:space="0" w:color="auto"/>
        <w:bottom w:val="none" w:sz="0" w:space="0" w:color="auto"/>
        <w:right w:val="none" w:sz="0" w:space="0" w:color="auto"/>
      </w:divBdr>
    </w:div>
    <w:div w:id="1808207759">
      <w:bodyDiv w:val="1"/>
      <w:marLeft w:val="0"/>
      <w:marRight w:val="0"/>
      <w:marTop w:val="0"/>
      <w:marBottom w:val="0"/>
      <w:divBdr>
        <w:top w:val="none" w:sz="0" w:space="0" w:color="auto"/>
        <w:left w:val="none" w:sz="0" w:space="0" w:color="auto"/>
        <w:bottom w:val="none" w:sz="0" w:space="0" w:color="auto"/>
        <w:right w:val="none" w:sz="0" w:space="0" w:color="auto"/>
      </w:divBdr>
      <w:divsChild>
        <w:div w:id="1137455594">
          <w:marLeft w:val="0"/>
          <w:marRight w:val="0"/>
          <w:marTop w:val="0"/>
          <w:marBottom w:val="0"/>
          <w:divBdr>
            <w:top w:val="none" w:sz="0" w:space="0" w:color="auto"/>
            <w:left w:val="none" w:sz="0" w:space="0" w:color="auto"/>
            <w:bottom w:val="none" w:sz="0" w:space="0" w:color="auto"/>
            <w:right w:val="none" w:sz="0" w:space="0" w:color="auto"/>
          </w:divBdr>
          <w:divsChild>
            <w:div w:id="873076095">
              <w:marLeft w:val="0"/>
              <w:marRight w:val="0"/>
              <w:marTop w:val="0"/>
              <w:marBottom w:val="0"/>
              <w:divBdr>
                <w:top w:val="none" w:sz="0" w:space="0" w:color="auto"/>
                <w:left w:val="none" w:sz="0" w:space="0" w:color="auto"/>
                <w:bottom w:val="none" w:sz="0" w:space="0" w:color="auto"/>
                <w:right w:val="none" w:sz="0" w:space="0" w:color="auto"/>
              </w:divBdr>
            </w:div>
            <w:div w:id="21469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9525">
      <w:bodyDiv w:val="1"/>
      <w:marLeft w:val="0"/>
      <w:marRight w:val="0"/>
      <w:marTop w:val="0"/>
      <w:marBottom w:val="0"/>
      <w:divBdr>
        <w:top w:val="none" w:sz="0" w:space="0" w:color="auto"/>
        <w:left w:val="none" w:sz="0" w:space="0" w:color="auto"/>
        <w:bottom w:val="none" w:sz="0" w:space="0" w:color="auto"/>
        <w:right w:val="none" w:sz="0" w:space="0" w:color="auto"/>
      </w:divBdr>
    </w:div>
    <w:div w:id="1909150979">
      <w:bodyDiv w:val="1"/>
      <w:marLeft w:val="0"/>
      <w:marRight w:val="0"/>
      <w:marTop w:val="0"/>
      <w:marBottom w:val="0"/>
      <w:divBdr>
        <w:top w:val="none" w:sz="0" w:space="0" w:color="auto"/>
        <w:left w:val="none" w:sz="0" w:space="0" w:color="auto"/>
        <w:bottom w:val="none" w:sz="0" w:space="0" w:color="auto"/>
        <w:right w:val="none" w:sz="0" w:space="0" w:color="auto"/>
      </w:divBdr>
    </w:div>
    <w:div w:id="1931959657">
      <w:bodyDiv w:val="1"/>
      <w:marLeft w:val="0"/>
      <w:marRight w:val="0"/>
      <w:marTop w:val="0"/>
      <w:marBottom w:val="0"/>
      <w:divBdr>
        <w:top w:val="none" w:sz="0" w:space="0" w:color="auto"/>
        <w:left w:val="none" w:sz="0" w:space="0" w:color="auto"/>
        <w:bottom w:val="none" w:sz="0" w:space="0" w:color="auto"/>
        <w:right w:val="none" w:sz="0" w:space="0" w:color="auto"/>
      </w:divBdr>
    </w:div>
    <w:div w:id="1960986557">
      <w:bodyDiv w:val="1"/>
      <w:marLeft w:val="0"/>
      <w:marRight w:val="0"/>
      <w:marTop w:val="0"/>
      <w:marBottom w:val="0"/>
      <w:divBdr>
        <w:top w:val="none" w:sz="0" w:space="0" w:color="auto"/>
        <w:left w:val="none" w:sz="0" w:space="0" w:color="auto"/>
        <w:bottom w:val="none" w:sz="0" w:space="0" w:color="auto"/>
        <w:right w:val="none" w:sz="0" w:space="0" w:color="auto"/>
      </w:divBdr>
    </w:div>
    <w:div w:id="20021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13538-Jednolity-rynek-wniosek-dotyczacy-inicjatywy-ustawodawczej-w-sprawie-transgranicznej-dzia%C5%82alnosci-stowarzyszen_pl"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yintracomm.ec.europa.eu/corp/budget/financial-rules/legal-framework/internal-rules/Documents/2022-5-legislative-financial-statement-annex-en.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n.org/sustainabledevelopment/peace-justic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globalgoals.org/goals/8-decent-work-and-economic-growth/" TargetMode="External"/><Relationship Id="rId20" Type="http://schemas.openxmlformats.org/officeDocument/2006/relationships/hyperlink" Target="https://eur-lex.europa.eu/LexUriServ/LexUriServ.do?uri=OJ:L:2003:124:0036:0041:en:PDF"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op.europa.eu/pl/publication-detail/-/publication/121a1242-162a-11ee-806b-01aa75ed71a1/language-pl" TargetMode="Externa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uropa.eu/pl/publication-detail/-/publication/21adb612-42cb-11ed-92ed-01aa75ed71a1"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thinktank/pl/document/IPOL_STU(2021)693439" TargetMode="External"/><Relationship Id="rId3" Type="http://schemas.openxmlformats.org/officeDocument/2006/relationships/hyperlink" Target="https://commission.europa.eu/document/download/3ef1537c-c5da-44dc-89b3-c0da9f924def_en" TargetMode="External"/><Relationship Id="rId7" Type="http://schemas.openxmlformats.org/officeDocument/2006/relationships/hyperlink" Target="https://ec.europa.eu/info/law/better-regulation/have-your-say/initiatives/13538-Jednolity-rynek-wniosek-dotyczacy-inicjatywy-ustawodawczej-w-sprawie-transgranicznej-dzia%C5%82alnosci-stowarzyszen_pl" TargetMode="External"/><Relationship Id="rId2" Type="http://schemas.openxmlformats.org/officeDocument/2006/relationships/hyperlink" Target="https://commission.europa.eu/strategy-and-policy/priorities-2019-2024/europe-fit-digital-age_pl" TargetMode="External"/><Relationship Id="rId1" Type="http://schemas.openxmlformats.org/officeDocument/2006/relationships/hyperlink" Target="https://commission.europa.eu/strategy-and-policy/priorities-2019-2024/economy-works-people_pl" TargetMode="External"/><Relationship Id="rId6" Type="http://schemas.openxmlformats.org/officeDocument/2006/relationships/hyperlink" Target="https://ec.europa.eu/info/law/better-regulation/have-your-say/initiatives/13730-Ochrona-europejskiej-demokracji-komunikat_pl" TargetMode="External"/><Relationship Id="rId11" Type="http://schemas.openxmlformats.org/officeDocument/2006/relationships/hyperlink" Target="https://myintracomm.ec.europa.eu/corp/budget/financial-rules/budget-implementation/Pages/implementation-methods.aspx" TargetMode="External"/><Relationship Id="rId5" Type="http://schemas.openxmlformats.org/officeDocument/2006/relationships/hyperlink" Target="https://education.ec.europa.eu/pl/education-levels/higher-education/european-universities-initiative" TargetMode="External"/><Relationship Id="rId10" Type="http://schemas.openxmlformats.org/officeDocument/2006/relationships/hyperlink" Target="https://www.europarl.europa.eu/thinktank/pl/document/IPOL_STU(2021)693439" TargetMode="External"/><Relationship Id="rId4" Type="http://schemas.openxmlformats.org/officeDocument/2006/relationships/hyperlink" Target="https://education.ec.europa.eu/document/commission-communication-on-a-european-strategy-for-universities" TargetMode="External"/><Relationship Id="rId9" Type="http://schemas.openxmlformats.org/officeDocument/2006/relationships/hyperlink" Target="https://www.europarl.europa.eu/thinktank/pl/document/IPOL_STU(2021)693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CD02F651-0D8A-47B4-9517-DDA85018AFFD}">
    <t:Anchor>
      <t:Comment id="675738300"/>
    </t:Anchor>
    <t:History>
      <t:Event id="{7A20E65A-2BFA-4D01-8B2A-1BE9F244E4F6}" time="2023-06-30T06:28:25.986Z">
        <t:Attribution userId="S::karel.vanderpoorten@ec.europa.eu::53d5114d-50e0-48da-a445-48f53c04bb2f" userProvider="AD" userName="VANDERPOORTEN Karel (GROW)"/>
        <t:Anchor>
          <t:Comment id="1608644530"/>
        </t:Anchor>
        <t:Create/>
      </t:Event>
      <t:Event id="{0C6C4A33-47DE-4441-B3E4-0429A0D1F015}" time="2023-06-30T06:28:25.986Z">
        <t:Attribution userId="S::karel.vanderpoorten@ec.europa.eu::53d5114d-50e0-48da-a445-48f53c04bb2f" userProvider="AD" userName="VANDERPOORTEN Karel (GROW)"/>
        <t:Anchor>
          <t:Comment id="1608644530"/>
        </t:Anchor>
        <t:Assign userId="S::Paulina.GBUR@ec.europa.eu::66aa376d-0099-40ee-986f-d0deba324b6d" userProvider="AD" userName="GBUR Paulina (GROW)"/>
      </t:Event>
      <t:Event id="{DC000041-BB69-4442-A46E-7B4890C63D70}" time="2023-06-30T06:28:25.986Z">
        <t:Attribution userId="S::karel.vanderpoorten@ec.europa.eu::53d5114d-50e0-48da-a445-48f53c04bb2f" userProvider="AD" userName="VANDERPOORTEN Karel (GROW)"/>
        <t:Anchor>
          <t:Comment id="1608644530"/>
        </t:Anchor>
        <t:SetTitle title="@GBUR Paulina (GROW) could you help how to address, as all those elements are present? Or does SG expect we just add a sentence to bring those excess cost reductions in relation to the OIOO? So just a refer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ARMATI Lorna (SJ)</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62E27-5BA8-45C3-9BFF-A73307B4B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10C65-9412-42C9-A0D8-95863008BA3F}">
  <ds:schemaRefs>
    <ds:schemaRef ds:uri="http://schemas.microsoft.com/office/2006/metadata/properties"/>
    <ds:schemaRef ds:uri="http://schemas.microsoft.com/office/infopath/2007/PartnerControls"/>
    <ds:schemaRef ds:uri="4af8c89d-4332-4d32-84a3-abf4120a8008"/>
  </ds:schemaRefs>
</ds:datastoreItem>
</file>

<file path=customXml/itemProps3.xml><?xml version="1.0" encoding="utf-8"?>
<ds:datastoreItem xmlns:ds="http://schemas.openxmlformats.org/officeDocument/2006/customXml" ds:itemID="{A43902CD-C141-4254-85A3-83D5C9EB1650}">
  <ds:schemaRefs>
    <ds:schemaRef ds:uri="http://schemas.microsoft.com/sharepoint/v3/contenttype/forms"/>
  </ds:schemaRefs>
</ds:datastoreItem>
</file>

<file path=customXml/itemProps4.xml><?xml version="1.0" encoding="utf-8"?>
<ds:datastoreItem xmlns:ds="http://schemas.openxmlformats.org/officeDocument/2006/customXml" ds:itemID="{A852EE36-2753-4840-A20C-5D299416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53</TotalTime>
  <Pages>68</Pages>
  <Words>19841</Words>
  <Characters>143055</Characters>
  <Application>Microsoft Office Word</Application>
  <DocSecurity>0</DocSecurity>
  <Lines>3179</Lines>
  <Paragraphs>1115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161781</CharactersWithSpaces>
  <SharedDoc>false</SharedDoc>
  <HLinks>
    <vt:vector size="96" baseType="variant">
      <vt:variant>
        <vt:i4>6815844</vt:i4>
      </vt:variant>
      <vt:variant>
        <vt:i4>18</vt:i4>
      </vt:variant>
      <vt:variant>
        <vt:i4>0</vt:i4>
      </vt:variant>
      <vt:variant>
        <vt:i4>5</vt:i4>
      </vt:variant>
      <vt:variant>
        <vt:lpwstr>https://myintracomm.ec.europa.eu/corp/budget/financial-rules/legal-framework/internal-rules/Documents/2022-5-legislative-financial-statement-annex-en.docx</vt:lpwstr>
      </vt:variant>
      <vt:variant>
        <vt:lpwstr/>
      </vt:variant>
      <vt:variant>
        <vt:i4>589913</vt:i4>
      </vt:variant>
      <vt:variant>
        <vt:i4>15</vt:i4>
      </vt:variant>
      <vt:variant>
        <vt:i4>0</vt:i4>
      </vt:variant>
      <vt:variant>
        <vt:i4>5</vt:i4>
      </vt:variant>
      <vt:variant>
        <vt:lpwstr>https://eur-lex.europa.eu/LexUriServ/LexUriServ.do?uri=OJ:L:2003:124:0036:0041:en:PDF</vt:lpwstr>
      </vt:variant>
      <vt:variant>
        <vt:lpwstr/>
      </vt:variant>
      <vt:variant>
        <vt:i4>196701</vt:i4>
      </vt:variant>
      <vt:variant>
        <vt:i4>12</vt:i4>
      </vt:variant>
      <vt:variant>
        <vt:i4>0</vt:i4>
      </vt:variant>
      <vt:variant>
        <vt:i4>5</vt:i4>
      </vt:variant>
      <vt:variant>
        <vt:lpwstr>https://www.un.org/sustainabledevelopment/peace-justice/</vt:lpwstr>
      </vt:variant>
      <vt:variant>
        <vt:lpwstr/>
      </vt:variant>
      <vt:variant>
        <vt:i4>1310736</vt:i4>
      </vt:variant>
      <vt:variant>
        <vt:i4>9</vt:i4>
      </vt:variant>
      <vt:variant>
        <vt:i4>0</vt:i4>
      </vt:variant>
      <vt:variant>
        <vt:i4>5</vt:i4>
      </vt:variant>
      <vt:variant>
        <vt:lpwstr>https://www.globalgoals.org/goals/8-decent-work-and-economic-growth/</vt:lpwstr>
      </vt:variant>
      <vt:variant>
        <vt:lpwstr/>
      </vt:variant>
      <vt:variant>
        <vt:i4>4849730</vt:i4>
      </vt:variant>
      <vt:variant>
        <vt:i4>6</vt:i4>
      </vt:variant>
      <vt:variant>
        <vt:i4>0</vt:i4>
      </vt:variant>
      <vt:variant>
        <vt:i4>5</vt:i4>
      </vt:variant>
      <vt:variant>
        <vt:lpwstr>https://op.europa.eu/en/publication-detail/-/publication/121a1242-162a-11ee-806b-01aa75ed71a1/language-en</vt:lpwstr>
      </vt:variant>
      <vt:variant>
        <vt:lpwstr/>
      </vt:variant>
      <vt:variant>
        <vt:i4>262219</vt:i4>
      </vt:variant>
      <vt:variant>
        <vt:i4>3</vt:i4>
      </vt:variant>
      <vt:variant>
        <vt:i4>0</vt:i4>
      </vt:variant>
      <vt:variant>
        <vt:i4>5</vt:i4>
      </vt:variant>
      <vt:variant>
        <vt:lpwstr>https://op.europa.eu/en/publication-detail/-/publication/21adb612-42cb-11ed-92ed-01aa75ed71a1</vt:lpwstr>
      </vt:variant>
      <vt:variant>
        <vt:lpwstr/>
      </vt:variant>
      <vt:variant>
        <vt:i4>1900583</vt:i4>
      </vt:variant>
      <vt:variant>
        <vt:i4>0</vt:i4>
      </vt:variant>
      <vt:variant>
        <vt:i4>0</vt:i4>
      </vt:variant>
      <vt:variant>
        <vt:i4>5</vt:i4>
      </vt:variant>
      <vt:variant>
        <vt:lpwstr>https://ec.europa.eu/info/law/better-regulation/have-your-say/initiatives/13538-Single-market-Proposal-for-a-legislative-initiative-on-cross-border-activities-of-associations_en</vt:lpwstr>
      </vt:variant>
      <vt:variant>
        <vt:lpwstr/>
      </vt:variant>
      <vt:variant>
        <vt:i4>262150</vt:i4>
      </vt:variant>
      <vt:variant>
        <vt:i4>24</vt:i4>
      </vt:variant>
      <vt:variant>
        <vt:i4>0</vt:i4>
      </vt:variant>
      <vt:variant>
        <vt:i4>5</vt:i4>
      </vt:variant>
      <vt:variant>
        <vt:lpwstr>https://myintracomm.ec.europa.eu/corp/budget/financial-rules/budget-implementation/Pages/implementation-methods.aspx</vt:lpwstr>
      </vt:variant>
      <vt:variant>
        <vt:lpwstr/>
      </vt:variant>
      <vt:variant>
        <vt:i4>7077890</vt:i4>
      </vt:variant>
      <vt:variant>
        <vt:i4>21</vt:i4>
      </vt:variant>
      <vt:variant>
        <vt:i4>0</vt:i4>
      </vt:variant>
      <vt:variant>
        <vt:i4>5</vt:i4>
      </vt:variant>
      <vt:variant>
        <vt:lpwstr>https://www.europarl.europa.eu/thinktank/en/document/IPOL_STU(2021)693439</vt:lpwstr>
      </vt:variant>
      <vt:variant>
        <vt:lpwstr/>
      </vt:variant>
      <vt:variant>
        <vt:i4>1900583</vt:i4>
      </vt:variant>
      <vt:variant>
        <vt:i4>18</vt:i4>
      </vt:variant>
      <vt:variant>
        <vt:i4>0</vt:i4>
      </vt:variant>
      <vt:variant>
        <vt:i4>5</vt:i4>
      </vt:variant>
      <vt:variant>
        <vt:lpwstr>https://ec.europa.eu/info/law/better-regulation/have-your-say/initiatives/13538-Single-market-Proposal-for-a-legislative-initiative-on-cross-border-activities-of-associations_en</vt:lpwstr>
      </vt:variant>
      <vt:variant>
        <vt:lpwstr/>
      </vt:variant>
      <vt:variant>
        <vt:i4>4522038</vt:i4>
      </vt:variant>
      <vt:variant>
        <vt:i4>15</vt:i4>
      </vt:variant>
      <vt:variant>
        <vt:i4>0</vt:i4>
      </vt:variant>
      <vt:variant>
        <vt:i4>5</vt:i4>
      </vt:variant>
      <vt:variant>
        <vt:lpwstr>https://ec.europa.eu/info/law/better-regulation/have-your-say/initiatives/13730-Defending-European-democracy-Communication_en</vt:lpwstr>
      </vt:variant>
      <vt:variant>
        <vt:lpwstr/>
      </vt:variant>
      <vt:variant>
        <vt:i4>983119</vt:i4>
      </vt:variant>
      <vt:variant>
        <vt:i4>12</vt:i4>
      </vt:variant>
      <vt:variant>
        <vt:i4>0</vt:i4>
      </vt:variant>
      <vt:variant>
        <vt:i4>5</vt:i4>
      </vt:variant>
      <vt:variant>
        <vt:lpwstr>https://education.ec.europa.eu/education-levels/higher-education/european-universities-initiative</vt:lpwstr>
      </vt:variant>
      <vt:variant>
        <vt:lpwstr/>
      </vt:variant>
      <vt:variant>
        <vt:i4>5177354</vt:i4>
      </vt:variant>
      <vt:variant>
        <vt:i4>9</vt:i4>
      </vt:variant>
      <vt:variant>
        <vt:i4>0</vt:i4>
      </vt:variant>
      <vt:variant>
        <vt:i4>5</vt:i4>
      </vt:variant>
      <vt:variant>
        <vt:lpwstr>https://education.ec.europa.eu/document/commission-communication-on-a-european-strategy-for-universities</vt:lpwstr>
      </vt:variant>
      <vt:variant>
        <vt:lpwstr/>
      </vt:variant>
      <vt:variant>
        <vt:i4>4456562</vt:i4>
      </vt:variant>
      <vt:variant>
        <vt:i4>6</vt:i4>
      </vt:variant>
      <vt:variant>
        <vt:i4>0</vt:i4>
      </vt:variant>
      <vt:variant>
        <vt:i4>5</vt:i4>
      </vt:variant>
      <vt:variant>
        <vt:lpwstr>https://commission.europa.eu/document/download/3ef1537c-c5da-44dc-89b3-c0da9f924def_en</vt:lpwstr>
      </vt:variant>
      <vt:variant>
        <vt:lpwstr/>
      </vt:variant>
      <vt:variant>
        <vt:i4>524348</vt:i4>
      </vt:variant>
      <vt:variant>
        <vt:i4>3</vt:i4>
      </vt:variant>
      <vt:variant>
        <vt:i4>0</vt:i4>
      </vt:variant>
      <vt:variant>
        <vt:i4>5</vt:i4>
      </vt:variant>
      <vt:variant>
        <vt:lpwstr>https://commission.europa.eu/strategy-and-policy/priorities-2019-2024/europe-fit-digital-age_en</vt:lpwstr>
      </vt:variant>
      <vt:variant>
        <vt:lpwstr>:~:text=A%20Europe%20fit%20for%20the%20digital%20age%20Empowering,its%20target%20of%20a%20climate-neutral%20Europe%20by%202050.</vt:lpwstr>
      </vt:variant>
      <vt:variant>
        <vt:i4>5767290</vt:i4>
      </vt:variant>
      <vt:variant>
        <vt:i4>0</vt:i4>
      </vt:variant>
      <vt:variant>
        <vt:i4>0</vt:i4>
      </vt:variant>
      <vt:variant>
        <vt:i4>5</vt:i4>
      </vt:variant>
      <vt:variant>
        <vt:lpwstr>https://commission.europa.eu/strategy-and-policy/priorities-2019-2024/economy-works-people_en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54</cp:revision>
  <cp:lastPrinted>2023-07-26T16:56:00Z</cp:lastPrinted>
  <dcterms:created xsi:type="dcterms:W3CDTF">2023-09-05T13:51:00Z</dcterms:created>
  <dcterms:modified xsi:type="dcterms:W3CDTF">2023-09-22T14:55:00Z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2023-06-01T12:27:41Z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98fffa5e-eee9-41f0-b535-7af03abd112c</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ContentTypeId">
    <vt:lpwstr>0x0101007697B7BFF882854783B2AFEB81A9CCE9</vt:lpwstr>
  </property>
  <property fmtid="{D5CDD505-2E9C-101B-9397-08002B2CF9AE}" pid="18" name="DQCStatus">
    <vt:lpwstr>Green (DQC version 03)</vt:lpwstr>
  </property>
</Properties>
</file>