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0997D" w14:textId="03E87083" w:rsidR="00BD152F" w:rsidRPr="00D96C74" w:rsidRDefault="00311D41" w:rsidP="00311D41">
      <w:pPr>
        <w:pStyle w:val="Pagedecouverture"/>
        <w:rPr>
          <w:noProof/>
        </w:rPr>
      </w:pPr>
      <w:r>
        <w:rPr>
          <w:noProof/>
        </w:rPr>
        <w:pict w14:anchorId="46146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BDEE9297-4640-473B-BD0F-5B4D0DE680EE" style="width:455.25pt;height:414pt">
            <v:imagedata r:id="rId8" o:title=""/>
          </v:shape>
        </w:pict>
      </w:r>
    </w:p>
    <w:p w14:paraId="5B0D1B90" w14:textId="77777777" w:rsidR="00BD152F" w:rsidRPr="00D96C74" w:rsidRDefault="00BD152F" w:rsidP="00BD152F">
      <w:pPr>
        <w:rPr>
          <w:noProof/>
        </w:rPr>
        <w:sectPr w:rsidR="00BD152F" w:rsidRPr="00D96C74" w:rsidSect="00311D41">
          <w:footerReference w:type="default" r:id="rId9"/>
          <w:pgSz w:w="11907" w:h="16839"/>
          <w:pgMar w:top="1134" w:right="1417" w:bottom="1134" w:left="1417" w:header="709" w:footer="709" w:gutter="0"/>
          <w:pgNumType w:start="0"/>
          <w:cols w:space="720"/>
          <w:docGrid w:linePitch="360"/>
        </w:sectPr>
      </w:pPr>
    </w:p>
    <w:p w14:paraId="20E74446" w14:textId="77777777" w:rsidR="00BD152F" w:rsidRPr="00E86B79" w:rsidRDefault="00BD152F" w:rsidP="00B00391">
      <w:pPr>
        <w:pStyle w:val="Exposdesmotifstitre"/>
        <w:rPr>
          <w:noProof/>
        </w:rPr>
      </w:pPr>
      <w:bookmarkStart w:id="0" w:name="_GoBack"/>
      <w:bookmarkEnd w:id="0"/>
      <w:r w:rsidRPr="00E86B79">
        <w:rPr>
          <w:noProof/>
        </w:rPr>
        <w:t>EXPUNERE DE MOTIVE</w:t>
      </w:r>
    </w:p>
    <w:p w14:paraId="6332E68D" w14:textId="77777777" w:rsidR="00BD152F" w:rsidRPr="00D020C3" w:rsidRDefault="00BD152F" w:rsidP="00B00391">
      <w:pPr>
        <w:pStyle w:val="ManualHeading1"/>
        <w:rPr>
          <w:noProof/>
        </w:rPr>
      </w:pPr>
      <w:r w:rsidRPr="00D020C3">
        <w:rPr>
          <w:noProof/>
        </w:rPr>
        <w:t>1.</w:t>
      </w:r>
      <w:r w:rsidRPr="00D020C3">
        <w:rPr>
          <w:noProof/>
        </w:rPr>
        <w:tab/>
        <w:t>CONTEXTUL PROPUNERII</w:t>
      </w:r>
    </w:p>
    <w:p w14:paraId="32C3A71C" w14:textId="77777777" w:rsidR="00BD152F" w:rsidRPr="00D020C3" w:rsidRDefault="00BD152F" w:rsidP="00B00391">
      <w:pPr>
        <w:pStyle w:val="ManualHeading2"/>
        <w:rPr>
          <w:rFonts w:eastAsia="Arial Unicode MS"/>
          <w:noProof/>
        </w:rPr>
      </w:pPr>
      <w:r w:rsidRPr="00D020C3">
        <w:rPr>
          <w:noProof/>
          <w:color w:val="000000"/>
          <w:u w:color="000000"/>
          <w:bdr w:val="nil"/>
        </w:rPr>
        <w:t>•</w:t>
      </w:r>
      <w:r w:rsidRPr="00D020C3">
        <w:rPr>
          <w:noProof/>
        </w:rPr>
        <w:tab/>
        <w:t>Motivele și obiectivele propunerii</w:t>
      </w:r>
    </w:p>
    <w:p w14:paraId="16EEA8A1" w14:textId="449002BD" w:rsidR="00876A2B" w:rsidRPr="00D96C74" w:rsidRDefault="00876A2B" w:rsidP="00876A2B">
      <w:pPr>
        <w:rPr>
          <w:rStyle w:val="normaltextrun"/>
          <w:noProof/>
        </w:rPr>
      </w:pPr>
      <w:r w:rsidRPr="00D96C74">
        <w:rPr>
          <w:noProof/>
        </w:rPr>
        <w:t>Pactul verde european</w:t>
      </w:r>
      <w:r w:rsidRPr="00D96C74">
        <w:rPr>
          <w:rStyle w:val="FootnoteReference"/>
          <w:noProof/>
        </w:rPr>
        <w:footnoteReference w:id="2"/>
      </w:r>
      <w:r w:rsidRPr="00D96C74">
        <w:rPr>
          <w:noProof/>
        </w:rPr>
        <w:t xml:space="preserve"> și Planul de acțiune privind economia circulară</w:t>
      </w:r>
      <w:r w:rsidRPr="00D96C74">
        <w:rPr>
          <w:rStyle w:val="FootnoteReference"/>
          <w:noProof/>
        </w:rPr>
        <w:footnoteReference w:id="3"/>
      </w:r>
      <w:r w:rsidRPr="00D96C74">
        <w:rPr>
          <w:noProof/>
        </w:rPr>
        <w:t xml:space="preserve"> invită Uniunea Europeană și statele membre să întreprindă acțiuni consolidate și accelerate pentru a asigura sustenabilitatea din punctul de vedere mediului a sectorului textilelor și a celui alimentar, acestea fiind sectoarele cu cea mai intensivă utilizare a resurselor și care cauzează externalități de mediu negative semnificative, iar finanțarea insuficientă și decalajul tehnologic frânează progresul către tranziția la o economie circulară și la decarbonizare. În clasamentul sectoarelor cu cea mai intensivă utilizare a resurselor</w:t>
      </w:r>
      <w:r w:rsidRPr="00D96C74">
        <w:rPr>
          <w:rStyle w:val="FootnoteReference"/>
          <w:noProof/>
        </w:rPr>
        <w:footnoteReference w:id="4"/>
      </w:r>
      <w:r w:rsidRPr="00D96C74">
        <w:rPr>
          <w:noProof/>
        </w:rPr>
        <w:t xml:space="preserve">, sectorul alimentar se află pe primul loc, iar sectorul textilelor, pe locul al patrulea, acestea fiind și sectoarele care nu aderă pe deplin la principiile fundamentale ale UE în materie de gestionare a deșeurilor, stabilite în ierarhia deșeurilor, conform căreia trebuie să se acorde prioritate prevenirii generării de deșeuri, urmată de pregătirea pentru reutilizare și de reciclare. Reflectând asupra angajamentelor asumate, </w:t>
      </w:r>
      <w:r w:rsidRPr="00D96C74">
        <w:rPr>
          <w:rStyle w:val="normaltextrun"/>
          <w:noProof/>
        </w:rPr>
        <w:t>prezenta propunere de modificare a Directivei-cadru privind deșeurile (DCD)</w:t>
      </w:r>
      <w:r w:rsidRPr="00D96C74">
        <w:rPr>
          <w:rStyle w:val="FootnoteReference"/>
          <w:noProof/>
        </w:rPr>
        <w:footnoteReference w:id="5"/>
      </w:r>
      <w:r w:rsidRPr="00D96C74">
        <w:rPr>
          <w:rStyle w:val="normaltextrun"/>
          <w:noProof/>
        </w:rPr>
        <w:t xml:space="preserve"> se axează pe două sectoare cu utilizare intensivă a resurselor: cel al textilelor și cel alimentar, având următoarele obiective generale: </w:t>
      </w:r>
    </w:p>
    <w:p w14:paraId="5CC7D897" w14:textId="77777777" w:rsidR="00876A2B" w:rsidRPr="00D96C74" w:rsidRDefault="00876A2B" w:rsidP="00C15960">
      <w:pPr>
        <w:pStyle w:val="Tiret0"/>
        <w:numPr>
          <w:ilvl w:val="0"/>
          <w:numId w:val="39"/>
        </w:numPr>
        <w:rPr>
          <w:rStyle w:val="normaltextrun"/>
          <w:noProof/>
        </w:rPr>
      </w:pPr>
      <w:r w:rsidRPr="00D96C74">
        <w:rPr>
          <w:rStyle w:val="normaltextrun"/>
          <w:noProof/>
        </w:rPr>
        <w:t>reducerea impactului asupra mediului și a climei, creșterea calității mediului și îmbunătățirea sănătății publice asociate cu gestionarea deșeurilor textile în conformitate cu ierarhia deșeurilor;</w:t>
      </w:r>
    </w:p>
    <w:p w14:paraId="79CD0A38" w14:textId="77777777" w:rsidR="00876A2B" w:rsidRPr="00D96C74" w:rsidRDefault="00876A2B" w:rsidP="0014109E">
      <w:pPr>
        <w:pStyle w:val="Tiret0"/>
        <w:rPr>
          <w:rStyle w:val="normaltextrun"/>
          <w:noProof/>
        </w:rPr>
      </w:pPr>
      <w:r w:rsidRPr="00D96C74">
        <w:rPr>
          <w:rStyle w:val="normaltextrun"/>
          <w:noProof/>
        </w:rPr>
        <w:t>reducerea impactului asupra mediului și a climei al sistemelor alimentare asociate cu generarea de deșeuri alimentare. Prevenirea generării de deșeuri alimentare ar urma să contribuie și la securitatea alimentară.</w:t>
      </w:r>
    </w:p>
    <w:p w14:paraId="4A0DFFBA" w14:textId="77777777" w:rsidR="00AE43C7" w:rsidRPr="008D4D1E" w:rsidRDefault="00AE43C7" w:rsidP="00AE43C7">
      <w:pPr>
        <w:rPr>
          <w:rStyle w:val="normaltextrun"/>
          <w:i/>
          <w:iCs/>
          <w:noProof/>
        </w:rPr>
      </w:pPr>
      <w:r w:rsidRPr="008D4D1E">
        <w:rPr>
          <w:rStyle w:val="normaltextrun"/>
          <w:i/>
          <w:noProof/>
        </w:rPr>
        <w:t>Deșeurile textile</w:t>
      </w:r>
    </w:p>
    <w:p w14:paraId="1618664E" w14:textId="77777777" w:rsidR="00AE43C7" w:rsidRPr="00D96C74" w:rsidRDefault="00AE43C7" w:rsidP="0050683A">
      <w:pPr>
        <w:rPr>
          <w:rStyle w:val="normaltextrun"/>
          <w:noProof/>
          <w:color w:val="000000"/>
        </w:rPr>
      </w:pPr>
      <w:r w:rsidRPr="00D96C74">
        <w:rPr>
          <w:rStyle w:val="normaltextrun"/>
          <w:noProof/>
        </w:rPr>
        <w:t>Deși prevenirea generării de deșeuri este un obiectiv-cheie al DCD și al eforturilor de punere în aplicare depuse la nivel național, inclusiv de către actori privați, cantitatea generală de deșeuri continuă să crească și se poate observa doar o „decuplare relativă” a generării de deșeuri de creșterea economică</w:t>
      </w:r>
      <w:r w:rsidRPr="00D96C74">
        <w:rPr>
          <w:rStyle w:val="FootnoteReference"/>
          <w:noProof/>
        </w:rPr>
        <w:footnoteReference w:id="6"/>
      </w:r>
      <w:r w:rsidRPr="00D96C74">
        <w:rPr>
          <w:rStyle w:val="normaltextrun"/>
          <w:noProof/>
        </w:rPr>
        <w:t>. Această tendință referitoare la deșeuri în general se observă și în cazul deșeurilor textile. Ea este însă exacerbată de așa-numita „modă de consum”, caracterizată de introducerea mai frecventă pe piață a unor colecții de modă</w:t>
      </w:r>
      <w:r w:rsidRPr="00D96C74">
        <w:rPr>
          <w:rStyle w:val="FootnoteReference"/>
          <w:noProof/>
        </w:rPr>
        <w:footnoteReference w:id="7"/>
      </w:r>
      <w:r w:rsidRPr="00D96C74">
        <w:rPr>
          <w:rStyle w:val="normaltextrun"/>
          <w:noProof/>
        </w:rPr>
        <w:t xml:space="preserve"> cu </w:t>
      </w:r>
      <w:r w:rsidRPr="00D96C74">
        <w:rPr>
          <w:rStyle w:val="normaltextrun"/>
          <w:noProof/>
          <w:color w:val="000000"/>
        </w:rPr>
        <w:t>produse la preț mic</w:t>
      </w:r>
      <w:r w:rsidRPr="00D96C74">
        <w:rPr>
          <w:rStyle w:val="normaltextrun"/>
          <w:noProof/>
        </w:rPr>
        <w:t xml:space="preserve"> </w:t>
      </w:r>
      <w:r w:rsidRPr="00D96C74">
        <w:rPr>
          <w:rStyle w:val="normaltextrun"/>
          <w:noProof/>
          <w:color w:val="000000"/>
        </w:rPr>
        <w:t>care nu internalizează externalitățile de mediu</w:t>
      </w:r>
      <w:r w:rsidRPr="00D96C74">
        <w:rPr>
          <w:rStyle w:val="FootnoteReference"/>
          <w:noProof/>
          <w:color w:val="000000"/>
        </w:rPr>
        <w:footnoteReference w:id="8"/>
      </w:r>
      <w:r w:rsidRPr="00D96C74">
        <w:rPr>
          <w:rStyle w:val="normaltextrun"/>
          <w:noProof/>
          <w:color w:val="000000"/>
        </w:rPr>
        <w:t>, încurajează clienții să cumpere în mod impulsiv și stimulează achiziționarea unor cantități mai mari de haine</w:t>
      </w:r>
      <w:r w:rsidRPr="00D96C74">
        <w:rPr>
          <w:rStyle w:val="FootnoteReference"/>
          <w:noProof/>
          <w:color w:val="000000"/>
        </w:rPr>
        <w:footnoteReference w:id="9"/>
      </w:r>
      <w:r w:rsidRPr="00D96C74">
        <w:rPr>
          <w:rStyle w:val="normaltextrun"/>
          <w:noProof/>
          <w:color w:val="000000"/>
        </w:rPr>
        <w:t>. Această creștere a consumului de produse textile duce la creșterea volumului de deșeuri textile.</w:t>
      </w:r>
      <w:r w:rsidRPr="00D96C74">
        <w:rPr>
          <w:rStyle w:val="normaltextrun"/>
          <w:noProof/>
          <w:color w:val="FF0000"/>
        </w:rPr>
        <w:t xml:space="preserve"> </w:t>
      </w:r>
      <w:r w:rsidRPr="00D96C74">
        <w:rPr>
          <w:rStyle w:val="normaltextrun"/>
          <w:noProof/>
          <w:color w:val="000000"/>
        </w:rPr>
        <w:t>Potrivit unui studiu în curs al Centrului Comun de Cercetare (JRC)</w:t>
      </w:r>
      <w:r w:rsidRPr="00D96C74">
        <w:rPr>
          <w:rStyle w:val="FootnoteReference"/>
          <w:noProof/>
          <w:color w:val="000000"/>
        </w:rPr>
        <w:footnoteReference w:id="10"/>
      </w:r>
      <w:r w:rsidRPr="00D96C74">
        <w:rPr>
          <w:rStyle w:val="normaltextrun"/>
          <w:noProof/>
          <w:color w:val="000000"/>
        </w:rPr>
        <w:t xml:space="preserve">, cantitatea totală de deșeuri textile, alcătuite din îmbrăcăminte și încălțăminte, textile de uz casnic, textile tehnice și deșeuri postindustriale și preutilizare, a fost de </w:t>
      </w:r>
      <w:r w:rsidRPr="00D020C3">
        <w:rPr>
          <w:rStyle w:val="normaltextrun"/>
          <w:noProof/>
          <w:color w:val="000000"/>
        </w:rPr>
        <w:t>12</w:t>
      </w:r>
      <w:r w:rsidRPr="00D96C74">
        <w:rPr>
          <w:rStyle w:val="normaltextrun"/>
          <w:noProof/>
          <w:color w:val="000000"/>
        </w:rPr>
        <w:t>,</w:t>
      </w:r>
      <w:r w:rsidRPr="00D020C3">
        <w:rPr>
          <w:rStyle w:val="normaltextrun"/>
          <w:noProof/>
          <w:color w:val="000000"/>
        </w:rPr>
        <w:t>6</w:t>
      </w:r>
      <w:r w:rsidRPr="00D96C74">
        <w:rPr>
          <w:rStyle w:val="normaltextrun"/>
          <w:noProof/>
          <w:color w:val="000000"/>
        </w:rPr>
        <w:t xml:space="preserve"> milioane de tone (Mt) în </w:t>
      </w:r>
      <w:r w:rsidRPr="00D020C3">
        <w:rPr>
          <w:rStyle w:val="normaltextrun"/>
          <w:noProof/>
          <w:color w:val="000000"/>
        </w:rPr>
        <w:t>2019</w:t>
      </w:r>
      <w:r w:rsidRPr="00D96C74">
        <w:rPr>
          <w:rStyle w:val="normaltextrun"/>
          <w:noProof/>
          <w:color w:val="000000"/>
        </w:rPr>
        <w:t xml:space="preserve"> (</w:t>
      </w:r>
      <w:r w:rsidRPr="00D020C3">
        <w:rPr>
          <w:rStyle w:val="normaltextrun"/>
          <w:noProof/>
          <w:color w:val="000000"/>
        </w:rPr>
        <w:t>10</w:t>
      </w:r>
      <w:r w:rsidRPr="00D96C74">
        <w:rPr>
          <w:rStyle w:val="normaltextrun"/>
          <w:noProof/>
          <w:color w:val="000000"/>
        </w:rPr>
        <w:t>,</w:t>
      </w:r>
      <w:r w:rsidRPr="00D020C3">
        <w:rPr>
          <w:rStyle w:val="normaltextrun"/>
          <w:noProof/>
          <w:color w:val="000000"/>
        </w:rPr>
        <w:t>9</w:t>
      </w:r>
      <w:r w:rsidRPr="00D96C74">
        <w:rPr>
          <w:rStyle w:val="normaltextrun"/>
          <w:noProof/>
          <w:color w:val="000000"/>
        </w:rPr>
        <w:t xml:space="preserve"> Mt fiind deșeuri postconsum, iar </w:t>
      </w:r>
      <w:r w:rsidRPr="00D020C3">
        <w:rPr>
          <w:rStyle w:val="normaltextrun"/>
          <w:noProof/>
          <w:color w:val="000000"/>
        </w:rPr>
        <w:t>1</w:t>
      </w:r>
      <w:r w:rsidRPr="00D96C74">
        <w:rPr>
          <w:rStyle w:val="normaltextrun"/>
          <w:noProof/>
          <w:color w:val="000000"/>
        </w:rPr>
        <w:t>,</w:t>
      </w:r>
      <w:r w:rsidRPr="00D020C3">
        <w:rPr>
          <w:rStyle w:val="normaltextrun"/>
          <w:noProof/>
          <w:color w:val="000000"/>
        </w:rPr>
        <w:t>7</w:t>
      </w:r>
      <w:r w:rsidRPr="00D96C74">
        <w:rPr>
          <w:rStyle w:val="normaltextrun"/>
          <w:noProof/>
          <w:color w:val="000000"/>
        </w:rPr>
        <w:t xml:space="preserve"> Mt fiind deșeuri postindustriale și preutilizare). Cantitatea de deșeuri de îmbrăcăminte și încălțăminte a fost de </w:t>
      </w:r>
      <w:r w:rsidRPr="00D020C3">
        <w:rPr>
          <w:rStyle w:val="normaltextrun"/>
          <w:noProof/>
          <w:color w:val="000000"/>
        </w:rPr>
        <w:t>5</w:t>
      </w:r>
      <w:r w:rsidRPr="00D96C74">
        <w:rPr>
          <w:rStyle w:val="normaltextrun"/>
          <w:noProof/>
          <w:color w:val="000000"/>
        </w:rPr>
        <w:t>,</w:t>
      </w:r>
      <w:r w:rsidRPr="00D020C3">
        <w:rPr>
          <w:rStyle w:val="normaltextrun"/>
          <w:noProof/>
          <w:color w:val="000000"/>
        </w:rPr>
        <w:t>2</w:t>
      </w:r>
      <w:r w:rsidRPr="00D96C74">
        <w:rPr>
          <w:rStyle w:val="normaltextrun"/>
          <w:noProof/>
          <w:color w:val="000000"/>
        </w:rPr>
        <w:t xml:space="preserve"> Mt, echivalentul a </w:t>
      </w:r>
      <w:r w:rsidRPr="00D020C3">
        <w:rPr>
          <w:rStyle w:val="normaltextrun"/>
          <w:noProof/>
          <w:color w:val="000000"/>
        </w:rPr>
        <w:t>12</w:t>
      </w:r>
      <w:r w:rsidRPr="00D96C74">
        <w:rPr>
          <w:rStyle w:val="normaltextrun"/>
          <w:noProof/>
          <w:color w:val="000000"/>
        </w:rPr>
        <w:t> kg de persoană pe an în UE.</w:t>
      </w:r>
    </w:p>
    <w:p w14:paraId="411968BF" w14:textId="635884E1" w:rsidR="0050683A" w:rsidRPr="00D96C74" w:rsidRDefault="0087161A" w:rsidP="0050683A">
      <w:pPr>
        <w:rPr>
          <w:rFonts w:ascii="Segoe UI" w:hAnsi="Segoe UI" w:cs="Segoe UI"/>
          <w:noProof/>
          <w:sz w:val="18"/>
          <w:szCs w:val="18"/>
        </w:rPr>
      </w:pPr>
      <w:r w:rsidRPr="00D96C74">
        <w:rPr>
          <w:rStyle w:val="normaltextrun"/>
          <w:noProof/>
          <w:color w:val="000000"/>
        </w:rPr>
        <w:t>Potrivit unui studiu realizat de Centrul Comun de Cercetare (JRC)</w:t>
      </w:r>
      <w:r w:rsidRPr="00D96C74">
        <w:rPr>
          <w:rStyle w:val="FootnoteReference"/>
          <w:noProof/>
          <w:color w:val="000000"/>
        </w:rPr>
        <w:footnoteReference w:id="11"/>
      </w:r>
      <w:r w:rsidRPr="00D96C74">
        <w:rPr>
          <w:rStyle w:val="normaltextrun"/>
          <w:noProof/>
          <w:color w:val="000000"/>
        </w:rPr>
        <w:t xml:space="preserve">, </w:t>
      </w:r>
      <w:r w:rsidRPr="00D96C74">
        <w:rPr>
          <w:rStyle w:val="normaltextrun"/>
          <w:noProof/>
        </w:rPr>
        <w:t xml:space="preserve">în prezent aproximativ </w:t>
      </w:r>
      <w:r w:rsidRPr="00D020C3">
        <w:rPr>
          <w:rStyle w:val="normaltextrun"/>
          <w:noProof/>
        </w:rPr>
        <w:t>78</w:t>
      </w:r>
      <w:r w:rsidRPr="00D96C74">
        <w:rPr>
          <w:rStyle w:val="normaltextrun"/>
          <w:noProof/>
        </w:rPr>
        <w:t xml:space="preserve"> % din deșeurile textile postconsum, care includ îmbrăcămintea și încălțămintea, textilele de uz casnic și textilele tehnice, nu sunt colectate separat și ajung să fie amestecate cu deșeurile menajere destinate incinerării sau eliminării în depozite de deșeuri. Acest mod de gestionare a deșeurilor, ineficient din punctul de vedere al resurselor, nu respectă ierarhia deșeurilor și are efecte dăunătoare asupra mediului din UE și din țările terțe ca urmare a faptului că este însoțit de un nivel excesiv de emisii de gaze cu efect de seră (GES), de consumul de apă, de poluare și de utilizare a terenurilor. Din deșeurile textile colectate separat, care reprezintă doar </w:t>
      </w:r>
      <w:r w:rsidRPr="00D020C3">
        <w:rPr>
          <w:rStyle w:val="normaltextrun"/>
          <w:noProof/>
        </w:rPr>
        <w:t>22</w:t>
      </w:r>
      <w:r w:rsidRPr="00D96C74">
        <w:rPr>
          <w:rStyle w:val="normaltextrun"/>
          <w:noProof/>
        </w:rPr>
        <w:t xml:space="preserve"> % din deșeurile textile postconsum generate, aproximativ </w:t>
      </w:r>
      <w:r w:rsidRPr="00D020C3">
        <w:rPr>
          <w:rStyle w:val="normaltextrun"/>
          <w:noProof/>
        </w:rPr>
        <w:t>32</w:t>
      </w:r>
      <w:r w:rsidRPr="00D96C74">
        <w:rPr>
          <w:rStyle w:val="normaltextrun"/>
          <w:noProof/>
        </w:rPr>
        <w:t xml:space="preserve"> % sunt reciclate în UE (aproximativ </w:t>
      </w:r>
      <w:r w:rsidRPr="00D020C3">
        <w:rPr>
          <w:rStyle w:val="normaltextrun"/>
          <w:noProof/>
        </w:rPr>
        <w:t>20</w:t>
      </w:r>
      <w:r w:rsidRPr="00D96C74">
        <w:rPr>
          <w:rStyle w:val="normaltextrun"/>
          <w:noProof/>
        </w:rPr>
        <w:t xml:space="preserve"> % în afara UE) și aproximativ </w:t>
      </w:r>
      <w:r w:rsidRPr="00D020C3">
        <w:rPr>
          <w:rStyle w:val="normaltextrun"/>
          <w:noProof/>
        </w:rPr>
        <w:t>8</w:t>
      </w:r>
      <w:r w:rsidRPr="00D96C74">
        <w:rPr>
          <w:rStyle w:val="normaltextrun"/>
          <w:noProof/>
        </w:rPr>
        <w:t xml:space="preserve"> % sunt reutilizate în interiorul UE (aproximativ </w:t>
      </w:r>
      <w:r w:rsidRPr="00D020C3">
        <w:rPr>
          <w:rStyle w:val="normaltextrun"/>
          <w:noProof/>
        </w:rPr>
        <w:t>38</w:t>
      </w:r>
      <w:r w:rsidRPr="00D96C74">
        <w:rPr>
          <w:rStyle w:val="normaltextrun"/>
          <w:noProof/>
        </w:rPr>
        <w:t> % în afara UE), în timp ce restul sunt exportate.</w:t>
      </w:r>
      <w:r w:rsidRPr="00D96C74">
        <w:rPr>
          <w:rStyle w:val="eop"/>
          <w:noProof/>
        </w:rPr>
        <w:t xml:space="preserve"> </w:t>
      </w:r>
    </w:p>
    <w:p w14:paraId="06D439E3" w14:textId="38CCB617" w:rsidR="0050683A" w:rsidRPr="00D96C74" w:rsidRDefault="0050683A" w:rsidP="0050683A">
      <w:pPr>
        <w:rPr>
          <w:rFonts w:ascii="Segoe UI" w:hAnsi="Segoe UI" w:cs="Segoe UI"/>
          <w:noProof/>
          <w:sz w:val="18"/>
          <w:szCs w:val="18"/>
        </w:rPr>
      </w:pPr>
      <w:r w:rsidRPr="00D020C3">
        <w:rPr>
          <w:rStyle w:val="normaltextrun"/>
          <w:noProof/>
          <w:spacing w:val="-4"/>
        </w:rPr>
        <w:t>Obligația de colectare separată a textilelor, prevăzută în DCD, intră în vigoare la 1 ianuarie 2025</w:t>
      </w:r>
      <w:r w:rsidRPr="00D96C74">
        <w:rPr>
          <w:rStyle w:val="normaltextrun"/>
          <w:noProof/>
        </w:rPr>
        <w:t xml:space="preserve">. Conform informațiilor primite de la statele membre, se estimează că sistemele de colectare separată și infrastructurile de sortare și reciclare vor fi probabil nepregătite să gestioneze cantitățile suplimentare preconizate a fi colectate. Se preconizează că, în majoritatea statelor membre, sortarea va avea loc aproape de punctele de colectare a deșeurilor și la o scară mai mare în statele în care condițiile de piață sunt favorabile (de exemplu, costuri mai mici de gestionare a deșeurilor, infrastructură și competențe existente care pot fi extinse, proximitate de centre de reciclare/producție și de porturi). Este de așteptat ca reciclarea să nu aibă loc în toate țările, aceasta urmând să fie probabil localizată în regiuni apropiate de centrele de producție a textilelor și de bazele de infrastructură existente. </w:t>
      </w:r>
    </w:p>
    <w:p w14:paraId="16BD6C6B" w14:textId="518A883F" w:rsidR="0050683A" w:rsidRPr="00D96C74" w:rsidRDefault="0050683A" w:rsidP="0050683A">
      <w:pPr>
        <w:rPr>
          <w:rFonts w:ascii="Segoe UI" w:hAnsi="Segoe UI" w:cs="Segoe UI"/>
          <w:noProof/>
          <w:sz w:val="18"/>
          <w:szCs w:val="18"/>
        </w:rPr>
      </w:pPr>
      <w:r w:rsidRPr="00D96C74">
        <w:rPr>
          <w:rStyle w:val="normaltextrun"/>
          <w:noProof/>
          <w:color w:val="000000"/>
        </w:rPr>
        <w:t xml:space="preserve">Sectorul textilelor este mare consumator de resurse. </w:t>
      </w:r>
      <w:r w:rsidRPr="00D96C74">
        <w:rPr>
          <w:rStyle w:val="normaltextrun"/>
          <w:noProof/>
        </w:rPr>
        <w:t>Atât în ceea ce privește producția de materii prime, cât și cea de produse textile, consumul de îmbrăcăminte, încălțăminte și textile de uz casnic în UE generează presiuni și impacturi</w:t>
      </w:r>
      <w:r w:rsidR="00873632">
        <w:rPr>
          <w:rStyle w:val="normaltextrun"/>
          <w:noProof/>
        </w:rPr>
        <w:t xml:space="preserve"> </w:t>
      </w:r>
      <w:r w:rsidRPr="00D96C74">
        <w:rPr>
          <w:rStyle w:val="normaltextrun"/>
          <w:noProof/>
        </w:rPr>
        <w:t>care sunt resimțite cel mai mult în alte regiuni ale lumii.</w:t>
      </w:r>
      <w:r w:rsidRPr="00D96C74">
        <w:rPr>
          <w:rStyle w:val="normaltextrun"/>
          <w:noProof/>
          <w:color w:val="000000"/>
        </w:rPr>
        <w:t xml:space="preserve"> </w:t>
      </w:r>
      <w:r w:rsidRPr="00D96C74">
        <w:rPr>
          <w:rStyle w:val="normaltextrun"/>
          <w:noProof/>
        </w:rPr>
        <w:t>Însă, deși majoritatea presiunilor asupra mediului generate de consumul de textile din UE sunt resimțite în țări terțe</w:t>
      </w:r>
      <w:r w:rsidRPr="00D96C74">
        <w:rPr>
          <w:rStyle w:val="FootnoteReference"/>
          <w:noProof/>
        </w:rPr>
        <w:footnoteReference w:id="12"/>
      </w:r>
      <w:r w:rsidRPr="00D96C74">
        <w:rPr>
          <w:rStyle w:val="normaltextrun"/>
          <w:noProof/>
        </w:rPr>
        <w:t xml:space="preserve">, ele afectează și Uniunea ca urmare a impactului lor la scară mondială. AEM estimează că, pentru a produce cantitatea de îmbrăcăminte, textile și încălțăminte consumate în UE în </w:t>
      </w:r>
      <w:r w:rsidRPr="00D020C3">
        <w:rPr>
          <w:rStyle w:val="normaltextrun"/>
          <w:noProof/>
        </w:rPr>
        <w:t>2020</w:t>
      </w:r>
      <w:r w:rsidRPr="00D96C74">
        <w:rPr>
          <w:rStyle w:val="normaltextrun"/>
          <w:noProof/>
        </w:rPr>
        <w:t xml:space="preserve">, </w:t>
      </w:r>
      <w:r w:rsidRPr="00D020C3">
        <w:rPr>
          <w:rStyle w:val="normaltextrun"/>
          <w:noProof/>
        </w:rPr>
        <w:t>80</w:t>
      </w:r>
      <w:r w:rsidRPr="00D96C74">
        <w:rPr>
          <w:rStyle w:val="normaltextrun"/>
          <w:noProof/>
        </w:rPr>
        <w:t xml:space="preserve"> % din materiile prime primare utilizate, </w:t>
      </w:r>
      <w:r w:rsidRPr="00D020C3">
        <w:rPr>
          <w:rStyle w:val="normaltextrun"/>
          <w:noProof/>
        </w:rPr>
        <w:t>88</w:t>
      </w:r>
      <w:r w:rsidRPr="00D96C74">
        <w:rPr>
          <w:rStyle w:val="normaltextrun"/>
          <w:noProof/>
        </w:rPr>
        <w:t xml:space="preserve"> % din apa consumată și </w:t>
      </w:r>
      <w:r w:rsidRPr="00D020C3">
        <w:rPr>
          <w:rStyle w:val="normaltextrun"/>
          <w:noProof/>
        </w:rPr>
        <w:t>92</w:t>
      </w:r>
      <w:r w:rsidRPr="00D96C74">
        <w:rPr>
          <w:rStyle w:val="normaltextrun"/>
          <w:noProof/>
        </w:rPr>
        <w:t xml:space="preserve"> % din terenurile utilizate, precum și </w:t>
      </w:r>
      <w:r w:rsidRPr="00D020C3">
        <w:rPr>
          <w:rStyle w:val="normaltextrun"/>
          <w:noProof/>
        </w:rPr>
        <w:t>73</w:t>
      </w:r>
      <w:r w:rsidRPr="00D96C74">
        <w:rPr>
          <w:rStyle w:val="normaltextrun"/>
          <w:noProof/>
        </w:rPr>
        <w:t> % din emisiile de GES generate s-au înregistrat în afara UE. De exemplu, emisiile de GES reprezintă un fenomen global și nu sunt circumscrise în interiorul anumitor granițe sau regiuni.</w:t>
      </w:r>
      <w:r w:rsidRPr="00D96C74">
        <w:rPr>
          <w:rStyle w:val="superscript"/>
          <w:noProof/>
        </w:rPr>
        <w:t xml:space="preserve"> </w:t>
      </w:r>
      <w:r w:rsidRPr="00D96C74">
        <w:rPr>
          <w:rStyle w:val="normaltextrun"/>
          <w:noProof/>
        </w:rPr>
        <w:t xml:space="preserve">În plus, în cadrul lanțului de distribuție erau angajați aproape </w:t>
      </w:r>
      <w:r w:rsidRPr="00D020C3">
        <w:rPr>
          <w:rStyle w:val="normaltextrun"/>
          <w:noProof/>
        </w:rPr>
        <w:t>13</w:t>
      </w:r>
      <w:r w:rsidRPr="00D96C74">
        <w:rPr>
          <w:rStyle w:val="normaltextrun"/>
          <w:noProof/>
        </w:rPr>
        <w:t xml:space="preserve"> milioane de lucrători în echivalent normă întreagă la nivel mondial</w:t>
      </w:r>
      <w:r w:rsidRPr="00D96C74">
        <w:rPr>
          <w:rStyle w:val="FootnoteReference"/>
          <w:noProof/>
        </w:rPr>
        <w:footnoteReference w:id="13"/>
      </w:r>
      <w:r w:rsidRPr="00D96C74">
        <w:rPr>
          <w:rStyle w:val="normaltextrun"/>
          <w:noProof/>
        </w:rPr>
        <w:t xml:space="preserve">. </w:t>
      </w:r>
      <w:r w:rsidRPr="00D96C74">
        <w:rPr>
          <w:rStyle w:val="normaltextrun"/>
          <w:noProof/>
          <w:color w:val="000000"/>
        </w:rPr>
        <w:t>Prin urmare, prevenirea, reutilizarea și reciclarea deșeurilor textile pot contribui la reducerea amprentei de mediu a sectorului.</w:t>
      </w:r>
      <w:r w:rsidRPr="00D96C74">
        <w:rPr>
          <w:rStyle w:val="eop"/>
          <w:noProof/>
          <w:color w:val="000000"/>
        </w:rPr>
        <w:t xml:space="preserve"> </w:t>
      </w:r>
    </w:p>
    <w:p w14:paraId="7BF50C20" w14:textId="77777777" w:rsidR="0050683A" w:rsidRPr="00D96C74" w:rsidRDefault="0050683A" w:rsidP="0050683A">
      <w:pPr>
        <w:rPr>
          <w:rFonts w:ascii="Segoe UI" w:hAnsi="Segoe UI" w:cs="Segoe UI"/>
          <w:noProof/>
          <w:sz w:val="18"/>
          <w:szCs w:val="18"/>
        </w:rPr>
      </w:pPr>
      <w:r w:rsidRPr="00D96C74">
        <w:rPr>
          <w:rStyle w:val="normaltextrun"/>
          <w:noProof/>
        </w:rPr>
        <w:t xml:space="preserve">În plus, costurile de gestionare a deșeurilor de îmbrăcăminte și textile de uz casnic uzate nu sunt internalizate în prețul produselor noi. În medie, costurile de colectare și tratare ar fi de aproximativ </w:t>
      </w:r>
      <w:r w:rsidRPr="00D020C3">
        <w:rPr>
          <w:rStyle w:val="normaltextrun"/>
          <w:noProof/>
        </w:rPr>
        <w:t>12</w:t>
      </w:r>
      <w:r w:rsidRPr="00D96C74">
        <w:rPr>
          <w:rStyle w:val="normaltextrun"/>
          <w:noProof/>
        </w:rPr>
        <w:t xml:space="preserve"> cenți pe articol. Totuși, aceste costuri variază în funcție de tipul de articol: cele care sunt compuse dintr-un amestec de diverse tipuri de fibre textile și includ elemente dure (de exemplu, nasturi și fermoare) au costuri de gestionare mai mari, iar articolele compuse dintr-un singur tip de fibră și fără elemente dure, cum ar fi tricourile, au costuri mai mici. Având în vedere volumele mari de deșeuri textile eliminate în prezent împreună cu deșeurile reziduale, rezultă că nu sunt internalizate nici costul eliminării și nici externalitățile de mediu ale acestei eliminări, care includ emisiile provenite din incinerarea și depozitarea deșeurilor. Printre alte externalități se numără în special impacturile sociale și de mediu ale deșeurilor textile exportate către țări terțe sub pretextul reutilizării, în special impactul textilelor nesortate exportate, din care o parte semnificativă ajunge în depozite de deșeuri (ilegale).</w:t>
      </w:r>
      <w:r w:rsidRPr="00D96C74">
        <w:rPr>
          <w:rStyle w:val="eop"/>
          <w:noProof/>
        </w:rPr>
        <w:t xml:space="preserve"> </w:t>
      </w:r>
    </w:p>
    <w:p w14:paraId="02DF1DDE" w14:textId="09F14018" w:rsidR="0050683A" w:rsidRPr="00D96C74" w:rsidRDefault="0050683A" w:rsidP="0050683A">
      <w:pPr>
        <w:rPr>
          <w:rFonts w:ascii="Segoe UI" w:hAnsi="Segoe UI" w:cs="Segoe UI"/>
          <w:noProof/>
          <w:sz w:val="18"/>
          <w:szCs w:val="18"/>
        </w:rPr>
      </w:pPr>
      <w:r w:rsidRPr="00D96C74">
        <w:rPr>
          <w:rStyle w:val="normaltextrun"/>
          <w:noProof/>
        </w:rPr>
        <w:t xml:space="preserve">Faptul că avem definiții fragmentare ale produselor textile și ale deșeurilor textile generează sarcini administrative și </w:t>
      </w:r>
      <w:r w:rsidRPr="00D96C74">
        <w:rPr>
          <w:rStyle w:val="normaltextrun"/>
          <w:noProof/>
          <w:color w:val="000000"/>
        </w:rPr>
        <w:t>creează obstacole în calea expedierilor transfrontaliere</w:t>
      </w:r>
      <w:r w:rsidRPr="00D96C74">
        <w:rPr>
          <w:rStyle w:val="normaltextrun"/>
          <w:noProof/>
        </w:rPr>
        <w:t>.</w:t>
      </w:r>
      <w:r w:rsidRPr="00D96C74">
        <w:rPr>
          <w:rStyle w:val="normaltextrun"/>
          <w:noProof/>
          <w:color w:val="000000"/>
        </w:rPr>
        <w:t xml:space="preserve"> </w:t>
      </w:r>
      <w:r w:rsidRPr="00D96C74">
        <w:rPr>
          <w:rStyle w:val="normaltextrun"/>
          <w:noProof/>
        </w:rPr>
        <w:t xml:space="preserve">Diversitatea semnalelor politice și normative din fiecare stat membru și lacunele în materie de informații (de exemplu, cu privire la calitatea materiilor prime) împiedică extinderea industriei reciclării și reutilizării și perturbă condițiile de concurență echitabile de pe piața unică, ceea ce se adaugă la complexitatea reciclării textilelor din cauza compoziției diferite a deșeurilor textile. Acest lucru împiedică nu numai tranziția către o economie circulară în sectorul textilelor, ci și apariția de locuri de muncă de calitate și crearea de valoare adăugată în UE. </w:t>
      </w:r>
      <w:r w:rsidRPr="00D96C74">
        <w:rPr>
          <w:rStyle w:val="normaltextrun"/>
          <w:noProof/>
          <w:color w:val="000000"/>
        </w:rPr>
        <w:t xml:space="preserve">Ca urmare a infrastructurii insuficiente de sortare și reciclare, este posibil ca produsele textile să nu fie tratate în conformitate cu ierarhia deșeurilor, chiar și după intrarea în vigoare a obligației de colectare separată. </w:t>
      </w:r>
      <w:r w:rsidRPr="00D96C74">
        <w:rPr>
          <w:rStyle w:val="normaltextrun"/>
          <w:noProof/>
        </w:rPr>
        <w:t>Producția cu o valoare adăugată scăzută are loc în principal în țări terțe. Producția și eliminarea deșeurilor textile importate au un impact negativ semnificativ asupra societății la nivel local, regional și mondial</w:t>
      </w:r>
      <w:r w:rsidRPr="00D96C74">
        <w:rPr>
          <w:rStyle w:val="FootnoteReference"/>
          <w:noProof/>
        </w:rPr>
        <w:footnoteReference w:id="14"/>
      </w:r>
      <w:r w:rsidRPr="00D96C74">
        <w:rPr>
          <w:rStyle w:val="normaltextrun"/>
          <w:noProof/>
        </w:rPr>
        <w:t>.</w:t>
      </w:r>
      <w:r w:rsidRPr="00D96C74">
        <w:rPr>
          <w:rStyle w:val="eop"/>
          <w:noProof/>
        </w:rPr>
        <w:t xml:space="preserve"> </w:t>
      </w:r>
    </w:p>
    <w:p w14:paraId="4489730A" w14:textId="77777777" w:rsidR="0050683A" w:rsidRPr="00D96C74" w:rsidRDefault="0050683A" w:rsidP="0050683A">
      <w:pPr>
        <w:rPr>
          <w:rStyle w:val="eop"/>
          <w:noProof/>
        </w:rPr>
      </w:pPr>
      <w:r w:rsidRPr="00D96C74">
        <w:rPr>
          <w:rStyle w:val="normaltextrun"/>
          <w:noProof/>
        </w:rPr>
        <w:t xml:space="preserve">Prin urmare, obiectivele specifice ale prezentei propuneri în ceea ce privește deșeurile textile sunt </w:t>
      </w:r>
      <w:r w:rsidRPr="00D96C74">
        <w:rPr>
          <w:rStyle w:val="normaltextrun"/>
          <w:noProof/>
          <w:color w:val="000000"/>
        </w:rPr>
        <w:t>îmbunătățirea gestionării deșeurilor textile în conformitate cu „ierarhia deșeurilor”</w:t>
      </w:r>
      <w:r w:rsidRPr="00D96C74">
        <w:rPr>
          <w:rStyle w:val="FootnoteReference"/>
          <w:noProof/>
          <w:color w:val="000000"/>
        </w:rPr>
        <w:footnoteReference w:id="15"/>
      </w:r>
      <w:r w:rsidRPr="00D96C74">
        <w:rPr>
          <w:rStyle w:val="normaltextrun"/>
          <w:noProof/>
          <w:color w:val="000000"/>
        </w:rPr>
        <w:t xml:space="preserve"> consacrată în DCD, acordând prioritate prevenirii generării de deșeuri, pregătirii pentru reutilizare și reciclării textilelor înaintea altor opțiuni de valorificare și eliminare și punerea în aplicare a principiului „poluatorul plătește”</w:t>
      </w:r>
      <w:r w:rsidRPr="00D96C74">
        <w:rPr>
          <w:rStyle w:val="normaltextrun"/>
          <w:noProof/>
        </w:rPr>
        <w:t>.</w:t>
      </w:r>
      <w:r w:rsidRPr="00D96C74">
        <w:rPr>
          <w:rStyle w:val="normaltextrun"/>
          <w:noProof/>
          <w:color w:val="000000"/>
        </w:rPr>
        <w:t xml:space="preserve"> </w:t>
      </w:r>
      <w:r w:rsidRPr="00D96C74">
        <w:rPr>
          <w:rStyle w:val="normaltextrun"/>
          <w:noProof/>
        </w:rPr>
        <w:t>Planul de acțiune privind economia circulară (PAEC)</w:t>
      </w:r>
      <w:r w:rsidRPr="00D96C74">
        <w:rPr>
          <w:rStyle w:val="FootnoteReference"/>
          <w:noProof/>
        </w:rPr>
        <w:footnoteReference w:id="16"/>
      </w:r>
      <w:r w:rsidRPr="00D96C74">
        <w:rPr>
          <w:rStyle w:val="normaltextrun"/>
          <w:noProof/>
        </w:rPr>
        <w:t xml:space="preserve"> și Strategia UE pentru textile sustenabile și circulare („Strategia privind textilele”)</w:t>
      </w:r>
      <w:r w:rsidRPr="00D96C74">
        <w:rPr>
          <w:rStyle w:val="FootnoteReference"/>
          <w:noProof/>
        </w:rPr>
        <w:footnoteReference w:id="17"/>
      </w:r>
      <w:r w:rsidRPr="00D96C74">
        <w:rPr>
          <w:rStyle w:val="normaltextrun"/>
          <w:noProof/>
        </w:rPr>
        <w:t xml:space="preserve"> îndeamnă Uniunea Europeană și statele membre să întreprindă acțiuni consolidate și accelerate pentru a preveni generarea deșeurilor textile și a îmbunătăți circularitatea produselor textile, deoarece acest sector cu utilizare intensivă a resurselor cauzează externalități de mediu negative semnificative, iar finanțarea insuficientă și decalajele tehnologice frânează progresul pe calea tranziției către o economie circulară. </w:t>
      </w:r>
      <w:r w:rsidRPr="00D96C74">
        <w:rPr>
          <w:rStyle w:val="eop"/>
          <w:noProof/>
        </w:rPr>
        <w:t xml:space="preserve"> </w:t>
      </w:r>
    </w:p>
    <w:p w14:paraId="680F129C" w14:textId="77777777" w:rsidR="0087161A" w:rsidRPr="008D4D1E" w:rsidRDefault="0087161A" w:rsidP="0050683A">
      <w:pPr>
        <w:rPr>
          <w:rFonts w:ascii="Segoe UI" w:hAnsi="Segoe UI" w:cs="Segoe UI"/>
          <w:i/>
          <w:iCs/>
          <w:noProof/>
          <w:sz w:val="18"/>
          <w:szCs w:val="18"/>
        </w:rPr>
      </w:pPr>
      <w:r w:rsidRPr="008D4D1E">
        <w:rPr>
          <w:rStyle w:val="eop"/>
          <w:i/>
          <w:noProof/>
        </w:rPr>
        <w:t>Deșeurile alimentare</w:t>
      </w:r>
    </w:p>
    <w:p w14:paraId="2549E28F" w14:textId="77777777" w:rsidR="0050683A" w:rsidRPr="00D96C74" w:rsidRDefault="0050683A" w:rsidP="0050683A">
      <w:pPr>
        <w:rPr>
          <w:rStyle w:val="normaltextrun"/>
          <w:noProof/>
        </w:rPr>
      </w:pPr>
      <w:r w:rsidRPr="00D96C74">
        <w:rPr>
          <w:rStyle w:val="normaltextrun"/>
          <w:noProof/>
        </w:rPr>
        <w:t>Deșeurile alimentare reprezintă una dintre cele mai mari surse de ineficiență din lanțul agroalimentar. În special, acestea au un impact negativ asupra mediului și a climei. Consumul de alimente este principalul factor care contribuie la impactul asupra mediului</w:t>
      </w:r>
      <w:r w:rsidRPr="00D96C74">
        <w:rPr>
          <w:rStyle w:val="FootnoteReference"/>
          <w:noProof/>
        </w:rPr>
        <w:footnoteReference w:id="18"/>
      </w:r>
      <w:r w:rsidRPr="00D96C74">
        <w:rPr>
          <w:rStyle w:val="normaltextrun"/>
          <w:noProof/>
        </w:rPr>
        <w:t xml:space="preserve"> și la amprenta asupra biodiversității</w:t>
      </w:r>
      <w:r w:rsidRPr="00D96C74">
        <w:rPr>
          <w:rStyle w:val="FootnoteReference"/>
          <w:noProof/>
        </w:rPr>
        <w:footnoteReference w:id="19"/>
      </w:r>
      <w:r w:rsidRPr="00D96C74">
        <w:rPr>
          <w:rStyle w:val="normaltextrun"/>
          <w:noProof/>
        </w:rPr>
        <w:t xml:space="preserve"> a consumului din UE.  </w:t>
      </w:r>
    </w:p>
    <w:p w14:paraId="1E855368" w14:textId="77777777" w:rsidR="0050683A" w:rsidRPr="00D96C74" w:rsidRDefault="0050683A" w:rsidP="00062210">
      <w:pPr>
        <w:rPr>
          <w:rStyle w:val="normaltextrun"/>
          <w:noProof/>
        </w:rPr>
      </w:pPr>
      <w:r w:rsidRPr="00D96C74">
        <w:rPr>
          <w:rStyle w:val="normaltextrun"/>
          <w:noProof/>
        </w:rPr>
        <w:t xml:space="preserve">Atunci când se aruncă alimente, toate resursele și toată energia utilizate pentru producerea acestora, precum și consecințele lor asupra mediului, cum ar fi emisiile de GES – care se acumulează de-a lungul lanțului alimentar – sunt în continuare prezente, fără niciun beneficiu pentru alimentația umană. Alimentele prelucrate, transportate și gătite care sunt apoi irosite în etapa de consum au un impact mai mare asupra mediului decât produsele alimentare neprelucrate irosite la nivelul exploatațiilor agricole. Cele </w:t>
      </w:r>
      <w:r w:rsidRPr="00D020C3">
        <w:rPr>
          <w:rStyle w:val="normaltextrun"/>
          <w:noProof/>
        </w:rPr>
        <w:t>58</w:t>
      </w:r>
      <w:r w:rsidRPr="00D96C74">
        <w:rPr>
          <w:rStyle w:val="normaltextrun"/>
          <w:noProof/>
        </w:rPr>
        <w:t>,</w:t>
      </w:r>
      <w:r w:rsidRPr="00D020C3">
        <w:rPr>
          <w:rStyle w:val="normaltextrun"/>
          <w:noProof/>
        </w:rPr>
        <w:t>5</w:t>
      </w:r>
      <w:r w:rsidRPr="00D96C74">
        <w:rPr>
          <w:rStyle w:val="normaltextrun"/>
          <w:noProof/>
        </w:rPr>
        <w:t xml:space="preserve"> Mt de deșeuri alimentare generate în UE în </w:t>
      </w:r>
      <w:r w:rsidRPr="00D020C3">
        <w:rPr>
          <w:rStyle w:val="normaltextrun"/>
          <w:noProof/>
        </w:rPr>
        <w:t>2020</w:t>
      </w:r>
      <w:r w:rsidRPr="00D96C74">
        <w:rPr>
          <w:rStyle w:val="FootnoteReference"/>
          <w:noProof/>
        </w:rPr>
        <w:footnoteReference w:id="20"/>
      </w:r>
      <w:r w:rsidRPr="00D96C74">
        <w:rPr>
          <w:rStyle w:val="normaltextrun"/>
          <w:noProof/>
        </w:rPr>
        <w:t xml:space="preserve"> au generat emisii de </w:t>
      </w:r>
      <w:r w:rsidRPr="00D020C3">
        <w:rPr>
          <w:rStyle w:val="normaltextrun"/>
          <w:noProof/>
        </w:rPr>
        <w:t>252</w:t>
      </w:r>
      <w:r w:rsidRPr="00D96C74">
        <w:rPr>
          <w:rStyle w:val="normaltextrun"/>
          <w:noProof/>
        </w:rPr>
        <w:t xml:space="preserve"> Mt de CO</w:t>
      </w:r>
      <w:r w:rsidRPr="00D020C3">
        <w:rPr>
          <w:rStyle w:val="normaltextrun"/>
          <w:noProof/>
          <w:vertAlign w:val="subscript"/>
        </w:rPr>
        <w:t>2</w:t>
      </w:r>
      <w:r w:rsidRPr="00D96C74">
        <w:rPr>
          <w:rStyle w:val="normaltextrun"/>
          <w:noProof/>
        </w:rPr>
        <w:t xml:space="preserve"> echivalent</w:t>
      </w:r>
      <w:r w:rsidRPr="00D96C74">
        <w:rPr>
          <w:rStyle w:val="FootnoteReference"/>
          <w:noProof/>
        </w:rPr>
        <w:footnoteReference w:id="21"/>
      </w:r>
      <w:r w:rsidRPr="00D96C74">
        <w:rPr>
          <w:rStyle w:val="normaltextrun"/>
          <w:noProof/>
        </w:rPr>
        <w:t xml:space="preserve">. Aceasta înseamnă că </w:t>
      </w:r>
      <w:r w:rsidRPr="00D020C3">
        <w:rPr>
          <w:rStyle w:val="normaltextrun"/>
          <w:noProof/>
        </w:rPr>
        <w:t>16</w:t>
      </w:r>
      <w:r w:rsidRPr="00D96C74">
        <w:rPr>
          <w:rStyle w:val="normaltextrun"/>
          <w:noProof/>
        </w:rPr>
        <w:t xml:space="preserve"> % din impactul total al GES rezultă din sistemul alimentar al UE. Generarea de deșeuri alimentare exercită o presiune inutilă și asupra resurselor naturale limitate. De exemplu, cantitatea de apă consumată pentru a produce alimentele care sunt în cele din urmă irosite poate fi cuantificată la </w:t>
      </w:r>
      <w:r w:rsidRPr="00D020C3">
        <w:rPr>
          <w:rStyle w:val="normaltextrun"/>
          <w:noProof/>
        </w:rPr>
        <w:t>342</w:t>
      </w:r>
      <w:r w:rsidRPr="00D96C74">
        <w:rPr>
          <w:rStyle w:val="normaltextrun"/>
          <w:noProof/>
        </w:rPr>
        <w:t xml:space="preserve"> de miliarde m</w:t>
      </w:r>
      <w:r w:rsidRPr="00D020C3">
        <w:rPr>
          <w:rStyle w:val="normaltextrun"/>
          <w:noProof/>
          <w:vertAlign w:val="superscript"/>
        </w:rPr>
        <w:t>3</w:t>
      </w:r>
      <w:r w:rsidRPr="00D96C74">
        <w:rPr>
          <w:rStyle w:val="normaltextrun"/>
          <w:noProof/>
        </w:rPr>
        <w:t xml:space="preserve"> de apă echivalent</w:t>
      </w:r>
      <w:r w:rsidRPr="00D96C74">
        <w:rPr>
          <w:rStyle w:val="FootnoteReference"/>
          <w:noProof/>
        </w:rPr>
        <w:footnoteReference w:id="22"/>
      </w:r>
      <w:r w:rsidRPr="00D96C74">
        <w:rPr>
          <w:rStyle w:val="normaltextrun"/>
          <w:noProof/>
        </w:rPr>
        <w:t xml:space="preserve">, ceea ce reprezintă </w:t>
      </w:r>
      <w:r w:rsidRPr="00D020C3">
        <w:rPr>
          <w:rStyle w:val="normaltextrun"/>
          <w:noProof/>
        </w:rPr>
        <w:t>12</w:t>
      </w:r>
      <w:r w:rsidRPr="00D96C74">
        <w:rPr>
          <w:rStyle w:val="normaltextrun"/>
          <w:noProof/>
        </w:rPr>
        <w:t xml:space="preserve"> % din impactul total al producției și consumului de alimente din UE. De asemenea, deșeurile alimentare sunt responsabile pentru </w:t>
      </w:r>
      <w:r w:rsidRPr="00D020C3">
        <w:rPr>
          <w:rStyle w:val="normaltextrun"/>
          <w:noProof/>
        </w:rPr>
        <w:t>16</w:t>
      </w:r>
      <w:r w:rsidRPr="00D96C74">
        <w:rPr>
          <w:rStyle w:val="normaltextrun"/>
          <w:noProof/>
        </w:rPr>
        <w:t> % din impacturile asupra solului asociate activităților de utilizare a terenurilor</w:t>
      </w:r>
      <w:r w:rsidRPr="00D96C74">
        <w:rPr>
          <w:rStyle w:val="FootnoteReference"/>
          <w:noProof/>
        </w:rPr>
        <w:footnoteReference w:id="23"/>
      </w:r>
      <w:r w:rsidRPr="00D96C74">
        <w:rPr>
          <w:rStyle w:val="normaltextrun"/>
          <w:noProof/>
        </w:rPr>
        <w:t xml:space="preserve">, iar consecințele asupra eutrofizării marine reprezintă </w:t>
      </w:r>
      <w:r w:rsidRPr="00D020C3">
        <w:rPr>
          <w:rStyle w:val="normaltextrun"/>
          <w:noProof/>
        </w:rPr>
        <w:t>15</w:t>
      </w:r>
      <w:r w:rsidRPr="00D96C74">
        <w:rPr>
          <w:rStyle w:val="normaltextrun"/>
          <w:noProof/>
        </w:rPr>
        <w:t> % din total</w:t>
      </w:r>
      <w:r w:rsidRPr="00D96C74">
        <w:rPr>
          <w:rStyle w:val="FootnoteReference"/>
          <w:noProof/>
        </w:rPr>
        <w:footnoteReference w:id="24"/>
      </w:r>
      <w:r w:rsidRPr="00D96C74">
        <w:rPr>
          <w:rStyle w:val="normaltextrun"/>
          <w:noProof/>
          <w:vertAlign w:val="superscript"/>
        </w:rPr>
        <w:t>,</w:t>
      </w:r>
      <w:r w:rsidRPr="00D96C74">
        <w:rPr>
          <w:rStyle w:val="FootnoteReference"/>
          <w:noProof/>
        </w:rPr>
        <w:footnoteReference w:id="25"/>
      </w:r>
      <w:r w:rsidRPr="00D96C74">
        <w:rPr>
          <w:rStyle w:val="normaltextrun"/>
          <w:noProof/>
        </w:rPr>
        <w:t>. </w:t>
      </w:r>
    </w:p>
    <w:p w14:paraId="7BDD6CE2" w14:textId="77777777" w:rsidR="0050683A" w:rsidRPr="00D96C74" w:rsidRDefault="0050683A" w:rsidP="0050683A">
      <w:pPr>
        <w:rPr>
          <w:rStyle w:val="normaltextrun"/>
          <w:noProof/>
        </w:rPr>
      </w:pPr>
      <w:r w:rsidRPr="00D96C74">
        <w:rPr>
          <w:rStyle w:val="normaltextrun"/>
          <w:noProof/>
        </w:rPr>
        <w:t xml:space="preserve">În ceea ce privește consecințele economice, valoarea de piață asociată celor </w:t>
      </w:r>
      <w:r w:rsidRPr="00D020C3">
        <w:rPr>
          <w:rStyle w:val="normaltextrun"/>
          <w:noProof/>
        </w:rPr>
        <w:t>58</w:t>
      </w:r>
      <w:r w:rsidRPr="00D96C74">
        <w:rPr>
          <w:rStyle w:val="normaltextrun"/>
          <w:noProof/>
        </w:rPr>
        <w:t>,</w:t>
      </w:r>
      <w:r w:rsidRPr="00D020C3">
        <w:rPr>
          <w:rStyle w:val="normaltextrun"/>
          <w:noProof/>
        </w:rPr>
        <w:t>5</w:t>
      </w:r>
      <w:r w:rsidRPr="00D96C74">
        <w:rPr>
          <w:rStyle w:val="normaltextrun"/>
          <w:noProof/>
        </w:rPr>
        <w:t xml:space="preserve"> Mt de deșeuri alimentare este estimată la </w:t>
      </w:r>
      <w:r w:rsidRPr="00D020C3">
        <w:rPr>
          <w:rStyle w:val="normaltextrun"/>
          <w:noProof/>
        </w:rPr>
        <w:t>132</w:t>
      </w:r>
      <w:r w:rsidRPr="00D96C74">
        <w:rPr>
          <w:rStyle w:val="normaltextrun"/>
          <w:noProof/>
        </w:rPr>
        <w:t xml:space="preserve"> de miliarde EUR</w:t>
      </w:r>
      <w:r w:rsidRPr="00D96C74">
        <w:rPr>
          <w:rStyle w:val="FootnoteReference"/>
          <w:noProof/>
        </w:rPr>
        <w:footnoteReference w:id="26"/>
      </w:r>
      <w:r w:rsidRPr="00D96C74">
        <w:rPr>
          <w:rStyle w:val="normaltextrun"/>
          <w:noProof/>
        </w:rPr>
        <w:t xml:space="preserve">. Aceste costuri includ resursele irosite de operatorii din sectorul alimentar în fiecare etapă a lanțului alimentar, dar și cheltuielile inutile ale gospodăriilor. În plus, costul colectării și tratării deșeurilor alimentare este estimat la o sumă suplimentară de </w:t>
      </w:r>
      <w:r w:rsidRPr="00D020C3">
        <w:rPr>
          <w:rStyle w:val="normaltextrun"/>
          <w:noProof/>
        </w:rPr>
        <w:t>9</w:t>
      </w:r>
      <w:r w:rsidRPr="00D96C74">
        <w:rPr>
          <w:rStyle w:val="normaltextrun"/>
          <w:noProof/>
        </w:rPr>
        <w:t>,</w:t>
      </w:r>
      <w:r w:rsidRPr="00D020C3">
        <w:rPr>
          <w:rStyle w:val="normaltextrun"/>
          <w:noProof/>
        </w:rPr>
        <w:t>3</w:t>
      </w:r>
      <w:r w:rsidRPr="00D96C74">
        <w:rPr>
          <w:rStyle w:val="normaltextrun"/>
          <w:noProof/>
        </w:rPr>
        <w:t xml:space="preserve"> miliarde EUR</w:t>
      </w:r>
      <w:r w:rsidRPr="00D96C74">
        <w:rPr>
          <w:rStyle w:val="FootnoteReference"/>
          <w:noProof/>
        </w:rPr>
        <w:footnoteReference w:id="27"/>
      </w:r>
      <w:r w:rsidRPr="00D96C74">
        <w:rPr>
          <w:rStyle w:val="normaltextrun"/>
          <w:noProof/>
        </w:rPr>
        <w:t>. </w:t>
      </w:r>
    </w:p>
    <w:p w14:paraId="78A70B77" w14:textId="77777777" w:rsidR="0050683A" w:rsidRPr="00D96C74" w:rsidRDefault="0050683A" w:rsidP="0050683A">
      <w:pPr>
        <w:rPr>
          <w:rStyle w:val="normaltextrun"/>
          <w:noProof/>
        </w:rPr>
      </w:pPr>
      <w:r w:rsidRPr="00D96C74">
        <w:rPr>
          <w:rStyle w:val="normaltextrun"/>
          <w:noProof/>
        </w:rPr>
        <w:t xml:space="preserve">Risipa de alimente are consecințe sociale importante. Ea duce la cheltuirea inutilă a unor resurse care ar fi putut fi alocate altor scopuri. Ponderea medie a cheltuielilor legate de hrană (servicii alimentare și agroalimentare) în cheltuielile totale ale gospodăriilor din UE este de aproximativ </w:t>
      </w:r>
      <w:r w:rsidRPr="00D020C3">
        <w:rPr>
          <w:rStyle w:val="normaltextrun"/>
          <w:noProof/>
        </w:rPr>
        <w:t>19</w:t>
      </w:r>
      <w:r w:rsidRPr="00D96C74">
        <w:rPr>
          <w:rStyle w:val="normaltextrun"/>
          <w:noProof/>
        </w:rPr>
        <w:t> %</w:t>
      </w:r>
      <w:r w:rsidRPr="00D96C74">
        <w:rPr>
          <w:rStyle w:val="FootnoteReference"/>
          <w:noProof/>
        </w:rPr>
        <w:footnoteReference w:id="28"/>
      </w:r>
      <w:r w:rsidRPr="00D96C74">
        <w:rPr>
          <w:rStyle w:val="normaltextrun"/>
          <w:noProof/>
        </w:rPr>
        <w:t xml:space="preserve">. Aruncarea alimentelor adecvate pentru consumul uman – în loc ca acestea să fie redistribuite către cei care au nevoie de ele, inclusiv prin donarea de alimente – reprezintă de asemenea o oportunitate ratată, având în vedere provocările tot mai mari la adresa securității alimentare. Deși în Europa disponibilitatea alimentelor nu este o problemă, accesibilitatea lor din punctul de vedere al prețului reprezintă o sursă de îngrijorare pentru un număr tot mai mare de cetățeni ai UE: </w:t>
      </w:r>
      <w:r w:rsidRPr="00D020C3">
        <w:rPr>
          <w:rStyle w:val="normaltextrun"/>
          <w:noProof/>
        </w:rPr>
        <w:t>32</w:t>
      </w:r>
      <w:r w:rsidRPr="00D96C74">
        <w:rPr>
          <w:rStyle w:val="normaltextrun"/>
          <w:noProof/>
        </w:rPr>
        <w:t>,</w:t>
      </w:r>
      <w:r w:rsidRPr="00D020C3">
        <w:rPr>
          <w:rStyle w:val="normaltextrun"/>
          <w:noProof/>
        </w:rPr>
        <w:t>6</w:t>
      </w:r>
      <w:r w:rsidRPr="00D96C74">
        <w:rPr>
          <w:rStyle w:val="normaltextrun"/>
          <w:noProof/>
        </w:rPr>
        <w:t xml:space="preserve"> milioane de oameni nu își pot permite să consume carne roșie sau albă, pește sau un echivalent vegetarian o dată la două zile</w:t>
      </w:r>
      <w:r w:rsidRPr="00D96C74">
        <w:rPr>
          <w:rStyle w:val="FootnoteReference"/>
          <w:noProof/>
        </w:rPr>
        <w:footnoteReference w:id="29"/>
      </w:r>
      <w:r w:rsidRPr="00D96C74">
        <w:rPr>
          <w:rStyle w:val="normaltextrun"/>
          <w:noProof/>
        </w:rPr>
        <w:t>. În sfârșit, pentru mulți consumatori, generarea de deșeuri alimentare are o dimensiune etică importantă</w:t>
      </w:r>
      <w:r w:rsidRPr="00D96C74">
        <w:rPr>
          <w:rStyle w:val="FootnoteReference"/>
          <w:noProof/>
        </w:rPr>
        <w:footnoteReference w:id="30"/>
      </w:r>
      <w:r w:rsidRPr="00D96C74">
        <w:rPr>
          <w:rStyle w:val="normaltextrun"/>
          <w:noProof/>
        </w:rPr>
        <w:t>. </w:t>
      </w:r>
    </w:p>
    <w:p w14:paraId="3B6FCDB1" w14:textId="77777777" w:rsidR="0050683A" w:rsidRPr="00D96C74" w:rsidRDefault="0050683A" w:rsidP="0050683A">
      <w:pPr>
        <w:rPr>
          <w:rStyle w:val="normaltextrun"/>
          <w:noProof/>
        </w:rPr>
      </w:pPr>
      <w:r w:rsidRPr="00D96C74">
        <w:rPr>
          <w:rStyle w:val="normaltextrun"/>
          <w:noProof/>
        </w:rPr>
        <w:t xml:space="preserve">În acest context, UE și statele sale membre s-au angajat să îndeplinească cea de a treia țintă a obiectivului de dezvoltare durabilă (ODD) </w:t>
      </w:r>
      <w:r w:rsidRPr="00D020C3">
        <w:rPr>
          <w:rStyle w:val="normaltextrun"/>
          <w:noProof/>
        </w:rPr>
        <w:t>12</w:t>
      </w:r>
      <w:r w:rsidRPr="00D96C74">
        <w:rPr>
          <w:rStyle w:val="normaltextrun"/>
          <w:noProof/>
        </w:rPr>
        <w:t xml:space="preserve">, care constă în reducerea la jumătate a deșeurilor alimentare pe cap de locuitor la nivel mondial, în rețeaua de comerț cu amănuntul și la consumator, și în reducerea pierderilor alimentare în lanțurile de producție și distribuție, inclusiv a pierderilor ulterioare recoltării, până în </w:t>
      </w:r>
      <w:r w:rsidRPr="00D020C3">
        <w:rPr>
          <w:rStyle w:val="normaltextrun"/>
          <w:noProof/>
        </w:rPr>
        <w:t>2030</w:t>
      </w:r>
      <w:r w:rsidRPr="00D96C74">
        <w:rPr>
          <w:rStyle w:val="normaltextrun"/>
          <w:noProof/>
        </w:rPr>
        <w:t>. </w:t>
      </w:r>
    </w:p>
    <w:p w14:paraId="4B32C3B6" w14:textId="77777777" w:rsidR="0050683A" w:rsidRPr="00D96C74" w:rsidRDefault="0050683A" w:rsidP="0050683A">
      <w:pPr>
        <w:rPr>
          <w:rStyle w:val="normaltextrun"/>
          <w:noProof/>
        </w:rPr>
      </w:pPr>
      <w:r w:rsidRPr="00D96C74">
        <w:rPr>
          <w:rStyle w:val="normaltextrun"/>
          <w:noProof/>
        </w:rPr>
        <w:t xml:space="preserve">UE a pus în aplicare un plan de acțiune specific pentru reducerea pierderilor de alimente și a deșeurilor alimentare, care cuprinde atât acțiuni de reglementare, cât și de altă natură, inițial ca parte a Planului de acțiune privind economia circulară din </w:t>
      </w:r>
      <w:r w:rsidRPr="00D020C3">
        <w:rPr>
          <w:rStyle w:val="normaltextrun"/>
          <w:noProof/>
        </w:rPr>
        <w:t>2015</w:t>
      </w:r>
      <w:r w:rsidRPr="00D96C74">
        <w:rPr>
          <w:rStyle w:val="normaltextrun"/>
          <w:noProof/>
        </w:rPr>
        <w:t xml:space="preserve">, iar, începând din </w:t>
      </w:r>
      <w:r w:rsidRPr="00D020C3">
        <w:rPr>
          <w:rStyle w:val="normaltextrun"/>
          <w:noProof/>
        </w:rPr>
        <w:t>2020</w:t>
      </w:r>
      <w:r w:rsidRPr="00D96C74">
        <w:rPr>
          <w:rStyle w:val="normaltextrun"/>
          <w:noProof/>
        </w:rPr>
        <w:t>, în cadrul Strategiei UE „De la fermă la consumator”</w:t>
      </w:r>
      <w:r w:rsidRPr="00D96C74">
        <w:rPr>
          <w:rStyle w:val="FootnoteReference"/>
          <w:noProof/>
        </w:rPr>
        <w:footnoteReference w:id="31"/>
      </w:r>
      <w:r w:rsidRPr="00D96C74">
        <w:rPr>
          <w:rStyle w:val="normaltextrun"/>
          <w:noProof/>
        </w:rPr>
        <w:t>. Procedând astfel, Comisia urmărește nu numai să stabilească obligații clare pentru statele membre în ceea ce privește reducerea deșeurilor alimentare, ci și să creeze un mediu de politici care să sprijine statele membre în luarea unor măsuri eficace.  </w:t>
      </w:r>
    </w:p>
    <w:p w14:paraId="758AF0BC" w14:textId="77777777" w:rsidR="0050683A" w:rsidRPr="00D96C74" w:rsidRDefault="0050683A" w:rsidP="0050683A">
      <w:pPr>
        <w:rPr>
          <w:rStyle w:val="normaltextrun"/>
          <w:noProof/>
        </w:rPr>
      </w:pPr>
      <w:r w:rsidRPr="00D96C74">
        <w:rPr>
          <w:rStyle w:val="normaltextrun"/>
          <w:noProof/>
        </w:rPr>
        <w:t xml:space="preserve">Directiva-cadru privind deșeurile, astfel cum a fost revizuită în </w:t>
      </w:r>
      <w:r w:rsidRPr="00D020C3">
        <w:rPr>
          <w:rStyle w:val="normaltextrun"/>
          <w:noProof/>
        </w:rPr>
        <w:t>2018</w:t>
      </w:r>
      <w:r w:rsidRPr="00D96C74">
        <w:rPr>
          <w:rStyle w:val="normaltextrun"/>
          <w:noProof/>
        </w:rPr>
        <w:t xml:space="preserve">, impune statelor membre obligația de a elabora programe specifice de prevenire a deșeurilor alimentare, în conformitate cu ierarhia deșeurilor. Statele membre au obligația să reducă deșeurile alimentare în fiecare etapă a lanțului alimentar, să monitorizeze nivelurile de deșeuri alimentare și să raporteze cu privire la progresele înregistrate. În </w:t>
      </w:r>
      <w:r w:rsidRPr="00D020C3">
        <w:rPr>
          <w:rStyle w:val="normaltextrun"/>
          <w:noProof/>
        </w:rPr>
        <w:t>2019</w:t>
      </w:r>
      <w:r w:rsidRPr="00D96C74">
        <w:rPr>
          <w:rStyle w:val="normaltextrun"/>
          <w:noProof/>
        </w:rPr>
        <w:t>, Comisia a adoptat o metodologie comună de măsurare a deșeurilor alimentare</w:t>
      </w:r>
      <w:r w:rsidRPr="00D96C74">
        <w:rPr>
          <w:rStyle w:val="FootnoteReference"/>
          <w:noProof/>
        </w:rPr>
        <w:footnoteReference w:id="32"/>
      </w:r>
      <w:r w:rsidRPr="00D96C74">
        <w:rPr>
          <w:rStyle w:val="normaltextrun"/>
          <w:noProof/>
        </w:rPr>
        <w:t>, care urmează să fie utilizată ca bază pentru monitorizarea deșeurilor alimentare pe tot cuprinsul UE.  </w:t>
      </w:r>
    </w:p>
    <w:p w14:paraId="6E425168" w14:textId="7F1367AA" w:rsidR="0050683A" w:rsidRPr="00D96C74" w:rsidRDefault="0050683A" w:rsidP="0050683A">
      <w:pPr>
        <w:rPr>
          <w:rStyle w:val="normaltextrun"/>
          <w:noProof/>
        </w:rPr>
      </w:pPr>
      <w:r w:rsidRPr="00D96C74">
        <w:rPr>
          <w:rStyle w:val="normaltextrun"/>
          <w:noProof/>
        </w:rPr>
        <w:t xml:space="preserve">Pentru a ajuta statele să treacă la acțiune, începând din </w:t>
      </w:r>
      <w:r w:rsidRPr="00D020C3">
        <w:rPr>
          <w:rStyle w:val="normaltextrun"/>
          <w:noProof/>
        </w:rPr>
        <w:t>2015</w:t>
      </w:r>
      <w:r w:rsidRPr="00D96C74">
        <w:rPr>
          <w:rStyle w:val="normaltextrun"/>
          <w:noProof/>
        </w:rPr>
        <w:t xml:space="preserve"> Comisia a avut o serie de inițiative de clarificare și armonizare a legislației relevante (de exemplu, adoptarea Ghidului UE privind donarea de alimente</w:t>
      </w:r>
      <w:r w:rsidRPr="00D96C74">
        <w:rPr>
          <w:rStyle w:val="FootnoteReference"/>
          <w:noProof/>
        </w:rPr>
        <w:footnoteReference w:id="33"/>
      </w:r>
      <w:r w:rsidRPr="00D96C74">
        <w:rPr>
          <w:rStyle w:val="normaltextrun"/>
          <w:noProof/>
        </w:rPr>
        <w:t>, urmat de modificarea normelor de igienă alimentară pentru a facilita practicile sigure de donare de alimente, și Orientările UE privind utilizarea ca hrană pentru animale a alimentelor care nu mai sunt destinate consumului uman</w:t>
      </w:r>
      <w:r w:rsidRPr="00D96C74">
        <w:rPr>
          <w:rStyle w:val="FootnoteReference"/>
          <w:noProof/>
        </w:rPr>
        <w:footnoteReference w:id="34"/>
      </w:r>
      <w:r w:rsidRPr="00D96C74">
        <w:rPr>
          <w:rStyle w:val="normaltextrun"/>
          <w:noProof/>
        </w:rPr>
        <w:t xml:space="preserve">). De asemenea, Comisia a instituit, începând din </w:t>
      </w:r>
      <w:r w:rsidRPr="00D020C3">
        <w:rPr>
          <w:rStyle w:val="normaltextrun"/>
          <w:noProof/>
        </w:rPr>
        <w:t>2016</w:t>
      </w:r>
      <w:r w:rsidRPr="00D96C74">
        <w:rPr>
          <w:rStyle w:val="normaltextrun"/>
          <w:noProof/>
        </w:rPr>
        <w:t xml:space="preserve">, o platformă la care participă mai multe părți interesate, </w:t>
      </w:r>
      <w:hyperlink r:id="rId10" w:tgtFrame="_blank" w:history="1">
        <w:r w:rsidRPr="00D96C74">
          <w:rPr>
            <w:rStyle w:val="normaltextrun"/>
            <w:noProof/>
          </w:rPr>
          <w:t>Platforma UE privind pierderile alimentare și risipa de alimente</w:t>
        </w:r>
        <w:r w:rsidRPr="00D96C74">
          <w:rPr>
            <w:rStyle w:val="FootnoteReference"/>
            <w:noProof/>
          </w:rPr>
          <w:footnoteReference w:id="35"/>
        </w:r>
      </w:hyperlink>
      <w:r w:rsidRPr="00D96C74">
        <w:rPr>
          <w:rStyle w:val="normaltextrun"/>
          <w:noProof/>
        </w:rPr>
        <w:t xml:space="preserve">, cu scopul de a sprijini toți actorii în definirea măsurilor de prevenire a deșeurilor alimentare, de a face schimb de bune practici și de a evalua progresele înregistrate. Totodată, Comisia a adoptat o serie de documente proprii (de exemplu, </w:t>
      </w:r>
      <w:hyperlink r:id="rId11" w:tgtFrame="_blank" w:history="1">
        <w:r w:rsidRPr="00D96C74">
          <w:rPr>
            <w:rStyle w:val="normaltextrun"/>
            <w:noProof/>
          </w:rPr>
          <w:t>recomandări de acțiuni în domeniul prevenirii deșeurilor alimentare</w:t>
        </w:r>
        <w:r w:rsidRPr="00D96C74">
          <w:rPr>
            <w:rStyle w:val="FootnoteReference"/>
            <w:noProof/>
          </w:rPr>
          <w:footnoteReference w:id="36"/>
        </w:r>
      </w:hyperlink>
      <w:r w:rsidRPr="00D96C74">
        <w:rPr>
          <w:rStyle w:val="normaltextrun"/>
          <w:noProof/>
        </w:rPr>
        <w:t xml:space="preserve">) și a sprijinit activitatea desfășurată la nivelul UE pentru îmbunătățirea practicilor de </w:t>
      </w:r>
      <w:hyperlink r:id="rId12" w:tgtFrame="_blank" w:history="1">
        <w:r w:rsidRPr="00D96C74">
          <w:rPr>
            <w:rStyle w:val="normaltextrun"/>
            <w:noProof/>
          </w:rPr>
          <w:t>marcare a datei</w:t>
        </w:r>
        <w:r w:rsidRPr="00D96C74">
          <w:rPr>
            <w:rStyle w:val="FootnoteReference"/>
            <w:noProof/>
          </w:rPr>
          <w:footnoteReference w:id="37"/>
        </w:r>
      </w:hyperlink>
      <w:hyperlink w:tgtFrame="_blank" w:history="1"/>
      <w:r w:rsidRPr="00D96C74">
        <w:rPr>
          <w:rStyle w:val="normaltextrun"/>
          <w:noProof/>
        </w:rPr>
        <w:t xml:space="preserve">. Schimbul de bune practici și de soluții pentru reducerea deșeurilor alimentare pe tot cuprinsul UE este facilitat și prin intermediul </w:t>
      </w:r>
      <w:hyperlink r:id="rId13" w:tgtFrame="_blank" w:history="1">
        <w:r w:rsidRPr="00D96C74">
          <w:rPr>
            <w:rStyle w:val="normaltextrun"/>
            <w:noProof/>
          </w:rPr>
          <w:t>Platformei digitale a UE de prevenire a pierderilor</w:t>
        </w:r>
        <w:r w:rsidR="00873632">
          <w:rPr>
            <w:rStyle w:val="normaltextrun"/>
            <w:noProof/>
          </w:rPr>
          <w:t xml:space="preserve"> </w:t>
        </w:r>
        <w:r w:rsidRPr="00D96C74">
          <w:rPr>
            <w:rStyle w:val="normaltextrun"/>
            <w:noProof/>
          </w:rPr>
          <w:t>și a risipei de alimente</w:t>
        </w:r>
        <w:r w:rsidRPr="00D96C74">
          <w:rPr>
            <w:rStyle w:val="FootnoteReference"/>
            <w:noProof/>
          </w:rPr>
          <w:footnoteReference w:id="38"/>
        </w:r>
      </w:hyperlink>
      <w:r w:rsidRPr="00D96C74">
        <w:rPr>
          <w:rStyle w:val="normaltextrun"/>
          <w:noProof/>
        </w:rPr>
        <w:t>. Proiectul-pilot RESTwithEU</w:t>
      </w:r>
      <w:r w:rsidRPr="00D96C74">
        <w:rPr>
          <w:rStyle w:val="FootnoteReference"/>
          <w:noProof/>
        </w:rPr>
        <w:footnoteReference w:id="39"/>
      </w:r>
      <w:r w:rsidRPr="00D96C74">
        <w:rPr>
          <w:rStyle w:val="normaltextrun"/>
          <w:noProof/>
        </w:rPr>
        <w:t xml:space="preserve"> evaluează și recomandă instrumente digitale pentru reducerea deșeurilor alimentare în industria restaurantelor. Schimbarea comportamentului consumatorilor este sprijinită de un subgrup al platformei special creat în acest scop, iar până la sfârșitul lunii iunie </w:t>
      </w:r>
      <w:r w:rsidRPr="00D020C3">
        <w:rPr>
          <w:rStyle w:val="normaltextrun"/>
          <w:noProof/>
        </w:rPr>
        <w:t>2023</w:t>
      </w:r>
      <w:r w:rsidRPr="00D96C74">
        <w:rPr>
          <w:rStyle w:val="normaltextrun"/>
          <w:noProof/>
        </w:rPr>
        <w:t xml:space="preserve"> va fi disponibil un compendiu de bune practici elaborat de proiectul-pilot al UE intitulat „Forumul european al consumatorilor privind deșeurile alimentare ”. Pentru a consolida baza de date factuale pe care se sprijină argumentul în favoarea prevenirii generării de deșeuri alimentare, Centrul Comun de Cercetare efectuează evaluări ale eficacității intervențiilor de prevenire a deșeurilor alimentare</w:t>
      </w:r>
      <w:r w:rsidRPr="00D96C74">
        <w:rPr>
          <w:rStyle w:val="FootnoteReference"/>
          <w:noProof/>
        </w:rPr>
        <w:footnoteReference w:id="40"/>
      </w:r>
      <w:r w:rsidRPr="00D96C74">
        <w:rPr>
          <w:rStyle w:val="normaltextrun"/>
          <w:noProof/>
        </w:rPr>
        <w:t xml:space="preserve">, bazate pe un cadru de evaluare care poate fi utilizat de toți actorii. Cererile de propuneri lansate în baza programelor-cadru ale UE pentru cercetare și inovare </w:t>
      </w:r>
      <w:hyperlink r:id="rId14" w:tgtFrame="_blank" w:history="1">
        <w:r w:rsidRPr="00D96C74">
          <w:rPr>
            <w:rStyle w:val="normaltextrun"/>
            <w:noProof/>
          </w:rPr>
          <w:t>Orizont</w:t>
        </w:r>
        <w:r w:rsidR="00D020C3">
          <w:rPr>
            <w:rStyle w:val="normaltextrun"/>
            <w:noProof/>
          </w:rPr>
          <w:t> </w:t>
        </w:r>
        <w:r w:rsidRPr="00D020C3">
          <w:rPr>
            <w:rStyle w:val="normaltextrun"/>
            <w:noProof/>
          </w:rPr>
          <w:t>2020</w:t>
        </w:r>
        <w:r w:rsidRPr="00D96C74">
          <w:rPr>
            <w:rStyle w:val="FootnoteReference"/>
            <w:noProof/>
          </w:rPr>
          <w:footnoteReference w:id="41"/>
        </w:r>
      </w:hyperlink>
      <w:r w:rsidRPr="00D96C74">
        <w:rPr>
          <w:rStyle w:val="normaltextrun"/>
          <w:noProof/>
        </w:rPr>
        <w:t xml:space="preserve"> și </w:t>
      </w:r>
      <w:hyperlink r:id="rId15" w:tgtFrame="_blank" w:history="1">
        <w:r w:rsidRPr="00D96C74">
          <w:rPr>
            <w:rStyle w:val="normaltextrun"/>
            <w:noProof/>
          </w:rPr>
          <w:t>Orizont Europa</w:t>
        </w:r>
        <w:r w:rsidRPr="00D96C74">
          <w:rPr>
            <w:rStyle w:val="FootnoteReference"/>
            <w:noProof/>
          </w:rPr>
          <w:footnoteReference w:id="42"/>
        </w:r>
      </w:hyperlink>
      <w:r w:rsidRPr="00D96C74">
        <w:rPr>
          <w:rStyle w:val="normaltextrun"/>
          <w:noProof/>
        </w:rPr>
        <w:t xml:space="preserve"> oferă noi oportunități pentru cercetare și inovare în vederea abordării problemei pierderilor alimentare și a deșeurilor alimentare. Alte instrumente de finanțare în vederea prevenirii deșeurilor alimentare includ programul </w:t>
      </w:r>
      <w:hyperlink r:id="rId16" w:tgtFrame="_blank" w:history="1">
        <w:r w:rsidRPr="00D96C74">
          <w:rPr>
            <w:rStyle w:val="normaltextrun"/>
            <w:noProof/>
          </w:rPr>
          <w:t>LIFE</w:t>
        </w:r>
      </w:hyperlink>
      <w:r w:rsidRPr="00D96C74">
        <w:rPr>
          <w:rStyle w:val="normaltextrun"/>
          <w:noProof/>
        </w:rPr>
        <w:t xml:space="preserve"> și programul </w:t>
      </w:r>
      <w:hyperlink r:id="rId17" w:tgtFrame="_blank" w:history="1">
        <w:r w:rsidRPr="00D96C74">
          <w:rPr>
            <w:rStyle w:val="normaltextrun"/>
            <w:noProof/>
          </w:rPr>
          <w:t>InterReg Europa</w:t>
        </w:r>
      </w:hyperlink>
      <w:r w:rsidRPr="00D96C74">
        <w:rPr>
          <w:rStyle w:val="normaltextrun"/>
          <w:noProof/>
        </w:rPr>
        <w:t>. De asemenea, în cadrul Programului privind piața unică, Comisia pune la dispoziție granturi menite să ajute statele membre și părțile interesate</w:t>
      </w:r>
      <w:r w:rsidRPr="00D96C74">
        <w:rPr>
          <w:rStyle w:val="FootnoteReference"/>
          <w:noProof/>
        </w:rPr>
        <w:footnoteReference w:id="43"/>
      </w:r>
      <w:r w:rsidRPr="00D96C74">
        <w:rPr>
          <w:rStyle w:val="normaltextrun"/>
          <w:noProof/>
        </w:rPr>
        <w:t xml:space="preserve"> să îmbunătățească măsurarea deșeurilor alimentare și punerea în aplicare a măsurilor de reducere a generării acestora, în colaborare cu Agenția Executivă Europeană pentru Domeniile Sănătății și Digital (HADEA). </w:t>
      </w:r>
    </w:p>
    <w:p w14:paraId="0139FF64" w14:textId="77777777" w:rsidR="0084395A" w:rsidRPr="00D96C74" w:rsidRDefault="0084395A" w:rsidP="0050683A">
      <w:pPr>
        <w:rPr>
          <w:rStyle w:val="normaltextrun"/>
          <w:noProof/>
        </w:rPr>
      </w:pPr>
      <w:r w:rsidRPr="00D96C74">
        <w:rPr>
          <w:rStyle w:val="normaltextrun"/>
          <w:noProof/>
        </w:rPr>
        <w:t xml:space="preserve"> Mulți operatori din sectorul alimentar, aflați la diferite niveluri de-a lungul lanțului alimentar, au făcut demersuri importante pentru a reduce generarea de deșeuri alimentare și a eficientiza utilizarea resurselor. În temeiul Codului de conduită al UE privind practicile responsabile în domeniul producerii și comercializării alimentelor</w:t>
      </w:r>
      <w:r w:rsidRPr="00D96C74">
        <w:rPr>
          <w:rStyle w:val="FootnoteReference"/>
          <w:noProof/>
        </w:rPr>
        <w:footnoteReference w:id="44"/>
      </w:r>
      <w:r w:rsidRPr="00D96C74">
        <w:rPr>
          <w:rStyle w:val="normaltextrun"/>
          <w:noProof/>
        </w:rPr>
        <w:t xml:space="preserve">, operatorii din sectorul prelucrării alimentelor și comercianții cu amănuntul de alimente și-au asumat angajamente concrete cu privire la reducerea deșeurilor alimentare în cadrul activităților lor și de-a lungul lanțului de aprovizionare.  </w:t>
      </w:r>
    </w:p>
    <w:p w14:paraId="29075581" w14:textId="77777777" w:rsidR="0050683A" w:rsidRPr="00D96C74" w:rsidRDefault="0050683A" w:rsidP="0050683A">
      <w:pPr>
        <w:rPr>
          <w:rStyle w:val="normaltextrun"/>
          <w:noProof/>
        </w:rPr>
      </w:pPr>
      <w:r w:rsidRPr="00D96C74">
        <w:rPr>
          <w:rStyle w:val="normaltextrun"/>
          <w:noProof/>
        </w:rPr>
        <w:t xml:space="preserve">În pofida acestor acțiuni și a conștientizării tot mai mari a impactului negativ și a consecințelor generării de deșeuri alimentare, a angajamentelor politice asumate la nivelul UE și al statelor membre și a măsurilor UE puse în aplicare începând cu PAEC </w:t>
      </w:r>
      <w:r w:rsidRPr="00D020C3">
        <w:rPr>
          <w:rStyle w:val="normaltextrun"/>
          <w:noProof/>
        </w:rPr>
        <w:t>2015</w:t>
      </w:r>
      <w:r w:rsidRPr="00D96C74">
        <w:rPr>
          <w:rStyle w:val="normaltextrun"/>
          <w:noProof/>
        </w:rPr>
        <w:t xml:space="preserve">, cantitatea de deșeuri alimentare generate nu scade suficient de mult încât să se realizeze progrese semnificative în direcția îndeplinirii celei de a treia ținte a ODD </w:t>
      </w:r>
      <w:r w:rsidRPr="00D020C3">
        <w:rPr>
          <w:rStyle w:val="normaltextrun"/>
          <w:noProof/>
        </w:rPr>
        <w:t>12</w:t>
      </w:r>
      <w:r w:rsidRPr="00D96C74">
        <w:rPr>
          <w:rStyle w:val="normaltextrun"/>
          <w:noProof/>
        </w:rPr>
        <w:t>. În Uniunea Europeană, în pofida obligațiilor legale prevăzute în DCD și a activităților de sprijin ale Comisiei, acțiunile întreprinse până în prezent în statele membre sunt disparate și nu au favorizat reducerea semnificativă a nivelurilor de deșeuri alimentare.  </w:t>
      </w:r>
    </w:p>
    <w:p w14:paraId="1967F5DB" w14:textId="77777777" w:rsidR="0050683A" w:rsidRPr="00D96C74" w:rsidRDefault="0050683A" w:rsidP="0050683A">
      <w:pPr>
        <w:rPr>
          <w:rStyle w:val="normaltextrun"/>
          <w:noProof/>
        </w:rPr>
      </w:pPr>
      <w:r w:rsidRPr="00D96C74">
        <w:rPr>
          <w:rStyle w:val="normaltextrun"/>
          <w:noProof/>
        </w:rPr>
        <w:t xml:space="preserve">Prin urmare, o etapă următoare necesară constă în stabilirea de obiective. Obiectivele specifice ale propunerii de față sunt: în primul rând, să încredințeze statelor membre responsabilitatea clară de a accelera reducerea deșeurilor alimentare de-a lungul lanțului alimentar și în gospodării, pe teritoriile lor respective, aducând astfel o contribuție solidă la îndeplinirea celei de a treia ținte a ODD </w:t>
      </w:r>
      <w:r w:rsidRPr="00D020C3">
        <w:rPr>
          <w:rStyle w:val="normaltextrun"/>
          <w:noProof/>
        </w:rPr>
        <w:t>12</w:t>
      </w:r>
      <w:r w:rsidRPr="00D96C74">
        <w:rPr>
          <w:rStyle w:val="normaltextrun"/>
          <w:noProof/>
        </w:rPr>
        <w:t xml:space="preserve">; în al doilea rând, să asigure faptul că toate statele membre adoptă măsuri suficiente și coerente în vederea reducerii deșeurilor alimentare, similare celor ale statelor cu cele mai bune rezultate din acest punct de vedere. </w:t>
      </w:r>
    </w:p>
    <w:p w14:paraId="444F962E" w14:textId="57AFC892" w:rsidR="0050683A" w:rsidRPr="00D96C74" w:rsidRDefault="0050683A" w:rsidP="0050683A">
      <w:pPr>
        <w:rPr>
          <w:rStyle w:val="normaltextrun"/>
          <w:noProof/>
        </w:rPr>
      </w:pPr>
      <w:r w:rsidRPr="00D96C74">
        <w:rPr>
          <w:rStyle w:val="normaltextrun"/>
          <w:noProof/>
        </w:rPr>
        <w:t>Acest lucru ar trebui să încurajeze fiecare stat membru să ia măsuri ambițioase – punând în aplicare cele mai eficiente măsuri, adaptate la situația sa națională specifică, și urmărind să sprijine schimbările de comportament ale consumatorilor, precum și să consolideze coordonarea acțiunilor între actorii din întregul lanț valoric alimentar, precum și între aceștia și alți actori relevanți (de exemplu mediul academic, ONG-urile, instituțiile financiare, actorii din economia socială etc.).</w:t>
      </w:r>
    </w:p>
    <w:p w14:paraId="0DAE6EB8" w14:textId="6981CDF7" w:rsidR="00620555" w:rsidRPr="00D96C74" w:rsidRDefault="00620555" w:rsidP="0050683A">
      <w:pPr>
        <w:rPr>
          <w:rStyle w:val="normaltextrun"/>
          <w:noProof/>
        </w:rPr>
      </w:pPr>
      <w:r w:rsidRPr="00D96C74">
        <w:rPr>
          <w:rStyle w:val="normaltextrun"/>
          <w:noProof/>
        </w:rPr>
        <w:t>În plus, după Conferința privind viitorul Europei, problema deșeurilor alimentare a fost selectată ca primul subiect care va fi abordat în grupurile de dezbatere ale cetățenilor europeni. Recomandările grupului de dezbatere al cetățenilor vor sprijini activitatea Comisiei și vor ajuta statele membre să elaboreze strategii și planuri de acțiune naționale pentru prevenirea deșeurilor alimentare.</w:t>
      </w:r>
    </w:p>
    <w:p w14:paraId="3C414D12" w14:textId="77777777" w:rsidR="00BD152F" w:rsidRPr="00D020C3" w:rsidRDefault="00BD152F" w:rsidP="0050683A">
      <w:pPr>
        <w:pStyle w:val="ManualHeading2"/>
        <w:rPr>
          <w:rFonts w:eastAsia="Arial Unicode MS"/>
          <w:noProof/>
          <w:color w:val="000000"/>
          <w:u w:color="000000"/>
          <w:bdr w:val="nil"/>
        </w:rPr>
      </w:pPr>
      <w:r w:rsidRPr="00D020C3">
        <w:rPr>
          <w:noProof/>
          <w:color w:val="000000"/>
          <w:u w:color="000000"/>
          <w:bdr w:val="nil"/>
        </w:rPr>
        <w:t>•</w:t>
      </w:r>
      <w:r w:rsidRPr="00D020C3">
        <w:rPr>
          <w:noProof/>
        </w:rPr>
        <w:tab/>
        <w:t>Coerența cu dispozițiile existente în domeniul de politică vizat</w:t>
      </w:r>
    </w:p>
    <w:p w14:paraId="30369258" w14:textId="77777777" w:rsidR="0050683A" w:rsidRPr="00D96C74" w:rsidRDefault="0050683A" w:rsidP="0050683A">
      <w:pPr>
        <w:pBdr>
          <w:top w:val="nil"/>
          <w:left w:val="nil"/>
          <w:bottom w:val="nil"/>
          <w:right w:val="nil"/>
          <w:between w:val="nil"/>
          <w:bar w:val="nil"/>
        </w:pBdr>
        <w:spacing w:before="0" w:after="240"/>
        <w:rPr>
          <w:rFonts w:eastAsia="Arial Unicode MS"/>
          <w:noProof/>
        </w:rPr>
      </w:pPr>
      <w:r w:rsidRPr="00D96C74">
        <w:rPr>
          <w:noProof/>
        </w:rPr>
        <w:t>Modificarea propusă este în conformitate cu articolul </w:t>
      </w:r>
      <w:r w:rsidRPr="00D020C3">
        <w:rPr>
          <w:noProof/>
        </w:rPr>
        <w:t>11</w:t>
      </w:r>
      <w:r w:rsidRPr="00D96C74">
        <w:rPr>
          <w:noProof/>
        </w:rPr>
        <w:t xml:space="preserve"> alineatul (</w:t>
      </w:r>
      <w:r w:rsidRPr="00D020C3">
        <w:rPr>
          <w:noProof/>
        </w:rPr>
        <w:t>1</w:t>
      </w:r>
      <w:r w:rsidRPr="00D96C74">
        <w:rPr>
          <w:noProof/>
        </w:rPr>
        <w:t xml:space="preserve">) din DCD, care impune statelor membre să asigure colectarea separată a produselor textile până la </w:t>
      </w:r>
      <w:r w:rsidRPr="00D020C3">
        <w:rPr>
          <w:noProof/>
        </w:rPr>
        <w:t>1</w:t>
      </w:r>
      <w:r w:rsidRPr="00D96C74">
        <w:rPr>
          <w:noProof/>
        </w:rPr>
        <w:t xml:space="preserve"> ianuarie </w:t>
      </w:r>
      <w:r w:rsidRPr="00D020C3">
        <w:rPr>
          <w:noProof/>
        </w:rPr>
        <w:t>2025</w:t>
      </w:r>
      <w:r w:rsidRPr="00D96C74">
        <w:rPr>
          <w:noProof/>
        </w:rPr>
        <w:t>. Propunerea introduce răspunderea extinsă a producătorilor (REP) și alte măsuri de politică menite să ajute la obținerea finanțării necesare și la armonizarea informațiilor și a abordărilor legate de infrastructura de colectare, sortare, reutilizare, pregătire pentru reutilizare și reciclare care va fi necesară odată ce obligația de colectare separată va deveni efectivă. </w:t>
      </w:r>
    </w:p>
    <w:p w14:paraId="3898F58A" w14:textId="77777777" w:rsidR="00BD152F" w:rsidRPr="00D96C74" w:rsidRDefault="0050683A" w:rsidP="00B00391">
      <w:pPr>
        <w:pBdr>
          <w:top w:val="nil"/>
          <w:left w:val="nil"/>
          <w:bottom w:val="nil"/>
          <w:right w:val="nil"/>
          <w:between w:val="nil"/>
          <w:bar w:val="nil"/>
        </w:pBdr>
        <w:spacing w:before="0" w:after="240"/>
        <w:rPr>
          <w:rFonts w:eastAsia="Arial Unicode MS"/>
          <w:noProof/>
        </w:rPr>
      </w:pPr>
      <w:r w:rsidRPr="00D96C74">
        <w:rPr>
          <w:noProof/>
        </w:rPr>
        <w:t xml:space="preserve">În conformitate cu articolul </w:t>
      </w:r>
      <w:r w:rsidRPr="00D020C3">
        <w:rPr>
          <w:noProof/>
        </w:rPr>
        <w:t>9</w:t>
      </w:r>
      <w:r w:rsidRPr="00D96C74">
        <w:rPr>
          <w:noProof/>
        </w:rPr>
        <w:t xml:space="preserve"> alineatul (</w:t>
      </w:r>
      <w:r w:rsidRPr="00D020C3">
        <w:rPr>
          <w:noProof/>
        </w:rPr>
        <w:t>6</w:t>
      </w:r>
      <w:r w:rsidRPr="00D96C74">
        <w:rPr>
          <w:noProof/>
        </w:rPr>
        <w:t xml:space="preserve">) din DCD, până la </w:t>
      </w:r>
      <w:r w:rsidRPr="00D020C3">
        <w:rPr>
          <w:noProof/>
        </w:rPr>
        <w:t>31</w:t>
      </w:r>
      <w:r w:rsidRPr="00D96C74">
        <w:rPr>
          <w:noProof/>
        </w:rPr>
        <w:t xml:space="preserve"> decembrie </w:t>
      </w:r>
      <w:r w:rsidRPr="00D020C3">
        <w:rPr>
          <w:noProof/>
        </w:rPr>
        <w:t>2023</w:t>
      </w:r>
      <w:r w:rsidRPr="00D96C74">
        <w:rPr>
          <w:noProof/>
        </w:rPr>
        <w:t xml:space="preserve"> Comisia trebuie să examineze datele privind deșeurile alimentare puse la dispoziție de statele membre pentru a analiza posibilitatea stabilirii unui obiectiv de reducere a deșeurilor alimentare la nivelul întregii Uniuni, care să fie îndeplinit până în </w:t>
      </w:r>
      <w:r w:rsidRPr="00D020C3">
        <w:rPr>
          <w:noProof/>
        </w:rPr>
        <w:t>2030</w:t>
      </w:r>
      <w:r w:rsidRPr="00D96C74">
        <w:rPr>
          <w:noProof/>
        </w:rPr>
        <w:t>, și să transmită un raport Parlamentului European și Consiliului, însoțit, dacă este cazul, de o propunere legislativă. Stabilirea de obiective ar trebui să consolideze dispozițiile actuale ale articolului </w:t>
      </w:r>
      <w:r w:rsidRPr="00D020C3">
        <w:rPr>
          <w:noProof/>
        </w:rPr>
        <w:t>9</w:t>
      </w:r>
      <w:r w:rsidRPr="00D96C74">
        <w:rPr>
          <w:noProof/>
        </w:rPr>
        <w:t xml:space="preserve"> alineatul (</w:t>
      </w:r>
      <w:r w:rsidRPr="00D020C3">
        <w:rPr>
          <w:noProof/>
        </w:rPr>
        <w:t>1</w:t>
      </w:r>
      <w:r w:rsidRPr="00D96C74">
        <w:rPr>
          <w:noProof/>
        </w:rPr>
        <w:t>) din DCD, care impune statelor membre să ia măsuri pentru a reduce generarea de deșeuri alimentare de-a lungul întregului lanț alimentar.</w:t>
      </w:r>
    </w:p>
    <w:p w14:paraId="5F10721E" w14:textId="77777777" w:rsidR="00BD152F" w:rsidRPr="00D020C3" w:rsidRDefault="00BD152F" w:rsidP="00B00391">
      <w:pPr>
        <w:pStyle w:val="ManualHeading2"/>
        <w:rPr>
          <w:rFonts w:eastAsia="Arial Unicode MS"/>
          <w:noProof/>
        </w:rPr>
      </w:pPr>
      <w:r w:rsidRPr="00D020C3">
        <w:rPr>
          <w:noProof/>
          <w:color w:val="000000"/>
          <w:u w:color="000000"/>
          <w:bdr w:val="nil"/>
        </w:rPr>
        <w:t>•</w:t>
      </w:r>
      <w:r w:rsidRPr="00D020C3">
        <w:rPr>
          <w:noProof/>
        </w:rPr>
        <w:tab/>
        <w:t>Coerența cu alte politici ale Uniunii</w:t>
      </w:r>
    </w:p>
    <w:p w14:paraId="14F6D194" w14:textId="540EFA77" w:rsidR="00236713" w:rsidRPr="00D96C74" w:rsidRDefault="00236713" w:rsidP="00236713">
      <w:pPr>
        <w:pBdr>
          <w:top w:val="nil"/>
          <w:left w:val="nil"/>
          <w:bottom w:val="nil"/>
          <w:right w:val="nil"/>
          <w:between w:val="nil"/>
          <w:bar w:val="nil"/>
        </w:pBdr>
        <w:spacing w:before="0" w:after="240"/>
        <w:rPr>
          <w:rFonts w:eastAsia="Arial Unicode MS"/>
          <w:noProof/>
        </w:rPr>
      </w:pPr>
      <w:r w:rsidRPr="00D96C74">
        <w:rPr>
          <w:noProof/>
        </w:rPr>
        <w:t xml:space="preserve">Strategia UE privind textilele abordează producția și consumul de produse textile, recunoscând totodată importanța sectorului textilelor. Aceasta prezintă o viziune pentru </w:t>
      </w:r>
      <w:r w:rsidRPr="00D020C3">
        <w:rPr>
          <w:noProof/>
        </w:rPr>
        <w:t>2030</w:t>
      </w:r>
      <w:r w:rsidRPr="00D96C74">
        <w:rPr>
          <w:noProof/>
        </w:rPr>
        <w:t xml:space="preserve"> privind produsele textile, care stabilește obiectivul de a avea produse textile cu durată lungă de viață și reciclabile, confecționate în mare măsură din fibre reciclate, fără substanțe periculoase și produse cu respectarea drepturilor lucrătorilor, a drepturilor sociale și a mediului, și subliniază necesitatea asigurării răspunderii producătorilor de-a lungul lanțului valoric, necesitatea asigurării unor capacități suficiente pentru reciclarea inovatoare a fibrelor în circuit închis („fibre-to-fibre”), a unor soluții bazate pe bioresurse și a reducerii la minimum a incinerării și a depozitării textilelor în depozite de deșeuri. Deosebit de relevant pentru gestionarea deșeurilor este faptul că Strategia UE privind textilele a anunțat norme armonizate la nivelul UE privind răspunderea extinsă a producătorilor de textile și stimulente economice pentru ca produsele să devină mai sustenabile („modularea ecologică a taxelor”). În plus, strategia a subliniat obiectivul Comisiei de a aborda provocările legate de exportul de deșeuri textile și de a promova munca decentă la nivel mondial pentru o tranziție justă și o redresare durabilă globală</w:t>
      </w:r>
      <w:r w:rsidRPr="00D96C74">
        <w:rPr>
          <w:rStyle w:val="FootnoteReference"/>
          <w:rFonts w:eastAsia="Arial Unicode MS"/>
          <w:noProof/>
        </w:rPr>
        <w:footnoteReference w:id="45"/>
      </w:r>
      <w:r w:rsidRPr="00D96C74">
        <w:rPr>
          <w:noProof/>
        </w:rPr>
        <w:t>. </w:t>
      </w:r>
    </w:p>
    <w:p w14:paraId="5BD2C4B9" w14:textId="77777777" w:rsidR="0050683A" w:rsidRPr="00D96C74" w:rsidRDefault="00236713" w:rsidP="00236713">
      <w:pPr>
        <w:pBdr>
          <w:top w:val="nil"/>
          <w:left w:val="nil"/>
          <w:bottom w:val="nil"/>
          <w:right w:val="nil"/>
          <w:between w:val="nil"/>
          <w:bar w:val="nil"/>
        </w:pBdr>
        <w:spacing w:before="0" w:after="240"/>
        <w:rPr>
          <w:rFonts w:eastAsia="Arial Unicode MS"/>
          <w:noProof/>
        </w:rPr>
      </w:pPr>
      <w:r w:rsidRPr="00D96C74">
        <w:rPr>
          <w:noProof/>
        </w:rPr>
        <w:t xml:space="preserve">Prezenta inițiativă urmărește să contribuie și la obiectivul planului de acțiune privind economia circulară de a reduce în mod semnificativ generarea totală de deșeuri și de a înjumătăți cantitatea de deșeuri municipale reziduale (nereciclate) până în </w:t>
      </w:r>
      <w:r w:rsidRPr="00D020C3">
        <w:rPr>
          <w:noProof/>
        </w:rPr>
        <w:t>2030</w:t>
      </w:r>
      <w:r w:rsidRPr="00D96C74">
        <w:rPr>
          <w:noProof/>
        </w:rPr>
        <w:t xml:space="preserve">. Revizuirea Directivei privind ambalajele și deșeurile de ambalaje va urmări reducerea generării de deșeuri de ambalaje. Împreună, inițiativa de față și inițiativa de revizuire a Directivei privind ambalajele și deșeurile de ambalaje vor aborda peste </w:t>
      </w:r>
      <w:r w:rsidRPr="00D020C3">
        <w:rPr>
          <w:noProof/>
        </w:rPr>
        <w:t>65</w:t>
      </w:r>
      <w:r w:rsidRPr="00D96C74">
        <w:rPr>
          <w:noProof/>
        </w:rPr>
        <w:t> % din totalul deșeurilor municipale generate (deșeuri de ambalaje, deșeuri alimentare și deșeuri textile), contribuind astfel la obiectivul general al Directivei-cadru privind deșeurile și al Pactului verde european. </w:t>
      </w:r>
    </w:p>
    <w:p w14:paraId="3FD1E29F" w14:textId="50B7B103" w:rsidR="0050683A" w:rsidRPr="00D96C74" w:rsidRDefault="0050683A" w:rsidP="072CAFB5">
      <w:pPr>
        <w:pBdr>
          <w:top w:val="nil"/>
          <w:left w:val="nil"/>
          <w:bottom w:val="nil"/>
          <w:right w:val="nil"/>
          <w:between w:val="nil"/>
          <w:bar w:val="nil"/>
        </w:pBdr>
        <w:spacing w:before="0" w:after="240"/>
        <w:rPr>
          <w:rFonts w:eastAsia="Arial Unicode MS"/>
          <w:noProof/>
        </w:rPr>
      </w:pPr>
      <w:r w:rsidRPr="00D96C74">
        <w:rPr>
          <w:noProof/>
        </w:rPr>
        <w:t xml:space="preserve">La </w:t>
      </w:r>
      <w:r w:rsidRPr="00D020C3">
        <w:rPr>
          <w:noProof/>
        </w:rPr>
        <w:t>17</w:t>
      </w:r>
      <w:r w:rsidRPr="00D96C74">
        <w:rPr>
          <w:noProof/>
        </w:rPr>
        <w:t xml:space="preserve"> noiembrie </w:t>
      </w:r>
      <w:r w:rsidRPr="00D020C3">
        <w:rPr>
          <w:noProof/>
        </w:rPr>
        <w:t>2021</w:t>
      </w:r>
      <w:r w:rsidRPr="00D96C74">
        <w:rPr>
          <w:noProof/>
        </w:rPr>
        <w:t xml:space="preserve"> a fost adoptată Propunerea Comisiei de regulament privind expedierile de deșeuri (RED)</w:t>
      </w:r>
      <w:r w:rsidRPr="00D96C74">
        <w:rPr>
          <w:rStyle w:val="FootnoteReference"/>
          <w:rFonts w:eastAsia="Arial Unicode MS"/>
          <w:noProof/>
        </w:rPr>
        <w:footnoteReference w:id="46"/>
      </w:r>
      <w:r w:rsidRPr="00D96C74">
        <w:rPr>
          <w:noProof/>
        </w:rPr>
        <w:t xml:space="preserve">, </w:t>
      </w:r>
      <w:r w:rsidRPr="00D96C74">
        <w:rPr>
          <w:noProof/>
          <w:color w:val="000000" w:themeColor="text1"/>
        </w:rPr>
        <w:t>care face încă obiectul negocierilor la momentul adoptării propunerii de față</w:t>
      </w:r>
      <w:r w:rsidRPr="00D96C74">
        <w:rPr>
          <w:noProof/>
        </w:rPr>
        <w:t xml:space="preserve">. Scopul său este de a asigura faptul că UE nu exportă către țări terțe problemele sale legate de deșeuri și de a facilita expedierile destinate reciclării, descurajând în același timp expedierile destinate eliminării. Măsurile cuprind criterii mai bune de diferențiere între deșeurile mixte și cele separate, precum și între produsele uzate și cele care au calitatea de deșeuri, criterii care pot fi stabilite și pentru produsele textile. De asemenea, se propune un regim mai strict de export către țările terțe care nu sunt membre ale OCDE, precum și obligația de a audita performanța instalațiilor de valorificare din țările terțe. În sfârșit, se propun măsuri de intensificare a eforturilor de asigurare a respectării normelor privind expedierile de deșeuri, inclusiv pentru deșeurile textile. Impactul propunerii RED este luat în considerare în evaluarea efectuată. În plus, măsurile care vizează expedierile de materiale (măsurile </w:t>
      </w:r>
      <w:r w:rsidRPr="00D020C3">
        <w:rPr>
          <w:noProof/>
        </w:rPr>
        <w:t>2</w:t>
      </w:r>
      <w:r w:rsidRPr="00D96C74">
        <w:rPr>
          <w:noProof/>
        </w:rPr>
        <w:t>.</w:t>
      </w:r>
      <w:r w:rsidRPr="00D020C3">
        <w:rPr>
          <w:noProof/>
        </w:rPr>
        <w:t>6</w:t>
      </w:r>
      <w:r w:rsidRPr="00D96C74">
        <w:rPr>
          <w:noProof/>
        </w:rPr>
        <w:t xml:space="preserve"> și </w:t>
      </w:r>
      <w:r w:rsidRPr="00D020C3">
        <w:rPr>
          <w:noProof/>
        </w:rPr>
        <w:t>2</w:t>
      </w:r>
      <w:r w:rsidRPr="00D96C74">
        <w:rPr>
          <w:noProof/>
        </w:rPr>
        <w:t>.</w:t>
      </w:r>
      <w:r w:rsidRPr="00D020C3">
        <w:rPr>
          <w:noProof/>
        </w:rPr>
        <w:t>9</w:t>
      </w:r>
      <w:r w:rsidRPr="00D96C74">
        <w:rPr>
          <w:noProof/>
        </w:rPr>
        <w:t>) fac distincție între textilele destinate reutilizării, care nu mai sunt deșeuri (și, prin urmare, nu fac obiectul RED), și cele care sunt deșeuri, în cazul cărora se face trimitere directă la măsurile din propunerea respectivă. </w:t>
      </w:r>
    </w:p>
    <w:p w14:paraId="71EFB970" w14:textId="123D8BB0" w:rsidR="00A971B5" w:rsidRPr="00D96C74" w:rsidRDefault="0050683A" w:rsidP="0050683A">
      <w:pPr>
        <w:pBdr>
          <w:top w:val="nil"/>
          <w:left w:val="nil"/>
          <w:bottom w:val="nil"/>
          <w:right w:val="nil"/>
          <w:between w:val="nil"/>
          <w:bar w:val="nil"/>
        </w:pBdr>
        <w:spacing w:before="0" w:after="240"/>
        <w:rPr>
          <w:rFonts w:eastAsia="Arial Unicode MS"/>
          <w:noProof/>
        </w:rPr>
      </w:pPr>
      <w:r w:rsidRPr="00D96C74">
        <w:rPr>
          <w:noProof/>
        </w:rPr>
        <w:t>Propunerea de regulament privind proiectarea ecologică a produselor sustenabile (RPEPS)</w:t>
      </w:r>
      <w:r w:rsidRPr="00D96C74">
        <w:rPr>
          <w:rStyle w:val="FootnoteReference"/>
          <w:rFonts w:eastAsia="Arial Unicode MS"/>
          <w:noProof/>
        </w:rPr>
        <w:footnoteReference w:id="47"/>
      </w:r>
      <w:r w:rsidRPr="00D96C74">
        <w:rPr>
          <w:noProof/>
        </w:rPr>
        <w:t xml:space="preserve"> va stabili un cadru pentru stabilirea de cerințe în materie de proiectare ecologică pentru anumite grupuri de produse în vederea îmbunătățirii semnificative a circularității, a performanței energetice și a altor aspecte de durabilitate a mediului. Cerințele în materie de proiectare ecologică pot avea o importanță majoră pentru prevenirea generării de deșeuri și reciclarea de înaltă calitate, deoarece pot îmbunătăți durabilitatea produselor, potențialul lor de reparare, posibilitatea de reciclare și conținutul de materiale reciclate. Elaborarea unor astfel de cerințe poate servi și ca bază pentru fixarea unor contribuții financiare armonizate la schemele REP. Se preconizează că cerințele de proiectare ecologică a textilelor vor intra în vigoare până în </w:t>
      </w:r>
      <w:r w:rsidRPr="00D020C3">
        <w:rPr>
          <w:noProof/>
        </w:rPr>
        <w:t>2025</w:t>
      </w:r>
      <w:r w:rsidRPr="00D96C74">
        <w:rPr>
          <w:noProof/>
        </w:rPr>
        <w:t xml:space="preserve"> sau </w:t>
      </w:r>
      <w:r w:rsidRPr="00D020C3">
        <w:rPr>
          <w:noProof/>
        </w:rPr>
        <w:t>2026</w:t>
      </w:r>
      <w:r w:rsidRPr="00D96C74">
        <w:rPr>
          <w:noProof/>
        </w:rPr>
        <w:t>. Pe lângă introducerea de noi cerințe în materie de proiectare ecologică, RPEPS va introduce măsuri de combatere a distrugerii produselor de consum nevândute. În primul rând, s-a propus introducerea obligației ca întreprinderile mari să facă publice informații cu privire la numărul și tipul produselor de consum nevândute pe care le elimină. Această măsură este menită să aibă un efect disuasiv asupra acestei practici prin componenta sa reputațională, avându-se în vedere totodată crearea unei baze de date mai bune privind măsura în care se practică distrugerea produselor de consum nevândute. În al doilea rând, RPEPS va prevedea un mandat de a adopta acte delegate care să interzică distrugerea unor grupuri specifice de produse de consum nevândute, cum ar fi produsele textile, ținând seama de informațiile obținute ca urmare a obligației generale de informare.</w:t>
      </w:r>
      <w:r w:rsidR="00873632">
        <w:rPr>
          <w:noProof/>
        </w:rPr>
        <w:t xml:space="preserve"> </w:t>
      </w:r>
      <w:r w:rsidRPr="00D96C74">
        <w:rPr>
          <w:noProof/>
        </w:rPr>
        <w:t>Alte politici importante ale Uniunii sunt Regulamentul privind etichetarea produselor textile</w:t>
      </w:r>
      <w:r w:rsidRPr="00D96C74">
        <w:rPr>
          <w:rStyle w:val="FootnoteReference"/>
          <w:rFonts w:eastAsia="Arial Unicode MS"/>
          <w:noProof/>
        </w:rPr>
        <w:footnoteReference w:id="48"/>
      </w:r>
      <w:r w:rsidRPr="00D96C74">
        <w:rPr>
          <w:noProof/>
        </w:rPr>
        <w:t xml:space="preserve"> și Regulamentul privind înregistrarea, evaluarea, autorizarea și restricționarea substanțelor chimice (REACH)</w:t>
      </w:r>
      <w:r w:rsidRPr="00D96C74">
        <w:rPr>
          <w:rStyle w:val="FootnoteReference"/>
          <w:rFonts w:eastAsia="Arial Unicode MS"/>
          <w:noProof/>
        </w:rPr>
        <w:footnoteReference w:id="49"/>
      </w:r>
      <w:r w:rsidRPr="00D96C74">
        <w:rPr>
          <w:noProof/>
        </w:rPr>
        <w:t>.</w:t>
      </w:r>
    </w:p>
    <w:p w14:paraId="14A9E910" w14:textId="27FF7D56" w:rsidR="00A36E06" w:rsidRPr="00D96C74" w:rsidRDefault="0050683A" w:rsidP="00B00391">
      <w:pPr>
        <w:pBdr>
          <w:top w:val="nil"/>
          <w:left w:val="nil"/>
          <w:bottom w:val="nil"/>
          <w:right w:val="nil"/>
          <w:between w:val="nil"/>
          <w:bar w:val="nil"/>
        </w:pBdr>
        <w:spacing w:before="0" w:after="240"/>
        <w:rPr>
          <w:rFonts w:eastAsia="Arial Unicode MS"/>
          <w:noProof/>
        </w:rPr>
      </w:pPr>
      <w:r w:rsidRPr="00D96C74">
        <w:rPr>
          <w:noProof/>
        </w:rPr>
        <w:t xml:space="preserve">Obiectivele obligatorii din punct de vedere juridic legate de reducerea deșeurilor alimentare contribuie la o serie de alte obiective de politică ale UE; mai precis, prin reducerea emisiilor de GES, se contribuie la obiectivul UE de neutralitate climatică până în </w:t>
      </w:r>
      <w:r w:rsidRPr="00D020C3">
        <w:rPr>
          <w:noProof/>
        </w:rPr>
        <w:t>2050</w:t>
      </w:r>
      <w:r w:rsidRPr="00D96C74">
        <w:rPr>
          <w:noProof/>
        </w:rPr>
        <w:t xml:space="preserve"> și la obiectivul de reducere netă cu cel puțin </w:t>
      </w:r>
      <w:r w:rsidRPr="00D020C3">
        <w:rPr>
          <w:noProof/>
        </w:rPr>
        <w:t>55</w:t>
      </w:r>
      <w:r w:rsidRPr="00D96C74">
        <w:rPr>
          <w:noProof/>
        </w:rPr>
        <w:t xml:space="preserve"> % a emisiilor de gaze cu efect de seră până în </w:t>
      </w:r>
      <w:r w:rsidRPr="00D020C3">
        <w:rPr>
          <w:noProof/>
        </w:rPr>
        <w:t>2030</w:t>
      </w:r>
      <w:r w:rsidRPr="00D96C74">
        <w:rPr>
          <w:noProof/>
        </w:rPr>
        <w:t xml:space="preserve">, astfel cum este exprimat în Planul privind obiectivul climatic pentru </w:t>
      </w:r>
      <w:r w:rsidRPr="00D020C3">
        <w:rPr>
          <w:noProof/>
        </w:rPr>
        <w:t>2030</w:t>
      </w:r>
      <w:r w:rsidRPr="00D96C74">
        <w:rPr>
          <w:rStyle w:val="FootnoteReference"/>
          <w:rFonts w:eastAsia="Arial Unicode MS"/>
          <w:noProof/>
        </w:rPr>
        <w:footnoteReference w:id="50"/>
      </w:r>
      <w:r w:rsidRPr="00D96C74">
        <w:rPr>
          <w:noProof/>
        </w:rPr>
        <w:t xml:space="preserve">. De asemenea, reducerea generării de deșeuri alimentare duce la o utilizare mai durabilă a terenurilor, la diminuarea eutrofizării marine și la reducerea deficitului de apă, în conformitate cu obiectivul de instituire a unui sistem alimentar durabil, astfel cum se prevede în Strategia „De la fermă la consumator”. </w:t>
      </w:r>
    </w:p>
    <w:p w14:paraId="555EC987" w14:textId="77777777" w:rsidR="00D62014" w:rsidRPr="00D96C74" w:rsidRDefault="005E309E" w:rsidP="00B00391">
      <w:pPr>
        <w:pBdr>
          <w:top w:val="nil"/>
          <w:left w:val="nil"/>
          <w:bottom w:val="nil"/>
          <w:right w:val="nil"/>
          <w:between w:val="nil"/>
          <w:bar w:val="nil"/>
        </w:pBdr>
        <w:spacing w:before="0" w:after="240"/>
        <w:rPr>
          <w:rFonts w:eastAsia="Arial Unicode MS"/>
          <w:noProof/>
        </w:rPr>
      </w:pPr>
      <w:r w:rsidRPr="00D96C74">
        <w:rPr>
          <w:noProof/>
        </w:rPr>
        <w:t xml:space="preserve">Strategia prevede stabilirea unei valori de referință pentru nivelurile de deșeuri alimentare, luând în considerare noile date raportate de statele membre, precum și stabilirea unor obiective obligatorii din punct de vedere juridic pentru reducerea deșeurilor alimentare în întreaga UE până în </w:t>
      </w:r>
      <w:r w:rsidRPr="00D020C3">
        <w:rPr>
          <w:noProof/>
        </w:rPr>
        <w:t>2023</w:t>
      </w:r>
      <w:r w:rsidRPr="00D96C74">
        <w:rPr>
          <w:noProof/>
        </w:rPr>
        <w:t>.</w:t>
      </w:r>
    </w:p>
    <w:p w14:paraId="30661B28" w14:textId="5947199E" w:rsidR="00DD3738" w:rsidRPr="00D96C74" w:rsidRDefault="005334F2" w:rsidP="00B00391">
      <w:pPr>
        <w:pBdr>
          <w:top w:val="nil"/>
          <w:left w:val="nil"/>
          <w:bottom w:val="nil"/>
          <w:right w:val="nil"/>
          <w:between w:val="nil"/>
          <w:bar w:val="nil"/>
        </w:pBdr>
        <w:spacing w:before="0" w:after="240"/>
        <w:rPr>
          <w:rFonts w:eastAsia="Arial Unicode MS"/>
          <w:noProof/>
        </w:rPr>
      </w:pPr>
      <w:r w:rsidRPr="00D96C74">
        <w:rPr>
          <w:noProof/>
        </w:rPr>
        <w:t>Strategia în domeniul bioeconomiei</w:t>
      </w:r>
      <w:r w:rsidRPr="00D96C74">
        <w:rPr>
          <w:rStyle w:val="FootnoteReference"/>
          <w:rFonts w:eastAsia="Arial Unicode MS"/>
          <w:noProof/>
        </w:rPr>
        <w:footnoteReference w:id="51"/>
      </w:r>
      <w:r w:rsidRPr="00D96C74">
        <w:rPr>
          <w:noProof/>
        </w:rPr>
        <w:t xml:space="preserve"> lansează un apel la adoptarea de acțiuni de reutilizare, reducere și reciclare a fluxurilor de biodeșeuri. Reducerea deșeurilor alimentare contribuie la principiile de bază ale strategiei, cum ar fi economia circulară, utilizarea în cascadă a biomasei și aplicarea ierarhiei deșeurilor.</w:t>
      </w:r>
    </w:p>
    <w:p w14:paraId="582CA293" w14:textId="139DF24F" w:rsidR="009539FF" w:rsidRPr="00D96C74" w:rsidRDefault="00275628" w:rsidP="009539FF">
      <w:pPr>
        <w:pBdr>
          <w:top w:val="nil"/>
          <w:left w:val="nil"/>
          <w:bottom w:val="nil"/>
          <w:right w:val="nil"/>
          <w:between w:val="nil"/>
          <w:bar w:val="nil"/>
        </w:pBdr>
        <w:spacing w:before="0" w:after="240"/>
        <w:rPr>
          <w:rFonts w:eastAsia="Arial Unicode MS"/>
          <w:noProof/>
        </w:rPr>
      </w:pPr>
      <w:hyperlink r:id="rId18" w:tgtFrame="_blank" w:history="1">
        <w:r w:rsidR="009539FF" w:rsidRPr="00D96C74">
          <w:rPr>
            <w:noProof/>
          </w:rPr>
          <w:t>Calea de tranziție pentru turism</w:t>
        </w:r>
        <w:r w:rsidR="009539FF" w:rsidRPr="00D96C74">
          <w:rPr>
            <w:rStyle w:val="FootnoteReference"/>
            <w:rFonts w:eastAsia="Arial Unicode MS"/>
            <w:noProof/>
          </w:rPr>
          <w:footnoteReference w:id="52"/>
        </w:r>
      </w:hyperlink>
      <w:r w:rsidR="009539FF" w:rsidRPr="00D96C74">
        <w:rPr>
          <w:noProof/>
        </w:rPr>
        <w:t xml:space="preserve">, publicată în februarie </w:t>
      </w:r>
      <w:r w:rsidR="009539FF" w:rsidRPr="00D020C3">
        <w:rPr>
          <w:noProof/>
        </w:rPr>
        <w:t>2022</w:t>
      </w:r>
      <w:r w:rsidR="009539FF" w:rsidRPr="00D96C74">
        <w:rPr>
          <w:noProof/>
        </w:rPr>
        <w:t xml:space="preserve">, evidențiază printre acțiunile sale cheie reducerea generării de deșeuri alimentare în sectorul ospitalității. În decembrie </w:t>
      </w:r>
      <w:r w:rsidR="009539FF" w:rsidRPr="00D020C3">
        <w:rPr>
          <w:noProof/>
        </w:rPr>
        <w:t>2022</w:t>
      </w:r>
      <w:r w:rsidR="009539FF" w:rsidRPr="00D96C74">
        <w:rPr>
          <w:noProof/>
        </w:rPr>
        <w:t xml:space="preserve">, statele membre au adoptat </w:t>
      </w:r>
      <w:hyperlink r:id="rId19" w:tgtFrame="_blank" w:history="1">
        <w:r w:rsidR="009539FF" w:rsidRPr="00D96C74">
          <w:rPr>
            <w:noProof/>
          </w:rPr>
          <w:t xml:space="preserve">Concluziile Consiliului privind Agenda europeană pentru turism </w:t>
        </w:r>
        <w:r w:rsidR="009539FF" w:rsidRPr="00D020C3">
          <w:rPr>
            <w:noProof/>
          </w:rPr>
          <w:t>2030</w:t>
        </w:r>
        <w:r w:rsidR="009539FF" w:rsidRPr="00D96C74">
          <w:rPr>
            <w:rStyle w:val="FootnoteReference"/>
            <w:rFonts w:eastAsia="Arial Unicode MS"/>
            <w:noProof/>
          </w:rPr>
          <w:footnoteReference w:id="53"/>
        </w:r>
      </w:hyperlink>
      <w:r w:rsidR="009539FF" w:rsidRPr="00D96C74">
        <w:rPr>
          <w:noProof/>
        </w:rPr>
        <w:t>, în care au solicitat Comisiei și statelor membre să sprijine îmbunătățirea circularității serviciilor turistice, inclusiv în ceea ce privește deșeurile alimentare. </w:t>
      </w:r>
    </w:p>
    <w:p w14:paraId="4365C176" w14:textId="3DACCBB0" w:rsidR="00BD152F" w:rsidRPr="00D96C74" w:rsidRDefault="0050683A" w:rsidP="00B00391">
      <w:pPr>
        <w:pBdr>
          <w:top w:val="nil"/>
          <w:left w:val="nil"/>
          <w:bottom w:val="nil"/>
          <w:right w:val="nil"/>
          <w:between w:val="nil"/>
          <w:bar w:val="nil"/>
        </w:pBdr>
        <w:spacing w:before="0" w:after="240"/>
        <w:rPr>
          <w:rFonts w:eastAsia="Arial Unicode MS"/>
          <w:noProof/>
        </w:rPr>
      </w:pPr>
      <w:r w:rsidRPr="00D96C74">
        <w:rPr>
          <w:noProof/>
        </w:rPr>
        <w:t>În sfârșit, generarea de deșeuri alimentare a fost identificată ca fiind unul dintre principalii factori care afectează securitatea alimentară atât din perspectiva ofertei, cât și a cererii</w:t>
      </w:r>
      <w:r w:rsidRPr="00D96C74">
        <w:rPr>
          <w:rStyle w:val="FootnoteReference"/>
          <w:rFonts w:eastAsia="Arial Unicode MS"/>
          <w:noProof/>
        </w:rPr>
        <w:footnoteReference w:id="54"/>
      </w:r>
      <w:r w:rsidRPr="00D96C74">
        <w:rPr>
          <w:noProof/>
        </w:rPr>
        <w:t>. Reducerea ei poate contribui la creșterea rezilienței sistemelor alimentare și la securitatea alimentară în general, prin îmbunătățirea eficienței și a productivității lanțului de aprovizionare, precum și a accesibilității alimentelor din punctul de vedere al prețurilor. Prin eficientizarea sistemelor alimentare și sprijinirea schimbărilor de comportament ale consumatorilor cu scopul de a evita aruncarea inutilă a alimentelor, ar fi posibil</w:t>
      </w:r>
      <w:r w:rsidR="00873632">
        <w:rPr>
          <w:noProof/>
        </w:rPr>
        <w:t xml:space="preserve"> </w:t>
      </w:r>
      <w:r w:rsidRPr="00D96C74">
        <w:rPr>
          <w:noProof/>
        </w:rPr>
        <w:t xml:space="preserve">să se hrănească un număr mai mare de persoane cu aceeași cantitate de alimente produse. Prin urmare, reducerea deșeurilor alimentare poate contribui la satisfacerea cererii tot mai mari de hrană, asigurând în același timp faptul că sistemul nostru alimentar nu impietează asupra limitelor planetare. În plus, reducerea pierderilor de alimente și a deșeurilor alimentare ar putea contribui la scăderea prețului acestora, ceea ce ar putea îmbunătăți accesul economic la alimente. </w:t>
      </w:r>
    </w:p>
    <w:p w14:paraId="31BBA076" w14:textId="77777777" w:rsidR="00BD152F" w:rsidRPr="00D020C3" w:rsidRDefault="00BD152F" w:rsidP="00B00391">
      <w:pPr>
        <w:pStyle w:val="ManualHeading1"/>
        <w:rPr>
          <w:noProof/>
        </w:rPr>
      </w:pPr>
      <w:r w:rsidRPr="00D020C3">
        <w:rPr>
          <w:noProof/>
        </w:rPr>
        <w:t>2.</w:t>
      </w:r>
      <w:r w:rsidRPr="00D020C3">
        <w:rPr>
          <w:noProof/>
        </w:rPr>
        <w:tab/>
        <w:t>TEMEI JURIDIC, SUBSIDIARITATE ȘI PROPORȚIONALITATE</w:t>
      </w:r>
    </w:p>
    <w:p w14:paraId="0607AB7B" w14:textId="77777777" w:rsidR="00BD152F" w:rsidRPr="00D020C3" w:rsidRDefault="00BD152F" w:rsidP="00B00391">
      <w:pPr>
        <w:pStyle w:val="ManualHeading2"/>
        <w:rPr>
          <w:rFonts w:eastAsia="Arial Unicode MS"/>
          <w:noProof/>
          <w:u w:color="000000"/>
          <w:bdr w:val="nil"/>
        </w:rPr>
      </w:pPr>
      <w:r w:rsidRPr="00D020C3">
        <w:rPr>
          <w:noProof/>
          <w:u w:color="000000"/>
          <w:bdr w:val="nil"/>
        </w:rPr>
        <w:t>•</w:t>
      </w:r>
      <w:r w:rsidRPr="00D020C3">
        <w:rPr>
          <w:noProof/>
        </w:rPr>
        <w:tab/>
      </w:r>
      <w:r w:rsidRPr="00D020C3">
        <w:rPr>
          <w:noProof/>
          <w:u w:color="000000"/>
          <w:bdr w:val="nil"/>
        </w:rPr>
        <w:t>Temeiul juridic</w:t>
      </w:r>
    </w:p>
    <w:p w14:paraId="6F4A54A3" w14:textId="77777777" w:rsidR="00171D70" w:rsidRPr="00D96C74" w:rsidRDefault="00171D70" w:rsidP="00171D70">
      <w:pPr>
        <w:pBdr>
          <w:top w:val="nil"/>
          <w:left w:val="nil"/>
          <w:bottom w:val="nil"/>
          <w:right w:val="nil"/>
          <w:between w:val="nil"/>
          <w:bar w:val="nil"/>
        </w:pBdr>
        <w:spacing w:before="0" w:after="240"/>
        <w:rPr>
          <w:rFonts w:eastAsia="Arial Unicode MS"/>
          <w:noProof/>
        </w:rPr>
      </w:pPr>
      <w:r w:rsidRPr="00D96C74">
        <w:rPr>
          <w:noProof/>
        </w:rPr>
        <w:t>Articolul </w:t>
      </w:r>
      <w:r w:rsidRPr="00D020C3">
        <w:rPr>
          <w:noProof/>
        </w:rPr>
        <w:t>192</w:t>
      </w:r>
      <w:r w:rsidRPr="00D96C74">
        <w:rPr>
          <w:noProof/>
        </w:rPr>
        <w:t xml:space="preserve"> din Tratatul privind funcționarea Uniunii Europene (TFUE)</w:t>
      </w:r>
      <w:r w:rsidRPr="00D96C74">
        <w:rPr>
          <w:rStyle w:val="FootnoteReference"/>
          <w:rFonts w:eastAsia="Arial Unicode MS"/>
          <w:noProof/>
        </w:rPr>
        <w:footnoteReference w:id="55"/>
      </w:r>
      <w:r w:rsidRPr="00D96C74">
        <w:rPr>
          <w:noProof/>
        </w:rPr>
        <w:t xml:space="preserve"> împuternicește UE să acționeze în domeniul politicii de mediu pentru a conserva, a proteja și a îmbunătăți calitatea mediului, pentru a ocroti sănătatea persoanelor, pentru a contribui la utilizarea prudentă și rațională a resurselor naturale și pentru a promova pe plan internațional măsuri destinate să contracareze problemele de mediu la scară regională sau mondială.  </w:t>
      </w:r>
    </w:p>
    <w:p w14:paraId="119DF1F2" w14:textId="2745559F" w:rsidR="00171D70" w:rsidRPr="00D96C74" w:rsidRDefault="00171D70" w:rsidP="00171D70">
      <w:pPr>
        <w:pBdr>
          <w:top w:val="nil"/>
          <w:left w:val="nil"/>
          <w:bottom w:val="nil"/>
          <w:right w:val="nil"/>
          <w:between w:val="nil"/>
          <w:bar w:val="nil"/>
        </w:pBdr>
        <w:spacing w:before="0" w:after="240"/>
        <w:rPr>
          <w:rFonts w:eastAsia="Arial Unicode MS"/>
          <w:noProof/>
        </w:rPr>
      </w:pPr>
      <w:r w:rsidRPr="00D96C74">
        <w:rPr>
          <w:noProof/>
        </w:rPr>
        <w:t xml:space="preserve">Propunerea îmbracă forma unei modificări specifice a Directivei </w:t>
      </w:r>
      <w:r w:rsidRPr="00D020C3">
        <w:rPr>
          <w:noProof/>
        </w:rPr>
        <w:t>2008</w:t>
      </w:r>
      <w:r w:rsidRPr="00D96C74">
        <w:rPr>
          <w:noProof/>
        </w:rPr>
        <w:t>/</w:t>
      </w:r>
      <w:r w:rsidRPr="00D020C3">
        <w:rPr>
          <w:noProof/>
        </w:rPr>
        <w:t>98</w:t>
      </w:r>
      <w:r w:rsidRPr="00D96C74">
        <w:rPr>
          <w:noProof/>
        </w:rPr>
        <w:t>/CE privind deșeurile (DCD), care reprezintă singurul instrument juridic de reglementare a prevenirii și a gestionării deșeurilor textile în UE, și se bazează pe articolul </w:t>
      </w:r>
      <w:r w:rsidRPr="00D020C3">
        <w:rPr>
          <w:noProof/>
        </w:rPr>
        <w:t>192</w:t>
      </w:r>
      <w:r w:rsidRPr="00D96C74">
        <w:rPr>
          <w:noProof/>
        </w:rPr>
        <w:t xml:space="preserve"> alineatul (</w:t>
      </w:r>
      <w:r w:rsidRPr="00D020C3">
        <w:rPr>
          <w:noProof/>
        </w:rPr>
        <w:t>1</w:t>
      </w:r>
      <w:r w:rsidRPr="00D96C74">
        <w:rPr>
          <w:noProof/>
        </w:rPr>
        <w:t>) din TFUE. Deși există mai multe acte juridice care reglementează produsele textile (de exemplu REACH sau Regulamentul privind etichetarea produselor textile), DCD este singurul instrument juridic care reglementează toate aspectele gestionării deșeurilor textile, inclusiv obligațiile specifice de a asigura colectarea lor separată, tratarea acestora și cerințele de raportare.  </w:t>
      </w:r>
    </w:p>
    <w:p w14:paraId="735786C9" w14:textId="77777777" w:rsidR="00171D70" w:rsidRPr="00D96C74" w:rsidRDefault="00171D70" w:rsidP="00171D70">
      <w:pPr>
        <w:pBdr>
          <w:top w:val="nil"/>
          <w:left w:val="nil"/>
          <w:bottom w:val="nil"/>
          <w:right w:val="nil"/>
          <w:between w:val="nil"/>
          <w:bar w:val="nil"/>
        </w:pBdr>
        <w:spacing w:before="0" w:after="240"/>
        <w:rPr>
          <w:rFonts w:eastAsia="Arial Unicode MS"/>
          <w:noProof/>
        </w:rPr>
      </w:pPr>
      <w:r w:rsidRPr="00D96C74">
        <w:rPr>
          <w:noProof/>
        </w:rPr>
        <w:t>Modificarea punctuală a DCD pornește de la aceste cerințe existente și vizează eliminarea barierelor de reglementare identificate și remedierea disfuncționalităților pieței prin prevederea unor dispoziții mai clare, mai specifice și mai armonizate pentru a restrânge posibilitatea divergențelor între state și a crea condiții propice extinderii infrastructurii de reutilizare și reciclare a textilelor. În plus, instituirea obligațiilor privind răspunderea extinsă a producătorilor pentru produsele textile respectă cerințele minime stabilite în legislația UE și are drept scop armonizarea. Acest obiectiv este urmărit și prin mandatarea Comisiei să adopte norme mai detaliate prin intermediul unor acte de punere în aplicare. Se definesc termen clare de aplicare a măsurilor individuale, în funcție de fezabilitatea punerii lor în aplicare și de timpul de care au nevoie părțile interesate obligate pentru a se adapta. </w:t>
      </w:r>
    </w:p>
    <w:p w14:paraId="7FDABDDC" w14:textId="77777777" w:rsidR="00BD152F" w:rsidRPr="00D96C74" w:rsidRDefault="24336CD3" w:rsidP="45508202">
      <w:pPr>
        <w:pBdr>
          <w:top w:val="nil"/>
          <w:left w:val="nil"/>
          <w:bottom w:val="nil"/>
          <w:right w:val="nil"/>
          <w:between w:val="nil"/>
          <w:bar w:val="nil"/>
        </w:pBdr>
        <w:spacing w:before="0" w:after="240"/>
        <w:rPr>
          <w:rFonts w:eastAsia="Arial Unicode MS"/>
          <w:noProof/>
        </w:rPr>
      </w:pPr>
      <w:r w:rsidRPr="00D96C74">
        <w:rPr>
          <w:noProof/>
        </w:rPr>
        <w:t>În domeniul deșeurilor alimentare, modificarea anumitor dispoziții specifice ale DCD pornește de la cerințele existente care abordează aspecte majore ale prevenirii generării lor (definiția deșeurilor alimentare și metodologia comună de măsurare a acestora, obligațiile statelor membre de a reduce deșeurile alimentare în fiecare etapă a lanțului alimentar, de a monitoriza nivelurile deșeurilor alimentare și de a raporta anual cu privire la acestea, pregătirea programelor naționale de prevenire a generării de deșeuri alimentare) și ale gestionării deșeurilor generate (de exemplu, colectarea separată).</w:t>
      </w:r>
    </w:p>
    <w:p w14:paraId="05B2900B" w14:textId="77777777" w:rsidR="00BD152F" w:rsidRPr="00D020C3" w:rsidRDefault="00BD152F" w:rsidP="00B00391">
      <w:pPr>
        <w:pStyle w:val="ManualHeading2"/>
        <w:rPr>
          <w:rFonts w:eastAsia="Arial Unicode MS"/>
          <w:noProof/>
          <w:u w:color="000000"/>
          <w:bdr w:val="nil"/>
        </w:rPr>
      </w:pPr>
      <w:r w:rsidRPr="00D020C3">
        <w:rPr>
          <w:noProof/>
          <w:u w:color="000000"/>
          <w:bdr w:val="nil"/>
        </w:rPr>
        <w:t>•</w:t>
      </w:r>
      <w:r w:rsidRPr="00D020C3">
        <w:rPr>
          <w:noProof/>
        </w:rPr>
        <w:tab/>
      </w:r>
      <w:r w:rsidRPr="00D020C3">
        <w:rPr>
          <w:noProof/>
          <w:u w:color="000000"/>
          <w:bdr w:val="nil"/>
        </w:rPr>
        <w:t xml:space="preserve">Subsidiaritatea (în cazul competențelor neexclusive) </w:t>
      </w:r>
    </w:p>
    <w:p w14:paraId="2E4CB7DC" w14:textId="77777777" w:rsidR="00171D70" w:rsidRPr="00D96C74" w:rsidRDefault="00171D70" w:rsidP="00171D70">
      <w:pPr>
        <w:pBdr>
          <w:top w:val="nil"/>
          <w:left w:val="nil"/>
          <w:bottom w:val="nil"/>
          <w:right w:val="nil"/>
          <w:between w:val="nil"/>
          <w:bar w:val="nil"/>
        </w:pBdr>
        <w:spacing w:before="0" w:after="240"/>
        <w:rPr>
          <w:rFonts w:eastAsia="Arial Unicode MS"/>
          <w:noProof/>
        </w:rPr>
      </w:pPr>
      <w:r w:rsidRPr="00D96C74">
        <w:rPr>
          <w:noProof/>
        </w:rPr>
        <w:t>Având în vedere caracterul transfrontalier al lanțului valoric al produselor textile din perspectivă economică, socială și de mediu, vânzarea, consumul și gestionarea produselor textile la sfârșitul ciclului de viață sunt legate în mod intrinsec de funcționarea pieței unice și a lanțurilor valorice globale. Dependența ridicată de materii prime evidențiază importanța stimulării modelelor de afaceri circulare pentru a reduce utilizarea materiilor prime primare și pentru a contribui la atenuarea externalităților de mediu negative asociate acestei utilizări.  </w:t>
      </w:r>
    </w:p>
    <w:p w14:paraId="50363FCC" w14:textId="77777777" w:rsidR="00171D70" w:rsidRPr="00D96C74" w:rsidRDefault="00171D70" w:rsidP="00171D70">
      <w:pPr>
        <w:pBdr>
          <w:top w:val="nil"/>
          <w:left w:val="nil"/>
          <w:bottom w:val="nil"/>
          <w:right w:val="nil"/>
          <w:between w:val="nil"/>
          <w:bar w:val="nil"/>
        </w:pBdr>
        <w:spacing w:before="0" w:after="240"/>
        <w:rPr>
          <w:rFonts w:eastAsia="Arial Unicode MS"/>
          <w:noProof/>
        </w:rPr>
      </w:pPr>
      <w:r w:rsidRPr="00D96C74">
        <w:rPr>
          <w:noProof/>
        </w:rPr>
        <w:t>Sistemele de colectare, sortare și reciclare trebuie să fie extinse pentru a fi pregătite pentru viitoarea obligație de colectare separată și pentru punerea sa deplină în aplicare, deoarece în prezent mai multe lacune de reglementare și disfuncționalități ale pieței care afectează toate statele membre și toți actorii din cadrul lanțului valoric al textilelor împiedică asigurarea unei capacități suficiente de colectare, sortare și reciclare. Absența unei abordări comune la nivelul UE în ceea ce privește gestionarea produselor textile riscă să creeze fragmentare normativă și perturbări în fluxurile de deșeuri și materiale sau să le adâncească și mai mult pe cele existente, împiedicând astfel circulația transfrontalieră a textilelor (produse, textile uzate și deșeuri textile)și adoptarea de acțiuni coordonate și realizarea de investiții rapide pe tot cuprinsul UE. Există un risc major de creștere suplimentară a fragmentării normative și a sarcinilor administrative suportate de părțile interesate din industrie, în special de IMM-uri, ca urmare a aplicării neuniforme a principiului „poluatorul plătește” în cadrul schemelor naționale de răspundere extinsă a producătorilor pentru textile. Externalitățile de mediu transfrontaliere, inclusiv emisiile de gaze cu efect de seră și exportul de textile (și de deșeuri deghizate în non-deșeuri) către țări terțe sunt abordate mai eficient prin acțiunea UE, în special deoarece principalii factori determinanți ai problemei decurg din deficiențele în materie de reglementare care rezultă din lipsa unor definiții armonizate și a fragmentării normative, precum și a deficitului de finanțare comun tuturor statelor membre. </w:t>
      </w:r>
    </w:p>
    <w:p w14:paraId="4C3A5CE2" w14:textId="77777777" w:rsidR="00171D70" w:rsidRPr="00D96C74" w:rsidRDefault="00171D70" w:rsidP="00171D70">
      <w:pPr>
        <w:pBdr>
          <w:top w:val="nil"/>
          <w:left w:val="nil"/>
          <w:bottom w:val="nil"/>
          <w:right w:val="nil"/>
          <w:between w:val="nil"/>
          <w:bar w:val="nil"/>
        </w:pBdr>
        <w:spacing w:before="0" w:after="240"/>
        <w:rPr>
          <w:rFonts w:eastAsia="Arial Unicode MS"/>
          <w:noProof/>
        </w:rPr>
      </w:pPr>
      <w:r w:rsidRPr="00D96C74">
        <w:rPr>
          <w:noProof/>
        </w:rPr>
        <w:t>Toate statele membre generează deșeuri alimentare, ceea ce creează externalități de mediu transfrontaliere semnificative. Producția, depozitarea, transportul și prelucrarea alimentelor și eliminarea deșeurilor alimentare au un impact asupra mediului și a climei din UE (de exemplu prin emisiile de GES și efectele asupra utilizării terenurilor, asupra biodiversității, a utilizării apei și a eutrofizării). În plus, producția alimentelor importate în UE poate avea un impact semnificativ asupra mediului și a climei la nivel mondial. </w:t>
      </w:r>
    </w:p>
    <w:p w14:paraId="760A39E4" w14:textId="77777777" w:rsidR="00171D70" w:rsidRPr="00D96C74" w:rsidRDefault="00171D70" w:rsidP="00171D70">
      <w:pPr>
        <w:pBdr>
          <w:top w:val="nil"/>
          <w:left w:val="nil"/>
          <w:bottom w:val="nil"/>
          <w:right w:val="nil"/>
          <w:between w:val="nil"/>
          <w:bar w:val="nil"/>
        </w:pBdr>
        <w:spacing w:before="0" w:after="240"/>
        <w:rPr>
          <w:rFonts w:eastAsia="Arial Unicode MS"/>
          <w:noProof/>
        </w:rPr>
      </w:pPr>
      <w:r w:rsidRPr="00D96C74">
        <w:rPr>
          <w:noProof/>
        </w:rPr>
        <w:t>Este necesară o reducere coerentă a deșeurilor alimentare generate în întreaga UE pentru a se asigura, în fiecare stat membru, o utilizare prudentă și rațională a resurselor naturale și reducerea impactului negativ asupra climei, a biodiversității și a utilizării resurselor naturale, cu beneficii care să se propage dincolo de frontierele naționale. Este important de precizat că reducerea generării de deșeuri alimentare, deoarece eficientizează sistemul alimentar, contribuie și la securitatea alimentară în cadrul UE. </w:t>
      </w:r>
    </w:p>
    <w:p w14:paraId="015BE056" w14:textId="77777777" w:rsidR="00171D70" w:rsidRPr="00D96C74" w:rsidRDefault="00171D70" w:rsidP="00171D70">
      <w:pPr>
        <w:pBdr>
          <w:top w:val="nil"/>
          <w:left w:val="nil"/>
          <w:bottom w:val="nil"/>
          <w:right w:val="nil"/>
          <w:between w:val="nil"/>
          <w:bar w:val="nil"/>
        </w:pBdr>
        <w:spacing w:before="0" w:after="240"/>
        <w:rPr>
          <w:rFonts w:eastAsia="Arial Unicode MS"/>
          <w:noProof/>
        </w:rPr>
      </w:pPr>
      <w:r w:rsidRPr="00D96C74">
        <w:rPr>
          <w:noProof/>
        </w:rPr>
        <w:t>Alimentele sunt comercializate pe scară largă pe piața UE, iar întreprinderile din sectorul alimentar care își desfășoară activitatea la nivel transfrontalier au nevoie, pentru a-și planifica investițiile și acțiunile de prevenire a generării de deșeuri alimentare, de coerență și de claritate în ceea ce privește nivelul de ambiție preconizat. O abordare coordonată la nivelul UE poate oferi fiabilitate și continuitate, sprijinind așadar adoptarea de noi modele de afaceri de către operatorii din sectorul alimentar pentru a accelera reducerea generării de deșeuri alimentare de-a lungul lanțului valoric alimentar. </w:t>
      </w:r>
    </w:p>
    <w:p w14:paraId="3CB9E423" w14:textId="77777777" w:rsidR="00171D70" w:rsidRPr="00D96C74" w:rsidRDefault="00171D70" w:rsidP="00171D70">
      <w:pPr>
        <w:pBdr>
          <w:top w:val="nil"/>
          <w:left w:val="nil"/>
          <w:bottom w:val="nil"/>
          <w:right w:val="nil"/>
          <w:between w:val="nil"/>
          <w:bar w:val="nil"/>
        </w:pBdr>
        <w:spacing w:before="0" w:after="240"/>
        <w:rPr>
          <w:rFonts w:eastAsia="Arial Unicode MS"/>
          <w:noProof/>
        </w:rPr>
      </w:pPr>
      <w:r w:rsidRPr="00D96C74">
        <w:rPr>
          <w:noProof/>
        </w:rPr>
        <w:t xml:space="preserve">În pofida angajamentelor politice asumate la nivel național, internațional și al UE, a cerințelor legale prevăzute în DCD și a activităților de sprijin desfășurate de Comisie, măsurile luate de statele membre ca răspuns la problema deșeurilor alimentare au fost inegale și, per ansamblu, insuficiente pentru a contracara problemele identificate și consecințele economice, sociale și de mediu resimțite de consumatori, de întreprinderi și de societate în general. Intensitatea diferită a eforturilor depuse de statele membre pentru reducerea generării de deșeuri alimentare și nivelurile diferite de așteptare în ceea ce privește contribuția operatorilor din sectorul alimentar susțin necesitatea unor măsuri mai coordonate și mai uniforme la nivelul UE pentru a impulsiona obținerea de progrese la scara și în ritmul necesare pentru îndeplinirea celei de a treia ținte a ODD </w:t>
      </w:r>
      <w:r w:rsidRPr="00D020C3">
        <w:rPr>
          <w:noProof/>
        </w:rPr>
        <w:t>12</w:t>
      </w:r>
      <w:r w:rsidRPr="00D96C74">
        <w:rPr>
          <w:noProof/>
        </w:rPr>
        <w:t>.  </w:t>
      </w:r>
    </w:p>
    <w:p w14:paraId="4271E297" w14:textId="5921BDF2" w:rsidR="00171D70" w:rsidRPr="00D96C74" w:rsidRDefault="24336CD3" w:rsidP="45508202">
      <w:pPr>
        <w:pBdr>
          <w:top w:val="nil"/>
          <w:left w:val="nil"/>
          <w:bottom w:val="nil"/>
          <w:right w:val="nil"/>
          <w:between w:val="nil"/>
          <w:bar w:val="nil"/>
        </w:pBdr>
        <w:spacing w:before="0" w:after="240"/>
        <w:rPr>
          <w:rFonts w:eastAsia="Arial Unicode MS"/>
          <w:noProof/>
        </w:rPr>
      </w:pPr>
      <w:r w:rsidRPr="00D96C74">
        <w:rPr>
          <w:noProof/>
        </w:rPr>
        <w:t xml:space="preserve">Se preconizează că stabilirea unor obiective de reducere a deșeurilor alimentare până în </w:t>
      </w:r>
      <w:r w:rsidRPr="00D020C3">
        <w:rPr>
          <w:noProof/>
        </w:rPr>
        <w:t>2030</w:t>
      </w:r>
      <w:r w:rsidRPr="00D96C74">
        <w:rPr>
          <w:noProof/>
        </w:rPr>
        <w:t xml:space="preserve"> care să fie obligatorii din punct de vedere juridic pentru statele membre va consolida eforturile de identificare și de extindere a strategiilor și a inițiativelor eficace atât în interiorul statelor membre, cât și la nivel transfrontalier, prin: raționalizarea contribuției operatorilor din sectorul alimentar, în special în contextul lanțurilor de aprovizionare transfrontaliere; contribuirea la asigurarea faptului că factorii (de piață și comportamentali) care determină generarea de deșeuri alimentare sunt abordați în mod coerent și simultan de către toate statele membre, urmărindu-se convergența cu măsurile luate de statele, deocamdată puține, care s-au remarcat prin rezultatele bune obținute în această privință și accelerarea elaborării unor strategii naționale eficace de prevenire a deșeurilor alimentare prin diseminarea bunelor practici și valorificarea mai bună a bazei de cunoștințe a UE în materie de prevenire a generării acestora.  </w:t>
      </w:r>
    </w:p>
    <w:p w14:paraId="260E91ED" w14:textId="18CE763D" w:rsidR="00171D70" w:rsidRPr="00D96C74" w:rsidRDefault="00171D70" w:rsidP="00B00391">
      <w:pPr>
        <w:pBdr>
          <w:top w:val="nil"/>
          <w:left w:val="nil"/>
          <w:bottom w:val="nil"/>
          <w:right w:val="nil"/>
          <w:between w:val="nil"/>
          <w:bar w:val="nil"/>
        </w:pBdr>
        <w:spacing w:before="0" w:after="240"/>
        <w:rPr>
          <w:rFonts w:eastAsia="Arial Unicode MS"/>
          <w:noProof/>
        </w:rPr>
      </w:pPr>
      <w:r w:rsidRPr="00D96C74">
        <w:rPr>
          <w:noProof/>
        </w:rPr>
        <w:t>Stabilirea de obiective în legislația UE privind deșeurile este un instrument strategic care ar obliga statele membre să ia măsuri, oferindu-le în același timp flexibilitate deplină în ceea ce privește alegerea măsurilor necesare. Astfel, statele membre pot alege instrumentele de politică care ar fi cele mai eficace și mai eficiente dată fiind situația specifică de pe teritoriile lor respective.</w:t>
      </w:r>
    </w:p>
    <w:p w14:paraId="1800E720" w14:textId="77777777" w:rsidR="00BD152F" w:rsidRPr="00D020C3" w:rsidRDefault="00BD152F" w:rsidP="00B00391">
      <w:pPr>
        <w:pStyle w:val="ManualHeading2"/>
        <w:rPr>
          <w:rFonts w:eastAsia="Arial Unicode MS"/>
          <w:noProof/>
          <w:u w:color="000000"/>
          <w:bdr w:val="nil"/>
        </w:rPr>
      </w:pPr>
      <w:r w:rsidRPr="00D020C3">
        <w:rPr>
          <w:noProof/>
          <w:u w:color="000000"/>
          <w:bdr w:val="nil"/>
        </w:rPr>
        <w:t>•</w:t>
      </w:r>
      <w:r w:rsidRPr="00D020C3">
        <w:rPr>
          <w:noProof/>
        </w:rPr>
        <w:tab/>
      </w:r>
      <w:r w:rsidRPr="00D020C3">
        <w:rPr>
          <w:noProof/>
          <w:u w:color="000000"/>
          <w:bdr w:val="nil"/>
        </w:rPr>
        <w:t>Proporționalitatea</w:t>
      </w:r>
    </w:p>
    <w:p w14:paraId="75AF68AD" w14:textId="77777777" w:rsidR="00171D70" w:rsidRPr="00D96C74" w:rsidRDefault="00171D70" w:rsidP="00171D70">
      <w:pPr>
        <w:pBdr>
          <w:top w:val="nil"/>
          <w:left w:val="nil"/>
          <w:bottom w:val="nil"/>
          <w:right w:val="nil"/>
          <w:between w:val="nil"/>
          <w:bar w:val="nil"/>
        </w:pBdr>
        <w:spacing w:before="0" w:after="240"/>
        <w:rPr>
          <w:rFonts w:eastAsia="Arial Unicode MS"/>
          <w:noProof/>
        </w:rPr>
      </w:pPr>
      <w:r w:rsidRPr="00D96C74">
        <w:rPr>
          <w:noProof/>
        </w:rPr>
        <w:t>Abordarea de reglementare a Directivei-cadru privind deșeurile de a armoniza anumite elemente ale gestionării deșeurilor (definițiile, obiectivele cantitative sau calitative de operaționalizare a ierarhiei deșeurilor, principiul „poluatorul plătește”, cerințele de raportare), lăsând loc pentru măsuri de punere în aplicare specifice la nivel național și local (planificarea gestionării deșeurilor și autorizarea deșeurilor), corespunde unei acțiuni la nivelul UE care este limitată la strictul necesar.  </w:t>
      </w:r>
    </w:p>
    <w:p w14:paraId="654F9B93" w14:textId="7E80C3C1" w:rsidR="0074459E" w:rsidRPr="00D96C74" w:rsidRDefault="00171D70" w:rsidP="0074459E">
      <w:pPr>
        <w:pBdr>
          <w:top w:val="nil"/>
          <w:left w:val="nil"/>
          <w:bottom w:val="nil"/>
          <w:right w:val="nil"/>
          <w:between w:val="nil"/>
          <w:bar w:val="nil"/>
        </w:pBdr>
        <w:spacing w:before="0" w:after="240"/>
        <w:rPr>
          <w:rFonts w:eastAsia="Arial Unicode MS"/>
          <w:noProof/>
        </w:rPr>
      </w:pPr>
      <w:r w:rsidRPr="00D96C74">
        <w:rPr>
          <w:noProof/>
        </w:rPr>
        <w:t xml:space="preserve">O armonizare mai mare a abordărilor privind gestionarea deșeurilor textile în ceea ce privește care vor fi textilele vizate, definițiile clare, cerințele minime de expediere și de tratare pentru operaționalizarea ierarhiei deșeurilor, caracteristicile organizatorice ale sistemelor de colectare a textilelor și repartizarea sarcinilor ar oferi securitatea juridică necesară părților interesate din cadrul lanțului valoric al textilelor (statele membre, întreprinderile sociale, operatorii de gestionare a deșeurilor, producătorii, alți actori economici, cetățenii) pentru a întreprinde acțiuni concertate, investind în dezvoltarea infrastructurii în întreaga UE pentru a maximiza reutilizarea și reciclarea. Acești operatori vor obține eficiență economică datorită economiilor de scară și costurilor scăzute de conformare, deoarece vor trebui să adere la o singură abordare normativă uniformă în întreaga UE, ceea ce presupune o acțiune la nivelul UE. O abordare armonizată menită să elimine deficitul de finanțare prin norme comune privind REP, reducând în același timp alte bariere de reglementare care împiedică o mai mare uniformitate a deșeurilor textile destinate sortării intrărilor și a ieșirilor și expedierilor transfrontaliere în vederea sortării, a reutilizării și a reciclării, ar reduce considerabil sarcinile economice pentru industrie și IMM-uri, menținând competitivitatea acestora. </w:t>
      </w:r>
      <w:r w:rsidRPr="00D96C74">
        <w:rPr>
          <w:noProof/>
          <w:color w:val="000000" w:themeColor="text1"/>
        </w:rPr>
        <w:t xml:space="preserve">De asemenea, ar trebui precizat că, întrucât în sectorul textil IMM-urile sunt reprezentate în proporție de </w:t>
      </w:r>
      <w:r w:rsidRPr="00D020C3">
        <w:rPr>
          <w:noProof/>
          <w:color w:val="000000" w:themeColor="text1"/>
        </w:rPr>
        <w:t>99</w:t>
      </w:r>
      <w:r w:rsidRPr="00D96C74">
        <w:rPr>
          <w:noProof/>
          <w:color w:val="000000" w:themeColor="text1"/>
        </w:rPr>
        <w:t xml:space="preserve"> %, răspunderea extinsă a producătorului ar fi exercitată în mod colectiv prin intermediul organizațiilor care implementează răspunderea extinsă a producătorului și care își asumă responsabilitatea în numele lor, ceea ce ar reduce în mod semnificativ sarcina administrativă asupra IMM-urilor. </w:t>
      </w:r>
      <w:r w:rsidRPr="00D96C74">
        <w:rPr>
          <w:noProof/>
        </w:rPr>
        <w:t xml:space="preserve">Îmbunătățirea conexă a calității mediului poate fi considerată un beneficiu colateral important. Pentru a reduce și mai mult impactul asupra IMM-urilor, microîntreprinderile (cu cel mult </w:t>
      </w:r>
      <w:r w:rsidRPr="00D020C3">
        <w:rPr>
          <w:noProof/>
        </w:rPr>
        <w:t>10</w:t>
      </w:r>
      <w:r w:rsidRPr="00D96C74">
        <w:rPr>
          <w:noProof/>
        </w:rPr>
        <w:t xml:space="preserve"> angajați) – care reprezintă </w:t>
      </w:r>
      <w:r w:rsidRPr="00D020C3">
        <w:rPr>
          <w:noProof/>
        </w:rPr>
        <w:t>88</w:t>
      </w:r>
      <w:r w:rsidRPr="00D96C74">
        <w:rPr>
          <w:noProof/>
        </w:rPr>
        <w:t> % din totalul întreprinderilor din sector – nu fac obiectul răspunderii extinse a producătorilor, ceea ce înseamnă o reducere importantă a sarcinii administrative și a impactului asupra IMM-urilor.</w:t>
      </w:r>
    </w:p>
    <w:p w14:paraId="3A103171" w14:textId="3C45B4AB" w:rsidR="00171D70" w:rsidRPr="00D96C74" w:rsidRDefault="0074459E" w:rsidP="00171D70">
      <w:pPr>
        <w:pBdr>
          <w:top w:val="nil"/>
          <w:left w:val="nil"/>
          <w:bottom w:val="nil"/>
          <w:right w:val="nil"/>
          <w:between w:val="nil"/>
          <w:bar w:val="nil"/>
        </w:pBdr>
        <w:spacing w:before="0" w:after="240"/>
        <w:rPr>
          <w:rFonts w:eastAsia="Arial Unicode MS"/>
          <w:noProof/>
        </w:rPr>
      </w:pPr>
      <w:r w:rsidRPr="00D96C74">
        <w:rPr>
          <w:noProof/>
        </w:rPr>
        <w:t xml:space="preserve">Sectorul textilelor este dominat de IMM-uri. Microîntreprinderile reprezintă aproximativ </w:t>
      </w:r>
      <w:r w:rsidRPr="00D020C3">
        <w:rPr>
          <w:noProof/>
        </w:rPr>
        <w:t>88</w:t>
      </w:r>
      <w:r w:rsidRPr="00D96C74">
        <w:rPr>
          <w:noProof/>
        </w:rPr>
        <w:t> % din sector. Propunerea este adaptată în mod special astfel încât să reducă la minimum impactul financiar și administrativ asupra microîntreprinderilor, în special prin excluderea</w:t>
      </w:r>
      <w:r w:rsidR="00873632">
        <w:rPr>
          <w:noProof/>
        </w:rPr>
        <w:t xml:space="preserve"> </w:t>
      </w:r>
      <w:r w:rsidRPr="00D96C74">
        <w:rPr>
          <w:noProof/>
        </w:rPr>
        <w:t xml:space="preserve">tuturor microîntreprinderilor din sfera de aplicare a REP. Toate celelalte IMM-uri (adică cele care nu sunt microîntreprinderi) ar urma să facă în continuare obiectul răspunderii extinse a producătorilor. În același timp, spre deosebire de situația actuală, IMM-urile vizate de REP (adică cele care nu sunt microîntreprinderi) ar beneficia și ele de sprijinul pentru reutilizare și reciclare, care ar asigura disponibilitatea mai multor fonduri și o bază mai stabilă de textile reutilizabile și reciclabile pe piață. </w:t>
      </w:r>
    </w:p>
    <w:p w14:paraId="1A458A21" w14:textId="77777777" w:rsidR="00C166D8" w:rsidRPr="00D96C74" w:rsidRDefault="00373564" w:rsidP="00BB039F">
      <w:pPr>
        <w:pBdr>
          <w:top w:val="nil"/>
          <w:left w:val="nil"/>
          <w:bottom w:val="nil"/>
          <w:right w:val="nil"/>
          <w:between w:val="nil"/>
          <w:bar w:val="nil"/>
        </w:pBdr>
        <w:spacing w:before="0" w:after="240"/>
        <w:rPr>
          <w:rFonts w:eastAsia="Arial Unicode MS"/>
          <w:noProof/>
        </w:rPr>
      </w:pPr>
      <w:r w:rsidRPr="00D96C74">
        <w:rPr>
          <w:noProof/>
        </w:rPr>
        <w:t xml:space="preserve">În ceea ce privește deșeurile alimentare, propunerea de stabilire a unor obiective de reducere a generării acestora nu instituie noi măsuri la nivelul UE. Stabilirea de obiective oferă statelor membre libertatea de a alege cele mai eficiente măsuri, adaptate la situația lor națională specifică. Statele membre nu sunt obligate să nu ia nicio măsură nouă referitoare la reducerea deșeurilor alimentare în afara decât cele deja stabilite în DCD (și anume reducerea deșeurilor alimentare în fiecare etapă a lanțului alimentar, elaborarea unor programe de prevenire a deșeurilor alimentare, întreprinderea acțiunilor aferente, monitorizarea și raportarea cu privire la progresele înregistrate). În plus, statele membre s-au angajat deja, de la adoptarea Agendei pentru dezvoltare durabilă în </w:t>
      </w:r>
      <w:r w:rsidRPr="00D020C3">
        <w:rPr>
          <w:noProof/>
        </w:rPr>
        <w:t>2015</w:t>
      </w:r>
      <w:r w:rsidRPr="00D96C74">
        <w:rPr>
          <w:noProof/>
        </w:rPr>
        <w:t xml:space="preserve">, să ia măsuri de reducere a deșeurilor alimentare pentru a contribui la cea de a treia țintă a ODD </w:t>
      </w:r>
      <w:r w:rsidRPr="00D020C3">
        <w:rPr>
          <w:noProof/>
        </w:rPr>
        <w:t>12</w:t>
      </w:r>
      <w:r w:rsidRPr="00D96C74">
        <w:rPr>
          <w:noProof/>
        </w:rPr>
        <w:t>, care reprezintă de altfel exprimarea unei aspirații, un obiectiv fără caracter obligatoriu.  </w:t>
      </w:r>
    </w:p>
    <w:p w14:paraId="78D0D1CD" w14:textId="0FAB8BF0" w:rsidR="00C166D8" w:rsidRPr="00D96C74" w:rsidRDefault="00AD0E4E" w:rsidP="00BB039F">
      <w:pPr>
        <w:pBdr>
          <w:top w:val="nil"/>
          <w:left w:val="nil"/>
          <w:bottom w:val="nil"/>
          <w:right w:val="nil"/>
          <w:between w:val="nil"/>
          <w:bar w:val="nil"/>
        </w:pBdr>
        <w:spacing w:before="0" w:after="240"/>
        <w:rPr>
          <w:rFonts w:eastAsia="Arial Unicode MS"/>
          <w:noProof/>
        </w:rPr>
      </w:pPr>
      <w:r w:rsidRPr="00D96C74">
        <w:rPr>
          <w:noProof/>
        </w:rPr>
        <w:t xml:space="preserve">Experiența țărilor cele mai avansate arată că măsurile adoptate până în prezent de guverne se bazează pe implicarea voluntară a actorilor economici din lanțul alimentar în foi de parcurs comune care vizează atingerea obiectivului comun de reducere a deșeurilor alimentare. În prezent, la nivelul UE se oferă asistență financiară (sub formă de granturi pentru acțiuni) cu scopul de a ajuta părțile interesate să ia măsuri concrete pentru a îmbunătăți măsurarea și prevenirea deșeurilor alimentare. </w:t>
      </w:r>
      <w:hyperlink r:id="rId20" w:tgtFrame="_blank" w:history="1">
        <w:r w:rsidRPr="00D96C74">
          <w:rPr>
            <w:noProof/>
          </w:rPr>
          <w:t>Granturile</w:t>
        </w:r>
      </w:hyperlink>
      <w:r w:rsidRPr="00D96C74">
        <w:rPr>
          <w:noProof/>
        </w:rPr>
        <w:t xml:space="preserve"> acordate până în prezent de către Comisie în cadrul Programului privind piața unică s-au adresat în special IMM-urilor, căutând să răspundă nevoilor specifice ale acestora și să sprijine dezvoltarea și diseminarea celor mai bune practici.  </w:t>
      </w:r>
    </w:p>
    <w:p w14:paraId="7E0DA00D" w14:textId="618E8E18" w:rsidR="00171D70" w:rsidRPr="00D96C74" w:rsidRDefault="00C166D8" w:rsidP="00BB039F">
      <w:pPr>
        <w:pBdr>
          <w:top w:val="nil"/>
          <w:left w:val="nil"/>
          <w:bottom w:val="nil"/>
          <w:right w:val="nil"/>
          <w:between w:val="nil"/>
          <w:bar w:val="nil"/>
        </w:pBdr>
        <w:spacing w:before="0" w:after="240"/>
        <w:rPr>
          <w:rFonts w:eastAsia="Arial Unicode MS"/>
          <w:noProof/>
        </w:rPr>
      </w:pPr>
      <w:r w:rsidRPr="00D96C74">
        <w:rPr>
          <w:noProof/>
        </w:rPr>
        <w:t>În continuare, schimbul de cunoștințe, bune practici, instrumente, ghiduri și experiență va continua prin intermediul platformei UE (inclusiv al subgrupurilor acesteia) și al site-ului web dedicat (Platforma digitală a UE de prevenire a pierderilor și a risipei de alimente).</w:t>
      </w:r>
    </w:p>
    <w:p w14:paraId="6BC21937" w14:textId="77777777" w:rsidR="00BD152F" w:rsidRPr="00D96C74" w:rsidRDefault="00171D70" w:rsidP="00BB039F">
      <w:pPr>
        <w:pBdr>
          <w:top w:val="nil"/>
          <w:left w:val="nil"/>
          <w:bottom w:val="nil"/>
          <w:right w:val="nil"/>
          <w:between w:val="nil"/>
          <w:bar w:val="nil"/>
        </w:pBdr>
        <w:spacing w:before="0" w:after="240"/>
        <w:rPr>
          <w:rFonts w:eastAsia="Arial Unicode MS"/>
          <w:noProof/>
        </w:rPr>
      </w:pPr>
      <w:r w:rsidRPr="00D96C74">
        <w:rPr>
          <w:noProof/>
        </w:rPr>
        <w:t>Per ansamblu, măsurile propuse nu depășesc ceea ce este necesar pentru a asigura conformitatea cu reglementările, garantând în același timp protecția mediului.</w:t>
      </w:r>
    </w:p>
    <w:p w14:paraId="104E54FC" w14:textId="77777777" w:rsidR="00BD152F" w:rsidRPr="00D020C3" w:rsidRDefault="00BD152F" w:rsidP="00B00391">
      <w:pPr>
        <w:pStyle w:val="ManualHeading2"/>
        <w:rPr>
          <w:rFonts w:eastAsia="Arial Unicode MS"/>
          <w:noProof/>
          <w:u w:color="000000"/>
          <w:bdr w:val="nil"/>
        </w:rPr>
      </w:pPr>
      <w:r w:rsidRPr="00D020C3">
        <w:rPr>
          <w:noProof/>
          <w:u w:color="000000"/>
          <w:bdr w:val="nil"/>
        </w:rPr>
        <w:t>•</w:t>
      </w:r>
      <w:r w:rsidRPr="00D020C3">
        <w:rPr>
          <w:noProof/>
        </w:rPr>
        <w:tab/>
      </w:r>
      <w:r w:rsidRPr="00D020C3">
        <w:rPr>
          <w:noProof/>
          <w:u w:color="000000"/>
          <w:bdr w:val="nil"/>
        </w:rPr>
        <w:t>Alegerea instrumentului</w:t>
      </w:r>
    </w:p>
    <w:p w14:paraId="281F00B8" w14:textId="638887BF" w:rsidR="00DB5F1F" w:rsidRPr="00D96C74" w:rsidRDefault="00DB5F1F" w:rsidP="00DB5F1F">
      <w:pPr>
        <w:pBdr>
          <w:top w:val="nil"/>
          <w:left w:val="nil"/>
          <w:bottom w:val="nil"/>
          <w:right w:val="nil"/>
          <w:between w:val="nil"/>
          <w:bar w:val="nil"/>
        </w:pBdr>
        <w:spacing w:before="0" w:after="240"/>
        <w:rPr>
          <w:rFonts w:eastAsia="Arial Unicode MS"/>
          <w:noProof/>
        </w:rPr>
      </w:pPr>
      <w:r w:rsidRPr="00D96C74">
        <w:rPr>
          <w:noProof/>
        </w:rPr>
        <w:t xml:space="preserve">Având în vedere explicațiile de mai sus, instrumentul potrivit pentru modificarea DCD este o directivă. Aceasta permite armonizarea anumitor elemente, lăsând în același timp statelor membre libertatea necesară pentru a ține seama de particularitățile naționale în transpunerea directivei. </w:t>
      </w:r>
    </w:p>
    <w:p w14:paraId="486B5D06" w14:textId="2C5B6143" w:rsidR="00171D70" w:rsidRPr="00D96C74" w:rsidRDefault="004151DC" w:rsidP="00171D70">
      <w:pPr>
        <w:pBdr>
          <w:top w:val="nil"/>
          <w:left w:val="nil"/>
          <w:bottom w:val="nil"/>
          <w:right w:val="nil"/>
          <w:between w:val="nil"/>
          <w:bar w:val="nil"/>
        </w:pBdr>
        <w:spacing w:before="0" w:after="240"/>
        <w:rPr>
          <w:rFonts w:eastAsia="Arial Unicode MS"/>
          <w:noProof/>
        </w:rPr>
      </w:pPr>
      <w:r w:rsidRPr="00D96C74">
        <w:rPr>
          <w:noProof/>
        </w:rPr>
        <w:t>DCD este singurul instrument juridic care reglementează prevenirea și gestionarea deșeurilor textile în UE și se bazează pe articolul </w:t>
      </w:r>
      <w:r w:rsidRPr="00D020C3">
        <w:rPr>
          <w:noProof/>
        </w:rPr>
        <w:t>192</w:t>
      </w:r>
      <w:r w:rsidRPr="00D96C74">
        <w:rPr>
          <w:noProof/>
        </w:rPr>
        <w:t xml:space="preserve"> alineatul (</w:t>
      </w:r>
      <w:r w:rsidRPr="00D020C3">
        <w:rPr>
          <w:noProof/>
        </w:rPr>
        <w:t>1</w:t>
      </w:r>
      <w:r w:rsidRPr="00D96C74">
        <w:rPr>
          <w:noProof/>
        </w:rPr>
        <w:t>) din TFUE. Deși există mai multe acte juridice care reglementează produsele textile (de exemplu REACH sau Regulamentul privind etichetarea produselor textile), DCD este singurul instrument juridic care reglementează toate aspectele gestionării deșeurilor textile, inclusiv obligațiile specifice de a asigura colectarea lor separată, tratarea acestora și cerințele de raportare.  </w:t>
      </w:r>
    </w:p>
    <w:p w14:paraId="59DC8246" w14:textId="77777777" w:rsidR="00BD152F" w:rsidRPr="00D96C74" w:rsidRDefault="00171D70" w:rsidP="00B00391">
      <w:pPr>
        <w:pBdr>
          <w:top w:val="nil"/>
          <w:left w:val="nil"/>
          <w:bottom w:val="nil"/>
          <w:right w:val="nil"/>
          <w:between w:val="nil"/>
          <w:bar w:val="nil"/>
        </w:pBdr>
        <w:spacing w:before="0" w:after="240"/>
        <w:rPr>
          <w:rFonts w:eastAsia="Arial Unicode MS"/>
          <w:noProof/>
        </w:rPr>
      </w:pPr>
      <w:r w:rsidRPr="00D96C74">
        <w:rPr>
          <w:noProof/>
        </w:rPr>
        <w:t>Deșeurile alimentare sunt de asemenea definite și reglementate în DCD. Deși o serie de măsuri individuale care pot contribui la reducerea deșeurilor alimentare sunt reglementate în legislația referitoare la funcționarea pieței alimentare, la siguranța alimentară sau la informarea consumatorilor cu privire la produsele alimentare de la nivelul Uniunii, cadrul legislativ general pentru prevenirea deșeurilor alimentare, inclusiv monitorizarea și raportarea celor generate și planificarea programelor naționale de prevenire a generării de deșeuri alimentare, face parte din DCD.</w:t>
      </w:r>
    </w:p>
    <w:p w14:paraId="7B7EA220" w14:textId="77777777" w:rsidR="00BD152F" w:rsidRPr="00D020C3" w:rsidRDefault="00BD152F" w:rsidP="00B00391">
      <w:pPr>
        <w:pStyle w:val="ManualHeading1"/>
        <w:rPr>
          <w:noProof/>
        </w:rPr>
      </w:pPr>
      <w:r w:rsidRPr="00D020C3">
        <w:rPr>
          <w:noProof/>
        </w:rPr>
        <w:t>3.</w:t>
      </w:r>
      <w:r w:rsidRPr="00D020C3">
        <w:rPr>
          <w:noProof/>
        </w:rPr>
        <w:tab/>
        <w:t>REZULTATELE EVALUĂRILOR EX POST, ALE CONSULTĂRILOR CU PĂRȚILE INTERESATE ȘI ALE EVALUĂRILOR IMPACTULUI</w:t>
      </w:r>
    </w:p>
    <w:p w14:paraId="441E98A4" w14:textId="77777777" w:rsidR="00263FCC" w:rsidRPr="00D020C3" w:rsidRDefault="00263FCC" w:rsidP="00263FCC">
      <w:pPr>
        <w:pStyle w:val="ManualHeading2"/>
        <w:rPr>
          <w:rFonts w:eastAsia="Arial Unicode MS"/>
          <w:noProof/>
          <w:u w:color="000000"/>
          <w:bdr w:val="nil"/>
        </w:rPr>
      </w:pPr>
      <w:r w:rsidRPr="00D020C3">
        <w:rPr>
          <w:noProof/>
          <w:u w:color="000000"/>
          <w:bdr w:val="nil"/>
        </w:rPr>
        <w:t>•</w:t>
      </w:r>
      <w:r w:rsidRPr="00D020C3">
        <w:rPr>
          <w:noProof/>
        </w:rPr>
        <w:tab/>
      </w:r>
      <w:r w:rsidRPr="00D020C3">
        <w:rPr>
          <w:noProof/>
          <w:u w:color="000000"/>
          <w:bdr w:val="nil"/>
        </w:rPr>
        <w:t xml:space="preserve">Evaluările </w:t>
      </w:r>
      <w:r w:rsidRPr="008D4D1E">
        <w:rPr>
          <w:i/>
          <w:noProof/>
          <w:u w:color="000000"/>
          <w:bdr w:val="nil"/>
        </w:rPr>
        <w:t>ex post</w:t>
      </w:r>
    </w:p>
    <w:p w14:paraId="64D29E86" w14:textId="38F79F28" w:rsidR="00263FCC" w:rsidRPr="00D96C74" w:rsidRDefault="00263FCC" w:rsidP="00E50A7A">
      <w:pPr>
        <w:pStyle w:val="Text1"/>
        <w:ind w:left="0"/>
        <w:rPr>
          <w:noProof/>
        </w:rPr>
      </w:pPr>
      <w:r w:rsidRPr="00D96C74">
        <w:rPr>
          <w:noProof/>
        </w:rPr>
        <w:t xml:space="preserve">Nu au fost efectuate evaluări </w:t>
      </w:r>
      <w:r w:rsidRPr="008D4D1E">
        <w:rPr>
          <w:i/>
          <w:noProof/>
        </w:rPr>
        <w:t>ex post</w:t>
      </w:r>
      <w:r w:rsidRPr="00D96C74">
        <w:rPr>
          <w:noProof/>
        </w:rPr>
        <w:t xml:space="preserve">, deoarece ultima modificare a DCD a avut loc abia în </w:t>
      </w:r>
      <w:r w:rsidRPr="00D020C3">
        <w:rPr>
          <w:noProof/>
        </w:rPr>
        <w:t>2018</w:t>
      </w:r>
      <w:r w:rsidRPr="00D96C74">
        <w:rPr>
          <w:noProof/>
        </w:rPr>
        <w:t xml:space="preserve">. Prin urmare, ar fi fost prematur să se realizeze o evaluare </w:t>
      </w:r>
      <w:r w:rsidRPr="008D4D1E">
        <w:rPr>
          <w:i/>
          <w:noProof/>
        </w:rPr>
        <w:t>ex post</w:t>
      </w:r>
      <w:r w:rsidRPr="00D96C74">
        <w:rPr>
          <w:noProof/>
        </w:rPr>
        <w:t xml:space="preserve"> a modificărilor recente care nu au produs încă efecte depline. În plus, DCD prevede clauze specifice de reexaminare pentru anumite fluxuri de deșeuri, care ar conduce la analize ale impactului dispozițiilor actuale.</w:t>
      </w:r>
    </w:p>
    <w:p w14:paraId="7F185770" w14:textId="77777777" w:rsidR="00263FCC" w:rsidRPr="00D020C3" w:rsidRDefault="00263FCC" w:rsidP="00263FCC">
      <w:pPr>
        <w:pStyle w:val="ManualHeading2"/>
        <w:rPr>
          <w:rFonts w:eastAsia="Arial Unicode MS"/>
          <w:noProof/>
          <w:u w:color="000000"/>
          <w:bdr w:val="nil"/>
        </w:rPr>
      </w:pPr>
      <w:r w:rsidRPr="00D020C3">
        <w:rPr>
          <w:noProof/>
          <w:u w:color="000000"/>
          <w:bdr w:val="nil"/>
        </w:rPr>
        <w:t>•</w:t>
      </w:r>
      <w:r w:rsidRPr="00D020C3">
        <w:rPr>
          <w:noProof/>
        </w:rPr>
        <w:tab/>
      </w:r>
      <w:r w:rsidRPr="00D020C3">
        <w:rPr>
          <w:noProof/>
          <w:u w:color="000000"/>
          <w:bdr w:val="nil"/>
        </w:rPr>
        <w:t>Consultările cu părțile interesate</w:t>
      </w:r>
    </w:p>
    <w:p w14:paraId="63DF5EF1" w14:textId="0EA1A1AB" w:rsidR="00F71DC5" w:rsidRPr="00D96C74" w:rsidRDefault="00F71DC5" w:rsidP="00F71DC5">
      <w:pPr>
        <w:pBdr>
          <w:top w:val="nil"/>
          <w:left w:val="nil"/>
          <w:bottom w:val="nil"/>
          <w:right w:val="nil"/>
          <w:between w:val="nil"/>
          <w:bar w:val="nil"/>
        </w:pBdr>
        <w:spacing w:before="0" w:after="240"/>
        <w:rPr>
          <w:rFonts w:eastAsia="Arial Unicode MS"/>
          <w:noProof/>
        </w:rPr>
      </w:pPr>
      <w:r w:rsidRPr="00D96C74">
        <w:rPr>
          <w:noProof/>
        </w:rPr>
        <w:t>Metoda și strategia de consultare au fost prezentate în cererea de contribuții pentru o propunere privind „Impactul gestionării deșeurilor asupra mediului – revizuirea cadrului UE privind deșeurile”</w:t>
      </w:r>
      <w:r w:rsidRPr="00D96C74">
        <w:rPr>
          <w:rStyle w:val="FootnoteReference"/>
          <w:rFonts w:eastAsia="Arial Unicode MS"/>
          <w:noProof/>
        </w:rPr>
        <w:footnoteReference w:id="56"/>
      </w:r>
      <w:r w:rsidRPr="00D96C74">
        <w:rPr>
          <w:noProof/>
        </w:rPr>
        <w:t xml:space="preserve"> și în evaluarea inițială a impactului „Propunerii de revizuire a Directivei </w:t>
      </w:r>
      <w:r w:rsidRPr="00D020C3">
        <w:rPr>
          <w:noProof/>
        </w:rPr>
        <w:t>2008</w:t>
      </w:r>
      <w:r w:rsidRPr="00D96C74">
        <w:rPr>
          <w:noProof/>
        </w:rPr>
        <w:t>/</w:t>
      </w:r>
      <w:r w:rsidRPr="00D020C3">
        <w:rPr>
          <w:noProof/>
        </w:rPr>
        <w:t>98</w:t>
      </w:r>
      <w:r w:rsidRPr="00D96C74">
        <w:rPr>
          <w:noProof/>
        </w:rPr>
        <w:t>/CE privind deșeurile – partea referitoare la obiectivul de reducere a deșeurilor alimentare”</w:t>
      </w:r>
      <w:r w:rsidRPr="00D96C74">
        <w:rPr>
          <w:rStyle w:val="FootnoteReference"/>
          <w:rFonts w:eastAsia="Arial Unicode MS"/>
          <w:noProof/>
        </w:rPr>
        <w:footnoteReference w:id="57"/>
      </w:r>
      <w:r w:rsidRPr="00D96C74">
        <w:rPr>
          <w:noProof/>
        </w:rPr>
        <w:t xml:space="preserve">. Având în vedere că cele două propuneri vizează modificarea aceluiași act juridic în baza aceluiași temei juridic, s-a decis fuzionarea lor. În consecință, consultarea publică deschisă desfășurată în perioada mai-august </w:t>
      </w:r>
      <w:r w:rsidRPr="00D020C3">
        <w:rPr>
          <w:noProof/>
        </w:rPr>
        <w:t>2022</w:t>
      </w:r>
      <w:r w:rsidRPr="00D96C74">
        <w:rPr>
          <w:noProof/>
        </w:rPr>
        <w:t xml:space="preserve"> a vizat ambele fluxuri de deșeuri.</w:t>
      </w:r>
    </w:p>
    <w:p w14:paraId="0B4A3C1D" w14:textId="77777777" w:rsidR="00373564" w:rsidRPr="008D4D1E" w:rsidRDefault="00373564" w:rsidP="00373564">
      <w:pPr>
        <w:pBdr>
          <w:top w:val="nil"/>
          <w:left w:val="nil"/>
          <w:bottom w:val="nil"/>
          <w:right w:val="nil"/>
          <w:between w:val="nil"/>
          <w:bar w:val="nil"/>
        </w:pBdr>
        <w:spacing w:before="0" w:after="240"/>
        <w:rPr>
          <w:rFonts w:eastAsia="Arial Unicode MS"/>
          <w:i/>
          <w:iCs/>
          <w:noProof/>
        </w:rPr>
      </w:pPr>
      <w:r w:rsidRPr="008D4D1E">
        <w:rPr>
          <w:i/>
          <w:noProof/>
        </w:rPr>
        <w:t>Deșeurile textile</w:t>
      </w:r>
    </w:p>
    <w:p w14:paraId="39F0E1FA" w14:textId="77777777" w:rsidR="00F71DC5" w:rsidRPr="00D96C74" w:rsidRDefault="00316DF1" w:rsidP="00F71DC5">
      <w:pPr>
        <w:pBdr>
          <w:top w:val="nil"/>
          <w:left w:val="nil"/>
          <w:bottom w:val="nil"/>
          <w:right w:val="nil"/>
          <w:between w:val="nil"/>
          <w:bar w:val="nil"/>
        </w:pBdr>
        <w:spacing w:before="0" w:after="240"/>
        <w:rPr>
          <w:rFonts w:eastAsia="Arial Unicode MS"/>
          <w:noProof/>
        </w:rPr>
      </w:pPr>
      <w:r w:rsidRPr="00D96C74">
        <w:rPr>
          <w:noProof/>
        </w:rPr>
        <w:t xml:space="preserve">În cadrul cererii de contribuții, Comisia a primit </w:t>
      </w:r>
      <w:r w:rsidRPr="00D020C3">
        <w:rPr>
          <w:noProof/>
        </w:rPr>
        <w:t>197</w:t>
      </w:r>
      <w:r w:rsidRPr="00D96C74">
        <w:rPr>
          <w:rStyle w:val="FootnoteReference"/>
          <w:rFonts w:eastAsia="Arial Unicode MS"/>
          <w:noProof/>
        </w:rPr>
        <w:footnoteReference w:id="58"/>
      </w:r>
      <w:r w:rsidRPr="00D96C74">
        <w:rPr>
          <w:noProof/>
        </w:rPr>
        <w:t xml:space="preserve"> de răspunsuri. Respondenții proveneau din </w:t>
      </w:r>
      <w:r w:rsidRPr="00D020C3">
        <w:rPr>
          <w:noProof/>
        </w:rPr>
        <w:t>25</w:t>
      </w:r>
      <w:r w:rsidRPr="00D96C74">
        <w:rPr>
          <w:noProof/>
        </w:rPr>
        <w:t xml:space="preserve"> de țări diferite, inclusiv patru țări din afara UE: </w:t>
      </w:r>
      <w:r w:rsidRPr="00D020C3">
        <w:rPr>
          <w:noProof/>
        </w:rPr>
        <w:t>65</w:t>
      </w:r>
      <w:r w:rsidRPr="00D96C74">
        <w:rPr>
          <w:noProof/>
        </w:rPr>
        <w:t xml:space="preserve"> din Belgia, reflectând numărul de asociații profesionale și de organizații neguvernamentale (ONG-uri) din această țară, </w:t>
      </w:r>
      <w:r w:rsidRPr="00D020C3">
        <w:rPr>
          <w:noProof/>
        </w:rPr>
        <w:t>23</w:t>
      </w:r>
      <w:r w:rsidRPr="00D96C74">
        <w:rPr>
          <w:noProof/>
        </w:rPr>
        <w:t xml:space="preserve"> din Germania, </w:t>
      </w:r>
      <w:r w:rsidRPr="00D020C3">
        <w:rPr>
          <w:noProof/>
        </w:rPr>
        <w:t>16</w:t>
      </w:r>
      <w:r w:rsidRPr="00D96C74">
        <w:rPr>
          <w:noProof/>
        </w:rPr>
        <w:t xml:space="preserve"> din Franța, </w:t>
      </w:r>
      <w:r w:rsidRPr="00D020C3">
        <w:rPr>
          <w:noProof/>
        </w:rPr>
        <w:t>14</w:t>
      </w:r>
      <w:r w:rsidRPr="00D96C74">
        <w:rPr>
          <w:noProof/>
        </w:rPr>
        <w:t xml:space="preserve"> din Țările de Jos și </w:t>
      </w:r>
      <w:r w:rsidRPr="00D020C3">
        <w:rPr>
          <w:noProof/>
        </w:rPr>
        <w:t>12</w:t>
      </w:r>
      <w:r w:rsidRPr="00D96C74">
        <w:rPr>
          <w:noProof/>
        </w:rPr>
        <w:t xml:space="preserve"> din Italia. </w:t>
      </w:r>
    </w:p>
    <w:p w14:paraId="691A0B8F" w14:textId="77777777" w:rsidR="00C309FA" w:rsidRPr="00D96C74" w:rsidRDefault="00C309FA" w:rsidP="072CAFB5">
      <w:pPr>
        <w:pBdr>
          <w:top w:val="nil"/>
          <w:left w:val="nil"/>
          <w:bottom w:val="nil"/>
          <w:right w:val="nil"/>
          <w:between w:val="nil"/>
          <w:bar w:val="nil"/>
        </w:pBdr>
        <w:spacing w:before="0" w:after="240"/>
        <w:rPr>
          <w:rFonts w:eastAsia="Arial Unicode MS"/>
          <w:noProof/>
        </w:rPr>
      </w:pPr>
      <w:r w:rsidRPr="00D96C74">
        <w:rPr>
          <w:noProof/>
        </w:rPr>
        <w:t>Rezultatele consultării au indicat o susținere generală a necesității de a îmbunătăți gestionarea textilelor în conformitate cu ierarhia deșeurilor, lansându-se apelul de a adopta măsuri normative care să abordeze disfuncționalitățile actuale ale pieței, care favorizează eliminarea deșeurilor. Introducerea schemelor de răspundere extinsă a producătorilor în conformitate cu principiul „poluatorul plătește” s-a bucurat de o susținere generală, inclusiv din partea industriei afectate. Aceasta a fost însă însoțită și de apeluri ferme la o armonizare cât mai mare pentru a limita impactul asupra industriei, care este dominată de IMM-uri, în special pentru a asigura coerența deplină cu cerințele în materie de proiectare ecologică pentru produsele textile prevăzute în RPEPS atunci când se pun în aplicare cerințele REP privind modularea taxelor. Reprezentanții industriei reciclării au reamintit că sistemele de reciclare a textilelor asociate acestei industrii necesită perioade de tranziție adecvate pentru a se asigura capacitatea de reciclare și sisteme de asigurare a calității materiei prime. Modul în care sunt proiectate în prezent articolele de îmbrăcăminte, cu o compoziție mixtă de fibre, reprezintă o provocare din punctul de vedere al reciclării, din cauza lipsei tehnologiilor de sortare automată și a capacităților necesare pentru a pregăti materiile prime în vederea reciclării. Părțile interesate din domeniul reutilizării și al ONG-urilor au atras atenția asupra datelor factuale care indică faptul că îmbrăcămintea de ocazie contribuie la reducerea deșeurilor textile, iar colectarea separată a textilelor uzate, nu doar a deșeurilor textile, este esențială pentru a asigura reutilizarea. Reprezentanții industriei textile au evidențiat de asemenea beneficiile socioeconomice și de mediu ale modelelor de afaceri circulare, cum ar fi închirierea de textile pentru a prelungi durata de viață a textilelor în comparație cu textilele aflate în posesie proprie. Părțile interesate din diferite grupuri de părți interesate au subliniat importanța asigurării unei aplicări armonizate în cazul deșeurilor textile și al textilelor uzate, pentru a facilita circulația transfrontalieră a acestor materiale și a combate orice expediere ilegală de deșeuri deghizată în transport de produse uzate, în primul rând pentru a răspunde îngrijorărilor exprimate de unele părți interesate cu privire la tratarea ecologică a textilelor uzate și a deșeurilor textile exportate, în special a celor nesortate. Din partea unui grup larg de părți interesate s-au primit solicitări ferme similare cu privire la necesitatea de a armoniza definițiile produselor textile și ale produselor care fac obiectul răspunderii extinse a producătorilor, precum și caracteristicile esențiale ale acesteia, în special pentru a reduce riscul de fragmentare legislativă și a pieței, precum și sarcina administrativă, având în vedere că mai multe țări au în vedere introducerea unor scheme de răspundere extinsă a producătorilor. </w:t>
      </w:r>
    </w:p>
    <w:p w14:paraId="273A61B0" w14:textId="1D88A439" w:rsidR="00F71DC5" w:rsidRPr="00D96C74" w:rsidRDefault="00F71DC5" w:rsidP="00F71DC5">
      <w:pPr>
        <w:pBdr>
          <w:top w:val="nil"/>
          <w:left w:val="nil"/>
          <w:bottom w:val="nil"/>
          <w:right w:val="nil"/>
          <w:between w:val="nil"/>
          <w:bar w:val="nil"/>
        </w:pBdr>
        <w:spacing w:before="0" w:after="240"/>
        <w:rPr>
          <w:rFonts w:eastAsia="Arial Unicode MS"/>
          <w:noProof/>
        </w:rPr>
      </w:pPr>
      <w:r w:rsidRPr="00D96C74">
        <w:rPr>
          <w:noProof/>
        </w:rPr>
        <w:t xml:space="preserve">În perioada </w:t>
      </w:r>
      <w:r w:rsidRPr="00D020C3">
        <w:rPr>
          <w:noProof/>
        </w:rPr>
        <w:t>24</w:t>
      </w:r>
      <w:r w:rsidRPr="00D96C74">
        <w:rPr>
          <w:noProof/>
        </w:rPr>
        <w:t xml:space="preserve"> mai </w:t>
      </w:r>
      <w:r w:rsidRPr="00D020C3">
        <w:rPr>
          <w:noProof/>
        </w:rPr>
        <w:t>2022</w:t>
      </w:r>
      <w:r w:rsidRPr="00D96C74">
        <w:rPr>
          <w:noProof/>
        </w:rPr>
        <w:t>-</w:t>
      </w:r>
      <w:r w:rsidRPr="00D020C3">
        <w:rPr>
          <w:noProof/>
        </w:rPr>
        <w:t>24</w:t>
      </w:r>
      <w:r w:rsidRPr="00D96C74">
        <w:rPr>
          <w:noProof/>
        </w:rPr>
        <w:t xml:space="preserve"> august </w:t>
      </w:r>
      <w:r w:rsidRPr="00D020C3">
        <w:rPr>
          <w:noProof/>
        </w:rPr>
        <w:t>2022</w:t>
      </w:r>
      <w:r w:rsidRPr="00D96C74">
        <w:rPr>
          <w:noProof/>
        </w:rPr>
        <w:t xml:space="preserve"> a fost deschisă o consultare publică în vederea obținerii unei baze de date factuale suplimentare cu privire la situația de referință, a solicitării de opinii și informații cu privire la problemele legate de deșeurile textile, la fezabilitatea și la posibilele impacturi ale acțiunilor alternative, precum și în vederea colectării de exemple de bune practici și de opinii cu privire la subsidiaritatea acțiunilor posibile. S-au primit în total </w:t>
      </w:r>
      <w:r w:rsidRPr="00D020C3">
        <w:rPr>
          <w:noProof/>
        </w:rPr>
        <w:t>731</w:t>
      </w:r>
      <w:r w:rsidRPr="00D96C74">
        <w:rPr>
          <w:noProof/>
        </w:rPr>
        <w:t xml:space="preserve"> de răspunsuri valabile</w:t>
      </w:r>
      <w:r w:rsidRPr="00D96C74">
        <w:rPr>
          <w:rStyle w:val="FootnoteReference"/>
          <w:rFonts w:eastAsia="Arial Unicode MS"/>
          <w:noProof/>
        </w:rPr>
        <w:footnoteReference w:id="59"/>
      </w:r>
      <w:r w:rsidRPr="00D96C74">
        <w:rPr>
          <w:noProof/>
        </w:rPr>
        <w:t xml:space="preserve">. În plus, </w:t>
      </w:r>
      <w:r w:rsidRPr="00D020C3">
        <w:rPr>
          <w:noProof/>
        </w:rPr>
        <w:t>207</w:t>
      </w:r>
      <w:r w:rsidRPr="00D96C74">
        <w:rPr>
          <w:noProof/>
        </w:rPr>
        <w:t xml:space="preserve"> respondenți au transmis contribuții scrise. Respondenții au fost în cea mai mare parte organizații patronale/de întreprinderi și asociații de întreprinderi (</w:t>
      </w:r>
      <w:r w:rsidRPr="00D020C3">
        <w:rPr>
          <w:noProof/>
        </w:rPr>
        <w:t>40</w:t>
      </w:r>
      <w:r w:rsidRPr="00D96C74">
        <w:rPr>
          <w:noProof/>
        </w:rPr>
        <w:t xml:space="preserve"> %, </w:t>
      </w:r>
      <w:r w:rsidRPr="00D020C3">
        <w:rPr>
          <w:noProof/>
        </w:rPr>
        <w:t>299</w:t>
      </w:r>
      <w:r w:rsidRPr="00D96C74">
        <w:rPr>
          <w:noProof/>
        </w:rPr>
        <w:t xml:space="preserve"> de răspunsuri) și cetățeni ai UE (</w:t>
      </w:r>
      <w:r w:rsidRPr="00D020C3">
        <w:rPr>
          <w:noProof/>
        </w:rPr>
        <w:t>36</w:t>
      </w:r>
      <w:r w:rsidRPr="00D96C74">
        <w:rPr>
          <w:noProof/>
        </w:rPr>
        <w:t xml:space="preserve"> %, </w:t>
      </w:r>
      <w:r w:rsidRPr="00D020C3">
        <w:rPr>
          <w:noProof/>
        </w:rPr>
        <w:t>255</w:t>
      </w:r>
      <w:r w:rsidRPr="00D96C74">
        <w:rPr>
          <w:noProof/>
        </w:rPr>
        <w:t xml:space="preserve"> de răspunsuri). </w:t>
      </w:r>
      <w:r w:rsidRPr="00D020C3">
        <w:rPr>
          <w:noProof/>
        </w:rPr>
        <w:t>94</w:t>
      </w:r>
      <w:r w:rsidRPr="00D96C74">
        <w:rPr>
          <w:noProof/>
        </w:rPr>
        <w:t> % dintre respondenți (</w:t>
      </w:r>
      <w:r w:rsidRPr="00D020C3">
        <w:rPr>
          <w:noProof/>
        </w:rPr>
        <w:t>693</w:t>
      </w:r>
      <w:r w:rsidRPr="00D96C74">
        <w:rPr>
          <w:noProof/>
        </w:rPr>
        <w:t xml:space="preserve"> de răspunsuri) provin din UE, majoritatea fiind din Belgia (</w:t>
      </w:r>
      <w:r w:rsidRPr="00D020C3">
        <w:rPr>
          <w:noProof/>
        </w:rPr>
        <w:t>16</w:t>
      </w:r>
      <w:r w:rsidRPr="00D96C74">
        <w:rPr>
          <w:noProof/>
        </w:rPr>
        <w:t xml:space="preserve"> %, </w:t>
      </w:r>
      <w:r w:rsidRPr="00D020C3">
        <w:rPr>
          <w:noProof/>
        </w:rPr>
        <w:t>119</w:t>
      </w:r>
      <w:r w:rsidR="00D020C3">
        <w:rPr>
          <w:noProof/>
        </w:rPr>
        <w:t> </w:t>
      </w:r>
      <w:r w:rsidRPr="00D96C74">
        <w:rPr>
          <w:noProof/>
        </w:rPr>
        <w:t>răspunsuri)</w:t>
      </w:r>
      <w:r w:rsidRPr="00D96C74">
        <w:rPr>
          <w:rStyle w:val="FootnoteReference"/>
          <w:rFonts w:eastAsia="Arial Unicode MS"/>
          <w:noProof/>
        </w:rPr>
        <w:footnoteReference w:id="60"/>
      </w:r>
      <w:r w:rsidRPr="00D96C74">
        <w:rPr>
          <w:noProof/>
        </w:rPr>
        <w:t>, Germania (</w:t>
      </w:r>
      <w:r w:rsidRPr="00D020C3">
        <w:rPr>
          <w:noProof/>
        </w:rPr>
        <w:t>13</w:t>
      </w:r>
      <w:r w:rsidRPr="00D96C74">
        <w:rPr>
          <w:noProof/>
        </w:rPr>
        <w:t xml:space="preserve"> %, </w:t>
      </w:r>
      <w:r w:rsidRPr="00D020C3">
        <w:rPr>
          <w:noProof/>
        </w:rPr>
        <w:t>96</w:t>
      </w:r>
      <w:r w:rsidRPr="00D96C74">
        <w:rPr>
          <w:noProof/>
        </w:rPr>
        <w:t xml:space="preserve"> de răspunsuri), Italia (</w:t>
      </w:r>
      <w:r w:rsidRPr="00D020C3">
        <w:rPr>
          <w:noProof/>
        </w:rPr>
        <w:t>11</w:t>
      </w:r>
      <w:r w:rsidRPr="00D96C74">
        <w:rPr>
          <w:noProof/>
        </w:rPr>
        <w:t xml:space="preserve"> %, </w:t>
      </w:r>
      <w:r w:rsidRPr="00D020C3">
        <w:rPr>
          <w:noProof/>
        </w:rPr>
        <w:t>82</w:t>
      </w:r>
      <w:r w:rsidRPr="00D96C74">
        <w:rPr>
          <w:noProof/>
        </w:rPr>
        <w:t xml:space="preserve"> de răspunsuri) și Franța (</w:t>
      </w:r>
      <w:r w:rsidRPr="00D020C3">
        <w:rPr>
          <w:noProof/>
        </w:rPr>
        <w:t>8</w:t>
      </w:r>
      <w:r w:rsidRPr="00D96C74">
        <w:rPr>
          <w:noProof/>
        </w:rPr>
        <w:t xml:space="preserve"> %, </w:t>
      </w:r>
      <w:r w:rsidRPr="00D020C3">
        <w:rPr>
          <w:noProof/>
        </w:rPr>
        <w:t>63</w:t>
      </w:r>
      <w:r w:rsidRPr="00D96C74">
        <w:rPr>
          <w:noProof/>
        </w:rPr>
        <w:t xml:space="preserve"> de răspunsuri). </w:t>
      </w:r>
    </w:p>
    <w:p w14:paraId="05C276A1" w14:textId="0A361A64" w:rsidR="00F71DC5" w:rsidRPr="00D96C74" w:rsidRDefault="00F71DC5" w:rsidP="00F71DC5">
      <w:pPr>
        <w:pBdr>
          <w:top w:val="nil"/>
          <w:left w:val="nil"/>
          <w:bottom w:val="nil"/>
          <w:right w:val="nil"/>
          <w:between w:val="nil"/>
          <w:bar w:val="nil"/>
        </w:pBdr>
        <w:spacing w:before="0" w:after="240"/>
        <w:rPr>
          <w:rFonts w:eastAsia="Arial Unicode MS"/>
          <w:noProof/>
        </w:rPr>
      </w:pPr>
      <w:r w:rsidRPr="00D96C74">
        <w:rPr>
          <w:noProof/>
        </w:rPr>
        <w:t xml:space="preserve">Este important de subliniat că deșeurile textile reprezintă tipul de deșeuri de care respondenții consultați sunt cel mai puțin îngrijorați, fiind menționate ca sursă de îngrijorare doar de către </w:t>
      </w:r>
      <w:r w:rsidRPr="00D020C3">
        <w:rPr>
          <w:noProof/>
        </w:rPr>
        <w:t>63</w:t>
      </w:r>
      <w:r w:rsidRPr="00D96C74">
        <w:rPr>
          <w:noProof/>
        </w:rPr>
        <w:t xml:space="preserve"> % dintre întreprinderile și asociațiile de întreprinderi. Celelalte părți interesate (cetățeni ai UE, ONG-uri și autorități publice) au manifestat un nivel mai ridicat de îngrijorare în această privință. Mai mult de jumătate dintre respondenți au indicat că sunt de acord sau întru totul de acord cu afirmația potrivit căreia participă la colectarea separată a deșeurilor textile, existând diferențe între rezultate în funcție de grupul de părți interesate de care aparțineau. În ceea ce privește colectarea deșeurilor textile, cetățenii UE s-au aflat pe primul lor, urmați de autoritățile publice; ultimele poziții erau ocupate de ONG-uri, de întreprinderi și de asociațiile de întreprinderi. Cu toate acestea, doar </w:t>
      </w:r>
      <w:r w:rsidRPr="00D020C3">
        <w:rPr>
          <w:noProof/>
        </w:rPr>
        <w:t>40</w:t>
      </w:r>
      <w:r w:rsidRPr="00D96C74">
        <w:rPr>
          <w:noProof/>
        </w:rPr>
        <w:t xml:space="preserve"> % dintre autoritățile publice, </w:t>
      </w:r>
      <w:r w:rsidRPr="00D020C3">
        <w:rPr>
          <w:noProof/>
        </w:rPr>
        <w:t>32</w:t>
      </w:r>
      <w:r w:rsidRPr="00D96C74">
        <w:rPr>
          <w:noProof/>
        </w:rPr>
        <w:t xml:space="preserve"> % dintre întreprinderi și asociațiile de întreprinderi, </w:t>
      </w:r>
      <w:r w:rsidRPr="00D020C3">
        <w:rPr>
          <w:noProof/>
        </w:rPr>
        <w:t>28</w:t>
      </w:r>
      <w:r w:rsidRPr="00D96C74">
        <w:rPr>
          <w:noProof/>
        </w:rPr>
        <w:t xml:space="preserve"> % dintre cetățenii UE și </w:t>
      </w:r>
      <w:r w:rsidRPr="00D020C3">
        <w:rPr>
          <w:noProof/>
        </w:rPr>
        <w:t>24</w:t>
      </w:r>
      <w:r w:rsidRPr="00D96C74">
        <w:rPr>
          <w:noProof/>
        </w:rPr>
        <w:t> % dintre ONG-uri s</w:t>
      </w:r>
      <w:r w:rsidR="00D020C3">
        <w:rPr>
          <w:noProof/>
        </w:rPr>
        <w:t>­</w:t>
      </w:r>
      <w:r w:rsidRPr="00D96C74">
        <w:rPr>
          <w:noProof/>
        </w:rPr>
        <w:t>au declarat de acord sau întru totul de acord (</w:t>
      </w:r>
      <w:r w:rsidRPr="00D020C3">
        <w:rPr>
          <w:noProof/>
        </w:rPr>
        <w:t>221</w:t>
      </w:r>
      <w:r w:rsidRPr="00D96C74">
        <w:rPr>
          <w:noProof/>
        </w:rPr>
        <w:t xml:space="preserve"> de răspunsuri) cu afirmația că sunt mulțumite de sistemul de colectare a deșeurilor textile existent în locul în care locuiesc. </w:t>
      </w:r>
    </w:p>
    <w:p w14:paraId="104DC23A" w14:textId="77777777" w:rsidR="00670084" w:rsidRPr="00D96C74" w:rsidRDefault="00670084" w:rsidP="072CAFB5">
      <w:pPr>
        <w:pBdr>
          <w:top w:val="nil"/>
          <w:left w:val="nil"/>
          <w:bottom w:val="nil"/>
          <w:right w:val="nil"/>
          <w:between w:val="nil"/>
          <w:bar w:val="nil"/>
        </w:pBdr>
        <w:spacing w:before="0" w:after="240"/>
        <w:rPr>
          <w:rFonts w:eastAsia="Arial Unicode MS"/>
          <w:noProof/>
        </w:rPr>
      </w:pPr>
      <w:r w:rsidRPr="00D96C74">
        <w:rPr>
          <w:noProof/>
        </w:rPr>
        <w:t xml:space="preserve">Subiectul deșeurilor textile a fost discutat în aproape </w:t>
      </w:r>
      <w:r w:rsidRPr="00D020C3">
        <w:rPr>
          <w:noProof/>
        </w:rPr>
        <w:t>30</w:t>
      </w:r>
      <w:r w:rsidRPr="00D96C74">
        <w:rPr>
          <w:noProof/>
        </w:rPr>
        <w:t xml:space="preserve"> de documente de poziție, dintre care aproximativ jumătate au provenit de la IMM-uri sau de la organizații reprezentative pentru IMM-uri. IMM-urile au atras atenția asupra faptului că, în prezent, nu există niciun plan pe scară largă de prelucrare a deșeurilor textile. Ele au subliniat necesitatea de a promova textile durabile și de înaltă calitate, de a îmbunătăți reutilizarea acestora, de a le pregăti pentru reutilizare ori de câte ori este posibil și de a extinde infrastructura suficient pentru a face posibilă sortarea în vederea reutilizării, a reciclării și a prelucrării. IMM-urile au recomandat, de asemenea, realizarea de modificări în modul de proiectare și în modelele de consum ale textilelor, precum și reducerea cantității de deșeuri textile prin politici ambițioase în materie de deșeuri. Aceleași puncte de vedere privind durabilitatea și reutilizarea textilelor, precum și privind capacitatea de sortare și reciclare au fost exprimate și de industria reciclării, care a precizat la rândul său că ar trebui dezvoltate lanțuri valorice circulare și sociale ale textilelor.  </w:t>
      </w:r>
    </w:p>
    <w:p w14:paraId="1220E657" w14:textId="77777777" w:rsidR="00670084" w:rsidRPr="00D96C74" w:rsidRDefault="00670084" w:rsidP="072CAFB5">
      <w:pPr>
        <w:pBdr>
          <w:top w:val="nil"/>
          <w:left w:val="nil"/>
          <w:bottom w:val="nil"/>
          <w:right w:val="nil"/>
          <w:between w:val="nil"/>
          <w:bar w:val="nil"/>
        </w:pBdr>
        <w:spacing w:before="0" w:after="240"/>
        <w:rPr>
          <w:rFonts w:eastAsia="Arial Unicode MS"/>
          <w:noProof/>
        </w:rPr>
      </w:pPr>
      <w:r w:rsidRPr="00D96C74">
        <w:rPr>
          <w:noProof/>
        </w:rPr>
        <w:t>Printre recomandări au fost menționate necesitatea de a stabili obiective cantitative privind reutilizarea și pregătirea pentru reutilizare și de a îmbunătăți sistemele de colectare separată. IMM-urile au semnalat că schemele de răspundere extinsă a producătorilor ar trebui să asigure respectarea ierarhiei deșeurilor prin stabilirea unor obiective cantitative în ceea ce privește prevenirea generării de deșeuri și pregătirea pentru reutilizare, să asigure modularea ecologică a taxelor și concurența loială pe piețele reciclării, asigurând accesul la fluxul de deșeuri al operatorilor care le pregătesc pentru reutilizare, și totodată să implice întreprinderile sociale, ca părți interesate esențiale, în dezvoltarea, guvernanța și funcționarea acestor scheme. De asemenea, ele au pledat pentru coerența cu alte inițiative de reglementare, cum ar fi RPEPS și RED, și pentru armonizarea criteriilor privind încetarea statutului de deșeu existente la nivelul UE, aspect care a fost susținut și de industria reciclării. IMM-urile au subliniat, de asemenea, că este nevoie de orientări pentru a realiza niveluri ridicate de colectare separată a textilelor și că sortarea și prelucrarea prealabilă a fibrelor mature sunt esențiale pentru extinderea reciclării deșeurilor postconsum. Unele documente de poziție au în vedere o definiție armonizată a deșeurilor textile. </w:t>
      </w:r>
    </w:p>
    <w:p w14:paraId="13316516" w14:textId="47EE0B40" w:rsidR="00DA30E3" w:rsidRPr="00D96C74" w:rsidRDefault="00DA30E3" w:rsidP="00DA30E3">
      <w:pPr>
        <w:pBdr>
          <w:top w:val="nil"/>
          <w:left w:val="nil"/>
          <w:bottom w:val="nil"/>
          <w:right w:val="nil"/>
          <w:between w:val="nil"/>
          <w:bar w:val="nil"/>
        </w:pBdr>
        <w:spacing w:before="0" w:after="240"/>
        <w:rPr>
          <w:rFonts w:eastAsia="Arial Unicode MS"/>
          <w:noProof/>
        </w:rPr>
      </w:pPr>
      <w:r w:rsidRPr="00D96C74">
        <w:rPr>
          <w:noProof/>
        </w:rPr>
        <w:t xml:space="preserve">În plus, au fost realizate și interviuri cu părțile interesate. În aprilie și mai </w:t>
      </w:r>
      <w:r w:rsidRPr="00D020C3">
        <w:rPr>
          <w:noProof/>
        </w:rPr>
        <w:t>2022</w:t>
      </w:r>
      <w:r w:rsidRPr="00D96C74">
        <w:rPr>
          <w:noProof/>
        </w:rPr>
        <w:t xml:space="preserve"> au fost organizate interviuri cu o serie de părți interesate selectate din toate grupurile de părți interesate, care s-au axat mai întâi pe un domeniu de aplicare mai larg, iar apoi s-au concentrat pe textilele uzate și pe deșeurile textile. Au avut loc douăzeci și șapte de interviuri individuale și de grup care au vizat identificarea problemelor, anvergura obiectivelor urmărite și obținerea de date factuale cu privire la impactul opțiunilor și al măsurilor. Potrivit părților interesate, un cadru de răspundere extinsă a producătorilor la nivelul UE ar trebui să includă elemente specifice pentru a fi eficient. Măsurile privind reutilizarea, repararea și colectarea separată trebuie să includă obiective obligatorii, a căror respectare poate fi monitorizată, pentru a impulsiona producătorii să facă tranziția către circularitate. În ceea ce privește domeniul de aplicare al inițiativei, unele părți interesate au sugerat să facă obiectul colectării și deșeurile textile generate de gospodării și de utilizatorii profesioniști care sunt comparabile cu textilele gospodăriilor, cum ar fi îmbrăcămintea, textilele de uz casnic și de interior, sacoșele textile și accesoriile textile, însă au exprimat îndoieli cu privire la încălțăminte și la textilele tehnice. S-a sugerat, de asemenea, ca domeniul de aplicare să fie mai întâi unul restrâns, iar ulterior să se extindă odată ce va fi implementată infrastructura, și să se utilizeze codurile NC din Tariful vamal pentru a defini produsele textile vizate de schema de răspundere extinsă a producătorilor propusă.  </w:t>
      </w:r>
    </w:p>
    <w:p w14:paraId="68FFA96C" w14:textId="77777777" w:rsidR="00DA30E3" w:rsidRPr="00D96C74" w:rsidRDefault="00DA30E3" w:rsidP="00DA30E3">
      <w:pPr>
        <w:pBdr>
          <w:top w:val="nil"/>
          <w:left w:val="nil"/>
          <w:bottom w:val="nil"/>
          <w:right w:val="nil"/>
          <w:between w:val="nil"/>
          <w:bar w:val="nil"/>
        </w:pBdr>
        <w:spacing w:before="0" w:after="240"/>
        <w:rPr>
          <w:rFonts w:eastAsia="Arial Unicode MS"/>
          <w:noProof/>
        </w:rPr>
      </w:pPr>
      <w:r w:rsidRPr="00D96C74">
        <w:rPr>
          <w:noProof/>
        </w:rPr>
        <w:t>Părțile interesate au exprimat opinii diferite cu privire la chestiunea orientărilor. În ceea ce privește obiectivele, părțile interesate au recomandat să se elaboreze obiective al căror nivel de ambiție să crească treptat de-a lungul timpului, în funcție de nivelurile de consum, și să se stabilească obiective realizabile de reducere a cantității de resurse folosite în producția de textile, de exemplu prin stabilirea unui obiectiv privind conținutul reciclat. Ele au subliniat, de asemenea, că orice obiective ar trebui combinate cu extinderea tehnologiilor de reciclare în statele membre și că obiectivele în materie de reutilizare ar trebui să asigure faptul că reutilizarea are într-adevăr loc și au precizat că este important să se țină seama de faptul că obiectivele în materie de pregătire pentru reutilizare și reciclare a deșeurilor textile ar trebui să se bazeze pe ierarhia deșeurilor. </w:t>
      </w:r>
    </w:p>
    <w:p w14:paraId="3313896C" w14:textId="3FE8B8C2" w:rsidR="00EE1C98" w:rsidRPr="00D96C74" w:rsidRDefault="00EE1C98" w:rsidP="00EE1C98">
      <w:pPr>
        <w:pBdr>
          <w:top w:val="nil"/>
          <w:left w:val="nil"/>
          <w:bottom w:val="nil"/>
          <w:right w:val="nil"/>
          <w:between w:val="nil"/>
          <w:bar w:val="nil"/>
        </w:pBdr>
        <w:spacing w:before="0" w:after="240"/>
        <w:rPr>
          <w:rFonts w:eastAsia="Arial Unicode MS"/>
          <w:noProof/>
        </w:rPr>
      </w:pPr>
      <w:r w:rsidRPr="00D96C74">
        <w:rPr>
          <w:noProof/>
        </w:rPr>
        <w:t>Consultarea specifică privind textilele uzate și deșeurile textile a avut loc sub forma a patru ateliere virtuale cu părțile interesate, cu dezbateri atât la nivelul întregului grup, cât și la nivel de subgrupuri și cu folosirea de table de scris digitale.</w:t>
      </w:r>
      <w:r w:rsidR="00873632">
        <w:rPr>
          <w:noProof/>
        </w:rPr>
        <w:t xml:space="preserve"> </w:t>
      </w:r>
      <w:r w:rsidRPr="00D96C74">
        <w:rPr>
          <w:noProof/>
        </w:rPr>
        <w:t>În plus, pentru a obține date factuale mai specifice s-au organizat o reuniune a Grupului de experți privind DCD (statele membre), interviuri și o conferință privind viitorul Europei.  </w:t>
      </w:r>
    </w:p>
    <w:p w14:paraId="0F8BD160" w14:textId="77777777" w:rsidR="00851FD2" w:rsidRPr="00D96C74" w:rsidRDefault="00851FD2" w:rsidP="00851FD2">
      <w:pPr>
        <w:pBdr>
          <w:top w:val="nil"/>
          <w:left w:val="nil"/>
          <w:bottom w:val="nil"/>
          <w:right w:val="nil"/>
          <w:between w:val="nil"/>
          <w:bar w:val="nil"/>
        </w:pBdr>
        <w:spacing w:before="0" w:after="240"/>
        <w:rPr>
          <w:rFonts w:eastAsia="Arial Unicode MS"/>
          <w:noProof/>
        </w:rPr>
      </w:pPr>
      <w:r w:rsidRPr="00D96C74">
        <w:rPr>
          <w:noProof/>
        </w:rPr>
        <w:t>Informațiile obținute în timpul consultărilor cu părțile interesate au contribuit la definirea problemelor și la stabilirea opțiunilor de politică pe care trebuie să se concentreze măsurile.</w:t>
      </w:r>
    </w:p>
    <w:p w14:paraId="01EBFAE3" w14:textId="77777777" w:rsidR="00F71DC5" w:rsidRPr="008D4D1E" w:rsidRDefault="00F71DC5" w:rsidP="00F71DC5">
      <w:pPr>
        <w:pBdr>
          <w:top w:val="nil"/>
          <w:left w:val="nil"/>
          <w:bottom w:val="nil"/>
          <w:right w:val="nil"/>
          <w:between w:val="nil"/>
          <w:bar w:val="nil"/>
        </w:pBdr>
        <w:spacing w:before="0" w:after="240"/>
        <w:rPr>
          <w:rFonts w:eastAsia="Arial Unicode MS"/>
          <w:i/>
          <w:iCs/>
          <w:noProof/>
        </w:rPr>
      </w:pPr>
      <w:r w:rsidRPr="008D4D1E">
        <w:rPr>
          <w:i/>
          <w:noProof/>
        </w:rPr>
        <w:t>Deșeurile alimentare </w:t>
      </w:r>
    </w:p>
    <w:p w14:paraId="550493FB" w14:textId="77777777" w:rsidR="00F71DC5" w:rsidRPr="00D96C74" w:rsidRDefault="00373564" w:rsidP="00F71DC5">
      <w:pPr>
        <w:pBdr>
          <w:top w:val="nil"/>
          <w:left w:val="nil"/>
          <w:bottom w:val="nil"/>
          <w:right w:val="nil"/>
          <w:between w:val="nil"/>
          <w:bar w:val="nil"/>
        </w:pBdr>
        <w:spacing w:before="0" w:after="240"/>
        <w:rPr>
          <w:rFonts w:eastAsia="Arial Unicode MS"/>
          <w:noProof/>
        </w:rPr>
      </w:pPr>
      <w:r w:rsidRPr="00D96C74">
        <w:rPr>
          <w:noProof/>
        </w:rPr>
        <w:t xml:space="preserve">În contextul evaluării inițiale a impactului, s-au primit </w:t>
      </w:r>
      <w:r w:rsidRPr="00D020C3">
        <w:rPr>
          <w:noProof/>
        </w:rPr>
        <w:t>85</w:t>
      </w:r>
      <w:r w:rsidRPr="00D96C74">
        <w:rPr>
          <w:noProof/>
        </w:rPr>
        <w:t xml:space="preserve"> de contribuții de la respondenți din </w:t>
      </w:r>
      <w:r w:rsidRPr="00D020C3">
        <w:rPr>
          <w:noProof/>
        </w:rPr>
        <w:t>17</w:t>
      </w:r>
      <w:r w:rsidRPr="00D96C74">
        <w:rPr>
          <w:noProof/>
        </w:rPr>
        <w:t xml:space="preserve"> state membre și din două țări terțe (Regatul Unit și SUA). Majoritatea contribuțiilor au provenit de la asociații de întreprinderi (</w:t>
      </w:r>
      <w:r w:rsidRPr="00D020C3">
        <w:rPr>
          <w:noProof/>
        </w:rPr>
        <w:t>27</w:t>
      </w:r>
      <w:r w:rsidRPr="00D96C74">
        <w:rPr>
          <w:noProof/>
        </w:rPr>
        <w:t>), urmate de ONG-uri (</w:t>
      </w:r>
      <w:r w:rsidRPr="00D020C3">
        <w:rPr>
          <w:noProof/>
        </w:rPr>
        <w:t>18</w:t>
      </w:r>
      <w:r w:rsidRPr="00D96C74">
        <w:rPr>
          <w:noProof/>
        </w:rPr>
        <w:t xml:space="preserve">, dintre care </w:t>
      </w:r>
      <w:r w:rsidRPr="00D020C3">
        <w:rPr>
          <w:noProof/>
        </w:rPr>
        <w:t>12</w:t>
      </w:r>
      <w:r w:rsidRPr="00D96C74">
        <w:rPr>
          <w:noProof/>
        </w:rPr>
        <w:t xml:space="preserve"> sunt axate pe mediu), întreprinderi (</w:t>
      </w:r>
      <w:r w:rsidRPr="00D020C3">
        <w:rPr>
          <w:noProof/>
        </w:rPr>
        <w:t>11</w:t>
      </w:r>
      <w:r w:rsidRPr="00D96C74">
        <w:rPr>
          <w:noProof/>
        </w:rPr>
        <w:t>), cetățeni ai UE (</w:t>
      </w:r>
      <w:r w:rsidRPr="00D020C3">
        <w:rPr>
          <w:noProof/>
        </w:rPr>
        <w:t>9</w:t>
      </w:r>
      <w:r w:rsidRPr="00D96C74">
        <w:rPr>
          <w:noProof/>
        </w:rPr>
        <w:t>), consumatori (</w:t>
      </w:r>
      <w:r w:rsidRPr="00D020C3">
        <w:rPr>
          <w:noProof/>
        </w:rPr>
        <w:t>4</w:t>
      </w:r>
      <w:r w:rsidRPr="00D96C74">
        <w:rPr>
          <w:noProof/>
        </w:rPr>
        <w:t>) și organizații de mediu (</w:t>
      </w:r>
      <w:r w:rsidRPr="00D020C3">
        <w:rPr>
          <w:noProof/>
        </w:rPr>
        <w:t>3</w:t>
      </w:r>
      <w:r w:rsidRPr="00D96C74">
        <w:rPr>
          <w:noProof/>
        </w:rPr>
        <w:t>). Șase autorități publice (inclusiv trei state membre) și-au transmis contribuțiile prin intermediul mecanismului de feedback. </w:t>
      </w:r>
    </w:p>
    <w:p w14:paraId="2BADE2E6" w14:textId="708BF740" w:rsidR="00F71DC5" w:rsidRPr="00D96C74" w:rsidRDefault="00F71DC5" w:rsidP="00F71DC5">
      <w:pPr>
        <w:pBdr>
          <w:top w:val="nil"/>
          <w:left w:val="nil"/>
          <w:bottom w:val="nil"/>
          <w:right w:val="nil"/>
          <w:between w:val="nil"/>
          <w:bar w:val="nil"/>
        </w:pBdr>
        <w:spacing w:before="0" w:after="240"/>
        <w:rPr>
          <w:rFonts w:eastAsia="Arial Unicode MS"/>
          <w:noProof/>
        </w:rPr>
      </w:pPr>
      <w:r w:rsidRPr="00D96C74">
        <w:rPr>
          <w:noProof/>
        </w:rPr>
        <w:t xml:space="preserve">În general, părțile interesate și-au exprimat susținerea pentru inițiativa legislativă a UE, percepută ca esențială pentru atingerea obiectivelor Pactului verde referitoare la neutralitatea climatică și la tranziția către sisteme alimentare durabile, astfel cum se solicită în Strategia „De la fermă la consumator”. Majoritatea părților interesate afirmă că obiectivele de reducere a deșeurilor alimentare ar trebui să vizeze întregul lanț de aprovizionare (reflectând o abordare integrată a sistemelor alimentare), iar viitorul obiectiv la nivelul UE să corespundă celei de a treia ținte a obiectivului de dezvoltare durabilă (ODD) </w:t>
      </w:r>
      <w:r w:rsidRPr="00D020C3">
        <w:rPr>
          <w:noProof/>
        </w:rPr>
        <w:t>12</w:t>
      </w:r>
      <w:r w:rsidRPr="00D96C74">
        <w:rPr>
          <w:noProof/>
        </w:rPr>
        <w:t>. În timp ce unii respondenți din industrie (în principal din sectorul producției primare și al prelucrării) preferă un obiectiv axat numai pe comerțul cu amănuntul și pe consum, alte părți interesate din industrie și organizațiile neguvernamentale (ONG-urile) pledează pentru o abordare holistică, care să asigure responsabilitatea comună și răspunderea tuturor actorilor. Mai multe părți interesate subliniază necesitatea unei baze de date solide pentru stabilirea obiectivelor, precum și a unei situații de referință care să recunoască eforturile depuse de cei care au obținut deja rezultate în această privință. Aproximativ o treime din contribuțiile primite, dintre care aproape toate cele ale ONG-urilor, au lansat apelul de a se întreprinde acțiuni ambițioase și de a se urmări un nivel ridicat al obiectivului(</w:t>
      </w:r>
      <w:r w:rsidRPr="00D020C3">
        <w:rPr>
          <w:noProof/>
        </w:rPr>
        <w:t>50</w:t>
      </w:r>
      <w:r w:rsidRPr="00D96C74">
        <w:rPr>
          <w:noProof/>
        </w:rPr>
        <w:t> %); pe de altă parte, cele trei contribuții ale statelor membre au sugerat că opțiunea de bază și cea medie sunt mai realiste. În plus, unele părți interesate (din partea ONG-urilor din domeniul mediului și al consumatorilor, precum și a întreprinderilor) sociale s-au exprimat, în plus, în favoarea integrării în viitoarea propunere legislativă a pierderilor de alimente de la nivelul exploatațiilor agricole, în timp ce producătorii primari susțin că astfel de pierderi nu pot fi abordate (atât din motive juridice, cât și operaționale). În sfârșit, multe părți interesate pledează pentru coerența politicilor și pentru necesitatea de a construi o cultură a valorii alimentare pentru a rezolva problemele sistemice legate de sistemele alimentare.  </w:t>
      </w:r>
    </w:p>
    <w:p w14:paraId="48E64C73" w14:textId="78E07E1A" w:rsidR="00F71DC5" w:rsidRPr="00D96C74" w:rsidRDefault="004A2AB9" w:rsidP="00B00391">
      <w:pPr>
        <w:pBdr>
          <w:top w:val="nil"/>
          <w:left w:val="nil"/>
          <w:bottom w:val="nil"/>
          <w:right w:val="nil"/>
          <w:between w:val="nil"/>
          <w:bar w:val="nil"/>
        </w:pBdr>
        <w:spacing w:before="0" w:after="240"/>
        <w:rPr>
          <w:rFonts w:eastAsia="Arial Unicode MS"/>
          <w:noProof/>
        </w:rPr>
      </w:pPr>
      <w:r w:rsidRPr="00D96C74">
        <w:rPr>
          <w:noProof/>
        </w:rPr>
        <w:t xml:space="preserve">Consultarea publică, care a fost deschisă de la </w:t>
      </w:r>
      <w:r w:rsidRPr="00D020C3">
        <w:rPr>
          <w:noProof/>
        </w:rPr>
        <w:t>24</w:t>
      </w:r>
      <w:r w:rsidRPr="00D96C74">
        <w:rPr>
          <w:noProof/>
        </w:rPr>
        <w:t xml:space="preserve"> mai </w:t>
      </w:r>
      <w:r w:rsidRPr="00D020C3">
        <w:rPr>
          <w:noProof/>
        </w:rPr>
        <w:t>2022</w:t>
      </w:r>
      <w:r w:rsidRPr="00D96C74">
        <w:rPr>
          <w:noProof/>
        </w:rPr>
        <w:t xml:space="preserve"> până la </w:t>
      </w:r>
      <w:r w:rsidRPr="00D020C3">
        <w:rPr>
          <w:noProof/>
        </w:rPr>
        <w:t>24</w:t>
      </w:r>
      <w:r w:rsidRPr="00D96C74">
        <w:rPr>
          <w:noProof/>
        </w:rPr>
        <w:t xml:space="preserve"> august </w:t>
      </w:r>
      <w:r w:rsidRPr="00D020C3">
        <w:rPr>
          <w:noProof/>
        </w:rPr>
        <w:t>2022</w:t>
      </w:r>
      <w:r w:rsidRPr="00D96C74">
        <w:rPr>
          <w:noProof/>
        </w:rPr>
        <w:t xml:space="preserve">, a vizat atât deșeurile textile, cât și pe cele alimentare. În ceea ce privește reducerea deșeurilor alimentare, părțile interesate din toate grupurile au fost de acord sau întru totul de acord (peste </w:t>
      </w:r>
      <w:r w:rsidRPr="00D020C3">
        <w:rPr>
          <w:noProof/>
        </w:rPr>
        <w:t>90</w:t>
      </w:r>
      <w:r w:rsidRPr="00D96C74">
        <w:rPr>
          <w:noProof/>
        </w:rPr>
        <w:t> %) cu beneficiile pe care le-ar aduce reducerea acestora, cel mai important beneficiu fiind „contribuția la reducerea impactului asupra mediului” și „contribuția la atenuarea schimbărilor climatice”. Respondenții au identificat consumatorii, comercianții cu amănuntul și alți distribuitori, producătorii de alimente, sectorul ospitalității și serviciile de alimentație ca fiind principalii actori care trebuie să ia mai multe măsuri pentru a reduce deșeurile alimentare. Respondenții au precizat că cele mai importante provocări pentru reducerea deșeurilor alimentare se referă la necesitatea adoptării unor noi obiceiuri de către consumatori, cum ar fi îmbunătățirea competențelor de gestionare a alimentelor, urmată de necesitatea ca întreprinderile să integreze prevenirea deșeurilor alimentare în activitățile lor.</w:t>
      </w:r>
      <w:r w:rsidR="00873632">
        <w:rPr>
          <w:noProof/>
        </w:rPr>
        <w:t xml:space="preserve"> </w:t>
      </w:r>
      <w:r w:rsidRPr="00D96C74">
        <w:rPr>
          <w:noProof/>
        </w:rPr>
        <w:t xml:space="preserve">Asigurarea faptului că se iau măsuri suficiente în ritmul necesar pentru a se putea îndeplini angajamentele globale de reducere la jumătate a deșeurilor alimentare până în </w:t>
      </w:r>
      <w:r w:rsidRPr="00D020C3">
        <w:rPr>
          <w:noProof/>
        </w:rPr>
        <w:t>2030</w:t>
      </w:r>
      <w:r w:rsidRPr="00D96C74">
        <w:rPr>
          <w:noProof/>
        </w:rPr>
        <w:t xml:space="preserve"> a fost considerată mai importantă de către autoritățile publice decât de alte grupuri. În ceea ce privește măsurile pe care le poate lua UE pentru a preveni mai bine generarea de deșeuri, </w:t>
      </w:r>
      <w:r w:rsidRPr="00D020C3">
        <w:rPr>
          <w:noProof/>
        </w:rPr>
        <w:t>74</w:t>
      </w:r>
      <w:r w:rsidRPr="00D96C74">
        <w:rPr>
          <w:noProof/>
        </w:rPr>
        <w:t> % dintre respondenți (</w:t>
      </w:r>
      <w:r w:rsidRPr="00D020C3">
        <w:rPr>
          <w:noProof/>
        </w:rPr>
        <w:t>488</w:t>
      </w:r>
      <w:r w:rsidRPr="00D96C74">
        <w:rPr>
          <w:noProof/>
        </w:rPr>
        <w:t xml:space="preserve"> de răspunsuri) au fost de acord sau întru totul de acord cu stabilirea unor obiective obligatorii din punct de vedere juridic de reducere a deșeurilor alimentare, înregistrându-se un sprijin chiar și mai mare din partea autorităților publice (</w:t>
      </w:r>
      <w:r w:rsidRPr="00D020C3">
        <w:rPr>
          <w:noProof/>
        </w:rPr>
        <w:t>86</w:t>
      </w:r>
      <w:r w:rsidRPr="00D96C74">
        <w:rPr>
          <w:noProof/>
        </w:rPr>
        <w:t xml:space="preserve"> %, </w:t>
      </w:r>
      <w:r w:rsidRPr="00D020C3">
        <w:rPr>
          <w:noProof/>
        </w:rPr>
        <w:t>25</w:t>
      </w:r>
      <w:r w:rsidRPr="00D96C74">
        <w:rPr>
          <w:noProof/>
        </w:rPr>
        <w:t xml:space="preserve"> de răspunsuri).</w:t>
      </w:r>
    </w:p>
    <w:p w14:paraId="460FA8C6" w14:textId="6CB28411" w:rsidR="00CE3A75" w:rsidRPr="00D96C74" w:rsidRDefault="00CE3A75" w:rsidP="00B00391">
      <w:pPr>
        <w:pBdr>
          <w:top w:val="nil"/>
          <w:left w:val="nil"/>
          <w:bottom w:val="nil"/>
          <w:right w:val="nil"/>
          <w:between w:val="nil"/>
          <w:bar w:val="nil"/>
        </w:pBdr>
        <w:spacing w:before="0" w:after="240"/>
        <w:rPr>
          <w:rFonts w:eastAsia="Arial Unicode MS"/>
          <w:noProof/>
        </w:rPr>
      </w:pPr>
      <w:r w:rsidRPr="00D020C3">
        <w:rPr>
          <w:noProof/>
        </w:rPr>
        <w:t>53</w:t>
      </w:r>
      <w:r w:rsidRPr="00D96C74">
        <w:rPr>
          <w:noProof/>
        </w:rPr>
        <w:t xml:space="preserve"> de documente de poziție primite în cadrul consultării publice s-au axat pe deșeurile alimentare sau au inclus considerații pe această temă. S-au primit </w:t>
      </w:r>
      <w:r w:rsidRPr="00D020C3">
        <w:rPr>
          <w:noProof/>
        </w:rPr>
        <w:t>26</w:t>
      </w:r>
      <w:r w:rsidRPr="00D96C74">
        <w:rPr>
          <w:noProof/>
        </w:rPr>
        <w:t xml:space="preserve"> de documente cu observații privind deșeurile alimentare de la asociații de întreprinderi, </w:t>
      </w:r>
      <w:r w:rsidRPr="00D020C3">
        <w:rPr>
          <w:noProof/>
        </w:rPr>
        <w:t>12</w:t>
      </w:r>
      <w:r w:rsidRPr="00D96C74">
        <w:rPr>
          <w:noProof/>
        </w:rPr>
        <w:t xml:space="preserve"> de la organizații non-profit, </w:t>
      </w:r>
      <w:r w:rsidRPr="00D020C3">
        <w:rPr>
          <w:noProof/>
        </w:rPr>
        <w:t>8</w:t>
      </w:r>
      <w:r w:rsidRPr="00D96C74">
        <w:rPr>
          <w:noProof/>
        </w:rPr>
        <w:t xml:space="preserve"> de la întreprinderi și </w:t>
      </w:r>
      <w:r w:rsidRPr="00D020C3">
        <w:rPr>
          <w:noProof/>
        </w:rPr>
        <w:t>7</w:t>
      </w:r>
      <w:r w:rsidRPr="00D96C74">
        <w:rPr>
          <w:noProof/>
        </w:rPr>
        <w:t xml:space="preserve"> de la autorități publice. Majoritatea documentelor de poziție s-au exprimat în favoarea stabilirii unor obiective de reducere a deșeurilor alimentare, </w:t>
      </w:r>
      <w:r w:rsidRPr="00D020C3">
        <w:rPr>
          <w:noProof/>
        </w:rPr>
        <w:t>10</w:t>
      </w:r>
      <w:r w:rsidRPr="00D96C74">
        <w:rPr>
          <w:noProof/>
        </w:rPr>
        <w:t xml:space="preserve"> dintre ele susținând necesitatea unor obiective ambițioase (reducere de </w:t>
      </w:r>
      <w:r w:rsidRPr="00D020C3">
        <w:rPr>
          <w:noProof/>
        </w:rPr>
        <w:t>50</w:t>
      </w:r>
      <w:r w:rsidRPr="00D96C74">
        <w:rPr>
          <w:noProof/>
        </w:rPr>
        <w:t xml:space="preserve"> %), iar </w:t>
      </w:r>
      <w:r w:rsidRPr="00D020C3">
        <w:rPr>
          <w:noProof/>
        </w:rPr>
        <w:t>18</w:t>
      </w:r>
      <w:r w:rsidR="00D020C3">
        <w:rPr>
          <w:noProof/>
        </w:rPr>
        <w:t> </w:t>
      </w:r>
      <w:r w:rsidRPr="00D96C74">
        <w:rPr>
          <w:noProof/>
        </w:rPr>
        <w:t>susținând aplicarea unor obiective în toate etapele lanțului de aprovizionare. Totuși, două organizații patronale nu au fost de acord cu stabilirea de obiective în etapa producției primare, din cauza dezechilibrului de putere din lanțul de aprovizionare și a dinamicii pieței care nu poate fi controlată de fermieri. Mai multe documente au subliniat importanța de a se acorda prioritate acțiunilor cu cel mai mare impact asupra mediului sau a climei, fiind evidențiat și rolul ambalajelor în prevenirea deșeurilor alimentare, în special de către asociațiile de întreprinderi. În ceea ce privește acțiunile și inițiativele de politică pe care ar trebui să le întreprindă UE, cele mai frecvent menționate au fost normele privind marcarea datei și acțiunile legate de sensibilizare și educare, unele documente menționând și sisteme de monitorizare îmbunătățite, iar unul sugerând să se ofere stimulente fiscale pentru donarea de alimente. Unele părți interesate au recomandat, de asemenea, coerență între politicile referitoare la deșeurile alimentare și alte politici conexe (de exemplu cele privind etichetarea, politicile climatice sau politica agricolă comună).</w:t>
      </w:r>
    </w:p>
    <w:p w14:paraId="61CA9B54" w14:textId="77777777" w:rsidR="00984CB5" w:rsidRPr="00D96C74" w:rsidRDefault="00984CB5" w:rsidP="00984CB5">
      <w:pPr>
        <w:pBdr>
          <w:top w:val="nil"/>
          <w:left w:val="nil"/>
          <w:bottom w:val="nil"/>
          <w:right w:val="nil"/>
          <w:between w:val="nil"/>
          <w:bar w:val="nil"/>
        </w:pBdr>
        <w:spacing w:before="0" w:after="240"/>
        <w:rPr>
          <w:rFonts w:eastAsia="Arial Unicode MS"/>
          <w:noProof/>
        </w:rPr>
      </w:pPr>
      <w:r w:rsidRPr="00D96C74">
        <w:rPr>
          <w:noProof/>
        </w:rPr>
        <w:t xml:space="preserve">Datele referitoare la inițiativele de prevenire a deșeurilor alimentare au fost colectate prin intermediul a două sondaje trimise experților din statele membre și părților interesate din lanțul valoric alimentar. Ambele sondaje au vizat colectarea de date cantitative privind costurile inițiativelor de prevenire a deșeurilor alimentare și cantitățile de deșeuri alimentare care nu ar mai fi generate. În plus, au fost realizate patru interviuri cu anumite părți interesate care au răspuns la sondaj (două întreprinderi, o organizație non-profit și o autoritate publică), cu scopul de a obține date și informații suplimentare cu privire la inițiativele lor și/sau de a clarifica informațiile furnizate prin intermediul sondajelor. </w:t>
      </w:r>
    </w:p>
    <w:p w14:paraId="34B5D8D5" w14:textId="77777777" w:rsidR="008802B9" w:rsidRPr="00D96C74" w:rsidRDefault="008802B9" w:rsidP="008802B9">
      <w:pPr>
        <w:pBdr>
          <w:top w:val="nil"/>
          <w:left w:val="nil"/>
          <w:bottom w:val="nil"/>
          <w:right w:val="nil"/>
          <w:between w:val="nil"/>
          <w:bar w:val="nil"/>
        </w:pBdr>
        <w:spacing w:before="0" w:after="240"/>
        <w:rPr>
          <w:rFonts w:eastAsia="Arial Unicode MS"/>
          <w:noProof/>
        </w:rPr>
      </w:pPr>
      <w:r w:rsidRPr="00D96C74">
        <w:rPr>
          <w:noProof/>
        </w:rPr>
        <w:t xml:space="preserve">În sfârșit, au avut loc patru reuniuni de consultare specifice cu </w:t>
      </w:r>
      <w:hyperlink r:id="rId21" w:tgtFrame="_blank" w:history="1">
        <w:r w:rsidRPr="00D96C74">
          <w:rPr>
            <w:noProof/>
          </w:rPr>
          <w:t>Platforma UE privind pierderile alimentare și risipa de alimente</w:t>
        </w:r>
      </w:hyperlink>
      <w:r w:rsidRPr="00D96C74">
        <w:rPr>
          <w:noProof/>
        </w:rPr>
        <w:t>. Platforma UE privind pierderile alimentare și risipa de alimente cuprinde organizații internaționale, instituții ale UE, experți ai statelor membre și părți interesate din lanțul alimentar, printre care fermieri, reprezentanți din industrie, ONG-uri de mediu, ale consumatorilor și de altă natură (inclusiv bănci de alimente și alte organizații caritabile). Organizațiile sectorului privat din cadrul lanțului valoric alimentar reprezintă IMM-urile din sectorul lor specific de activitate (de exemplu, producția de alimente, comerțul cu amănuntul, serviciile de alimentație etc.)  </w:t>
      </w:r>
    </w:p>
    <w:p w14:paraId="3F4C2BC3" w14:textId="77777777" w:rsidR="008802B9" w:rsidRPr="00D96C74" w:rsidRDefault="008802B9" w:rsidP="008802B9">
      <w:pPr>
        <w:pBdr>
          <w:top w:val="nil"/>
          <w:left w:val="nil"/>
          <w:bottom w:val="nil"/>
          <w:right w:val="nil"/>
          <w:between w:val="nil"/>
          <w:bar w:val="nil"/>
        </w:pBdr>
        <w:spacing w:before="0" w:after="240"/>
        <w:rPr>
          <w:rFonts w:eastAsia="Arial Unicode MS"/>
          <w:noProof/>
        </w:rPr>
      </w:pPr>
      <w:r w:rsidRPr="00D96C74">
        <w:rPr>
          <w:noProof/>
        </w:rPr>
        <w:t xml:space="preserve">Problemele semnalate cel mai frecvent de părțile interesate au constat în: includerea tuturor etapelor lanțului alimentar în sfera de cuprindere a obiectivelor avute în vedere, unele evidențiind importanța monitorizării și a integrării pierderilor de alimente de la nivelul exploatațiilor agricole și înainte de recoltare; importanța luării în considerare a siguranței alimentelor și a hranei pentru animale (exprimată în special de organizațiile din sectorul privat); îngrijorarea cu privire la alegerea anului </w:t>
      </w:r>
      <w:r w:rsidRPr="00D020C3">
        <w:rPr>
          <w:noProof/>
        </w:rPr>
        <w:t>2020</w:t>
      </w:r>
      <w:r w:rsidRPr="00D96C74">
        <w:rPr>
          <w:noProof/>
        </w:rPr>
        <w:t xml:space="preserve"> ca an de referință pentru stabilirea obiectivelor, din cauza impactului COVID-</w:t>
      </w:r>
      <w:r w:rsidRPr="00D020C3">
        <w:rPr>
          <w:noProof/>
        </w:rPr>
        <w:t>19</w:t>
      </w:r>
      <w:r w:rsidRPr="00D96C74">
        <w:rPr>
          <w:noProof/>
        </w:rPr>
        <w:t xml:space="preserve"> (evidențiată de unele state membre și de unele ONG-uri); posibilitatea de a ține seama de deșeurile alimentare comestibile și necomestibile și de a face distincție între acestea (menționată de organizațiile din sectorul privat) și posibilitatea de a ține seama de rezultatele obținute deja de statele membre atunci când se stabilește nivelul de referință (evidențiată de statele membre și de organizațiile din sectorul privat). </w:t>
      </w:r>
    </w:p>
    <w:p w14:paraId="68379D25" w14:textId="77777777" w:rsidR="008802B9" w:rsidRPr="00D96C74" w:rsidRDefault="008802B9" w:rsidP="008802B9">
      <w:pPr>
        <w:pBdr>
          <w:top w:val="nil"/>
          <w:left w:val="nil"/>
          <w:bottom w:val="nil"/>
          <w:right w:val="nil"/>
          <w:between w:val="nil"/>
          <w:bar w:val="nil"/>
        </w:pBdr>
        <w:spacing w:before="0" w:after="240"/>
        <w:rPr>
          <w:rFonts w:eastAsia="Arial Unicode MS"/>
          <w:noProof/>
        </w:rPr>
      </w:pPr>
      <w:r w:rsidRPr="00D96C74">
        <w:rPr>
          <w:noProof/>
        </w:rPr>
        <w:t>În contextul finalizării evaluării impactului, Comisia a convocat și o reuniune a Grupului de experți al statelor membre privind pierderile alimentare și risipa de alimente (</w:t>
      </w:r>
      <w:r w:rsidRPr="00D020C3">
        <w:rPr>
          <w:noProof/>
        </w:rPr>
        <w:t>7</w:t>
      </w:r>
      <w:r w:rsidRPr="00D96C74">
        <w:rPr>
          <w:noProof/>
        </w:rPr>
        <w:t xml:space="preserve"> martie </w:t>
      </w:r>
      <w:r w:rsidRPr="00D020C3">
        <w:rPr>
          <w:noProof/>
        </w:rPr>
        <w:t>2023</w:t>
      </w:r>
      <w:r w:rsidRPr="00D96C74">
        <w:rPr>
          <w:noProof/>
        </w:rPr>
        <w:t xml:space="preserve">), precum și o reuniune comună a Platformei UE privind pierderile alimentare și risipa de </w:t>
      </w:r>
      <w:r w:rsidRPr="00D020C3">
        <w:rPr>
          <w:noProof/>
          <w:spacing w:val="-4"/>
        </w:rPr>
        <w:t>alimente și a Grupului consultativ privind sustenabilitatea sistemelor alimentare (13 martie 2023)</w:t>
      </w:r>
      <w:r w:rsidRPr="00D96C74">
        <w:rPr>
          <w:noProof/>
        </w:rPr>
        <w:t>. Aspectele menționate mai sus au fost reiterate și s-a obținut feedback suplimentar cu privire la luarea în considerare a diferitelor opțiuni de politică pentru stabilirea obiectivelor.</w:t>
      </w:r>
    </w:p>
    <w:p w14:paraId="38949552" w14:textId="77777777" w:rsidR="00BB51D4" w:rsidRPr="00D96C74" w:rsidRDefault="00BB51D4" w:rsidP="00BB51D4">
      <w:pPr>
        <w:pBdr>
          <w:top w:val="nil"/>
          <w:left w:val="nil"/>
          <w:bottom w:val="nil"/>
          <w:right w:val="nil"/>
          <w:between w:val="nil"/>
          <w:bar w:val="nil"/>
        </w:pBdr>
        <w:spacing w:before="0" w:after="240"/>
        <w:rPr>
          <w:rFonts w:eastAsia="Arial Unicode MS"/>
          <w:noProof/>
        </w:rPr>
      </w:pPr>
      <w:r w:rsidRPr="00D96C74">
        <w:rPr>
          <w:noProof/>
        </w:rPr>
        <w:t>Informațiile colectate în timpul consultărilor menționate cu părțile interesate au contribuit la definirea opțiunilor de politică, stabilindu-se în special că obiectivele nu trebuie să se limiteze la etapele consumului și vânzării cu amănuntul, ci să vizeze lanțul alimentar în sens mai larg. Datele privind costurile prevenirii deșeurilor alimentare, colectate prin sondajul efectuat în rândul părților interesate, au relevat o variabilitate ridicată și valori în general mai mari decât cele din literatura de specialitate. Prin urmare, ele nu au fost utilizate direct în modelul folosit la calcularea impactului macroeconomic al obiectivelor.  </w:t>
      </w:r>
    </w:p>
    <w:p w14:paraId="37312E73" w14:textId="77777777" w:rsidR="00373564" w:rsidRPr="00D96C74" w:rsidRDefault="00373564" w:rsidP="00373564">
      <w:pPr>
        <w:spacing w:before="0" w:after="0"/>
        <w:textAlignment w:val="baseline"/>
        <w:rPr>
          <w:rFonts w:eastAsia="Times New Roman"/>
          <w:noProof/>
          <w:szCs w:val="24"/>
        </w:rPr>
      </w:pPr>
      <w:r w:rsidRPr="008D4D1E">
        <w:rPr>
          <w:i/>
          <w:noProof/>
        </w:rPr>
        <w:t>Grupul de dezbatere al cetățenilor</w:t>
      </w:r>
      <w:r w:rsidRPr="00D96C74">
        <w:rPr>
          <w:noProof/>
        </w:rPr>
        <w:t xml:space="preserve"> </w:t>
      </w:r>
    </w:p>
    <w:p w14:paraId="74CFCC70" w14:textId="77777777" w:rsidR="00373564" w:rsidRPr="00D96C74" w:rsidRDefault="00373564" w:rsidP="00373564">
      <w:pPr>
        <w:spacing w:before="0" w:after="0"/>
        <w:textAlignment w:val="baseline"/>
        <w:rPr>
          <w:rFonts w:ascii="Segoe UI" w:eastAsia="Times New Roman" w:hAnsi="Segoe UI" w:cs="Segoe UI"/>
          <w:noProof/>
          <w:sz w:val="18"/>
          <w:szCs w:val="18"/>
          <w:lang w:eastAsia="en-IE"/>
        </w:rPr>
      </w:pPr>
    </w:p>
    <w:p w14:paraId="62E2DCA5" w14:textId="68C926A4" w:rsidR="00373564" w:rsidRPr="00D96C74" w:rsidRDefault="00373564" w:rsidP="00373564">
      <w:pPr>
        <w:spacing w:before="0" w:after="0"/>
        <w:textAlignment w:val="baseline"/>
        <w:rPr>
          <w:rFonts w:eastAsia="Times New Roman"/>
          <w:noProof/>
          <w:szCs w:val="24"/>
        </w:rPr>
      </w:pPr>
      <w:r w:rsidRPr="00D96C74">
        <w:rPr>
          <w:noProof/>
        </w:rPr>
        <w:t xml:space="preserve">În continuarea Conferinței privind viitorul Europei, Comisia a anunțat o „nouă generație” de grupuri de dezbatere ale cetățenilor, prin care cetățeni selectați în mod aleatoriu sunt consultați înainte de anumite propuneri esențiale la nivel european. Problema deșeurilor alimentare a fost aleasă printre primele trei teme care urmează să fie abordate de cetățeni (împreună cu lumile virtuale și cu mobilitatea în scopul învățării), grupul de dezbatere fiind convocat pentru trei sesiuni care au avut loc în perioada decembrie </w:t>
      </w:r>
      <w:r w:rsidRPr="00D020C3">
        <w:rPr>
          <w:noProof/>
        </w:rPr>
        <w:t>2022</w:t>
      </w:r>
      <w:r w:rsidRPr="00D96C74">
        <w:rPr>
          <w:noProof/>
        </w:rPr>
        <w:t xml:space="preserve">-februarie </w:t>
      </w:r>
      <w:r w:rsidRPr="00D020C3">
        <w:rPr>
          <w:noProof/>
        </w:rPr>
        <w:t>2023</w:t>
      </w:r>
      <w:r w:rsidRPr="00D96C74">
        <w:rPr>
          <w:noProof/>
        </w:rPr>
        <w:t>. Deși grupul de dezbatere al cetățenilor nu a participat la activitățile de consultare organizate în scopul pregătirii propunerii legislative, recomandările cetățenilor</w:t>
      </w:r>
      <w:r w:rsidRPr="00D96C74">
        <w:rPr>
          <w:rStyle w:val="FootnoteReference"/>
          <w:rFonts w:eastAsia="Times New Roman"/>
          <w:noProof/>
          <w:szCs w:val="24"/>
          <w:lang w:eastAsia="en-IE"/>
        </w:rPr>
        <w:footnoteReference w:id="61"/>
      </w:r>
      <w:r w:rsidRPr="00D96C74">
        <w:rPr>
          <w:noProof/>
        </w:rPr>
        <w:t xml:space="preserve"> vor continua să sprijine activitatea Comisiei legată de prevenirea deșeurilor alimentare și au fost luate în considerare la pregătirea prezentei propuneri legislative. Recomandările cetățenilor vor servi și drept ghid menit să ajute statele membre să atingă obiectivele de reducere a deșeurilor alimentare prevăzute în prezenta propunere.  </w:t>
      </w:r>
    </w:p>
    <w:p w14:paraId="34379ECD" w14:textId="77777777" w:rsidR="00D44FCB" w:rsidRPr="00D96C74" w:rsidRDefault="00D44FCB" w:rsidP="00373564">
      <w:pPr>
        <w:spacing w:before="0" w:after="0"/>
        <w:textAlignment w:val="baseline"/>
        <w:rPr>
          <w:rFonts w:ascii="Segoe UI" w:eastAsia="Times New Roman" w:hAnsi="Segoe UI" w:cs="Segoe UI"/>
          <w:noProof/>
          <w:sz w:val="18"/>
          <w:szCs w:val="18"/>
          <w:lang w:eastAsia="en-IE"/>
        </w:rPr>
      </w:pPr>
    </w:p>
    <w:p w14:paraId="54D3F7C9" w14:textId="77777777" w:rsidR="00D44FCB" w:rsidRPr="00D96C74" w:rsidRDefault="00373564" w:rsidP="00373564">
      <w:pPr>
        <w:spacing w:before="0" w:after="0"/>
        <w:textAlignment w:val="baseline"/>
        <w:rPr>
          <w:rFonts w:eastAsia="Times New Roman"/>
          <w:noProof/>
          <w:szCs w:val="24"/>
        </w:rPr>
      </w:pPr>
      <w:r w:rsidRPr="00D96C74">
        <w:rPr>
          <w:noProof/>
        </w:rPr>
        <w:t xml:space="preserve">Cele </w:t>
      </w:r>
      <w:r w:rsidRPr="00D020C3">
        <w:rPr>
          <w:noProof/>
        </w:rPr>
        <w:t>23</w:t>
      </w:r>
      <w:r w:rsidRPr="00D96C74">
        <w:rPr>
          <w:noProof/>
        </w:rPr>
        <w:t xml:space="preserve"> de recomandări prezentate de cetățeni subliniază necesitatea unei abordări ample a sistemelor alimentare, în care să fie implicați toți actorii și care să consolideze colaborarea de-a lungul întregului lanț alimentar. Această abordare cuprinzătoare este prezentată în cadrul celor trei teme abordate în recomandările grupului: </w:t>
      </w:r>
      <w:r w:rsidRPr="00D020C3">
        <w:rPr>
          <w:noProof/>
        </w:rPr>
        <w:t>1</w:t>
      </w:r>
      <w:r w:rsidRPr="00D96C74">
        <w:rPr>
          <w:noProof/>
        </w:rPr>
        <w:t xml:space="preserve">) Cooperarea în cadrul lanțului valoric alimentar: de la fermă la consumator; </w:t>
      </w:r>
      <w:r w:rsidRPr="00D020C3">
        <w:rPr>
          <w:noProof/>
        </w:rPr>
        <w:t>2</w:t>
      </w:r>
      <w:r w:rsidRPr="00D96C74">
        <w:rPr>
          <w:noProof/>
        </w:rPr>
        <w:t xml:space="preserve">) Inițiative în sectorul alimentar și </w:t>
      </w:r>
      <w:r w:rsidRPr="00D020C3">
        <w:rPr>
          <w:noProof/>
        </w:rPr>
        <w:t>3</w:t>
      </w:r>
      <w:r w:rsidRPr="00D96C74">
        <w:rPr>
          <w:noProof/>
        </w:rPr>
        <w:t xml:space="preserve">) Sprijinirea schimbării comportamentale a consumatorilor. </w:t>
      </w:r>
    </w:p>
    <w:p w14:paraId="62D5C7A3" w14:textId="77777777" w:rsidR="00D44FCB" w:rsidRPr="00D96C74" w:rsidRDefault="00D44FCB" w:rsidP="00373564">
      <w:pPr>
        <w:spacing w:before="0" w:after="0"/>
        <w:textAlignment w:val="baseline"/>
        <w:rPr>
          <w:rFonts w:eastAsia="Times New Roman"/>
          <w:noProof/>
          <w:szCs w:val="24"/>
          <w:lang w:eastAsia="en-IE"/>
        </w:rPr>
      </w:pPr>
    </w:p>
    <w:p w14:paraId="3E58AE74" w14:textId="77777777" w:rsidR="00373564" w:rsidRPr="00D96C74" w:rsidRDefault="00373564" w:rsidP="00373564">
      <w:pPr>
        <w:spacing w:before="0" w:after="0"/>
        <w:textAlignment w:val="baseline"/>
        <w:rPr>
          <w:rFonts w:ascii="Segoe UI" w:eastAsia="Times New Roman" w:hAnsi="Segoe UI" w:cs="Segoe UI"/>
          <w:noProof/>
          <w:sz w:val="18"/>
          <w:szCs w:val="18"/>
        </w:rPr>
      </w:pPr>
      <w:r w:rsidRPr="00D96C74">
        <w:rPr>
          <w:noProof/>
        </w:rPr>
        <w:t>Recomandările cetățenilor reflectă cele trei linii principale de acțiune, statele membre trebuind să ia măsuri pentru a accelera reducerea deșeurilor alimentare la nivel național și pentru a atinge obiectivele viitoare. De asemenea, recomandările vor contribui la cadrul de reglementare general al UE pentru prevenirea deșeurilor alimentare prevăzut în DCD, precum și la măsurile de sprijin luate la nivelul UE, iar acestea vor sprijini statele membre în atingerea obiectivelor viitoare.</w:t>
      </w:r>
    </w:p>
    <w:p w14:paraId="6B2963BE" w14:textId="77777777" w:rsidR="00BD152F" w:rsidRPr="00D020C3" w:rsidRDefault="00BD152F" w:rsidP="00B00391">
      <w:pPr>
        <w:pStyle w:val="ManualHeading2"/>
        <w:rPr>
          <w:rFonts w:eastAsia="Arial Unicode MS"/>
          <w:noProof/>
          <w:u w:color="000000"/>
          <w:bdr w:val="nil"/>
        </w:rPr>
      </w:pPr>
      <w:r w:rsidRPr="00D020C3">
        <w:rPr>
          <w:noProof/>
          <w:u w:color="000000"/>
          <w:bdr w:val="nil"/>
        </w:rPr>
        <w:t>•</w:t>
      </w:r>
      <w:r w:rsidRPr="00D020C3">
        <w:rPr>
          <w:noProof/>
        </w:rPr>
        <w:tab/>
      </w:r>
      <w:r w:rsidRPr="00D020C3">
        <w:rPr>
          <w:noProof/>
          <w:u w:color="000000"/>
          <w:bdr w:val="nil"/>
        </w:rPr>
        <w:t>Obținerea și utilizarea cunoștințelor de specialitate</w:t>
      </w:r>
    </w:p>
    <w:p w14:paraId="2DE4546E" w14:textId="77777777" w:rsidR="006C5377" w:rsidRPr="008D4D1E" w:rsidRDefault="006C5377" w:rsidP="000353BD">
      <w:pPr>
        <w:pBdr>
          <w:top w:val="nil"/>
          <w:left w:val="nil"/>
          <w:bottom w:val="nil"/>
          <w:right w:val="nil"/>
          <w:between w:val="nil"/>
          <w:bar w:val="nil"/>
        </w:pBdr>
        <w:spacing w:before="0" w:after="240"/>
        <w:rPr>
          <w:rFonts w:eastAsia="Arial Unicode MS"/>
          <w:i/>
          <w:iCs/>
          <w:noProof/>
        </w:rPr>
      </w:pPr>
      <w:r w:rsidRPr="008D4D1E">
        <w:rPr>
          <w:i/>
          <w:noProof/>
        </w:rPr>
        <w:t>Deșeurile textile</w:t>
      </w:r>
    </w:p>
    <w:p w14:paraId="2B87C2B9" w14:textId="55B22777" w:rsidR="0074678E" w:rsidRPr="00D96C74" w:rsidRDefault="0074678E" w:rsidP="000353BD">
      <w:pPr>
        <w:pBdr>
          <w:top w:val="nil"/>
          <w:left w:val="nil"/>
          <w:bottom w:val="nil"/>
          <w:right w:val="nil"/>
          <w:between w:val="nil"/>
          <w:bar w:val="nil"/>
        </w:pBdr>
        <w:spacing w:before="0" w:after="240"/>
        <w:rPr>
          <w:rFonts w:eastAsia="Arial Unicode MS"/>
          <w:noProof/>
        </w:rPr>
      </w:pPr>
      <w:r w:rsidRPr="00D96C74">
        <w:rPr>
          <w:noProof/>
        </w:rPr>
        <w:t>Centrul Comun de Cercetare a furnizat contribuții științifice esențiale pe parcursul etapelor evaluării impactului, inclusiv prin examinarea documentelor și publicarea datelor colectate cu privire la această chestiune</w:t>
      </w:r>
      <w:r w:rsidRPr="00D96C74">
        <w:rPr>
          <w:rStyle w:val="FootnoteReference"/>
          <w:rFonts w:eastAsia="Arial Unicode MS"/>
          <w:noProof/>
        </w:rPr>
        <w:footnoteReference w:id="62"/>
      </w:r>
      <w:r w:rsidRPr="00D96C74">
        <w:rPr>
          <w:noProof/>
        </w:rPr>
        <w:t>:</w:t>
      </w:r>
    </w:p>
    <w:p w14:paraId="7A232626" w14:textId="77777777" w:rsidR="004B2B1F" w:rsidRPr="00D96C74" w:rsidRDefault="004B2B1F" w:rsidP="00E50A7A">
      <w:pPr>
        <w:rPr>
          <w:rFonts w:eastAsia="Arial Unicode MS"/>
          <w:noProof/>
        </w:rPr>
      </w:pPr>
      <w:r w:rsidRPr="00D96C74">
        <w:rPr>
          <w:noProof/>
        </w:rPr>
        <w:t xml:space="preserve">Comisia a comandat un studiu extern în sprijinul acestei evaluări a impactului opțiunilor de politică în vederea unei revizuiri a DCD în </w:t>
      </w:r>
      <w:r w:rsidRPr="00D020C3">
        <w:rPr>
          <w:noProof/>
        </w:rPr>
        <w:t>2023</w:t>
      </w:r>
      <w:r w:rsidRPr="00D96C74">
        <w:rPr>
          <w:noProof/>
        </w:rPr>
        <w:t xml:space="preserve"> – contractul specific nr. </w:t>
      </w:r>
      <w:r w:rsidRPr="00D020C3">
        <w:rPr>
          <w:noProof/>
        </w:rPr>
        <w:t>090202</w:t>
      </w:r>
      <w:r w:rsidRPr="00D96C74">
        <w:rPr>
          <w:noProof/>
        </w:rPr>
        <w:t>/</w:t>
      </w:r>
      <w:r w:rsidRPr="00D020C3">
        <w:rPr>
          <w:noProof/>
        </w:rPr>
        <w:t>2021</w:t>
      </w:r>
      <w:r w:rsidRPr="00D96C74">
        <w:rPr>
          <w:noProof/>
        </w:rPr>
        <w:t>/</w:t>
      </w:r>
      <w:r w:rsidRPr="00D020C3">
        <w:rPr>
          <w:noProof/>
        </w:rPr>
        <w:t>861277</w:t>
      </w:r>
      <w:r w:rsidRPr="00D96C74">
        <w:rPr>
          <w:noProof/>
        </w:rPr>
        <w:t>/ENV.B.</w:t>
      </w:r>
      <w:r w:rsidRPr="00D020C3">
        <w:rPr>
          <w:noProof/>
        </w:rPr>
        <w:t>3</w:t>
      </w:r>
      <w:r w:rsidRPr="00D96C74">
        <w:rPr>
          <w:noProof/>
        </w:rPr>
        <w:t xml:space="preserve">. Studiul a fost sprijinit inclusiv de mai mulți experți și de studiile de asistență tehnică enumerate în anexa la evaluarea impactului. </w:t>
      </w:r>
    </w:p>
    <w:p w14:paraId="317B7C69" w14:textId="77777777" w:rsidR="000353BD" w:rsidRPr="008D4D1E" w:rsidRDefault="000353BD" w:rsidP="000353BD">
      <w:pPr>
        <w:pBdr>
          <w:top w:val="nil"/>
          <w:left w:val="nil"/>
          <w:bottom w:val="nil"/>
          <w:right w:val="nil"/>
          <w:between w:val="nil"/>
          <w:bar w:val="nil"/>
        </w:pBdr>
        <w:spacing w:before="0" w:after="240"/>
        <w:rPr>
          <w:rFonts w:eastAsia="Arial Unicode MS"/>
          <w:i/>
          <w:iCs/>
          <w:noProof/>
        </w:rPr>
      </w:pPr>
      <w:r w:rsidRPr="008D4D1E">
        <w:rPr>
          <w:i/>
          <w:noProof/>
        </w:rPr>
        <w:t>Deșeurile alimentare </w:t>
      </w:r>
    </w:p>
    <w:p w14:paraId="6960A4AE" w14:textId="77777777" w:rsidR="00491D5A" w:rsidRPr="00D96C74" w:rsidRDefault="00491D5A" w:rsidP="00491D5A">
      <w:pPr>
        <w:pBdr>
          <w:top w:val="nil"/>
          <w:left w:val="nil"/>
          <w:bottom w:val="nil"/>
          <w:right w:val="nil"/>
          <w:between w:val="nil"/>
          <w:bar w:val="nil"/>
        </w:pBdr>
        <w:spacing w:before="0" w:after="240"/>
        <w:rPr>
          <w:rFonts w:eastAsia="Arial Unicode MS"/>
          <w:noProof/>
        </w:rPr>
      </w:pPr>
      <w:r w:rsidRPr="00D96C74">
        <w:rPr>
          <w:noProof/>
        </w:rPr>
        <w:t>Pe lângă evaluarea inițială a impactului, consultările publice și consultările specifice descrise mai sus, evaluarea impactului în domeniul deșeurilor alimentare a fost susținută de următoarea expertiză:</w:t>
      </w:r>
    </w:p>
    <w:p w14:paraId="3B9A8D90" w14:textId="577ED409" w:rsidR="00491D5A" w:rsidRPr="00D96C74" w:rsidRDefault="130916BB" w:rsidP="0014109E">
      <w:pPr>
        <w:pStyle w:val="Tiret0"/>
        <w:rPr>
          <w:rStyle w:val="normaltextrun"/>
          <w:noProof/>
        </w:rPr>
      </w:pPr>
      <w:r w:rsidRPr="00D96C74">
        <w:rPr>
          <w:noProof/>
        </w:rPr>
        <w:t xml:space="preserve">Centrul Comun de Cercetare a furnizat contribuții științifice esențiale </w:t>
      </w:r>
      <w:r w:rsidRPr="00E86B79">
        <w:rPr>
          <w:rStyle w:val="normaltextrun"/>
          <w:noProof/>
          <w:u w:val="single"/>
        </w:rPr>
        <w:t>prin pregătirea a două</w:t>
      </w:r>
      <w:r w:rsidRPr="00D96C74">
        <w:rPr>
          <w:rStyle w:val="normaltextrun"/>
          <w:noProof/>
        </w:rPr>
        <w:t xml:space="preserve"> rapoarte cuprinzând analize care sprijină elaborarea unei evaluări a impactului revizuirii DCD, în special din punctul de vedere al fezabilității stabilirii unor obiective de reducere a deșeurilor alimentare: </w:t>
      </w:r>
    </w:p>
    <w:p w14:paraId="1F5A8BA7" w14:textId="4BBBC98B" w:rsidR="004151DC" w:rsidRPr="00D96C74" w:rsidRDefault="004151DC" w:rsidP="00016D72">
      <w:pPr>
        <w:pStyle w:val="Tiret1"/>
        <w:numPr>
          <w:ilvl w:val="0"/>
          <w:numId w:val="42"/>
        </w:numPr>
        <w:rPr>
          <w:noProof/>
        </w:rPr>
      </w:pPr>
      <w:r w:rsidRPr="00D96C74">
        <w:rPr>
          <w:noProof/>
        </w:rPr>
        <w:t xml:space="preserve">Comisia Europeană, Centrul Comun de Cercetare: Pregătirea terenului pentru o inițiativă a UE privind stabilirea de obiective de reducere a deșeurilor alimentare, </w:t>
      </w:r>
      <w:r w:rsidRPr="00D020C3">
        <w:rPr>
          <w:noProof/>
        </w:rPr>
        <w:t>2023</w:t>
      </w:r>
      <w:r w:rsidRPr="00D96C74">
        <w:rPr>
          <w:rStyle w:val="FootnoteReference"/>
          <w:noProof/>
        </w:rPr>
        <w:footnoteReference w:id="63"/>
      </w:r>
      <w:r w:rsidRPr="00D96C74">
        <w:rPr>
          <w:noProof/>
        </w:rPr>
        <w:t xml:space="preserve"> </w:t>
      </w:r>
    </w:p>
    <w:p w14:paraId="6FAC3B50" w14:textId="49B21E86" w:rsidR="004151DC" w:rsidRPr="00D96C74" w:rsidRDefault="004151DC" w:rsidP="0014109E">
      <w:pPr>
        <w:pStyle w:val="Tiret1"/>
        <w:rPr>
          <w:noProof/>
          <w:szCs w:val="24"/>
        </w:rPr>
      </w:pPr>
      <w:r w:rsidRPr="00D96C74">
        <w:rPr>
          <w:noProof/>
        </w:rPr>
        <w:t xml:space="preserve">Comisia Europeană, Centrul Comun de Cercetare: Evaluarea impactului economic, social și de mediu al obiectivelor de reducere a deșeurilor alimentare. Analiză bazată pe modele, </w:t>
      </w:r>
      <w:r w:rsidRPr="00D020C3">
        <w:rPr>
          <w:noProof/>
        </w:rPr>
        <w:t>2023</w:t>
      </w:r>
      <w:r w:rsidRPr="00D96C74">
        <w:rPr>
          <w:rStyle w:val="FootnoteReference"/>
          <w:noProof/>
        </w:rPr>
        <w:footnoteReference w:id="64"/>
      </w:r>
      <w:r w:rsidRPr="00D96C74">
        <w:rPr>
          <w:noProof/>
        </w:rPr>
        <w:t xml:space="preserve"> </w:t>
      </w:r>
    </w:p>
    <w:p w14:paraId="55833AB7" w14:textId="52230B4A" w:rsidR="003E7DDB" w:rsidRPr="00D96C74" w:rsidRDefault="0D111B19" w:rsidP="0014109E">
      <w:pPr>
        <w:pStyle w:val="Tiret0"/>
        <w:rPr>
          <w:rFonts w:eastAsia="Times New Roman"/>
          <w:noProof/>
          <w:szCs w:val="24"/>
        </w:rPr>
      </w:pPr>
      <w:r w:rsidRPr="00D96C74">
        <w:rPr>
          <w:rStyle w:val="normaltextrun"/>
          <w:noProof/>
        </w:rPr>
        <w:t xml:space="preserve">La </w:t>
      </w:r>
      <w:r w:rsidRPr="00D020C3">
        <w:rPr>
          <w:rStyle w:val="normaltextrun"/>
          <w:noProof/>
        </w:rPr>
        <w:t>25</w:t>
      </w:r>
      <w:r w:rsidRPr="00D96C74">
        <w:rPr>
          <w:rStyle w:val="normaltextrun"/>
          <w:noProof/>
        </w:rPr>
        <w:t xml:space="preserve"> octombrie </w:t>
      </w:r>
      <w:r w:rsidRPr="00D020C3">
        <w:rPr>
          <w:rStyle w:val="normaltextrun"/>
          <w:noProof/>
        </w:rPr>
        <w:t>2022</w:t>
      </w:r>
      <w:r w:rsidRPr="00D96C74">
        <w:rPr>
          <w:rStyle w:val="normaltextrun"/>
          <w:noProof/>
        </w:rPr>
        <w:t>, Eurostat a publicat prima monitorizare statistică care analizează în mod specific cantitatea de deșeuri alimentare din Uniunea Europeană, susținută de explicații suplimentare privind datele referitoare la cantitățile de deșeuri alimentare din UE. Descrierea și interpretarea datelor, precum și metodologia se găsesc pe pagina web „Statistici explicate” a Eurostat dedicată deșeurilor alimentare</w:t>
      </w:r>
      <w:r w:rsidRPr="00D96C74">
        <w:rPr>
          <w:rStyle w:val="FootnoteReference"/>
          <w:noProof/>
        </w:rPr>
        <w:footnoteReference w:id="65"/>
      </w:r>
      <w:r w:rsidRPr="00D96C74">
        <w:rPr>
          <w:rStyle w:val="normaltextrun"/>
          <w:noProof/>
        </w:rPr>
        <w:t xml:space="preserve">. Datele au fost actualizate ultima dată în martie </w:t>
      </w:r>
      <w:r w:rsidRPr="00D020C3">
        <w:rPr>
          <w:rStyle w:val="normaltextrun"/>
          <w:noProof/>
        </w:rPr>
        <w:t>2023</w:t>
      </w:r>
      <w:r w:rsidRPr="00D96C74">
        <w:rPr>
          <w:rStyle w:val="normaltextrun"/>
          <w:noProof/>
        </w:rPr>
        <w:t>.</w:t>
      </w:r>
    </w:p>
    <w:p w14:paraId="267063EF" w14:textId="77777777" w:rsidR="00BD152F" w:rsidRPr="00D020C3" w:rsidRDefault="00BD152F" w:rsidP="00B00391">
      <w:pPr>
        <w:pStyle w:val="ManualHeading2"/>
        <w:rPr>
          <w:rFonts w:eastAsia="Arial Unicode MS"/>
          <w:noProof/>
          <w:u w:color="000000"/>
          <w:bdr w:val="nil"/>
        </w:rPr>
      </w:pPr>
      <w:r w:rsidRPr="00D020C3">
        <w:rPr>
          <w:noProof/>
          <w:u w:color="000000"/>
          <w:bdr w:val="nil"/>
        </w:rPr>
        <w:t>•</w:t>
      </w:r>
      <w:r w:rsidRPr="00D020C3">
        <w:rPr>
          <w:noProof/>
        </w:rPr>
        <w:tab/>
      </w:r>
      <w:r w:rsidRPr="00D020C3">
        <w:rPr>
          <w:noProof/>
          <w:u w:color="000000"/>
          <w:bdr w:val="nil"/>
        </w:rPr>
        <w:t>Evaluarea impactului</w:t>
      </w:r>
    </w:p>
    <w:p w14:paraId="40B69F6A" w14:textId="77777777" w:rsidR="00844909" w:rsidRPr="00D96C74" w:rsidRDefault="006C5377" w:rsidP="6ABD5FCF">
      <w:pPr>
        <w:pBdr>
          <w:top w:val="nil"/>
          <w:left w:val="nil"/>
          <w:bottom w:val="nil"/>
          <w:right w:val="nil"/>
          <w:between w:val="nil"/>
          <w:bar w:val="nil"/>
        </w:pBdr>
        <w:spacing w:before="0" w:after="240"/>
        <w:rPr>
          <w:rFonts w:eastAsia="Arial Unicode MS"/>
          <w:noProof/>
        </w:rPr>
      </w:pPr>
      <w:r w:rsidRPr="00D96C74">
        <w:rPr>
          <w:noProof/>
        </w:rPr>
        <w:t xml:space="preserve">Propunerea este însoțită de o evaluare a impactului. Evaluarea impactului constă în mare măsură în două secțiuni de sine stătătoare care analizează separat deșeurile alimentare și deșeurile textile, întrucât cele două teme au particularități diferite din punctul de vedere al problemelor abordate, al obiectivelor stabilite și al opțiunilor identificate, care nu ar putea fi soluționate prin aceeași abordare. </w:t>
      </w:r>
    </w:p>
    <w:p w14:paraId="390E8C4F" w14:textId="77777777" w:rsidR="006C5377" w:rsidRPr="00D96C74" w:rsidRDefault="006C5377" w:rsidP="006C5377">
      <w:pPr>
        <w:pBdr>
          <w:top w:val="nil"/>
          <w:left w:val="nil"/>
          <w:bottom w:val="nil"/>
          <w:right w:val="nil"/>
          <w:between w:val="nil"/>
          <w:bar w:val="nil"/>
        </w:pBdr>
        <w:spacing w:before="0" w:after="240"/>
        <w:rPr>
          <w:rFonts w:eastAsia="Arial Unicode MS"/>
          <w:noProof/>
        </w:rPr>
      </w:pPr>
      <w:r w:rsidRPr="00D96C74">
        <w:rPr>
          <w:noProof/>
        </w:rPr>
        <w:t xml:space="preserve">După ce a abordat observațiile exprimate de Comitetul de control normativ în avizul său negativ din </w:t>
      </w:r>
      <w:r w:rsidRPr="00D020C3">
        <w:rPr>
          <w:noProof/>
        </w:rPr>
        <w:t>17</w:t>
      </w:r>
      <w:r w:rsidRPr="00D96C74">
        <w:rPr>
          <w:noProof/>
        </w:rPr>
        <w:t xml:space="preserve"> martie </w:t>
      </w:r>
      <w:r w:rsidRPr="00D020C3">
        <w:rPr>
          <w:noProof/>
        </w:rPr>
        <w:t>2023</w:t>
      </w:r>
      <w:r w:rsidRPr="00D96C74">
        <w:rPr>
          <w:noProof/>
        </w:rPr>
        <w:t xml:space="preserve"> și a efectuat modificările și completările necesare, evaluarea impactului a primit un aviz pozitiv cu rezerve la </w:t>
      </w:r>
      <w:r w:rsidRPr="00D020C3">
        <w:rPr>
          <w:noProof/>
        </w:rPr>
        <w:t>26</w:t>
      </w:r>
      <w:r w:rsidRPr="00D96C74">
        <w:rPr>
          <w:noProof/>
        </w:rPr>
        <w:t xml:space="preserve"> mai </w:t>
      </w:r>
      <w:r w:rsidRPr="00D020C3">
        <w:rPr>
          <w:noProof/>
        </w:rPr>
        <w:t>2023</w:t>
      </w:r>
      <w:r w:rsidRPr="00D96C74">
        <w:rPr>
          <w:noProof/>
        </w:rPr>
        <w:t>.  </w:t>
      </w:r>
    </w:p>
    <w:p w14:paraId="7E2994A1" w14:textId="77777777" w:rsidR="006C5377" w:rsidRPr="00D96C74" w:rsidRDefault="006C5377" w:rsidP="00B00391">
      <w:pPr>
        <w:pBdr>
          <w:top w:val="nil"/>
          <w:left w:val="nil"/>
          <w:bottom w:val="nil"/>
          <w:right w:val="nil"/>
          <w:between w:val="nil"/>
          <w:bar w:val="nil"/>
        </w:pBdr>
        <w:spacing w:before="0" w:after="240"/>
        <w:rPr>
          <w:rFonts w:eastAsia="Arial Unicode MS"/>
          <w:noProof/>
        </w:rPr>
      </w:pPr>
      <w:r w:rsidRPr="00D96C74">
        <w:rPr>
          <w:noProof/>
        </w:rPr>
        <w:t xml:space="preserve">Observațiile detaliate ale Comitetului de control normativ și modul în care acestea au fost luate în considerare se găsesc în tabelul </w:t>
      </w:r>
      <w:r w:rsidRPr="00D020C3">
        <w:rPr>
          <w:noProof/>
        </w:rPr>
        <w:t>1</w:t>
      </w:r>
      <w:r w:rsidRPr="00D96C74">
        <w:rPr>
          <w:noProof/>
        </w:rPr>
        <w:t xml:space="preserve"> din anexa I la evaluarea impactului care însoțește prezenta propunere.</w:t>
      </w:r>
    </w:p>
    <w:p w14:paraId="1C37CDD7" w14:textId="77777777" w:rsidR="006C5377" w:rsidRPr="00D96C74" w:rsidRDefault="006C5377" w:rsidP="00885913">
      <w:pPr>
        <w:pBdr>
          <w:top w:val="nil"/>
          <w:left w:val="nil"/>
          <w:bottom w:val="nil"/>
          <w:right w:val="nil"/>
          <w:between w:val="nil"/>
          <w:bar w:val="nil"/>
        </w:pBdr>
        <w:spacing w:before="0" w:after="240"/>
        <w:rPr>
          <w:rFonts w:eastAsia="Arial Unicode MS"/>
          <w:noProof/>
        </w:rPr>
      </w:pPr>
      <w:r w:rsidRPr="00D96C74">
        <w:rPr>
          <w:noProof/>
        </w:rPr>
        <w:t>Evaluarea impactului a compilat toate măsurile posibile în vederea analizei, pe baza contribuțiilor primite de la un consultant extern, a unor ateliere cu părțile interesate, a unei consultări publice online și a unor interviuri tematice. Măsurile diverse, complexe și adesea interconectate au fost grupate în trei opțiuni de politică, care sunt comparate cu un scenariu de statu-quo.  </w:t>
      </w:r>
    </w:p>
    <w:p w14:paraId="23E07392" w14:textId="77777777" w:rsidR="006C5377" w:rsidRPr="00D96C74" w:rsidRDefault="006C5377" w:rsidP="00885913">
      <w:pPr>
        <w:pBdr>
          <w:top w:val="nil"/>
          <w:left w:val="nil"/>
          <w:bottom w:val="nil"/>
          <w:right w:val="nil"/>
          <w:between w:val="nil"/>
          <w:bar w:val="nil"/>
        </w:pBdr>
        <w:spacing w:before="0" w:after="240"/>
        <w:rPr>
          <w:rFonts w:eastAsia="Arial Unicode MS"/>
          <w:noProof/>
        </w:rPr>
      </w:pPr>
      <w:r w:rsidRPr="00D96C74">
        <w:rPr>
          <w:noProof/>
        </w:rPr>
        <w:t>În cazul textilelor, cele trei opțiuni de politică pot fi sintetizate după cum urmează: </w:t>
      </w:r>
    </w:p>
    <w:p w14:paraId="74BE5FEF" w14:textId="77777777" w:rsidR="006C5377" w:rsidRPr="00D96C74" w:rsidRDefault="006C5377" w:rsidP="00C15960">
      <w:pPr>
        <w:pStyle w:val="Tiret0"/>
        <w:numPr>
          <w:ilvl w:val="0"/>
          <w:numId w:val="29"/>
        </w:numPr>
        <w:rPr>
          <w:rStyle w:val="normaltextrun"/>
          <w:noProof/>
        </w:rPr>
      </w:pPr>
      <w:r w:rsidRPr="00D96C74">
        <w:rPr>
          <w:rStyle w:val="normaltextrun"/>
          <w:noProof/>
        </w:rPr>
        <w:t xml:space="preserve">opțiunea </w:t>
      </w:r>
      <w:r w:rsidRPr="00D020C3">
        <w:rPr>
          <w:rStyle w:val="normaltextrun"/>
          <w:noProof/>
        </w:rPr>
        <w:t>1</w:t>
      </w:r>
      <w:r w:rsidRPr="00D96C74">
        <w:rPr>
          <w:rStyle w:val="normaltextrun"/>
          <w:noProof/>
        </w:rPr>
        <w:t xml:space="preserve"> – sprijină statele membre în punerea în aplicare a dispozițiilor actuale și asigurarea respectării acestora printr-o aplicare mai armonizată a definițiilor, a abordărilor privind colectarea separată și a atribuirii responsabilității de gestionare a deșeurilor prin adoptarea de ghiduri fără caracter obligatoriu și de recomandări și prin exercitarea mandatelor existente ale Comisiei cu privire la legislația secundară, cu îmbunătățirea platformelor actuale ale părților interesate destinate orientărilor și schimbului de bune practici. Această opțiune abordează toți factorii determinanți ai problemelor și ambele obiective specifice, deși cu un impact probabil redus ca urmare a faptului că măsurile se limitează la instrumente fără caracter juridic obligatoriu; </w:t>
      </w:r>
    </w:p>
    <w:p w14:paraId="467340FF" w14:textId="77777777" w:rsidR="006C5377" w:rsidRPr="00D96C74" w:rsidRDefault="006C5377" w:rsidP="0014109E">
      <w:pPr>
        <w:pStyle w:val="Tiret0"/>
        <w:rPr>
          <w:rStyle w:val="normaltextrun"/>
          <w:noProof/>
        </w:rPr>
      </w:pPr>
      <w:r w:rsidRPr="00D96C74">
        <w:rPr>
          <w:rStyle w:val="normaltextrun"/>
          <w:noProof/>
        </w:rPr>
        <w:t xml:space="preserve">opțiunea </w:t>
      </w:r>
      <w:r w:rsidRPr="00D020C3">
        <w:rPr>
          <w:rStyle w:val="normaltextrun"/>
          <w:noProof/>
        </w:rPr>
        <w:t>2</w:t>
      </w:r>
      <w:r w:rsidRPr="00D96C74">
        <w:rPr>
          <w:rStyle w:val="normaltextrun"/>
          <w:noProof/>
        </w:rPr>
        <w:t xml:space="preserve"> – stabilește cerințe de reglementare obligatorii suplimentare pentru a îmbunătăți performanța în materie de gestionare a deșeurilor în conformitate cu ierarhia deșeurilor, printr-o modificare țintită a Directivei-cadru privind deșeurile. Scopul modificărilor este de a crea noi obligații operaționale pentru statele membre, producătorii de textile și operatorii care se ocupă de gestionarea deșeurilor. Ele ar urma să clarifice și să armonizeze definițiile la nivelul UE, să clarifice domeniul de aplicare al obligațiilor de raportare existente pentru a îmbunătăți robustețea datelor, să clarifice domeniul de aplicare al obligațiilor de colectare separată și să introducă noi obligații operaționale pentru operatorii de deșeuri cu scopul de a asigura sortarea în vederea reutilizării și a reciclării. Măsura emblematică a acestei opțiuni constă în mandatarea statelor membre să instituie scheme naționale de răspundere extinsă a producătorilor pentru textile și în armonizarea domeniului de aplicare, a obiectivelor și a principalelor caracteristici organizaționale și operaționale ale mandatului respectiv. Această opțiune abordează toți factorii determinanți ai problemelor și ambele obiective specifice; </w:t>
      </w:r>
    </w:p>
    <w:p w14:paraId="4E914323" w14:textId="77777777" w:rsidR="00995829" w:rsidRPr="00D96C74" w:rsidRDefault="006C5377" w:rsidP="0014109E">
      <w:pPr>
        <w:pStyle w:val="Tiret0"/>
        <w:rPr>
          <w:rStyle w:val="normaltextrun"/>
          <w:noProof/>
        </w:rPr>
      </w:pPr>
      <w:r w:rsidRPr="00D96C74">
        <w:rPr>
          <w:rStyle w:val="normaltextrun"/>
          <w:noProof/>
        </w:rPr>
        <w:t xml:space="preserve">opțiunea </w:t>
      </w:r>
      <w:r w:rsidRPr="00D020C3">
        <w:rPr>
          <w:rStyle w:val="normaltextrun"/>
          <w:noProof/>
        </w:rPr>
        <w:t>3</w:t>
      </w:r>
      <w:r w:rsidRPr="00D96C74">
        <w:rPr>
          <w:rStyle w:val="normaltextrun"/>
          <w:noProof/>
        </w:rPr>
        <w:t xml:space="preserve"> – prevede obiective de performanță în materie de gestionare a deșeurilor la nivelul UE. Această opțiune presupune o modificare a DCD care să stabilească obiective de performanță obligatorii în materie de gestionare a deșeurilor, operaționalizând ierarhia deșeurilor pentru statele membre și operatorii economici. Armonizarea domeniilor de aplicare și a definițiilor ar face parte integrantă din definirea obiectivului introdus în DCD și în actele de punere în aplicare ulterioare care vor defini norme mai detaliate privind metodologia de calcul a fiecărui obiectiv. Această opțiune abordează atât obiectivele specifice, cât și toți factorii determinanți ai problemelor, chiar dacă nu ar obține același nivel de armonizare ca cel prevăzut în opțiunea </w:t>
      </w:r>
      <w:r w:rsidRPr="00D020C3">
        <w:rPr>
          <w:rStyle w:val="normaltextrun"/>
          <w:noProof/>
        </w:rPr>
        <w:t>2</w:t>
      </w:r>
      <w:r w:rsidRPr="00D96C74">
        <w:rPr>
          <w:rStyle w:val="normaltextrun"/>
          <w:noProof/>
        </w:rPr>
        <w:t xml:space="preserve">, deoarece lasă la latitudinea statelor membre deciziile privind mijloacele de atingere a nivelurilor de performanță. Întrucât datele actuale privind generarea de deșeuri textile nu sunt suficient de solide, parțial din cauza înțelegerii fragmentate a statutului de deșeu al textilelor colectate și a sferei de cuprindere a textilelor care fac obiectul punerii în aplicare de către statele membre, evaluarea impactului explică fezabilitatea mecanismului prin care ar putea fi stabilite obiective în viitor, precum și impactul acestui proces (și nu nivelurile reale ale obiectivelor). În ceea ce privește stabilirea unui obiectiv de colectare, este prezentată o evaluare mai detaliată bazată pe un obiectiv intermediar, cu un nivel mediu de ambiție. Măsura </w:t>
      </w:r>
      <w:r w:rsidRPr="00D020C3">
        <w:rPr>
          <w:rStyle w:val="normaltextrun"/>
          <w:noProof/>
        </w:rPr>
        <w:t>3</w:t>
      </w:r>
      <w:r w:rsidRPr="00D96C74">
        <w:rPr>
          <w:rStyle w:val="normaltextrun"/>
          <w:noProof/>
        </w:rPr>
        <w:t>.</w:t>
      </w:r>
      <w:r w:rsidRPr="00D020C3">
        <w:rPr>
          <w:rStyle w:val="normaltextrun"/>
          <w:noProof/>
        </w:rPr>
        <w:t>6</w:t>
      </w:r>
      <w:r w:rsidRPr="00D96C74">
        <w:rPr>
          <w:rStyle w:val="normaltextrun"/>
          <w:noProof/>
        </w:rPr>
        <w:t xml:space="preserve"> vizează în mod specific stabilirea unui obiectiv de colectare de </w:t>
      </w:r>
      <w:r w:rsidRPr="00D020C3">
        <w:rPr>
          <w:rStyle w:val="normaltextrun"/>
          <w:noProof/>
        </w:rPr>
        <w:t>50</w:t>
      </w:r>
      <w:r w:rsidRPr="00D96C74">
        <w:rPr>
          <w:rStyle w:val="normaltextrun"/>
          <w:noProof/>
        </w:rPr>
        <w:t xml:space="preserve"> % pentru textile: atingerea acestui obiectiv ar îmbunătăți rata de colectare separată a textilelor, sporind astfel ratele de reutilizare și de reciclare și scăzând ratelor de eliminare, dar ar impune totodată o sarcină administrativă, iar obligația existentă de colectare separată stabilită pentru </w:t>
      </w:r>
      <w:r w:rsidRPr="00D020C3">
        <w:rPr>
          <w:rStyle w:val="normaltextrun"/>
          <w:noProof/>
        </w:rPr>
        <w:t>2025</w:t>
      </w:r>
      <w:r w:rsidRPr="00D96C74">
        <w:rPr>
          <w:rStyle w:val="normaltextrun"/>
          <w:noProof/>
        </w:rPr>
        <w:t xml:space="preserve"> ar putea avea un efect similar asupra ratei de colectare separată. De asemenea, există o mare eterogenitate între statele membre în ceea ce privește ratele de colectare preconizate, ceea ce ar putea îngreuna stabilirea unui obiectiv în această etapă. </w:t>
      </w:r>
    </w:p>
    <w:p w14:paraId="35C98103" w14:textId="77777777" w:rsidR="000C1B7A" w:rsidRPr="00D96C74" w:rsidRDefault="000C1B7A" w:rsidP="6ABD5FCF">
      <w:pPr>
        <w:pBdr>
          <w:top w:val="nil"/>
          <w:left w:val="nil"/>
          <w:bottom w:val="nil"/>
          <w:right w:val="nil"/>
          <w:between w:val="nil"/>
          <w:bar w:val="nil"/>
        </w:pBdr>
        <w:spacing w:before="0" w:after="240"/>
        <w:rPr>
          <w:rFonts w:eastAsia="Arial Unicode MS"/>
          <w:noProof/>
        </w:rPr>
      </w:pPr>
      <w:r w:rsidRPr="00D96C74">
        <w:rPr>
          <w:noProof/>
        </w:rPr>
        <w:t xml:space="preserve">Impactul asupra IMM-urilor este evaluat în cadrul procesului de evaluare a impactului. Filtrul pentru IMM-uri a identificat această inițiativă ca având un impact global ridicat asupra acestor întreprinderi. Ca bază pentru procesul de evaluare a impactului, se identifică diversele categorii de IMM-uri existente de-a lungul lanțului valoric al textilelor. </w:t>
      </w:r>
    </w:p>
    <w:p w14:paraId="0E672E21" w14:textId="0F3B70AC" w:rsidR="000C1B7A" w:rsidRPr="00D96C74" w:rsidRDefault="000C1B7A" w:rsidP="6ABD5FCF">
      <w:pPr>
        <w:pBdr>
          <w:top w:val="nil"/>
          <w:left w:val="nil"/>
          <w:bottom w:val="nil"/>
          <w:right w:val="nil"/>
          <w:between w:val="nil"/>
          <w:bar w:val="nil"/>
        </w:pBdr>
        <w:spacing w:before="0" w:after="240"/>
        <w:rPr>
          <w:rFonts w:eastAsia="Arial Unicode MS"/>
          <w:noProof/>
        </w:rPr>
      </w:pPr>
      <w:r w:rsidRPr="00D020C3">
        <w:rPr>
          <w:noProof/>
        </w:rPr>
        <w:t>88</w:t>
      </w:r>
      <w:r w:rsidRPr="00D96C74">
        <w:rPr>
          <w:noProof/>
        </w:rPr>
        <w:t> % dintre întreprinderile din sectorul textilelor sunt microîntreprinderi (</w:t>
      </w:r>
      <w:r w:rsidRPr="00D020C3">
        <w:rPr>
          <w:noProof/>
        </w:rPr>
        <w:t>0</w:t>
      </w:r>
      <w:r w:rsidRPr="00D96C74">
        <w:rPr>
          <w:noProof/>
        </w:rPr>
        <w:t>-</w:t>
      </w:r>
      <w:r w:rsidRPr="00D020C3">
        <w:rPr>
          <w:noProof/>
        </w:rPr>
        <w:t>9</w:t>
      </w:r>
      <w:r w:rsidRPr="00D96C74">
        <w:rPr>
          <w:noProof/>
        </w:rPr>
        <w:t xml:space="preserve"> angajați), </w:t>
      </w:r>
      <w:r w:rsidRPr="00D020C3">
        <w:rPr>
          <w:noProof/>
        </w:rPr>
        <w:t>12</w:t>
      </w:r>
      <w:r w:rsidRPr="00D96C74">
        <w:rPr>
          <w:noProof/>
        </w:rPr>
        <w:t> % sunt alte IMM-uri (</w:t>
      </w:r>
      <w:r w:rsidRPr="00D020C3">
        <w:rPr>
          <w:noProof/>
        </w:rPr>
        <w:t>10</w:t>
      </w:r>
      <w:r w:rsidRPr="00D96C74">
        <w:rPr>
          <w:noProof/>
        </w:rPr>
        <w:t>-</w:t>
      </w:r>
      <w:r w:rsidRPr="00D020C3">
        <w:rPr>
          <w:noProof/>
        </w:rPr>
        <w:t>249</w:t>
      </w:r>
      <w:r w:rsidRPr="00D96C74">
        <w:rPr>
          <w:noProof/>
        </w:rPr>
        <w:t xml:space="preserve"> de angajați), iar restul de </w:t>
      </w:r>
      <w:r w:rsidRPr="00D020C3">
        <w:rPr>
          <w:noProof/>
        </w:rPr>
        <w:t>0</w:t>
      </w:r>
      <w:r w:rsidRPr="00D96C74">
        <w:rPr>
          <w:noProof/>
        </w:rPr>
        <w:t>,</w:t>
      </w:r>
      <w:r w:rsidRPr="00D020C3">
        <w:rPr>
          <w:noProof/>
        </w:rPr>
        <w:t>3</w:t>
      </w:r>
      <w:r w:rsidRPr="00D96C74">
        <w:rPr>
          <w:noProof/>
        </w:rPr>
        <w:t xml:space="preserve"> % sunt întreprinderi mari (peste </w:t>
      </w:r>
      <w:r w:rsidRPr="00D020C3">
        <w:rPr>
          <w:noProof/>
        </w:rPr>
        <w:t>250</w:t>
      </w:r>
      <w:r w:rsidR="00D020C3">
        <w:rPr>
          <w:noProof/>
        </w:rPr>
        <w:t> </w:t>
      </w:r>
      <w:r w:rsidRPr="00D96C74">
        <w:rPr>
          <w:noProof/>
        </w:rPr>
        <w:t xml:space="preserve">de angajați). IMM-urile s-au implicat foarte mult în consultarea publică, precum și în procesele de consultare specifice. </w:t>
      </w:r>
      <w:r w:rsidRPr="00D020C3">
        <w:rPr>
          <w:noProof/>
        </w:rPr>
        <w:t>320</w:t>
      </w:r>
      <w:r w:rsidRPr="00D96C74">
        <w:rPr>
          <w:noProof/>
        </w:rPr>
        <w:t xml:space="preserve"> dintre respondenți la consultarea publică au fost IMM</w:t>
      </w:r>
      <w:r w:rsidR="00D020C3">
        <w:rPr>
          <w:noProof/>
        </w:rPr>
        <w:t>­</w:t>
      </w:r>
      <w:r w:rsidRPr="00D96C74">
        <w:rPr>
          <w:noProof/>
        </w:rPr>
        <w:t xml:space="preserve">uri, față de </w:t>
      </w:r>
      <w:r w:rsidRPr="00D020C3">
        <w:rPr>
          <w:noProof/>
        </w:rPr>
        <w:t>138</w:t>
      </w:r>
      <w:r w:rsidRPr="00D96C74">
        <w:rPr>
          <w:noProof/>
        </w:rPr>
        <w:t xml:space="preserve"> de întreprinderi mari. Dintre categoriile „întreprinderi/societăți” și „asociații de întreprinderi”, am primit </w:t>
      </w:r>
      <w:r w:rsidRPr="00D020C3">
        <w:rPr>
          <w:noProof/>
        </w:rPr>
        <w:t>200</w:t>
      </w:r>
      <w:r w:rsidRPr="00D96C74">
        <w:rPr>
          <w:noProof/>
        </w:rPr>
        <w:t xml:space="preserve"> de răspunsuri din partea IMM-urilor, față de </w:t>
      </w:r>
      <w:r w:rsidRPr="00D020C3">
        <w:rPr>
          <w:noProof/>
        </w:rPr>
        <w:t>99</w:t>
      </w:r>
      <w:r w:rsidRPr="00D96C74">
        <w:rPr>
          <w:noProof/>
        </w:rPr>
        <w:t xml:space="preserve"> din partea întreprinderilor mari. De asemenea, marile asociații de întreprinderi care au exprimat puncte de vedere detaliate sunt alcătuite în mare parte din IMM-uri reprezentative pentru componența sectorului textilelor în etapele producției, vânzării cu amănuntul și gestionării deșeurilor.   •</w:t>
      </w:r>
    </w:p>
    <w:p w14:paraId="276159E4" w14:textId="77777777" w:rsidR="000C1B7A" w:rsidRPr="00D96C74" w:rsidRDefault="000C1B7A" w:rsidP="072CAFB5">
      <w:pPr>
        <w:pBdr>
          <w:top w:val="nil"/>
          <w:left w:val="nil"/>
          <w:bottom w:val="nil"/>
          <w:right w:val="nil"/>
          <w:between w:val="nil"/>
          <w:bar w:val="nil"/>
        </w:pBdr>
        <w:spacing w:before="0" w:after="240"/>
        <w:rPr>
          <w:rFonts w:eastAsia="Arial Unicode MS"/>
          <w:noProof/>
        </w:rPr>
      </w:pPr>
      <w:r w:rsidRPr="00D96C74">
        <w:rPr>
          <w:noProof/>
        </w:rPr>
        <w:t>În general, IMM-urile au subliniat în documentele lor de poziție că, în prezent, nu există o planificare pe scară largă pentru prelucrarea deșeurilor. Majoritatea au fost de acord că modul în care este concepută producția de textile și modelele de consum trebuie să se schimbe, ceea ce ar duce la o producție de textile de calitate superioară, care pot să dureze mai mult. IMM-urile au mai scos în evidență importanța recunoașterii caracterului prioritar al prevenirii generării de deșeuri și al reutilizării acestora și necesitatea de a stabili obiective în materie de reutilizare și pregătire pentru reutilizare, dar și de a îmbunătăți sistemele de colectare separată. În ceea ce privește răspunderea extinsă a producătorilor, principalele idei exprimate au fost asigurarea respectării ierarhiei deșeurilor în schemele REP prin stabilirea de obiective cantitative privind prevenirea generării de deșeuri și pregătirea pentru reutilizare, asigurarea unei abordări armonizate în ceea ce privește modularea ecologică a taxelor de răspundere extinsă a producătorilor și concurența loială pe piețele reciclării, acordarea accesului la fluxul de deșeuri operatorilor care le pregătesc pentru reutilizare și, totodată, implicarea întreprinderilor sociale, ca părți interesate esențiale, în dezvoltarea, guvernanța și funcționarea acestor scheme. De asemenea, s-a argumentat în favoarea armonizării la nivelul UE a criteriilor de încetare a statutului de deșeu, aspect sprijinit și de industria reciclării, precum și în favoarea asigurării coerenței cu alte inițiative de reglementare, cum ar fi RPEPS și RED. În plus, IMM-urile au precizat că sunt necesare orientări pentru a se atinge niveluri ridicate de colectare separată a deșeurilor textile, iar sortarea și prelucrarea prealabilă a fibrelor mature sunt esențiale pentru a se extinde reciclarea deșeurilor postconsum. Unele IMM-uri au reflectat asupra necesității unei definiții armonizate a deșeurilor textile.</w:t>
      </w:r>
    </w:p>
    <w:p w14:paraId="5CC2589E" w14:textId="1426836F" w:rsidR="000C1B7A" w:rsidRPr="00D96C74" w:rsidRDefault="000C1B7A" w:rsidP="6ABD5FCF">
      <w:pPr>
        <w:pBdr>
          <w:top w:val="nil"/>
          <w:left w:val="nil"/>
          <w:bottom w:val="nil"/>
          <w:right w:val="nil"/>
          <w:between w:val="nil"/>
          <w:bar w:val="nil"/>
        </w:pBdr>
        <w:spacing w:before="0" w:after="240"/>
        <w:rPr>
          <w:rFonts w:eastAsia="Arial Unicode MS"/>
          <w:noProof/>
        </w:rPr>
      </w:pPr>
      <w:r w:rsidRPr="00D96C74">
        <w:rPr>
          <w:noProof/>
        </w:rPr>
        <w:t xml:space="preserve">Pe lângă colectarea de date factuale din partea părților interesate cu privire la impactul potențial asupra IMM-urilor, s-a efectuat o evaluare suplimentară utilizând date de la Eurostat privind componența, cifra de afaceri și distribuția în teritoriu a IMM-urilor, pentru a identifica acele efecte care ar avea un impact semnificativ asupra acestor întreprinderi. Studiul consultantului a luat în considerare impactul specific al fiecărei măsuri asupra IMM-urilor. În acest sens, măsurile din cadrul opțiunii </w:t>
      </w:r>
      <w:r w:rsidRPr="00D020C3">
        <w:rPr>
          <w:noProof/>
        </w:rPr>
        <w:t>1</w:t>
      </w:r>
      <w:r w:rsidRPr="00D96C74">
        <w:rPr>
          <w:noProof/>
        </w:rPr>
        <w:t xml:space="preserve"> nu sunt de natură să creeze o sarcină administrativă semnificativă pentru IMM-uri, iar în același timp măsurile ar trebui să simplifice obligațiile impuse IMM-urilor prin alinierea sferei de cuprindere a textilelor. Platforma de orientare și sprijin prevăzută în cadrul acestei opțiuni ar urma să aibă cel mai mare impact asupra IMM</w:t>
      </w:r>
      <w:r w:rsidR="00D020C3">
        <w:rPr>
          <w:noProof/>
        </w:rPr>
        <w:t>­</w:t>
      </w:r>
      <w:r w:rsidRPr="00D96C74">
        <w:rPr>
          <w:noProof/>
        </w:rPr>
        <w:t xml:space="preserve">urilor în ansamblu. Se preconizează că măsurile din cadrul opțiunilor </w:t>
      </w:r>
      <w:r w:rsidRPr="00D020C3">
        <w:rPr>
          <w:noProof/>
        </w:rPr>
        <w:t>2</w:t>
      </w:r>
      <w:r w:rsidRPr="00D96C74">
        <w:rPr>
          <w:noProof/>
        </w:rPr>
        <w:t xml:space="preserve"> și </w:t>
      </w:r>
      <w:r w:rsidRPr="00D020C3">
        <w:rPr>
          <w:noProof/>
        </w:rPr>
        <w:t>3</w:t>
      </w:r>
      <w:r w:rsidRPr="00D96C74">
        <w:rPr>
          <w:noProof/>
        </w:rPr>
        <w:t xml:space="preserve"> vor genera costuri suplimentare minore pentru IMM-uri. Măsura cea mai împovărătoare care ia în considerare aplicarea schemelor de răspundere extinsă a producătorilor (măsura </w:t>
      </w:r>
      <w:r w:rsidRPr="00D020C3">
        <w:rPr>
          <w:noProof/>
        </w:rPr>
        <w:t>2</w:t>
      </w:r>
      <w:r w:rsidRPr="00D96C74">
        <w:rPr>
          <w:noProof/>
        </w:rPr>
        <w:t>.</w:t>
      </w:r>
      <w:r w:rsidRPr="00D020C3">
        <w:rPr>
          <w:noProof/>
        </w:rPr>
        <w:t>9</w:t>
      </w:r>
      <w:r w:rsidRPr="00D96C74">
        <w:rPr>
          <w:noProof/>
        </w:rPr>
        <w:t>) ar viza IMM-urile, având în vedere că majoritatea producătorilor sunt IMM-uri. În plus, au fost vizate obligațiile de raportare, urmărindu-se revizuirea obligațiilor existente – în primul rând pentru a le face mai adecvate scopului, precum și pentru a îmbunătăți baza de cunoștințe pentru sectorul textilelor în ansamblu.</w:t>
      </w:r>
    </w:p>
    <w:p w14:paraId="26CE889B" w14:textId="77777777" w:rsidR="0014741C" w:rsidRPr="00D96C74" w:rsidRDefault="000C1B7A" w:rsidP="6ABD5FCF">
      <w:pPr>
        <w:pBdr>
          <w:top w:val="nil"/>
          <w:left w:val="nil"/>
          <w:bottom w:val="nil"/>
          <w:right w:val="nil"/>
          <w:between w:val="nil"/>
          <w:bar w:val="nil"/>
        </w:pBdr>
        <w:spacing w:before="0" w:after="240"/>
        <w:rPr>
          <w:rFonts w:eastAsia="Arial Unicode MS"/>
          <w:noProof/>
        </w:rPr>
      </w:pPr>
      <w:r w:rsidRPr="00D96C74">
        <w:rPr>
          <w:noProof/>
        </w:rPr>
        <w:t xml:space="preserve">Pentru a evita aplicarea unor sarcini administrative și de conformitate inutile, evaluarea impactului propune, iar textul juridic prevede excluderea microîntreprinderilor și a sectorului reutilizării din domeniul de aplicare al REP. Actorii din domeniul reutilizării care introduc pe piață atât produse noi, cât și produse uzate vor avea obligația de a avea în vedere și a raporta doar produsele noi. Consecința acestor excluderi ar fi o creștere minoră a costurilor în cazul întreprinderilor cu peste </w:t>
      </w:r>
      <w:r w:rsidRPr="00D020C3">
        <w:rPr>
          <w:noProof/>
        </w:rPr>
        <w:t>10</w:t>
      </w:r>
      <w:r w:rsidRPr="00D96C74">
        <w:rPr>
          <w:noProof/>
        </w:rPr>
        <w:t xml:space="preserve"> angajați, cele mai mari sarcini suplimentare fiind suportate de cele cu peste </w:t>
      </w:r>
      <w:r w:rsidRPr="00D020C3">
        <w:rPr>
          <w:noProof/>
        </w:rPr>
        <w:t>250</w:t>
      </w:r>
      <w:r w:rsidRPr="00D96C74">
        <w:rPr>
          <w:noProof/>
        </w:rPr>
        <w:t xml:space="preserve"> de angajați.</w:t>
      </w:r>
    </w:p>
    <w:p w14:paraId="5C5B68AA" w14:textId="5B36595C" w:rsidR="00237D17" w:rsidRPr="00D96C74" w:rsidRDefault="00F04466" w:rsidP="005E5B64">
      <w:pPr>
        <w:pBdr>
          <w:top w:val="nil"/>
          <w:left w:val="nil"/>
          <w:bottom w:val="nil"/>
          <w:right w:val="nil"/>
          <w:between w:val="nil"/>
          <w:bar w:val="nil"/>
        </w:pBdr>
        <w:spacing w:before="0" w:after="240"/>
        <w:rPr>
          <w:rFonts w:eastAsia="Arial Unicode MS"/>
          <w:noProof/>
        </w:rPr>
      </w:pPr>
      <w:r w:rsidRPr="00D96C74">
        <w:rPr>
          <w:noProof/>
        </w:rPr>
        <w:t>Impactul asupra competitivității a fost evaluat din punct de vedere cantitativ acolo unde a fost posibil, luându-se în considerare impactul asupra diferitelor tipuri de competitivitate</w:t>
      </w:r>
      <w:r w:rsidRPr="00D96C74">
        <w:rPr>
          <w:rStyle w:val="FootnoteReference"/>
          <w:rFonts w:eastAsia="Arial Unicode MS"/>
          <w:noProof/>
        </w:rPr>
        <w:footnoteReference w:id="66"/>
      </w:r>
      <w:r w:rsidRPr="00D96C74">
        <w:rPr>
          <w:noProof/>
        </w:rPr>
        <w:t>. Competitivitatea prețurilor urmărește să reflecte impactul relativ al prețurilor pe care întreprinderile sau grupurile de întreprinderi le pot stabili în cadrul unei piețe. Competitivitatea dinamică se referă la impactul asupra cercetării și inovării care ar permite menținerea sau îmbunătățirea în timp a poziției întreprinderilor pe planul competitivității. Competitivitatea strategică se referă la capacitatea întreprinderilor de a-și satisface parțial cererea de materii prime sau de produse cu ajutorul textilelor reutilizate sau reciclate în UE. Impactul asupra competitivității este fie pozitiv, fie neutru.</w:t>
      </w:r>
    </w:p>
    <w:p w14:paraId="39CB311A" w14:textId="77777777" w:rsidR="006C5377" w:rsidRPr="00D96C74" w:rsidRDefault="006C5377" w:rsidP="005E5B64">
      <w:pPr>
        <w:pBdr>
          <w:top w:val="nil"/>
          <w:left w:val="nil"/>
          <w:bottom w:val="nil"/>
          <w:right w:val="nil"/>
          <w:between w:val="nil"/>
          <w:bar w:val="nil"/>
        </w:pBdr>
        <w:spacing w:before="0" w:after="240"/>
        <w:rPr>
          <w:rFonts w:eastAsia="Arial Unicode MS"/>
          <w:noProof/>
        </w:rPr>
      </w:pPr>
      <w:r w:rsidRPr="00D96C74">
        <w:rPr>
          <w:noProof/>
        </w:rPr>
        <w:t xml:space="preserve">În ceea ce privește deșeurile alimentare, opțiunile de politică s-au axat pe diferite tipuri, niveluri și domenii de aplicare ale obiectivelor de reducere a deșeurilor alimentare care trebuie atinse până în </w:t>
      </w:r>
      <w:r w:rsidRPr="00D020C3">
        <w:rPr>
          <w:noProof/>
        </w:rPr>
        <w:t>2030</w:t>
      </w:r>
      <w:r w:rsidRPr="00D96C74">
        <w:rPr>
          <w:noProof/>
        </w:rPr>
        <w:t>, obiective care pot fi sintetizate după cum urmează: </w:t>
      </w:r>
    </w:p>
    <w:p w14:paraId="43278923" w14:textId="77777777" w:rsidR="006C5377" w:rsidRPr="00D96C74" w:rsidRDefault="006C5377" w:rsidP="005E5B64">
      <w:pPr>
        <w:pBdr>
          <w:top w:val="nil"/>
          <w:left w:val="nil"/>
          <w:bottom w:val="nil"/>
          <w:right w:val="nil"/>
          <w:between w:val="nil"/>
          <w:bar w:val="nil"/>
        </w:pBdr>
        <w:spacing w:before="0" w:after="240"/>
        <w:rPr>
          <w:rFonts w:eastAsia="Arial Unicode MS"/>
          <w:noProof/>
        </w:rPr>
      </w:pPr>
      <w:r w:rsidRPr="00D020C3">
        <w:rPr>
          <w:b/>
          <w:noProof/>
        </w:rPr>
        <w:t>Opțiunea 1</w:t>
      </w:r>
      <w:r w:rsidRPr="00D96C74">
        <w:rPr>
          <w:noProof/>
        </w:rPr>
        <w:t xml:space="preserve"> se bazează pe obiectivele minime examinate în propunerea de revizuire a DCD din </w:t>
      </w:r>
      <w:r w:rsidRPr="00D020C3">
        <w:rPr>
          <w:noProof/>
        </w:rPr>
        <w:t>2014</w:t>
      </w:r>
      <w:r w:rsidRPr="00D96C74">
        <w:rPr>
          <w:rStyle w:val="FootnoteReference"/>
          <w:rFonts w:eastAsia="Arial Unicode MS"/>
          <w:noProof/>
        </w:rPr>
        <w:footnoteReference w:id="67"/>
      </w:r>
      <w:r w:rsidRPr="00D96C74">
        <w:rPr>
          <w:noProof/>
        </w:rPr>
        <w:t>. </w:t>
      </w:r>
    </w:p>
    <w:p w14:paraId="5EC4E39F" w14:textId="77777777" w:rsidR="006C5377" w:rsidRPr="00D96C74" w:rsidRDefault="006C5377" w:rsidP="0014109E">
      <w:pPr>
        <w:pStyle w:val="Tiret0"/>
        <w:rPr>
          <w:rStyle w:val="normaltextrun"/>
          <w:noProof/>
        </w:rPr>
      </w:pPr>
      <w:r w:rsidRPr="00D96C74">
        <w:rPr>
          <w:rStyle w:val="normaltextrun"/>
          <w:noProof/>
        </w:rPr>
        <w:t>obiectiv pentru producția primară – niciun obiectiv;  </w:t>
      </w:r>
    </w:p>
    <w:p w14:paraId="425D37C8" w14:textId="77777777" w:rsidR="006C5377" w:rsidRPr="00D96C74" w:rsidRDefault="006C5377" w:rsidP="0014109E">
      <w:pPr>
        <w:pStyle w:val="Tiret0"/>
        <w:rPr>
          <w:rStyle w:val="normaltextrun"/>
          <w:noProof/>
        </w:rPr>
      </w:pPr>
      <w:r w:rsidRPr="00D96C74">
        <w:rPr>
          <w:rStyle w:val="normaltextrun"/>
          <w:noProof/>
        </w:rPr>
        <w:t xml:space="preserve">obiectiv pentru prelucrare și producție – </w:t>
      </w:r>
      <w:r w:rsidRPr="00D020C3">
        <w:rPr>
          <w:rStyle w:val="normaltextrun"/>
          <w:noProof/>
        </w:rPr>
        <w:t>10</w:t>
      </w:r>
      <w:r w:rsidRPr="00D96C74">
        <w:rPr>
          <w:rStyle w:val="normaltextrun"/>
          <w:noProof/>
        </w:rPr>
        <w:t> %;  </w:t>
      </w:r>
    </w:p>
    <w:p w14:paraId="0D31D883" w14:textId="77777777" w:rsidR="006C5377" w:rsidRPr="00D96C74" w:rsidRDefault="006C5377" w:rsidP="0014109E">
      <w:pPr>
        <w:pStyle w:val="Tiret0"/>
        <w:rPr>
          <w:rStyle w:val="normaltextrun"/>
          <w:noProof/>
        </w:rPr>
      </w:pPr>
      <w:r w:rsidRPr="00D96C74">
        <w:rPr>
          <w:rStyle w:val="normaltextrun"/>
          <w:noProof/>
        </w:rPr>
        <w:t xml:space="preserve">obiectiv pentru etapele vânzării cu amănuntul și consumului – </w:t>
      </w:r>
      <w:r w:rsidRPr="00D020C3">
        <w:rPr>
          <w:rStyle w:val="normaltextrun"/>
          <w:noProof/>
        </w:rPr>
        <w:t>15</w:t>
      </w:r>
      <w:r w:rsidRPr="00D96C74">
        <w:rPr>
          <w:rStyle w:val="normaltextrun"/>
          <w:noProof/>
        </w:rPr>
        <w:t> %. </w:t>
      </w:r>
    </w:p>
    <w:p w14:paraId="4C4BDFCC" w14:textId="77777777" w:rsidR="006C5377" w:rsidRPr="00D96C74" w:rsidRDefault="006C5377" w:rsidP="005E5B64">
      <w:pPr>
        <w:pBdr>
          <w:top w:val="nil"/>
          <w:left w:val="nil"/>
          <w:bottom w:val="nil"/>
          <w:right w:val="nil"/>
          <w:between w:val="nil"/>
          <w:bar w:val="nil"/>
        </w:pBdr>
        <w:spacing w:before="0" w:after="240"/>
        <w:rPr>
          <w:rFonts w:eastAsia="Arial Unicode MS"/>
          <w:noProof/>
        </w:rPr>
      </w:pPr>
      <w:r w:rsidRPr="00D020C3">
        <w:rPr>
          <w:b/>
          <w:noProof/>
        </w:rPr>
        <w:t>Opțiunea 2</w:t>
      </w:r>
      <w:r w:rsidRPr="00D96C74">
        <w:rPr>
          <w:noProof/>
        </w:rPr>
        <w:t xml:space="preserve"> este o variantă mai ambițioasă, care preia obiectivul maxim examinat în </w:t>
      </w:r>
      <w:r w:rsidRPr="00D020C3">
        <w:rPr>
          <w:noProof/>
        </w:rPr>
        <w:t>2014</w:t>
      </w:r>
      <w:r w:rsidRPr="00D96C74">
        <w:rPr>
          <w:noProof/>
        </w:rPr>
        <w:t xml:space="preserve"> pentru etapele vânzării cu amănuntul și consumului. </w:t>
      </w:r>
    </w:p>
    <w:p w14:paraId="15D57685" w14:textId="77777777" w:rsidR="006C5377" w:rsidRPr="00D96C74" w:rsidRDefault="006C5377" w:rsidP="0014109E">
      <w:pPr>
        <w:pStyle w:val="Tiret0"/>
        <w:rPr>
          <w:rStyle w:val="normaltextrun"/>
          <w:noProof/>
        </w:rPr>
      </w:pPr>
      <w:r w:rsidRPr="00D96C74">
        <w:rPr>
          <w:rStyle w:val="normaltextrun"/>
          <w:noProof/>
        </w:rPr>
        <w:t>obiectiv pentru producția primară – niciun obiectiv %;  </w:t>
      </w:r>
    </w:p>
    <w:p w14:paraId="393084E3" w14:textId="77777777" w:rsidR="006C5377" w:rsidRPr="00D96C74" w:rsidRDefault="006C5377" w:rsidP="0014109E">
      <w:pPr>
        <w:pStyle w:val="Tiret0"/>
        <w:rPr>
          <w:rStyle w:val="normaltextrun"/>
          <w:noProof/>
        </w:rPr>
      </w:pPr>
      <w:r w:rsidRPr="00D96C74">
        <w:rPr>
          <w:rStyle w:val="normaltextrun"/>
          <w:noProof/>
        </w:rPr>
        <w:t xml:space="preserve">obiectiv pentru prelucrare și producție – </w:t>
      </w:r>
      <w:r w:rsidRPr="00D020C3">
        <w:rPr>
          <w:rStyle w:val="normaltextrun"/>
          <w:noProof/>
        </w:rPr>
        <w:t>10</w:t>
      </w:r>
      <w:r w:rsidRPr="00D96C74">
        <w:rPr>
          <w:rStyle w:val="normaltextrun"/>
          <w:noProof/>
        </w:rPr>
        <w:t> %;  </w:t>
      </w:r>
    </w:p>
    <w:p w14:paraId="1566D7A0" w14:textId="77777777" w:rsidR="006C5377" w:rsidRPr="00D96C74" w:rsidRDefault="006C5377" w:rsidP="0014109E">
      <w:pPr>
        <w:pStyle w:val="Tiret0"/>
        <w:rPr>
          <w:rStyle w:val="normaltextrun"/>
          <w:noProof/>
        </w:rPr>
      </w:pPr>
      <w:r w:rsidRPr="00D96C74">
        <w:rPr>
          <w:rStyle w:val="normaltextrun"/>
          <w:noProof/>
        </w:rPr>
        <w:t xml:space="preserve">obiectiv pentru etapele vânzării cu amănuntul și consumului – </w:t>
      </w:r>
      <w:r w:rsidRPr="00D020C3">
        <w:rPr>
          <w:rStyle w:val="normaltextrun"/>
          <w:noProof/>
        </w:rPr>
        <w:t>30</w:t>
      </w:r>
      <w:r w:rsidRPr="00D96C74">
        <w:rPr>
          <w:rStyle w:val="normaltextrun"/>
          <w:noProof/>
        </w:rPr>
        <w:t> %. </w:t>
      </w:r>
    </w:p>
    <w:p w14:paraId="256AE2D4" w14:textId="77777777" w:rsidR="006C5377" w:rsidRPr="00D96C74" w:rsidRDefault="006C5377" w:rsidP="005E5B64">
      <w:pPr>
        <w:pBdr>
          <w:top w:val="nil"/>
          <w:left w:val="nil"/>
          <w:bottom w:val="nil"/>
          <w:right w:val="nil"/>
          <w:between w:val="nil"/>
          <w:bar w:val="nil"/>
        </w:pBdr>
        <w:spacing w:before="0" w:after="240"/>
        <w:rPr>
          <w:rFonts w:eastAsia="Arial Unicode MS"/>
          <w:noProof/>
        </w:rPr>
      </w:pPr>
      <w:r w:rsidRPr="00D020C3">
        <w:rPr>
          <w:b/>
          <w:noProof/>
        </w:rPr>
        <w:t>Opțiunea 3</w:t>
      </w:r>
      <w:r w:rsidRPr="00D96C74">
        <w:rPr>
          <w:noProof/>
        </w:rPr>
        <w:t xml:space="preserve"> reflectă obiectivele stabilite în cea de a treia țintă a ODD </w:t>
      </w:r>
      <w:r w:rsidRPr="00D020C3">
        <w:rPr>
          <w:noProof/>
        </w:rPr>
        <w:t>12</w:t>
      </w:r>
      <w:r w:rsidRPr="00D96C74">
        <w:rPr>
          <w:noProof/>
        </w:rPr>
        <w:t xml:space="preserve"> și angajamentul suplimentar asumat de </w:t>
      </w:r>
      <w:hyperlink r:id="rId22" w:tgtFrame="_blank" w:history="1">
        <w:r w:rsidRPr="00D96C74">
          <w:rPr>
            <w:noProof/>
          </w:rPr>
          <w:t>Coaliția „Alimentele nu sunt niciodată deșeuri”</w:t>
        </w:r>
      </w:hyperlink>
      <w:r w:rsidRPr="00D96C74">
        <w:rPr>
          <w:noProof/>
        </w:rPr>
        <w:t xml:space="preserve"> în cadrul Summitului ONU privind sistemele alimentare din </w:t>
      </w:r>
      <w:r w:rsidRPr="00D020C3">
        <w:rPr>
          <w:noProof/>
        </w:rPr>
        <w:t>2021</w:t>
      </w:r>
      <w:r w:rsidRPr="00D96C74">
        <w:rPr>
          <w:noProof/>
        </w:rPr>
        <w:t>.  </w:t>
      </w:r>
    </w:p>
    <w:p w14:paraId="108CA05B" w14:textId="77777777" w:rsidR="006C5377" w:rsidRPr="00D96C74" w:rsidRDefault="006C5377" w:rsidP="0014109E">
      <w:pPr>
        <w:pStyle w:val="Tiret0"/>
        <w:rPr>
          <w:rStyle w:val="normaltextrun"/>
          <w:noProof/>
        </w:rPr>
      </w:pPr>
      <w:r w:rsidRPr="00D96C74">
        <w:rPr>
          <w:rStyle w:val="normaltextrun"/>
          <w:noProof/>
        </w:rPr>
        <w:t xml:space="preserve">obiectiv pentru producția primară – </w:t>
      </w:r>
      <w:r w:rsidRPr="00D020C3">
        <w:rPr>
          <w:rStyle w:val="normaltextrun"/>
          <w:noProof/>
        </w:rPr>
        <w:t>10</w:t>
      </w:r>
      <w:r w:rsidRPr="00D96C74">
        <w:rPr>
          <w:rStyle w:val="normaltextrun"/>
          <w:noProof/>
        </w:rPr>
        <w:t> %;  </w:t>
      </w:r>
    </w:p>
    <w:p w14:paraId="7DF08584" w14:textId="77777777" w:rsidR="006C5377" w:rsidRPr="00D96C74" w:rsidRDefault="006C5377" w:rsidP="0014109E">
      <w:pPr>
        <w:pStyle w:val="Tiret0"/>
        <w:rPr>
          <w:rStyle w:val="normaltextrun"/>
          <w:noProof/>
        </w:rPr>
      </w:pPr>
      <w:r w:rsidRPr="00D96C74">
        <w:rPr>
          <w:rStyle w:val="normaltextrun"/>
          <w:noProof/>
        </w:rPr>
        <w:t xml:space="preserve">obiectiv pentru prelucrare și producție – </w:t>
      </w:r>
      <w:r w:rsidRPr="00D020C3">
        <w:rPr>
          <w:rStyle w:val="normaltextrun"/>
          <w:noProof/>
        </w:rPr>
        <w:t>25</w:t>
      </w:r>
      <w:r w:rsidRPr="00D96C74">
        <w:rPr>
          <w:rStyle w:val="normaltextrun"/>
          <w:noProof/>
        </w:rPr>
        <w:t> %;  </w:t>
      </w:r>
    </w:p>
    <w:p w14:paraId="0F3F1D94" w14:textId="77777777" w:rsidR="006C5377" w:rsidRPr="00D96C74" w:rsidRDefault="006C5377" w:rsidP="0014109E">
      <w:pPr>
        <w:pStyle w:val="Tiret0"/>
        <w:rPr>
          <w:rStyle w:val="normaltextrun"/>
          <w:noProof/>
        </w:rPr>
      </w:pPr>
      <w:r w:rsidRPr="00D96C74">
        <w:rPr>
          <w:rStyle w:val="normaltextrun"/>
          <w:noProof/>
        </w:rPr>
        <w:t xml:space="preserve">obiectiv pentru etapele vânzării cu amănuntul și consumului – </w:t>
      </w:r>
      <w:r w:rsidRPr="00D020C3">
        <w:rPr>
          <w:rStyle w:val="normaltextrun"/>
          <w:noProof/>
        </w:rPr>
        <w:t>50</w:t>
      </w:r>
      <w:r w:rsidRPr="00D96C74">
        <w:rPr>
          <w:rStyle w:val="normaltextrun"/>
          <w:noProof/>
        </w:rPr>
        <w:t> %. </w:t>
      </w:r>
    </w:p>
    <w:p w14:paraId="035E7DBA" w14:textId="77777777" w:rsidR="006C5377" w:rsidRPr="00D96C74" w:rsidRDefault="006C5377" w:rsidP="005E5B64">
      <w:pPr>
        <w:pBdr>
          <w:top w:val="nil"/>
          <w:left w:val="nil"/>
          <w:bottom w:val="nil"/>
          <w:right w:val="nil"/>
          <w:between w:val="nil"/>
          <w:bar w:val="nil"/>
        </w:pBdr>
        <w:spacing w:before="0" w:after="240"/>
        <w:rPr>
          <w:rFonts w:eastAsia="Arial Unicode MS"/>
          <w:noProof/>
        </w:rPr>
      </w:pPr>
      <w:r w:rsidRPr="00D96C74">
        <w:rPr>
          <w:noProof/>
        </w:rPr>
        <w:t xml:space="preserve">Opțiunile </w:t>
      </w:r>
      <w:r w:rsidRPr="00D020C3">
        <w:rPr>
          <w:noProof/>
        </w:rPr>
        <w:t>1</w:t>
      </w:r>
      <w:r w:rsidRPr="00D96C74">
        <w:rPr>
          <w:noProof/>
        </w:rPr>
        <w:t>-</w:t>
      </w:r>
      <w:r w:rsidRPr="00D020C3">
        <w:rPr>
          <w:noProof/>
        </w:rPr>
        <w:t>3</w:t>
      </w:r>
      <w:r w:rsidRPr="00D96C74">
        <w:rPr>
          <w:noProof/>
        </w:rPr>
        <w:t xml:space="preserve"> constau în obiective obligatorii din punct de vedere juridic, adică fac obiectul raportării anuale și, în cazul în care obiectivele nu sunt atinse, se poate asigura respectarea acestora prin intermediul procedurilor de constatare a neîndeplinirii obligațiilor.  </w:t>
      </w:r>
    </w:p>
    <w:p w14:paraId="5B09FC92" w14:textId="2574F113" w:rsidR="006C5377" w:rsidRPr="00D96C74" w:rsidRDefault="006C5377" w:rsidP="005E5B64">
      <w:pPr>
        <w:pBdr>
          <w:top w:val="nil"/>
          <w:left w:val="nil"/>
          <w:bottom w:val="nil"/>
          <w:right w:val="nil"/>
          <w:between w:val="nil"/>
          <w:bar w:val="nil"/>
        </w:pBdr>
        <w:spacing w:before="0" w:after="240"/>
        <w:rPr>
          <w:rFonts w:eastAsia="Arial Unicode MS"/>
          <w:noProof/>
        </w:rPr>
      </w:pPr>
      <w:r w:rsidRPr="00D020C3">
        <w:rPr>
          <w:b/>
          <w:noProof/>
        </w:rPr>
        <w:t>Opțiunea 4</w:t>
      </w:r>
      <w:r w:rsidRPr="00D96C74">
        <w:rPr>
          <w:noProof/>
        </w:rPr>
        <w:t xml:space="preserve"> reflectă stabilirea unui obiectiv voluntar la nivelul angajamentului asumat prin cea de a treia țintă a ODD </w:t>
      </w:r>
      <w:r w:rsidRPr="00D020C3">
        <w:rPr>
          <w:noProof/>
        </w:rPr>
        <w:t>12</w:t>
      </w:r>
      <w:r w:rsidRPr="00D96C74">
        <w:rPr>
          <w:noProof/>
        </w:rPr>
        <w:t xml:space="preserve"> pentru etapele vânzării cu amănuntul și consumului (și anume reducerea cu </w:t>
      </w:r>
      <w:r w:rsidRPr="00D020C3">
        <w:rPr>
          <w:noProof/>
        </w:rPr>
        <w:t>50</w:t>
      </w:r>
      <w:r w:rsidRPr="00D96C74">
        <w:rPr>
          <w:noProof/>
        </w:rPr>
        <w:t> %), fără asumarea unui angajament cantitativ pentru etapele anterioare. Această opțiune nu ar face obiectul unor mecanisme de asigurare a respectării legislației, cu excepția raportării anuale a nivelurilor de deșeuri alimentare. </w:t>
      </w:r>
    </w:p>
    <w:p w14:paraId="292B4921" w14:textId="12511B8E" w:rsidR="00386A8F" w:rsidRPr="00D96C74" w:rsidRDefault="00EB659D" w:rsidP="005E5B64">
      <w:pPr>
        <w:pBdr>
          <w:top w:val="nil"/>
          <w:left w:val="nil"/>
          <w:bottom w:val="nil"/>
          <w:right w:val="nil"/>
          <w:between w:val="nil"/>
          <w:bar w:val="nil"/>
        </w:pBdr>
        <w:spacing w:before="0" w:after="240"/>
        <w:rPr>
          <w:noProof/>
        </w:rPr>
      </w:pPr>
      <w:r w:rsidRPr="00D96C74">
        <w:rPr>
          <w:noProof/>
        </w:rPr>
        <w:t xml:space="preserve">Analiza impactului a demonstrat că toate opțiunile aduc beneficii semnificative pentru mediu. Amploarea beneficiilor crește de la opțiunea </w:t>
      </w:r>
      <w:r w:rsidRPr="00D020C3">
        <w:rPr>
          <w:noProof/>
        </w:rPr>
        <w:t>1</w:t>
      </w:r>
      <w:r w:rsidRPr="00D96C74">
        <w:rPr>
          <w:noProof/>
        </w:rPr>
        <w:t xml:space="preserve"> la opțiunea </w:t>
      </w:r>
      <w:r w:rsidRPr="00D020C3">
        <w:rPr>
          <w:noProof/>
        </w:rPr>
        <w:t>3</w:t>
      </w:r>
      <w:r w:rsidRPr="00D96C74">
        <w:rPr>
          <w:noProof/>
        </w:rPr>
        <w:t xml:space="preserve">, odată cu domeniul de aplicare și cu nivelul obiectivelor. Beneficiile cele mai mici s-ar înregistra pentru opțiunea </w:t>
      </w:r>
      <w:r w:rsidRPr="00D020C3">
        <w:rPr>
          <w:noProof/>
        </w:rPr>
        <w:t>4</w:t>
      </w:r>
      <w:r w:rsidRPr="00D96C74">
        <w:rPr>
          <w:noProof/>
        </w:rPr>
        <w:t xml:space="preserve">. Principalul câștig provine din reducerea emisiilor de gaze cu efect de seră (reducerea diferă însă semnificativ în funcție de abordarea metodologică). </w:t>
      </w:r>
      <w:r w:rsidRPr="00D96C74">
        <w:rPr>
          <w:noProof/>
          <w:color w:val="000000" w:themeColor="text1"/>
        </w:rPr>
        <w:t xml:space="preserve">Alte impacturi asupra mediului avute în vedere pentru prezenta evaluare a impactului – utilizarea terenurilor, eutrofizarea marină și utilizarea apei – prezintă un profil similar, în sensul că </w:t>
      </w:r>
      <w:r w:rsidRPr="00D96C74">
        <w:rPr>
          <w:noProof/>
        </w:rPr>
        <w:t>amploarea beneficiilor crește odată cu domeniul de aplicare și cu nivelul obiectivelor</w:t>
      </w:r>
      <w:r w:rsidRPr="00D96C74">
        <w:rPr>
          <w:noProof/>
          <w:color w:val="000000" w:themeColor="text1"/>
        </w:rPr>
        <w:t xml:space="preserve">. </w:t>
      </w:r>
      <w:r w:rsidRPr="00D96C74">
        <w:rPr>
          <w:noProof/>
        </w:rPr>
        <w:t xml:space="preserve"> </w:t>
      </w:r>
    </w:p>
    <w:p w14:paraId="7CA13387" w14:textId="77777777" w:rsidR="00B41AE8" w:rsidRPr="00D96C74" w:rsidRDefault="00B41AE8" w:rsidP="005E5B64">
      <w:pPr>
        <w:pBdr>
          <w:top w:val="nil"/>
          <w:left w:val="nil"/>
          <w:bottom w:val="nil"/>
          <w:right w:val="nil"/>
          <w:between w:val="nil"/>
          <w:bar w:val="nil"/>
        </w:pBdr>
        <w:spacing w:before="0" w:after="240"/>
        <w:rPr>
          <w:noProof/>
        </w:rPr>
      </w:pPr>
      <w:r w:rsidRPr="00D96C74">
        <w:rPr>
          <w:noProof/>
        </w:rPr>
        <w:t>În ceea ce privește impactul economic, se preconizează că reducerea generării de deșeuri alimentare va duce la scăderea cererii de alimente, ceea ce, la rândul său, ar putea avea un impact negativ marginal asupra sectorului producției de alimente (-</w:t>
      </w:r>
      <w:r w:rsidRPr="00D020C3">
        <w:rPr>
          <w:noProof/>
        </w:rPr>
        <w:t>3</w:t>
      </w:r>
      <w:r w:rsidRPr="00D96C74">
        <w:rPr>
          <w:noProof/>
        </w:rPr>
        <w:t>,</w:t>
      </w:r>
      <w:r w:rsidRPr="00D020C3">
        <w:rPr>
          <w:noProof/>
        </w:rPr>
        <w:t>6</w:t>
      </w:r>
      <w:r w:rsidRPr="00D96C74">
        <w:rPr>
          <w:noProof/>
        </w:rPr>
        <w:t xml:space="preserve"> % în ipoteza cea mai pesimistă) și un impact pozitiv asupra altor sectoare, rezultând un sold global ușor pozitiv (până la </w:t>
      </w:r>
      <w:r w:rsidRPr="00D020C3">
        <w:rPr>
          <w:noProof/>
        </w:rPr>
        <w:t>2</w:t>
      </w:r>
      <w:r w:rsidRPr="00D96C74">
        <w:rPr>
          <w:noProof/>
        </w:rPr>
        <w:t>,</w:t>
      </w:r>
      <w:r w:rsidRPr="00D020C3">
        <w:rPr>
          <w:noProof/>
        </w:rPr>
        <w:t>3</w:t>
      </w:r>
      <w:r w:rsidRPr="00D96C74">
        <w:rPr>
          <w:noProof/>
        </w:rPr>
        <w:t xml:space="preserve"> miliarde EUR).</w:t>
      </w:r>
    </w:p>
    <w:p w14:paraId="4F42B941" w14:textId="77777777" w:rsidR="0039421B" w:rsidRPr="00D96C74" w:rsidRDefault="0039421B" w:rsidP="0039421B">
      <w:pPr>
        <w:rPr>
          <w:noProof/>
        </w:rPr>
      </w:pPr>
      <w:r w:rsidRPr="00D96C74">
        <w:rPr>
          <w:noProof/>
        </w:rPr>
        <w:t xml:space="preserve">Impacturile sociale cuantificabile sunt strâns legate de impactul economic și prezintă un profil similar. Cu cât scad mai mult deșeurile alimentare, cu atât opțiunile conduc la rezultate mai bune în ceea ce privește accesibilitatea alimentelor din punctul de vedere al prețurilor și economiile de costuri ale gospodăriilor. Pe de altă parte, amploarea efectelor negative asupra ocupării forței de muncă în sectorul agroalimentar crește de la opțiunea </w:t>
      </w:r>
      <w:r w:rsidRPr="00D020C3">
        <w:rPr>
          <w:noProof/>
        </w:rPr>
        <w:t>1</w:t>
      </w:r>
      <w:r w:rsidRPr="00D96C74">
        <w:rPr>
          <w:noProof/>
        </w:rPr>
        <w:t xml:space="preserve"> la opțiunea </w:t>
      </w:r>
      <w:r w:rsidRPr="00D020C3">
        <w:rPr>
          <w:noProof/>
        </w:rPr>
        <w:t>3</w:t>
      </w:r>
      <w:r w:rsidRPr="00D96C74">
        <w:rPr>
          <w:noProof/>
        </w:rPr>
        <w:t xml:space="preserve">; totuși, se preconizează că acestea vor fi compensate prin crearea de noi profiluri profesionale în sectorul alimentar și prin câștigurile care vor fi obținute în alte sectoare economice. </w:t>
      </w:r>
    </w:p>
    <w:p w14:paraId="4DC9CC27" w14:textId="77777777" w:rsidR="00245B9B" w:rsidRPr="00D96C74" w:rsidRDefault="007C76FB" w:rsidP="0039421B">
      <w:pPr>
        <w:rPr>
          <w:noProof/>
        </w:rPr>
      </w:pPr>
      <w:r w:rsidRPr="00D96C74">
        <w:rPr>
          <w:noProof/>
        </w:rPr>
        <w:t xml:space="preserve">Se preconizează că impactul asupra IMM-urilor va fi limitat. Inițiativa pune accentul pe stabilirea unor obiective de reducere a deșeurilor alimentare pentru statele membre și nu se va aplica întreprinderilor individuale. În timp ce autoritățile statelor membre vor colabora probabil cu toți actorii din lanțul alimentar, acțiunile observate până în prezent în țările care au întreprins acțiuni coordonate pentru a reduce deșeurile alimentare se concentrează asupra întreprinderilor mai mari și asupra măsurilor voluntare de încurajare a implicării în prevenirea deșeurilor alimentare, sprijinite prin finanțare guvernamentală. În cadrul procesului de consultare, IMM-urile nu s-au așteptat ca această inițiativă să cauzeze în mod direct probleme, deși au rămas prudente în ceea ce privește posibilele acțiuni viitoare de punere în aplicare de către statele membre.  </w:t>
      </w:r>
    </w:p>
    <w:p w14:paraId="51A9D054" w14:textId="77777777" w:rsidR="006C5377" w:rsidRPr="008D4D1E" w:rsidRDefault="006C5377" w:rsidP="005E5B64">
      <w:pPr>
        <w:pBdr>
          <w:top w:val="nil"/>
          <w:left w:val="nil"/>
          <w:bottom w:val="nil"/>
          <w:right w:val="nil"/>
          <w:between w:val="nil"/>
          <w:bar w:val="nil"/>
        </w:pBdr>
        <w:spacing w:before="0" w:after="240"/>
        <w:rPr>
          <w:rFonts w:eastAsia="Arial Unicode MS"/>
          <w:i/>
          <w:iCs/>
          <w:noProof/>
        </w:rPr>
      </w:pPr>
      <w:r w:rsidRPr="008D4D1E">
        <w:rPr>
          <w:i/>
          <w:noProof/>
        </w:rPr>
        <w:t>Opțiunile preferate </w:t>
      </w:r>
    </w:p>
    <w:p w14:paraId="7AAA1063" w14:textId="77777777" w:rsidR="005E5B64" w:rsidRPr="00D96C74" w:rsidRDefault="005E5B64" w:rsidP="005E5B64">
      <w:pPr>
        <w:pBdr>
          <w:top w:val="nil"/>
          <w:left w:val="nil"/>
          <w:bottom w:val="nil"/>
          <w:right w:val="nil"/>
          <w:between w:val="nil"/>
          <w:bar w:val="nil"/>
        </w:pBdr>
        <w:spacing w:before="0" w:after="240"/>
        <w:rPr>
          <w:rFonts w:eastAsia="Arial Unicode MS"/>
          <w:noProof/>
        </w:rPr>
      </w:pPr>
      <w:r w:rsidRPr="00D96C74">
        <w:rPr>
          <w:noProof/>
        </w:rPr>
        <w:t xml:space="preserve">Pe baza evaluării modului în care opțiunile contribuie la atingerea celor două obiective principale, a echilibrului dintre impactul economic, cel social și cel de mediu și a costurilor și beneficiilor totale în cazurile în care acestea au putut fi calculate, opțiunea preferată de către Comisie este opțiunea </w:t>
      </w:r>
      <w:r w:rsidRPr="00D020C3">
        <w:rPr>
          <w:noProof/>
        </w:rPr>
        <w:t>2</w:t>
      </w:r>
      <w:r w:rsidRPr="00D96C74">
        <w:rPr>
          <w:noProof/>
        </w:rPr>
        <w:t xml:space="preserve">. Totuși, ar putea fi luată în considerare și stabilirea unui obiectiv suplimentar de colectare a deșeurilor textile (măsura </w:t>
      </w:r>
      <w:r w:rsidRPr="00D020C3">
        <w:rPr>
          <w:noProof/>
        </w:rPr>
        <w:t>3</w:t>
      </w:r>
      <w:r w:rsidRPr="00D96C74">
        <w:rPr>
          <w:noProof/>
        </w:rPr>
        <w:t>.</w:t>
      </w:r>
      <w:r w:rsidRPr="00D020C3">
        <w:rPr>
          <w:noProof/>
        </w:rPr>
        <w:t>6</w:t>
      </w:r>
      <w:r w:rsidRPr="00D96C74">
        <w:rPr>
          <w:noProof/>
        </w:rPr>
        <w:t xml:space="preserve">), în completarea măsurilor din cadrul opțiunii </w:t>
      </w:r>
      <w:r w:rsidRPr="00D020C3">
        <w:rPr>
          <w:noProof/>
        </w:rPr>
        <w:t>2</w:t>
      </w:r>
      <w:r w:rsidRPr="00D96C74">
        <w:rPr>
          <w:noProof/>
        </w:rPr>
        <w:t xml:space="preserve">. Prin urmare, măsura </w:t>
      </w:r>
      <w:r w:rsidRPr="00D020C3">
        <w:rPr>
          <w:noProof/>
        </w:rPr>
        <w:t>3</w:t>
      </w:r>
      <w:r w:rsidRPr="00D96C74">
        <w:rPr>
          <w:noProof/>
        </w:rPr>
        <w:t>.</w:t>
      </w:r>
      <w:r w:rsidRPr="00D020C3">
        <w:rPr>
          <w:noProof/>
        </w:rPr>
        <w:t>6</w:t>
      </w:r>
      <w:r w:rsidRPr="00D96C74">
        <w:rPr>
          <w:noProof/>
        </w:rPr>
        <w:t xml:space="preserve"> ar putea face parte de asemenea din opțiunea preferată. În această etapă nu se pot stabili alte obiective de gestionare a deșeurilor textile, din cauza lipsei de date complete și solide. </w:t>
      </w:r>
    </w:p>
    <w:p w14:paraId="6943990D" w14:textId="77777777" w:rsidR="00390DD2" w:rsidRPr="00D96C74" w:rsidRDefault="00390DD2" w:rsidP="005E5B64">
      <w:pPr>
        <w:pBdr>
          <w:top w:val="nil"/>
          <w:left w:val="nil"/>
          <w:bottom w:val="nil"/>
          <w:right w:val="nil"/>
          <w:between w:val="nil"/>
          <w:bar w:val="nil"/>
        </w:pBdr>
        <w:spacing w:before="0" w:after="240"/>
        <w:rPr>
          <w:rFonts w:eastAsia="Arial Unicode MS"/>
          <w:noProof/>
        </w:rPr>
      </w:pPr>
      <w:r w:rsidRPr="00D96C74">
        <w:rPr>
          <w:noProof/>
        </w:rPr>
        <w:t xml:space="preserve">Concluziile evaluării impactului sunt că stabilirea unui obiectiv de </w:t>
      </w:r>
      <w:r w:rsidRPr="00D020C3">
        <w:rPr>
          <w:noProof/>
        </w:rPr>
        <w:t>50</w:t>
      </w:r>
      <w:r w:rsidRPr="00D96C74">
        <w:rPr>
          <w:noProof/>
        </w:rPr>
        <w:t> % pentru colectarea separată a textilelor ar facilita acțiunea concertată a diferitelor părți interesate din lanțul valoric al sectorului textilelor, a operatorilor din domeniul reutilizării și a operatorilor care se ocupă de gestionarea deșeurilor, asigurându-se astfel tratarea textilelor în conformitate cu ierarhia deșeurilor și acordându-se prioritate reutilizării și reciclării în circuit închis („fibre-to-fibre”). O altă concluzie este aceea că un astfel de obiectiv ar putea necesita o analiză atentă, având în vedere variațiile mari ale ratelor actuale de colectare separată înregistrate pe cuprinsul UE și obligația generală prevăzută în DCD ca deșeurile de acest tip să fie colectate separat. Având în vedere aceste considerații, precum și normele consolidate privind organizarea colectării separate prin intermediul REP și obiectivul de a reduce sarcina administrativă, opțiunea preferată reflectată în propunerea legislativă nu include un obiectiv de colectare separată.</w:t>
      </w:r>
    </w:p>
    <w:p w14:paraId="615387EC" w14:textId="77777777" w:rsidR="00EF1A75" w:rsidRPr="00D96C74" w:rsidRDefault="005E5B64" w:rsidP="00E50A7A">
      <w:pPr>
        <w:rPr>
          <w:noProof/>
        </w:rPr>
      </w:pPr>
      <w:r w:rsidRPr="00D96C74">
        <w:rPr>
          <w:noProof/>
        </w:rPr>
        <w:t xml:space="preserve">În domeniul deșeurilor alimentare, după compararea impacturilor economice, sociale și de mediu, dar și a fezabilității tehnice a opțiunilor propuse, opțiunea preferată este opțiunea </w:t>
      </w:r>
      <w:r w:rsidRPr="00D020C3">
        <w:rPr>
          <w:noProof/>
        </w:rPr>
        <w:t>2</w:t>
      </w:r>
      <w:r w:rsidRPr="00D96C74">
        <w:rPr>
          <w:noProof/>
        </w:rPr>
        <w:t xml:space="preserve">. Se preconizează că această opțiune va reuși să dea un impuls politic puternic statelor membre astfel încât acestea să ia măsuri pentru a reduce deșeurile alimentare la nivel național și să obțină beneficii substanțiale pentru mediu, fiind în același timp proporțională și fezabilă. Prin urmare, stabilirea unor obiective obligatorii din punct de vedere juridic în materie de reducere a deșeurilor alimentare ar trebui să urmeze o abordare etapizată, începând cu un nivel mai scăzut decât cel stabilit în cadrul ODD, în vederea asigurării unui răspuns coerent al statelor membre și a unor progrese concrete înspre îndeplinirea celei de a treia ținte a ODD </w:t>
      </w:r>
      <w:r w:rsidRPr="00D020C3">
        <w:rPr>
          <w:noProof/>
        </w:rPr>
        <w:t>12</w:t>
      </w:r>
      <w:r w:rsidRPr="00D96C74">
        <w:rPr>
          <w:noProof/>
        </w:rPr>
        <w:t xml:space="preserve">. O evaluare intermediară a progreselor înregistrate de statele membre, bazată pe monitorizarea anuală a nivelurilor de deșeuri alimentare, ar permite o posibilă ajustare a obiectivelor cu scopul de a consolida contribuția Uniunii și alinierea sa la cea de a treia țintă a ODD </w:t>
      </w:r>
      <w:r w:rsidRPr="00D020C3">
        <w:rPr>
          <w:noProof/>
        </w:rPr>
        <w:t>12</w:t>
      </w:r>
      <w:r w:rsidRPr="00D96C74">
        <w:rPr>
          <w:noProof/>
        </w:rPr>
        <w:t xml:space="preserve">, precum și de a oferi o direcție pentru realizarea de noi progrese după anul </w:t>
      </w:r>
      <w:r w:rsidRPr="00D020C3">
        <w:rPr>
          <w:noProof/>
        </w:rPr>
        <w:t>2030</w:t>
      </w:r>
      <w:r w:rsidRPr="00D96C74">
        <w:rPr>
          <w:noProof/>
        </w:rPr>
        <w:t xml:space="preserve">. </w:t>
      </w:r>
    </w:p>
    <w:p w14:paraId="5C9260C5" w14:textId="77777777" w:rsidR="00BD152F" w:rsidRPr="00D020C3" w:rsidRDefault="00BD152F" w:rsidP="00B00391">
      <w:pPr>
        <w:pStyle w:val="ManualHeading2"/>
        <w:rPr>
          <w:rFonts w:eastAsia="Arial Unicode MS"/>
          <w:noProof/>
          <w:u w:color="000000"/>
          <w:bdr w:val="nil"/>
        </w:rPr>
      </w:pPr>
      <w:r w:rsidRPr="00D020C3">
        <w:rPr>
          <w:noProof/>
          <w:u w:color="000000"/>
          <w:bdr w:val="nil"/>
        </w:rPr>
        <w:t>•</w:t>
      </w:r>
      <w:r w:rsidRPr="00D020C3">
        <w:rPr>
          <w:noProof/>
        </w:rPr>
        <w:tab/>
      </w:r>
      <w:r w:rsidRPr="00D020C3">
        <w:rPr>
          <w:noProof/>
          <w:u w:color="000000"/>
          <w:bdr w:val="nil"/>
        </w:rPr>
        <w:t>Adecvarea reglementărilor și simplificarea</w:t>
      </w:r>
    </w:p>
    <w:p w14:paraId="76973EF4" w14:textId="77777777" w:rsidR="00844D0D" w:rsidRPr="00D96C74" w:rsidRDefault="00844D0D" w:rsidP="00844D0D">
      <w:pPr>
        <w:pBdr>
          <w:top w:val="nil"/>
          <w:left w:val="nil"/>
          <w:bottom w:val="nil"/>
          <w:right w:val="nil"/>
          <w:between w:val="nil"/>
          <w:bar w:val="nil"/>
        </w:pBdr>
        <w:spacing w:before="0" w:after="240"/>
        <w:rPr>
          <w:rFonts w:eastAsia="Arial Unicode MS"/>
          <w:noProof/>
        </w:rPr>
      </w:pPr>
      <w:r w:rsidRPr="00D96C74">
        <w:rPr>
          <w:noProof/>
        </w:rPr>
        <w:t>Măsurile propuse presupun diferite gradații ale sarcinii administrative, care ar rezulta în principal din monitorizarea și raportarea conformității, atât pentru autoritățile publice, cât și pentru întreprinderi. În același timp, prezenta propunere exploatează pe deplin posibilitățile oferite de digitalizare pentru a reduce sarcina administrativă. </w:t>
      </w:r>
    </w:p>
    <w:p w14:paraId="23570B3B" w14:textId="77777777" w:rsidR="00844D0D" w:rsidRPr="00D96C74" w:rsidRDefault="00844D0D" w:rsidP="6ABD5FCF">
      <w:pPr>
        <w:pBdr>
          <w:top w:val="nil"/>
          <w:left w:val="nil"/>
          <w:bottom w:val="nil"/>
          <w:right w:val="nil"/>
          <w:between w:val="nil"/>
          <w:bar w:val="nil"/>
        </w:pBdr>
        <w:spacing w:before="0" w:after="240"/>
        <w:rPr>
          <w:rFonts w:eastAsia="Arial Unicode MS"/>
          <w:noProof/>
        </w:rPr>
      </w:pPr>
      <w:r w:rsidRPr="00D96C74">
        <w:rPr>
          <w:noProof/>
        </w:rPr>
        <w:t>Obiectivele propuse privind reducerea deșeurilor alimentare se bazează pe măsurile deja incluse în DCD și, prin urmare, nu creează sarcini administrative suplimentare.</w:t>
      </w:r>
    </w:p>
    <w:tbl>
      <w:tblPr>
        <w:tblStyle w:val="TableGrid"/>
        <w:tblW w:w="0" w:type="auto"/>
        <w:tblLook w:val="04A0" w:firstRow="1" w:lastRow="0" w:firstColumn="1" w:lastColumn="0" w:noHBand="0" w:noVBand="1"/>
      </w:tblPr>
      <w:tblGrid>
        <w:gridCol w:w="1510"/>
        <w:gridCol w:w="5504"/>
        <w:gridCol w:w="2275"/>
      </w:tblGrid>
      <w:tr w:rsidR="00806609" w:rsidRPr="00D96C74" w14:paraId="083C76DA" w14:textId="77777777" w:rsidTr="072CAFB5">
        <w:trPr>
          <w:trHeight w:val="386"/>
        </w:trPr>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D56A22F" w14:textId="77777777" w:rsidR="00806609" w:rsidRPr="00D96C74" w:rsidRDefault="00806609" w:rsidP="00B00391">
            <w:pPr>
              <w:spacing w:after="160" w:line="240" w:lineRule="atLeast"/>
              <w:jc w:val="left"/>
              <w:rPr>
                <w:rFonts w:eastAsiaTheme="minorHAnsi"/>
                <w:b/>
                <w:noProof/>
                <w:color w:val="000000"/>
                <w:sz w:val="20"/>
              </w:rPr>
            </w:pPr>
            <w:r w:rsidRPr="00D020C3">
              <w:rPr>
                <w:b/>
                <w:noProof/>
                <w:color w:val="000000"/>
                <w:sz w:val="20"/>
              </w:rPr>
              <w:t xml:space="preserve">Opțiunea combinată preferată </w:t>
            </w:r>
          </w:p>
        </w:tc>
        <w:tc>
          <w:tcPr>
            <w:tcW w:w="992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F98D76A" w14:textId="77777777" w:rsidR="00806609" w:rsidRPr="00D96C74" w:rsidRDefault="00806609" w:rsidP="00B00391">
            <w:pPr>
              <w:spacing w:after="160" w:line="240" w:lineRule="atLeast"/>
              <w:jc w:val="center"/>
              <w:rPr>
                <w:rFonts w:eastAsiaTheme="minorHAnsi"/>
                <w:b/>
                <w:noProof/>
                <w:color w:val="000000"/>
                <w:sz w:val="20"/>
              </w:rPr>
            </w:pPr>
            <w:r w:rsidRPr="00D020C3">
              <w:rPr>
                <w:b/>
                <w:noProof/>
                <w:color w:val="000000"/>
                <w:sz w:val="20"/>
              </w:rPr>
              <w:t>Descrierea impactului</w:t>
            </w:r>
          </w:p>
        </w:tc>
        <w:tc>
          <w:tcPr>
            <w:tcW w:w="316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58CDE65" w14:textId="77777777" w:rsidR="00806609" w:rsidRPr="00D020C3" w:rsidRDefault="00806609" w:rsidP="00B00391">
            <w:pPr>
              <w:spacing w:after="160" w:line="240" w:lineRule="atLeast"/>
              <w:jc w:val="center"/>
              <w:rPr>
                <w:rFonts w:eastAsiaTheme="minorHAnsi"/>
                <w:b/>
                <w:noProof/>
                <w:color w:val="000000"/>
                <w:sz w:val="20"/>
              </w:rPr>
            </w:pPr>
            <w:r w:rsidRPr="00D020C3">
              <w:rPr>
                <w:b/>
                <w:noProof/>
                <w:color w:val="000000"/>
                <w:sz w:val="20"/>
              </w:rPr>
              <w:t>Echilibrul general</w:t>
            </w:r>
          </w:p>
        </w:tc>
      </w:tr>
      <w:tr w:rsidR="00806609" w:rsidRPr="00D96C74" w14:paraId="6A429D5B" w14:textId="77777777" w:rsidTr="072CAFB5">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8387A" w14:textId="4C17D525" w:rsidR="00806609" w:rsidRPr="00D020C3" w:rsidRDefault="00806609" w:rsidP="00B00391">
            <w:pPr>
              <w:spacing w:after="160" w:line="240" w:lineRule="atLeast"/>
              <w:jc w:val="center"/>
              <w:rPr>
                <w:b/>
                <w:noProof/>
                <w:sz w:val="20"/>
              </w:rPr>
            </w:pPr>
            <w:r w:rsidRPr="00D020C3">
              <w:rPr>
                <w:b/>
                <w:noProof/>
                <w:color w:val="000000"/>
                <w:sz w:val="20"/>
              </w:rPr>
              <w:t xml:space="preserve">Opțiunea 2 – </w:t>
            </w:r>
            <w:r w:rsidRPr="00D020C3">
              <w:rPr>
                <w:b/>
                <w:noProof/>
                <w:sz w:val="20"/>
              </w:rPr>
              <w:t>Cerințe de reglementare suplimentare + obiectiv pentru textile (măsura</w:t>
            </w:r>
            <w:r w:rsidR="00D020C3" w:rsidRPr="00D020C3">
              <w:rPr>
                <w:b/>
                <w:noProof/>
                <w:sz w:val="20"/>
              </w:rPr>
              <w:t> </w:t>
            </w:r>
            <w:r w:rsidRPr="00D020C3">
              <w:rPr>
                <w:b/>
                <w:noProof/>
                <w:sz w:val="20"/>
              </w:rPr>
              <w:t>3.6)</w:t>
            </w:r>
          </w:p>
          <w:p w14:paraId="5A8B6B66" w14:textId="77777777" w:rsidR="00806609" w:rsidRPr="00D020C3" w:rsidRDefault="00806609" w:rsidP="00B00391">
            <w:pPr>
              <w:spacing w:after="160" w:line="240" w:lineRule="atLeast"/>
              <w:jc w:val="center"/>
              <w:rPr>
                <w:b/>
                <w:noProof/>
                <w:color w:val="000000"/>
                <w:sz w:val="20"/>
              </w:rPr>
            </w:pPr>
            <w:r w:rsidRPr="00D020C3">
              <w:rPr>
                <w:b/>
                <w:noProof/>
                <w:color w:val="000000"/>
                <w:sz w:val="20"/>
              </w:rPr>
              <w:t>ȘI</w:t>
            </w:r>
          </w:p>
          <w:p w14:paraId="31A4020B" w14:textId="77777777" w:rsidR="00806609" w:rsidRPr="00D96C74" w:rsidRDefault="00806609" w:rsidP="00B00391">
            <w:pPr>
              <w:spacing w:after="160" w:line="240" w:lineRule="atLeast"/>
              <w:jc w:val="center"/>
              <w:rPr>
                <w:rFonts w:eastAsiaTheme="minorHAnsi"/>
                <w:b/>
                <w:noProof/>
                <w:color w:val="000000"/>
                <w:sz w:val="20"/>
              </w:rPr>
            </w:pPr>
            <w:r w:rsidRPr="00D020C3">
              <w:rPr>
                <w:b/>
                <w:noProof/>
                <w:color w:val="000000"/>
                <w:sz w:val="20"/>
              </w:rPr>
              <w:t>Opțiunea 2 pentru obiectivele de reducere a deșeurilor alimentare</w:t>
            </w:r>
          </w:p>
        </w:tc>
        <w:tc>
          <w:tcPr>
            <w:tcW w:w="9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F3F9A" w14:textId="77777777" w:rsidR="00806609" w:rsidRPr="00D96C74" w:rsidRDefault="00806609" w:rsidP="00B00391">
            <w:pPr>
              <w:spacing w:after="0"/>
              <w:jc w:val="left"/>
              <w:rPr>
                <w:noProof/>
                <w:color w:val="000000" w:themeColor="text1"/>
                <w:sz w:val="20"/>
              </w:rPr>
            </w:pPr>
            <w:r w:rsidRPr="00D020C3">
              <w:rPr>
                <w:b/>
                <w:noProof/>
                <w:color w:val="000000" w:themeColor="text1"/>
                <w:sz w:val="20"/>
              </w:rPr>
              <w:t>Costuri economice</w:t>
            </w:r>
          </w:p>
          <w:p w14:paraId="2467EE75" w14:textId="77777777" w:rsidR="00806609" w:rsidRPr="00D96C74" w:rsidRDefault="00806609" w:rsidP="0020411B">
            <w:pPr>
              <w:pStyle w:val="ListParagraph"/>
              <w:numPr>
                <w:ilvl w:val="0"/>
                <w:numId w:val="25"/>
              </w:numPr>
              <w:spacing w:before="0" w:after="0"/>
              <w:contextualSpacing w:val="0"/>
              <w:jc w:val="left"/>
              <w:rPr>
                <w:noProof/>
                <w:color w:val="000000" w:themeColor="text1"/>
                <w:sz w:val="20"/>
              </w:rPr>
            </w:pPr>
            <w:r w:rsidRPr="00D020C3">
              <w:rPr>
                <w:noProof/>
                <w:color w:val="000000" w:themeColor="text1"/>
                <w:sz w:val="20"/>
              </w:rPr>
              <w:t>913</w:t>
            </w:r>
            <w:r w:rsidRPr="00D96C74">
              <w:rPr>
                <w:noProof/>
                <w:color w:val="000000" w:themeColor="text1"/>
                <w:sz w:val="20"/>
              </w:rPr>
              <w:t xml:space="preserve"> milioane EUR pe an pentru obligațiile de sortare</w:t>
            </w:r>
          </w:p>
          <w:p w14:paraId="4233CD8E" w14:textId="77777777" w:rsidR="00806609" w:rsidRPr="00D96C74" w:rsidRDefault="00806609" w:rsidP="0020411B">
            <w:pPr>
              <w:pStyle w:val="ListParagraph"/>
              <w:numPr>
                <w:ilvl w:val="0"/>
                <w:numId w:val="25"/>
              </w:numPr>
              <w:spacing w:before="0" w:after="0"/>
              <w:contextualSpacing w:val="0"/>
              <w:jc w:val="left"/>
              <w:rPr>
                <w:noProof/>
                <w:color w:val="000000" w:themeColor="text1"/>
                <w:sz w:val="20"/>
              </w:rPr>
            </w:pPr>
            <w:r w:rsidRPr="00D96C74">
              <w:rPr>
                <w:noProof/>
                <w:color w:val="000000" w:themeColor="text1"/>
                <w:sz w:val="20"/>
              </w:rPr>
              <w:t xml:space="preserve">Costuri de dezvoltare a registrelor de </w:t>
            </w:r>
            <w:r w:rsidRPr="00D020C3">
              <w:rPr>
                <w:noProof/>
                <w:color w:val="000000" w:themeColor="text1"/>
                <w:sz w:val="20"/>
              </w:rPr>
              <w:t>2</w:t>
            </w:r>
            <w:r w:rsidRPr="00D96C74">
              <w:rPr>
                <w:noProof/>
                <w:color w:val="000000" w:themeColor="text1"/>
                <w:sz w:val="20"/>
              </w:rPr>
              <w:t>-</w:t>
            </w:r>
            <w:r w:rsidRPr="00D020C3">
              <w:rPr>
                <w:noProof/>
                <w:color w:val="000000" w:themeColor="text1"/>
                <w:sz w:val="20"/>
              </w:rPr>
              <w:t>12</w:t>
            </w:r>
            <w:r w:rsidRPr="00D96C74">
              <w:rPr>
                <w:noProof/>
                <w:color w:val="000000" w:themeColor="text1"/>
                <w:sz w:val="20"/>
              </w:rPr>
              <w:t>,</w:t>
            </w:r>
            <w:r w:rsidRPr="00D020C3">
              <w:rPr>
                <w:noProof/>
                <w:color w:val="000000" w:themeColor="text1"/>
                <w:sz w:val="20"/>
              </w:rPr>
              <w:t>3</w:t>
            </w:r>
            <w:r w:rsidRPr="00D96C74">
              <w:rPr>
                <w:noProof/>
                <w:color w:val="000000" w:themeColor="text1"/>
                <w:sz w:val="20"/>
              </w:rPr>
              <w:t xml:space="preserve"> milioane EUR pentru toate statele membre și costuri de întreținere de </w:t>
            </w:r>
            <w:r w:rsidRPr="00D020C3">
              <w:rPr>
                <w:noProof/>
                <w:color w:val="000000" w:themeColor="text1"/>
                <w:sz w:val="20"/>
              </w:rPr>
              <w:t>11</w:t>
            </w:r>
            <w:r w:rsidRPr="00D96C74">
              <w:rPr>
                <w:noProof/>
                <w:color w:val="000000" w:themeColor="text1"/>
                <w:sz w:val="20"/>
              </w:rPr>
              <w:t> </w:t>
            </w:r>
            <w:r w:rsidRPr="00D020C3">
              <w:rPr>
                <w:noProof/>
                <w:color w:val="000000" w:themeColor="text1"/>
                <w:sz w:val="20"/>
              </w:rPr>
              <w:t>200</w:t>
            </w:r>
            <w:r w:rsidRPr="00D96C74">
              <w:rPr>
                <w:noProof/>
                <w:color w:val="000000" w:themeColor="text1"/>
                <w:sz w:val="20"/>
              </w:rPr>
              <w:t xml:space="preserve"> EUR și </w:t>
            </w:r>
            <w:r w:rsidRPr="00D020C3">
              <w:rPr>
                <w:noProof/>
                <w:color w:val="000000" w:themeColor="text1"/>
                <w:sz w:val="20"/>
              </w:rPr>
              <w:t>69</w:t>
            </w:r>
            <w:r w:rsidRPr="00D96C74">
              <w:rPr>
                <w:noProof/>
                <w:color w:val="000000" w:themeColor="text1"/>
                <w:sz w:val="20"/>
              </w:rPr>
              <w:t> </w:t>
            </w:r>
            <w:r w:rsidRPr="00D020C3">
              <w:rPr>
                <w:noProof/>
                <w:color w:val="000000" w:themeColor="text1"/>
                <w:sz w:val="20"/>
              </w:rPr>
              <w:t>000</w:t>
            </w:r>
            <w:r w:rsidRPr="00D96C74">
              <w:rPr>
                <w:noProof/>
                <w:color w:val="000000" w:themeColor="text1"/>
                <w:sz w:val="20"/>
              </w:rPr>
              <w:t> EUR pe an pentru fiecare stat membru</w:t>
            </w:r>
          </w:p>
          <w:p w14:paraId="58618C43" w14:textId="77777777" w:rsidR="00806609" w:rsidRPr="00D96C74" w:rsidRDefault="00806609" w:rsidP="0020411B">
            <w:pPr>
              <w:pStyle w:val="ListParagraph"/>
              <w:numPr>
                <w:ilvl w:val="0"/>
                <w:numId w:val="25"/>
              </w:numPr>
              <w:spacing w:before="0" w:after="0"/>
              <w:contextualSpacing w:val="0"/>
              <w:jc w:val="left"/>
              <w:rPr>
                <w:noProof/>
                <w:color w:val="000000" w:themeColor="text1"/>
                <w:sz w:val="20"/>
              </w:rPr>
            </w:pPr>
            <w:r w:rsidRPr="00D020C3">
              <w:rPr>
                <w:noProof/>
                <w:color w:val="000000" w:themeColor="text1"/>
                <w:sz w:val="20"/>
              </w:rPr>
              <w:t>7</w:t>
            </w:r>
            <w:r w:rsidRPr="00D96C74">
              <w:rPr>
                <w:noProof/>
                <w:color w:val="000000" w:themeColor="text1"/>
                <w:sz w:val="20"/>
              </w:rPr>
              <w:t>,</w:t>
            </w:r>
            <w:r w:rsidRPr="00D020C3">
              <w:rPr>
                <w:noProof/>
                <w:color w:val="000000" w:themeColor="text1"/>
                <w:sz w:val="20"/>
              </w:rPr>
              <w:t>79</w:t>
            </w:r>
            <w:r w:rsidRPr="00D96C74">
              <w:rPr>
                <w:noProof/>
                <w:color w:val="000000" w:themeColor="text1"/>
                <w:sz w:val="20"/>
              </w:rPr>
              <w:t xml:space="preserve"> milioane EUR pe an pentru producători pentru rapoartele elaborate în scopul REP</w:t>
            </w:r>
          </w:p>
          <w:p w14:paraId="314ED1B7" w14:textId="77777777" w:rsidR="00806609" w:rsidRPr="00D96C74" w:rsidRDefault="00806609" w:rsidP="0020411B">
            <w:pPr>
              <w:pStyle w:val="ListParagraph"/>
              <w:numPr>
                <w:ilvl w:val="0"/>
                <w:numId w:val="25"/>
              </w:numPr>
              <w:spacing w:before="0" w:after="0"/>
              <w:contextualSpacing w:val="0"/>
              <w:jc w:val="left"/>
              <w:rPr>
                <w:noProof/>
                <w:color w:val="000000" w:themeColor="text1"/>
                <w:sz w:val="20"/>
              </w:rPr>
            </w:pPr>
            <w:r w:rsidRPr="00D020C3">
              <w:rPr>
                <w:noProof/>
                <w:color w:val="000000" w:themeColor="text1"/>
                <w:sz w:val="20"/>
              </w:rPr>
              <w:t>4</w:t>
            </w:r>
            <w:r w:rsidRPr="00D96C74">
              <w:rPr>
                <w:noProof/>
                <w:color w:val="000000" w:themeColor="text1"/>
                <w:sz w:val="20"/>
              </w:rPr>
              <w:t>,</w:t>
            </w:r>
            <w:r w:rsidRPr="00D020C3">
              <w:rPr>
                <w:noProof/>
                <w:color w:val="000000" w:themeColor="text1"/>
                <w:sz w:val="20"/>
              </w:rPr>
              <w:t>04</w:t>
            </w:r>
            <w:r w:rsidRPr="00D96C74">
              <w:rPr>
                <w:noProof/>
                <w:color w:val="000000" w:themeColor="text1"/>
                <w:sz w:val="20"/>
              </w:rPr>
              <w:t xml:space="preserve"> milioane EUR costuri de exploatare a registrelor și pentru inspecțiile PRO</w:t>
            </w:r>
          </w:p>
          <w:p w14:paraId="37D0181F" w14:textId="4C9ACC29" w:rsidR="00806609" w:rsidRPr="00D96C74" w:rsidRDefault="00806609" w:rsidP="0020411B">
            <w:pPr>
              <w:pStyle w:val="ListParagraph"/>
              <w:numPr>
                <w:ilvl w:val="0"/>
                <w:numId w:val="25"/>
              </w:numPr>
              <w:spacing w:before="0" w:after="0"/>
              <w:contextualSpacing w:val="0"/>
              <w:jc w:val="left"/>
              <w:rPr>
                <w:noProof/>
                <w:color w:val="000000" w:themeColor="text1"/>
                <w:sz w:val="20"/>
              </w:rPr>
            </w:pPr>
            <w:r w:rsidRPr="00D020C3">
              <w:rPr>
                <w:noProof/>
                <w:color w:val="000000" w:themeColor="text1"/>
                <w:sz w:val="20"/>
              </w:rPr>
              <w:t>39</w:t>
            </w:r>
            <w:r w:rsidRPr="00D96C74">
              <w:rPr>
                <w:noProof/>
                <w:color w:val="000000" w:themeColor="text1"/>
                <w:sz w:val="20"/>
              </w:rPr>
              <w:t>,</w:t>
            </w:r>
            <w:r w:rsidRPr="00D020C3">
              <w:rPr>
                <w:noProof/>
                <w:color w:val="000000" w:themeColor="text1"/>
                <w:sz w:val="20"/>
              </w:rPr>
              <w:t>2</w:t>
            </w:r>
            <w:r w:rsidRPr="00D96C74">
              <w:rPr>
                <w:noProof/>
                <w:color w:val="000000" w:themeColor="text1"/>
                <w:sz w:val="20"/>
              </w:rPr>
              <w:t xml:space="preserve"> milioane EUR pe an pentru colectarea, sortarea și tratarea suplimentară a textilelor în vederea atingerii obiectivului de colectare de </w:t>
            </w:r>
            <w:r w:rsidRPr="00D020C3">
              <w:rPr>
                <w:noProof/>
                <w:color w:val="000000" w:themeColor="text1"/>
                <w:sz w:val="20"/>
              </w:rPr>
              <w:t>50</w:t>
            </w:r>
            <w:r w:rsidRPr="00D96C74">
              <w:rPr>
                <w:noProof/>
                <w:color w:val="000000" w:themeColor="text1"/>
                <w:sz w:val="20"/>
              </w:rPr>
              <w:t xml:space="preserve"> % </w:t>
            </w:r>
          </w:p>
          <w:p w14:paraId="453A3168" w14:textId="699715DC" w:rsidR="00806609" w:rsidRPr="00D96C74" w:rsidRDefault="00806609" w:rsidP="0020411B">
            <w:pPr>
              <w:pStyle w:val="ListParagraph"/>
              <w:numPr>
                <w:ilvl w:val="0"/>
                <w:numId w:val="25"/>
              </w:numPr>
              <w:spacing w:before="0" w:after="0"/>
              <w:contextualSpacing w:val="0"/>
              <w:jc w:val="left"/>
              <w:rPr>
                <w:noProof/>
                <w:color w:val="000000" w:themeColor="text1"/>
                <w:sz w:val="20"/>
              </w:rPr>
            </w:pPr>
            <w:r w:rsidRPr="00D020C3">
              <w:rPr>
                <w:noProof/>
                <w:color w:val="000000" w:themeColor="text1"/>
                <w:sz w:val="20"/>
              </w:rPr>
              <w:t>208</w:t>
            </w:r>
            <w:r w:rsidRPr="00D96C74">
              <w:rPr>
                <w:noProof/>
                <w:color w:val="000000" w:themeColor="text1"/>
                <w:sz w:val="20"/>
              </w:rPr>
              <w:t xml:space="preserve"> EUR pentru fiecare autoritate competentă și </w:t>
            </w:r>
            <w:r w:rsidRPr="00D020C3">
              <w:rPr>
                <w:noProof/>
                <w:color w:val="000000" w:themeColor="text1"/>
                <w:sz w:val="20"/>
              </w:rPr>
              <w:t>78</w:t>
            </w:r>
            <w:r w:rsidRPr="00D96C74">
              <w:rPr>
                <w:noProof/>
                <w:color w:val="000000" w:themeColor="text1"/>
                <w:sz w:val="20"/>
              </w:rPr>
              <w:t xml:space="preserve"> EUR pentru fiecare exportator, anualizate per inspecție </w:t>
            </w:r>
          </w:p>
          <w:p w14:paraId="64863BF2" w14:textId="77777777" w:rsidR="00806609" w:rsidRPr="00D96C74" w:rsidRDefault="00806609" w:rsidP="0020411B">
            <w:pPr>
              <w:pStyle w:val="ListParagraph"/>
              <w:numPr>
                <w:ilvl w:val="0"/>
                <w:numId w:val="25"/>
              </w:numPr>
              <w:spacing w:before="0" w:after="0"/>
              <w:jc w:val="left"/>
              <w:rPr>
                <w:noProof/>
                <w:color w:val="000000" w:themeColor="text1"/>
                <w:sz w:val="20"/>
              </w:rPr>
            </w:pPr>
            <w:r w:rsidRPr="00D020C3">
              <w:rPr>
                <w:noProof/>
                <w:color w:val="000000" w:themeColor="text1"/>
                <w:sz w:val="20"/>
              </w:rPr>
              <w:t>750</w:t>
            </w:r>
            <w:r w:rsidRPr="00D96C74">
              <w:rPr>
                <w:noProof/>
                <w:color w:val="000000" w:themeColor="text1"/>
                <w:sz w:val="20"/>
              </w:rPr>
              <w:t> </w:t>
            </w:r>
            <w:r w:rsidRPr="00D020C3">
              <w:rPr>
                <w:noProof/>
                <w:color w:val="000000" w:themeColor="text1"/>
                <w:sz w:val="20"/>
              </w:rPr>
              <w:t>000</w:t>
            </w:r>
            <w:r w:rsidRPr="00D96C74">
              <w:rPr>
                <w:noProof/>
                <w:color w:val="000000" w:themeColor="text1"/>
                <w:sz w:val="20"/>
              </w:rPr>
              <w:t xml:space="preserve"> EUR pe an pentru întreprinderile din UE pentru a respecta obligațiile de raportare ale UE </w:t>
            </w:r>
          </w:p>
          <w:p w14:paraId="0CB6929A" w14:textId="77777777" w:rsidR="00806609" w:rsidRPr="00D96C74" w:rsidRDefault="00806609" w:rsidP="0020411B">
            <w:pPr>
              <w:pStyle w:val="ListParagraph"/>
              <w:numPr>
                <w:ilvl w:val="0"/>
                <w:numId w:val="25"/>
              </w:numPr>
              <w:spacing w:before="0" w:after="0"/>
              <w:contextualSpacing w:val="0"/>
              <w:jc w:val="left"/>
              <w:rPr>
                <w:noProof/>
                <w:color w:val="000000" w:themeColor="text1"/>
                <w:sz w:val="20"/>
              </w:rPr>
            </w:pPr>
            <w:r w:rsidRPr="00D020C3">
              <w:rPr>
                <w:noProof/>
                <w:color w:val="000000" w:themeColor="text1"/>
                <w:sz w:val="20"/>
              </w:rPr>
              <w:t>26</w:t>
            </w:r>
            <w:r w:rsidRPr="00D96C74">
              <w:rPr>
                <w:noProof/>
                <w:color w:val="000000" w:themeColor="text1"/>
                <w:sz w:val="20"/>
              </w:rPr>
              <w:t>,</w:t>
            </w:r>
            <w:r w:rsidRPr="00D020C3">
              <w:rPr>
                <w:noProof/>
                <w:color w:val="000000" w:themeColor="text1"/>
                <w:sz w:val="20"/>
              </w:rPr>
              <w:t>5</w:t>
            </w:r>
            <w:r w:rsidRPr="00D96C74">
              <w:rPr>
                <w:noProof/>
                <w:color w:val="000000" w:themeColor="text1"/>
                <w:sz w:val="20"/>
              </w:rPr>
              <w:t xml:space="preserve"> milioane EUR </w:t>
            </w:r>
            <w:r w:rsidRPr="00D96C74">
              <w:rPr>
                <w:noProof/>
                <w:color w:val="000000" w:themeColor="text1"/>
                <w:sz w:val="20"/>
              </w:rPr>
              <w:fldChar w:fldCharType="begin" w:fldLock="1"/>
            </w:r>
            <w:r w:rsidRPr="00D96C74">
              <w:rPr>
                <w:noProof/>
                <w:color w:val="000000" w:themeColor="text1"/>
                <w:sz w:val="20"/>
              </w:rPr>
              <w:fldChar w:fldCharType="separate"/>
            </w:r>
            <w:r w:rsidRPr="00D96C74">
              <w:rPr>
                <w:noProof/>
                <w:color w:val="000000" w:themeColor="text1"/>
                <w:sz w:val="20"/>
              </w:rPr>
              <w:t>Landfill</w:t>
            </w:r>
            <w:r w:rsidRPr="00D96C74">
              <w:rPr>
                <w:noProof/>
                <w:color w:val="000000" w:themeColor="text1"/>
                <w:sz w:val="20"/>
              </w:rPr>
              <w:fldChar w:fldCharType="end"/>
            </w:r>
            <w:r w:rsidRPr="00D96C74">
              <w:rPr>
                <w:noProof/>
                <w:color w:val="000000" w:themeColor="text1"/>
                <w:sz w:val="20"/>
              </w:rPr>
              <w:t>pierderi de taxe legate de depozitare a deșeurilor pentru statele membre ca urmare a faptului că textilele care nu mai ajung în depozitele de deșeuri</w:t>
            </w:r>
          </w:p>
          <w:p w14:paraId="5322CFB2" w14:textId="77777777" w:rsidR="00806609" w:rsidRPr="00D96C74" w:rsidRDefault="00806609" w:rsidP="0020411B">
            <w:pPr>
              <w:pStyle w:val="ListParagraph"/>
              <w:numPr>
                <w:ilvl w:val="0"/>
                <w:numId w:val="25"/>
              </w:numPr>
              <w:spacing w:before="0" w:after="0"/>
              <w:contextualSpacing w:val="0"/>
              <w:jc w:val="left"/>
              <w:rPr>
                <w:noProof/>
                <w:color w:val="000000" w:themeColor="text1"/>
                <w:sz w:val="20"/>
              </w:rPr>
            </w:pPr>
            <w:r w:rsidRPr="00D96C74">
              <w:rPr>
                <w:noProof/>
                <w:color w:val="000000" w:themeColor="text1"/>
                <w:sz w:val="20"/>
              </w:rPr>
              <w:t xml:space="preserve">Reducerea cu </w:t>
            </w:r>
            <w:r w:rsidRPr="00D020C3">
              <w:rPr>
                <w:noProof/>
                <w:color w:val="000000" w:themeColor="text1"/>
                <w:sz w:val="20"/>
              </w:rPr>
              <w:t>4</w:t>
            </w:r>
            <w:r w:rsidRPr="00D96C74">
              <w:rPr>
                <w:noProof/>
                <w:color w:val="000000" w:themeColor="text1"/>
                <w:sz w:val="20"/>
              </w:rPr>
              <w:t>,</w:t>
            </w:r>
            <w:r w:rsidRPr="00D020C3">
              <w:rPr>
                <w:noProof/>
                <w:color w:val="000000" w:themeColor="text1"/>
                <w:sz w:val="20"/>
              </w:rPr>
              <w:t>2</w:t>
            </w:r>
            <w:r w:rsidRPr="00D96C74">
              <w:rPr>
                <w:noProof/>
                <w:color w:val="000000" w:themeColor="text1"/>
                <w:sz w:val="20"/>
              </w:rPr>
              <w:t> % a cererii de produse alimentare și modificarea cu -</w:t>
            </w:r>
            <w:r w:rsidRPr="00D020C3">
              <w:rPr>
                <w:noProof/>
                <w:color w:val="000000" w:themeColor="text1"/>
                <w:sz w:val="20"/>
              </w:rPr>
              <w:t>1</w:t>
            </w:r>
            <w:r w:rsidRPr="00D96C74">
              <w:rPr>
                <w:noProof/>
                <w:color w:val="000000" w:themeColor="text1"/>
                <w:sz w:val="20"/>
              </w:rPr>
              <w:t>,</w:t>
            </w:r>
            <w:r w:rsidRPr="00D020C3">
              <w:rPr>
                <w:noProof/>
                <w:color w:val="000000" w:themeColor="text1"/>
                <w:sz w:val="20"/>
              </w:rPr>
              <w:t>8</w:t>
            </w:r>
            <w:r w:rsidRPr="00D96C74">
              <w:rPr>
                <w:noProof/>
                <w:color w:val="000000" w:themeColor="text1"/>
                <w:sz w:val="20"/>
              </w:rPr>
              <w:t xml:space="preserve"> % a valorii producției agroalimentare, alături de o scădere a prețurilor de piață cuprinsă între </w:t>
            </w:r>
            <w:r w:rsidRPr="00D020C3">
              <w:rPr>
                <w:noProof/>
                <w:color w:val="000000" w:themeColor="text1"/>
                <w:sz w:val="20"/>
              </w:rPr>
              <w:t>0</w:t>
            </w:r>
            <w:r w:rsidRPr="00D96C74">
              <w:rPr>
                <w:noProof/>
                <w:color w:val="000000" w:themeColor="text1"/>
                <w:sz w:val="20"/>
              </w:rPr>
              <w:t>,</w:t>
            </w:r>
            <w:r w:rsidRPr="00D020C3">
              <w:rPr>
                <w:noProof/>
                <w:color w:val="000000" w:themeColor="text1"/>
                <w:sz w:val="20"/>
              </w:rPr>
              <w:t>1</w:t>
            </w:r>
            <w:r w:rsidRPr="00D96C74">
              <w:rPr>
                <w:noProof/>
                <w:color w:val="000000" w:themeColor="text1"/>
                <w:sz w:val="20"/>
              </w:rPr>
              <w:t xml:space="preserve"> % și </w:t>
            </w:r>
            <w:r w:rsidRPr="00D020C3">
              <w:rPr>
                <w:noProof/>
                <w:color w:val="000000" w:themeColor="text1"/>
                <w:sz w:val="20"/>
              </w:rPr>
              <w:t>2</w:t>
            </w:r>
            <w:r w:rsidRPr="00D96C74">
              <w:rPr>
                <w:noProof/>
                <w:color w:val="000000" w:themeColor="text1"/>
                <w:sz w:val="20"/>
              </w:rPr>
              <w:t>,</w:t>
            </w:r>
            <w:r w:rsidRPr="00D020C3">
              <w:rPr>
                <w:noProof/>
                <w:color w:val="000000" w:themeColor="text1"/>
                <w:sz w:val="20"/>
              </w:rPr>
              <w:t>6</w:t>
            </w:r>
            <w:r w:rsidRPr="00D96C74">
              <w:rPr>
                <w:noProof/>
                <w:color w:val="000000" w:themeColor="text1"/>
                <w:sz w:val="20"/>
              </w:rPr>
              <w:t> %</w:t>
            </w:r>
          </w:p>
          <w:p w14:paraId="7986D0E1" w14:textId="77777777" w:rsidR="00806609" w:rsidRPr="00D96C74" w:rsidRDefault="00806609" w:rsidP="0020411B">
            <w:pPr>
              <w:pStyle w:val="ListParagraph"/>
              <w:numPr>
                <w:ilvl w:val="0"/>
                <w:numId w:val="25"/>
              </w:numPr>
              <w:spacing w:before="0" w:after="0"/>
              <w:contextualSpacing w:val="0"/>
              <w:jc w:val="left"/>
              <w:rPr>
                <w:noProof/>
                <w:color w:val="000000" w:themeColor="text1"/>
                <w:sz w:val="20"/>
              </w:rPr>
            </w:pPr>
            <w:r w:rsidRPr="00D96C74">
              <w:rPr>
                <w:noProof/>
                <w:color w:val="000000" w:themeColor="text1"/>
                <w:sz w:val="20"/>
              </w:rPr>
              <w:t xml:space="preserve">Scădere a veniturilor agricole cu </w:t>
            </w:r>
            <w:r w:rsidRPr="00D020C3">
              <w:rPr>
                <w:noProof/>
                <w:color w:val="000000" w:themeColor="text1"/>
                <w:sz w:val="20"/>
              </w:rPr>
              <w:t>4</w:t>
            </w:r>
            <w:r w:rsidRPr="00D96C74">
              <w:rPr>
                <w:noProof/>
                <w:color w:val="000000" w:themeColor="text1"/>
                <w:sz w:val="20"/>
              </w:rPr>
              <w:t>,</w:t>
            </w:r>
            <w:r w:rsidRPr="00D020C3">
              <w:rPr>
                <w:noProof/>
                <w:color w:val="000000" w:themeColor="text1"/>
                <w:sz w:val="20"/>
              </w:rPr>
              <w:t>2</w:t>
            </w:r>
            <w:r w:rsidRPr="00D96C74">
              <w:rPr>
                <w:noProof/>
                <w:color w:val="000000" w:themeColor="text1"/>
                <w:sz w:val="20"/>
              </w:rPr>
              <w:t xml:space="preserve"> miliarde EUR pe an</w:t>
            </w:r>
          </w:p>
          <w:p w14:paraId="54E193B3" w14:textId="63B969B7" w:rsidR="00CA3C44" w:rsidRPr="00D96C74" w:rsidRDefault="00806609" w:rsidP="00B00391">
            <w:pPr>
              <w:spacing w:after="0"/>
              <w:rPr>
                <w:noProof/>
                <w:color w:val="000000" w:themeColor="text1"/>
                <w:sz w:val="20"/>
              </w:rPr>
            </w:pPr>
            <w:r w:rsidRPr="00D96C74">
              <w:rPr>
                <w:noProof/>
                <w:color w:val="000000" w:themeColor="text1"/>
                <w:sz w:val="20"/>
              </w:rPr>
              <w:t xml:space="preserve">Costurile totale de ajustare pentru reducerea deșeurilor alimentare de către actorii din lanțul alimentar – </w:t>
            </w:r>
            <w:r w:rsidRPr="00D020C3">
              <w:rPr>
                <w:noProof/>
                <w:color w:val="000000" w:themeColor="text1"/>
                <w:sz w:val="20"/>
              </w:rPr>
              <w:t>2</w:t>
            </w:r>
            <w:r w:rsidRPr="00D96C74">
              <w:rPr>
                <w:noProof/>
                <w:color w:val="000000" w:themeColor="text1"/>
                <w:sz w:val="20"/>
              </w:rPr>
              <w:t xml:space="preserve"> miliarde EUR [</w:t>
            </w:r>
            <w:r w:rsidRPr="00D020C3">
              <w:rPr>
                <w:noProof/>
                <w:color w:val="000000" w:themeColor="text1"/>
                <w:sz w:val="20"/>
              </w:rPr>
              <w:t>41</w:t>
            </w:r>
            <w:r w:rsidR="00D020C3">
              <w:rPr>
                <w:noProof/>
                <w:color w:val="000000" w:themeColor="text1"/>
                <w:sz w:val="20"/>
              </w:rPr>
              <w:t> </w:t>
            </w:r>
            <w:r w:rsidRPr="00D96C74">
              <w:rPr>
                <w:noProof/>
                <w:color w:val="000000" w:themeColor="text1"/>
                <w:sz w:val="20"/>
              </w:rPr>
              <w:t xml:space="preserve">EUR/tonă de deșeuri alimentare evitate]  </w:t>
            </w:r>
          </w:p>
          <w:p w14:paraId="4408332F" w14:textId="15F78CCF" w:rsidR="00806609" w:rsidRPr="00D020C3" w:rsidRDefault="00806609" w:rsidP="00B00391">
            <w:pPr>
              <w:spacing w:after="0"/>
              <w:rPr>
                <w:b/>
                <w:noProof/>
                <w:color w:val="000000"/>
                <w:sz w:val="20"/>
              </w:rPr>
            </w:pPr>
            <w:r w:rsidRPr="00D020C3">
              <w:rPr>
                <w:b/>
                <w:noProof/>
                <w:color w:val="000000"/>
                <w:sz w:val="20"/>
              </w:rPr>
              <w:t>Beneficii economice pentru sectorul textilelor</w:t>
            </w:r>
          </w:p>
          <w:p w14:paraId="09A07E33" w14:textId="77777777" w:rsidR="00806609" w:rsidRPr="00D96C74" w:rsidRDefault="00806609" w:rsidP="0020411B">
            <w:pPr>
              <w:pStyle w:val="ListParagraph"/>
              <w:numPr>
                <w:ilvl w:val="0"/>
                <w:numId w:val="23"/>
              </w:numPr>
              <w:spacing w:before="0" w:after="0"/>
              <w:contextualSpacing w:val="0"/>
              <w:jc w:val="left"/>
              <w:rPr>
                <w:noProof/>
                <w:color w:val="000000"/>
                <w:sz w:val="20"/>
              </w:rPr>
            </w:pPr>
            <w:r w:rsidRPr="00E86B79">
              <w:rPr>
                <w:noProof/>
                <w:color w:val="000000"/>
                <w:sz w:val="20"/>
                <w:u w:val="single"/>
              </w:rPr>
              <w:t>REP</w:t>
            </w:r>
            <w:r w:rsidRPr="00D96C74">
              <w:rPr>
                <w:noProof/>
                <w:color w:val="000000"/>
                <w:sz w:val="20"/>
              </w:rPr>
              <w:t xml:space="preserve">: </w:t>
            </w:r>
            <w:r w:rsidRPr="00D020C3">
              <w:rPr>
                <w:noProof/>
                <w:color w:val="000000" w:themeColor="text1"/>
                <w:sz w:val="20"/>
              </w:rPr>
              <w:t>3</w:t>
            </w:r>
            <w:r w:rsidRPr="00D96C74">
              <w:rPr>
                <w:noProof/>
                <w:color w:val="000000" w:themeColor="text1"/>
                <w:sz w:val="20"/>
              </w:rPr>
              <w:t>,</w:t>
            </w:r>
            <w:r w:rsidRPr="00D020C3">
              <w:rPr>
                <w:noProof/>
                <w:color w:val="000000" w:themeColor="text1"/>
                <w:sz w:val="20"/>
              </w:rPr>
              <w:t>5</w:t>
            </w:r>
            <w:r w:rsidRPr="00D96C74">
              <w:rPr>
                <w:noProof/>
                <w:color w:val="000000" w:themeColor="text1"/>
                <w:sz w:val="20"/>
              </w:rPr>
              <w:t>-</w:t>
            </w:r>
            <w:r w:rsidRPr="00D020C3">
              <w:rPr>
                <w:noProof/>
                <w:color w:val="000000" w:themeColor="text1"/>
                <w:sz w:val="20"/>
              </w:rPr>
              <w:t>4</w:t>
            </w:r>
            <w:r w:rsidRPr="00D96C74">
              <w:rPr>
                <w:noProof/>
                <w:color w:val="000000" w:themeColor="text1"/>
                <w:sz w:val="20"/>
              </w:rPr>
              <w:t>,</w:t>
            </w:r>
            <w:r w:rsidRPr="00D020C3">
              <w:rPr>
                <w:noProof/>
                <w:color w:val="000000" w:themeColor="text1"/>
                <w:sz w:val="20"/>
              </w:rPr>
              <w:t>5</w:t>
            </w:r>
            <w:r w:rsidRPr="00D96C74">
              <w:rPr>
                <w:noProof/>
                <w:color w:val="000000" w:themeColor="text1"/>
                <w:sz w:val="20"/>
              </w:rPr>
              <w:t xml:space="preserve"> miliarde EUR</w:t>
            </w:r>
            <w:r w:rsidRPr="00D96C74">
              <w:rPr>
                <w:noProof/>
                <w:color w:val="000000"/>
                <w:sz w:val="20"/>
              </w:rPr>
              <w:t xml:space="preserve"> randament total anual al investițiilor în reciclare (incluzând beneficiile indicate pentru celelalte măsuri)</w:t>
            </w:r>
          </w:p>
          <w:p w14:paraId="6D16221F" w14:textId="77777777" w:rsidR="00806609" w:rsidRPr="00D96C74" w:rsidRDefault="1AADFA35" w:rsidP="0020411B">
            <w:pPr>
              <w:pStyle w:val="ListParagraph"/>
              <w:numPr>
                <w:ilvl w:val="0"/>
                <w:numId w:val="23"/>
              </w:numPr>
              <w:spacing w:before="0" w:after="0"/>
              <w:rPr>
                <w:noProof/>
                <w:color w:val="000000"/>
                <w:sz w:val="20"/>
              </w:rPr>
            </w:pPr>
            <w:r w:rsidRPr="00E86B79">
              <w:rPr>
                <w:noProof/>
                <w:color w:val="000000" w:themeColor="text1"/>
                <w:sz w:val="20"/>
                <w:u w:val="single"/>
              </w:rPr>
              <w:t>Sortare suplimentară</w:t>
            </w:r>
            <w:r w:rsidRPr="00D96C74">
              <w:rPr>
                <w:noProof/>
                <w:color w:val="000000" w:themeColor="text1"/>
                <w:sz w:val="20"/>
              </w:rPr>
              <w:t xml:space="preserve">: </w:t>
            </w:r>
            <w:r w:rsidRPr="00D020C3">
              <w:rPr>
                <w:noProof/>
                <w:sz w:val="20"/>
              </w:rPr>
              <w:t>534</w:t>
            </w:r>
            <w:r w:rsidRPr="00D96C74">
              <w:rPr>
                <w:noProof/>
                <w:sz w:val="20"/>
              </w:rPr>
              <w:t xml:space="preserve"> de milioane </w:t>
            </w:r>
            <w:r w:rsidRPr="00D96C74">
              <w:rPr>
                <w:noProof/>
                <w:color w:val="000000" w:themeColor="text1"/>
                <w:sz w:val="20"/>
              </w:rPr>
              <w:t>EUR</w:t>
            </w:r>
            <w:r w:rsidRPr="00D96C74">
              <w:rPr>
                <w:noProof/>
                <w:sz w:val="20"/>
              </w:rPr>
              <w:t xml:space="preserve"> pe an </w:t>
            </w:r>
            <w:r w:rsidRPr="00D96C74">
              <w:rPr>
                <w:noProof/>
                <w:color w:val="000000" w:themeColor="text1"/>
                <w:sz w:val="20"/>
              </w:rPr>
              <w:t xml:space="preserve">valoarea reutilizării și </w:t>
            </w:r>
            <w:r w:rsidRPr="00D020C3">
              <w:rPr>
                <w:noProof/>
                <w:color w:val="000000" w:themeColor="text1"/>
                <w:sz w:val="20"/>
              </w:rPr>
              <w:t>94</w:t>
            </w:r>
            <w:r w:rsidRPr="00D96C74">
              <w:rPr>
                <w:noProof/>
                <w:color w:val="000000" w:themeColor="text1"/>
                <w:sz w:val="20"/>
              </w:rPr>
              <w:t xml:space="preserve"> de milioane EUR pe an valoarea reciclării</w:t>
            </w:r>
          </w:p>
          <w:p w14:paraId="0527F6ED" w14:textId="77777777" w:rsidR="00806609" w:rsidRPr="00D96C74" w:rsidRDefault="1AADFA35" w:rsidP="0020411B">
            <w:pPr>
              <w:pStyle w:val="ListParagraph"/>
              <w:numPr>
                <w:ilvl w:val="0"/>
                <w:numId w:val="23"/>
              </w:numPr>
              <w:spacing w:before="0" w:after="0"/>
              <w:jc w:val="left"/>
              <w:rPr>
                <w:noProof/>
                <w:color w:val="000000"/>
                <w:sz w:val="20"/>
              </w:rPr>
            </w:pPr>
            <w:r w:rsidRPr="00E86B79">
              <w:rPr>
                <w:noProof/>
                <w:color w:val="000000" w:themeColor="text1"/>
                <w:sz w:val="20"/>
                <w:u w:val="single"/>
              </w:rPr>
              <w:t>Colectare suplimentară</w:t>
            </w:r>
            <w:r w:rsidRPr="00D020C3">
              <w:rPr>
                <w:b/>
                <w:noProof/>
                <w:color w:val="000000" w:themeColor="text1"/>
                <w:sz w:val="20"/>
              </w:rPr>
              <w:t>:</w:t>
            </w:r>
            <w:r w:rsidRPr="00D96C74">
              <w:rPr>
                <w:noProof/>
                <w:color w:val="000000" w:themeColor="text1"/>
                <w:sz w:val="20"/>
              </w:rPr>
              <w:t xml:space="preserve"> </w:t>
            </w:r>
            <w:r w:rsidRPr="00D020C3">
              <w:rPr>
                <w:noProof/>
                <w:color w:val="000000" w:themeColor="text1"/>
                <w:sz w:val="20"/>
              </w:rPr>
              <w:t>28</w:t>
            </w:r>
            <w:r w:rsidRPr="00D96C74">
              <w:rPr>
                <w:noProof/>
                <w:color w:val="000000" w:themeColor="text1"/>
                <w:sz w:val="20"/>
              </w:rPr>
              <w:t xml:space="preserve"> de milioane EUR pe an valoarea combinată a reutilizării și reciclării</w:t>
            </w:r>
          </w:p>
          <w:p w14:paraId="693898B8" w14:textId="77777777" w:rsidR="00806609" w:rsidRPr="00D020C3" w:rsidRDefault="00806609" w:rsidP="00B00391">
            <w:pPr>
              <w:spacing w:after="0"/>
              <w:jc w:val="left"/>
              <w:rPr>
                <w:b/>
                <w:noProof/>
                <w:color w:val="000000"/>
                <w:sz w:val="20"/>
              </w:rPr>
            </w:pPr>
            <w:r w:rsidRPr="00D020C3">
              <w:rPr>
                <w:b/>
                <w:noProof/>
                <w:color w:val="000000"/>
                <w:sz w:val="20"/>
              </w:rPr>
              <w:t>Beneficii economice ale reducerii deșeurilor alimentare</w:t>
            </w:r>
          </w:p>
          <w:p w14:paraId="3B47B4A5" w14:textId="77777777" w:rsidR="00806609" w:rsidRPr="00D96C74" w:rsidRDefault="00806609" w:rsidP="0020411B">
            <w:pPr>
              <w:pStyle w:val="ListParagraph"/>
              <w:numPr>
                <w:ilvl w:val="0"/>
                <w:numId w:val="26"/>
              </w:numPr>
              <w:spacing w:before="0" w:after="0"/>
              <w:jc w:val="left"/>
              <w:rPr>
                <w:noProof/>
                <w:color w:val="000000"/>
                <w:sz w:val="20"/>
              </w:rPr>
            </w:pPr>
            <w:r w:rsidRPr="00D96C74">
              <w:rPr>
                <w:noProof/>
                <w:color w:val="000000"/>
                <w:sz w:val="20"/>
              </w:rPr>
              <w:t xml:space="preserve">valoare adăugată globală pentru economia UE în cuantum de </w:t>
            </w:r>
            <w:r w:rsidRPr="00D020C3">
              <w:rPr>
                <w:noProof/>
                <w:color w:val="000000" w:themeColor="text1"/>
                <w:sz w:val="20"/>
              </w:rPr>
              <w:t>1</w:t>
            </w:r>
            <w:r w:rsidRPr="00D96C74">
              <w:rPr>
                <w:noProof/>
                <w:color w:val="000000" w:themeColor="text1"/>
                <w:sz w:val="20"/>
              </w:rPr>
              <w:t>,</w:t>
            </w:r>
            <w:r w:rsidRPr="00D020C3">
              <w:rPr>
                <w:noProof/>
                <w:color w:val="000000" w:themeColor="text1"/>
                <w:sz w:val="20"/>
              </w:rPr>
              <w:t>6</w:t>
            </w:r>
            <w:r w:rsidRPr="00D96C74">
              <w:rPr>
                <w:noProof/>
                <w:color w:val="000000" w:themeColor="text1"/>
                <w:sz w:val="20"/>
              </w:rPr>
              <w:t xml:space="preserve"> miliarde EUR</w:t>
            </w:r>
            <w:r w:rsidRPr="00D96C74">
              <w:rPr>
                <w:noProof/>
                <w:color w:val="000000"/>
                <w:sz w:val="20"/>
              </w:rPr>
              <w:t xml:space="preserve"> (inclusiv costurile menționate mai sus)</w:t>
            </w:r>
          </w:p>
          <w:p w14:paraId="48E9E3B3" w14:textId="77777777" w:rsidR="00806609" w:rsidRPr="00D96C74" w:rsidRDefault="00806609" w:rsidP="0020411B">
            <w:pPr>
              <w:pStyle w:val="ListParagraph"/>
              <w:numPr>
                <w:ilvl w:val="0"/>
                <w:numId w:val="24"/>
              </w:numPr>
              <w:spacing w:before="0" w:after="0"/>
              <w:contextualSpacing w:val="0"/>
              <w:jc w:val="left"/>
              <w:rPr>
                <w:noProof/>
                <w:color w:val="000000"/>
                <w:sz w:val="20"/>
              </w:rPr>
            </w:pPr>
            <w:r w:rsidRPr="00D96C74">
              <w:rPr>
                <w:noProof/>
                <w:color w:val="000000"/>
                <w:sz w:val="20"/>
              </w:rPr>
              <w:t xml:space="preserve">economii în ceea ce privește cheltuielile alimentare ale gospodăriilor de </w:t>
            </w:r>
            <w:r w:rsidRPr="00D020C3">
              <w:rPr>
                <w:noProof/>
                <w:color w:val="000000" w:themeColor="text1"/>
                <w:sz w:val="20"/>
              </w:rPr>
              <w:t>439</w:t>
            </w:r>
            <w:r w:rsidRPr="00D96C74">
              <w:rPr>
                <w:noProof/>
                <w:color w:val="000000" w:themeColor="text1"/>
                <w:sz w:val="20"/>
              </w:rPr>
              <w:t> EUR</w:t>
            </w:r>
            <w:r w:rsidRPr="00D96C74">
              <w:rPr>
                <w:noProof/>
                <w:color w:val="000000"/>
                <w:sz w:val="20"/>
              </w:rPr>
              <w:t xml:space="preserve"> pe an pe gospodărie (</w:t>
            </w:r>
            <w:r w:rsidRPr="00D020C3">
              <w:rPr>
                <w:noProof/>
                <w:color w:val="000000"/>
                <w:sz w:val="20"/>
              </w:rPr>
              <w:t>4</w:t>
            </w:r>
            <w:r w:rsidRPr="00D96C74">
              <w:rPr>
                <w:noProof/>
                <w:color w:val="000000"/>
                <w:sz w:val="20"/>
              </w:rPr>
              <w:t xml:space="preserve"> persoane)</w:t>
            </w:r>
          </w:p>
          <w:p w14:paraId="4FD127FD" w14:textId="77777777" w:rsidR="00806609" w:rsidRPr="00D96C74" w:rsidRDefault="00806609" w:rsidP="00B00391">
            <w:pPr>
              <w:spacing w:after="0"/>
              <w:rPr>
                <w:noProof/>
                <w:color w:val="000000"/>
                <w:sz w:val="20"/>
              </w:rPr>
            </w:pPr>
            <w:r w:rsidRPr="00D020C3">
              <w:rPr>
                <w:b/>
                <w:noProof/>
                <w:color w:val="000000"/>
                <w:sz w:val="20"/>
              </w:rPr>
              <w:t>Beneficii pentru mediu</w:t>
            </w:r>
          </w:p>
          <w:p w14:paraId="25F7E636" w14:textId="77777777" w:rsidR="00806609" w:rsidRPr="00D96C74" w:rsidRDefault="00806609" w:rsidP="0020411B">
            <w:pPr>
              <w:pStyle w:val="ListParagraph"/>
              <w:numPr>
                <w:ilvl w:val="0"/>
                <w:numId w:val="24"/>
              </w:numPr>
              <w:spacing w:before="0" w:after="0"/>
              <w:contextualSpacing w:val="0"/>
              <w:rPr>
                <w:noProof/>
                <w:color w:val="000000"/>
                <w:sz w:val="20"/>
              </w:rPr>
            </w:pPr>
            <w:r w:rsidRPr="00D020C3">
              <w:rPr>
                <w:noProof/>
                <w:color w:val="000000" w:themeColor="text1"/>
                <w:sz w:val="20"/>
              </w:rPr>
              <w:t>16</w:t>
            </w:r>
            <w:r w:rsidRPr="00D96C74">
              <w:rPr>
                <w:noProof/>
                <w:color w:val="000000" w:themeColor="text1"/>
                <w:sz w:val="20"/>
              </w:rPr>
              <w:t xml:space="preserve"> milioane</w:t>
            </w:r>
            <w:r w:rsidRPr="00D96C74">
              <w:rPr>
                <w:noProof/>
                <w:color w:val="000000"/>
                <w:sz w:val="20"/>
              </w:rPr>
              <w:t xml:space="preserve"> EUR din reducerea emisiilor de GES provenite de la deșeurile textile, precum și din reducerea emisiilor de poluanți în aer, apă și sol care ar rezulta dintr-o gestionare defectuoasă a deșeurilor.</w:t>
            </w:r>
          </w:p>
          <w:p w14:paraId="32475C2B" w14:textId="2EE86D4C" w:rsidR="00806609" w:rsidRPr="00D96C74" w:rsidRDefault="00806609" w:rsidP="0020411B">
            <w:pPr>
              <w:pStyle w:val="ListParagraph"/>
              <w:numPr>
                <w:ilvl w:val="0"/>
                <w:numId w:val="24"/>
              </w:numPr>
              <w:spacing w:before="0" w:after="0"/>
              <w:contextualSpacing w:val="0"/>
              <w:rPr>
                <w:noProof/>
                <w:color w:val="000000"/>
                <w:sz w:val="20"/>
              </w:rPr>
            </w:pPr>
            <w:r w:rsidRPr="00D020C3">
              <w:rPr>
                <w:noProof/>
                <w:color w:val="000000"/>
                <w:sz w:val="20"/>
              </w:rPr>
              <w:t>3</w:t>
            </w:r>
            <w:r w:rsidRPr="00D96C74">
              <w:rPr>
                <w:noProof/>
                <w:color w:val="000000"/>
                <w:sz w:val="20"/>
              </w:rPr>
              <w:t>,</w:t>
            </w:r>
            <w:r w:rsidRPr="00D020C3">
              <w:rPr>
                <w:noProof/>
                <w:color w:val="000000"/>
                <w:sz w:val="20"/>
              </w:rPr>
              <w:t>9</w:t>
            </w:r>
            <w:r w:rsidRPr="00D96C74">
              <w:rPr>
                <w:noProof/>
                <w:color w:val="000000"/>
                <w:sz w:val="20"/>
              </w:rPr>
              <w:t xml:space="preserve"> (în UE) și </w:t>
            </w:r>
            <w:r w:rsidRPr="00D020C3">
              <w:rPr>
                <w:noProof/>
                <w:color w:val="000000"/>
                <w:sz w:val="20"/>
              </w:rPr>
              <w:t>12</w:t>
            </w:r>
            <w:r w:rsidRPr="00D96C74">
              <w:rPr>
                <w:noProof/>
                <w:color w:val="000000"/>
                <w:sz w:val="20"/>
              </w:rPr>
              <w:t>,</w:t>
            </w:r>
            <w:r w:rsidRPr="00D020C3">
              <w:rPr>
                <w:noProof/>
                <w:color w:val="000000"/>
                <w:sz w:val="20"/>
              </w:rPr>
              <w:t>6</w:t>
            </w:r>
            <w:r w:rsidRPr="00D96C74">
              <w:rPr>
                <w:noProof/>
                <w:color w:val="000000"/>
                <w:sz w:val="20"/>
              </w:rPr>
              <w:t xml:space="preserve"> (în afara UE) milioane de tone reducere a emisiilor de GES (inclusiv efectul de rebound) </w:t>
            </w:r>
            <w:r w:rsidRPr="00D020C3">
              <w:rPr>
                <w:b/>
                <w:noProof/>
                <w:color w:val="000000"/>
                <w:sz w:val="20"/>
              </w:rPr>
              <w:t>SAU</w:t>
            </w:r>
            <w:r w:rsidRPr="00D96C74">
              <w:rPr>
                <w:noProof/>
                <w:color w:val="000000"/>
                <w:sz w:val="20"/>
              </w:rPr>
              <w:t xml:space="preserve"> </w:t>
            </w:r>
            <w:r w:rsidRPr="00D020C3">
              <w:rPr>
                <w:noProof/>
                <w:color w:val="000000"/>
                <w:sz w:val="20"/>
              </w:rPr>
              <w:t>62</w:t>
            </w:r>
            <w:r w:rsidR="00D020C3">
              <w:rPr>
                <w:noProof/>
                <w:color w:val="000000"/>
                <w:sz w:val="20"/>
              </w:rPr>
              <w:t> </w:t>
            </w:r>
            <w:r w:rsidRPr="00D96C74">
              <w:rPr>
                <w:noProof/>
                <w:color w:val="000000"/>
                <w:sz w:val="20"/>
              </w:rPr>
              <w:t>de</w:t>
            </w:r>
            <w:r w:rsidR="00D020C3">
              <w:rPr>
                <w:noProof/>
                <w:color w:val="000000"/>
                <w:sz w:val="20"/>
              </w:rPr>
              <w:t> </w:t>
            </w:r>
            <w:r w:rsidRPr="00D96C74">
              <w:rPr>
                <w:noProof/>
                <w:color w:val="000000"/>
                <w:sz w:val="20"/>
              </w:rPr>
              <w:t>milioane de tone de GES evitate (fără a lua în calcul efectul de rebound)</w:t>
            </w:r>
          </w:p>
          <w:p w14:paraId="76A79A16" w14:textId="77777777" w:rsidR="00806609" w:rsidRPr="00D96C74" w:rsidRDefault="00806609" w:rsidP="0020411B">
            <w:pPr>
              <w:pStyle w:val="ListParagraph"/>
              <w:numPr>
                <w:ilvl w:val="0"/>
                <w:numId w:val="24"/>
              </w:numPr>
              <w:spacing w:before="0" w:after="0"/>
              <w:contextualSpacing w:val="0"/>
              <w:rPr>
                <w:noProof/>
                <w:color w:val="000000"/>
                <w:sz w:val="20"/>
              </w:rPr>
            </w:pPr>
            <w:r w:rsidRPr="00D96C74">
              <w:rPr>
                <w:noProof/>
                <w:color w:val="000000"/>
                <w:sz w:val="20"/>
              </w:rPr>
              <w:t xml:space="preserve">reducerea emisiilor de poluanți în aer, apă și sol care ar rezulta din gestionarea defectuoasă a deșeurilor </w:t>
            </w:r>
          </w:p>
          <w:p w14:paraId="16CF2E3D" w14:textId="77777777" w:rsidR="00806609" w:rsidRPr="00D96C74" w:rsidRDefault="00806609" w:rsidP="0020411B">
            <w:pPr>
              <w:pStyle w:val="ListParagraph"/>
              <w:numPr>
                <w:ilvl w:val="0"/>
                <w:numId w:val="24"/>
              </w:numPr>
              <w:spacing w:before="0" w:after="0"/>
              <w:contextualSpacing w:val="0"/>
              <w:rPr>
                <w:noProof/>
                <w:color w:val="000000"/>
                <w:sz w:val="20"/>
              </w:rPr>
            </w:pPr>
            <w:r w:rsidRPr="00D96C74">
              <w:rPr>
                <w:noProof/>
                <w:color w:val="000000"/>
                <w:sz w:val="20"/>
              </w:rPr>
              <w:t xml:space="preserve">impact redus asupra utilizării terenurilor, de </w:t>
            </w:r>
            <w:r w:rsidRPr="00D020C3">
              <w:rPr>
                <w:noProof/>
                <w:color w:val="000000"/>
                <w:sz w:val="20"/>
              </w:rPr>
              <w:t>2</w:t>
            </w:r>
            <w:r w:rsidRPr="00D96C74">
              <w:rPr>
                <w:noProof/>
                <w:color w:val="000000"/>
                <w:sz w:val="20"/>
              </w:rPr>
              <w:t> </w:t>
            </w:r>
            <w:r w:rsidRPr="00D020C3">
              <w:rPr>
                <w:noProof/>
                <w:color w:val="000000"/>
                <w:sz w:val="20"/>
              </w:rPr>
              <w:t>200</w:t>
            </w:r>
            <w:r w:rsidRPr="00D96C74">
              <w:rPr>
                <w:noProof/>
                <w:color w:val="000000"/>
                <w:sz w:val="20"/>
              </w:rPr>
              <w:t xml:space="preserve"> de miliarde Pt </w:t>
            </w:r>
          </w:p>
          <w:p w14:paraId="252D9189" w14:textId="77777777" w:rsidR="00806609" w:rsidRPr="00D96C74" w:rsidRDefault="00806609" w:rsidP="0020411B">
            <w:pPr>
              <w:pStyle w:val="ListParagraph"/>
              <w:numPr>
                <w:ilvl w:val="0"/>
                <w:numId w:val="24"/>
              </w:numPr>
              <w:spacing w:before="0" w:after="0"/>
              <w:contextualSpacing w:val="0"/>
              <w:rPr>
                <w:noProof/>
                <w:color w:val="000000"/>
                <w:sz w:val="20"/>
              </w:rPr>
            </w:pPr>
            <w:r w:rsidRPr="00D96C74">
              <w:rPr>
                <w:noProof/>
                <w:color w:val="000000"/>
                <w:sz w:val="20"/>
              </w:rPr>
              <w:t xml:space="preserve">reducerea eutrofizării marine cu </w:t>
            </w:r>
            <w:r w:rsidRPr="00D020C3">
              <w:rPr>
                <w:noProof/>
                <w:color w:val="000000"/>
                <w:sz w:val="20"/>
              </w:rPr>
              <w:t>532</w:t>
            </w:r>
            <w:r w:rsidRPr="00D96C74">
              <w:rPr>
                <w:noProof/>
                <w:color w:val="000000"/>
                <w:sz w:val="20"/>
              </w:rPr>
              <w:t xml:space="preserve"> de milioane kg NEQ </w:t>
            </w:r>
          </w:p>
          <w:p w14:paraId="6034F129" w14:textId="77777777" w:rsidR="00806609" w:rsidRPr="00D96C74" w:rsidRDefault="00806609" w:rsidP="0020411B">
            <w:pPr>
              <w:pStyle w:val="ListParagraph"/>
              <w:numPr>
                <w:ilvl w:val="0"/>
                <w:numId w:val="24"/>
              </w:numPr>
              <w:spacing w:before="0" w:after="0"/>
              <w:contextualSpacing w:val="0"/>
              <w:rPr>
                <w:noProof/>
                <w:color w:val="000000"/>
                <w:sz w:val="20"/>
              </w:rPr>
            </w:pPr>
            <w:r w:rsidRPr="00D96C74">
              <w:rPr>
                <w:noProof/>
                <w:color w:val="000000"/>
                <w:sz w:val="20"/>
              </w:rPr>
              <w:t xml:space="preserve">reducerea deficitului de apă cu </w:t>
            </w:r>
            <w:r w:rsidRPr="00D020C3">
              <w:rPr>
                <w:noProof/>
                <w:color w:val="000000"/>
                <w:sz w:val="20"/>
              </w:rPr>
              <w:t>80</w:t>
            </w:r>
            <w:r w:rsidRPr="00D96C74">
              <w:rPr>
                <w:noProof/>
                <w:color w:val="000000"/>
                <w:sz w:val="20"/>
              </w:rPr>
              <w:t xml:space="preserve"> de miliarde m³ pe an.</w:t>
            </w:r>
          </w:p>
          <w:p w14:paraId="6A149B2B" w14:textId="77777777" w:rsidR="00806609" w:rsidRPr="00D020C3" w:rsidRDefault="00806609" w:rsidP="0020411B">
            <w:pPr>
              <w:pStyle w:val="ListParagraph"/>
              <w:numPr>
                <w:ilvl w:val="0"/>
                <w:numId w:val="24"/>
              </w:numPr>
              <w:spacing w:before="0" w:after="0"/>
              <w:contextualSpacing w:val="0"/>
              <w:rPr>
                <w:b/>
                <w:noProof/>
                <w:color w:val="000000"/>
                <w:sz w:val="20"/>
              </w:rPr>
            </w:pPr>
            <w:r w:rsidRPr="00D020C3">
              <w:rPr>
                <w:b/>
                <w:noProof/>
                <w:sz w:val="20"/>
              </w:rPr>
              <w:t xml:space="preserve">Economii totale în domeniul mediului, </w:t>
            </w:r>
            <w:r w:rsidRPr="00D020C3">
              <w:rPr>
                <w:b/>
                <w:noProof/>
                <w:color w:val="000000" w:themeColor="text1"/>
                <w:sz w:val="20"/>
              </w:rPr>
              <w:t xml:space="preserve">monetizate – între 9 și 23 de miliarde EUR </w:t>
            </w:r>
          </w:p>
          <w:p w14:paraId="3391A254" w14:textId="77777777" w:rsidR="00806609" w:rsidRPr="00D96C74" w:rsidRDefault="00806609" w:rsidP="00B00391">
            <w:pPr>
              <w:spacing w:after="0"/>
              <w:rPr>
                <w:noProof/>
                <w:color w:val="000000"/>
                <w:sz w:val="20"/>
              </w:rPr>
            </w:pPr>
            <w:r w:rsidRPr="00D020C3">
              <w:rPr>
                <w:b/>
                <w:noProof/>
                <w:color w:val="000000"/>
                <w:sz w:val="20"/>
              </w:rPr>
              <w:t>Beneficii sociale</w:t>
            </w:r>
          </w:p>
          <w:p w14:paraId="750D44F5" w14:textId="77777777" w:rsidR="00806609" w:rsidRPr="00D96C74" w:rsidRDefault="00806609" w:rsidP="0020411B">
            <w:pPr>
              <w:pStyle w:val="ListParagraph"/>
              <w:numPr>
                <w:ilvl w:val="0"/>
                <w:numId w:val="24"/>
              </w:numPr>
              <w:spacing w:before="0" w:after="0"/>
              <w:contextualSpacing w:val="0"/>
              <w:rPr>
                <w:rFonts w:eastAsiaTheme="minorHAnsi"/>
                <w:noProof/>
                <w:color w:val="000000"/>
                <w:sz w:val="20"/>
              </w:rPr>
            </w:pPr>
            <w:r w:rsidRPr="00D020C3">
              <w:rPr>
                <w:noProof/>
                <w:color w:val="000000" w:themeColor="text1"/>
                <w:sz w:val="20"/>
              </w:rPr>
              <w:t>8</w:t>
            </w:r>
            <w:r w:rsidRPr="00D96C74">
              <w:rPr>
                <w:noProof/>
                <w:color w:val="000000" w:themeColor="text1"/>
                <w:sz w:val="20"/>
              </w:rPr>
              <w:t> </w:t>
            </w:r>
            <w:r w:rsidRPr="00D020C3">
              <w:rPr>
                <w:noProof/>
                <w:color w:val="000000" w:themeColor="text1"/>
                <w:sz w:val="20"/>
              </w:rPr>
              <w:t>740</w:t>
            </w:r>
            <w:r w:rsidRPr="00D96C74">
              <w:rPr>
                <w:noProof/>
                <w:color w:val="000000" w:themeColor="text1"/>
                <w:sz w:val="20"/>
              </w:rPr>
              <w:t xml:space="preserve"> de locuri de muncă create în domeniul textilelor și atenuare a impactului social al deșeurilor UE în țările terțe </w:t>
            </w:r>
            <w:r w:rsidRPr="00D96C74">
              <w:rPr>
                <w:noProof/>
                <w:color w:val="000000"/>
                <w:sz w:val="20"/>
              </w:rPr>
              <w:t xml:space="preserve">(nu există o evaluare a impactului net; a se vedea anexa </w:t>
            </w:r>
            <w:r w:rsidRPr="00D020C3">
              <w:rPr>
                <w:noProof/>
                <w:color w:val="000000"/>
                <w:sz w:val="20"/>
              </w:rPr>
              <w:t>4</w:t>
            </w:r>
            <w:r w:rsidRPr="00D96C74">
              <w:rPr>
                <w:noProof/>
                <w:color w:val="000000"/>
                <w:sz w:val="20"/>
              </w:rPr>
              <w:t xml:space="preserve"> pentru detalii și ipoteze subiacente)</w:t>
            </w:r>
          </w:p>
          <w:p w14:paraId="191B600B" w14:textId="77777777" w:rsidR="00806609" w:rsidRPr="00D96C74" w:rsidRDefault="00806609" w:rsidP="0020411B">
            <w:pPr>
              <w:pStyle w:val="ListParagraph"/>
              <w:numPr>
                <w:ilvl w:val="0"/>
                <w:numId w:val="24"/>
              </w:numPr>
              <w:spacing w:before="0" w:after="0"/>
              <w:contextualSpacing w:val="0"/>
              <w:rPr>
                <w:rFonts w:eastAsiaTheme="minorHAnsi"/>
                <w:noProof/>
                <w:color w:val="000000"/>
                <w:sz w:val="20"/>
              </w:rPr>
            </w:pPr>
            <w:r w:rsidRPr="00D96C74">
              <w:rPr>
                <w:noProof/>
                <w:color w:val="000000" w:themeColor="text1"/>
                <w:sz w:val="20"/>
              </w:rPr>
              <w:t xml:space="preserve">pierdere a până la </w:t>
            </w:r>
            <w:r w:rsidRPr="00D020C3">
              <w:rPr>
                <w:noProof/>
                <w:color w:val="000000" w:themeColor="text1"/>
                <w:sz w:val="20"/>
              </w:rPr>
              <w:t>135</w:t>
            </w:r>
            <w:r w:rsidRPr="00D96C74">
              <w:rPr>
                <w:noProof/>
                <w:color w:val="000000" w:themeColor="text1"/>
                <w:sz w:val="20"/>
              </w:rPr>
              <w:t> </w:t>
            </w:r>
            <w:r w:rsidRPr="00D020C3">
              <w:rPr>
                <w:noProof/>
                <w:color w:val="000000" w:themeColor="text1"/>
                <w:sz w:val="20"/>
              </w:rPr>
              <w:t>000</w:t>
            </w:r>
            <w:r w:rsidRPr="00D96C74">
              <w:rPr>
                <w:noProof/>
                <w:color w:val="000000" w:themeColor="text1"/>
                <w:sz w:val="20"/>
              </w:rPr>
              <w:t xml:space="preserve"> de locuri de muncă în sectoarele agroalimentare (se preconizează că va fi compensată în alte sectoare)</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05558" w14:textId="77777777" w:rsidR="00806609" w:rsidRPr="00D96C74" w:rsidRDefault="00806609" w:rsidP="00B00391">
            <w:pPr>
              <w:spacing w:after="0" w:line="240" w:lineRule="atLeast"/>
              <w:jc w:val="center"/>
              <w:rPr>
                <w:noProof/>
                <w:color w:val="000000"/>
                <w:sz w:val="20"/>
              </w:rPr>
            </w:pPr>
            <w:r w:rsidRPr="00D020C3">
              <w:rPr>
                <w:b/>
                <w:noProof/>
                <w:color w:val="000000" w:themeColor="text1"/>
                <w:sz w:val="20"/>
              </w:rPr>
              <w:t>Costuri</w:t>
            </w:r>
            <w:r w:rsidRPr="00D96C74">
              <w:rPr>
                <w:noProof/>
                <w:color w:val="000000" w:themeColor="text1"/>
                <w:sz w:val="20"/>
              </w:rPr>
              <w:t xml:space="preserve">: </w:t>
            </w:r>
          </w:p>
          <w:p w14:paraId="2116F886" w14:textId="77777777" w:rsidR="00806609" w:rsidRPr="00D96C74" w:rsidRDefault="00806609" w:rsidP="00B00391">
            <w:pPr>
              <w:spacing w:after="160" w:line="240" w:lineRule="atLeast"/>
              <w:jc w:val="center"/>
              <w:rPr>
                <w:noProof/>
                <w:color w:val="000000" w:themeColor="text1"/>
                <w:sz w:val="20"/>
              </w:rPr>
            </w:pPr>
            <w:r w:rsidRPr="00D020C3">
              <w:rPr>
                <w:noProof/>
                <w:color w:val="000000" w:themeColor="text1"/>
                <w:sz w:val="20"/>
              </w:rPr>
              <w:t>975</w:t>
            </w:r>
            <w:r w:rsidRPr="00D96C74">
              <w:rPr>
                <w:noProof/>
                <w:color w:val="000000" w:themeColor="text1"/>
                <w:sz w:val="20"/>
              </w:rPr>
              <w:t xml:space="preserve"> de milioane EUR (aceste costuri pot fi suportate de consumatori, de producători sau de o combinație a acestor două categorii). </w:t>
            </w:r>
          </w:p>
          <w:p w14:paraId="0948E135" w14:textId="29DB3B34" w:rsidR="00806609" w:rsidRPr="00D96C74" w:rsidRDefault="00806609" w:rsidP="00B00391">
            <w:pPr>
              <w:spacing w:after="0"/>
              <w:jc w:val="left"/>
              <w:rPr>
                <w:noProof/>
                <w:color w:val="000000"/>
                <w:sz w:val="20"/>
              </w:rPr>
            </w:pPr>
            <w:r w:rsidRPr="00D96C74">
              <w:rPr>
                <w:noProof/>
                <w:color w:val="000000"/>
                <w:sz w:val="20"/>
              </w:rPr>
              <w:t xml:space="preserve">Valoare adăugată totală pentru economia UE ca urmare a reducerii deșeurilor alimentare: </w:t>
            </w:r>
            <w:r w:rsidRPr="00D020C3">
              <w:rPr>
                <w:noProof/>
                <w:color w:val="000000"/>
                <w:sz w:val="20"/>
              </w:rPr>
              <w:t>1</w:t>
            </w:r>
            <w:r w:rsidRPr="00D96C74">
              <w:rPr>
                <w:noProof/>
                <w:color w:val="000000"/>
                <w:sz w:val="20"/>
              </w:rPr>
              <w:t>,</w:t>
            </w:r>
            <w:r w:rsidRPr="00D020C3">
              <w:rPr>
                <w:noProof/>
                <w:color w:val="000000"/>
                <w:sz w:val="20"/>
              </w:rPr>
              <w:t>6</w:t>
            </w:r>
            <w:r w:rsidR="00D020C3">
              <w:rPr>
                <w:noProof/>
                <w:color w:val="000000"/>
                <w:sz w:val="20"/>
              </w:rPr>
              <w:t> </w:t>
            </w:r>
            <w:r w:rsidRPr="00D96C74">
              <w:rPr>
                <w:noProof/>
                <w:color w:val="000000"/>
                <w:sz w:val="20"/>
              </w:rPr>
              <w:t>miliarde EUR (</w:t>
            </w:r>
            <w:r w:rsidRPr="00D020C3">
              <w:rPr>
                <w:noProof/>
                <w:color w:val="000000"/>
                <w:sz w:val="20"/>
              </w:rPr>
              <w:t>0</w:t>
            </w:r>
            <w:r w:rsidRPr="00D96C74">
              <w:rPr>
                <w:noProof/>
                <w:color w:val="000000"/>
                <w:sz w:val="20"/>
              </w:rPr>
              <w:t>,</w:t>
            </w:r>
            <w:r w:rsidRPr="00D020C3">
              <w:rPr>
                <w:noProof/>
                <w:color w:val="000000"/>
                <w:sz w:val="20"/>
              </w:rPr>
              <w:t>016</w:t>
            </w:r>
            <w:r w:rsidRPr="00D96C74">
              <w:rPr>
                <w:noProof/>
                <w:color w:val="000000"/>
                <w:sz w:val="20"/>
              </w:rPr>
              <w:t> %)</w:t>
            </w:r>
          </w:p>
          <w:p w14:paraId="4BF46E64" w14:textId="77777777" w:rsidR="00806609" w:rsidRPr="00D96C74" w:rsidRDefault="00806609" w:rsidP="00B00391">
            <w:pPr>
              <w:spacing w:after="0" w:line="240" w:lineRule="atLeast"/>
              <w:jc w:val="center"/>
              <w:rPr>
                <w:noProof/>
                <w:color w:val="000000"/>
                <w:sz w:val="20"/>
              </w:rPr>
            </w:pPr>
            <w:r w:rsidRPr="00D020C3">
              <w:rPr>
                <w:b/>
                <w:noProof/>
                <w:color w:val="000000" w:themeColor="text1"/>
                <w:sz w:val="20"/>
              </w:rPr>
              <w:t>Beneficii</w:t>
            </w:r>
            <w:r w:rsidRPr="00D96C74">
              <w:rPr>
                <w:noProof/>
                <w:color w:val="000000" w:themeColor="text1"/>
                <w:sz w:val="20"/>
              </w:rPr>
              <w:t xml:space="preserve">: </w:t>
            </w:r>
          </w:p>
          <w:p w14:paraId="7B3BDEBF" w14:textId="661EDCFE" w:rsidR="00806609" w:rsidRPr="00D96C74" w:rsidRDefault="1AADFA35" w:rsidP="072CAFB5">
            <w:pPr>
              <w:spacing w:after="160" w:line="240" w:lineRule="atLeast"/>
              <w:jc w:val="center"/>
              <w:rPr>
                <w:noProof/>
                <w:color w:val="000000"/>
                <w:sz w:val="20"/>
              </w:rPr>
            </w:pPr>
            <w:r w:rsidRPr="00D96C74">
              <w:rPr>
                <w:noProof/>
                <w:color w:val="000000" w:themeColor="text1"/>
                <w:sz w:val="20"/>
              </w:rPr>
              <w:t xml:space="preserve">Beneficii directe de </w:t>
            </w:r>
            <w:r w:rsidRPr="00D020C3">
              <w:rPr>
                <w:noProof/>
                <w:color w:val="000000" w:themeColor="text1"/>
                <w:sz w:val="20"/>
              </w:rPr>
              <w:t>656</w:t>
            </w:r>
            <w:r w:rsidR="00D020C3">
              <w:rPr>
                <w:noProof/>
                <w:color w:val="000000" w:themeColor="text1"/>
                <w:sz w:val="20"/>
              </w:rPr>
              <w:t> </w:t>
            </w:r>
            <w:r w:rsidRPr="00D96C74">
              <w:rPr>
                <w:noProof/>
                <w:color w:val="000000" w:themeColor="text1"/>
                <w:sz w:val="20"/>
              </w:rPr>
              <w:t xml:space="preserve">de milioane EUR sub formă de textile reutilizabile și reciclabile pentru piața UE a reutilizării și reciclării, precum și sprijin pentru o rentabilitate globală anuală de </w:t>
            </w:r>
            <w:r w:rsidRPr="00D020C3">
              <w:rPr>
                <w:noProof/>
                <w:color w:val="000000" w:themeColor="text1"/>
                <w:sz w:val="20"/>
              </w:rPr>
              <w:t>3</w:t>
            </w:r>
            <w:r w:rsidRPr="00D96C74">
              <w:rPr>
                <w:noProof/>
                <w:color w:val="000000" w:themeColor="text1"/>
                <w:sz w:val="20"/>
              </w:rPr>
              <w:t>,</w:t>
            </w:r>
            <w:r w:rsidRPr="00D020C3">
              <w:rPr>
                <w:noProof/>
                <w:color w:val="000000" w:themeColor="text1"/>
                <w:sz w:val="20"/>
              </w:rPr>
              <w:t>5</w:t>
            </w:r>
            <w:r w:rsidR="00D020C3">
              <w:rPr>
                <w:noProof/>
                <w:color w:val="000000" w:themeColor="text1"/>
                <w:sz w:val="20"/>
              </w:rPr>
              <w:t>­</w:t>
            </w:r>
            <w:r w:rsidRPr="00D020C3">
              <w:rPr>
                <w:noProof/>
                <w:color w:val="000000" w:themeColor="text1"/>
                <w:sz w:val="20"/>
              </w:rPr>
              <w:t>4</w:t>
            </w:r>
            <w:r w:rsidRPr="00D96C74">
              <w:rPr>
                <w:noProof/>
                <w:color w:val="000000" w:themeColor="text1"/>
                <w:sz w:val="20"/>
              </w:rPr>
              <w:t>,</w:t>
            </w:r>
            <w:r w:rsidRPr="00D020C3">
              <w:rPr>
                <w:noProof/>
                <w:color w:val="000000" w:themeColor="text1"/>
                <w:sz w:val="20"/>
              </w:rPr>
              <w:t>5</w:t>
            </w:r>
            <w:r w:rsidR="00D020C3">
              <w:rPr>
                <w:noProof/>
                <w:color w:val="000000" w:themeColor="text1"/>
                <w:sz w:val="20"/>
              </w:rPr>
              <w:t> </w:t>
            </w:r>
            <w:r w:rsidRPr="00D96C74">
              <w:rPr>
                <w:noProof/>
                <w:color w:val="000000" w:themeColor="text1"/>
                <w:sz w:val="20"/>
              </w:rPr>
              <w:t>miliarde EUR din investițiile în REP.</w:t>
            </w:r>
          </w:p>
          <w:p w14:paraId="42DD3F38" w14:textId="77777777" w:rsidR="00806609" w:rsidRPr="00D96C74" w:rsidRDefault="00806609" w:rsidP="00B00391">
            <w:pPr>
              <w:spacing w:after="160" w:line="240" w:lineRule="atLeast"/>
              <w:jc w:val="center"/>
              <w:rPr>
                <w:noProof/>
                <w:color w:val="000000"/>
                <w:sz w:val="20"/>
              </w:rPr>
            </w:pPr>
            <w:r w:rsidRPr="00D96C74">
              <w:rPr>
                <w:noProof/>
                <w:color w:val="000000"/>
                <w:sz w:val="20"/>
              </w:rPr>
              <w:t>Economii în ceea ce privește cheltuielile alimentare</w:t>
            </w:r>
            <w:r w:rsidRPr="00D020C3">
              <w:rPr>
                <w:b/>
                <w:noProof/>
                <w:color w:val="000000"/>
                <w:sz w:val="20"/>
              </w:rPr>
              <w:t xml:space="preserve"> </w:t>
            </w:r>
            <w:r w:rsidRPr="00D96C74">
              <w:rPr>
                <w:noProof/>
                <w:color w:val="000000"/>
                <w:sz w:val="20"/>
              </w:rPr>
              <w:t xml:space="preserve">ale gospodăriilor de </w:t>
            </w:r>
            <w:r w:rsidRPr="00D020C3">
              <w:rPr>
                <w:noProof/>
                <w:color w:val="000000"/>
                <w:sz w:val="20"/>
              </w:rPr>
              <w:t>439</w:t>
            </w:r>
            <w:r w:rsidRPr="00D96C74">
              <w:rPr>
                <w:noProof/>
                <w:color w:val="000000"/>
                <w:sz w:val="20"/>
              </w:rPr>
              <w:t> EUR</w:t>
            </w:r>
            <w:r w:rsidRPr="00D96C74">
              <w:rPr>
                <w:noProof/>
                <w:color w:val="000000" w:themeColor="text1"/>
                <w:sz w:val="20"/>
              </w:rPr>
              <w:t xml:space="preserve"> pe an pe gospodărie (</w:t>
            </w:r>
            <w:r w:rsidRPr="00D020C3">
              <w:rPr>
                <w:noProof/>
                <w:color w:val="000000" w:themeColor="text1"/>
                <w:sz w:val="20"/>
              </w:rPr>
              <w:t>4</w:t>
            </w:r>
            <w:r w:rsidRPr="00D96C74">
              <w:rPr>
                <w:noProof/>
                <w:color w:val="000000" w:themeColor="text1"/>
                <w:sz w:val="20"/>
              </w:rPr>
              <w:t xml:space="preserve"> persoane)</w:t>
            </w:r>
          </w:p>
          <w:p w14:paraId="3CCF2EAC" w14:textId="77777777" w:rsidR="00806609" w:rsidRPr="00D96C74" w:rsidRDefault="00806609" w:rsidP="00B00391">
            <w:pPr>
              <w:spacing w:after="160" w:line="240" w:lineRule="atLeast"/>
              <w:jc w:val="center"/>
              <w:rPr>
                <w:noProof/>
                <w:color w:val="000000"/>
                <w:sz w:val="20"/>
              </w:rPr>
            </w:pPr>
            <w:r w:rsidRPr="00D96C74">
              <w:rPr>
                <w:noProof/>
                <w:color w:val="000000"/>
                <w:sz w:val="20"/>
              </w:rPr>
              <w:t xml:space="preserve">Reducere suplimentară a emisiilor de GES egală cu </w:t>
            </w:r>
            <w:r w:rsidRPr="00D020C3">
              <w:rPr>
                <w:noProof/>
                <w:color w:val="000000" w:themeColor="text1"/>
                <w:sz w:val="20"/>
              </w:rPr>
              <w:t>16</w:t>
            </w:r>
            <w:r w:rsidRPr="00D96C74">
              <w:rPr>
                <w:noProof/>
                <w:color w:val="000000" w:themeColor="text1"/>
                <w:sz w:val="20"/>
              </w:rPr>
              <w:t xml:space="preserve"> milioane </w:t>
            </w:r>
            <w:r w:rsidRPr="00D96C74">
              <w:rPr>
                <w:noProof/>
                <w:color w:val="000000"/>
                <w:sz w:val="20"/>
              </w:rPr>
              <w:t>EUR</w:t>
            </w:r>
            <w:r w:rsidRPr="00D96C74">
              <w:rPr>
                <w:noProof/>
                <w:color w:val="000000" w:themeColor="text1"/>
                <w:sz w:val="20"/>
              </w:rPr>
              <w:t xml:space="preserve"> pe an pentru textile și reducere suplimentară a emisiilor de GES egală cu </w:t>
            </w:r>
            <w:r w:rsidRPr="00D020C3">
              <w:rPr>
                <w:noProof/>
                <w:color w:val="000000" w:themeColor="text1"/>
                <w:sz w:val="20"/>
              </w:rPr>
              <w:t>62</w:t>
            </w:r>
            <w:r w:rsidRPr="00D96C74">
              <w:rPr>
                <w:noProof/>
                <w:color w:val="000000" w:themeColor="text1"/>
                <w:sz w:val="20"/>
              </w:rPr>
              <w:t xml:space="preserve"> de milioane de tone pe an (economii totale în domeniul mediului, monetizate – </w:t>
            </w:r>
            <w:r w:rsidRPr="00D96C74">
              <w:rPr>
                <w:noProof/>
                <w:color w:val="000000"/>
                <w:sz w:val="20"/>
              </w:rPr>
              <w:t xml:space="preserve">între </w:t>
            </w:r>
            <w:r w:rsidRPr="00D020C3">
              <w:rPr>
                <w:noProof/>
                <w:color w:val="000000"/>
                <w:sz w:val="20"/>
              </w:rPr>
              <w:t>9</w:t>
            </w:r>
            <w:r w:rsidRPr="00D96C74">
              <w:rPr>
                <w:noProof/>
                <w:color w:val="000000"/>
                <w:sz w:val="20"/>
              </w:rPr>
              <w:t xml:space="preserve"> și</w:t>
            </w:r>
            <w:r w:rsidRPr="00D020C3">
              <w:rPr>
                <w:noProof/>
                <w:color w:val="000000"/>
                <w:sz w:val="20"/>
              </w:rPr>
              <w:t>23</w:t>
            </w:r>
            <w:r w:rsidRPr="00D96C74">
              <w:rPr>
                <w:noProof/>
                <w:color w:val="000000"/>
                <w:sz w:val="20"/>
              </w:rPr>
              <w:t xml:space="preserve"> de miliarde EUR), </w:t>
            </w:r>
          </w:p>
          <w:p w14:paraId="733E4277" w14:textId="77777777" w:rsidR="00806609" w:rsidRPr="00D96C74" w:rsidRDefault="00806609" w:rsidP="00B00391">
            <w:pPr>
              <w:spacing w:after="160" w:line="240" w:lineRule="atLeast"/>
              <w:jc w:val="center"/>
              <w:rPr>
                <w:noProof/>
                <w:sz w:val="20"/>
              </w:rPr>
            </w:pPr>
            <w:r w:rsidRPr="00D020C3">
              <w:rPr>
                <w:noProof/>
                <w:color w:val="000000"/>
                <w:sz w:val="20"/>
              </w:rPr>
              <w:t>8</w:t>
            </w:r>
            <w:r w:rsidRPr="00D96C74">
              <w:rPr>
                <w:noProof/>
                <w:color w:val="000000"/>
                <w:sz w:val="20"/>
              </w:rPr>
              <w:t> </w:t>
            </w:r>
            <w:r w:rsidRPr="00D020C3">
              <w:rPr>
                <w:noProof/>
                <w:color w:val="000000"/>
                <w:sz w:val="20"/>
              </w:rPr>
              <w:t>740</w:t>
            </w:r>
            <w:r w:rsidRPr="00D96C74">
              <w:rPr>
                <w:noProof/>
                <w:color w:val="000000"/>
                <w:sz w:val="20"/>
              </w:rPr>
              <w:t xml:space="preserve"> de locuri de muncă create în domeniul gestionării deșeurilor, dar până la </w:t>
            </w:r>
            <w:r w:rsidRPr="00D020C3">
              <w:rPr>
                <w:noProof/>
                <w:color w:val="000000"/>
                <w:sz w:val="20"/>
              </w:rPr>
              <w:t>135</w:t>
            </w:r>
            <w:r w:rsidRPr="00D96C74">
              <w:rPr>
                <w:noProof/>
                <w:color w:val="000000"/>
                <w:sz w:val="20"/>
              </w:rPr>
              <w:t> </w:t>
            </w:r>
            <w:r w:rsidRPr="00D020C3">
              <w:rPr>
                <w:noProof/>
                <w:color w:val="000000"/>
                <w:sz w:val="20"/>
              </w:rPr>
              <w:t>000</w:t>
            </w:r>
            <w:r w:rsidRPr="00D96C74">
              <w:rPr>
                <w:noProof/>
                <w:color w:val="000000"/>
                <w:sz w:val="20"/>
              </w:rPr>
              <w:t xml:space="preserve"> de locuri de muncă pierdute în sectoarele agroalimentare (se preconizează că vor fi compensate în alte sectoare)</w:t>
            </w:r>
          </w:p>
          <w:p w14:paraId="3688C219" w14:textId="77777777" w:rsidR="00806609" w:rsidRPr="00D96C74" w:rsidRDefault="00806609" w:rsidP="00B00391">
            <w:pPr>
              <w:spacing w:after="160" w:line="240" w:lineRule="atLeast"/>
              <w:jc w:val="center"/>
              <w:rPr>
                <w:rFonts w:eastAsiaTheme="minorHAnsi"/>
                <w:noProof/>
                <w:color w:val="000000"/>
                <w:sz w:val="20"/>
              </w:rPr>
            </w:pPr>
            <w:r w:rsidRPr="00D020C3">
              <w:rPr>
                <w:b/>
                <w:noProof/>
                <w:color w:val="000000"/>
                <w:sz w:val="20"/>
              </w:rPr>
              <w:t>Eficacitate, eficiență și coerență de ansamblu</w:t>
            </w:r>
            <w:r w:rsidRPr="00D96C74">
              <w:rPr>
                <w:noProof/>
                <w:color w:val="000000"/>
                <w:sz w:val="20"/>
              </w:rPr>
              <w:t>: pozitive</w:t>
            </w:r>
          </w:p>
          <w:p w14:paraId="378AFE18" w14:textId="77777777" w:rsidR="00806609" w:rsidRPr="00D96C74" w:rsidRDefault="00806609" w:rsidP="00B00391">
            <w:pPr>
              <w:spacing w:after="160" w:line="240" w:lineRule="atLeast"/>
              <w:jc w:val="center"/>
              <w:rPr>
                <w:rFonts w:eastAsiaTheme="minorHAnsi"/>
                <w:noProof/>
                <w:color w:val="000000"/>
                <w:sz w:val="20"/>
                <w:lang w:eastAsia="en-US"/>
              </w:rPr>
            </w:pPr>
          </w:p>
        </w:tc>
      </w:tr>
    </w:tbl>
    <w:p w14:paraId="189BA692" w14:textId="77777777" w:rsidR="00BD152F" w:rsidRPr="00D020C3" w:rsidRDefault="00BD152F" w:rsidP="00B00391">
      <w:pPr>
        <w:pStyle w:val="ManualHeading2"/>
        <w:rPr>
          <w:rFonts w:eastAsia="Arial Unicode MS"/>
          <w:noProof/>
          <w:u w:color="000000"/>
          <w:bdr w:val="nil"/>
        </w:rPr>
      </w:pPr>
      <w:r w:rsidRPr="00D020C3">
        <w:rPr>
          <w:noProof/>
          <w:u w:color="000000"/>
          <w:bdr w:val="nil"/>
        </w:rPr>
        <w:t>•</w:t>
      </w:r>
      <w:r w:rsidRPr="00D020C3">
        <w:rPr>
          <w:noProof/>
        </w:rPr>
        <w:tab/>
      </w:r>
      <w:r w:rsidRPr="00D020C3">
        <w:rPr>
          <w:noProof/>
          <w:u w:color="000000"/>
          <w:bdr w:val="nil"/>
        </w:rPr>
        <w:t>Drepturile fundamentale</w:t>
      </w:r>
    </w:p>
    <w:p w14:paraId="2651E1D8" w14:textId="77777777" w:rsidR="00BD152F" w:rsidRPr="00D96C74" w:rsidRDefault="00844D0D" w:rsidP="00B00391">
      <w:pPr>
        <w:pBdr>
          <w:top w:val="nil"/>
          <w:left w:val="nil"/>
          <w:bottom w:val="nil"/>
          <w:right w:val="nil"/>
          <w:between w:val="nil"/>
          <w:bar w:val="nil"/>
        </w:pBdr>
        <w:spacing w:before="0" w:after="240"/>
        <w:rPr>
          <w:rFonts w:eastAsia="Arial Unicode MS"/>
          <w:noProof/>
        </w:rPr>
      </w:pPr>
      <w:r w:rsidRPr="00D96C74">
        <w:rPr>
          <w:noProof/>
        </w:rPr>
        <w:t>Propunerea nu are consecințe asupra protecției drepturilor fundamentale. </w:t>
      </w:r>
    </w:p>
    <w:p w14:paraId="2E51D4CA" w14:textId="77777777" w:rsidR="00BD152F" w:rsidRPr="00D020C3" w:rsidRDefault="00BD152F" w:rsidP="00B00391">
      <w:pPr>
        <w:pStyle w:val="ManualHeading1"/>
        <w:rPr>
          <w:noProof/>
        </w:rPr>
      </w:pPr>
      <w:r w:rsidRPr="00D020C3">
        <w:rPr>
          <w:noProof/>
        </w:rPr>
        <w:t>4.</w:t>
      </w:r>
      <w:r w:rsidRPr="00D020C3">
        <w:rPr>
          <w:noProof/>
        </w:rPr>
        <w:tab/>
        <w:t>IMPLICAȚII BUGETARE</w:t>
      </w:r>
    </w:p>
    <w:p w14:paraId="145D2180" w14:textId="77777777" w:rsidR="0088274B" w:rsidRPr="00D96C74" w:rsidRDefault="0088274B" w:rsidP="0088274B">
      <w:pPr>
        <w:pBdr>
          <w:top w:val="nil"/>
          <w:left w:val="nil"/>
          <w:bottom w:val="nil"/>
          <w:right w:val="nil"/>
          <w:between w:val="nil"/>
          <w:bar w:val="nil"/>
        </w:pBdr>
        <w:spacing w:before="0" w:after="240"/>
        <w:rPr>
          <w:rFonts w:eastAsia="Arial Unicode MS"/>
          <w:noProof/>
        </w:rPr>
      </w:pPr>
      <w:r w:rsidRPr="00D96C74">
        <w:rPr>
          <w:noProof/>
        </w:rPr>
        <w:t>Fișa financiară inclusă prezintă implicațiile bugetare detaliate și resursele umane și administrative necesare pentru punerea în aplicare a prezentei propuneri. </w:t>
      </w:r>
    </w:p>
    <w:p w14:paraId="53DAF65A" w14:textId="77777777" w:rsidR="0088274B" w:rsidRPr="00D96C74" w:rsidRDefault="0088274B" w:rsidP="0088274B">
      <w:pPr>
        <w:pBdr>
          <w:top w:val="nil"/>
          <w:left w:val="nil"/>
          <w:bottom w:val="nil"/>
          <w:right w:val="nil"/>
          <w:between w:val="nil"/>
          <w:bar w:val="nil"/>
        </w:pBdr>
        <w:spacing w:before="0" w:after="240"/>
        <w:rPr>
          <w:rFonts w:eastAsia="Arial Unicode MS"/>
          <w:noProof/>
        </w:rPr>
      </w:pPr>
      <w:r w:rsidRPr="00D96C74">
        <w:rPr>
          <w:noProof/>
        </w:rPr>
        <w:t>Comisia Europeană, în special Direcția Generală Mediu (DG ENV) și Direcția Generală Sănătate și Siguranță alimentară (DG SANTE), va fi responsabilă de negocierea directivei prin procedura obișnuită de codecizie, precum și de punerea în aplicare generală a acesteia și de adoptarea tuturor actelor de punere în aplicare și a actelor delegate avute în vedere în aceasta. Printre alte direcții generale și agenții care vor furniza contribuții se numără DG Centrul Comun de Cercetare (JRC) și Agenția Europeană de Mediu (AEM). </w:t>
      </w:r>
    </w:p>
    <w:p w14:paraId="1229C625" w14:textId="4733C206" w:rsidR="005C18D2" w:rsidRPr="00D96C74" w:rsidRDefault="005C18D2" w:rsidP="005C18D2">
      <w:pPr>
        <w:pBdr>
          <w:top w:val="nil"/>
          <w:left w:val="nil"/>
          <w:bottom w:val="nil"/>
          <w:right w:val="nil"/>
          <w:between w:val="nil"/>
          <w:bar w:val="nil"/>
        </w:pBdr>
        <w:spacing w:before="0" w:after="240"/>
        <w:rPr>
          <w:rFonts w:eastAsia="Arial Unicode MS"/>
          <w:noProof/>
        </w:rPr>
      </w:pPr>
      <w:r w:rsidRPr="00D96C74">
        <w:rPr>
          <w:noProof/>
        </w:rPr>
        <w:t xml:space="preserve">În cazul DG Mediu, simulările financiare actuale se bazează pe cele </w:t>
      </w:r>
      <w:r w:rsidRPr="00D020C3">
        <w:rPr>
          <w:noProof/>
        </w:rPr>
        <w:t>0</w:t>
      </w:r>
      <w:r w:rsidRPr="00D96C74">
        <w:rPr>
          <w:noProof/>
        </w:rPr>
        <w:t>,</w:t>
      </w:r>
      <w:r w:rsidRPr="00D020C3">
        <w:rPr>
          <w:noProof/>
        </w:rPr>
        <w:t>75</w:t>
      </w:r>
      <w:r w:rsidRPr="00D96C74">
        <w:rPr>
          <w:noProof/>
        </w:rPr>
        <w:t xml:space="preserve"> ENI (AD) existente pentru procesul de codecizie și punere în aplicare, precum și pe noii agenți contractuali – </w:t>
      </w:r>
      <w:r w:rsidRPr="00D020C3">
        <w:rPr>
          <w:noProof/>
        </w:rPr>
        <w:t>3</w:t>
      </w:r>
      <w:r w:rsidRPr="00D96C74">
        <w:rPr>
          <w:noProof/>
        </w:rPr>
        <w:t>,</w:t>
      </w:r>
      <w:r w:rsidRPr="00D020C3">
        <w:rPr>
          <w:noProof/>
        </w:rPr>
        <w:t>0</w:t>
      </w:r>
      <w:r w:rsidR="00D020C3">
        <w:rPr>
          <w:noProof/>
        </w:rPr>
        <w:t> </w:t>
      </w:r>
      <w:r w:rsidRPr="00D96C74">
        <w:rPr>
          <w:noProof/>
        </w:rPr>
        <w:t>ENI – însărcinați cu procesul tehnic de elaborare a actelor de punere în aplicare prevăzute. </w:t>
      </w:r>
    </w:p>
    <w:p w14:paraId="67A33F0C" w14:textId="77777777" w:rsidR="005C18D2" w:rsidRPr="00D96C74" w:rsidRDefault="005C18D2" w:rsidP="005C18D2">
      <w:pPr>
        <w:pBdr>
          <w:top w:val="nil"/>
          <w:left w:val="nil"/>
          <w:bottom w:val="nil"/>
          <w:right w:val="nil"/>
          <w:between w:val="nil"/>
          <w:bar w:val="nil"/>
        </w:pBdr>
        <w:spacing w:before="0" w:after="240"/>
        <w:rPr>
          <w:rFonts w:eastAsia="Arial Unicode MS"/>
          <w:noProof/>
        </w:rPr>
      </w:pPr>
      <w:r w:rsidRPr="00D96C74">
        <w:rPr>
          <w:noProof/>
        </w:rPr>
        <w:t xml:space="preserve">În cazul DG SANTE, simulările financiare se bazează pe cele </w:t>
      </w:r>
      <w:r w:rsidRPr="00D020C3">
        <w:rPr>
          <w:noProof/>
        </w:rPr>
        <w:t>0</w:t>
      </w:r>
      <w:r w:rsidRPr="00D96C74">
        <w:rPr>
          <w:noProof/>
        </w:rPr>
        <w:t>,</w:t>
      </w:r>
      <w:r w:rsidRPr="00D020C3">
        <w:rPr>
          <w:noProof/>
        </w:rPr>
        <w:t>5</w:t>
      </w:r>
      <w:r w:rsidRPr="00D96C74">
        <w:rPr>
          <w:noProof/>
        </w:rPr>
        <w:t xml:space="preserve"> ENI (AD) existente pentru procesul de codecizie și monitorizare a punerii în aplicare în toate statele membre.   </w:t>
      </w:r>
    </w:p>
    <w:p w14:paraId="7CB6A5BE" w14:textId="013D48DE" w:rsidR="00FB6EC2" w:rsidRPr="00D96C74" w:rsidRDefault="005C18D2" w:rsidP="005C18D2">
      <w:pPr>
        <w:pBdr>
          <w:top w:val="nil"/>
          <w:left w:val="nil"/>
          <w:bottom w:val="nil"/>
          <w:right w:val="nil"/>
          <w:between w:val="nil"/>
          <w:bar w:val="nil"/>
        </w:pBdr>
        <w:spacing w:before="0" w:after="240"/>
        <w:rPr>
          <w:rFonts w:eastAsia="Arial Unicode MS"/>
          <w:noProof/>
        </w:rPr>
      </w:pPr>
      <w:r w:rsidRPr="00D96C74">
        <w:rPr>
          <w:noProof/>
        </w:rPr>
        <w:t xml:space="preserve">Costurile cu personalul Comisiei se ridică în total la </w:t>
      </w:r>
      <w:r w:rsidRPr="00D020C3">
        <w:rPr>
          <w:noProof/>
        </w:rPr>
        <w:t>2</w:t>
      </w:r>
      <w:r w:rsidRPr="00D96C74">
        <w:rPr>
          <w:noProof/>
        </w:rPr>
        <w:t> </w:t>
      </w:r>
      <w:r w:rsidRPr="00D020C3">
        <w:rPr>
          <w:noProof/>
        </w:rPr>
        <w:t>033</w:t>
      </w:r>
      <w:r w:rsidRPr="00D96C74">
        <w:rPr>
          <w:noProof/>
        </w:rPr>
        <w:t> </w:t>
      </w:r>
      <w:r w:rsidRPr="00D020C3">
        <w:rPr>
          <w:noProof/>
        </w:rPr>
        <w:t>000</w:t>
      </w:r>
      <w:r w:rsidRPr="00D96C74">
        <w:rPr>
          <w:noProof/>
        </w:rPr>
        <w:t> EUR, pe baza celor mai recente grile de salarizare, care sunt puse la dispoziția publicului.</w:t>
      </w:r>
    </w:p>
    <w:p w14:paraId="060169EE" w14:textId="77777777" w:rsidR="00BD152F" w:rsidRPr="00D020C3" w:rsidRDefault="00BD152F" w:rsidP="00B00391">
      <w:pPr>
        <w:pStyle w:val="ManualHeading1"/>
        <w:rPr>
          <w:noProof/>
        </w:rPr>
      </w:pPr>
      <w:r w:rsidRPr="00D020C3">
        <w:rPr>
          <w:noProof/>
        </w:rPr>
        <w:t>5.</w:t>
      </w:r>
      <w:r w:rsidRPr="00D020C3">
        <w:rPr>
          <w:noProof/>
        </w:rPr>
        <w:tab/>
        <w:t>ALTE ELEMENTE</w:t>
      </w:r>
    </w:p>
    <w:p w14:paraId="7F498555" w14:textId="77777777" w:rsidR="00BD152F" w:rsidRPr="00D020C3" w:rsidRDefault="00BD152F" w:rsidP="00B00391">
      <w:pPr>
        <w:pStyle w:val="ManualHeading2"/>
        <w:rPr>
          <w:rFonts w:eastAsia="Arial Unicode MS"/>
          <w:noProof/>
          <w:u w:color="000000"/>
          <w:bdr w:val="nil"/>
        </w:rPr>
      </w:pPr>
      <w:r w:rsidRPr="00D020C3">
        <w:rPr>
          <w:noProof/>
          <w:u w:color="000000"/>
          <w:bdr w:val="nil"/>
        </w:rPr>
        <w:t>•</w:t>
      </w:r>
      <w:r w:rsidRPr="00D020C3">
        <w:rPr>
          <w:noProof/>
        </w:rPr>
        <w:tab/>
      </w:r>
      <w:r w:rsidRPr="00D020C3">
        <w:rPr>
          <w:noProof/>
          <w:u w:color="000000"/>
          <w:bdr w:val="nil"/>
        </w:rPr>
        <w:t>Planurile de punere în aplicare și măsurile de monitorizare, evaluare și raportare</w:t>
      </w:r>
    </w:p>
    <w:p w14:paraId="428CFEB9" w14:textId="6CC7A6F3" w:rsidR="00734727" w:rsidRPr="00D96C74" w:rsidRDefault="00734727" w:rsidP="00734727">
      <w:pPr>
        <w:pBdr>
          <w:top w:val="nil"/>
          <w:left w:val="nil"/>
          <w:bottom w:val="nil"/>
          <w:right w:val="nil"/>
          <w:between w:val="nil"/>
          <w:bar w:val="nil"/>
        </w:pBdr>
        <w:spacing w:before="0" w:after="240"/>
        <w:rPr>
          <w:rFonts w:eastAsia="Arial Unicode MS"/>
          <w:noProof/>
        </w:rPr>
      </w:pPr>
      <w:r w:rsidRPr="00D96C74">
        <w:rPr>
          <w:noProof/>
        </w:rPr>
        <w:t xml:space="preserve">Propunerea cuprinde mai multe dispoziții pentru îmbunătățirea monitorizării. Anexa </w:t>
      </w:r>
      <w:r w:rsidRPr="00D020C3">
        <w:rPr>
          <w:noProof/>
        </w:rPr>
        <w:t>14</w:t>
      </w:r>
      <w:r w:rsidRPr="00D96C74">
        <w:rPr>
          <w:noProof/>
        </w:rPr>
        <w:t xml:space="preserve"> la evaluarea impactului detaliază instrumentele de monitorizare și evaluare. Impactul opțiunii de politică preferate asupra realizării obiectivelor de reducere a deșeurilor textile și a generării de deșeuri textile reziduale este monitorizat prin intermediul indicatorilor și al țintelor stabilite în măsura </w:t>
      </w:r>
      <w:r w:rsidRPr="00D020C3">
        <w:rPr>
          <w:noProof/>
        </w:rPr>
        <w:t>3</w:t>
      </w:r>
      <w:r w:rsidRPr="00D96C74">
        <w:rPr>
          <w:noProof/>
        </w:rPr>
        <w:t>.</w:t>
      </w:r>
      <w:r w:rsidRPr="00D020C3">
        <w:rPr>
          <w:noProof/>
        </w:rPr>
        <w:t>6</w:t>
      </w:r>
      <w:r w:rsidRPr="00D96C74">
        <w:rPr>
          <w:noProof/>
        </w:rPr>
        <w:t xml:space="preserve"> și pe baza fluxurilor de date îmbunătățite privind textilele ca urmare a măsurii</w:t>
      </w:r>
      <w:r w:rsidR="00D020C3">
        <w:rPr>
          <w:noProof/>
        </w:rPr>
        <w:t> </w:t>
      </w:r>
      <w:r w:rsidRPr="00D020C3">
        <w:rPr>
          <w:noProof/>
        </w:rPr>
        <w:t>2</w:t>
      </w:r>
      <w:r w:rsidRPr="00D96C74">
        <w:rPr>
          <w:noProof/>
        </w:rPr>
        <w:t>.</w:t>
      </w:r>
      <w:r w:rsidRPr="00D020C3">
        <w:rPr>
          <w:noProof/>
        </w:rPr>
        <w:t>14</w:t>
      </w:r>
      <w:r w:rsidRPr="00D96C74">
        <w:rPr>
          <w:noProof/>
        </w:rPr>
        <w:t xml:space="preserve">. Aceasta din urmă va permite totodată stabilirea unor obiective de performanță suplimentare, care în prezent sunt evaluate ca nefiind fezabile în cadrul opțiunii </w:t>
      </w:r>
      <w:r w:rsidRPr="00D020C3">
        <w:rPr>
          <w:noProof/>
        </w:rPr>
        <w:t>3</w:t>
      </w:r>
      <w:r w:rsidRPr="00D96C74">
        <w:rPr>
          <w:noProof/>
        </w:rPr>
        <w:t>. Monitorizarea se bazează pe datele anuale privind textilele pregătite pentru reutilizare în cadrul schemelor de răspundere extinsă a producătorilor (pentru detalii, a se vedea măsura</w:t>
      </w:r>
      <w:r w:rsidR="00D020C3">
        <w:rPr>
          <w:noProof/>
        </w:rPr>
        <w:t> </w:t>
      </w:r>
      <w:r w:rsidRPr="00D020C3">
        <w:rPr>
          <w:noProof/>
        </w:rPr>
        <w:t>2</w:t>
      </w:r>
      <w:r w:rsidRPr="00D96C74">
        <w:rPr>
          <w:noProof/>
        </w:rPr>
        <w:t>.</w:t>
      </w:r>
      <w:r w:rsidRPr="00D020C3">
        <w:rPr>
          <w:noProof/>
        </w:rPr>
        <w:t>14</w:t>
      </w:r>
      <w:r w:rsidRPr="00D96C74">
        <w:rPr>
          <w:noProof/>
        </w:rPr>
        <w:t xml:space="preserve"> și anexa </w:t>
      </w:r>
      <w:r w:rsidRPr="00D020C3">
        <w:rPr>
          <w:noProof/>
        </w:rPr>
        <w:t>10</w:t>
      </w:r>
      <w:r w:rsidRPr="00D96C74">
        <w:rPr>
          <w:noProof/>
        </w:rPr>
        <w:t>).  </w:t>
      </w:r>
    </w:p>
    <w:p w14:paraId="3614C7F7" w14:textId="77777777" w:rsidR="00734727" w:rsidRPr="00D96C74" w:rsidRDefault="00734727" w:rsidP="00734727">
      <w:pPr>
        <w:pBdr>
          <w:top w:val="nil"/>
          <w:left w:val="nil"/>
          <w:bottom w:val="nil"/>
          <w:right w:val="nil"/>
          <w:between w:val="nil"/>
          <w:bar w:val="nil"/>
        </w:pBdr>
        <w:spacing w:before="0" w:after="240"/>
        <w:rPr>
          <w:rFonts w:eastAsia="Arial Unicode MS"/>
          <w:noProof/>
        </w:rPr>
      </w:pPr>
      <w:r w:rsidRPr="00D96C74">
        <w:rPr>
          <w:noProof/>
        </w:rPr>
        <w:t>În cazul deșeurilor alimentare, monitorizarea se va baza pe obligațiile de raportare existente, și anume raportarea anuală de către statele membre a cantităților de deșeuri alimentare generate [articolul </w:t>
      </w:r>
      <w:r w:rsidRPr="00D020C3">
        <w:rPr>
          <w:noProof/>
        </w:rPr>
        <w:t>37</w:t>
      </w:r>
      <w:r w:rsidRPr="00D96C74">
        <w:rPr>
          <w:noProof/>
        </w:rPr>
        <w:t xml:space="preserve"> alineatul (</w:t>
      </w:r>
      <w:r w:rsidRPr="00D020C3">
        <w:rPr>
          <w:noProof/>
        </w:rPr>
        <w:t>3</w:t>
      </w:r>
      <w:r w:rsidRPr="00D96C74">
        <w:rPr>
          <w:noProof/>
        </w:rPr>
        <w:t>) din DCD] și evaluarea bienală a progreselor înregistrate în derularea programelor de prevenire a deșeurilor alimentare de către Agenția Europeană de Mediu (articolul </w:t>
      </w:r>
      <w:r w:rsidRPr="00D020C3">
        <w:rPr>
          <w:noProof/>
        </w:rPr>
        <w:t>30</w:t>
      </w:r>
      <w:r w:rsidRPr="00D96C74">
        <w:rPr>
          <w:noProof/>
        </w:rPr>
        <w:t xml:space="preserve"> din DCD).</w:t>
      </w:r>
    </w:p>
    <w:p w14:paraId="56481084" w14:textId="77777777" w:rsidR="00BD152F" w:rsidRPr="00D020C3" w:rsidRDefault="00BD152F" w:rsidP="00B00391">
      <w:pPr>
        <w:pStyle w:val="ManualHeading2"/>
        <w:rPr>
          <w:rFonts w:eastAsia="Arial Unicode MS"/>
          <w:noProof/>
          <w:u w:color="000000"/>
          <w:bdr w:val="nil"/>
        </w:rPr>
      </w:pPr>
      <w:r w:rsidRPr="00D020C3">
        <w:rPr>
          <w:noProof/>
          <w:u w:color="000000"/>
          <w:bdr w:val="nil"/>
        </w:rPr>
        <w:t>•</w:t>
      </w:r>
      <w:r w:rsidRPr="00D020C3">
        <w:rPr>
          <w:noProof/>
        </w:rPr>
        <w:tab/>
      </w:r>
      <w:r w:rsidRPr="00D020C3">
        <w:rPr>
          <w:noProof/>
          <w:u w:color="000000"/>
          <w:bdr w:val="nil"/>
        </w:rPr>
        <w:t>Explicarea detaliată a dispozițiilor specifice ale propunerii</w:t>
      </w:r>
    </w:p>
    <w:p w14:paraId="25AE843A" w14:textId="642E985F" w:rsidR="00734727" w:rsidRPr="00D96C74" w:rsidRDefault="00734727" w:rsidP="00734727">
      <w:pPr>
        <w:pBdr>
          <w:top w:val="nil"/>
          <w:left w:val="nil"/>
          <w:bottom w:val="nil"/>
          <w:right w:val="nil"/>
          <w:between w:val="nil"/>
          <w:bar w:val="nil"/>
        </w:pBdr>
        <w:spacing w:before="0" w:after="240"/>
        <w:rPr>
          <w:noProof/>
        </w:rPr>
      </w:pPr>
      <w:r w:rsidRPr="00D96C74">
        <w:rPr>
          <w:noProof/>
        </w:rPr>
        <w:t>Articolul </w:t>
      </w:r>
      <w:r w:rsidRPr="00D020C3">
        <w:rPr>
          <w:noProof/>
        </w:rPr>
        <w:t>1</w:t>
      </w:r>
      <w:r w:rsidRPr="00D96C74">
        <w:rPr>
          <w:noProof/>
        </w:rPr>
        <w:t xml:space="preserve"> prezintă modificările aduse Directivei-cadru privind deșeurile, în special următoarelor articole din directiva respectivă:  </w:t>
      </w:r>
    </w:p>
    <w:p w14:paraId="33136A9B" w14:textId="77777777" w:rsidR="00734727" w:rsidRPr="00D96C74" w:rsidRDefault="00734727" w:rsidP="00734727">
      <w:pPr>
        <w:pBdr>
          <w:top w:val="nil"/>
          <w:left w:val="nil"/>
          <w:bottom w:val="nil"/>
          <w:right w:val="nil"/>
          <w:between w:val="nil"/>
          <w:bar w:val="nil"/>
        </w:pBdr>
        <w:spacing w:before="0" w:after="240"/>
        <w:rPr>
          <w:noProof/>
        </w:rPr>
      </w:pPr>
      <w:r w:rsidRPr="00D96C74">
        <w:rPr>
          <w:noProof/>
        </w:rPr>
        <w:t>Articolul </w:t>
      </w:r>
      <w:r w:rsidRPr="00D020C3">
        <w:rPr>
          <w:noProof/>
        </w:rPr>
        <w:t>2</w:t>
      </w:r>
      <w:r w:rsidRPr="00D96C74">
        <w:rPr>
          <w:noProof/>
        </w:rPr>
        <w:t xml:space="preserve"> alineatul (</w:t>
      </w:r>
      <w:r w:rsidRPr="00D020C3">
        <w:rPr>
          <w:noProof/>
        </w:rPr>
        <w:t>1</w:t>
      </w:r>
      <w:r w:rsidRPr="00D96C74">
        <w:rPr>
          <w:noProof/>
        </w:rPr>
        <w:t>) litera (a) stabilește domeniul de aplicare revizuit al excluderii din domeniul de aplicare al directivei a efluenților gazoși emiși în atmosferă și a dioxidului de carbon captat și transportat în scopul stocării geologice și stocat geologic. </w:t>
      </w:r>
    </w:p>
    <w:p w14:paraId="0AED855E" w14:textId="783EDAC0" w:rsidR="00734727" w:rsidRPr="00D96C74" w:rsidRDefault="00734727" w:rsidP="00734727">
      <w:pPr>
        <w:pBdr>
          <w:top w:val="nil"/>
          <w:left w:val="nil"/>
          <w:bottom w:val="nil"/>
          <w:right w:val="nil"/>
          <w:between w:val="nil"/>
          <w:bar w:val="nil"/>
        </w:pBdr>
        <w:spacing w:before="0" w:after="240"/>
        <w:rPr>
          <w:noProof/>
        </w:rPr>
      </w:pPr>
      <w:r w:rsidRPr="00D96C74">
        <w:rPr>
          <w:noProof/>
        </w:rPr>
        <w:t>Articolul </w:t>
      </w:r>
      <w:r w:rsidRPr="00D020C3">
        <w:rPr>
          <w:noProof/>
        </w:rPr>
        <w:t>3</w:t>
      </w:r>
      <w:r w:rsidRPr="00D96C74">
        <w:rPr>
          <w:noProof/>
        </w:rPr>
        <w:t xml:space="preserve"> stabilește noi definiții pentru termenii „producător de produse textile, asociate textilelor și de încălțăminte enumerate în anexa IVc”, „punere la dispoziție pe piață”, „organizație care implementează răspunderea extinsă a producătorului”, „platformă online” și „consumator”. </w:t>
      </w:r>
    </w:p>
    <w:p w14:paraId="55221E72" w14:textId="77777777" w:rsidR="00734727" w:rsidRPr="00D96C74" w:rsidRDefault="00734727" w:rsidP="00734727">
      <w:pPr>
        <w:pBdr>
          <w:top w:val="nil"/>
          <w:left w:val="nil"/>
          <w:bottom w:val="nil"/>
          <w:right w:val="nil"/>
          <w:between w:val="nil"/>
          <w:bar w:val="nil"/>
        </w:pBdr>
        <w:spacing w:before="0" w:after="240"/>
        <w:rPr>
          <w:noProof/>
        </w:rPr>
      </w:pPr>
      <w:r w:rsidRPr="00D96C74">
        <w:rPr>
          <w:noProof/>
        </w:rPr>
        <w:t>Articolul </w:t>
      </w:r>
      <w:r w:rsidRPr="00D020C3">
        <w:rPr>
          <w:noProof/>
        </w:rPr>
        <w:t>9</w:t>
      </w:r>
      <w:r w:rsidRPr="00D96C74">
        <w:rPr>
          <w:noProof/>
        </w:rPr>
        <w:t>a stabilește cerințe privind măsurile care trebuie luate de statele membre pentru a preveni deșeurile alimentare prin sprijinirea schimbărilor de comportament și a cooperării în cadrul lanțului de aprovizionare (</w:t>
      </w:r>
      <w:r w:rsidRPr="00D020C3">
        <w:rPr>
          <w:noProof/>
        </w:rPr>
        <w:t>1</w:t>
      </w:r>
      <w:r w:rsidRPr="00D96C74">
        <w:rPr>
          <w:noProof/>
        </w:rPr>
        <w:t xml:space="preserve">) și definește obiectivele de reducere a deșeurilor alimentare care trebuie atinse de statele membre până în </w:t>
      </w:r>
      <w:r w:rsidRPr="00D020C3">
        <w:rPr>
          <w:noProof/>
        </w:rPr>
        <w:t>2030</w:t>
      </w:r>
      <w:r w:rsidRPr="00D96C74">
        <w:rPr>
          <w:noProof/>
        </w:rPr>
        <w:t xml:space="preserve"> (</w:t>
      </w:r>
      <w:r w:rsidRPr="00D020C3">
        <w:rPr>
          <w:noProof/>
        </w:rPr>
        <w:t>4</w:t>
      </w:r>
      <w:r w:rsidRPr="00D96C74">
        <w:rPr>
          <w:noProof/>
        </w:rPr>
        <w:t>). </w:t>
      </w:r>
    </w:p>
    <w:p w14:paraId="18F6D734" w14:textId="27210CF2" w:rsidR="00734727" w:rsidRPr="00D96C74" w:rsidRDefault="00734727" w:rsidP="00734727">
      <w:pPr>
        <w:pBdr>
          <w:top w:val="nil"/>
          <w:left w:val="nil"/>
          <w:bottom w:val="nil"/>
          <w:right w:val="nil"/>
          <w:between w:val="nil"/>
          <w:bar w:val="nil"/>
        </w:pBdr>
        <w:spacing w:before="0" w:after="240"/>
        <w:rPr>
          <w:noProof/>
        </w:rPr>
      </w:pPr>
      <w:r w:rsidRPr="00D96C74">
        <w:rPr>
          <w:noProof/>
        </w:rPr>
        <w:t>Articolul </w:t>
      </w:r>
      <w:r w:rsidRPr="00D020C3">
        <w:rPr>
          <w:noProof/>
        </w:rPr>
        <w:t>22</w:t>
      </w:r>
      <w:r w:rsidRPr="00D96C74">
        <w:rPr>
          <w:noProof/>
        </w:rPr>
        <w:t>a stabilește cerințe privind măsurile care trebuie luate de statele membre pentru a introduce o schemă de răspundere extinsă a producătorilor pentru produsele textile, asociate textilelor și de încălțăminte, precum și norme armonizate pentru aplicarea acesteia, inclusiv în ceea ce privește produsele care intră în domeniul său de aplicare și sfera responsabilității financiare a producătorilor. </w:t>
      </w:r>
    </w:p>
    <w:p w14:paraId="50AAACEC" w14:textId="342CACCC" w:rsidR="00734727" w:rsidRPr="00D96C74" w:rsidRDefault="00734727" w:rsidP="00734727">
      <w:pPr>
        <w:pBdr>
          <w:top w:val="nil"/>
          <w:left w:val="nil"/>
          <w:bottom w:val="nil"/>
          <w:right w:val="nil"/>
          <w:between w:val="nil"/>
          <w:bar w:val="nil"/>
        </w:pBdr>
        <w:spacing w:before="0" w:after="240"/>
        <w:rPr>
          <w:noProof/>
        </w:rPr>
      </w:pPr>
      <w:r w:rsidRPr="00D96C74">
        <w:rPr>
          <w:noProof/>
        </w:rPr>
        <w:t>Articolul </w:t>
      </w:r>
      <w:r w:rsidRPr="00D020C3">
        <w:rPr>
          <w:noProof/>
        </w:rPr>
        <w:t>22</w:t>
      </w:r>
      <w:r w:rsidRPr="00D96C74">
        <w:rPr>
          <w:noProof/>
        </w:rPr>
        <w:t>b stabilește cerințe privind măsurile care trebuie luate de statele membre pentru a institui registrele producătorilor de produse textile, asociate textilelor și de încălțăminte în vederea punerii în aplicare a schemelor de răspundere extinsă a producătorilor. </w:t>
      </w:r>
    </w:p>
    <w:p w14:paraId="3EB8BB11" w14:textId="6FA865E6" w:rsidR="00734727" w:rsidRPr="00D96C74" w:rsidRDefault="00734727" w:rsidP="00734727">
      <w:pPr>
        <w:pBdr>
          <w:top w:val="nil"/>
          <w:left w:val="nil"/>
          <w:bottom w:val="nil"/>
          <w:right w:val="nil"/>
          <w:between w:val="nil"/>
          <w:bar w:val="nil"/>
        </w:pBdr>
        <w:spacing w:before="0" w:after="240"/>
        <w:rPr>
          <w:noProof/>
        </w:rPr>
      </w:pPr>
      <w:r w:rsidRPr="00D96C74">
        <w:rPr>
          <w:noProof/>
        </w:rPr>
        <w:t>Articolul </w:t>
      </w:r>
      <w:r w:rsidRPr="00D020C3">
        <w:rPr>
          <w:noProof/>
        </w:rPr>
        <w:t>22</w:t>
      </w:r>
      <w:r w:rsidRPr="00D96C74">
        <w:rPr>
          <w:noProof/>
        </w:rPr>
        <w:t>c stabilește cerințe privind măsurile care trebuie luate de statele membre pentru a înființa organizațiile care implementează răspunderea extinsă a producătorului în domeniul textilelor și responsabilitățile acestora. </w:t>
      </w:r>
    </w:p>
    <w:p w14:paraId="4FED5324" w14:textId="2DDD81DC" w:rsidR="00734727" w:rsidRPr="00D96C74" w:rsidRDefault="00734727" w:rsidP="00734727">
      <w:pPr>
        <w:pBdr>
          <w:top w:val="nil"/>
          <w:left w:val="nil"/>
          <w:bottom w:val="nil"/>
          <w:right w:val="nil"/>
          <w:between w:val="nil"/>
          <w:bar w:val="nil"/>
        </w:pBdr>
        <w:spacing w:before="0" w:after="240"/>
        <w:rPr>
          <w:noProof/>
        </w:rPr>
      </w:pPr>
      <w:r w:rsidRPr="00D96C74">
        <w:rPr>
          <w:noProof/>
        </w:rPr>
        <w:t>Articolul </w:t>
      </w:r>
      <w:r w:rsidRPr="00D020C3">
        <w:rPr>
          <w:noProof/>
        </w:rPr>
        <w:t>22</w:t>
      </w:r>
      <w:r w:rsidRPr="00D96C74">
        <w:rPr>
          <w:noProof/>
        </w:rPr>
        <w:t>d stabilește cerințe privind măsurile care trebuie luate de statele membre pentru gestionarea deșeurilor textile. </w:t>
      </w:r>
    </w:p>
    <w:p w14:paraId="5E9B6F5B" w14:textId="531B7BC7" w:rsidR="00734727" w:rsidRPr="00D96C74" w:rsidRDefault="00734727" w:rsidP="00734727">
      <w:pPr>
        <w:pBdr>
          <w:top w:val="nil"/>
          <w:left w:val="nil"/>
          <w:bottom w:val="nil"/>
          <w:right w:val="nil"/>
          <w:between w:val="nil"/>
          <w:bar w:val="nil"/>
        </w:pBdr>
        <w:spacing w:before="0" w:after="240"/>
        <w:rPr>
          <w:noProof/>
        </w:rPr>
      </w:pPr>
      <w:r w:rsidRPr="00D96C74">
        <w:rPr>
          <w:noProof/>
        </w:rPr>
        <w:t>Articolul </w:t>
      </w:r>
      <w:r w:rsidRPr="00D020C3">
        <w:rPr>
          <w:noProof/>
        </w:rPr>
        <w:t>29</w:t>
      </w:r>
      <w:r w:rsidRPr="00D96C74">
        <w:rPr>
          <w:noProof/>
        </w:rPr>
        <w:t>a stabilește obligații privind măsurile care trebuie luate de statele membre pentru a-și revizui și adapta programele de prevenire a deșeurilor alimentare în vederea atingerii obiectivelor de reducere (</w:t>
      </w:r>
      <w:r w:rsidRPr="00D020C3">
        <w:rPr>
          <w:noProof/>
        </w:rPr>
        <w:t>1</w:t>
      </w:r>
      <w:r w:rsidRPr="00D96C74">
        <w:rPr>
          <w:noProof/>
        </w:rPr>
        <w:t>) și pentru a desemna autoritățile competente responsabile cu coordonarea măsurilor de reducere a deșeurilor alimentare (</w:t>
      </w:r>
      <w:r w:rsidRPr="00D020C3">
        <w:rPr>
          <w:noProof/>
        </w:rPr>
        <w:t>2</w:t>
      </w:r>
      <w:r w:rsidRPr="00D96C74">
        <w:rPr>
          <w:noProof/>
        </w:rPr>
        <w:t>).  </w:t>
      </w:r>
    </w:p>
    <w:p w14:paraId="0C0BE9C0" w14:textId="0E06F228" w:rsidR="00734727" w:rsidRPr="00D96C74" w:rsidRDefault="00734727" w:rsidP="00734727">
      <w:pPr>
        <w:pBdr>
          <w:top w:val="nil"/>
          <w:left w:val="nil"/>
          <w:bottom w:val="nil"/>
          <w:right w:val="nil"/>
          <w:between w:val="nil"/>
          <w:bar w:val="nil"/>
        </w:pBdr>
        <w:spacing w:before="0" w:after="240"/>
        <w:rPr>
          <w:noProof/>
        </w:rPr>
      </w:pPr>
      <w:r w:rsidRPr="00D96C74">
        <w:rPr>
          <w:noProof/>
        </w:rPr>
        <w:t>Articolul </w:t>
      </w:r>
      <w:r w:rsidRPr="00D020C3">
        <w:rPr>
          <w:noProof/>
        </w:rPr>
        <w:t>37</w:t>
      </w:r>
      <w:r w:rsidRPr="00D96C74">
        <w:rPr>
          <w:noProof/>
        </w:rPr>
        <w:t xml:space="preserve"> stabilește cerințe de raportare privind măsurile care trebuie luate de statele membre cu privire la textile și modificarea cerințelor de raportare ale statelor membre cu privire la fluxul de date privind reutilizarea produselor pe care le transmit Agenției Europene de Mediu. </w:t>
      </w:r>
    </w:p>
    <w:p w14:paraId="40132F9C" w14:textId="77777777" w:rsidR="00734727" w:rsidRPr="00D96C74" w:rsidRDefault="00734727" w:rsidP="00734727">
      <w:pPr>
        <w:pBdr>
          <w:top w:val="nil"/>
          <w:left w:val="nil"/>
          <w:bottom w:val="nil"/>
          <w:right w:val="nil"/>
          <w:between w:val="nil"/>
          <w:bar w:val="nil"/>
        </w:pBdr>
        <w:spacing w:before="0" w:after="240"/>
        <w:rPr>
          <w:noProof/>
        </w:rPr>
      </w:pPr>
      <w:r w:rsidRPr="00D96C74">
        <w:rPr>
          <w:noProof/>
        </w:rPr>
        <w:t>Articolul </w:t>
      </w:r>
      <w:r w:rsidRPr="00D020C3">
        <w:rPr>
          <w:noProof/>
        </w:rPr>
        <w:t>2</w:t>
      </w:r>
      <w:r w:rsidRPr="00D96C74">
        <w:rPr>
          <w:noProof/>
        </w:rPr>
        <w:t xml:space="preserve"> prevede transpunerea modificărilor aduse directivei. </w:t>
      </w:r>
    </w:p>
    <w:p w14:paraId="3B164ABD" w14:textId="77777777" w:rsidR="00734727" w:rsidRPr="00D96C74" w:rsidRDefault="00734727" w:rsidP="00734727">
      <w:pPr>
        <w:pBdr>
          <w:top w:val="nil"/>
          <w:left w:val="nil"/>
          <w:bottom w:val="nil"/>
          <w:right w:val="nil"/>
          <w:between w:val="nil"/>
          <w:bar w:val="nil"/>
        </w:pBdr>
        <w:spacing w:before="0" w:after="240"/>
        <w:rPr>
          <w:noProof/>
        </w:rPr>
      </w:pPr>
      <w:r w:rsidRPr="00D96C74">
        <w:rPr>
          <w:noProof/>
        </w:rPr>
        <w:t>Articolul </w:t>
      </w:r>
      <w:r w:rsidRPr="00D020C3">
        <w:rPr>
          <w:noProof/>
        </w:rPr>
        <w:t>3</w:t>
      </w:r>
      <w:r w:rsidRPr="00D96C74">
        <w:rPr>
          <w:noProof/>
        </w:rPr>
        <w:t xml:space="preserve"> prevede intrarea în vigoare a modificărilor aduse directivei.  </w:t>
      </w:r>
    </w:p>
    <w:p w14:paraId="613E110C" w14:textId="77777777" w:rsidR="00734727" w:rsidRPr="00D96C74" w:rsidRDefault="00734727" w:rsidP="00734727">
      <w:pPr>
        <w:pBdr>
          <w:top w:val="nil"/>
          <w:left w:val="nil"/>
          <w:bottom w:val="nil"/>
          <w:right w:val="nil"/>
          <w:between w:val="nil"/>
          <w:bar w:val="nil"/>
        </w:pBdr>
        <w:spacing w:before="0" w:after="240"/>
        <w:rPr>
          <w:noProof/>
        </w:rPr>
      </w:pPr>
      <w:r w:rsidRPr="00D96C74">
        <w:rPr>
          <w:noProof/>
        </w:rPr>
        <w:t>Articolul </w:t>
      </w:r>
      <w:r w:rsidRPr="00D020C3">
        <w:rPr>
          <w:noProof/>
        </w:rPr>
        <w:t>4</w:t>
      </w:r>
      <w:r w:rsidRPr="00D96C74">
        <w:rPr>
          <w:noProof/>
        </w:rPr>
        <w:t xml:space="preserve"> prezintă destinatarii modificărilor aduse directivei.</w:t>
      </w:r>
    </w:p>
    <w:p w14:paraId="2520D1C7" w14:textId="77777777" w:rsidR="00BD152F" w:rsidRPr="00D96C74" w:rsidRDefault="00BD152F" w:rsidP="00B00391">
      <w:pPr>
        <w:spacing w:before="0" w:after="0"/>
        <w:jc w:val="left"/>
        <w:rPr>
          <w:noProof/>
        </w:rPr>
        <w:sectPr w:rsidR="00BD152F" w:rsidRPr="00D96C74" w:rsidSect="00311D41">
          <w:footerReference w:type="default" r:id="rId23"/>
          <w:footerReference w:type="first" r:id="rId24"/>
          <w:pgSz w:w="11907" w:h="16839"/>
          <w:pgMar w:top="1134" w:right="1417" w:bottom="1134" w:left="1417" w:header="709" w:footer="709" w:gutter="0"/>
          <w:cols w:space="708"/>
          <w:docGrid w:linePitch="360"/>
        </w:sectPr>
      </w:pPr>
    </w:p>
    <w:p w14:paraId="62553B97" w14:textId="7FEBA858" w:rsidR="00B163F0" w:rsidRDefault="00B163F0" w:rsidP="00B163F0">
      <w:pPr>
        <w:pStyle w:val="Rfrenceinterinstitutionnelle"/>
        <w:rPr>
          <w:noProof/>
        </w:rPr>
      </w:pPr>
      <w:r w:rsidRPr="00B163F0">
        <w:t>2023/0234 (COD)</w:t>
      </w:r>
    </w:p>
    <w:p w14:paraId="771C7FA7" w14:textId="29E21BE7" w:rsidR="00BD152F" w:rsidRPr="00D96C74" w:rsidRDefault="00D96C74" w:rsidP="00D96C74">
      <w:pPr>
        <w:pStyle w:val="Statut"/>
        <w:rPr>
          <w:noProof/>
        </w:rPr>
      </w:pPr>
      <w:r w:rsidRPr="00D96C74">
        <w:rPr>
          <w:noProof/>
        </w:rPr>
        <w:t>Propunere de</w:t>
      </w:r>
    </w:p>
    <w:p w14:paraId="1B5A2AFF" w14:textId="7A39552E" w:rsidR="00BD152F" w:rsidRPr="00D020C3" w:rsidRDefault="00D96C74" w:rsidP="00D96C74">
      <w:pPr>
        <w:pStyle w:val="Typedudocument"/>
        <w:rPr>
          <w:noProof/>
        </w:rPr>
      </w:pPr>
      <w:r w:rsidRPr="00D020C3">
        <w:rPr>
          <w:noProof/>
        </w:rPr>
        <w:t>DIRECTIVĂ A PARLAMENTULUI EUROPEAN ȘI A CONSILIULUI</w:t>
      </w:r>
    </w:p>
    <w:p w14:paraId="6D303FE4" w14:textId="19FB1FDC" w:rsidR="00BD152F" w:rsidRPr="00D020C3" w:rsidRDefault="00D96C74" w:rsidP="00D96C74">
      <w:pPr>
        <w:pStyle w:val="Titreobjet"/>
        <w:rPr>
          <w:noProof/>
        </w:rPr>
      </w:pPr>
      <w:r w:rsidRPr="00D020C3">
        <w:rPr>
          <w:noProof/>
        </w:rPr>
        <w:t>de modificare a Directivei 2008/98/CE privind deșeurile</w:t>
      </w:r>
    </w:p>
    <w:p w14:paraId="6F100410" w14:textId="311A9A19" w:rsidR="00BD152F" w:rsidRPr="00D96C74" w:rsidRDefault="00D96C74" w:rsidP="00D96C74">
      <w:pPr>
        <w:pStyle w:val="IntrtEEE"/>
        <w:rPr>
          <w:noProof/>
        </w:rPr>
      </w:pPr>
      <w:r w:rsidRPr="00D96C74">
        <w:rPr>
          <w:noProof/>
        </w:rPr>
        <w:t>(Text cu relevanță pentru SEE)</w:t>
      </w:r>
    </w:p>
    <w:p w14:paraId="5478CBED" w14:textId="77777777" w:rsidR="00BD152F" w:rsidRPr="00D96C74" w:rsidRDefault="00BD152F" w:rsidP="00B00391">
      <w:pPr>
        <w:pStyle w:val="Institutionquiagit"/>
        <w:rPr>
          <w:noProof/>
        </w:rPr>
      </w:pPr>
      <w:r w:rsidRPr="00D96C74">
        <w:rPr>
          <w:noProof/>
        </w:rPr>
        <w:t>PARLAMENTUL EUROPEAN ȘI CONSILIUL UNIUNII EUROPENE,</w:t>
      </w:r>
    </w:p>
    <w:p w14:paraId="39343584" w14:textId="77777777" w:rsidR="00BD152F" w:rsidRPr="00D96C74" w:rsidRDefault="00BD152F" w:rsidP="00B00391">
      <w:pPr>
        <w:rPr>
          <w:noProof/>
        </w:rPr>
      </w:pPr>
      <w:r w:rsidRPr="00D96C74">
        <w:rPr>
          <w:noProof/>
        </w:rPr>
        <w:t xml:space="preserve">având în vedere Tratatul privind funcționarea Uniunii Europene, în special articolul </w:t>
      </w:r>
      <w:r w:rsidRPr="00D020C3">
        <w:rPr>
          <w:noProof/>
        </w:rPr>
        <w:t>192</w:t>
      </w:r>
      <w:r w:rsidRPr="00D96C74">
        <w:rPr>
          <w:noProof/>
        </w:rPr>
        <w:t xml:space="preserve"> alineatul (</w:t>
      </w:r>
      <w:r w:rsidRPr="00D020C3">
        <w:rPr>
          <w:noProof/>
        </w:rPr>
        <w:t>1</w:t>
      </w:r>
      <w:r w:rsidRPr="00D96C74">
        <w:rPr>
          <w:noProof/>
        </w:rPr>
        <w:t>),</w:t>
      </w:r>
    </w:p>
    <w:p w14:paraId="22F5CA71" w14:textId="77777777" w:rsidR="00BD152F" w:rsidRPr="00D96C74" w:rsidRDefault="00BD152F" w:rsidP="00B00391">
      <w:pPr>
        <w:rPr>
          <w:noProof/>
        </w:rPr>
      </w:pPr>
      <w:r w:rsidRPr="00D96C74">
        <w:rPr>
          <w:noProof/>
        </w:rPr>
        <w:t>având în vedere propunerea Comisiei Europene,</w:t>
      </w:r>
    </w:p>
    <w:p w14:paraId="4A642173" w14:textId="77777777" w:rsidR="00BD152F" w:rsidRPr="00D96C74" w:rsidRDefault="00BD152F" w:rsidP="00B00391">
      <w:pPr>
        <w:rPr>
          <w:noProof/>
        </w:rPr>
      </w:pPr>
      <w:r w:rsidRPr="00D96C74">
        <w:rPr>
          <w:noProof/>
        </w:rPr>
        <w:t>după transmiterea proiectului de act legislativ către parlamentele naționale,</w:t>
      </w:r>
    </w:p>
    <w:p w14:paraId="7E640ECB" w14:textId="77777777" w:rsidR="00BD152F" w:rsidRPr="00D96C74" w:rsidRDefault="00BD152F" w:rsidP="00B00391">
      <w:pPr>
        <w:rPr>
          <w:noProof/>
        </w:rPr>
      </w:pPr>
      <w:r w:rsidRPr="00D96C74">
        <w:rPr>
          <w:noProof/>
        </w:rPr>
        <w:t>având în vedere avizul Comitetului Economic și Social European</w:t>
      </w:r>
      <w:r w:rsidRPr="00D96C74">
        <w:rPr>
          <w:rStyle w:val="FootnoteReference"/>
          <w:noProof/>
        </w:rPr>
        <w:footnoteReference w:id="68"/>
      </w:r>
      <w:r w:rsidRPr="00D96C74">
        <w:rPr>
          <w:noProof/>
        </w:rPr>
        <w:t xml:space="preserve">, </w:t>
      </w:r>
    </w:p>
    <w:p w14:paraId="5F986FAA" w14:textId="77777777" w:rsidR="00BD152F" w:rsidRPr="00D96C74" w:rsidRDefault="00BD152F" w:rsidP="00B00391">
      <w:pPr>
        <w:rPr>
          <w:noProof/>
        </w:rPr>
      </w:pPr>
      <w:r w:rsidRPr="00D96C74">
        <w:rPr>
          <w:noProof/>
        </w:rPr>
        <w:t>având în vedere avizul Comitetului Regiunilor</w:t>
      </w:r>
      <w:r w:rsidRPr="00D96C74">
        <w:rPr>
          <w:rStyle w:val="FootnoteReference"/>
          <w:noProof/>
        </w:rPr>
        <w:footnoteReference w:id="69"/>
      </w:r>
      <w:r w:rsidRPr="00D96C74">
        <w:rPr>
          <w:noProof/>
        </w:rPr>
        <w:t>,</w:t>
      </w:r>
    </w:p>
    <w:p w14:paraId="7600B894" w14:textId="77777777" w:rsidR="00BD152F" w:rsidRPr="00D96C74" w:rsidRDefault="00BD152F" w:rsidP="00B00391">
      <w:pPr>
        <w:rPr>
          <w:noProof/>
        </w:rPr>
      </w:pPr>
      <w:r w:rsidRPr="00D96C74">
        <w:rPr>
          <w:noProof/>
        </w:rPr>
        <w:t>acționând în conformitate cu procedura legislativă ordinară,</w:t>
      </w:r>
    </w:p>
    <w:p w14:paraId="14B5EE38" w14:textId="77777777" w:rsidR="00BD152F" w:rsidRPr="00D96C74" w:rsidRDefault="00BD152F" w:rsidP="00B00391">
      <w:pPr>
        <w:rPr>
          <w:noProof/>
        </w:rPr>
      </w:pPr>
      <w:r w:rsidRPr="00D96C74">
        <w:rPr>
          <w:noProof/>
        </w:rPr>
        <w:t>întrucât:</w:t>
      </w:r>
    </w:p>
    <w:p w14:paraId="228095EA" w14:textId="30620D5F" w:rsidR="00F84CFF" w:rsidRPr="00D96C74" w:rsidRDefault="0073367E" w:rsidP="0073367E">
      <w:pPr>
        <w:pStyle w:val="ManualConsidrant"/>
        <w:rPr>
          <w:noProof/>
        </w:rPr>
      </w:pPr>
      <w:r w:rsidRPr="0073367E">
        <w:t>(1)</w:t>
      </w:r>
      <w:r w:rsidRPr="0073367E">
        <w:tab/>
      </w:r>
      <w:r w:rsidR="00A41EB2" w:rsidRPr="00D96C74">
        <w:rPr>
          <w:noProof/>
        </w:rPr>
        <w:t>Pactul verde european și Planul de acțiune privind economia circulară</w:t>
      </w:r>
      <w:r w:rsidR="00A41EB2" w:rsidRPr="00D96C74">
        <w:rPr>
          <w:rStyle w:val="FootnoteReference"/>
          <w:noProof/>
        </w:rPr>
        <w:footnoteReference w:id="70"/>
      </w:r>
      <w:r w:rsidR="00A41EB2" w:rsidRPr="00D96C74">
        <w:rPr>
          <w:noProof/>
        </w:rPr>
        <w:t xml:space="preserve"> invită Uniunea și statele membre să întreprindă acțiuni consolidate și accelerate pentru a asigura sustenabilitatea socială și de mediu în sectorul textilelor și în cel alimentar, acestea fiind sectoarele cu cea mai intensivă utilizare a resurselor și care cauzează externalități de mediu negative semnificative. În aceste sectoare, finanțarea insuficientă și decalajele tehnologice frânează realizarea de progrese pe calea tranziției către o economie circulară și către decarbonizare. În clasamentul sectoarelor cu cea mai intensivă utilizare a resurselor</w:t>
      </w:r>
      <w:r w:rsidR="00A41EB2" w:rsidRPr="00D96C74">
        <w:rPr>
          <w:rStyle w:val="FootnoteReference"/>
          <w:noProof/>
        </w:rPr>
        <w:footnoteReference w:id="71"/>
      </w:r>
      <w:r w:rsidR="00A41EB2" w:rsidRPr="00D96C74">
        <w:rPr>
          <w:noProof/>
        </w:rPr>
        <w:t xml:space="preserve">, sectorul alimentar se află pe primul loc, iar sectorul textilelor, pe locul al patrulea, acestea fiind și sectoarele care nu aderă pe deplin la principiile fundamentale ale UE în materie de gestionare a deșeurilor, stabilite în ierarhia deșeurilor, conform căreia trebuie să se acorde prioritate prevenirii generării de deșeuri, urmată de pregătirea pentru reutilizare și de reciclare. Aceste provocări necesită soluții sistemice, acompaniate de o abordare de-a lungul întregului ciclu de viață. </w:t>
      </w:r>
    </w:p>
    <w:p w14:paraId="3A03F4FF" w14:textId="55F6E682" w:rsidR="00BD152F" w:rsidRPr="00D96C74" w:rsidRDefault="0073367E" w:rsidP="0073367E">
      <w:pPr>
        <w:pStyle w:val="ManualConsidrant"/>
        <w:rPr>
          <w:noProof/>
        </w:rPr>
      </w:pPr>
      <w:r w:rsidRPr="0073367E">
        <w:t>(2)</w:t>
      </w:r>
      <w:r w:rsidRPr="0073367E">
        <w:tab/>
      </w:r>
      <w:r w:rsidR="00A41EB2" w:rsidRPr="00D96C74">
        <w:rPr>
          <w:noProof/>
          <w:color w:val="333333"/>
        </w:rPr>
        <w:t>În conformitate</w:t>
      </w:r>
      <w:r w:rsidR="00A41EB2" w:rsidRPr="00D96C74">
        <w:rPr>
          <w:noProof/>
        </w:rPr>
        <w:t xml:space="preserve"> cu Strategia UE pentru textile sustenabile și circulare</w:t>
      </w:r>
      <w:r w:rsidR="00A41EB2" w:rsidRPr="00D96C74">
        <w:rPr>
          <w:rStyle w:val="FootnoteReference"/>
          <w:noProof/>
        </w:rPr>
        <w:footnoteReference w:id="72"/>
      </w:r>
      <w:r w:rsidR="00A41EB2" w:rsidRPr="00D96C74">
        <w:rPr>
          <w:rStyle w:val="FootnoteReference"/>
          <w:noProof/>
        </w:rPr>
        <w:t>,</w:t>
      </w:r>
      <w:r w:rsidR="00A41EB2" w:rsidRPr="00D96C74">
        <w:rPr>
          <w:noProof/>
        </w:rPr>
        <w:t>, sunt necesare schimbări importante pentru a ne distanța de modul preponderent liniar în care sunt proiectate, fabricate, utilizate și aruncate în prezent produsele textile, fiind în mod special necesar să se limiteze moda de consum. În strategia respectivă se consideră că este important ca producătorii să răspundă pentru deșeurile generate de produsele lor și se discută stabilirea unor norme armonizate la nivelul Uniunii privind răspunderea extinsă a producătorilor în cazul textilelor, cu modularea ecologică a taxelor. Se mai prevede că obiectivul principal al acestor norme este de a crea o economie pentru colectare, sortare, reutilizare, pregătire pentru reutilizare și reciclare și de a oferi stimulente producătorilor pentru ca aceștia să se asigure că produsele lor sunt proiectate în conformitate cu principiile circularității. În acest scop, se prevede că o parte semnificativă a contribuțiilor producătorilor la schemele de răspundere extinsă a producătorilor trebuie să fie alocată măsurilor de prevenire a generării de deșeuri și pregătirii pentru reutilizare. De asemenea, se susține necesitatea unor abordări consolidate și mai inovatoare în ceea ce privește gestionarea durabilă a resurselor biologice pentru a spori circularitatea și valorizarea deșeurilor alimentare, precum și reutilizarea biotextilelor.</w:t>
      </w:r>
    </w:p>
    <w:p w14:paraId="44DA9CF3" w14:textId="147B36ED" w:rsidR="00BD152F" w:rsidRPr="00D96C74" w:rsidRDefault="0073367E" w:rsidP="0073367E">
      <w:pPr>
        <w:pStyle w:val="ManualConsidrant"/>
        <w:rPr>
          <w:noProof/>
        </w:rPr>
      </w:pPr>
      <w:r w:rsidRPr="0073367E">
        <w:t>(3)</w:t>
      </w:r>
      <w:r w:rsidRPr="0073367E">
        <w:tab/>
      </w:r>
      <w:r w:rsidR="150E1885" w:rsidRPr="00D96C74">
        <w:rPr>
          <w:noProof/>
        </w:rPr>
        <w:t xml:space="preserve">Având în vedere efectele negative ale generării de deșeuri alimentare, statele membre s-au angajat să ia măsuri pentru a promova prevenirea și reducerea deșeurilor alimentare în conformitate cu Agenda </w:t>
      </w:r>
      <w:r w:rsidR="150E1885" w:rsidRPr="00D020C3">
        <w:rPr>
          <w:noProof/>
        </w:rPr>
        <w:t>2030</w:t>
      </w:r>
      <w:r w:rsidR="150E1885" w:rsidRPr="00D96C74">
        <w:rPr>
          <w:noProof/>
        </w:rPr>
        <w:t xml:space="preserve"> pentru dezvoltare durabilă, adoptată de Adunarea Generală a Organizației Națiunilor Unite (ONU) la </w:t>
      </w:r>
      <w:r w:rsidR="150E1885" w:rsidRPr="00D020C3">
        <w:rPr>
          <w:noProof/>
        </w:rPr>
        <w:t>25</w:t>
      </w:r>
      <w:r w:rsidR="150E1885" w:rsidRPr="00D96C74">
        <w:rPr>
          <w:noProof/>
        </w:rPr>
        <w:t xml:space="preserve"> septembrie </w:t>
      </w:r>
      <w:r w:rsidR="150E1885" w:rsidRPr="00D020C3">
        <w:rPr>
          <w:noProof/>
        </w:rPr>
        <w:t>2015</w:t>
      </w:r>
      <w:r w:rsidR="150E1885" w:rsidRPr="00D96C74">
        <w:rPr>
          <w:noProof/>
        </w:rPr>
        <w:t xml:space="preserve">, în special cu obiectivul acesteia de a reduce la jumătate deșeurile alimentare generate pe cap de locuitor la nivel mondial, în rețeaua de comerț cu amănuntul și la consumator, și de a diminua pierderile de alimente de-a lungul lanțurilor de producție și distribuție, inclusiv pierderile ulterioare recoltării, până în </w:t>
      </w:r>
      <w:r w:rsidR="150E1885" w:rsidRPr="00D020C3">
        <w:rPr>
          <w:noProof/>
        </w:rPr>
        <w:t>2030</w:t>
      </w:r>
      <w:r w:rsidR="150E1885" w:rsidRPr="00D96C74">
        <w:rPr>
          <w:noProof/>
        </w:rPr>
        <w:t>. Măsurile respective vizează prevenirea și reducerea generării de deșeuri alimentare în cadrul producției primare, al prelucrării și fabricării, al comerțului cu amănuntul și al altor forme de distribuție de alimente, al restaurantelor și al serviciilor de alimentație, precum și al gospodăriilor.</w:t>
      </w:r>
    </w:p>
    <w:p w14:paraId="11C3E69B" w14:textId="7C278DE3" w:rsidR="00A41EB2" w:rsidRPr="00D96C74" w:rsidRDefault="0073367E" w:rsidP="0073367E">
      <w:pPr>
        <w:pStyle w:val="ManualConsidrant"/>
        <w:rPr>
          <w:noProof/>
        </w:rPr>
      </w:pPr>
      <w:r w:rsidRPr="0073367E">
        <w:t>(4)</w:t>
      </w:r>
      <w:r w:rsidRPr="0073367E">
        <w:tab/>
      </w:r>
      <w:r w:rsidR="150E1885" w:rsidRPr="00D96C74">
        <w:rPr>
          <w:noProof/>
        </w:rPr>
        <w:t xml:space="preserve">În continuarea Conferinței privind viitorul Europei, Comisia s-a angajat să dea posibilitatea grupurilor de dezbatere ale cetățenilor să delibereze și să facă recomandări înaintea anumitor propuneri-cheie. În acest context, în perioada decembrie </w:t>
      </w:r>
      <w:r w:rsidR="150E1885" w:rsidRPr="00D020C3">
        <w:rPr>
          <w:noProof/>
        </w:rPr>
        <w:t>2022</w:t>
      </w:r>
      <w:r w:rsidR="150E1885" w:rsidRPr="00D96C74">
        <w:rPr>
          <w:noProof/>
        </w:rPr>
        <w:t xml:space="preserve">-februarie </w:t>
      </w:r>
      <w:r w:rsidR="150E1885" w:rsidRPr="00D020C3">
        <w:rPr>
          <w:noProof/>
        </w:rPr>
        <w:t>2023</w:t>
      </w:r>
      <w:r w:rsidR="150E1885" w:rsidRPr="00D96C74">
        <w:rPr>
          <w:noProof/>
        </w:rPr>
        <w:t xml:space="preserve"> a fost convocat un grup de dezbatere al cetățenilor europeni cu scopul de a elabora o listă de recomandări</w:t>
      </w:r>
      <w:r w:rsidR="150E1885" w:rsidRPr="00D96C74">
        <w:rPr>
          <w:rStyle w:val="FootnoteReference"/>
          <w:noProof/>
        </w:rPr>
        <w:footnoteReference w:id="73"/>
      </w:r>
      <w:r w:rsidR="150E1885" w:rsidRPr="00D96C74">
        <w:rPr>
          <w:noProof/>
        </w:rPr>
        <w:t xml:space="preserve"> privind modalitățile de intensificare a acțiunilor de reducere a deșeurilor alimentare în Uniune. Întrucât peste jumătate din deșeurile alimentare generate în Uniune provin de la gospodării, punctul de vedere al cetățenilor cu privire la prevenirea deșeurilor alimentare sunt deosebit de relevante. Cetățenii au recomandat trei linii principale de acțiune, și anume consolidarea cooperării în cadrul lanțului valoric alimentar, inițiative ale întreprinderilor din sectorul alimentar și sprijinirea unei schimbări în comportamentul consumatorilor. Recomandările grupului vor continua să sprijine programul general de lucru al Comisiei referitor la prevenirea deșeurilor alimentare și pot servi drept ghid pentru a ajuta statele membre să atingă obiectivele de reducere a deșeurilor alimentare.</w:t>
      </w:r>
    </w:p>
    <w:p w14:paraId="237270FF" w14:textId="0E876B2E" w:rsidR="00A41EB2" w:rsidRPr="00D96C74" w:rsidRDefault="0073367E" w:rsidP="0073367E">
      <w:pPr>
        <w:pStyle w:val="ManualConsidrant"/>
        <w:rPr>
          <w:noProof/>
        </w:rPr>
      </w:pPr>
      <w:r w:rsidRPr="0073367E">
        <w:t>(5)</w:t>
      </w:r>
      <w:r w:rsidRPr="0073367E">
        <w:tab/>
      </w:r>
      <w:r w:rsidR="150E1885" w:rsidRPr="00D96C74">
        <w:rPr>
          <w:noProof/>
        </w:rPr>
        <w:t xml:space="preserve">Directiva </w:t>
      </w:r>
      <w:r w:rsidR="150E1885" w:rsidRPr="00D020C3">
        <w:rPr>
          <w:noProof/>
        </w:rPr>
        <w:t>2009</w:t>
      </w:r>
      <w:r w:rsidR="150E1885" w:rsidRPr="00D96C74">
        <w:rPr>
          <w:noProof/>
        </w:rPr>
        <w:t>/</w:t>
      </w:r>
      <w:r w:rsidR="150E1885" w:rsidRPr="00D020C3">
        <w:rPr>
          <w:noProof/>
        </w:rPr>
        <w:t>31</w:t>
      </w:r>
      <w:r w:rsidR="150E1885" w:rsidRPr="00D96C74">
        <w:rPr>
          <w:noProof/>
        </w:rPr>
        <w:t>/CE a Parlamentului European și a Consiliului</w:t>
      </w:r>
      <w:r w:rsidR="150E1885" w:rsidRPr="00D96C74">
        <w:rPr>
          <w:rStyle w:val="FootnoteReference"/>
          <w:rFonts w:eastAsia="Roboto"/>
          <w:noProof/>
        </w:rPr>
        <w:footnoteReference w:id="74"/>
      </w:r>
      <w:r w:rsidR="150E1885" w:rsidRPr="00D96C74">
        <w:rPr>
          <w:noProof/>
        </w:rPr>
        <w:t xml:space="preserve"> a exclus din domeniul de aplicare al Directivei </w:t>
      </w:r>
      <w:r w:rsidR="150E1885" w:rsidRPr="00D020C3">
        <w:rPr>
          <w:noProof/>
        </w:rPr>
        <w:t>2006</w:t>
      </w:r>
      <w:r w:rsidR="150E1885" w:rsidRPr="00D96C74">
        <w:rPr>
          <w:noProof/>
        </w:rPr>
        <w:t>/</w:t>
      </w:r>
      <w:r w:rsidR="150E1885" w:rsidRPr="00D020C3">
        <w:rPr>
          <w:noProof/>
        </w:rPr>
        <w:t>12</w:t>
      </w:r>
      <w:r w:rsidR="150E1885" w:rsidRPr="00D96C74">
        <w:rPr>
          <w:noProof/>
        </w:rPr>
        <w:t>/CE a Parlamentului European și a Consiliului</w:t>
      </w:r>
      <w:r w:rsidR="150E1885" w:rsidRPr="00D96C74">
        <w:rPr>
          <w:rStyle w:val="FootnoteReference"/>
          <w:noProof/>
        </w:rPr>
        <w:footnoteReference w:id="75"/>
      </w:r>
      <w:r w:rsidR="150E1885" w:rsidRPr="00D96C74">
        <w:rPr>
          <w:noProof/>
        </w:rPr>
        <w:t xml:space="preserve"> dioxidul de carbon captat și transportat în scopul stocării geologice și stocat geologic în conformitate cu dispozițiile Directivei </w:t>
      </w:r>
      <w:r w:rsidR="150E1885" w:rsidRPr="00D020C3">
        <w:rPr>
          <w:noProof/>
        </w:rPr>
        <w:t>2006</w:t>
      </w:r>
      <w:r w:rsidR="150E1885" w:rsidRPr="00D96C74">
        <w:rPr>
          <w:noProof/>
        </w:rPr>
        <w:t>/</w:t>
      </w:r>
      <w:r w:rsidR="150E1885" w:rsidRPr="00D020C3">
        <w:rPr>
          <w:noProof/>
        </w:rPr>
        <w:t>12</w:t>
      </w:r>
      <w:r w:rsidR="150E1885" w:rsidRPr="00D96C74">
        <w:rPr>
          <w:noProof/>
        </w:rPr>
        <w:t xml:space="preserve">/CE. Cu toate acestea, dispoziția din Directiva </w:t>
      </w:r>
      <w:r w:rsidR="150E1885" w:rsidRPr="00D020C3">
        <w:rPr>
          <w:noProof/>
        </w:rPr>
        <w:t>2009</w:t>
      </w:r>
      <w:r w:rsidR="150E1885" w:rsidRPr="00D96C74">
        <w:rPr>
          <w:noProof/>
        </w:rPr>
        <w:t>/</w:t>
      </w:r>
      <w:r w:rsidR="150E1885" w:rsidRPr="00D020C3">
        <w:rPr>
          <w:noProof/>
        </w:rPr>
        <w:t>31</w:t>
      </w:r>
      <w:r w:rsidR="150E1885" w:rsidRPr="00D96C74">
        <w:rPr>
          <w:noProof/>
        </w:rPr>
        <w:t xml:space="preserve">/CE de modificare a Directivei </w:t>
      </w:r>
      <w:r w:rsidR="150E1885" w:rsidRPr="00D020C3">
        <w:rPr>
          <w:noProof/>
        </w:rPr>
        <w:t>2006</w:t>
      </w:r>
      <w:r w:rsidR="150E1885" w:rsidRPr="00D96C74">
        <w:rPr>
          <w:noProof/>
        </w:rPr>
        <w:t>/</w:t>
      </w:r>
      <w:r w:rsidR="150E1885" w:rsidRPr="00D020C3">
        <w:rPr>
          <w:noProof/>
        </w:rPr>
        <w:t>12</w:t>
      </w:r>
      <w:r w:rsidR="150E1885" w:rsidRPr="00D96C74">
        <w:rPr>
          <w:noProof/>
        </w:rPr>
        <w:t xml:space="preserve">/CE nu a fost încorporată în Directiva </w:t>
      </w:r>
      <w:r w:rsidR="150E1885" w:rsidRPr="00D020C3">
        <w:rPr>
          <w:noProof/>
        </w:rPr>
        <w:t>2008</w:t>
      </w:r>
      <w:r w:rsidR="150E1885" w:rsidRPr="00D96C74">
        <w:rPr>
          <w:noProof/>
        </w:rPr>
        <w:t>/</w:t>
      </w:r>
      <w:r w:rsidR="150E1885" w:rsidRPr="00D020C3">
        <w:rPr>
          <w:noProof/>
        </w:rPr>
        <w:t>98</w:t>
      </w:r>
      <w:r w:rsidR="150E1885" w:rsidRPr="00D96C74">
        <w:rPr>
          <w:noProof/>
        </w:rPr>
        <w:t>/CE a Parlamentului European și a Consiliului</w:t>
      </w:r>
      <w:r w:rsidR="150E1885" w:rsidRPr="00D96C74">
        <w:rPr>
          <w:rStyle w:val="FootnoteReference"/>
          <w:noProof/>
        </w:rPr>
        <w:footnoteReference w:id="76"/>
      </w:r>
      <w:r w:rsidR="150E1885" w:rsidRPr="00D96C74">
        <w:rPr>
          <w:noProof/>
        </w:rPr>
        <w:t xml:space="preserve">, care a abrogat Directiva </w:t>
      </w:r>
      <w:r w:rsidR="150E1885" w:rsidRPr="00D020C3">
        <w:rPr>
          <w:noProof/>
        </w:rPr>
        <w:t>2006</w:t>
      </w:r>
      <w:r w:rsidR="150E1885" w:rsidRPr="00D96C74">
        <w:rPr>
          <w:noProof/>
        </w:rPr>
        <w:t>/</w:t>
      </w:r>
      <w:r w:rsidR="150E1885" w:rsidRPr="00D020C3">
        <w:rPr>
          <w:noProof/>
        </w:rPr>
        <w:t>12</w:t>
      </w:r>
      <w:r w:rsidR="150E1885" w:rsidRPr="00D96C74">
        <w:rPr>
          <w:noProof/>
        </w:rPr>
        <w:t xml:space="preserve">/CE. Prin urmare, în scopul asigurării securității juridice, prezenta directivă include modificările cuprinse în Directiva </w:t>
      </w:r>
      <w:r w:rsidR="150E1885" w:rsidRPr="00D020C3">
        <w:rPr>
          <w:noProof/>
        </w:rPr>
        <w:t>2009</w:t>
      </w:r>
      <w:r w:rsidR="150E1885" w:rsidRPr="00D96C74">
        <w:rPr>
          <w:noProof/>
        </w:rPr>
        <w:t>/</w:t>
      </w:r>
      <w:r w:rsidR="150E1885" w:rsidRPr="00D020C3">
        <w:rPr>
          <w:noProof/>
        </w:rPr>
        <w:t>31</w:t>
      </w:r>
      <w:r w:rsidR="150E1885" w:rsidRPr="00D96C74">
        <w:rPr>
          <w:noProof/>
        </w:rPr>
        <w:t xml:space="preserve">/CE privind excluderea din domeniul de aplicare al Directivei </w:t>
      </w:r>
      <w:r w:rsidR="150E1885" w:rsidRPr="00D020C3">
        <w:rPr>
          <w:noProof/>
        </w:rPr>
        <w:t>2008</w:t>
      </w:r>
      <w:r w:rsidR="150E1885" w:rsidRPr="00D96C74">
        <w:rPr>
          <w:noProof/>
        </w:rPr>
        <w:t>/</w:t>
      </w:r>
      <w:r w:rsidR="150E1885" w:rsidRPr="00D020C3">
        <w:rPr>
          <w:noProof/>
        </w:rPr>
        <w:t>98</w:t>
      </w:r>
      <w:r w:rsidR="150E1885" w:rsidRPr="00D96C74">
        <w:rPr>
          <w:noProof/>
        </w:rPr>
        <w:t>/CE a dioxidului de carbon captat și transportat în scopul stocării geologice și stocat geologic.</w:t>
      </w:r>
    </w:p>
    <w:p w14:paraId="7865B250" w14:textId="5E8E2752" w:rsidR="00A41EB2" w:rsidRPr="00D96C74" w:rsidRDefault="0073367E" w:rsidP="0073367E">
      <w:pPr>
        <w:pStyle w:val="ManualConsidrant"/>
        <w:rPr>
          <w:noProof/>
        </w:rPr>
      </w:pPr>
      <w:r w:rsidRPr="0073367E">
        <w:t>(6)</w:t>
      </w:r>
      <w:r w:rsidRPr="0073367E">
        <w:tab/>
      </w:r>
      <w:r w:rsidR="150E1885" w:rsidRPr="00D96C74">
        <w:rPr>
          <w:noProof/>
        </w:rPr>
        <w:t xml:space="preserve">În Directiva </w:t>
      </w:r>
      <w:r w:rsidR="150E1885" w:rsidRPr="00D020C3">
        <w:rPr>
          <w:noProof/>
        </w:rPr>
        <w:t>2008</w:t>
      </w:r>
      <w:r w:rsidR="150E1885" w:rsidRPr="00D96C74">
        <w:rPr>
          <w:noProof/>
        </w:rPr>
        <w:t>/</w:t>
      </w:r>
      <w:r w:rsidR="150E1885" w:rsidRPr="00D020C3">
        <w:rPr>
          <w:noProof/>
        </w:rPr>
        <w:t>98</w:t>
      </w:r>
      <w:r w:rsidR="150E1885" w:rsidRPr="00D96C74">
        <w:rPr>
          <w:noProof/>
        </w:rPr>
        <w:t>/CE trebuie incluse definiții ale producătorilor de produse textile, ale platformelor online și ale organizațiilor care implementează răspunderea extinsă a producătorului, toate acestea având legătură cu punerea în aplicare a răspunderii extinse a producătorului pentru textile, astfel încât să fie clarificată sfera de aplicare a acestor concepte și obligațiile conexe.</w:t>
      </w:r>
    </w:p>
    <w:p w14:paraId="7076926F" w14:textId="03047F24" w:rsidR="00A41EB2" w:rsidRPr="00D96C74" w:rsidRDefault="0073367E" w:rsidP="0073367E">
      <w:pPr>
        <w:pStyle w:val="ManualConsidrant"/>
        <w:rPr>
          <w:noProof/>
        </w:rPr>
      </w:pPr>
      <w:r w:rsidRPr="0073367E">
        <w:t>(7)</w:t>
      </w:r>
      <w:r w:rsidRPr="0073367E">
        <w:tab/>
      </w:r>
      <w:r w:rsidR="150E1885" w:rsidRPr="00D96C74">
        <w:rPr>
          <w:noProof/>
        </w:rPr>
        <w:t>Într-o anumită măsură, statele membre au elaborat materiale și au desfășurat campanii care vizează prevenirea generării de deșeuri alimentare destinate consumatorilor și operatorilor din sectorul alimentar; totuși, acestea se concentrează în principal pe creșterea gradului de conștientizare și nu pe determinarea unor schimbări de comportament. Pentru a se atinge întregul potențial de reducere a deșeurilor alimentare și a se asigura realizarea de progrese în timp, trebuie dezvoltate măsuri care să vizeze schimbări comportamentale, adaptate situațiilor și nevoilor specifice din statele membre și integrate pe deplin în programele naționale de prevenire a deșeurilor alimentare. De asemenea, ar trebui să se acorde importanță soluțiilor circulare regionale, inclusiv parteneriatelor public-privat și implicării cetățenilor, precum și adaptării la nevoile regionale specifice, cum ar fi regiunile ultraperiferice sau insulele.</w:t>
      </w:r>
    </w:p>
    <w:p w14:paraId="0FDC9168" w14:textId="74F55681" w:rsidR="00A41EB2" w:rsidRPr="00D96C74" w:rsidRDefault="0073367E" w:rsidP="0073367E">
      <w:pPr>
        <w:pStyle w:val="ManualConsidrant"/>
        <w:rPr>
          <w:noProof/>
        </w:rPr>
      </w:pPr>
      <w:r w:rsidRPr="0073367E">
        <w:t>(8)</w:t>
      </w:r>
      <w:r w:rsidRPr="0073367E">
        <w:tab/>
      </w:r>
      <w:r w:rsidR="150E1885" w:rsidRPr="00D96C74">
        <w:rPr>
          <w:noProof/>
        </w:rPr>
        <w:t xml:space="preserve">În pofida conștientizării tot mai mari a impactului și a consecințelor negative ale generării de deșeuri alimentare, a angajamentelor politice asumate la nivelul UE și al statelor membre, precum și a măsurilor Uniunii puse în aplicare începând cu Planul de acțiune pentru economia circulară din </w:t>
      </w:r>
      <w:r w:rsidR="150E1885" w:rsidRPr="00D020C3">
        <w:rPr>
          <w:noProof/>
        </w:rPr>
        <w:t>2015</w:t>
      </w:r>
      <w:r w:rsidR="150E1885" w:rsidRPr="00D96C74">
        <w:rPr>
          <w:noProof/>
        </w:rPr>
        <w:t xml:space="preserve">, cantitățile de deșeuri alimentare generate nu scad suficient încât să se realizeze progrese semnificative în direcția îndeplinirii celei de a treia ținte a obiectivului de dezvoltare durabilă (ODD) </w:t>
      </w:r>
      <w:r w:rsidR="150E1885" w:rsidRPr="00D020C3">
        <w:rPr>
          <w:noProof/>
        </w:rPr>
        <w:t>12</w:t>
      </w:r>
      <w:r w:rsidR="150E1885" w:rsidRPr="00D96C74">
        <w:rPr>
          <w:noProof/>
        </w:rPr>
        <w:t xml:space="preserve"> al ONU. Pentru a avea o contribuție semnificativă la atingerea celei de a treia ținte a ODD </w:t>
      </w:r>
      <w:r w:rsidR="150E1885" w:rsidRPr="00D020C3">
        <w:rPr>
          <w:noProof/>
        </w:rPr>
        <w:t>12</w:t>
      </w:r>
      <w:r w:rsidR="150E1885" w:rsidRPr="00D96C74">
        <w:rPr>
          <w:noProof/>
        </w:rPr>
        <w:t>, măsurile pe care trebuie să le ia statele membre ar trebui consolidate, astfel încât să se înregistreze progrese în punerea în aplicare a prezentei directive și a altor măsuri adecvate de reducere a generării de deșeuri alimentare.</w:t>
      </w:r>
    </w:p>
    <w:p w14:paraId="1BC2F79C" w14:textId="31B12C18" w:rsidR="00A41EB2" w:rsidRPr="00D96C74" w:rsidRDefault="0073367E" w:rsidP="0073367E">
      <w:pPr>
        <w:pStyle w:val="ManualConsidrant"/>
        <w:rPr>
          <w:noProof/>
        </w:rPr>
      </w:pPr>
      <w:r w:rsidRPr="0073367E">
        <w:t>(9)</w:t>
      </w:r>
      <w:r w:rsidRPr="0073367E">
        <w:tab/>
      </w:r>
      <w:r w:rsidR="150E1885" w:rsidRPr="00D96C74">
        <w:rPr>
          <w:noProof/>
        </w:rPr>
        <w:t xml:space="preserve">Pentru a obține rezultate pe termen scurt și a oferi operatorilor din sectorul alimentar, consumatorilor și autorităților publice perspectiva necesară pe termen mai lung, ar trebui stabilite obiective cuantificate în materie de reducere a generării de deșeuri alimentare, care să fie atinse de statele membre până în </w:t>
      </w:r>
      <w:r w:rsidR="150E1885" w:rsidRPr="00D020C3">
        <w:rPr>
          <w:noProof/>
        </w:rPr>
        <w:t>2030</w:t>
      </w:r>
      <w:r w:rsidR="150E1885" w:rsidRPr="00D96C74">
        <w:rPr>
          <w:noProof/>
        </w:rPr>
        <w:t>.</w:t>
      </w:r>
    </w:p>
    <w:p w14:paraId="21A1D153" w14:textId="45AA4F4E" w:rsidR="00A41EB2" w:rsidRPr="00D96C74" w:rsidRDefault="0073367E" w:rsidP="0073367E">
      <w:pPr>
        <w:pStyle w:val="ManualConsidrant"/>
        <w:rPr>
          <w:noProof/>
        </w:rPr>
      </w:pPr>
      <w:r w:rsidRPr="0073367E">
        <w:t>(10)</w:t>
      </w:r>
      <w:r w:rsidRPr="0073367E">
        <w:tab/>
      </w:r>
      <w:r w:rsidR="73CBCE8F" w:rsidRPr="00D96C74">
        <w:rPr>
          <w:noProof/>
        </w:rPr>
        <w:t xml:space="preserve">Având în vedere angajamentul Uniunii față de obiectivul ambițios stabilit în cea de a treia țintă a ODD </w:t>
      </w:r>
      <w:r w:rsidR="73CBCE8F" w:rsidRPr="00D020C3">
        <w:rPr>
          <w:noProof/>
        </w:rPr>
        <w:t>12</w:t>
      </w:r>
      <w:r w:rsidR="73CBCE8F" w:rsidRPr="00D96C74">
        <w:rPr>
          <w:noProof/>
        </w:rPr>
        <w:t xml:space="preserve">, stabilirea unor obiective în materie de reducere a deșeurilor alimentare care să fie atinse de statele membre până în </w:t>
      </w:r>
      <w:r w:rsidR="73CBCE8F" w:rsidRPr="00D020C3">
        <w:rPr>
          <w:noProof/>
        </w:rPr>
        <w:t>2030</w:t>
      </w:r>
      <w:r w:rsidR="73CBCE8F" w:rsidRPr="00D96C74">
        <w:rPr>
          <w:noProof/>
        </w:rPr>
        <w:t xml:space="preserve"> ar trebui să ofere un impuls politic puternic în sensul luării de măsuri și al asigurării unei contribuții semnificative la obiectivele globale. Totuși, având în vedere că obiectivele respective ar urma să fie obligatorii din punct de vedere juridic, ele ar trebui să fie proporționale și fezabile și să țină seama de rolul diferiților actori din lanțul alimentar, precum și de capacitatea acestora (în special în cazul microîntreprinderilor și al întreprinderilor mici). Prin urmare, stabilirea unor obiective obligatorii din punct de vedere juridic ar trebui să urmeze o abordare etapizată, începând cu un nivel mai scăzut decât cel stabilit în ODD, în vederea asigurării unor măsuri de răspuns coerente ale statelor membre și a unor progrese concrete în vederea atingerii celei de a treia ținte a ODD</w:t>
      </w:r>
      <w:r w:rsidR="00D020C3">
        <w:rPr>
          <w:noProof/>
        </w:rPr>
        <w:t> </w:t>
      </w:r>
      <w:r w:rsidR="73CBCE8F" w:rsidRPr="00D020C3">
        <w:rPr>
          <w:noProof/>
        </w:rPr>
        <w:t>12</w:t>
      </w:r>
      <w:r w:rsidR="73CBCE8F" w:rsidRPr="00D96C74">
        <w:rPr>
          <w:noProof/>
        </w:rPr>
        <w:t>.</w:t>
      </w:r>
    </w:p>
    <w:p w14:paraId="57E812BA" w14:textId="6ADD44EE" w:rsidR="0044258C" w:rsidRPr="00D96C74" w:rsidRDefault="0073367E" w:rsidP="0073367E">
      <w:pPr>
        <w:pStyle w:val="ManualConsidrant"/>
        <w:rPr>
          <w:noProof/>
        </w:rPr>
      </w:pPr>
      <w:r w:rsidRPr="0073367E">
        <w:t>(11)</w:t>
      </w:r>
      <w:r w:rsidRPr="0073367E">
        <w:tab/>
      </w:r>
      <w:r w:rsidR="41ACD382" w:rsidRPr="00D96C74">
        <w:rPr>
          <w:noProof/>
        </w:rPr>
        <w:t>Reducerea deșeurilor alimentare în etapa producției și în cea a consumului necesită abordări și măsuri diferite și implică diferite grupuri de părți interesate. Prin urmare, ar trebui propus un obiectiv pentru etapa prelucrării și a producției și un altul pentru vânzarea cu amănuntul și alte forme de distribuție de alimente, pentru restaurante și servicii de alimentație, precum și pentru gospodării.</w:t>
      </w:r>
    </w:p>
    <w:p w14:paraId="7D233E89" w14:textId="0747DC5B" w:rsidR="0044258C" w:rsidRPr="00D96C74" w:rsidRDefault="0073367E" w:rsidP="0073367E">
      <w:pPr>
        <w:pStyle w:val="ManualConsidrant"/>
        <w:rPr>
          <w:noProof/>
        </w:rPr>
      </w:pPr>
      <w:r w:rsidRPr="0073367E">
        <w:t>(12)</w:t>
      </w:r>
      <w:r w:rsidRPr="0073367E">
        <w:tab/>
      </w:r>
      <w:r w:rsidR="41ACD382" w:rsidRPr="00D96C74">
        <w:rPr>
          <w:noProof/>
        </w:rPr>
        <w:t>Având în vedere interdependența dintre etapa distribuției și cea a consumului din cadrul lanțului alimentar, în special influența practicilor de vânzare cu amănuntul asupra comportamentului consumatorilor și relația dintre consumul de alimente în interiorul și în afara locuinței, este recomandabil să se stabilească un singur obiectiv comun pentru aceste etape ale lanțului alimentar. Stabilirea unor obiective separate pentru fiecare dintre aceste etape ar aduce o complexitate inutilă și ar restrânge flexibilitatea statelor membre de a se concentra asupra domeniilor lor specifice de interes. Pentru a evita ca un obiectiv comun să genereze o sarcină excesivă pentru anumiți operatori, statelor membre li se va recomanda să ia în considerare principiul proporționalității atunci când stabilesc măsuri pentru atingerea obiectivului comun.</w:t>
      </w:r>
      <w:r w:rsidR="41ACD382" w:rsidRPr="00D96C74">
        <w:rPr>
          <w:rStyle w:val="eop"/>
          <w:noProof/>
          <w:color w:val="000000" w:themeColor="text1"/>
        </w:rPr>
        <w:t xml:space="preserve"> </w:t>
      </w:r>
    </w:p>
    <w:p w14:paraId="4C230D39" w14:textId="6EB7410F" w:rsidR="0044258C" w:rsidRPr="00D96C74" w:rsidRDefault="0073367E" w:rsidP="0073367E">
      <w:pPr>
        <w:pStyle w:val="ManualConsidrant"/>
        <w:rPr>
          <w:noProof/>
        </w:rPr>
      </w:pPr>
      <w:r w:rsidRPr="0073367E">
        <w:t>(13)</w:t>
      </w:r>
      <w:r w:rsidRPr="0073367E">
        <w:tab/>
      </w:r>
      <w:r w:rsidR="41ACD382" w:rsidRPr="00D96C74">
        <w:rPr>
          <w:noProof/>
        </w:rPr>
        <w:t xml:space="preserve">Schimbările demografice au un impact semnificativ asupra cantității de alimente consumate și a deșeurilor alimentare generate. Prin urmare, un obiectiv comun de reducere a deșeurilor alimentare aplicabil comerțului cu amănuntul și altor forme de distribuție de alimente, restaurante și servicii de alimentație, precum și gospodăriilor, ar trebui exprimat ca variație procentuală a nivelurilor de deșeuri alimentare pe cap de locuitor, pentru a ține seama de schimbările demografice. </w:t>
      </w:r>
    </w:p>
    <w:p w14:paraId="77BF1C7E" w14:textId="4D7DD092" w:rsidR="0044258C" w:rsidRPr="00D96C74" w:rsidRDefault="0073367E" w:rsidP="0073367E">
      <w:pPr>
        <w:pStyle w:val="ManualConsidrant"/>
        <w:rPr>
          <w:noProof/>
        </w:rPr>
      </w:pPr>
      <w:r w:rsidRPr="0073367E">
        <w:t>(14)</w:t>
      </w:r>
      <w:r w:rsidRPr="0073367E">
        <w:tab/>
      </w:r>
      <w:r w:rsidR="41ACD382" w:rsidRPr="00D96C74">
        <w:rPr>
          <w:noProof/>
        </w:rPr>
        <w:t xml:space="preserve">Pe baza metodologiei armonizate stabilite în Decizia delegată (UE) </w:t>
      </w:r>
      <w:r w:rsidR="41ACD382" w:rsidRPr="00D020C3">
        <w:rPr>
          <w:noProof/>
        </w:rPr>
        <w:t>2019</w:t>
      </w:r>
      <w:r w:rsidR="41ACD382" w:rsidRPr="00D96C74">
        <w:rPr>
          <w:noProof/>
        </w:rPr>
        <w:t>/</w:t>
      </w:r>
      <w:r w:rsidR="41ACD382" w:rsidRPr="00D020C3">
        <w:rPr>
          <w:noProof/>
        </w:rPr>
        <w:t>1597</w:t>
      </w:r>
      <w:r w:rsidR="41ACD382" w:rsidRPr="00D96C74">
        <w:rPr>
          <w:noProof/>
        </w:rPr>
        <w:t xml:space="preserve"> a Comisiei</w:t>
      </w:r>
      <w:r w:rsidR="41ACD382" w:rsidRPr="00D96C74">
        <w:rPr>
          <w:rStyle w:val="FootnoteReference"/>
          <w:noProof/>
        </w:rPr>
        <w:footnoteReference w:id="77"/>
      </w:r>
      <w:r w:rsidR="41ACD382" w:rsidRPr="00D96C74">
        <w:rPr>
          <w:noProof/>
        </w:rPr>
        <w:t xml:space="preserve">, primul an pentru care au fost colectate date privind nivelurile de deșeuri alimentare a fost </w:t>
      </w:r>
      <w:r w:rsidR="41ACD382" w:rsidRPr="00D020C3">
        <w:rPr>
          <w:noProof/>
        </w:rPr>
        <w:t>2020</w:t>
      </w:r>
      <w:r w:rsidR="41ACD382" w:rsidRPr="00D96C74">
        <w:rPr>
          <w:noProof/>
        </w:rPr>
        <w:t xml:space="preserve">. Prin urmare, </w:t>
      </w:r>
      <w:r w:rsidR="41ACD382" w:rsidRPr="00D020C3">
        <w:rPr>
          <w:noProof/>
        </w:rPr>
        <w:t>2020</w:t>
      </w:r>
      <w:r w:rsidR="41ACD382" w:rsidRPr="00D96C74">
        <w:rPr>
          <w:noProof/>
        </w:rPr>
        <w:t xml:space="preserve"> ar trebui utilizat drept an de referință pentru stabilirea obiectivelor de reducere a deșeurilor alimentare. În cazul statelor membre care pot demonstra că au efectuat măsurători ale deșeurilor alimentare înainte de </w:t>
      </w:r>
      <w:r w:rsidR="41ACD382" w:rsidRPr="00D020C3">
        <w:rPr>
          <w:noProof/>
        </w:rPr>
        <w:t>2020</w:t>
      </w:r>
      <w:r w:rsidR="41ACD382" w:rsidRPr="00D96C74">
        <w:rPr>
          <w:noProof/>
        </w:rPr>
        <w:t xml:space="preserve">, utilizând metode conforme cu cele prevăzute în Decizia delegată (UE) </w:t>
      </w:r>
      <w:r w:rsidR="41ACD382" w:rsidRPr="00D020C3">
        <w:rPr>
          <w:noProof/>
        </w:rPr>
        <w:t>2019</w:t>
      </w:r>
      <w:r w:rsidR="41ACD382" w:rsidRPr="00D96C74">
        <w:rPr>
          <w:noProof/>
        </w:rPr>
        <w:t>/</w:t>
      </w:r>
      <w:r w:rsidR="41ACD382" w:rsidRPr="00D020C3">
        <w:rPr>
          <w:noProof/>
        </w:rPr>
        <w:t>1597</w:t>
      </w:r>
      <w:r w:rsidR="41ACD382" w:rsidRPr="00D96C74">
        <w:rPr>
          <w:noProof/>
        </w:rPr>
        <w:t>, ar trebui permisă utilizarea unui an de referință anterior.</w:t>
      </w:r>
    </w:p>
    <w:p w14:paraId="79B51757" w14:textId="40DBDB6E" w:rsidR="003E3DE6" w:rsidRPr="00D96C74" w:rsidRDefault="0073367E" w:rsidP="0073367E">
      <w:pPr>
        <w:pStyle w:val="ManualConsidrant"/>
        <w:rPr>
          <w:noProof/>
        </w:rPr>
      </w:pPr>
      <w:r w:rsidRPr="0073367E">
        <w:t>(15)</w:t>
      </w:r>
      <w:r w:rsidRPr="0073367E">
        <w:tab/>
      </w:r>
      <w:r w:rsidR="73CBCE8F" w:rsidRPr="00D96C74">
        <w:rPr>
          <w:noProof/>
        </w:rPr>
        <w:t xml:space="preserve">Pentru a asigura faptul că abordarea etapizată în vederea atingerii obiectivului stabilit la nivel mondial dă rezultate, nivelurile stabilite pentru obiectivele obligatorii din punct de vedere juridic în materie de reducere a deșeurilor alimentare ar trebui reexaminate și revizuite, după caz, astfel încât să țină seama de progresele înregistrate de statele membre de-a lungul timpului. Ar fi astfel posibilă o eventuală ajustare a obiectivelor în vederea consolidării contribuției Uniunii și a unei mai mari alinieri la cea de a treia țintă a ODD </w:t>
      </w:r>
      <w:r w:rsidR="73CBCE8F" w:rsidRPr="00D020C3">
        <w:rPr>
          <w:noProof/>
        </w:rPr>
        <w:t>12</w:t>
      </w:r>
      <w:r w:rsidR="73CBCE8F" w:rsidRPr="00D96C74">
        <w:rPr>
          <w:noProof/>
        </w:rPr>
        <w:t xml:space="preserve">, care trebuie atinsă până în </w:t>
      </w:r>
      <w:r w:rsidR="73CBCE8F" w:rsidRPr="00D020C3">
        <w:rPr>
          <w:noProof/>
        </w:rPr>
        <w:t>2030</w:t>
      </w:r>
      <w:r w:rsidR="73CBCE8F" w:rsidRPr="00D96C74">
        <w:rPr>
          <w:noProof/>
        </w:rPr>
        <w:t>, indicând direcția de urmat pentru a se obține noi progrese după această dată.</w:t>
      </w:r>
    </w:p>
    <w:p w14:paraId="334D5154" w14:textId="7DA86948" w:rsidR="0044258C" w:rsidRPr="00D96C74" w:rsidRDefault="0073367E" w:rsidP="0073367E">
      <w:pPr>
        <w:pStyle w:val="ManualConsidrant"/>
        <w:rPr>
          <w:noProof/>
        </w:rPr>
      </w:pPr>
      <w:r w:rsidRPr="0073367E">
        <w:t>(16)</w:t>
      </w:r>
      <w:r w:rsidRPr="0073367E">
        <w:tab/>
      </w:r>
      <w:r w:rsidR="41ACD382" w:rsidRPr="00D96C74">
        <w:rPr>
          <w:noProof/>
        </w:rPr>
        <w:t xml:space="preserve">Pentru a se asigura o punere în aplicare mai bună, mai rapidă și mai uniformă a dispozițiilor referitoare la prevenirea deșeurilor alimentare, a anticipa orice deficiențe de punere în aplicare și a face posibilă luarea de măsuri înainte de termenele stabilite pentru atingerea obiectivelor, ar trebui extins sistemul de rapoarte de alertă timpurie introdus în </w:t>
      </w:r>
      <w:r w:rsidR="41ACD382" w:rsidRPr="00D020C3">
        <w:rPr>
          <w:noProof/>
        </w:rPr>
        <w:t>2018</w:t>
      </w:r>
      <w:r w:rsidR="41ACD382" w:rsidRPr="00D96C74">
        <w:rPr>
          <w:noProof/>
        </w:rPr>
        <w:t>, incluzând în acesta obiectivele de reducere a deșeurilor alimentare.</w:t>
      </w:r>
    </w:p>
    <w:p w14:paraId="3835CC92" w14:textId="222EEF8B" w:rsidR="0044258C" w:rsidRPr="00D96C74" w:rsidRDefault="0073367E" w:rsidP="0073367E">
      <w:pPr>
        <w:pStyle w:val="ManualConsidrant"/>
        <w:rPr>
          <w:noProof/>
        </w:rPr>
      </w:pPr>
      <w:r w:rsidRPr="0073367E">
        <w:t>(17)</w:t>
      </w:r>
      <w:r w:rsidRPr="0073367E">
        <w:tab/>
      </w:r>
      <w:r w:rsidR="41ACD382" w:rsidRPr="00D96C74">
        <w:rPr>
          <w:noProof/>
        </w:rPr>
        <w:t>În conformitate cu principiul „poluatorul plătește”, astfel cum este menționat la articolul </w:t>
      </w:r>
      <w:r w:rsidR="41ACD382" w:rsidRPr="00D020C3">
        <w:rPr>
          <w:noProof/>
        </w:rPr>
        <w:t>191</w:t>
      </w:r>
      <w:r w:rsidR="41ACD382" w:rsidRPr="00D96C74">
        <w:rPr>
          <w:noProof/>
        </w:rPr>
        <w:t xml:space="preserve"> alineatul (</w:t>
      </w:r>
      <w:r w:rsidR="41ACD382" w:rsidRPr="00D020C3">
        <w:rPr>
          <w:noProof/>
        </w:rPr>
        <w:t>2</w:t>
      </w:r>
      <w:r w:rsidR="41ACD382" w:rsidRPr="00D96C74">
        <w:rPr>
          <w:noProof/>
        </w:rPr>
        <w:t>) din Tratatul privind funcționarea Uniunii Europene (TFUE), este esențial ca producătorii care introduc pe piața Uniunii anumite produse textile, asociate textilelor și de încălțăminte să își asume responsabilitatea gestionării acestora la sfârșitul ciclului de viață, precum și să le prelungească durata de viață prin punerea la dispoziție pe piață de produse textile, asociate textilelor și de încălțăminte uzate în vederea reutilizării. Pentru a pune în aplicare principiul „poluatorul plătește”, este oportun să se stabilească obligațiile în materie de gestiune care le revin producătorilor de produse textile, asociate textilelor și de încălțăminte. În această categorie intră orice fabricant, importator sau distribuitor care, indiferent de tehnica de vânzare utilizată, inclusiv prin intermediul contractelor la distanță, astfel cum sunt definite la articolul </w:t>
      </w:r>
      <w:r w:rsidR="41ACD382" w:rsidRPr="00D020C3">
        <w:rPr>
          <w:noProof/>
        </w:rPr>
        <w:t>2</w:t>
      </w:r>
      <w:r w:rsidR="41ACD382" w:rsidRPr="00D96C74">
        <w:rPr>
          <w:noProof/>
        </w:rPr>
        <w:t xml:space="preserve"> punctul </w:t>
      </w:r>
      <w:r w:rsidR="41ACD382" w:rsidRPr="00D020C3">
        <w:rPr>
          <w:noProof/>
        </w:rPr>
        <w:t>7</w:t>
      </w:r>
      <w:r w:rsidR="41ACD382" w:rsidRPr="00D96C74">
        <w:rPr>
          <w:noProof/>
        </w:rPr>
        <w:t xml:space="preserve"> din Directiva </w:t>
      </w:r>
      <w:r w:rsidR="41ACD382" w:rsidRPr="00D020C3">
        <w:rPr>
          <w:noProof/>
        </w:rPr>
        <w:t>2011</w:t>
      </w:r>
      <w:r w:rsidR="41ACD382" w:rsidRPr="00D96C74">
        <w:rPr>
          <w:noProof/>
        </w:rPr>
        <w:t>/</w:t>
      </w:r>
      <w:r w:rsidR="41ACD382" w:rsidRPr="00D020C3">
        <w:rPr>
          <w:noProof/>
        </w:rPr>
        <w:t>83</w:t>
      </w:r>
      <w:r w:rsidR="41ACD382" w:rsidRPr="00D96C74">
        <w:rPr>
          <w:noProof/>
        </w:rPr>
        <w:t>/UE a Parlamentului European și a Consiliului</w:t>
      </w:r>
      <w:r w:rsidR="41ACD382" w:rsidRPr="00D96C74">
        <w:rPr>
          <w:rStyle w:val="FootnoteReference"/>
          <w:noProof/>
        </w:rPr>
        <w:footnoteReference w:id="78"/>
      </w:r>
      <w:r w:rsidR="41ACD382" w:rsidRPr="00D96C74">
        <w:rPr>
          <w:noProof/>
        </w:rPr>
        <w:t>, pune la dispoziție produsele respective pentru prima dată pe teritoriul unui stat membru, cu titlu profesional, sub numele sau marca sa proprie. Printre producătorii care fac obiectul răspunderii extinse a producătorilor nu ar trebui să se regăsească nici microîntreprinderile și nici croitorii independenți care confecționează articole personalizate, având în vedere rolul lor redus pe piața textilelor, și nici cei care introduc pe piață produse textile, asociate textilelor și de încălțăminte uzate sau produse de acest tip derivate din produse uzate sau care au calitatea de deșeu, cu scopul de a sprijini reutilizarea, inclusiv prin reparare, recondiționare și reciclare creativă prin care se modifică anumite funcționalități ale produsului inițial, în cadrul Uniunii.</w:t>
      </w:r>
    </w:p>
    <w:p w14:paraId="02F5DAB4" w14:textId="10D3A35D" w:rsidR="0044258C" w:rsidRPr="00D96C74" w:rsidRDefault="0073367E" w:rsidP="0073367E">
      <w:pPr>
        <w:pStyle w:val="ManualConsidrant"/>
        <w:rPr>
          <w:noProof/>
        </w:rPr>
      </w:pPr>
      <w:r w:rsidRPr="0073367E">
        <w:t>(18)</w:t>
      </w:r>
      <w:r w:rsidRPr="0073367E">
        <w:tab/>
      </w:r>
      <w:r w:rsidR="41ACD382" w:rsidRPr="00D96C74">
        <w:rPr>
          <w:noProof/>
        </w:rPr>
        <w:t xml:space="preserve">Există diferențe mari în ceea ce privește modul în care se derulează sau este planificată colectarea separată a textilelor, fie prin scheme de răspundere extinsă a producătorilor, fie prin alte abordări. În situațiile în care se au în vedere scheme de răspundere extinsă a producătorilor, există de asemenea disparități pronunțate, de exemplu în ceea ce privește produsele care fac obiectul acestora și modelele de responsabilitate a producătorilor, precum și modelele de guvernanță. Prin urmare, normele privind răspunderea extinsă a producătorilor prevăzute în Directiva </w:t>
      </w:r>
      <w:r w:rsidR="41ACD382" w:rsidRPr="00D020C3">
        <w:rPr>
          <w:noProof/>
        </w:rPr>
        <w:t>2008</w:t>
      </w:r>
      <w:r w:rsidR="41ACD382" w:rsidRPr="00D96C74">
        <w:rPr>
          <w:noProof/>
        </w:rPr>
        <w:t>/</w:t>
      </w:r>
      <w:r w:rsidR="41ACD382" w:rsidRPr="00D020C3">
        <w:rPr>
          <w:noProof/>
        </w:rPr>
        <w:t>98</w:t>
      </w:r>
      <w:r w:rsidR="41ACD382" w:rsidRPr="00D96C74">
        <w:rPr>
          <w:noProof/>
        </w:rPr>
        <w:t>/CE ar trebui să se aplice în general schemelor de răspundere extinsă a producătorilor de produse textile, asociate textilelor și de încălțăminte. Pe de altă parte, ele ar trebui completate cu dispoziții specifice suplimentare relevante pentru caracteristicile sectorului textilelor, în special ponderea ridicată a întreprinderilor mici și mijlocii (IMM-uri) în rândul producătorilor, rolul întreprinderilor sociale și importanța reutilizării în creșterea sustenabilității lanțului valoric al textilelor. De asemenea, normele respective ar trebui să fie mai detaliate și armonizate pentru a se evita crearea unei piețe fragmentate care ar putea avea un impact negativ asupra sectorului, în special asupra microîntreprinderilor și IMM-urilor, în ceea ce privește colectarea, tratarea și reciclarea, precum și pentru a oferi stimulente clare în vederea proiectării de produse textile sustenabile și elaborării de politici sustenabile în acest domeniu și pentru a facilita piețele materiilor prime secundare. În acest context, statele membre sunt încurajate să ia în considerare posibilitatea de a acorda autorizații mai multor organizații care implementează răspunderea extinsă a producătorului, deoarece concurența dintre aceste organizații poate să aducă beneficii mai mari consumatorilor, să sporească inovarea, să scadă costurile, să îmbunătățească ratele de colectare și să diversifice opțiunile producătorilor care doresc să încheie contracte cu astfel de organizații.</w:t>
      </w:r>
    </w:p>
    <w:p w14:paraId="2CD3E0D1" w14:textId="0B7E8C28" w:rsidR="0044258C" w:rsidRPr="00D96C74" w:rsidRDefault="0073367E" w:rsidP="0073367E">
      <w:pPr>
        <w:pStyle w:val="ManualConsidrant"/>
        <w:rPr>
          <w:noProof/>
        </w:rPr>
      </w:pPr>
      <w:r w:rsidRPr="0073367E">
        <w:t>(19)</w:t>
      </w:r>
      <w:r w:rsidRPr="0073367E">
        <w:tab/>
      </w:r>
      <w:r w:rsidR="41ACD382" w:rsidRPr="00D96C74">
        <w:rPr>
          <w:noProof/>
        </w:rPr>
        <w:t>Textilele de uz casnic și articolele de îmbrăcăminte reprezintă cea mai mare parte a consumului de textile din Uniune și contribuie cel mai mult la modelele nesustenabile de supraproducție și de supraconsum. De asemenea, toate sistemele de colectare separată existente în statele membre se concentrează pe textilele de uz casnic și pe îmbrăcăminte, precum și pe alte articole de îmbrăcăminte, accesorii și încălțăminte post-consum care nu au în compoziție preponderent materiale textile. Prin urmare, domeniul de aplicare al schemei de răspundere extinsă a producătorilor care urmează să fie instituită ar trebui să cuprindă produsele textile de uz casnic și alte articole de îmbrăcăminte, accesorii pentru îmbrăcăminte și încălțăminte. Pentru a oferi securitate juridică producătorilor cu privire la produsele vizate de răspunderea extinsă a producătorilor, produsele cuprinse în domeniul de aplicare al acesteia ar trebui identificate prin trimitere la codurile din Nomenclatura combinată în conformitate cu anexa I la Regulamentul (CEE) nr. </w:t>
      </w:r>
      <w:r w:rsidR="41ACD382" w:rsidRPr="00D020C3">
        <w:rPr>
          <w:noProof/>
        </w:rPr>
        <w:t>2658</w:t>
      </w:r>
      <w:r w:rsidR="41ACD382" w:rsidRPr="00D96C74">
        <w:rPr>
          <w:noProof/>
        </w:rPr>
        <w:t>/</w:t>
      </w:r>
      <w:r w:rsidR="41ACD382" w:rsidRPr="00D020C3">
        <w:rPr>
          <w:noProof/>
        </w:rPr>
        <w:t>87</w:t>
      </w:r>
      <w:r w:rsidR="41ACD382" w:rsidRPr="00D96C74">
        <w:rPr>
          <w:noProof/>
        </w:rPr>
        <w:t xml:space="preserve"> al Consiliului</w:t>
      </w:r>
      <w:r w:rsidR="41ACD382" w:rsidRPr="00D96C74">
        <w:rPr>
          <w:rStyle w:val="FootnoteReference"/>
          <w:noProof/>
        </w:rPr>
        <w:footnoteReference w:id="79"/>
      </w:r>
      <w:r w:rsidR="41ACD382" w:rsidRPr="00D96C74">
        <w:rPr>
          <w:noProof/>
        </w:rPr>
        <w:t xml:space="preserve">. </w:t>
      </w:r>
    </w:p>
    <w:p w14:paraId="7C88D0BB" w14:textId="0A9B865E" w:rsidR="00F20BDC" w:rsidRPr="00D96C74" w:rsidRDefault="0073367E" w:rsidP="0073367E">
      <w:pPr>
        <w:pStyle w:val="ManualConsidrant"/>
        <w:rPr>
          <w:noProof/>
        </w:rPr>
      </w:pPr>
      <w:r w:rsidRPr="0073367E">
        <w:t>(20)</w:t>
      </w:r>
      <w:r w:rsidRPr="0073367E">
        <w:tab/>
      </w:r>
      <w:r w:rsidR="00F20BDC" w:rsidRPr="00D96C74">
        <w:rPr>
          <w:noProof/>
        </w:rPr>
        <w:t>Sectorul textilelor este mare consumator de resurse. Deși atât în ceea ce privește producția de materii prime, cât și producția de textile, consumul de îmbrăcăminte, încălțăminte și textile de uz casnic în Uniune generează presiuni și impacturi care sunt resimțite cel mai mult în țări terțe, acestea afectează și Uniunea ca urmare a impactului lor global asupra climei și a mediului. Din acest motiv, prevenirea, pregătirea pentru reutilizare și reciclarea deșeurilor textile pot contribui la reducerea amprentei de mediu globale a sectorului, inclusiv în cadrul Uniunii. În plus, actualul mod de gestionare a deșeurilor textile, ineficient din punctul de vedere al resurselor, nu respectă ierarhia deșeurilor și provoacă daune mediului atât în Uniune, cât și în țările terțe, inclusiv prin emisiile de gaze cu efect de seră provenite din incinerare și depozitare.</w:t>
      </w:r>
    </w:p>
    <w:p w14:paraId="576478F6" w14:textId="1E003FC7" w:rsidR="0044258C" w:rsidRPr="00D96C74" w:rsidRDefault="0073367E" w:rsidP="0073367E">
      <w:pPr>
        <w:pStyle w:val="ManualConsidrant"/>
        <w:rPr>
          <w:noProof/>
        </w:rPr>
      </w:pPr>
      <w:r w:rsidRPr="0073367E">
        <w:t>(21)</w:t>
      </w:r>
      <w:r w:rsidRPr="0073367E">
        <w:tab/>
      </w:r>
      <w:r w:rsidR="41ACD382" w:rsidRPr="00D96C74">
        <w:rPr>
          <w:noProof/>
        </w:rPr>
        <w:t>Scopul răspunderii extinse a producătorilor pentru produsele textile, asociate textilelor și de încălțăminte este de a asigura un nivel ridicat de protecție a mediului și a sănătății în Uniune, de a crea o economie a colectării, a sortării, a reutilizării, a pregătirii pentru reutilizare și a reciclării, în special a reciclării în circuit închis a fibrelor („fibre-to-fibre”), precum și de a oferi stimulente producătorilor astfel încât aceștia să se asigure că produsele lor sunt proiectate în conformitate cu principiile circularității. Producătorii de textile și încălțăminte ar trebui să finanțeze costurile colectării, ale sortării în vederea reutilizării, ale pregătirii pentru reutilizare și reciclare, precum și ale reciclării și ale altor tipuri de tratare a articolelor textile și de încălțăminte uzate și care au calitatea de deșeu colectate, inclusiv a produselor de consum nevândute considerate deșeuri care au fost distribuite pe teritoriul statelor membre după intrarea în vigoare a prezentei directive de modificare, astfel încât să se asigure faptul că obligațiile asociate răspunderii extinse a producătorilor nu se aplică retroactiv și respectă principiul securității juridice. Producătorii respectivi ar trebui să finanțeze și costurile unei anchete privind compoziția deșeurilor municipale mixte colectate, costurile de sprijinire a cercetării și dezvoltării în domeniul tehnologiilor de sortare și reciclare, costurile raportării cu privire la colectarea separată, la reutilizare și la alte tipuri de tratare și ale furnizării de informații utilizatorilor finali cu privire la impactul și gestionarea sustenabilă a textilelor.</w:t>
      </w:r>
    </w:p>
    <w:p w14:paraId="44814757" w14:textId="40913738" w:rsidR="0044258C" w:rsidRPr="00D96C74" w:rsidRDefault="0073367E" w:rsidP="0073367E">
      <w:pPr>
        <w:pStyle w:val="ManualConsidrant"/>
        <w:rPr>
          <w:rFonts w:eastAsia="Calibri"/>
          <w:noProof/>
        </w:rPr>
      </w:pPr>
      <w:r w:rsidRPr="0073367E">
        <w:t>(22)</w:t>
      </w:r>
      <w:r w:rsidRPr="0073367E">
        <w:tab/>
      </w:r>
      <w:r w:rsidR="41ACD382" w:rsidRPr="00D96C74">
        <w:rPr>
          <w:noProof/>
        </w:rPr>
        <w:t>Producătorii ar trebui să aibă responsabilitatea de a institui sisteme de colectare care să colecteze toate produsele textile, asociate textilelor și de încălțăminte uzate și care au calitatea de deșeu, precum și de a se asigura că acestea sunt apoi sortate în vederea reutilizării, a pregătirii pentru reutilizare și a reciclării, cu scopul de a maximiza disponibilitatea articolelor de îmbrăcăminte și de încălțăminte de ocazie și de a reduce volumele destinate acelor tipuri de tratare a deșeurilor care se regăsesc mai jos în ierarhia deșeurilor. Asigurarea faptului că produsele textile pot fi și sunt utilizate și reutilizate pentru o perioadă mai lungă de timp este cea mai eficientă modalitate de a reduce în mod semnificativ impactul lor asupra climei și a mediului. Acest lucru ar trebui, de asemenea, să favorizeze modelele de afaceri sustenabile și circulare, de exemplu serviciile de reutilizare, închiriere și reparare, de preluare și vânzare cu amănuntul de articole de ocazie, creând noi locuri de muncă verzi și de calitate și posibilități de economisire pentru cetățeni. Este esențial ca producătorii să răspundă pentru deșeurile generate de produsele lor pentru a decupla creșterea sectorului de generarea de deșeuri textile. Prin urmare, producătorii ar trebui să răspundă și de reciclare, în special prin extinderea cu prioritate a reciclării fibrelor în circuit închis („fibre-to-fibre”), precum și a altor operațiuni de valorificare și eliminare.</w:t>
      </w:r>
    </w:p>
    <w:p w14:paraId="2E9AA382" w14:textId="7A7DA0DD" w:rsidR="0044258C" w:rsidRPr="00D96C74" w:rsidRDefault="0073367E" w:rsidP="0073367E">
      <w:pPr>
        <w:pStyle w:val="ManualConsidrant"/>
        <w:rPr>
          <w:noProof/>
        </w:rPr>
      </w:pPr>
      <w:r w:rsidRPr="0073367E">
        <w:t>(23)</w:t>
      </w:r>
      <w:r w:rsidRPr="0073367E">
        <w:tab/>
      </w:r>
      <w:r w:rsidR="41ACD382" w:rsidRPr="00D96C74">
        <w:rPr>
          <w:noProof/>
        </w:rPr>
        <w:t>Producătorii și organizațiile care implementează răspunderea extinsă a producătorului ar trebui să finanțeze extinderea reciclării textilelor, în special a reciclării în circuit închis („fibre-to-fibre”), pentru a face posibilă reciclarea unei varietăți mai largi de materiale și a crea o sursă de materii prime pentru producția de textile în Uniune. De asemenea, este important ca producătorii să sprijine financiar cercetarea și inovarea în evoluția tehnologică a soluțiilor de sortare automată și de sortare în funcție de compoziție, care permit separarea și reciclarea materialelor mixte și decontaminarea deșeurilor, făcând posibile soluții de reciclare în circuit închis („fibre-to-fibre”) de înaltă calitate și folosirea de fibre reciclate în compoziție. Pentru a facilita respectarea prezentei directive, statele membre ar trebui să se asigure că operatorii economici din sectorul textil, în special întreprinderile mici și mijlocii, dispun de informații și asistență sub formă de ghiduri, sprijin financiar, acces la finanțare, gestionare specializată și materiale de instruire a personalului sau asistență organizațională și tehnică.</w:t>
      </w:r>
      <w:r w:rsidR="41ACD382" w:rsidRPr="00D96C74">
        <w:rPr>
          <w:rFonts w:ascii="Arial" w:hAnsi="Arial"/>
          <w:noProof/>
          <w:sz w:val="20"/>
        </w:rPr>
        <w:t xml:space="preserve"> </w:t>
      </w:r>
      <w:r w:rsidR="41ACD382" w:rsidRPr="00D96C74">
        <w:rPr>
          <w:noProof/>
        </w:rPr>
        <w:t xml:space="preserve">În cazul în care sprijinul este finanțat din resurse de stat, inclusiv atunci când este finanțat integral prin contribuții impuse de autoritatea publică și percepute de la întreprinderile vizate, acesta poate constitui ajutor de stat în sensul articolului </w:t>
      </w:r>
      <w:r w:rsidR="41ACD382" w:rsidRPr="00D020C3">
        <w:rPr>
          <w:noProof/>
        </w:rPr>
        <w:t>107</w:t>
      </w:r>
      <w:r w:rsidR="41ACD382" w:rsidRPr="00D96C74">
        <w:rPr>
          <w:noProof/>
        </w:rPr>
        <w:t xml:space="preserve"> alineatul (</w:t>
      </w:r>
      <w:r w:rsidR="41ACD382" w:rsidRPr="00D020C3">
        <w:rPr>
          <w:noProof/>
        </w:rPr>
        <w:t>1</w:t>
      </w:r>
      <w:r w:rsidR="41ACD382" w:rsidRPr="00D96C74">
        <w:rPr>
          <w:noProof/>
        </w:rPr>
        <w:t>) din TFUE; în astfel de cazuri, statele membre trebuie să asigure respectarea normelor privind ajutoarele de stat. Mobilizarea investițiilor publice și private în circularitatea și decarbonizarea sectorului textilelor face și obiectul mai multor programe de finanțare și foi de parcurs ale Uniunii, cum ar fi centrele de circularitate și cererile de propuneri specifice din cadrul programului Orizont Europa. De asemenea, este necesară o evaluare mai aprofundată a fezabilității stabilirii unor obiective ale Uniunii privind reciclarea textilelor, pentru a sprijini și a impulsiona dezvoltarea tehnologică și investițiile în infrastructura de reciclare, precum și promovarea proiectării ecologice în vederea reciclării.</w:t>
      </w:r>
    </w:p>
    <w:p w14:paraId="7D7F6FF7" w14:textId="0ADDCFE8" w:rsidR="0044258C" w:rsidRPr="00D96C74" w:rsidRDefault="0073367E" w:rsidP="0073367E">
      <w:pPr>
        <w:pStyle w:val="ManualConsidrant"/>
        <w:rPr>
          <w:noProof/>
        </w:rPr>
      </w:pPr>
      <w:r w:rsidRPr="0073367E">
        <w:t>(24)</w:t>
      </w:r>
      <w:r w:rsidRPr="0073367E">
        <w:tab/>
      </w:r>
      <w:r w:rsidR="41ACD382" w:rsidRPr="00D96C74">
        <w:rPr>
          <w:noProof/>
        </w:rPr>
        <w:t xml:space="preserve">Produsele textile, asociate textilelor și de încălțăminte uzate și care au calitatea de deșeu ar trebui să fie colectate separat de alte fluxuri de deșeuri precum metalele, hârtia și cartonul, sticla, materialele plastice, lemnul și biodeșeurile începând de la </w:t>
      </w:r>
      <w:r w:rsidR="41ACD382" w:rsidRPr="00D020C3">
        <w:rPr>
          <w:noProof/>
        </w:rPr>
        <w:t>1</w:t>
      </w:r>
      <w:r w:rsidR="00D020C3">
        <w:rPr>
          <w:noProof/>
        </w:rPr>
        <w:t> </w:t>
      </w:r>
      <w:r w:rsidR="41ACD382" w:rsidRPr="00D96C74">
        <w:rPr>
          <w:noProof/>
        </w:rPr>
        <w:t xml:space="preserve">ianuarie </w:t>
      </w:r>
      <w:r w:rsidR="41ACD382" w:rsidRPr="00D020C3">
        <w:rPr>
          <w:noProof/>
        </w:rPr>
        <w:t>2025</w:t>
      </w:r>
      <w:r w:rsidR="41ACD382" w:rsidRPr="00D96C74">
        <w:rPr>
          <w:noProof/>
        </w:rPr>
        <w:t xml:space="preserve">, pentru a le menține potențialul de reutilizare și potențialul de reciclare de înaltă calitate. Având în vedere impactul asupra mediului și pierderea de materiale cauzate de faptul că textilele uzate și deșeurile de textile nu sunt colectate separat și, prin urmare, nu sunt tratate în mod ecologic, rețeaua de colectare a produselor textile, asociate textilelor și de încălțăminte uzate și care au calitatea de deșeu ar trebui să cuprindă tot teritoriul statelor membre, inclusiv regiunile ultraperiferice, să fie aproape de utilizatorul final și să nu vizeze doar zonele și produsele în care colectarea este profitabilă. Rețeaua de colectare ar trebui organizată în cooperare cu alți actori activi în sectoarele gestionării și reutilizării deșeurilor, cum ar fi municipalitățile și întreprinderile sociale. Având în vedere beneficiile semnificative pentru mediu și climă ale reutilizării, scopul primordial și secundar al rețelei de colectare ar trebui să fie colectarea corespunzătoare a produselor textile, asociate textilelor și de încălțăminte reutilizabile și reciclabile. Întrucât consumatorul nu este instruit să diferențieze articolele reutilizabile de cele reciclabile, sistemele de colectare ar trebui, inclusiv din motive de eficiență logistică, să prevadă recipiente de colectare în care să se introducă laolaltă atât articolele uzate, cât și cele care au calitatea de deșeu. Ratele ridicate de colectare ar conduce la o performanță ridicată în materie de reutilizare și de reciclare de calitate în lanțurile de aprovizionare cu textile, ar stimula utilizarea de materii prime secundare de calitate și ar sprijini planificarea investițiilor în infrastructura de sortare și prelucrare a textilelor. Pentru a verifica și a îmbunătăți eficacitatea rețelei de colectare și a campaniilor de informare, ar trebui ca cel puțin la nivelul NUTS </w:t>
      </w:r>
      <w:r w:rsidR="41ACD382" w:rsidRPr="00D020C3">
        <w:rPr>
          <w:noProof/>
        </w:rPr>
        <w:t>2</w:t>
      </w:r>
      <w:r w:rsidR="41ACD382" w:rsidRPr="00D96C74">
        <w:rPr>
          <w:noProof/>
        </w:rPr>
        <w:t xml:space="preserve"> să se efectueze periodic anchete privind compoziția deșeurilor municipale mixte colectate, pentru a determina cantitatea de deșeuri textile și de încălțăminte din acestea. În plus, ar trebui calculate performanța sistemelor de colectare separată și rata anuală de colectare separată atinsă, iar organizațiile care implementează răspunderea extinsă a producătorului ar trebui să publice anual aceste informații. </w:t>
      </w:r>
    </w:p>
    <w:p w14:paraId="1CF74A59" w14:textId="32B2A7D8" w:rsidR="0044258C" w:rsidRPr="00D96C74" w:rsidRDefault="0073367E" w:rsidP="0073367E">
      <w:pPr>
        <w:pStyle w:val="ManualConsidrant"/>
        <w:rPr>
          <w:noProof/>
          <w:color w:val="000000" w:themeColor="text1"/>
        </w:rPr>
      </w:pPr>
      <w:r w:rsidRPr="0073367E">
        <w:t>(25)</w:t>
      </w:r>
      <w:r w:rsidRPr="0073367E">
        <w:tab/>
      </w:r>
      <w:r w:rsidR="41ACD382" w:rsidRPr="00D96C74">
        <w:rPr>
          <w:noProof/>
        </w:rPr>
        <w:t xml:space="preserve">Având în vedere rolul esențial al întreprinderilor sociale și al entităților din sectorul economiei sociale în sistemele existente de colectare a textilelor și potențialul acestora de a crea modele de afaceri locale, sustenabile, participative și favorabile incluziunii și locuri de muncă de calitate în Uniune, în conformitate cu obiectivele </w:t>
      </w:r>
      <w:r w:rsidR="41ACD382" w:rsidRPr="00D96C74">
        <w:rPr>
          <w:noProof/>
          <w:color w:val="000000" w:themeColor="text1"/>
        </w:rPr>
        <w:t>Planului de acțiune al UE pentru economia socială</w:t>
      </w:r>
      <w:r w:rsidR="41ACD382" w:rsidRPr="00D96C74">
        <w:rPr>
          <w:rStyle w:val="FootnoteReference"/>
          <w:noProof/>
          <w:color w:val="000000" w:themeColor="text1"/>
        </w:rPr>
        <w:footnoteReference w:id="80"/>
      </w:r>
      <w:r w:rsidR="41ACD382" w:rsidRPr="00D96C74">
        <w:rPr>
          <w:noProof/>
        </w:rPr>
        <w:t>, introducerea schemelor de răspundere extinsă a producătorilor ar trebui să mențină și să sprijine activitățile întreprinderilor sociale și ale entităților din sectorul economiei sociale implicate în gestionarea textilelor uzate.</w:t>
      </w:r>
      <w:r w:rsidR="41ACD382" w:rsidRPr="00D96C74">
        <w:rPr>
          <w:noProof/>
          <w:color w:val="000000" w:themeColor="text1"/>
        </w:rPr>
        <w:t xml:space="preserve"> Aceste entități ar trebui așadar considerate, în sistemele de colectare separată, drept parteneri care sprijină extinderea reutilizării și a reparării și crearea de locuri de muncă de calitate pentru toți, în special pentru grupurile vulnerabile.</w:t>
      </w:r>
    </w:p>
    <w:p w14:paraId="55EBF64C" w14:textId="6086E957" w:rsidR="007378F4" w:rsidRPr="00D96C74" w:rsidRDefault="0073367E" w:rsidP="0073367E">
      <w:pPr>
        <w:pStyle w:val="ManualConsidrant"/>
        <w:rPr>
          <w:noProof/>
        </w:rPr>
      </w:pPr>
      <w:r w:rsidRPr="0073367E">
        <w:t>(26)</w:t>
      </w:r>
      <w:r w:rsidRPr="0073367E">
        <w:tab/>
      </w:r>
      <w:r w:rsidR="468AA518" w:rsidRPr="00D96C74">
        <w:rPr>
          <w:noProof/>
          <w:color w:val="000000" w:themeColor="text1"/>
        </w:rPr>
        <w:t xml:space="preserve">Producătorii și </w:t>
      </w:r>
      <w:r w:rsidR="468AA518" w:rsidRPr="00D96C74">
        <w:rPr>
          <w:noProof/>
        </w:rPr>
        <w:t>organizațiile care implementează răspunderea extinsă a producătorului ar trebui să se implice activ în furnizarea de informații utilizatorilor finali, în special consumatorilor, cu privire la obligativitatea colectării separate a textilelor și a încălțămintei uzate și care au calitatea de deșeu, la faptul că există sisteme de colectare și la rolul important care le revine utilizatorilor finali în a asigura prevenirea generării de deșeuri și gestionarea optimă din punct de vedere ecologic a deșeurilor textile. Printre aceste informații ar trebui să se regăsească și informații referitoare la diferitele posibilități de reutilizare a textilelor și a încălțămintei și la beneficiile pentru mediu ale consumului durabil, precum și la impactul social, de mediu și asupra sănătății al industriei confecțiilor textile.</w:t>
      </w:r>
      <w:r w:rsidR="468AA518" w:rsidRPr="00D96C74">
        <w:rPr>
          <w:noProof/>
          <w:color w:val="000000" w:themeColor="text1"/>
        </w:rPr>
        <w:t xml:space="preserve"> Utilizatorii finali ar trebui să fie, de asemenea, informați</w:t>
      </w:r>
      <w:r w:rsidR="468AA518" w:rsidRPr="00D96C74">
        <w:rPr>
          <w:noProof/>
        </w:rPr>
        <w:t xml:space="preserve"> cu privire la rolul important pe care îl au în a face alegeri responsabile, sustenabile și în cunoștință de cauză referitoare la consumul de textile și în a asigura o gestionare optimă din punct de vedere ecologic a deșeurilor textile și de încălțăminte. Aceste cerințe de informare se aplică în plus față de cerințele privind furnizarea de informații către utilizatorii finali în legătură cu produsele textile prevăzute în Regulamentul privind proiectarea ecologică a produselor sustenabile</w:t>
      </w:r>
      <w:r w:rsidR="468AA518" w:rsidRPr="00D96C74">
        <w:rPr>
          <w:rStyle w:val="FootnoteReference"/>
          <w:noProof/>
        </w:rPr>
        <w:footnoteReference w:id="81"/>
      </w:r>
      <w:r w:rsidR="468AA518" w:rsidRPr="00D96C74">
        <w:rPr>
          <w:noProof/>
        </w:rPr>
        <w:t xml:space="preserve"> și în Regulamentul (UE) nr. </w:t>
      </w:r>
      <w:r w:rsidR="468AA518" w:rsidRPr="00D020C3">
        <w:rPr>
          <w:noProof/>
        </w:rPr>
        <w:t>1007</w:t>
      </w:r>
      <w:r w:rsidR="468AA518" w:rsidRPr="00D96C74">
        <w:rPr>
          <w:noProof/>
        </w:rPr>
        <w:t>/</w:t>
      </w:r>
      <w:r w:rsidR="468AA518" w:rsidRPr="00D020C3">
        <w:rPr>
          <w:noProof/>
        </w:rPr>
        <w:t>2011</w:t>
      </w:r>
      <w:r w:rsidR="468AA518" w:rsidRPr="00D96C74">
        <w:rPr>
          <w:noProof/>
        </w:rPr>
        <w:t xml:space="preserve"> al Parlamentului European și al Consiliului</w:t>
      </w:r>
      <w:r w:rsidR="468AA518" w:rsidRPr="00D96C74">
        <w:rPr>
          <w:rStyle w:val="FootnoteReference"/>
          <w:noProof/>
        </w:rPr>
        <w:footnoteReference w:id="82"/>
      </w:r>
      <w:r w:rsidR="468AA518" w:rsidRPr="00D96C74">
        <w:rPr>
          <w:noProof/>
        </w:rPr>
        <w:t>. Pentru comunicarea informațiilor către toți utilizatorii finali ar trebui să se utilizeze tehnologiile moderne ale informației. Informațiile ar trebui transmise atât prin mijloace clasice, cum ar fi afișe în interior și în exterior și campanii pe platformele de comunicare socială, cât și prin mijloace mai inovatoare, cum ar fi accesul electronic la site-uri web prin coduri QR.</w:t>
      </w:r>
    </w:p>
    <w:p w14:paraId="5854A3C4" w14:textId="03334266" w:rsidR="00061843" w:rsidRPr="00D96C74" w:rsidRDefault="0073367E" w:rsidP="0073367E">
      <w:pPr>
        <w:pStyle w:val="ManualConsidrant"/>
        <w:rPr>
          <w:noProof/>
        </w:rPr>
      </w:pPr>
      <w:r w:rsidRPr="0073367E">
        <w:t>(27)</w:t>
      </w:r>
      <w:r w:rsidRPr="0073367E">
        <w:tab/>
      </w:r>
      <w:r w:rsidR="496B4524" w:rsidRPr="00D96C74">
        <w:rPr>
          <w:noProof/>
        </w:rPr>
        <w:t>Pentru a spori circularitatea textilelor și sustenabilitatea lor din punctul de vedere al mediului și pentru a reduce efectele negative asupra climei și a mediului, Regulamentul .../... [OP a se introduce numărul de serie și denumirile instituțiilor pentru Regulamentul privind proiectarea ecologică a produselor sustenabile și a se completa nota de subsol]</w:t>
      </w:r>
      <w:r w:rsidR="496B4524" w:rsidRPr="00D96C74">
        <w:rPr>
          <w:rStyle w:val="FootnoteReference"/>
          <w:noProof/>
        </w:rPr>
        <w:footnoteReference w:id="83"/>
      </w:r>
      <w:r w:rsidR="496B4524" w:rsidRPr="00D96C74">
        <w:rPr>
          <w:noProof/>
        </w:rPr>
        <w:t xml:space="preserve"> </w:t>
      </w:r>
      <w:r w:rsidR="496B4524" w:rsidRPr="00D96C74">
        <w:rPr>
          <w:noProof/>
          <w:color w:val="000000" w:themeColor="text1"/>
        </w:rPr>
        <w:t xml:space="preserve">va </w:t>
      </w:r>
      <w:r w:rsidR="496B4524" w:rsidRPr="00D96C74">
        <w:rPr>
          <w:noProof/>
        </w:rPr>
        <w:t xml:space="preserve">elabora cerințe obligatorii în materie de proiectare ecologică a produselor textile, care, în funcție de ceea ce va arăta evaluarea impactului că este benefic pentru creșterea sustenabilității din punctul de vedere al mediului a sectorului textilelor, vor reglementa durabilitatea, potențialul de reutilizare, de reparare și de reciclare în circuit închis („fibre-to-fibre”) a textilelor, precum și conținutul obligatoriu de fibre reciclate din textile. De asemenea, regulamentul menționat va reglementa prezența substanțelor care prezintă motive de îngrijorare pentru a permite reducerea lor la minimum și urmărirea lor astfel încât să se genereze cât mai puține deșeuri și să se îmbunătățească reciclarea lor, precum și pentru a preveni și a reduce fibrele sintetice care pătrund în mediu în vederea diminuării semnificative a eliberării de microplastice. În același timp, modularea taxelor de răspundere extinsă a producătorilor reprezintă un instrument economic eficace de stimulare a proiectării unor textile mai sustenabile, conducând la îmbunătățirea proiectării circulare. Pentru a oferi un stimulent puternic pentru proiectarea ecologică, ținând seama în același timp de obiectivele pieței interne și de componența sectorului textilelor, care este format în principal din IMM-uri, este necesar să se armonizeze criteriile de modulare a taxelor de răspundere extinsă a producătorilor pe baza celor mai relevanți parametri de proiectare ecologică, ceea ce va permite tratarea textilelor în conformitate cu ierarhia deșeurilor. Modularea taxelor în conformitate cu criteriile de proiectare ecologică ar trebui să se bazeze pe cerințele în materie de proiectare ecologică și pe metodologiile de măsurare a acestora adoptate pentru textile în temeiul Regulamentului privind proiectarea ecologică a produselor sustenabile sau al altor acte legislative ale Uniunii care stabilesc criterii de sustenabilitate și metode de măsurare armonizate pentru produsele textile și numai în cazul în care acestea din urmă sunt adoptate. </w:t>
      </w:r>
      <w:r w:rsidR="496B4524" w:rsidRPr="00D96C74">
        <w:rPr>
          <w:noProof/>
          <w:color w:val="000000" w:themeColor="text1"/>
        </w:rPr>
        <w:t>Este necesar să se confere Comisiei competența de a adopta norme armonizate pentru modularea taxelor, cu scopul de a asigura alinierea criteriilor de modulare a taxelor la cerințele privind produsele.</w:t>
      </w:r>
    </w:p>
    <w:p w14:paraId="421B6E18" w14:textId="6CAEA66B" w:rsidR="007378F4" w:rsidRPr="00D96C74" w:rsidRDefault="0073367E" w:rsidP="0073367E">
      <w:pPr>
        <w:pStyle w:val="ManualConsidrant"/>
        <w:rPr>
          <w:noProof/>
        </w:rPr>
      </w:pPr>
      <w:r w:rsidRPr="0073367E">
        <w:t>(28)</w:t>
      </w:r>
      <w:r w:rsidRPr="0073367E">
        <w:tab/>
      </w:r>
      <w:r w:rsidR="468AA518" w:rsidRPr="00D96C74">
        <w:rPr>
          <w:noProof/>
        </w:rPr>
        <w:t>Pentru a se monitoriza îndeplinirea de către producători a obligațiilor financiare și organizatorice legate de gestionarea produselor textile, asociate textilelor și de încălțăminte uzate și care au calitatea de deșeu pe care le pun la dispoziție pe piață pentru prima dată pe teritoriul unui stat membru, este necesar ca fiecare stat membru să instituie și să gestioneze un registru al producătorilor, în care producătorii să fie obligați să se înregistreze. Cerințele și formatul de înregistrare ar trebui armonizate în întreaga Uniune în cea mai mare măsură posibilă, pentru a se facilita înregistrarea, în special în cazul în care producătorii pun la dispoziție pe piață pentru prima dată produse textile, asociate textilelor și de încălțăminte în diferite state membre. Informațiile din registru ar trebui să fie accesibile entităților care joacă un rol în verificarea respectării obligațiilor de răspundere extinsă a producătorilor și în luarea de măsuri pentru asigurarea respectării acestora.</w:t>
      </w:r>
    </w:p>
    <w:p w14:paraId="315B6B08" w14:textId="4FC2511D" w:rsidR="007378F4" w:rsidRPr="00D96C74" w:rsidRDefault="0073367E" w:rsidP="0073367E">
      <w:pPr>
        <w:pStyle w:val="ManualConsidrant"/>
        <w:rPr>
          <w:noProof/>
        </w:rPr>
      </w:pPr>
      <w:r w:rsidRPr="0073367E">
        <w:t>(29)</w:t>
      </w:r>
      <w:r w:rsidRPr="0073367E">
        <w:tab/>
      </w:r>
      <w:r w:rsidR="468AA518" w:rsidRPr="00D96C74">
        <w:rPr>
          <w:noProof/>
        </w:rPr>
        <w:t xml:space="preserve">Întrucât sectorul textilelor este alcătuit în proporție de </w:t>
      </w:r>
      <w:r w:rsidR="468AA518" w:rsidRPr="00D020C3">
        <w:rPr>
          <w:noProof/>
        </w:rPr>
        <w:t>99</w:t>
      </w:r>
      <w:r w:rsidR="468AA518" w:rsidRPr="00D96C74">
        <w:rPr>
          <w:noProof/>
        </w:rPr>
        <w:t> % din întreprinderi mici și mijlocii, punerea în aplicare a unei scheme de răspundere extinsă a producătorilor pentru produsele textile, asociate textilelor și de încălțăminte ar trebui să vizeze reducerea sarcinilor administrative cât mai mult posibil. Prin urmare, îndeplinirea răspunderii extinse a producătorului ar trebui să fie exercitată în mod colectiv prin intermediul organizațiilor care implementează răspunderea extinsă a producătorului și care își asumă responsabilitatea în numele lor. Organizațiile care implementează răspunderea extinsă a producătorului ar trebui să facă obiectul autorizării de către statele membre și să dovedească, printre altele, că dispun de mijloacele financiare necesare pentru a acoperi costurile generate de răspunderea extinsă a producătorului și că îndeplinesc de această responsabilitate.</w:t>
      </w:r>
    </w:p>
    <w:p w14:paraId="1B25E35B" w14:textId="026AA180" w:rsidR="007378F4" w:rsidRPr="00D96C74" w:rsidRDefault="0073367E" w:rsidP="0073367E">
      <w:pPr>
        <w:pStyle w:val="ManualConsidrant"/>
        <w:rPr>
          <w:noProof/>
        </w:rPr>
      </w:pPr>
      <w:r w:rsidRPr="0073367E">
        <w:t>(30)</w:t>
      </w:r>
      <w:r w:rsidRPr="0073367E">
        <w:tab/>
      </w:r>
      <w:r w:rsidR="00C41939" w:rsidRPr="00D96C74">
        <w:rPr>
          <w:noProof/>
        </w:rPr>
        <w:t>Articolul </w:t>
      </w:r>
      <w:r w:rsidR="00C41939" w:rsidRPr="00D020C3">
        <w:rPr>
          <w:noProof/>
        </w:rPr>
        <w:t>30</w:t>
      </w:r>
      <w:r w:rsidR="00C41939" w:rsidRPr="00D96C74">
        <w:rPr>
          <w:noProof/>
        </w:rPr>
        <w:t xml:space="preserve"> alineatul (</w:t>
      </w:r>
      <w:r w:rsidR="00C41939" w:rsidRPr="00D020C3">
        <w:rPr>
          <w:noProof/>
        </w:rPr>
        <w:t>1</w:t>
      </w:r>
      <w:r w:rsidR="00C41939" w:rsidRPr="00D96C74">
        <w:rPr>
          <w:noProof/>
        </w:rPr>
        <w:t xml:space="preserve">) din Regulamentul (UE) </w:t>
      </w:r>
      <w:r w:rsidR="00C41939" w:rsidRPr="00D020C3">
        <w:rPr>
          <w:noProof/>
        </w:rPr>
        <w:t>2022</w:t>
      </w:r>
      <w:r w:rsidR="00C41939" w:rsidRPr="00D96C74">
        <w:rPr>
          <w:noProof/>
        </w:rPr>
        <w:t>/</w:t>
      </w:r>
      <w:r w:rsidR="00C41939" w:rsidRPr="00D020C3">
        <w:rPr>
          <w:noProof/>
        </w:rPr>
        <w:t>2065</w:t>
      </w:r>
      <w:r w:rsidR="00C41939" w:rsidRPr="00D96C74">
        <w:rPr>
          <w:noProof/>
        </w:rPr>
        <w:t xml:space="preserve"> al Parlamentului European și al Consiliului</w:t>
      </w:r>
      <w:r w:rsidR="00C41939" w:rsidRPr="00D96C74">
        <w:rPr>
          <w:rStyle w:val="FootnoteReference"/>
          <w:noProof/>
        </w:rPr>
        <w:footnoteReference w:id="84"/>
      </w:r>
      <w:r w:rsidR="00C41939" w:rsidRPr="00D96C74">
        <w:rPr>
          <w:noProof/>
        </w:rPr>
        <w:t xml:space="preserve"> obligă anumiți furnizori de platforme online care permit consumatorilor să încheie contracte la distanță cu producători care oferă produse textile, asociate textilelor și de încălțăminte consumatorilor situați în Uniune ca, înainte de a permite unui producător să le utilizeze serviciile, să obțină anumite informații de identificare de la producătorul respectiv și o autocertificare din partea producătorului prin care acesta se angajează să ofere numai produse sau servicii care respectă normele aplicabile ale dreptului Uniunii. Pentru a asigura aplicarea eficace a obligațiilor în materie de răspundere extinsă a producătorilor, ar trebui să se precizeze că furnizorii de platforme online care intră sub incidența capitolului </w:t>
      </w:r>
      <w:r w:rsidR="00C41939" w:rsidRPr="00D020C3">
        <w:rPr>
          <w:noProof/>
        </w:rPr>
        <w:t>3</w:t>
      </w:r>
      <w:r w:rsidR="00C41939" w:rsidRPr="00D96C74">
        <w:rPr>
          <w:noProof/>
        </w:rPr>
        <w:t xml:space="preserve"> secțiunea </w:t>
      </w:r>
      <w:r w:rsidR="00C41939" w:rsidRPr="00D020C3">
        <w:rPr>
          <w:noProof/>
        </w:rPr>
        <w:t>4</w:t>
      </w:r>
      <w:r w:rsidR="00C41939" w:rsidRPr="00D96C74">
        <w:rPr>
          <w:noProof/>
        </w:rPr>
        <w:t xml:space="preserve"> din Regulamentul (UE) </w:t>
      </w:r>
      <w:r w:rsidR="00C41939" w:rsidRPr="00D020C3">
        <w:rPr>
          <w:noProof/>
        </w:rPr>
        <w:t>2022</w:t>
      </w:r>
      <w:r w:rsidR="00C41939" w:rsidRPr="00D96C74">
        <w:rPr>
          <w:noProof/>
        </w:rPr>
        <w:t>/</w:t>
      </w:r>
      <w:r w:rsidR="00C41939" w:rsidRPr="00D020C3">
        <w:rPr>
          <w:noProof/>
        </w:rPr>
        <w:t>2065</w:t>
      </w:r>
      <w:r w:rsidR="00C41939" w:rsidRPr="00D96C74">
        <w:rPr>
          <w:noProof/>
        </w:rPr>
        <w:t xml:space="preserve"> ar trebui să obțină de la producătorii respectivi informații privind înregistrarea în registrul producătorilor de textile pe care statul membru este obligat să îl înființeze în temeiul prezentei directive, precum și numărul (numerele) de înregistrare al(e) producătorului în registrul respectiv și o autocertificare din partea producătorului prin care acesta se angajează să ofere numai produse textile, asociate textilelor și de încălțăminte cărora li se aplică cerințele privind răspunderea extinsă a producătorilor prevăzute în prezenta directivă. Furnizorilor de platforme de acest tip li se aplică normele privind asigurarea respectării legislației prevăzute în capitolul IV din Regulamentul (UE) </w:t>
      </w:r>
      <w:r w:rsidR="00C41939" w:rsidRPr="00D020C3">
        <w:rPr>
          <w:noProof/>
        </w:rPr>
        <w:t>2022</w:t>
      </w:r>
      <w:r w:rsidR="00C41939" w:rsidRPr="00D96C74">
        <w:rPr>
          <w:noProof/>
        </w:rPr>
        <w:t>/</w:t>
      </w:r>
      <w:r w:rsidR="00C41939" w:rsidRPr="00D020C3">
        <w:rPr>
          <w:noProof/>
        </w:rPr>
        <w:t>2065</w:t>
      </w:r>
      <w:r w:rsidR="00C41939" w:rsidRPr="00D96C74">
        <w:rPr>
          <w:noProof/>
        </w:rPr>
        <w:t xml:space="preserve"> în ceea ce privește aceste norme de trasabilitate.</w:t>
      </w:r>
    </w:p>
    <w:p w14:paraId="178FDE8C" w14:textId="645094D5" w:rsidR="007378F4" w:rsidRPr="00D96C74" w:rsidRDefault="0073367E" w:rsidP="0073367E">
      <w:pPr>
        <w:pStyle w:val="ManualConsidrant"/>
        <w:rPr>
          <w:noProof/>
        </w:rPr>
      </w:pPr>
      <w:r w:rsidRPr="0073367E">
        <w:t>(31)</w:t>
      </w:r>
      <w:r w:rsidRPr="0073367E">
        <w:tab/>
      </w:r>
      <w:r w:rsidR="468AA518" w:rsidRPr="00D96C74">
        <w:rPr>
          <w:noProof/>
        </w:rPr>
        <w:t xml:space="preserve">Pentru a asigura tratarea textilelor în conformitate cu ierarhia deșeurilor stabilită în Directiva </w:t>
      </w:r>
      <w:r w:rsidR="468AA518" w:rsidRPr="00D020C3">
        <w:rPr>
          <w:noProof/>
        </w:rPr>
        <w:t>2008</w:t>
      </w:r>
      <w:r w:rsidR="468AA518" w:rsidRPr="00D96C74">
        <w:rPr>
          <w:noProof/>
        </w:rPr>
        <w:t>/</w:t>
      </w:r>
      <w:r w:rsidR="468AA518" w:rsidRPr="00D020C3">
        <w:rPr>
          <w:noProof/>
        </w:rPr>
        <w:t>98</w:t>
      </w:r>
      <w:r w:rsidR="468AA518" w:rsidRPr="00D96C74">
        <w:rPr>
          <w:noProof/>
        </w:rPr>
        <w:t>/CE, organizațiile care implementează răspunderea extinsă a producătorului ar trebui să se asigure că toate produsele textile și articolele de încălțăminte colectate separat fac obiectul unor operațiuni de sortare care generează atât articole adecvate pentru reutilizare, care satisfac nevoile piețelor de produse textile de ocazie destinatare, cât și articole care satisfac nevoile piețelor de reciclare a materiilor prime din Uniune și de la nivel mondial. Având în vedere beneficiile de mediu mai mari asociate prelungirii duratei de viață a textilelor, principalul obiectiv al operațiunilor de sortare ar trebui să fie reutilizarea, urmată de sortarea în vederea reciclării, în cazul în care articolele sunt evaluate de către profesioniști ca nefiind reutilizabile. Aceste cerințe de sortare ar trebui să fie definite de Comisie cu titlu prioritar, ca parte a criteriilor armonizate ale Uniunii privind încetarea statutului de deșeu al textilelor reutilizabile și al celor reciclate, inclusiv în ceea ce privește sortarea inițială care poate avea loc la punctul de colectare. Astfel de criterii armonizate ar trebui să asigure coerența și o calitate ridicată a fracțiunilor colectate, precum și a fluxurilor de materiale sortate, a operațiunilor de valorificare a deșeurilor și a materiilor prime secundare expediate transfrontalier, ceea ce, la rândul său, ar trebui să faciliteze extinderea lanțurilor valorice de reutilizare și reciclare. Îmbrăcămintea uzată evaluată de către un profesionist din domeniu ca fiind adecvată pentru a fi reutilizată de către operatorii care se ocupă de reutilizare sau de către întreprinderile sociale și entitățile din sectorul economiei sociale la punctul de colectare de la utilizatorii finali nu ar trebui să fie considerată deșeu. În cazul în care reutilizarea sau reciclarea nu este posibilă din punct de vedere tehnic, ar trebui să se aplice în continuare ierarhia deșeurilor, evitându-se eliminarea în depozite de deșeuri dacă este posibil, în special în cazul textilelor biodegradabile care reprezintă o sursă de emisii de metan, și realizându-se recuperarea energiei atunci când se efectuează incinerarea.</w:t>
      </w:r>
    </w:p>
    <w:p w14:paraId="05595517" w14:textId="7D19DD6D" w:rsidR="007378F4" w:rsidRPr="00D96C74" w:rsidRDefault="0073367E" w:rsidP="0073367E">
      <w:pPr>
        <w:pStyle w:val="ManualConsidrant"/>
        <w:rPr>
          <w:noProof/>
        </w:rPr>
      </w:pPr>
      <w:r w:rsidRPr="0073367E">
        <w:t>(32)</w:t>
      </w:r>
      <w:r w:rsidRPr="0073367E">
        <w:tab/>
      </w:r>
      <w:r w:rsidR="468AA518" w:rsidRPr="00D96C74">
        <w:rPr>
          <w:noProof/>
        </w:rPr>
        <w:t xml:space="preserve">Exporturile de textile uzate și de deșeuri textile în afara UE au crescut constant în ultima vreme, exporturile reprezentând cel mai mare procent pe piața reutilizării textilelor post-consum generate în UE. Având în vedere creșterea semnificativă a cantității de deșeuri textile care vor fi colectate începând din </w:t>
      </w:r>
      <w:r w:rsidR="468AA518" w:rsidRPr="00D020C3">
        <w:rPr>
          <w:noProof/>
        </w:rPr>
        <w:t>2025</w:t>
      </w:r>
      <w:r w:rsidR="468AA518" w:rsidRPr="00D96C74">
        <w:rPr>
          <w:noProof/>
        </w:rPr>
        <w:t>, după introducerea colectării separate, este important să se intensifice eforturile de combatere a expedierilor ilegale către țări terțe a deșeurilor deghizate în non-deșeuri, în scopul asigurării unui nivel ridicat de protecție a mediului. Pe baza Regulamentului .../... [</w:t>
      </w:r>
      <w:r w:rsidR="468AA518" w:rsidRPr="008D4D1E">
        <w:rPr>
          <w:i/>
          <w:noProof/>
        </w:rPr>
        <w:t>O.P. a se introduce denumirile instituțiilor și numărul de serie și a se completa nota de subsol pentru Regulamentul privind expedierile de deșeuri</w:t>
      </w:r>
      <w:r w:rsidR="468AA518" w:rsidRPr="00D96C74">
        <w:rPr>
          <w:noProof/>
        </w:rPr>
        <w:t>]</w:t>
      </w:r>
      <w:r w:rsidR="468AA518" w:rsidRPr="00D96C74">
        <w:rPr>
          <w:rStyle w:val="FootnoteReference"/>
          <w:noProof/>
        </w:rPr>
        <w:footnoteReference w:id="85"/>
      </w:r>
      <w:r w:rsidR="468AA518" w:rsidRPr="00D96C74">
        <w:rPr>
          <w:noProof/>
        </w:rPr>
        <w:t xml:space="preserve"> și având în vedere obiectivul de a asigura gestionarea durabilă a textilelor postconsum și de a combate expedierile ilegale de deșeuri, ar trebui să se prevadă ca toate produsele textile, asociate textilelor și de încălțăminte uzate care au fost colectate separat să facă obiectul unei operațiuni de sortare înainte de expediere. În plus, ar trebui să se prevadă ca toate articolele textile, asociate textilelor și de încălțăminte uzate colectate separat să fie considerate deșeuri și să facă obiectul legislației Uniunii privind deșeurile, inclusiv în ceea ce privește expedierile de deșeuri, până în momentul în care sunt supuse unei operațiuni de sortare de către un operator instruit, responsabil cu sortarea în vederea reutilizării și a reciclării. Sortarea ar trebui să se efectueze în conformitate cu cerințele armonizate privind sortarea, care generează fracțiuni reutilizabile de înaltă calitate ce satisfac nevoile piețelor destinatare de produse textile de ocazie din UE și de la nivel mondial, și prin stabilirea unor criterii de diferențiere între produsele uzate și deșeuri. Expedierile de produse textile, asociate textilelor și de încălțăminte uzate ar trebui să fie însoțite de informații care să demonstreze că articolele respective sunt rezultatul unei operațiuni de sortare sau de pregătire pentru reutilizare și că articolele sunt adecvate pentru reutilizare. </w:t>
      </w:r>
    </w:p>
    <w:p w14:paraId="4F21F79F" w14:textId="6356341B" w:rsidR="007378F4" w:rsidRPr="00D96C74" w:rsidRDefault="0073367E" w:rsidP="0073367E">
      <w:pPr>
        <w:pStyle w:val="ManualConsidrant"/>
        <w:rPr>
          <w:noProof/>
        </w:rPr>
      </w:pPr>
      <w:r w:rsidRPr="0073367E">
        <w:t>(33)</w:t>
      </w:r>
      <w:r w:rsidRPr="0073367E">
        <w:tab/>
      </w:r>
      <w:r w:rsidR="468AA518" w:rsidRPr="00D96C74">
        <w:rPr>
          <w:noProof/>
        </w:rPr>
        <w:t>Pentru a îndeplini obiectivele stabilite în prezenta directivă, statele membre ar trebui să își revizuiască programele de prevenire a generării de deșeuri alimentare în vederea includerii de noi măsuri, cu implicarea mai multor parteneri din sectorul public și din cel privat și cu acțiuni coordonate adaptate pentru a aborda punctele critice specifice, precum și atitudinile și comportamentele care conduc la generarea de deșeuri alimentare. În pregătirea acestor programe, statele membre s-ar putea inspira din recomandările formulate de Grupul de dezbatere al cetățenilor privind deșeurile alimentare.</w:t>
      </w:r>
    </w:p>
    <w:p w14:paraId="6525654D" w14:textId="7BD63257" w:rsidR="007378F4" w:rsidRPr="00D96C74" w:rsidRDefault="0073367E" w:rsidP="0073367E">
      <w:pPr>
        <w:pStyle w:val="ManualConsidrant"/>
        <w:rPr>
          <w:noProof/>
        </w:rPr>
      </w:pPr>
      <w:r w:rsidRPr="0073367E">
        <w:t>(34)</w:t>
      </w:r>
      <w:r w:rsidRPr="0073367E">
        <w:tab/>
      </w:r>
      <w:r w:rsidR="468AA518" w:rsidRPr="00D96C74">
        <w:rPr>
          <w:noProof/>
        </w:rPr>
        <w:t>Responsabilitatea clară și guvernanța măsurilor de prevenire a deșeurilor alimentare sunt esențiale pentru a asigura coordonarea eficace a acțiunilor menite să impulsioneze schimbarea și să asigure atingerea obiectivelor stabilite în prezenta directivă. Având în vedere că este vorba de o agendă comună pentru mai multe autorități și că există o mare diversitate de părți interesate implicate în combaterea generării de deșeuri alimentare în statele membre, este nevoie să se desemneze o autoritate competentă care să fie responsabilă de coordonarea generală a acțiunilor la nivel național.</w:t>
      </w:r>
    </w:p>
    <w:p w14:paraId="66AC334E" w14:textId="70D37902" w:rsidR="007378F4" w:rsidRPr="00D96C74" w:rsidRDefault="0073367E" w:rsidP="0073367E">
      <w:pPr>
        <w:pStyle w:val="ManualConsidrant"/>
        <w:rPr>
          <w:noProof/>
        </w:rPr>
      </w:pPr>
      <w:r w:rsidRPr="0073367E">
        <w:t>(35)</w:t>
      </w:r>
      <w:r w:rsidRPr="0073367E">
        <w:tab/>
      </w:r>
      <w:r w:rsidR="468AA518" w:rsidRPr="00D96C74">
        <w:rPr>
          <w:noProof/>
        </w:rPr>
        <w:t>Ar trebui îmbunătățită granularitatea informațiilor privind gestionarea textilelor municipale post-consum la nivelul Uniunii, cu scopul de a monitoriza mai eficient reutilizarea produselor, inclusiv reutilizarea textilelor și pregătirea acestora pentru reutilizare, inclusiv în vederea stabilirii unor eventuale obiective de performanță în viitor. Datele privind reutilizarea și pregătirea pentru reutilizare reprezintă fluxuri de date esențiale pentru monitorizarea decuplării generării de deșeuri de creșterea economică și pentru tranziția către o economie circulară, durabilă și favorabilă incluziunii. Prin urmare, aceste fluxuri de date ar trebui gestionate de Agenția Europeană de Mediu.</w:t>
      </w:r>
    </w:p>
    <w:p w14:paraId="77392C98" w14:textId="7BC933C1" w:rsidR="007378F4" w:rsidRPr="00D96C74" w:rsidRDefault="0073367E" w:rsidP="0073367E">
      <w:pPr>
        <w:pStyle w:val="ManualConsidrant"/>
        <w:rPr>
          <w:noProof/>
        </w:rPr>
      </w:pPr>
      <w:r w:rsidRPr="0073367E">
        <w:t>(36)</w:t>
      </w:r>
      <w:r w:rsidRPr="0073367E">
        <w:tab/>
      </w:r>
      <w:r w:rsidR="00CA3C44" w:rsidRPr="00D96C74">
        <w:rPr>
          <w:noProof/>
        </w:rPr>
        <w:t>Împuternicirea de a adopta acte delegate prevăzută la articolul </w:t>
      </w:r>
      <w:r w:rsidR="00CA3C44" w:rsidRPr="00D020C3">
        <w:rPr>
          <w:noProof/>
        </w:rPr>
        <w:t>9</w:t>
      </w:r>
      <w:r w:rsidR="00CA3C44" w:rsidRPr="00D96C74">
        <w:rPr>
          <w:noProof/>
        </w:rPr>
        <w:t xml:space="preserve"> alineatul (</w:t>
      </w:r>
      <w:r w:rsidR="00CA3C44" w:rsidRPr="00D020C3">
        <w:rPr>
          <w:noProof/>
        </w:rPr>
        <w:t>8</w:t>
      </w:r>
      <w:r w:rsidR="00CA3C44" w:rsidRPr="00D96C74">
        <w:rPr>
          <w:noProof/>
        </w:rPr>
        <w:t xml:space="preserve">) din Directiva </w:t>
      </w:r>
      <w:r w:rsidR="00CA3C44" w:rsidRPr="00D020C3">
        <w:rPr>
          <w:noProof/>
        </w:rPr>
        <w:t>2008</w:t>
      </w:r>
      <w:r w:rsidR="00CA3C44" w:rsidRPr="00D96C74">
        <w:rPr>
          <w:noProof/>
        </w:rPr>
        <w:t>/</w:t>
      </w:r>
      <w:r w:rsidR="00CA3C44" w:rsidRPr="00D020C3">
        <w:rPr>
          <w:noProof/>
        </w:rPr>
        <w:t>98</w:t>
      </w:r>
      <w:r w:rsidR="00CA3C44" w:rsidRPr="00D96C74">
        <w:rPr>
          <w:noProof/>
        </w:rPr>
        <w:t>/CE în ceea ce privește o metodologie comună și cerințe minime de calitate pentru măsurarea uniformă a nivelurilor de deșeuri alimentare ar trebui mutată, cu adaptări minore, la un nou articol, care abordează în mod specific prevenirea generării acestora.</w:t>
      </w:r>
    </w:p>
    <w:p w14:paraId="38407776" w14:textId="4FBC099A" w:rsidR="00C41939" w:rsidRPr="00D96C74" w:rsidRDefault="0073367E" w:rsidP="0073367E">
      <w:pPr>
        <w:pStyle w:val="ManualConsidrant"/>
        <w:rPr>
          <w:noProof/>
        </w:rPr>
      </w:pPr>
      <w:r w:rsidRPr="0073367E">
        <w:t>(37)</w:t>
      </w:r>
      <w:r w:rsidRPr="0073367E">
        <w:tab/>
      </w:r>
      <w:r w:rsidR="468AA518" w:rsidRPr="00D96C74">
        <w:rPr>
          <w:noProof/>
        </w:rPr>
        <w:t xml:space="preserve">Pentru a alinia codurile din Nomenclatura combinată enumerate în Directiva </w:t>
      </w:r>
      <w:r w:rsidR="468AA518" w:rsidRPr="00D020C3">
        <w:rPr>
          <w:noProof/>
        </w:rPr>
        <w:t>2008</w:t>
      </w:r>
      <w:r w:rsidR="468AA518" w:rsidRPr="00D96C74">
        <w:rPr>
          <w:noProof/>
        </w:rPr>
        <w:t>/</w:t>
      </w:r>
      <w:r w:rsidR="468AA518" w:rsidRPr="00D020C3">
        <w:rPr>
          <w:noProof/>
        </w:rPr>
        <w:t>98</w:t>
      </w:r>
      <w:r w:rsidR="468AA518" w:rsidRPr="00D96C74">
        <w:rPr>
          <w:noProof/>
        </w:rPr>
        <w:t xml:space="preserve">/CE la codurile enumerate în anexa </w:t>
      </w:r>
      <w:r w:rsidR="468AA518" w:rsidRPr="00D020C3">
        <w:rPr>
          <w:noProof/>
        </w:rPr>
        <w:t>1</w:t>
      </w:r>
      <w:r w:rsidR="468AA518" w:rsidRPr="00D96C74">
        <w:rPr>
          <w:noProof/>
        </w:rPr>
        <w:t xml:space="preserve"> la Regulamentul (CEE) nr. </w:t>
      </w:r>
      <w:r w:rsidR="468AA518" w:rsidRPr="00D020C3">
        <w:rPr>
          <w:noProof/>
        </w:rPr>
        <w:t>2658</w:t>
      </w:r>
      <w:r w:rsidR="468AA518" w:rsidRPr="00D96C74">
        <w:rPr>
          <w:noProof/>
        </w:rPr>
        <w:t>/</w:t>
      </w:r>
      <w:r w:rsidR="468AA518" w:rsidRPr="00D020C3">
        <w:rPr>
          <w:noProof/>
        </w:rPr>
        <w:t>87</w:t>
      </w:r>
      <w:r w:rsidR="468AA518" w:rsidRPr="00D96C74">
        <w:rPr>
          <w:noProof/>
        </w:rPr>
        <w:t xml:space="preserve"> al Consiliului, ar trebui delegată Comisiei competența de a adopta acte în conformitate cu articolul </w:t>
      </w:r>
      <w:r w:rsidR="468AA518" w:rsidRPr="00D020C3">
        <w:rPr>
          <w:noProof/>
        </w:rPr>
        <w:t>290</w:t>
      </w:r>
      <w:r w:rsidR="468AA518" w:rsidRPr="00D96C74">
        <w:rPr>
          <w:noProof/>
        </w:rPr>
        <w:t xml:space="preserve"> din Tratatul privind funcționarea Uniunii Europene, în vederea aducerii de modificări anexei IVc la Directiva </w:t>
      </w:r>
      <w:r w:rsidR="468AA518" w:rsidRPr="00D020C3">
        <w:rPr>
          <w:noProof/>
        </w:rPr>
        <w:t>2008</w:t>
      </w:r>
      <w:r w:rsidR="468AA518" w:rsidRPr="00D96C74">
        <w:rPr>
          <w:noProof/>
        </w:rPr>
        <w:t>/</w:t>
      </w:r>
      <w:r w:rsidR="468AA518" w:rsidRPr="00D020C3">
        <w:rPr>
          <w:noProof/>
        </w:rPr>
        <w:t>98</w:t>
      </w:r>
      <w:r w:rsidR="468AA518" w:rsidRPr="00D96C74">
        <w:rPr>
          <w:noProof/>
        </w:rPr>
        <w:t xml:space="preserve">/CE. Este deosebit de important ca, în cursul lucrărilor sale pregătitoare, Comisia să organizeze consultări adecvate, inclusiv la nivel de experți, iar consultările respective să se desfășoare în conformitate cu principiile stabilite în Acordul interinstituțional din </w:t>
      </w:r>
      <w:r w:rsidR="468AA518" w:rsidRPr="00D020C3">
        <w:rPr>
          <w:noProof/>
        </w:rPr>
        <w:t>13</w:t>
      </w:r>
      <w:r w:rsidR="468AA518" w:rsidRPr="00D96C74">
        <w:rPr>
          <w:noProof/>
        </w:rPr>
        <w:t xml:space="preserve"> aprilie </w:t>
      </w:r>
      <w:r w:rsidR="468AA518" w:rsidRPr="00D020C3">
        <w:rPr>
          <w:noProof/>
        </w:rPr>
        <w:t>2016</w:t>
      </w:r>
      <w:r w:rsidR="468AA518" w:rsidRPr="00D96C74">
        <w:rPr>
          <w:noProof/>
        </w:rPr>
        <w:t xml:space="preserve"> privind o mai bună legiferare. Concret, pentru a asigura participarea egală la pregătirea actelor delegate, Parlamentul European și Consiliul primesc toate documentele în același timp cu experții statelor membre, iar experții acestor instituții au acces sistematic la reuniunile grupurilor de experți ale Comisiei însărcinate cu întocmirea actelor delegate.</w:t>
      </w:r>
    </w:p>
    <w:p w14:paraId="6770CDAF" w14:textId="1D43DE83" w:rsidR="007378F4" w:rsidRPr="00D96C74" w:rsidRDefault="0073367E" w:rsidP="0073367E">
      <w:pPr>
        <w:pStyle w:val="ManualConsidrant"/>
        <w:rPr>
          <w:noProof/>
        </w:rPr>
      </w:pPr>
      <w:r w:rsidRPr="0073367E">
        <w:t>(38)</w:t>
      </w:r>
      <w:r w:rsidRPr="0073367E">
        <w:tab/>
      </w:r>
      <w:r w:rsidR="00C41939" w:rsidRPr="00D96C74">
        <w:rPr>
          <w:noProof/>
        </w:rPr>
        <w:t xml:space="preserve">În vederea asigurării unor condiții uniforme pentru punerea în aplicare a Directivei </w:t>
      </w:r>
      <w:r w:rsidR="00C41939" w:rsidRPr="00D020C3">
        <w:rPr>
          <w:noProof/>
        </w:rPr>
        <w:t>2008</w:t>
      </w:r>
      <w:r w:rsidR="00C41939" w:rsidRPr="00D96C74">
        <w:rPr>
          <w:noProof/>
        </w:rPr>
        <w:t>/</w:t>
      </w:r>
      <w:r w:rsidR="00C41939" w:rsidRPr="00D020C3">
        <w:rPr>
          <w:noProof/>
        </w:rPr>
        <w:t>98</w:t>
      </w:r>
      <w:r w:rsidR="00C41939" w:rsidRPr="00D96C74">
        <w:rPr>
          <w:noProof/>
        </w:rPr>
        <w:t>/CE, ar trebui conferite competențe de executare Comisiei în ceea ce privește un format armonizat pentru înregistrarea în registru pe baza cerințelor de informare prevăzute la articolul </w:t>
      </w:r>
      <w:r w:rsidR="00C41939" w:rsidRPr="00D020C3">
        <w:rPr>
          <w:noProof/>
        </w:rPr>
        <w:t>22</w:t>
      </w:r>
      <w:r w:rsidR="00C41939" w:rsidRPr="00D96C74">
        <w:rPr>
          <w:noProof/>
        </w:rPr>
        <w:t>b alineatul (</w:t>
      </w:r>
      <w:r w:rsidR="00C41939" w:rsidRPr="00D020C3">
        <w:rPr>
          <w:noProof/>
        </w:rPr>
        <w:t>4</w:t>
      </w:r>
      <w:r w:rsidR="00C41939" w:rsidRPr="00D96C74">
        <w:rPr>
          <w:noProof/>
        </w:rPr>
        <w:t>), elaborarea de criterii de modulare a taxelor pentru aplicarea articolului </w:t>
      </w:r>
      <w:r w:rsidR="00C41939" w:rsidRPr="00D020C3">
        <w:rPr>
          <w:noProof/>
        </w:rPr>
        <w:t>22</w:t>
      </w:r>
      <w:r w:rsidR="00C41939" w:rsidRPr="00D96C74">
        <w:rPr>
          <w:noProof/>
        </w:rPr>
        <w:t>c alineatul (</w:t>
      </w:r>
      <w:r w:rsidR="00C41939" w:rsidRPr="00D020C3">
        <w:rPr>
          <w:noProof/>
        </w:rPr>
        <w:t>3</w:t>
      </w:r>
      <w:r w:rsidR="00C41939" w:rsidRPr="00D96C74">
        <w:rPr>
          <w:noProof/>
        </w:rPr>
        <w:t>) litera (a) și a unei metodologii pentru calcularea și verificarea ratei de colectare separată menționate la articolul </w:t>
      </w:r>
      <w:r w:rsidR="00C41939" w:rsidRPr="00D020C3">
        <w:rPr>
          <w:noProof/>
        </w:rPr>
        <w:t>22</w:t>
      </w:r>
      <w:r w:rsidR="00C41939" w:rsidRPr="00D96C74">
        <w:rPr>
          <w:noProof/>
        </w:rPr>
        <w:t>c alineatul (</w:t>
      </w:r>
      <w:r w:rsidR="00C41939" w:rsidRPr="00D020C3">
        <w:rPr>
          <w:noProof/>
        </w:rPr>
        <w:t>6</w:t>
      </w:r>
      <w:r w:rsidR="00C41939" w:rsidRPr="00D96C74">
        <w:rPr>
          <w:noProof/>
        </w:rPr>
        <w:t>) litera (c). Respectivele competențe ar trebui exercitate în conformitate cu Regulamentul (UE) nr. </w:t>
      </w:r>
      <w:r w:rsidR="00C41939" w:rsidRPr="00D020C3">
        <w:rPr>
          <w:noProof/>
        </w:rPr>
        <w:t>182</w:t>
      </w:r>
      <w:r w:rsidR="00C41939" w:rsidRPr="00D96C74">
        <w:rPr>
          <w:noProof/>
        </w:rPr>
        <w:t>/</w:t>
      </w:r>
      <w:r w:rsidR="00C41939" w:rsidRPr="00D020C3">
        <w:rPr>
          <w:noProof/>
        </w:rPr>
        <w:t>2011</w:t>
      </w:r>
      <w:r w:rsidR="00C41939" w:rsidRPr="00D96C74">
        <w:rPr>
          <w:noProof/>
        </w:rPr>
        <w:t xml:space="preserve"> al Parlamentului European și al Consiliului</w:t>
      </w:r>
      <w:r w:rsidR="00C41939" w:rsidRPr="00D96C74">
        <w:rPr>
          <w:rStyle w:val="FootnoteReference"/>
          <w:rFonts w:cs="Calibri"/>
          <w:noProof/>
        </w:rPr>
        <w:footnoteReference w:id="86"/>
      </w:r>
      <w:r w:rsidR="00C41939" w:rsidRPr="00D96C74">
        <w:rPr>
          <w:noProof/>
        </w:rPr>
        <w:t xml:space="preserve">. </w:t>
      </w:r>
    </w:p>
    <w:p w14:paraId="6D8FA630" w14:textId="792861FB" w:rsidR="007378F4" w:rsidRPr="00D96C74" w:rsidRDefault="0073367E" w:rsidP="0073367E">
      <w:pPr>
        <w:pStyle w:val="ManualConsidrant"/>
        <w:rPr>
          <w:rStyle w:val="CommentReference"/>
          <w:noProof/>
          <w:sz w:val="24"/>
          <w:szCs w:val="22"/>
        </w:rPr>
      </w:pPr>
      <w:r w:rsidRPr="0073367E">
        <w:rPr>
          <w:rStyle w:val="CommentReference"/>
        </w:rPr>
        <w:t>(39)</w:t>
      </w:r>
      <w:r w:rsidRPr="0073367E">
        <w:rPr>
          <w:rStyle w:val="CommentReference"/>
        </w:rPr>
        <w:tab/>
      </w:r>
      <w:r w:rsidR="468AA518" w:rsidRPr="00D96C74">
        <w:rPr>
          <w:noProof/>
        </w:rPr>
        <w:t xml:space="preserve">Prin urmare, Directiva </w:t>
      </w:r>
      <w:r w:rsidR="468AA518" w:rsidRPr="00D020C3">
        <w:rPr>
          <w:noProof/>
        </w:rPr>
        <w:t>2008</w:t>
      </w:r>
      <w:r w:rsidR="468AA518" w:rsidRPr="00D96C74">
        <w:rPr>
          <w:noProof/>
        </w:rPr>
        <w:t>/</w:t>
      </w:r>
      <w:r w:rsidR="468AA518" w:rsidRPr="00D020C3">
        <w:rPr>
          <w:noProof/>
        </w:rPr>
        <w:t>98</w:t>
      </w:r>
      <w:r w:rsidR="468AA518" w:rsidRPr="00D96C74">
        <w:rPr>
          <w:noProof/>
        </w:rPr>
        <w:t>/CE trebuie modificată în consecință.</w:t>
      </w:r>
    </w:p>
    <w:p w14:paraId="3AE763B1" w14:textId="03449583" w:rsidR="00BD152F" w:rsidRPr="00D96C74" w:rsidRDefault="0073367E" w:rsidP="0073367E">
      <w:pPr>
        <w:pStyle w:val="ManualConsidrant"/>
        <w:rPr>
          <w:noProof/>
        </w:rPr>
      </w:pPr>
      <w:r w:rsidRPr="0073367E">
        <w:t>(40)</w:t>
      </w:r>
      <w:r w:rsidRPr="0073367E">
        <w:tab/>
      </w:r>
      <w:r w:rsidR="468AA518" w:rsidRPr="00D96C74">
        <w:rPr>
          <w:noProof/>
        </w:rPr>
        <w:t>Deoarece obiectivele prezentei directive, și anume îmbunătățirea sustenabilității din punctul de vedere al mediului a gestionării deșeurilor alimentare și textile și asigurarea liberei circulații a textilelor uzate și a deșeurilor textile pe piața internă, nu pot fi realizate în mod satisfăcător de către statele membre, ci, având în vedere amploarea și efectele acțiunii, pot fi realizate numai la nivelul Uniunii, aceasta poate adopta măsuri în conformitate cu principiul subsidiarității, astfel cum este prevăzut la articolul </w:t>
      </w:r>
      <w:r w:rsidR="468AA518" w:rsidRPr="00D020C3">
        <w:rPr>
          <w:noProof/>
        </w:rPr>
        <w:t>5</w:t>
      </w:r>
      <w:r w:rsidR="468AA518" w:rsidRPr="00D96C74">
        <w:rPr>
          <w:noProof/>
        </w:rPr>
        <w:t xml:space="preserve"> din Tratatul privind Uniunea Europeană. În conformitate cu principiul proporționalității, prevăzut la același articol, prezenta directivă nu depășește ceea ce este necesar pentru atingerea acestui obiectiv privind subsidiaritatea,</w:t>
      </w:r>
    </w:p>
    <w:p w14:paraId="59E858A3" w14:textId="77777777" w:rsidR="00BD152F" w:rsidRPr="00D96C74" w:rsidRDefault="00BD152F" w:rsidP="00B00391">
      <w:pPr>
        <w:pStyle w:val="Formuledadoption"/>
        <w:rPr>
          <w:noProof/>
        </w:rPr>
      </w:pPr>
      <w:r w:rsidRPr="00D96C74">
        <w:rPr>
          <w:noProof/>
        </w:rPr>
        <w:t>ADOPTĂ PREZENTA DIRECTIVĂ:</w:t>
      </w:r>
    </w:p>
    <w:p w14:paraId="419D4F2A" w14:textId="77777777" w:rsidR="00BD152F" w:rsidRPr="008D4D1E" w:rsidRDefault="00BD152F" w:rsidP="00B00391">
      <w:pPr>
        <w:pStyle w:val="Titrearticle"/>
        <w:rPr>
          <w:noProof/>
        </w:rPr>
      </w:pPr>
      <w:r w:rsidRPr="008D4D1E">
        <w:rPr>
          <w:noProof/>
        </w:rPr>
        <w:t>Articolul 1</w:t>
      </w:r>
    </w:p>
    <w:p w14:paraId="4AF2D1F4" w14:textId="77777777" w:rsidR="00D60020" w:rsidRPr="00D020C3" w:rsidRDefault="00D60020" w:rsidP="00D60020">
      <w:pPr>
        <w:pStyle w:val="NormalCentered"/>
        <w:rPr>
          <w:b/>
          <w:noProof/>
        </w:rPr>
      </w:pPr>
      <w:r w:rsidRPr="00D020C3">
        <w:rPr>
          <w:b/>
          <w:noProof/>
        </w:rPr>
        <w:t>Modificări</w:t>
      </w:r>
    </w:p>
    <w:p w14:paraId="606D535B" w14:textId="77777777" w:rsidR="00F25D30" w:rsidRPr="00D96C74" w:rsidRDefault="00D60020" w:rsidP="00F25D30">
      <w:pPr>
        <w:rPr>
          <w:noProof/>
        </w:rPr>
      </w:pPr>
      <w:r w:rsidRPr="00D96C74">
        <w:rPr>
          <w:noProof/>
        </w:rPr>
        <w:t xml:space="preserve">Directiva </w:t>
      </w:r>
      <w:r w:rsidRPr="00D020C3">
        <w:rPr>
          <w:noProof/>
        </w:rPr>
        <w:t>2008</w:t>
      </w:r>
      <w:r w:rsidRPr="00D96C74">
        <w:rPr>
          <w:noProof/>
        </w:rPr>
        <w:t>/</w:t>
      </w:r>
      <w:r w:rsidRPr="00D020C3">
        <w:rPr>
          <w:noProof/>
        </w:rPr>
        <w:t>98</w:t>
      </w:r>
      <w:r w:rsidRPr="00D96C74">
        <w:rPr>
          <w:noProof/>
        </w:rPr>
        <w:t>/CE se modifică după cum urmează:</w:t>
      </w:r>
    </w:p>
    <w:p w14:paraId="5D23C278" w14:textId="77777777" w:rsidR="00D60020" w:rsidRPr="00D96C74" w:rsidRDefault="00D60020" w:rsidP="0020411B">
      <w:pPr>
        <w:pStyle w:val="ListNumber1"/>
        <w:rPr>
          <w:noProof/>
        </w:rPr>
      </w:pPr>
      <w:r w:rsidRPr="00D96C74">
        <w:rPr>
          <w:noProof/>
        </w:rPr>
        <w:t>La articolul </w:t>
      </w:r>
      <w:r w:rsidRPr="00D020C3">
        <w:rPr>
          <w:noProof/>
        </w:rPr>
        <w:t>2</w:t>
      </w:r>
      <w:r w:rsidRPr="00D96C74">
        <w:rPr>
          <w:noProof/>
        </w:rPr>
        <w:t xml:space="preserve"> alineatul (</w:t>
      </w:r>
      <w:r w:rsidRPr="00D020C3">
        <w:rPr>
          <w:noProof/>
        </w:rPr>
        <w:t>1</w:t>
      </w:r>
      <w:r w:rsidRPr="00D96C74">
        <w:rPr>
          <w:noProof/>
        </w:rPr>
        <w:t>), litera (a) se înlocuiește cu următorul text:</w:t>
      </w:r>
    </w:p>
    <w:p w14:paraId="3FE84B76" w14:textId="77777777" w:rsidR="008B77BD" w:rsidRPr="00D96C74" w:rsidRDefault="00660C98" w:rsidP="00EF684D">
      <w:pPr>
        <w:pStyle w:val="Text1"/>
        <w:rPr>
          <w:noProof/>
        </w:rPr>
      </w:pPr>
      <w:r w:rsidRPr="00D96C74">
        <w:rPr>
          <w:noProof/>
        </w:rPr>
        <w:t xml:space="preserve">„(a) efluenții gazoși emiși în atmosferă și dioxidul de carbon captat și transportat în scopul stocării geologice și stocat geologic în conformitate cu Directiva </w:t>
      </w:r>
      <w:r w:rsidRPr="00D020C3">
        <w:rPr>
          <w:noProof/>
        </w:rPr>
        <w:t>2009</w:t>
      </w:r>
      <w:r w:rsidRPr="00D96C74">
        <w:rPr>
          <w:noProof/>
        </w:rPr>
        <w:t>/</w:t>
      </w:r>
      <w:r w:rsidRPr="00D020C3">
        <w:rPr>
          <w:noProof/>
        </w:rPr>
        <w:t>31</w:t>
      </w:r>
      <w:r w:rsidRPr="00D96C74">
        <w:rPr>
          <w:noProof/>
        </w:rPr>
        <w:t>/CE a Parlamentului European și a Consiliului*;</w:t>
      </w:r>
    </w:p>
    <w:p w14:paraId="4DA3CDDA" w14:textId="77777777" w:rsidR="00660C98" w:rsidRPr="00D96C74" w:rsidRDefault="00660C98" w:rsidP="00EF684D">
      <w:pPr>
        <w:pStyle w:val="Text1"/>
        <w:rPr>
          <w:noProof/>
        </w:rPr>
      </w:pPr>
      <w:r w:rsidRPr="00D96C74">
        <w:rPr>
          <w:noProof/>
        </w:rPr>
        <w:t xml:space="preserve">* Directiva </w:t>
      </w:r>
      <w:r w:rsidRPr="00D020C3">
        <w:rPr>
          <w:noProof/>
        </w:rPr>
        <w:t>2009</w:t>
      </w:r>
      <w:r w:rsidRPr="00D96C74">
        <w:rPr>
          <w:noProof/>
        </w:rPr>
        <w:t>/</w:t>
      </w:r>
      <w:r w:rsidRPr="00D020C3">
        <w:rPr>
          <w:noProof/>
        </w:rPr>
        <w:t>31</w:t>
      </w:r>
      <w:r w:rsidRPr="00D96C74">
        <w:rPr>
          <w:noProof/>
        </w:rPr>
        <w:t xml:space="preserve">/CE a Parlamentului European și a Consiliului din </w:t>
      </w:r>
      <w:r w:rsidRPr="00D020C3">
        <w:rPr>
          <w:noProof/>
        </w:rPr>
        <w:t>23</w:t>
      </w:r>
      <w:r w:rsidRPr="00D96C74">
        <w:rPr>
          <w:noProof/>
        </w:rPr>
        <w:t> aprilie </w:t>
      </w:r>
      <w:r w:rsidRPr="00D020C3">
        <w:rPr>
          <w:noProof/>
        </w:rPr>
        <w:t>2009</w:t>
      </w:r>
      <w:r w:rsidRPr="00D96C74">
        <w:rPr>
          <w:noProof/>
        </w:rPr>
        <w:t xml:space="preserve"> privind stocarea geologică a dioxidului de carbon și de modificare a Directivei </w:t>
      </w:r>
      <w:r w:rsidRPr="00D020C3">
        <w:rPr>
          <w:noProof/>
        </w:rPr>
        <w:t>85</w:t>
      </w:r>
      <w:r w:rsidRPr="00D96C74">
        <w:rPr>
          <w:noProof/>
        </w:rPr>
        <w:t>/</w:t>
      </w:r>
      <w:r w:rsidRPr="00D020C3">
        <w:rPr>
          <w:noProof/>
        </w:rPr>
        <w:t>337</w:t>
      </w:r>
      <w:r w:rsidRPr="00D96C74">
        <w:rPr>
          <w:noProof/>
        </w:rPr>
        <w:t xml:space="preserve">/CEE a Consiliului, precum și a Directivelor </w:t>
      </w:r>
      <w:r w:rsidRPr="00D020C3">
        <w:rPr>
          <w:noProof/>
        </w:rPr>
        <w:t>2000</w:t>
      </w:r>
      <w:r w:rsidRPr="00D96C74">
        <w:rPr>
          <w:noProof/>
        </w:rPr>
        <w:t>/</w:t>
      </w:r>
      <w:r w:rsidRPr="00D020C3">
        <w:rPr>
          <w:noProof/>
        </w:rPr>
        <w:t>60</w:t>
      </w:r>
      <w:r w:rsidRPr="00D96C74">
        <w:rPr>
          <w:noProof/>
        </w:rPr>
        <w:t xml:space="preserve">/CE, </w:t>
      </w:r>
      <w:r w:rsidRPr="00D020C3">
        <w:rPr>
          <w:noProof/>
        </w:rPr>
        <w:t>2001</w:t>
      </w:r>
      <w:r w:rsidRPr="00D96C74">
        <w:rPr>
          <w:noProof/>
        </w:rPr>
        <w:t>/</w:t>
      </w:r>
      <w:r w:rsidRPr="00D020C3">
        <w:rPr>
          <w:noProof/>
        </w:rPr>
        <w:t>80</w:t>
      </w:r>
      <w:r w:rsidRPr="00D96C74">
        <w:rPr>
          <w:noProof/>
        </w:rPr>
        <w:t xml:space="preserve">/CE, </w:t>
      </w:r>
      <w:r w:rsidRPr="00D020C3">
        <w:rPr>
          <w:noProof/>
        </w:rPr>
        <w:t>2004</w:t>
      </w:r>
      <w:r w:rsidRPr="00D96C74">
        <w:rPr>
          <w:noProof/>
        </w:rPr>
        <w:t>/</w:t>
      </w:r>
      <w:r w:rsidRPr="00D020C3">
        <w:rPr>
          <w:noProof/>
        </w:rPr>
        <w:t>35</w:t>
      </w:r>
      <w:r w:rsidRPr="00D96C74">
        <w:rPr>
          <w:noProof/>
        </w:rPr>
        <w:t xml:space="preserve">/CE, </w:t>
      </w:r>
      <w:r w:rsidRPr="00D020C3">
        <w:rPr>
          <w:noProof/>
        </w:rPr>
        <w:t>2006</w:t>
      </w:r>
      <w:r w:rsidRPr="00D96C74">
        <w:rPr>
          <w:noProof/>
        </w:rPr>
        <w:t>/</w:t>
      </w:r>
      <w:r w:rsidRPr="00D020C3">
        <w:rPr>
          <w:noProof/>
        </w:rPr>
        <w:t>12</w:t>
      </w:r>
      <w:r w:rsidRPr="00D96C74">
        <w:rPr>
          <w:noProof/>
        </w:rPr>
        <w:t xml:space="preserve">/CE, </w:t>
      </w:r>
      <w:r w:rsidRPr="00D020C3">
        <w:rPr>
          <w:noProof/>
        </w:rPr>
        <w:t>2008</w:t>
      </w:r>
      <w:r w:rsidRPr="00D96C74">
        <w:rPr>
          <w:noProof/>
        </w:rPr>
        <w:t>/</w:t>
      </w:r>
      <w:r w:rsidRPr="00D020C3">
        <w:rPr>
          <w:noProof/>
        </w:rPr>
        <w:t>1</w:t>
      </w:r>
      <w:r w:rsidRPr="00D96C74">
        <w:rPr>
          <w:noProof/>
        </w:rPr>
        <w:t>/CE și a Regulamentului (CE) nr. </w:t>
      </w:r>
      <w:r w:rsidRPr="00D020C3">
        <w:rPr>
          <w:noProof/>
        </w:rPr>
        <w:t>1013</w:t>
      </w:r>
      <w:r w:rsidRPr="00D96C74">
        <w:rPr>
          <w:noProof/>
        </w:rPr>
        <w:t>/</w:t>
      </w:r>
      <w:r w:rsidRPr="00D020C3">
        <w:rPr>
          <w:noProof/>
        </w:rPr>
        <w:t>2006</w:t>
      </w:r>
      <w:r w:rsidRPr="00D96C74">
        <w:rPr>
          <w:noProof/>
        </w:rPr>
        <w:t xml:space="preserve"> ale Parlamentului European și ale Consiliului (JO L </w:t>
      </w:r>
      <w:r w:rsidRPr="00D020C3">
        <w:rPr>
          <w:noProof/>
        </w:rPr>
        <w:t>140</w:t>
      </w:r>
      <w:r w:rsidRPr="00D96C74">
        <w:rPr>
          <w:noProof/>
        </w:rPr>
        <w:t xml:space="preserve">, </w:t>
      </w:r>
      <w:r w:rsidRPr="00D020C3">
        <w:rPr>
          <w:noProof/>
        </w:rPr>
        <w:t>5</w:t>
      </w:r>
      <w:r w:rsidRPr="00D96C74">
        <w:rPr>
          <w:noProof/>
        </w:rPr>
        <w:t>.</w:t>
      </w:r>
      <w:r w:rsidRPr="00D020C3">
        <w:rPr>
          <w:noProof/>
        </w:rPr>
        <w:t>6</w:t>
      </w:r>
      <w:r w:rsidRPr="00D96C74">
        <w:rPr>
          <w:noProof/>
        </w:rPr>
        <w:t>.</w:t>
      </w:r>
      <w:r w:rsidRPr="00D020C3">
        <w:rPr>
          <w:noProof/>
        </w:rPr>
        <w:t>2009</w:t>
      </w:r>
      <w:r w:rsidRPr="00D96C74">
        <w:rPr>
          <w:noProof/>
        </w:rPr>
        <w:t>, p. </w:t>
      </w:r>
      <w:r w:rsidRPr="00D020C3">
        <w:rPr>
          <w:noProof/>
        </w:rPr>
        <w:t>114</w:t>
      </w:r>
      <w:r w:rsidRPr="00D96C74">
        <w:rPr>
          <w:noProof/>
        </w:rPr>
        <w:t>).”</w:t>
      </w:r>
    </w:p>
    <w:p w14:paraId="201CF1D3" w14:textId="7BFDB457" w:rsidR="00D60020" w:rsidRPr="00D96C74" w:rsidRDefault="008B77BD" w:rsidP="0020411B">
      <w:pPr>
        <w:pStyle w:val="ListNumber1"/>
        <w:rPr>
          <w:noProof/>
        </w:rPr>
      </w:pPr>
      <w:r w:rsidRPr="00D96C74">
        <w:rPr>
          <w:noProof/>
        </w:rPr>
        <w:t xml:space="preserve">La articolul </w:t>
      </w:r>
      <w:r w:rsidRPr="00D020C3">
        <w:rPr>
          <w:noProof/>
        </w:rPr>
        <w:t>3</w:t>
      </w:r>
      <w:r w:rsidRPr="00D96C74">
        <w:rPr>
          <w:noProof/>
        </w:rPr>
        <w:t xml:space="preserve"> se introduc următoarele puncte:</w:t>
      </w:r>
    </w:p>
    <w:p w14:paraId="1175E606" w14:textId="1B40B3A0" w:rsidR="008B77BD" w:rsidRPr="00D96C74" w:rsidRDefault="008B77BD" w:rsidP="0094361B">
      <w:pPr>
        <w:pStyle w:val="Text1"/>
        <w:rPr>
          <w:noProof/>
        </w:rPr>
      </w:pPr>
      <w:r w:rsidRPr="00D96C74">
        <w:rPr>
          <w:noProof/>
        </w:rPr>
        <w:t>„</w:t>
      </w:r>
      <w:r w:rsidRPr="00D020C3">
        <w:rPr>
          <w:noProof/>
        </w:rPr>
        <w:t>4</w:t>
      </w:r>
      <w:r w:rsidRPr="00D96C74">
        <w:rPr>
          <w:noProof/>
        </w:rPr>
        <w:t xml:space="preserve">b. «producător de produse textile, asociate textilelor și de încălțăminte enumerate în anexa IVc» înseamnă orice fabricant, importator sau distribuitor sau orice altă persoană fizică sau juridică, cu excepția celor care furnizează pe piață articole uzate aflate pe lista produselor textile, asociate textilelor și de încălțăminte din anexa IVc și produse textile, asociate textilelor și articolelor de încălțăminte enumerate în anexa IVc derivate din astfel de produse uzate sau din deșeuri de astfel de produse sau din părți ale acestora, a întreprinderilor care au mai puțin de </w:t>
      </w:r>
      <w:r w:rsidRPr="00D020C3">
        <w:rPr>
          <w:noProof/>
        </w:rPr>
        <w:t>10</w:t>
      </w:r>
      <w:r w:rsidRPr="00D96C74">
        <w:rPr>
          <w:noProof/>
        </w:rPr>
        <w:t xml:space="preserve"> angajați, iar cifra de afaceri anuală și bilanțul total al acestora nu depășește </w:t>
      </w:r>
      <w:r w:rsidRPr="00D020C3">
        <w:rPr>
          <w:noProof/>
        </w:rPr>
        <w:t>2</w:t>
      </w:r>
      <w:r w:rsidRPr="00D96C74">
        <w:rPr>
          <w:noProof/>
        </w:rPr>
        <w:t xml:space="preserve"> milioane EUR și a croitorilor independenți care confecționează articole personalizate, care, indiferent de tehnica de vânzare utilizată, inclusiv prin intermediul contractelor la distanță astfel cum sunt definite la articolul </w:t>
      </w:r>
      <w:r w:rsidRPr="00D020C3">
        <w:rPr>
          <w:noProof/>
        </w:rPr>
        <w:t>2</w:t>
      </w:r>
      <w:r w:rsidRPr="00D96C74">
        <w:rPr>
          <w:noProof/>
        </w:rPr>
        <w:t xml:space="preserve"> alineatul (</w:t>
      </w:r>
      <w:r w:rsidRPr="00D020C3">
        <w:rPr>
          <w:noProof/>
        </w:rPr>
        <w:t>7</w:t>
      </w:r>
      <w:r w:rsidRPr="00D96C74">
        <w:rPr>
          <w:noProof/>
        </w:rPr>
        <w:t xml:space="preserve">) din Directiva </w:t>
      </w:r>
      <w:r w:rsidRPr="00D020C3">
        <w:rPr>
          <w:noProof/>
        </w:rPr>
        <w:t>2011</w:t>
      </w:r>
      <w:r w:rsidRPr="00D96C74">
        <w:rPr>
          <w:noProof/>
        </w:rPr>
        <w:t>/</w:t>
      </w:r>
      <w:r w:rsidRPr="00D020C3">
        <w:rPr>
          <w:noProof/>
        </w:rPr>
        <w:t>83</w:t>
      </w:r>
      <w:r w:rsidRPr="00D96C74">
        <w:rPr>
          <w:noProof/>
        </w:rPr>
        <w:t>/UE a Parlamentului European și a Consiliului*, fie:</w:t>
      </w:r>
    </w:p>
    <w:p w14:paraId="73063AC2" w14:textId="4EFC6424" w:rsidR="008B77BD" w:rsidRPr="00D96C74" w:rsidRDefault="008B77BD" w:rsidP="0094361B">
      <w:pPr>
        <w:pStyle w:val="Text2"/>
        <w:rPr>
          <w:noProof/>
        </w:rPr>
      </w:pPr>
      <w:r w:rsidRPr="00D96C74">
        <w:rPr>
          <w:noProof/>
        </w:rPr>
        <w:t>(a) este stabilit într-un stat membru și fabrică produse textile, asociate textilelor și de încălțăminte aflate pe lista din anexa IVc sub nume sau marcă proprie sau comandă proiectarea sau fabricarea acestora și le furnizează pentru prima dată sub nume propriu sau sub marcă comercială proprie pe teritoriul statului membru respectiv;</w:t>
      </w:r>
    </w:p>
    <w:p w14:paraId="510928B9" w14:textId="7F9A8244" w:rsidR="008B77BD" w:rsidRPr="00D96C74" w:rsidRDefault="008B77BD" w:rsidP="0094361B">
      <w:pPr>
        <w:pStyle w:val="Text2"/>
        <w:rPr>
          <w:noProof/>
        </w:rPr>
      </w:pPr>
      <w:r w:rsidRPr="00D96C74">
        <w:rPr>
          <w:noProof/>
        </w:rPr>
        <w:t>(b) este stabilit într-un stat membru și revinde pe teritoriul statului membru respectiv, sub nume sau marcă proprie, produse textile, asociate textilelor și de încălțăminte aflate pe lista din anexa IVc, fabricate de alți producători menționați la litera (a), pe care nu figurează numele, denumirea comercială sau marca producătorului;</w:t>
      </w:r>
    </w:p>
    <w:p w14:paraId="676C31F9" w14:textId="6584577F" w:rsidR="008B77BD" w:rsidRPr="00D96C74" w:rsidRDefault="008B77BD" w:rsidP="0094361B">
      <w:pPr>
        <w:pStyle w:val="Text2"/>
        <w:rPr>
          <w:noProof/>
        </w:rPr>
      </w:pPr>
      <w:r w:rsidRPr="00D96C74">
        <w:rPr>
          <w:noProof/>
        </w:rPr>
        <w:t>(c) este stabilit într-un stat membru și furnizează pentru prima dată în statul membru respectiv, cu titlu profesional, produse textile, asociate textilelor și de încălțăminte aflate pe lista din anexa IVc care provin dintr-un alt stat membru sau dintr-o țară terță; fie</w:t>
      </w:r>
    </w:p>
    <w:p w14:paraId="3CC60575" w14:textId="211D9973" w:rsidR="008B77BD" w:rsidRPr="00D96C74" w:rsidRDefault="008B77BD" w:rsidP="0094361B">
      <w:pPr>
        <w:pStyle w:val="Text2"/>
        <w:rPr>
          <w:noProof/>
        </w:rPr>
      </w:pPr>
      <w:r w:rsidRPr="00D96C74">
        <w:rPr>
          <w:noProof/>
        </w:rPr>
        <w:t xml:space="preserve">(d) vinde produse textile, asociate textilelor și de încălțăminte aflate pe lista din anexa IVc prin mijloace de comunicare la distanță direct utilizatorilor finali dintr-un stat membru, inclusiv gospodăriilor private sau altor utilizatori decât gospodăriile private, și este stabilit într-un alt stat membru sau într-o țară terță; </w:t>
      </w:r>
    </w:p>
    <w:p w14:paraId="13CC37D7" w14:textId="77777777" w:rsidR="008B77BD" w:rsidRPr="00D96C74" w:rsidRDefault="00800900" w:rsidP="00EF684D">
      <w:pPr>
        <w:pStyle w:val="Text1"/>
        <w:rPr>
          <w:rFonts w:eastAsiaTheme="minorEastAsia"/>
          <w:noProof/>
        </w:rPr>
      </w:pPr>
      <w:r w:rsidRPr="00D020C3">
        <w:rPr>
          <w:noProof/>
        </w:rPr>
        <w:t>4</w:t>
      </w:r>
      <w:r w:rsidRPr="00D96C74">
        <w:rPr>
          <w:noProof/>
        </w:rPr>
        <w:t>c. «punere la dispoziție pe piață» înseamnă orice furnizare a unui produs în vederea distribuției sau a utilizării în cadrul pieței comunitare în cursul unei activități comerciale, fie contra plată, fie gratuit;</w:t>
      </w:r>
    </w:p>
    <w:p w14:paraId="1C8700E2" w14:textId="102C05FE" w:rsidR="008B77BD" w:rsidRPr="00D96C74" w:rsidRDefault="54C1D3FC" w:rsidP="00EF684D">
      <w:pPr>
        <w:pStyle w:val="Text1"/>
        <w:rPr>
          <w:noProof/>
        </w:rPr>
      </w:pPr>
      <w:r w:rsidRPr="00D020C3">
        <w:rPr>
          <w:noProof/>
        </w:rPr>
        <w:t>4</w:t>
      </w:r>
      <w:r w:rsidRPr="00D96C74">
        <w:rPr>
          <w:noProof/>
        </w:rPr>
        <w:t>d. «organizație care implementează răspunderea extinsă a producătorului» înseamnă o entitate juridică ce organizează, din punct de vedere financiar sau din punct de vedere financiar și operațional, îndeplinirea obligațiilor în materie de răspundere extinsă a producătorului în numele mai multor producători;</w:t>
      </w:r>
    </w:p>
    <w:p w14:paraId="0239A669" w14:textId="03EE9368" w:rsidR="008B77BD" w:rsidRPr="00D96C74" w:rsidRDefault="00800900" w:rsidP="00EF684D">
      <w:pPr>
        <w:pStyle w:val="Text1"/>
        <w:rPr>
          <w:noProof/>
        </w:rPr>
      </w:pPr>
      <w:r w:rsidRPr="00D020C3">
        <w:rPr>
          <w:noProof/>
        </w:rPr>
        <w:t>4</w:t>
      </w:r>
      <w:r w:rsidRPr="00D96C74">
        <w:rPr>
          <w:noProof/>
        </w:rPr>
        <w:t>e. «platformă online» înseamnă o platformă online astfel cum este definită la articolul </w:t>
      </w:r>
      <w:r w:rsidRPr="00D020C3">
        <w:rPr>
          <w:noProof/>
        </w:rPr>
        <w:t>3</w:t>
      </w:r>
      <w:r w:rsidRPr="00D96C74">
        <w:rPr>
          <w:noProof/>
        </w:rPr>
        <w:t xml:space="preserve"> litera (i) din Regulamentul (UE) </w:t>
      </w:r>
      <w:r w:rsidRPr="00D020C3">
        <w:rPr>
          <w:noProof/>
        </w:rPr>
        <w:t>2022</w:t>
      </w:r>
      <w:r w:rsidRPr="00D96C74">
        <w:rPr>
          <w:noProof/>
        </w:rPr>
        <w:t>/</w:t>
      </w:r>
      <w:r w:rsidRPr="00D020C3">
        <w:rPr>
          <w:noProof/>
        </w:rPr>
        <w:t>2065</w:t>
      </w:r>
      <w:r w:rsidRPr="00D96C74">
        <w:rPr>
          <w:noProof/>
        </w:rPr>
        <w:t xml:space="preserve"> al Parlamentului European și al Consiliului**;</w:t>
      </w:r>
    </w:p>
    <w:p w14:paraId="78B1C87B" w14:textId="77777777" w:rsidR="00116725" w:rsidRPr="00D96C74" w:rsidRDefault="00800900" w:rsidP="00EF684D">
      <w:pPr>
        <w:pStyle w:val="Text1"/>
        <w:rPr>
          <w:noProof/>
        </w:rPr>
      </w:pPr>
      <w:r w:rsidRPr="00D020C3">
        <w:rPr>
          <w:noProof/>
        </w:rPr>
        <w:t>4</w:t>
      </w:r>
      <w:r w:rsidRPr="00D96C74">
        <w:rPr>
          <w:noProof/>
        </w:rPr>
        <w:t>f. «consumator» înseamnă persoane fizice care acționează în scopuri fără legătură cu activitatea lor comercială, economică, meșteșugărească sau profesională;</w:t>
      </w:r>
    </w:p>
    <w:p w14:paraId="57651BAF" w14:textId="72999DBF" w:rsidR="008B77BD" w:rsidRPr="00D96C74" w:rsidRDefault="381027CD" w:rsidP="324F6344">
      <w:pPr>
        <w:pStyle w:val="Text1"/>
        <w:rPr>
          <w:noProof/>
        </w:rPr>
      </w:pPr>
      <w:r w:rsidRPr="00D96C74">
        <w:rPr>
          <w:noProof/>
        </w:rPr>
        <w:t xml:space="preserve">* Directiva </w:t>
      </w:r>
      <w:r w:rsidRPr="00D020C3">
        <w:rPr>
          <w:noProof/>
        </w:rPr>
        <w:t>2011</w:t>
      </w:r>
      <w:r w:rsidRPr="00D96C74">
        <w:rPr>
          <w:noProof/>
        </w:rPr>
        <w:t>/</w:t>
      </w:r>
      <w:r w:rsidRPr="00D020C3">
        <w:rPr>
          <w:noProof/>
        </w:rPr>
        <w:t>83</w:t>
      </w:r>
      <w:r w:rsidRPr="00D96C74">
        <w:rPr>
          <w:noProof/>
        </w:rPr>
        <w:t xml:space="preserve">/UE a Parlamentului European și a Consiliului din </w:t>
      </w:r>
      <w:r w:rsidRPr="00D020C3">
        <w:rPr>
          <w:noProof/>
        </w:rPr>
        <w:t>25</w:t>
      </w:r>
      <w:r w:rsidRPr="00D96C74">
        <w:rPr>
          <w:noProof/>
        </w:rPr>
        <w:t> octombrie </w:t>
      </w:r>
      <w:r w:rsidRPr="00D020C3">
        <w:rPr>
          <w:noProof/>
        </w:rPr>
        <w:t>2011</w:t>
      </w:r>
      <w:r w:rsidRPr="00D96C74">
        <w:rPr>
          <w:noProof/>
        </w:rPr>
        <w:t xml:space="preserve"> privind drepturile consumatorilor, de modificare a Directivei </w:t>
      </w:r>
      <w:r w:rsidRPr="00D020C3">
        <w:rPr>
          <w:noProof/>
        </w:rPr>
        <w:t>93</w:t>
      </w:r>
      <w:r w:rsidRPr="00D96C74">
        <w:rPr>
          <w:noProof/>
        </w:rPr>
        <w:t>/</w:t>
      </w:r>
      <w:r w:rsidRPr="00D020C3">
        <w:rPr>
          <w:noProof/>
        </w:rPr>
        <w:t>13</w:t>
      </w:r>
      <w:r w:rsidRPr="00D96C74">
        <w:rPr>
          <w:noProof/>
        </w:rPr>
        <w:t xml:space="preserve">/CEE a Consiliului și a Directivei </w:t>
      </w:r>
      <w:r w:rsidRPr="00D020C3">
        <w:rPr>
          <w:noProof/>
        </w:rPr>
        <w:t>1999</w:t>
      </w:r>
      <w:r w:rsidRPr="00D96C74">
        <w:rPr>
          <w:noProof/>
        </w:rPr>
        <w:t>/</w:t>
      </w:r>
      <w:r w:rsidRPr="00D020C3">
        <w:rPr>
          <w:noProof/>
        </w:rPr>
        <w:t>44</w:t>
      </w:r>
      <w:r w:rsidRPr="00D96C74">
        <w:rPr>
          <w:noProof/>
        </w:rPr>
        <w:t xml:space="preserve">/CE a Parlamentului European și a Consiliului și de abrogare a Directivei </w:t>
      </w:r>
      <w:r w:rsidRPr="00D020C3">
        <w:rPr>
          <w:noProof/>
        </w:rPr>
        <w:t>85</w:t>
      </w:r>
      <w:r w:rsidRPr="00D96C74">
        <w:rPr>
          <w:noProof/>
        </w:rPr>
        <w:t>/</w:t>
      </w:r>
      <w:r w:rsidRPr="00D020C3">
        <w:rPr>
          <w:noProof/>
        </w:rPr>
        <w:t>577</w:t>
      </w:r>
      <w:r w:rsidRPr="00D96C74">
        <w:rPr>
          <w:noProof/>
        </w:rPr>
        <w:t xml:space="preserve">/CEE a Consiliului și a Directivei </w:t>
      </w:r>
      <w:r w:rsidRPr="00D020C3">
        <w:rPr>
          <w:noProof/>
        </w:rPr>
        <w:t>97</w:t>
      </w:r>
      <w:r w:rsidRPr="00D96C74">
        <w:rPr>
          <w:noProof/>
        </w:rPr>
        <w:t>/</w:t>
      </w:r>
      <w:r w:rsidRPr="00D020C3">
        <w:rPr>
          <w:noProof/>
        </w:rPr>
        <w:t>7</w:t>
      </w:r>
      <w:r w:rsidRPr="00D96C74">
        <w:rPr>
          <w:noProof/>
        </w:rPr>
        <w:t>/CE a Parlamentului European și a Consiliului (JO L </w:t>
      </w:r>
      <w:r w:rsidRPr="00D020C3">
        <w:rPr>
          <w:noProof/>
        </w:rPr>
        <w:t>304</w:t>
      </w:r>
      <w:r w:rsidRPr="00D96C74">
        <w:rPr>
          <w:noProof/>
        </w:rPr>
        <w:t xml:space="preserve">, </w:t>
      </w:r>
      <w:r w:rsidRPr="00D020C3">
        <w:rPr>
          <w:noProof/>
        </w:rPr>
        <w:t>22</w:t>
      </w:r>
      <w:r w:rsidRPr="00D96C74">
        <w:rPr>
          <w:noProof/>
        </w:rPr>
        <w:t>.</w:t>
      </w:r>
      <w:r w:rsidRPr="00D020C3">
        <w:rPr>
          <w:noProof/>
        </w:rPr>
        <w:t>11</w:t>
      </w:r>
      <w:r w:rsidRPr="00D96C74">
        <w:rPr>
          <w:noProof/>
        </w:rPr>
        <w:t>.</w:t>
      </w:r>
      <w:r w:rsidRPr="00D020C3">
        <w:rPr>
          <w:noProof/>
        </w:rPr>
        <w:t>2011</w:t>
      </w:r>
      <w:r w:rsidRPr="00D96C74">
        <w:rPr>
          <w:noProof/>
        </w:rPr>
        <w:t>, p. </w:t>
      </w:r>
      <w:r w:rsidRPr="00D020C3">
        <w:rPr>
          <w:noProof/>
        </w:rPr>
        <w:t>64</w:t>
      </w:r>
      <w:r w:rsidRPr="00D96C74">
        <w:rPr>
          <w:noProof/>
        </w:rPr>
        <w:t xml:space="preserve">). </w:t>
      </w:r>
    </w:p>
    <w:p w14:paraId="5CE3E2DD" w14:textId="502C4A3C" w:rsidR="008B77BD" w:rsidRPr="00D96C74" w:rsidRDefault="23ED75B8" w:rsidP="7ED3544D">
      <w:pPr>
        <w:pStyle w:val="Text1"/>
        <w:rPr>
          <w:noProof/>
        </w:rPr>
      </w:pPr>
      <w:r w:rsidRPr="00D96C74">
        <w:rPr>
          <w:noProof/>
        </w:rPr>
        <w:t xml:space="preserve">** Regulamentul (UE) </w:t>
      </w:r>
      <w:r w:rsidRPr="00D020C3">
        <w:rPr>
          <w:noProof/>
        </w:rPr>
        <w:t>2022</w:t>
      </w:r>
      <w:r w:rsidRPr="00D96C74">
        <w:rPr>
          <w:noProof/>
        </w:rPr>
        <w:t>/</w:t>
      </w:r>
      <w:r w:rsidRPr="00D020C3">
        <w:rPr>
          <w:noProof/>
        </w:rPr>
        <w:t>2065</w:t>
      </w:r>
      <w:r w:rsidRPr="00D96C74">
        <w:rPr>
          <w:noProof/>
        </w:rPr>
        <w:t xml:space="preserve"> al Parlamentului European și al Consiliului din </w:t>
      </w:r>
      <w:r w:rsidRPr="00D020C3">
        <w:rPr>
          <w:noProof/>
        </w:rPr>
        <w:t>19</w:t>
      </w:r>
      <w:r w:rsidR="00D020C3">
        <w:rPr>
          <w:noProof/>
        </w:rPr>
        <w:t> </w:t>
      </w:r>
      <w:r w:rsidRPr="00D96C74">
        <w:rPr>
          <w:noProof/>
        </w:rPr>
        <w:t xml:space="preserve">octombrie </w:t>
      </w:r>
      <w:r w:rsidRPr="00D020C3">
        <w:rPr>
          <w:noProof/>
        </w:rPr>
        <w:t>2022</w:t>
      </w:r>
      <w:r w:rsidRPr="00D96C74">
        <w:rPr>
          <w:noProof/>
        </w:rPr>
        <w:t xml:space="preserve"> privind o piață unică pentru serviciile digitale și de modificare a Directivei </w:t>
      </w:r>
      <w:r w:rsidRPr="00D020C3">
        <w:rPr>
          <w:noProof/>
        </w:rPr>
        <w:t>2000</w:t>
      </w:r>
      <w:r w:rsidRPr="00D96C74">
        <w:rPr>
          <w:noProof/>
        </w:rPr>
        <w:t>/</w:t>
      </w:r>
      <w:r w:rsidRPr="00D020C3">
        <w:rPr>
          <w:noProof/>
        </w:rPr>
        <w:t>31</w:t>
      </w:r>
      <w:r w:rsidRPr="00D96C74">
        <w:rPr>
          <w:noProof/>
        </w:rPr>
        <w:t>/CE (JO L </w:t>
      </w:r>
      <w:r w:rsidRPr="00D020C3">
        <w:rPr>
          <w:noProof/>
        </w:rPr>
        <w:t>277</w:t>
      </w:r>
      <w:r w:rsidRPr="00D96C74">
        <w:rPr>
          <w:noProof/>
        </w:rPr>
        <w:t xml:space="preserve">, </w:t>
      </w:r>
      <w:r w:rsidRPr="00D020C3">
        <w:rPr>
          <w:noProof/>
        </w:rPr>
        <w:t>27</w:t>
      </w:r>
      <w:r w:rsidRPr="00D96C74">
        <w:rPr>
          <w:noProof/>
        </w:rPr>
        <w:t>.</w:t>
      </w:r>
      <w:r w:rsidRPr="00D020C3">
        <w:rPr>
          <w:noProof/>
        </w:rPr>
        <w:t>10</w:t>
      </w:r>
      <w:r w:rsidRPr="00D96C74">
        <w:rPr>
          <w:noProof/>
        </w:rPr>
        <w:t>.</w:t>
      </w:r>
      <w:r w:rsidRPr="00D020C3">
        <w:rPr>
          <w:noProof/>
        </w:rPr>
        <w:t>2022</w:t>
      </w:r>
      <w:r w:rsidRPr="00D96C74">
        <w:rPr>
          <w:noProof/>
        </w:rPr>
        <w:t>, p. </w:t>
      </w:r>
      <w:r w:rsidRPr="00D020C3">
        <w:rPr>
          <w:noProof/>
        </w:rPr>
        <w:t>1</w:t>
      </w:r>
      <w:r w:rsidRPr="00D96C74">
        <w:rPr>
          <w:noProof/>
        </w:rPr>
        <w:t>).”</w:t>
      </w:r>
    </w:p>
    <w:p w14:paraId="2D830D68" w14:textId="77777777" w:rsidR="008B77BD" w:rsidRPr="00D96C74" w:rsidRDefault="008B77BD" w:rsidP="0020411B">
      <w:pPr>
        <w:pStyle w:val="ListNumber1"/>
        <w:rPr>
          <w:noProof/>
        </w:rPr>
      </w:pPr>
      <w:r w:rsidRPr="00D96C74">
        <w:rPr>
          <w:noProof/>
        </w:rPr>
        <w:t>La articolul </w:t>
      </w:r>
      <w:r w:rsidRPr="00D020C3">
        <w:rPr>
          <w:noProof/>
        </w:rPr>
        <w:t>9</w:t>
      </w:r>
      <w:r w:rsidRPr="00D96C74">
        <w:rPr>
          <w:noProof/>
        </w:rPr>
        <w:t>, alineatul (</w:t>
      </w:r>
      <w:r w:rsidRPr="00D020C3">
        <w:rPr>
          <w:noProof/>
        </w:rPr>
        <w:t>1</w:t>
      </w:r>
      <w:r w:rsidRPr="00D96C74">
        <w:rPr>
          <w:noProof/>
        </w:rPr>
        <w:t>) literele (g) și (h) și alineatele (</w:t>
      </w:r>
      <w:r w:rsidRPr="00D020C3">
        <w:rPr>
          <w:noProof/>
        </w:rPr>
        <w:t>5</w:t>
      </w:r>
      <w:r w:rsidRPr="00D96C74">
        <w:rPr>
          <w:noProof/>
        </w:rPr>
        <w:t>), (</w:t>
      </w:r>
      <w:r w:rsidRPr="00D020C3">
        <w:rPr>
          <w:noProof/>
        </w:rPr>
        <w:t>6</w:t>
      </w:r>
      <w:r w:rsidRPr="00D96C74">
        <w:rPr>
          <w:noProof/>
        </w:rPr>
        <w:t>) și (</w:t>
      </w:r>
      <w:r w:rsidRPr="00D020C3">
        <w:rPr>
          <w:noProof/>
        </w:rPr>
        <w:t>8</w:t>
      </w:r>
      <w:r w:rsidRPr="00D96C74">
        <w:rPr>
          <w:noProof/>
        </w:rPr>
        <w:t>) se elimină.</w:t>
      </w:r>
    </w:p>
    <w:p w14:paraId="17A60F72" w14:textId="77777777" w:rsidR="008B77BD" w:rsidRPr="00D96C74" w:rsidRDefault="008B77BD" w:rsidP="0020411B">
      <w:pPr>
        <w:pStyle w:val="ListNumber1"/>
        <w:rPr>
          <w:noProof/>
        </w:rPr>
      </w:pPr>
      <w:r w:rsidRPr="00D96C74">
        <w:rPr>
          <w:noProof/>
        </w:rPr>
        <w:t xml:space="preserve">Se introduce următorul articol </w:t>
      </w:r>
      <w:r w:rsidRPr="00D020C3">
        <w:rPr>
          <w:noProof/>
        </w:rPr>
        <w:t>9</w:t>
      </w:r>
      <w:r w:rsidRPr="00D96C74">
        <w:rPr>
          <w:noProof/>
        </w:rPr>
        <w:t>a:</w:t>
      </w:r>
    </w:p>
    <w:p w14:paraId="58AB58E3" w14:textId="77777777" w:rsidR="008B77BD" w:rsidRPr="008D4D1E" w:rsidRDefault="008B77BD" w:rsidP="008B77BD">
      <w:pPr>
        <w:pStyle w:val="Titrearticle"/>
        <w:rPr>
          <w:noProof/>
        </w:rPr>
      </w:pPr>
      <w:r w:rsidRPr="008D4D1E">
        <w:rPr>
          <w:noProof/>
        </w:rPr>
        <w:t>„Articolul 9a</w:t>
      </w:r>
    </w:p>
    <w:p w14:paraId="407DD973" w14:textId="77777777" w:rsidR="008B77BD" w:rsidRPr="00D96C74" w:rsidRDefault="008B77BD" w:rsidP="008B77BD">
      <w:pPr>
        <w:pStyle w:val="Titrearticle"/>
        <w:rPr>
          <w:i w:val="0"/>
          <w:iCs/>
          <w:noProof/>
        </w:rPr>
      </w:pPr>
      <w:r w:rsidRPr="00D020C3">
        <w:rPr>
          <w:b/>
          <w:i w:val="0"/>
          <w:noProof/>
        </w:rPr>
        <w:t>Prevenirea generării de deșeuri alimentare</w:t>
      </w:r>
    </w:p>
    <w:p w14:paraId="370BFA94" w14:textId="65979539" w:rsidR="008B77BD" w:rsidRPr="00D96C74" w:rsidRDefault="0073367E" w:rsidP="0073367E">
      <w:pPr>
        <w:pStyle w:val="ManualNumPar1"/>
        <w:rPr>
          <w:noProof/>
        </w:rPr>
      </w:pPr>
      <w:r w:rsidRPr="0073367E">
        <w:t>1.</w:t>
      </w:r>
      <w:r w:rsidRPr="0073367E">
        <w:tab/>
      </w:r>
      <w:r w:rsidR="008B77BD" w:rsidRPr="00D96C74">
        <w:rPr>
          <w:noProof/>
        </w:rPr>
        <w:t>Statele membre iau măsurile corespunzătoare pentru a preveni generarea de deșeuri alimentare în producția primară, în prelucrare și fabricare, în distribuția cu amănuntul și în alte forme de distribuție de alimente, în restaurante și în serviciile de alimentație, precum și în gospodării. Aceste măsuri cuprind următoarele:</w:t>
      </w:r>
    </w:p>
    <w:p w14:paraId="6198C586" w14:textId="4C6BFB61" w:rsidR="0091513F" w:rsidRPr="00D96C74" w:rsidRDefault="0073367E" w:rsidP="0073367E">
      <w:pPr>
        <w:pStyle w:val="Point1"/>
        <w:rPr>
          <w:noProof/>
        </w:rPr>
      </w:pPr>
      <w:r w:rsidRPr="0073367E">
        <w:t>(a)</w:t>
      </w:r>
      <w:r w:rsidRPr="0073367E">
        <w:tab/>
      </w:r>
      <w:r w:rsidR="0091513F" w:rsidRPr="00D96C74">
        <w:rPr>
          <w:noProof/>
        </w:rPr>
        <w:t>dezvoltarea și sprijinirea unor intervenții de schimbare a comportamentului pentru a reduce deșeurile alimentare și a unor campanii de informare pentru a spori gradul de conștientizare cu privire la prevenirea deșeurilor alimentare;</w:t>
      </w:r>
    </w:p>
    <w:p w14:paraId="3CDE83A4" w14:textId="56065807" w:rsidR="00992F9A" w:rsidRPr="00D96C74" w:rsidRDefault="0073367E" w:rsidP="0073367E">
      <w:pPr>
        <w:pStyle w:val="Point1"/>
        <w:rPr>
          <w:noProof/>
        </w:rPr>
      </w:pPr>
      <w:r w:rsidRPr="0073367E">
        <w:t>(b)</w:t>
      </w:r>
      <w:r w:rsidRPr="0073367E">
        <w:tab/>
      </w:r>
      <w:r w:rsidR="40E9E3CC" w:rsidRPr="00D96C74">
        <w:rPr>
          <w:noProof/>
        </w:rPr>
        <w:t>identificarea și abordarea ineficiențelor în funcționarea lanțului alimentar și sprijinirea cooperării între toți actorii, asigurând totodată distribuția echitabilă a costurilor și a beneficiilor măsurilor de prevenire;</w:t>
      </w:r>
    </w:p>
    <w:p w14:paraId="3F6CFBE0" w14:textId="68170421" w:rsidR="005360D5" w:rsidRPr="00D96C74" w:rsidRDefault="0073367E" w:rsidP="0073367E">
      <w:pPr>
        <w:pStyle w:val="Point1"/>
        <w:rPr>
          <w:noProof/>
        </w:rPr>
      </w:pPr>
      <w:r w:rsidRPr="0073367E">
        <w:t>(c)</w:t>
      </w:r>
      <w:r w:rsidRPr="0073367E">
        <w:tab/>
      </w:r>
      <w:r w:rsidR="4689043C" w:rsidRPr="00D96C74">
        <w:rPr>
          <w:noProof/>
        </w:rPr>
        <w:t>încurajarea donării de alimente și a altor forme de redistribuție pentru consumul uman, acordând prioritate utilizării acestora de către oameni mai degrabă decât ca hrană pentru animale și prelucrării ulterioare în produse nealimentare;</w:t>
      </w:r>
    </w:p>
    <w:p w14:paraId="53079D49" w14:textId="010CEE1A" w:rsidR="009F1BBE" w:rsidRPr="00D96C74" w:rsidRDefault="0073367E" w:rsidP="0073367E">
      <w:pPr>
        <w:pStyle w:val="Point1"/>
        <w:rPr>
          <w:noProof/>
        </w:rPr>
      </w:pPr>
      <w:r w:rsidRPr="0073367E">
        <w:t>(d)</w:t>
      </w:r>
      <w:r w:rsidRPr="0073367E">
        <w:tab/>
      </w:r>
      <w:r w:rsidR="009F1BBE" w:rsidRPr="00D96C74">
        <w:rPr>
          <w:noProof/>
        </w:rPr>
        <w:t>sprijinirea formării și a dezvoltării competențelor, precum și facilitarea accesului la oportunități de finanțare, în special pentru întreprinderile mici și mijlocii și pentru actorii din economia socială.</w:t>
      </w:r>
    </w:p>
    <w:p w14:paraId="6629DC59" w14:textId="0A04F9B7" w:rsidR="00A972DB" w:rsidRPr="00D96C74" w:rsidRDefault="003468A9" w:rsidP="0094361B">
      <w:pPr>
        <w:pStyle w:val="Text1"/>
        <w:rPr>
          <w:noProof/>
        </w:rPr>
      </w:pPr>
      <w:r w:rsidRPr="00D96C74">
        <w:rPr>
          <w:noProof/>
        </w:rPr>
        <w:t>Statele membre se asigură că toți actorii relevanți din lanțul de aprovizionare se implică în prevenirea generării de deșeuri alimentare de-a lungul lanțului alimentar, proporțional cu capacitatea și rolul lor, punând un accent special pe prevenirea unui impact disproporționat asupra întreprinderilor mici și mijlocii.</w:t>
      </w:r>
    </w:p>
    <w:p w14:paraId="6EF73292" w14:textId="14D66C7F" w:rsidR="00817D9C" w:rsidRPr="00D96C74" w:rsidRDefault="0073367E" w:rsidP="0073367E">
      <w:pPr>
        <w:pStyle w:val="ManualNumPar1"/>
        <w:rPr>
          <w:noProof/>
        </w:rPr>
      </w:pPr>
      <w:r w:rsidRPr="0073367E">
        <w:t>2.</w:t>
      </w:r>
      <w:r w:rsidRPr="0073367E">
        <w:tab/>
      </w:r>
      <w:r w:rsidR="00817D9C" w:rsidRPr="00D96C74">
        <w:rPr>
          <w:noProof/>
        </w:rPr>
        <w:t>Statele membre monitorizează și evaluează punerea în aplicare a măsurilor luate pentru prevenirea generării de deșeuri alimentare, inclusiv îndeplinirea obiectivelor de reducere a deșeurilor alimentare menționate la alineatul (</w:t>
      </w:r>
      <w:r w:rsidR="00817D9C" w:rsidRPr="00D020C3">
        <w:rPr>
          <w:noProof/>
        </w:rPr>
        <w:t>4</w:t>
      </w:r>
      <w:r w:rsidR="00817D9C" w:rsidRPr="00D96C74">
        <w:rPr>
          <w:noProof/>
        </w:rPr>
        <w:t>), prin măsurarea nivelurilor de deșeuri alimentare pe baza metodologiei stabilite în conformitate cu alineatul (</w:t>
      </w:r>
      <w:r w:rsidR="00817D9C" w:rsidRPr="00D020C3">
        <w:rPr>
          <w:noProof/>
        </w:rPr>
        <w:t>3</w:t>
      </w:r>
      <w:r w:rsidR="00817D9C" w:rsidRPr="00D96C74">
        <w:rPr>
          <w:noProof/>
        </w:rPr>
        <w:t xml:space="preserve">). </w:t>
      </w:r>
    </w:p>
    <w:p w14:paraId="1C5C0EFE" w14:textId="22579406" w:rsidR="00817D9C" w:rsidRPr="00D96C74" w:rsidRDefault="0073367E" w:rsidP="0073367E">
      <w:pPr>
        <w:pStyle w:val="ManualNumPar1"/>
        <w:rPr>
          <w:noProof/>
        </w:rPr>
      </w:pPr>
      <w:r w:rsidRPr="0073367E">
        <w:t>3.</w:t>
      </w:r>
      <w:r w:rsidRPr="0073367E">
        <w:tab/>
      </w:r>
      <w:r w:rsidR="00817D9C" w:rsidRPr="00D96C74">
        <w:rPr>
          <w:noProof/>
        </w:rPr>
        <w:t>Comisia este împuternicită să adopte acte delegate în conformitate cu articolul </w:t>
      </w:r>
      <w:r w:rsidR="00817D9C" w:rsidRPr="00D020C3">
        <w:rPr>
          <w:noProof/>
        </w:rPr>
        <w:t>38</w:t>
      </w:r>
      <w:r w:rsidR="00817D9C" w:rsidRPr="00D96C74">
        <w:rPr>
          <w:noProof/>
        </w:rPr>
        <w:t xml:space="preserve">a pentru a completa prezenta directivă în ceea ce privește stabilirea unei metodologii comune și a unor cerințe minime de calitate pentru măsurarea uniformă a nivelurilor de deșeuri alimentare. </w:t>
      </w:r>
    </w:p>
    <w:p w14:paraId="12B7D4CF" w14:textId="34F7D29D" w:rsidR="00817D9C" w:rsidRPr="00D96C74" w:rsidRDefault="0073367E" w:rsidP="0073367E">
      <w:pPr>
        <w:pStyle w:val="ManualNumPar1"/>
        <w:rPr>
          <w:noProof/>
        </w:rPr>
      </w:pPr>
      <w:r w:rsidRPr="0073367E">
        <w:t>4.</w:t>
      </w:r>
      <w:r w:rsidRPr="0073367E">
        <w:tab/>
      </w:r>
      <w:r w:rsidR="00817D9C" w:rsidRPr="00D96C74">
        <w:rPr>
          <w:noProof/>
        </w:rPr>
        <w:t xml:space="preserve">Statele membre iau măsurile necesare și corespunzătoare pentru a atinge, până la </w:t>
      </w:r>
      <w:r w:rsidR="00817D9C" w:rsidRPr="00D020C3">
        <w:rPr>
          <w:noProof/>
        </w:rPr>
        <w:t>31</w:t>
      </w:r>
      <w:r w:rsidR="00D020C3">
        <w:rPr>
          <w:noProof/>
        </w:rPr>
        <w:t> </w:t>
      </w:r>
      <w:r w:rsidR="00817D9C" w:rsidRPr="00D96C74">
        <w:rPr>
          <w:noProof/>
        </w:rPr>
        <w:t xml:space="preserve">decembrie </w:t>
      </w:r>
      <w:r w:rsidR="00817D9C" w:rsidRPr="00D020C3">
        <w:rPr>
          <w:noProof/>
        </w:rPr>
        <w:t>2030</w:t>
      </w:r>
      <w:r w:rsidR="00817D9C" w:rsidRPr="00D96C74">
        <w:rPr>
          <w:noProof/>
        </w:rPr>
        <w:t>, următoarele obiective de reducere a deșeurilor alimentare la nivel național:</w:t>
      </w:r>
    </w:p>
    <w:p w14:paraId="316BB4F5" w14:textId="128C8C87" w:rsidR="00817D9C" w:rsidRPr="00D96C74" w:rsidRDefault="0073367E" w:rsidP="0073367E">
      <w:pPr>
        <w:pStyle w:val="Point1"/>
        <w:rPr>
          <w:noProof/>
        </w:rPr>
      </w:pPr>
      <w:r w:rsidRPr="0073367E">
        <w:t>(a)</w:t>
      </w:r>
      <w:r w:rsidRPr="0073367E">
        <w:tab/>
      </w:r>
      <w:r w:rsidR="00817D9C" w:rsidRPr="00D96C74">
        <w:rPr>
          <w:noProof/>
        </w:rPr>
        <w:t xml:space="preserve">reducerea generării de deșeuri alimentare în etapa de prelucrare și de producție cu </w:t>
      </w:r>
      <w:r w:rsidR="00817D9C" w:rsidRPr="00D020C3">
        <w:rPr>
          <w:noProof/>
        </w:rPr>
        <w:t>10</w:t>
      </w:r>
      <w:r w:rsidR="00817D9C" w:rsidRPr="00D96C74">
        <w:rPr>
          <w:noProof/>
        </w:rPr>
        <w:t xml:space="preserve"> % în comparație cu cantitatea generată în </w:t>
      </w:r>
      <w:r w:rsidR="00817D9C" w:rsidRPr="00D020C3">
        <w:rPr>
          <w:noProof/>
        </w:rPr>
        <w:t>2020</w:t>
      </w:r>
      <w:r w:rsidR="00817D9C" w:rsidRPr="00D96C74">
        <w:rPr>
          <w:noProof/>
        </w:rPr>
        <w:t xml:space="preserve">; </w:t>
      </w:r>
    </w:p>
    <w:p w14:paraId="0C09F7D8" w14:textId="31D34F0E" w:rsidR="00817D9C" w:rsidRPr="00D96C74" w:rsidRDefault="0073367E" w:rsidP="0073367E">
      <w:pPr>
        <w:pStyle w:val="Point1"/>
        <w:rPr>
          <w:noProof/>
        </w:rPr>
      </w:pPr>
      <w:r w:rsidRPr="0073367E">
        <w:t>(b)</w:t>
      </w:r>
      <w:r w:rsidRPr="0073367E">
        <w:tab/>
      </w:r>
      <w:r w:rsidR="00817D9C" w:rsidRPr="00D96C74">
        <w:rPr>
          <w:noProof/>
        </w:rPr>
        <w:t xml:space="preserve">reducerea generării de deșeuri alimentare pe cap de locuitor, în comerțul cu amănuntul, dar și în alte forme de distribuție de alimente, în restaurante și în serviciile de alimentație și în gospodării, cu </w:t>
      </w:r>
      <w:r w:rsidR="00817D9C" w:rsidRPr="00D020C3">
        <w:rPr>
          <w:noProof/>
        </w:rPr>
        <w:t>30</w:t>
      </w:r>
      <w:r w:rsidR="00817D9C" w:rsidRPr="00D96C74">
        <w:rPr>
          <w:noProof/>
        </w:rPr>
        <w:t xml:space="preserve"> % în comparație cu cantitatea generată în </w:t>
      </w:r>
      <w:r w:rsidR="00817D9C" w:rsidRPr="00D020C3">
        <w:rPr>
          <w:noProof/>
        </w:rPr>
        <w:t>2020</w:t>
      </w:r>
      <w:r w:rsidR="00817D9C" w:rsidRPr="00D96C74">
        <w:rPr>
          <w:noProof/>
        </w:rPr>
        <w:t>.</w:t>
      </w:r>
    </w:p>
    <w:p w14:paraId="7575CEF7" w14:textId="61C731ED" w:rsidR="00817D9C" w:rsidRPr="00D96C74" w:rsidRDefault="0073367E" w:rsidP="0073367E">
      <w:pPr>
        <w:pStyle w:val="ManualNumPar1"/>
        <w:rPr>
          <w:noProof/>
        </w:rPr>
      </w:pPr>
      <w:r w:rsidRPr="0073367E">
        <w:t>5.</w:t>
      </w:r>
      <w:r w:rsidRPr="0073367E">
        <w:tab/>
      </w:r>
      <w:r w:rsidR="00817D9C" w:rsidRPr="00D96C74">
        <w:rPr>
          <w:noProof/>
        </w:rPr>
        <w:t xml:space="preserve">În cazul în care un stat membru poate să furnizeze date pentru un an de referință anterior anului </w:t>
      </w:r>
      <w:r w:rsidR="00817D9C" w:rsidRPr="00D020C3">
        <w:rPr>
          <w:noProof/>
        </w:rPr>
        <w:t>2020</w:t>
      </w:r>
      <w:r w:rsidR="00817D9C" w:rsidRPr="00D96C74">
        <w:rPr>
          <w:noProof/>
        </w:rPr>
        <w:t xml:space="preserve">, iar acestea au fost colectate utilizând metode comparabile cu metodologia și cerințele minime de calitate pentru măsurarea uniformă a nivelurilor de deșeuri alimentare, astfel cum se prevăd în Decizia delegată (UE) </w:t>
      </w:r>
      <w:r w:rsidR="00817D9C" w:rsidRPr="00D020C3">
        <w:rPr>
          <w:noProof/>
        </w:rPr>
        <w:t>2019</w:t>
      </w:r>
      <w:r w:rsidR="00817D9C" w:rsidRPr="00D96C74">
        <w:rPr>
          <w:noProof/>
        </w:rPr>
        <w:t>/</w:t>
      </w:r>
      <w:r w:rsidR="00817D9C" w:rsidRPr="00D020C3">
        <w:rPr>
          <w:noProof/>
        </w:rPr>
        <w:t>1597</w:t>
      </w:r>
      <w:r w:rsidR="00817D9C" w:rsidRPr="00D96C74">
        <w:rPr>
          <w:noProof/>
        </w:rPr>
        <w:t xml:space="preserve"> a Comisiei, se poate utiliza un an de referință anterior. Statul membru notifică Comisiei și celorlalte state membre intenția sa de a utiliza un an de referință anterior în termen de </w:t>
      </w:r>
      <w:r w:rsidR="00817D9C" w:rsidRPr="00D020C3">
        <w:rPr>
          <w:noProof/>
        </w:rPr>
        <w:t>18</w:t>
      </w:r>
      <w:r w:rsidR="00817D9C" w:rsidRPr="00D96C74">
        <w:rPr>
          <w:noProof/>
        </w:rPr>
        <w:t xml:space="preserve"> luni de la intrarea în vigoare a prezentei directive și furnizează Comisiei datele și metodele de măsurare utilizate pentru colectarea lor. </w:t>
      </w:r>
    </w:p>
    <w:p w14:paraId="4391CE18" w14:textId="498A82C2" w:rsidR="00817D9C" w:rsidRPr="00D96C74" w:rsidRDefault="0073367E" w:rsidP="0073367E">
      <w:pPr>
        <w:pStyle w:val="ManualNumPar1"/>
        <w:rPr>
          <w:noProof/>
        </w:rPr>
      </w:pPr>
      <w:r w:rsidRPr="0073367E">
        <w:t>6.</w:t>
      </w:r>
      <w:r w:rsidRPr="0073367E">
        <w:tab/>
      </w:r>
      <w:r w:rsidR="00817D9C" w:rsidRPr="00D96C74">
        <w:rPr>
          <w:noProof/>
        </w:rPr>
        <w:t>În cazul în care consideră că datele nu respectă condițiile prevăzute la alineatul (</w:t>
      </w:r>
      <w:r w:rsidR="00817D9C" w:rsidRPr="00D020C3">
        <w:rPr>
          <w:noProof/>
        </w:rPr>
        <w:t>5</w:t>
      </w:r>
      <w:r w:rsidR="00817D9C" w:rsidRPr="00D96C74">
        <w:rPr>
          <w:noProof/>
        </w:rPr>
        <w:t xml:space="preserve">), Comisia adoptă, în termen de </w:t>
      </w:r>
      <w:r w:rsidR="00817D9C" w:rsidRPr="00D020C3">
        <w:rPr>
          <w:noProof/>
        </w:rPr>
        <w:t>6</w:t>
      </w:r>
      <w:r w:rsidR="00817D9C" w:rsidRPr="00D96C74">
        <w:rPr>
          <w:noProof/>
        </w:rPr>
        <w:t xml:space="preserve"> luni de la primirea unei notificări efectuate în conformitate cu alineatul (</w:t>
      </w:r>
      <w:r w:rsidR="00817D9C" w:rsidRPr="00D020C3">
        <w:rPr>
          <w:noProof/>
        </w:rPr>
        <w:t>5</w:t>
      </w:r>
      <w:r w:rsidR="00817D9C" w:rsidRPr="00D96C74">
        <w:rPr>
          <w:noProof/>
        </w:rPr>
        <w:t xml:space="preserve">), o decizie prin care solicită statului membru să utilizeze ca an de referință fie anul </w:t>
      </w:r>
      <w:r w:rsidR="00817D9C" w:rsidRPr="00D020C3">
        <w:rPr>
          <w:noProof/>
        </w:rPr>
        <w:t>2020</w:t>
      </w:r>
      <w:r w:rsidR="00817D9C" w:rsidRPr="00D96C74">
        <w:rPr>
          <w:noProof/>
        </w:rPr>
        <w:t xml:space="preserve">, fie un an diferit de cel propus de statul membru.  </w:t>
      </w:r>
    </w:p>
    <w:p w14:paraId="4B9C4C01" w14:textId="63E0FE59" w:rsidR="00817D9C" w:rsidRPr="00D96C74" w:rsidRDefault="0073367E" w:rsidP="0073367E">
      <w:pPr>
        <w:pStyle w:val="ManualNumPar1"/>
        <w:rPr>
          <w:noProof/>
        </w:rPr>
      </w:pPr>
      <w:r w:rsidRPr="0073367E">
        <w:t>7.</w:t>
      </w:r>
      <w:r w:rsidRPr="0073367E">
        <w:tab/>
      </w:r>
      <w:r w:rsidR="00817D9C" w:rsidRPr="00D96C74">
        <w:rPr>
          <w:noProof/>
        </w:rPr>
        <w:t xml:space="preserve">Până la </w:t>
      </w:r>
      <w:r w:rsidR="00817D9C" w:rsidRPr="00D020C3">
        <w:rPr>
          <w:noProof/>
        </w:rPr>
        <w:t>31</w:t>
      </w:r>
      <w:r w:rsidR="00817D9C" w:rsidRPr="00D96C74">
        <w:rPr>
          <w:noProof/>
        </w:rPr>
        <w:t xml:space="preserve"> decembrie </w:t>
      </w:r>
      <w:r w:rsidR="00817D9C" w:rsidRPr="00D020C3">
        <w:rPr>
          <w:noProof/>
        </w:rPr>
        <w:t>2027</w:t>
      </w:r>
      <w:r w:rsidR="00817D9C" w:rsidRPr="00D96C74">
        <w:rPr>
          <w:noProof/>
        </w:rPr>
        <w:t xml:space="preserve">, Comisia revizuiește obiectivele care trebuie atinse până în </w:t>
      </w:r>
      <w:r w:rsidR="00817D9C" w:rsidRPr="00D020C3">
        <w:rPr>
          <w:noProof/>
        </w:rPr>
        <w:t>2030</w:t>
      </w:r>
      <w:r w:rsidR="00817D9C" w:rsidRPr="00D96C74">
        <w:rPr>
          <w:noProof/>
        </w:rPr>
        <w:t>, prevăzute la alineatul (</w:t>
      </w:r>
      <w:r w:rsidR="00817D9C" w:rsidRPr="00D020C3">
        <w:rPr>
          <w:noProof/>
        </w:rPr>
        <w:t>4</w:t>
      </w:r>
      <w:r w:rsidR="00817D9C" w:rsidRPr="00D96C74">
        <w:rPr>
          <w:noProof/>
        </w:rPr>
        <w:t xml:space="preserve">), cu scopul de a le modifica și/sau extinde la alte etape ale lanțului alimentar, dacă este cazul, și de a lua în considerare stabilirea de noi obiective pentru perioada de după </w:t>
      </w:r>
      <w:r w:rsidR="00817D9C" w:rsidRPr="00D020C3">
        <w:rPr>
          <w:noProof/>
        </w:rPr>
        <w:t>2030</w:t>
      </w:r>
      <w:r w:rsidR="00817D9C" w:rsidRPr="00D96C74">
        <w:rPr>
          <w:noProof/>
        </w:rPr>
        <w:t xml:space="preserve">. În acest scop, Comisia prezintă un raport Parlamentului European și Consiliului, însoțit, după caz, de o propunere legislativă.” </w:t>
      </w:r>
    </w:p>
    <w:p w14:paraId="461CA1AC" w14:textId="77777777" w:rsidR="00817D9C" w:rsidRPr="00D96C74" w:rsidRDefault="00817D9C" w:rsidP="0020411B">
      <w:pPr>
        <w:pStyle w:val="ListNumber1"/>
        <w:rPr>
          <w:noProof/>
        </w:rPr>
      </w:pPr>
      <w:r w:rsidRPr="00D96C74">
        <w:rPr>
          <w:noProof/>
        </w:rPr>
        <w:t xml:space="preserve">La articolul </w:t>
      </w:r>
      <w:r w:rsidRPr="00D020C3">
        <w:rPr>
          <w:noProof/>
        </w:rPr>
        <w:t>11</w:t>
      </w:r>
      <w:r w:rsidRPr="00D96C74">
        <w:rPr>
          <w:noProof/>
        </w:rPr>
        <w:t xml:space="preserve"> alineatul (</w:t>
      </w:r>
      <w:r w:rsidRPr="00D020C3">
        <w:rPr>
          <w:noProof/>
        </w:rPr>
        <w:t>1</w:t>
      </w:r>
      <w:r w:rsidRPr="00D96C74">
        <w:rPr>
          <w:noProof/>
        </w:rPr>
        <w:t>), a treia teză se înlocuiește cu următorul text:</w:t>
      </w:r>
    </w:p>
    <w:p w14:paraId="53731F1F" w14:textId="77777777" w:rsidR="00817D9C" w:rsidRPr="00D96C74" w:rsidDel="00D9602F" w:rsidRDefault="00817D9C" w:rsidP="00EF684D">
      <w:pPr>
        <w:pStyle w:val="Text1"/>
        <w:rPr>
          <w:noProof/>
        </w:rPr>
      </w:pPr>
      <w:r w:rsidRPr="00D96C74">
        <w:rPr>
          <w:noProof/>
        </w:rPr>
        <w:t>„Sub rezerva articolului </w:t>
      </w:r>
      <w:r w:rsidRPr="00D020C3">
        <w:rPr>
          <w:noProof/>
        </w:rPr>
        <w:t>10</w:t>
      </w:r>
      <w:r w:rsidRPr="00D96C74">
        <w:rPr>
          <w:noProof/>
        </w:rPr>
        <w:t xml:space="preserve"> alineatele (</w:t>
      </w:r>
      <w:r w:rsidRPr="00D020C3">
        <w:rPr>
          <w:noProof/>
        </w:rPr>
        <w:t>2</w:t>
      </w:r>
      <w:r w:rsidRPr="00D96C74">
        <w:rPr>
          <w:noProof/>
        </w:rPr>
        <w:t>) și (</w:t>
      </w:r>
      <w:r w:rsidRPr="00D020C3">
        <w:rPr>
          <w:noProof/>
        </w:rPr>
        <w:t>3</w:t>
      </w:r>
      <w:r w:rsidRPr="00D96C74">
        <w:rPr>
          <w:noProof/>
        </w:rPr>
        <w:t>), statele membre introduc colectarea separată cel puțin pentru hârtie, metal, plastic și sticlă.”</w:t>
      </w:r>
    </w:p>
    <w:p w14:paraId="027DC7B9" w14:textId="77777777" w:rsidR="00817D9C" w:rsidRPr="00D96C74" w:rsidRDefault="00817D9C" w:rsidP="0020411B">
      <w:pPr>
        <w:pStyle w:val="ListNumber1"/>
        <w:rPr>
          <w:noProof/>
        </w:rPr>
      </w:pPr>
      <w:r w:rsidRPr="00D96C74">
        <w:rPr>
          <w:noProof/>
        </w:rPr>
        <w:t xml:space="preserve">La articolul </w:t>
      </w:r>
      <w:r w:rsidRPr="00D020C3">
        <w:rPr>
          <w:noProof/>
        </w:rPr>
        <w:t>11</w:t>
      </w:r>
      <w:r w:rsidRPr="00D96C74">
        <w:rPr>
          <w:noProof/>
        </w:rPr>
        <w:t>b, alineatul (</w:t>
      </w:r>
      <w:r w:rsidRPr="00D020C3">
        <w:rPr>
          <w:noProof/>
        </w:rPr>
        <w:t>1</w:t>
      </w:r>
      <w:r w:rsidRPr="00D96C74">
        <w:rPr>
          <w:noProof/>
        </w:rPr>
        <w:t>) se înlocuiește cu următorul text:</w:t>
      </w:r>
    </w:p>
    <w:p w14:paraId="2E63C76B" w14:textId="77777777" w:rsidR="00817D9C" w:rsidRPr="00D96C74" w:rsidRDefault="00817D9C" w:rsidP="00EF684D">
      <w:pPr>
        <w:pStyle w:val="Text1"/>
        <w:rPr>
          <w:noProof/>
        </w:rPr>
      </w:pPr>
      <w:r w:rsidRPr="00D96C74">
        <w:rPr>
          <w:noProof/>
        </w:rPr>
        <w:t>„(</w:t>
      </w:r>
      <w:r w:rsidRPr="00D020C3">
        <w:rPr>
          <w:noProof/>
        </w:rPr>
        <w:t>1</w:t>
      </w:r>
      <w:r w:rsidRPr="00D96C74">
        <w:rPr>
          <w:noProof/>
        </w:rPr>
        <w:t xml:space="preserve">) Comisia, în cooperare cu Agenția Europeană de Mediu, elaborează rapoarte privind progresele înregistrate în ceea ce privește îndeplinirea obiectivelor prevăzute la articolul </w:t>
      </w:r>
      <w:r w:rsidRPr="00D020C3">
        <w:rPr>
          <w:noProof/>
        </w:rPr>
        <w:t>9</w:t>
      </w:r>
      <w:r w:rsidRPr="00D96C74">
        <w:rPr>
          <w:noProof/>
        </w:rPr>
        <w:t xml:space="preserve"> alineatul (</w:t>
      </w:r>
      <w:r w:rsidRPr="00D020C3">
        <w:rPr>
          <w:noProof/>
        </w:rPr>
        <w:t>4</w:t>
      </w:r>
      <w:r w:rsidRPr="00D96C74">
        <w:rPr>
          <w:noProof/>
        </w:rPr>
        <w:t xml:space="preserve">), la articolul </w:t>
      </w:r>
      <w:r w:rsidRPr="00D020C3">
        <w:rPr>
          <w:noProof/>
        </w:rPr>
        <w:t>11</w:t>
      </w:r>
      <w:r w:rsidRPr="00D96C74">
        <w:rPr>
          <w:noProof/>
        </w:rPr>
        <w:t xml:space="preserve"> alineatul (</w:t>
      </w:r>
      <w:r w:rsidRPr="00D020C3">
        <w:rPr>
          <w:noProof/>
        </w:rPr>
        <w:t>2</w:t>
      </w:r>
      <w:r w:rsidRPr="00D96C74">
        <w:rPr>
          <w:noProof/>
        </w:rPr>
        <w:t xml:space="preserve">) literele (c), (d) și (e) și la articolul </w:t>
      </w:r>
      <w:r w:rsidRPr="00D020C3">
        <w:rPr>
          <w:noProof/>
        </w:rPr>
        <w:t>11</w:t>
      </w:r>
      <w:r w:rsidRPr="00D96C74">
        <w:rPr>
          <w:noProof/>
        </w:rPr>
        <w:t xml:space="preserve"> alineatul (</w:t>
      </w:r>
      <w:r w:rsidRPr="00D020C3">
        <w:rPr>
          <w:noProof/>
        </w:rPr>
        <w:t>3</w:t>
      </w:r>
      <w:r w:rsidRPr="00D96C74">
        <w:rPr>
          <w:noProof/>
        </w:rPr>
        <w:t>) cel târziu cu trei ani înainte de expirarea fiecărui termen prevăzut în dispozițiile respective.”</w:t>
      </w:r>
    </w:p>
    <w:p w14:paraId="44E62B17" w14:textId="77777777" w:rsidR="00817D9C" w:rsidRPr="00D96C74" w:rsidRDefault="00817D9C" w:rsidP="0020411B">
      <w:pPr>
        <w:pStyle w:val="ListNumber1"/>
        <w:rPr>
          <w:noProof/>
        </w:rPr>
      </w:pPr>
      <w:r w:rsidRPr="00D96C74">
        <w:rPr>
          <w:noProof/>
        </w:rPr>
        <w:t xml:space="preserve">Se introduc următoarele articole </w:t>
      </w:r>
      <w:r w:rsidRPr="00D020C3">
        <w:rPr>
          <w:noProof/>
        </w:rPr>
        <w:t>22</w:t>
      </w:r>
      <w:r w:rsidRPr="00D96C74">
        <w:rPr>
          <w:noProof/>
        </w:rPr>
        <w:t>a-</w:t>
      </w:r>
      <w:r w:rsidRPr="00D020C3">
        <w:rPr>
          <w:noProof/>
        </w:rPr>
        <w:t>22</w:t>
      </w:r>
      <w:r w:rsidRPr="00D96C74">
        <w:rPr>
          <w:noProof/>
        </w:rPr>
        <w:t>d:</w:t>
      </w:r>
    </w:p>
    <w:p w14:paraId="4D0FEC51" w14:textId="77777777" w:rsidR="00817D9C" w:rsidRPr="008D4D1E" w:rsidRDefault="00817D9C" w:rsidP="00817D9C">
      <w:pPr>
        <w:pStyle w:val="Titrearticle"/>
        <w:rPr>
          <w:noProof/>
        </w:rPr>
      </w:pPr>
      <w:r w:rsidRPr="008D4D1E">
        <w:rPr>
          <w:noProof/>
        </w:rPr>
        <w:t>„Articolul 22a</w:t>
      </w:r>
    </w:p>
    <w:p w14:paraId="76E9CCE5" w14:textId="77777777" w:rsidR="00817D9C" w:rsidRPr="00D96C74" w:rsidRDefault="00817D9C" w:rsidP="00817D9C">
      <w:pPr>
        <w:pStyle w:val="Titrearticle"/>
        <w:rPr>
          <w:i w:val="0"/>
          <w:iCs/>
          <w:noProof/>
        </w:rPr>
      </w:pPr>
      <w:r w:rsidRPr="00D020C3">
        <w:rPr>
          <w:b/>
          <w:i w:val="0"/>
          <w:noProof/>
        </w:rPr>
        <w:t>Schema de răspundere extinsă a producătorilor pentru textile</w:t>
      </w:r>
    </w:p>
    <w:p w14:paraId="0266557F" w14:textId="7C04EC0F" w:rsidR="00817D9C" w:rsidRPr="00D96C74" w:rsidRDefault="0073367E" w:rsidP="0073367E">
      <w:pPr>
        <w:pStyle w:val="ManualNumPar1"/>
        <w:rPr>
          <w:noProof/>
        </w:rPr>
      </w:pPr>
      <w:r w:rsidRPr="0073367E">
        <w:t>1.</w:t>
      </w:r>
      <w:r w:rsidRPr="0073367E">
        <w:tab/>
      </w:r>
      <w:r w:rsidR="00817D9C" w:rsidRPr="00D96C74">
        <w:rPr>
          <w:noProof/>
        </w:rPr>
        <w:t xml:space="preserve">Statele membre se asigură că producătorii au răspundere extinsă pentru produsele textile de uz casnic, articolele de îmbrăcăminte, accesoriile de îmbrăcăminte și încălțămintea enumerate în anexa IVc („produse textile, asociate textilelor și de încălțăminte”) pe care le pun la dispoziție pe piață pentru prima dată pe teritoriul unui stat membru, în conformitate cu articolele </w:t>
      </w:r>
      <w:r w:rsidR="00817D9C" w:rsidRPr="00D020C3">
        <w:rPr>
          <w:noProof/>
        </w:rPr>
        <w:t>8</w:t>
      </w:r>
      <w:r w:rsidR="00817D9C" w:rsidRPr="00D96C74">
        <w:rPr>
          <w:noProof/>
        </w:rPr>
        <w:t xml:space="preserve"> și </w:t>
      </w:r>
      <w:r w:rsidR="00817D9C" w:rsidRPr="00D020C3">
        <w:rPr>
          <w:noProof/>
        </w:rPr>
        <w:t>8</w:t>
      </w:r>
      <w:r w:rsidR="00817D9C" w:rsidRPr="00D96C74">
        <w:rPr>
          <w:noProof/>
        </w:rPr>
        <w:t xml:space="preserve">a. </w:t>
      </w:r>
    </w:p>
    <w:p w14:paraId="2AEA969F" w14:textId="5EFF1CE8" w:rsidR="00817D9C" w:rsidRPr="00D96C74" w:rsidRDefault="0073367E" w:rsidP="0073367E">
      <w:pPr>
        <w:pStyle w:val="ManualNumPar1"/>
        <w:rPr>
          <w:noProof/>
        </w:rPr>
      </w:pPr>
      <w:r w:rsidRPr="0073367E">
        <w:t>2.</w:t>
      </w:r>
      <w:r w:rsidRPr="0073367E">
        <w:tab/>
      </w:r>
      <w:r w:rsidR="00817D9C" w:rsidRPr="00D96C74">
        <w:rPr>
          <w:noProof/>
        </w:rPr>
        <w:t>Comisia este împuternicită să adopte acte delegate în conformitate cu articolul </w:t>
      </w:r>
      <w:r w:rsidR="00817D9C" w:rsidRPr="00D020C3">
        <w:rPr>
          <w:noProof/>
        </w:rPr>
        <w:t>38</w:t>
      </w:r>
      <w:r w:rsidR="00817D9C" w:rsidRPr="00D96C74">
        <w:rPr>
          <w:noProof/>
        </w:rPr>
        <w:t xml:space="preserve">a pentru a modifica anexa IVc la prezenta directivă în vederea alinierii codurilor din Nomenclatura combinată enumerate în anexa IVc la prezenta directivă la codurile enumerate în anexa </w:t>
      </w:r>
      <w:r w:rsidR="00817D9C" w:rsidRPr="00D020C3">
        <w:rPr>
          <w:noProof/>
        </w:rPr>
        <w:t>1</w:t>
      </w:r>
      <w:r w:rsidR="00817D9C" w:rsidRPr="00D96C74">
        <w:rPr>
          <w:noProof/>
        </w:rPr>
        <w:t xml:space="preserve"> la Regulamentul (CEE) nr. </w:t>
      </w:r>
      <w:r w:rsidR="00817D9C" w:rsidRPr="00D020C3">
        <w:rPr>
          <w:noProof/>
        </w:rPr>
        <w:t>2658</w:t>
      </w:r>
      <w:r w:rsidR="00817D9C" w:rsidRPr="00D96C74">
        <w:rPr>
          <w:noProof/>
        </w:rPr>
        <w:t>/</w:t>
      </w:r>
      <w:r w:rsidR="00817D9C" w:rsidRPr="00D020C3">
        <w:rPr>
          <w:noProof/>
        </w:rPr>
        <w:t>87</w:t>
      </w:r>
      <w:r w:rsidR="00817D9C" w:rsidRPr="00D96C74">
        <w:rPr>
          <w:noProof/>
        </w:rPr>
        <w:t xml:space="preserve"> al Consiliului*.</w:t>
      </w:r>
    </w:p>
    <w:p w14:paraId="31CB6CE5" w14:textId="51C3C8E7" w:rsidR="00817D9C" w:rsidRPr="00D96C74" w:rsidRDefault="0073367E" w:rsidP="0073367E">
      <w:pPr>
        <w:pStyle w:val="ManualNumPar1"/>
        <w:rPr>
          <w:noProof/>
        </w:rPr>
      </w:pPr>
      <w:r w:rsidRPr="0073367E">
        <w:t>3.</w:t>
      </w:r>
      <w:r w:rsidRPr="0073367E">
        <w:tab/>
      </w:r>
      <w:r w:rsidR="7411E273" w:rsidRPr="00D96C74">
        <w:rPr>
          <w:noProof/>
        </w:rPr>
        <w:t>Statele membre definesc în mod clar rolurile și responsabilitățile actorilor relevanți implicați în punerea în aplicare, în monitorizarea și în verificarea schemei de răspundere extinsă a producătorilor menționată la alineatul (</w:t>
      </w:r>
      <w:r w:rsidR="7411E273" w:rsidRPr="00D020C3">
        <w:rPr>
          <w:noProof/>
        </w:rPr>
        <w:t>1</w:t>
      </w:r>
      <w:r w:rsidR="7411E273" w:rsidRPr="00D96C74">
        <w:rPr>
          <w:noProof/>
        </w:rPr>
        <w:t xml:space="preserve">). </w:t>
      </w:r>
    </w:p>
    <w:p w14:paraId="641D5ABE" w14:textId="57256C97" w:rsidR="00817D9C" w:rsidRPr="00D96C74" w:rsidRDefault="0073367E" w:rsidP="0073367E">
      <w:pPr>
        <w:pStyle w:val="ManualNumPar1"/>
        <w:rPr>
          <w:noProof/>
        </w:rPr>
      </w:pPr>
      <w:r w:rsidRPr="0073367E">
        <w:t>4.</w:t>
      </w:r>
      <w:r w:rsidRPr="0073367E">
        <w:tab/>
      </w:r>
      <w:r w:rsidR="5143CF5F" w:rsidRPr="00D96C74">
        <w:rPr>
          <w:noProof/>
        </w:rPr>
        <w:t>Statele membre se asigură că producătorii de produse textile, asociate textilelor și de încălțăminte care figurează pe lista din anexa IVc acoperă costurile următoarelor:</w:t>
      </w:r>
    </w:p>
    <w:p w14:paraId="552F04C9" w14:textId="4E9F7A58" w:rsidR="00817D9C" w:rsidRPr="00D96C74" w:rsidRDefault="0073367E" w:rsidP="0073367E">
      <w:pPr>
        <w:pStyle w:val="Point1"/>
        <w:rPr>
          <w:noProof/>
        </w:rPr>
      </w:pPr>
      <w:r w:rsidRPr="0073367E">
        <w:t>(a)</w:t>
      </w:r>
      <w:r w:rsidRPr="0073367E">
        <w:tab/>
      </w:r>
      <w:r w:rsidR="00817D9C" w:rsidRPr="00D96C74">
        <w:rPr>
          <w:noProof/>
        </w:rPr>
        <w:t>colectarea produselor textile, asociate textilelor și de încălțăminte uzate și care au calitatea de deșeu enumerate în anexa IVc și gestionarea ulterioară a deșeurilor, care implică următoarele:</w:t>
      </w:r>
    </w:p>
    <w:p w14:paraId="07D78417" w14:textId="11D25F52" w:rsidR="00127DC5" w:rsidRPr="00D96C74" w:rsidRDefault="0073367E" w:rsidP="0073367E">
      <w:pPr>
        <w:pStyle w:val="Point2"/>
        <w:rPr>
          <w:noProof/>
        </w:rPr>
      </w:pPr>
      <w:r w:rsidRPr="0073367E">
        <w:t>(1)</w:t>
      </w:r>
      <w:r w:rsidRPr="0073367E">
        <w:tab/>
      </w:r>
      <w:r w:rsidR="00817D9C" w:rsidRPr="00D96C74">
        <w:rPr>
          <w:noProof/>
        </w:rPr>
        <w:t xml:space="preserve">colectarea produselor uzate în vederea reutilizării și colectarea separată a deșeurilor în vederea pregătirii pentru reutilizare și a reciclării în conformitate cu articolele </w:t>
      </w:r>
      <w:r w:rsidR="00817D9C" w:rsidRPr="00D020C3">
        <w:rPr>
          <w:noProof/>
        </w:rPr>
        <w:t>22</w:t>
      </w:r>
      <w:r w:rsidR="00817D9C" w:rsidRPr="00D96C74">
        <w:rPr>
          <w:noProof/>
        </w:rPr>
        <w:t xml:space="preserve">c și </w:t>
      </w:r>
      <w:r w:rsidR="00817D9C" w:rsidRPr="00D020C3">
        <w:rPr>
          <w:noProof/>
        </w:rPr>
        <w:t>22</w:t>
      </w:r>
      <w:r w:rsidR="00817D9C" w:rsidRPr="00D96C74">
        <w:rPr>
          <w:noProof/>
        </w:rPr>
        <w:t xml:space="preserve">d; </w:t>
      </w:r>
    </w:p>
    <w:p w14:paraId="71F31D80" w14:textId="2C674BC4" w:rsidR="00127DC5" w:rsidRPr="00D96C74" w:rsidRDefault="0073367E" w:rsidP="0073367E">
      <w:pPr>
        <w:pStyle w:val="Point2"/>
        <w:rPr>
          <w:noProof/>
        </w:rPr>
      </w:pPr>
      <w:r w:rsidRPr="0073367E">
        <w:t>(2)</w:t>
      </w:r>
      <w:r w:rsidRPr="0073367E">
        <w:tab/>
      </w:r>
      <w:r w:rsidR="5143CF5F" w:rsidRPr="00D96C74">
        <w:rPr>
          <w:noProof/>
        </w:rPr>
        <w:t xml:space="preserve">transportul încărcăturilor colectate menționate la punctul </w:t>
      </w:r>
      <w:r w:rsidR="5143CF5F" w:rsidRPr="00D020C3">
        <w:rPr>
          <w:noProof/>
        </w:rPr>
        <w:t>1</w:t>
      </w:r>
      <w:r w:rsidR="5143CF5F" w:rsidRPr="00D96C74">
        <w:rPr>
          <w:noProof/>
        </w:rPr>
        <w:t xml:space="preserve"> pentru sortarea ulterioară în vederea reutilizării, a pregătirii pentru reutilizare și a operațiunilor de reciclare în conformitate cu articolul </w:t>
      </w:r>
      <w:r w:rsidR="5143CF5F" w:rsidRPr="00D020C3">
        <w:rPr>
          <w:noProof/>
        </w:rPr>
        <w:t>22</w:t>
      </w:r>
      <w:r w:rsidR="5143CF5F" w:rsidRPr="00D96C74">
        <w:rPr>
          <w:noProof/>
        </w:rPr>
        <w:t>d;</w:t>
      </w:r>
    </w:p>
    <w:p w14:paraId="16BFABB7" w14:textId="4D00A283" w:rsidR="00127DC5" w:rsidRPr="00D96C74" w:rsidRDefault="0073367E" w:rsidP="0073367E">
      <w:pPr>
        <w:pStyle w:val="Point2"/>
        <w:rPr>
          <w:noProof/>
        </w:rPr>
      </w:pPr>
      <w:r w:rsidRPr="0073367E">
        <w:t>(3)</w:t>
      </w:r>
      <w:r w:rsidRPr="0073367E">
        <w:tab/>
      </w:r>
      <w:r w:rsidR="5143CF5F" w:rsidRPr="00D96C74">
        <w:rPr>
          <w:noProof/>
        </w:rPr>
        <w:t xml:space="preserve">sortarea, pregătirea pentru reutilizare, reciclarea și alte operațiuni de valorificare, precum și eliminarea încărcăturilor colectate menționate la punctul </w:t>
      </w:r>
      <w:r w:rsidR="5143CF5F" w:rsidRPr="00D020C3">
        <w:rPr>
          <w:noProof/>
        </w:rPr>
        <w:t>1</w:t>
      </w:r>
      <w:r w:rsidR="5143CF5F" w:rsidRPr="00D96C74">
        <w:rPr>
          <w:noProof/>
        </w:rPr>
        <w:t>;</w:t>
      </w:r>
    </w:p>
    <w:p w14:paraId="522B5AD4" w14:textId="2670B5F1" w:rsidR="00817D9C" w:rsidRPr="00D96C74" w:rsidRDefault="0073367E" w:rsidP="0073367E">
      <w:pPr>
        <w:pStyle w:val="Point2"/>
        <w:rPr>
          <w:noProof/>
        </w:rPr>
      </w:pPr>
      <w:r w:rsidRPr="0073367E">
        <w:t>(4)</w:t>
      </w:r>
      <w:r w:rsidRPr="0073367E">
        <w:tab/>
      </w:r>
      <w:r w:rsidR="5143CF5F" w:rsidRPr="00D96C74">
        <w:rPr>
          <w:noProof/>
        </w:rPr>
        <w:t xml:space="preserve">colectarea, transportul și tratarea deșeurilor, menționate la punctele </w:t>
      </w:r>
      <w:r w:rsidR="5143CF5F" w:rsidRPr="00D020C3">
        <w:rPr>
          <w:noProof/>
        </w:rPr>
        <w:t>1</w:t>
      </w:r>
      <w:r w:rsidR="5143CF5F" w:rsidRPr="00D96C74">
        <w:rPr>
          <w:noProof/>
        </w:rPr>
        <w:t xml:space="preserve"> și </w:t>
      </w:r>
      <w:r w:rsidR="5143CF5F" w:rsidRPr="00D020C3">
        <w:rPr>
          <w:noProof/>
        </w:rPr>
        <w:t>2</w:t>
      </w:r>
      <w:r w:rsidR="5143CF5F" w:rsidRPr="00D96C74">
        <w:rPr>
          <w:noProof/>
        </w:rPr>
        <w:t>, realizate de întreprinderile sociale și de alți operatori decât operatorii de gestionare a deșeurilor și care fac parte din sistemul de colectare menționat la articolul </w:t>
      </w:r>
      <w:r w:rsidR="5143CF5F" w:rsidRPr="00D020C3">
        <w:rPr>
          <w:noProof/>
        </w:rPr>
        <w:t>22</w:t>
      </w:r>
      <w:r w:rsidR="5143CF5F" w:rsidRPr="00D96C74">
        <w:rPr>
          <w:noProof/>
        </w:rPr>
        <w:t>c alineatele (</w:t>
      </w:r>
      <w:r w:rsidR="5143CF5F" w:rsidRPr="00D020C3">
        <w:rPr>
          <w:noProof/>
        </w:rPr>
        <w:t>5</w:t>
      </w:r>
      <w:r w:rsidR="5143CF5F" w:rsidRPr="00D96C74">
        <w:rPr>
          <w:noProof/>
        </w:rPr>
        <w:t>) și (</w:t>
      </w:r>
      <w:r w:rsidR="5143CF5F" w:rsidRPr="00D020C3">
        <w:rPr>
          <w:noProof/>
        </w:rPr>
        <w:t>11</w:t>
      </w:r>
      <w:r w:rsidR="5143CF5F" w:rsidRPr="00D96C74">
        <w:rPr>
          <w:noProof/>
        </w:rPr>
        <w:t xml:space="preserve">); </w:t>
      </w:r>
    </w:p>
    <w:p w14:paraId="64485E91" w14:textId="5972DC0D" w:rsidR="00817D9C" w:rsidRPr="00D96C74" w:rsidRDefault="0073367E" w:rsidP="0073367E">
      <w:pPr>
        <w:pStyle w:val="Point1"/>
        <w:rPr>
          <w:noProof/>
        </w:rPr>
      </w:pPr>
      <w:r w:rsidRPr="0073367E">
        <w:t>(b)</w:t>
      </w:r>
      <w:r w:rsidRPr="0073367E">
        <w:tab/>
      </w:r>
      <w:r w:rsidR="00817D9C" w:rsidRPr="00D96C74">
        <w:rPr>
          <w:noProof/>
        </w:rPr>
        <w:t>efectuarea unei anchete privind compoziția deșeurilor municipale mixte colectate, în conformitate cu articolul </w:t>
      </w:r>
      <w:r w:rsidR="00817D9C" w:rsidRPr="00D020C3">
        <w:rPr>
          <w:noProof/>
        </w:rPr>
        <w:t>22</w:t>
      </w:r>
      <w:r w:rsidR="00817D9C" w:rsidRPr="00D96C74">
        <w:rPr>
          <w:noProof/>
        </w:rPr>
        <w:t>d alineatul (</w:t>
      </w:r>
      <w:r w:rsidR="00817D9C" w:rsidRPr="00D020C3">
        <w:rPr>
          <w:noProof/>
        </w:rPr>
        <w:t>6</w:t>
      </w:r>
      <w:r w:rsidR="00817D9C" w:rsidRPr="00D96C74">
        <w:rPr>
          <w:noProof/>
        </w:rPr>
        <w:t>);</w:t>
      </w:r>
    </w:p>
    <w:p w14:paraId="4760BB90" w14:textId="651E60C2" w:rsidR="00817D9C" w:rsidRPr="00D96C74" w:rsidRDefault="0073367E" w:rsidP="0073367E">
      <w:pPr>
        <w:pStyle w:val="Point1"/>
        <w:rPr>
          <w:noProof/>
        </w:rPr>
      </w:pPr>
      <w:r w:rsidRPr="0073367E">
        <w:t>(c)</w:t>
      </w:r>
      <w:r w:rsidRPr="0073367E">
        <w:tab/>
      </w:r>
      <w:r w:rsidR="00817D9C" w:rsidRPr="00D96C74">
        <w:rPr>
          <w:noProof/>
        </w:rPr>
        <w:t>furnizarea de informații privind consumul durabil, prevenirea generării de deșeuri, reutilizarea, pregătirea pentru reutilizare, reciclarea, alte tipuri de valorificare și eliminarea produselor textile și de încălțăminte în conformitate cu articolul </w:t>
      </w:r>
      <w:r w:rsidR="00817D9C" w:rsidRPr="00D020C3">
        <w:rPr>
          <w:noProof/>
        </w:rPr>
        <w:t>22</w:t>
      </w:r>
      <w:r w:rsidR="00817D9C" w:rsidRPr="00D96C74">
        <w:rPr>
          <w:noProof/>
        </w:rPr>
        <w:t>c alineatele (</w:t>
      </w:r>
      <w:r w:rsidR="00817D9C" w:rsidRPr="00D020C3">
        <w:rPr>
          <w:noProof/>
        </w:rPr>
        <w:t>13</w:t>
      </w:r>
      <w:r w:rsidR="00817D9C" w:rsidRPr="00D96C74">
        <w:rPr>
          <w:noProof/>
        </w:rPr>
        <w:t>), (</w:t>
      </w:r>
      <w:r w:rsidR="00817D9C" w:rsidRPr="00D020C3">
        <w:rPr>
          <w:noProof/>
        </w:rPr>
        <w:t>14</w:t>
      </w:r>
      <w:r w:rsidR="00817D9C" w:rsidRPr="00D96C74">
        <w:rPr>
          <w:noProof/>
        </w:rPr>
        <w:t>) și (</w:t>
      </w:r>
      <w:r w:rsidR="00817D9C" w:rsidRPr="00D020C3">
        <w:rPr>
          <w:noProof/>
        </w:rPr>
        <w:t>17</w:t>
      </w:r>
      <w:r w:rsidR="00817D9C" w:rsidRPr="00D96C74">
        <w:rPr>
          <w:noProof/>
        </w:rPr>
        <w:t>);</w:t>
      </w:r>
    </w:p>
    <w:p w14:paraId="650869D0" w14:textId="77E346C1" w:rsidR="00817D9C" w:rsidRPr="00D96C74" w:rsidRDefault="0073367E" w:rsidP="0073367E">
      <w:pPr>
        <w:pStyle w:val="Point1"/>
        <w:rPr>
          <w:noProof/>
        </w:rPr>
      </w:pPr>
      <w:r w:rsidRPr="0073367E">
        <w:t>(d)</w:t>
      </w:r>
      <w:r w:rsidRPr="0073367E">
        <w:tab/>
      </w:r>
      <w:r w:rsidR="00817D9C" w:rsidRPr="00D96C74">
        <w:rPr>
          <w:noProof/>
        </w:rPr>
        <w:t>colectarea și raportarea datelor către autoritățile competente în conformitate cu articolul </w:t>
      </w:r>
      <w:r w:rsidR="00817D9C" w:rsidRPr="00D020C3">
        <w:rPr>
          <w:noProof/>
        </w:rPr>
        <w:t>37</w:t>
      </w:r>
      <w:r w:rsidR="00817D9C" w:rsidRPr="00D96C74">
        <w:rPr>
          <w:noProof/>
        </w:rPr>
        <w:t>;</w:t>
      </w:r>
    </w:p>
    <w:p w14:paraId="0ED03CFD" w14:textId="29BAA1F0" w:rsidR="00817D9C" w:rsidRPr="00D96C74" w:rsidRDefault="0073367E" w:rsidP="0073367E">
      <w:pPr>
        <w:pStyle w:val="Point1"/>
        <w:rPr>
          <w:noProof/>
        </w:rPr>
      </w:pPr>
      <w:r w:rsidRPr="0073367E">
        <w:t>(e)</w:t>
      </w:r>
      <w:r w:rsidRPr="0073367E">
        <w:tab/>
      </w:r>
      <w:r w:rsidR="00817D9C" w:rsidRPr="00D96C74">
        <w:rPr>
          <w:noProof/>
        </w:rPr>
        <w:t>sprijin pentru cercetare și dezvoltare în vederea îmbunătățirii proceselor de sortare și reciclare, în special în vederea extinderii reciclării fibrelor în circuit închis („fibre-to-fibre”), fără a aduce atingere normelor Uniunii privind ajutoarele de stat.</w:t>
      </w:r>
    </w:p>
    <w:p w14:paraId="65C06304" w14:textId="30FE6021" w:rsidR="00817D9C" w:rsidRPr="00D96C74" w:rsidRDefault="0073367E" w:rsidP="0073367E">
      <w:pPr>
        <w:pStyle w:val="ManualNumPar1"/>
        <w:rPr>
          <w:noProof/>
        </w:rPr>
      </w:pPr>
      <w:r w:rsidRPr="0073367E">
        <w:t>5.</w:t>
      </w:r>
      <w:r w:rsidRPr="0073367E">
        <w:tab/>
      </w:r>
      <w:r w:rsidR="5AAF81E4" w:rsidRPr="00D96C74">
        <w:rPr>
          <w:noProof/>
        </w:rPr>
        <w:t>Statele membre se asigură că producătorii de produse textile, asociate textilelor și de încălțăminte aflate pe lista din anexa IVc acoperă costurile menționate la alineatul (</w:t>
      </w:r>
      <w:r w:rsidR="5AAF81E4" w:rsidRPr="00D020C3">
        <w:rPr>
          <w:noProof/>
        </w:rPr>
        <w:t>4</w:t>
      </w:r>
      <w:r w:rsidR="5AAF81E4" w:rsidRPr="00D96C74">
        <w:rPr>
          <w:noProof/>
        </w:rPr>
        <w:t>) al prezentului articol în ceea ce privește produsele textile, asociate textilelor și de încălțăminte uzate și care au calitatea de deșeu enumerate în anexa IVc care sunt depozitate la punctele de colectare înființate în conformitate cu articolul </w:t>
      </w:r>
      <w:r w:rsidR="5AAF81E4" w:rsidRPr="00D020C3">
        <w:rPr>
          <w:noProof/>
        </w:rPr>
        <w:t>22</w:t>
      </w:r>
      <w:r w:rsidR="5AAF81E4" w:rsidRPr="00D96C74">
        <w:rPr>
          <w:noProof/>
        </w:rPr>
        <w:t>c alineatele (</w:t>
      </w:r>
      <w:r w:rsidR="5AAF81E4" w:rsidRPr="00D020C3">
        <w:rPr>
          <w:noProof/>
        </w:rPr>
        <w:t>5</w:t>
      </w:r>
      <w:r w:rsidR="5AAF81E4" w:rsidRPr="00D96C74">
        <w:rPr>
          <w:noProof/>
        </w:rPr>
        <w:t>) și (</w:t>
      </w:r>
      <w:r w:rsidR="5AAF81E4" w:rsidRPr="00D020C3">
        <w:rPr>
          <w:noProof/>
        </w:rPr>
        <w:t>11</w:t>
      </w:r>
      <w:r w:rsidR="5AAF81E4" w:rsidRPr="00D96C74">
        <w:rPr>
          <w:noProof/>
        </w:rPr>
        <w:t>), în cazul în care aceste produse au fost puse la dispoziție pe piață pentru prima dată pe teritoriul unui stat membru după [</w:t>
      </w:r>
      <w:r w:rsidR="5AAF81E4" w:rsidRPr="008D4D1E">
        <w:rPr>
          <w:i/>
          <w:noProof/>
        </w:rPr>
        <w:t>O.P. a se introduce data intrării în vigoare a prezentei directive de modificare</w:t>
      </w:r>
      <w:r w:rsidR="5AAF81E4" w:rsidRPr="00D96C74">
        <w:rPr>
          <w:noProof/>
        </w:rPr>
        <w:t xml:space="preserve">]. </w:t>
      </w:r>
    </w:p>
    <w:p w14:paraId="20A377A2" w14:textId="5D58C159" w:rsidR="00817D9C" w:rsidRPr="00D96C74" w:rsidRDefault="0073367E" w:rsidP="0073367E">
      <w:pPr>
        <w:pStyle w:val="ManualNumPar1"/>
        <w:rPr>
          <w:noProof/>
        </w:rPr>
      </w:pPr>
      <w:r w:rsidRPr="0073367E">
        <w:t>6.</w:t>
      </w:r>
      <w:r w:rsidRPr="0073367E">
        <w:tab/>
      </w:r>
      <w:r w:rsidR="00817D9C" w:rsidRPr="00D96C74">
        <w:rPr>
          <w:noProof/>
        </w:rPr>
        <w:t>Costurile care urmează să fie acoperite, menționate la alineatul (</w:t>
      </w:r>
      <w:r w:rsidR="00817D9C" w:rsidRPr="00D020C3">
        <w:rPr>
          <w:noProof/>
        </w:rPr>
        <w:t>4</w:t>
      </w:r>
      <w:r w:rsidR="00817D9C" w:rsidRPr="00D96C74">
        <w:rPr>
          <w:noProof/>
        </w:rPr>
        <w:t>), nu depășesc costurile necesare prestării serviciilor menționate la alineatul respectiv într-un mod eficient din punctul de vedere al costurilor și sunt convenite în mod transparent între actorii vizați.</w:t>
      </w:r>
    </w:p>
    <w:p w14:paraId="3A3139E6" w14:textId="52107B58" w:rsidR="00817D9C" w:rsidRPr="00D96C74" w:rsidRDefault="0073367E" w:rsidP="0073367E">
      <w:pPr>
        <w:pStyle w:val="ManualNumPar1"/>
        <w:rPr>
          <w:noProof/>
        </w:rPr>
      </w:pPr>
      <w:r w:rsidRPr="0073367E">
        <w:t>7.</w:t>
      </w:r>
      <w:r w:rsidRPr="0073367E">
        <w:tab/>
      </w:r>
      <w:r w:rsidR="00F339F4" w:rsidRPr="00D96C74">
        <w:rPr>
          <w:noProof/>
        </w:rPr>
        <w:t>În scopul respectării articolul </w:t>
      </w:r>
      <w:r w:rsidR="00F339F4" w:rsidRPr="00D020C3">
        <w:rPr>
          <w:noProof/>
        </w:rPr>
        <w:t>30</w:t>
      </w:r>
      <w:r w:rsidR="00F339F4" w:rsidRPr="00D96C74">
        <w:rPr>
          <w:noProof/>
        </w:rPr>
        <w:t xml:space="preserve"> alineatul (</w:t>
      </w:r>
      <w:r w:rsidR="00F339F4" w:rsidRPr="00D020C3">
        <w:rPr>
          <w:noProof/>
        </w:rPr>
        <w:t>1</w:t>
      </w:r>
      <w:r w:rsidR="00F339F4" w:rsidRPr="00D96C74">
        <w:rPr>
          <w:noProof/>
        </w:rPr>
        <w:t xml:space="preserve">) literele (d) și (e) din Regulamentul (UE) </w:t>
      </w:r>
      <w:r w:rsidR="00F339F4" w:rsidRPr="00D020C3">
        <w:rPr>
          <w:noProof/>
        </w:rPr>
        <w:t>2022</w:t>
      </w:r>
      <w:r w:rsidR="00F339F4" w:rsidRPr="00D96C74">
        <w:rPr>
          <w:noProof/>
        </w:rPr>
        <w:t>/</w:t>
      </w:r>
      <w:r w:rsidR="00F339F4" w:rsidRPr="00D020C3">
        <w:rPr>
          <w:noProof/>
        </w:rPr>
        <w:t>2065</w:t>
      </w:r>
      <w:r w:rsidR="00F339F4" w:rsidRPr="00D96C74">
        <w:rPr>
          <w:noProof/>
        </w:rPr>
        <w:t xml:space="preserve">, statele membre se asigură că furnizorii de platforme online care intră sub incidența capitolului </w:t>
      </w:r>
      <w:r w:rsidR="00F339F4" w:rsidRPr="00D020C3">
        <w:rPr>
          <w:noProof/>
        </w:rPr>
        <w:t>3</w:t>
      </w:r>
      <w:r w:rsidR="00F339F4" w:rsidRPr="00D96C74">
        <w:rPr>
          <w:noProof/>
        </w:rPr>
        <w:t xml:space="preserve"> secțiunea </w:t>
      </w:r>
      <w:r w:rsidR="00F339F4" w:rsidRPr="00D020C3">
        <w:rPr>
          <w:noProof/>
        </w:rPr>
        <w:t>4</w:t>
      </w:r>
      <w:r w:rsidR="00F339F4" w:rsidRPr="00D96C74">
        <w:rPr>
          <w:noProof/>
        </w:rPr>
        <w:t xml:space="preserve"> din regulamentul respectiv și care permit consumatorilor să încheie contracte la distanță cu producători care oferă consumatorilor situați în Uniune produse textile, asociate textilelor și de încălțăminte aflate pe lista din anexa IVc obțin următoarele informații de la producători:</w:t>
      </w:r>
    </w:p>
    <w:p w14:paraId="0D87014D" w14:textId="2FCFCDA2" w:rsidR="00817D9C" w:rsidRPr="00D96C74" w:rsidRDefault="0073367E" w:rsidP="0073367E">
      <w:pPr>
        <w:pStyle w:val="Point1"/>
        <w:rPr>
          <w:noProof/>
        </w:rPr>
      </w:pPr>
      <w:r w:rsidRPr="0073367E">
        <w:t>(a)</w:t>
      </w:r>
      <w:r w:rsidRPr="0073367E">
        <w:tab/>
      </w:r>
      <w:r w:rsidR="00817D9C" w:rsidRPr="00D96C74">
        <w:rPr>
          <w:noProof/>
        </w:rPr>
        <w:t>informații privind înregistrarea în registrul producătorilor menționat la articolul </w:t>
      </w:r>
      <w:r w:rsidR="00817D9C" w:rsidRPr="00D020C3">
        <w:rPr>
          <w:noProof/>
        </w:rPr>
        <w:t>22</w:t>
      </w:r>
      <w:r w:rsidR="00817D9C" w:rsidRPr="00D96C74">
        <w:rPr>
          <w:noProof/>
        </w:rPr>
        <w:t>b în statul membru în care se află consumatorul și numărul (numerele) de înregistrare al(e) producătorului în registrul respectiv;</w:t>
      </w:r>
    </w:p>
    <w:p w14:paraId="0F49AB29" w14:textId="18F5FBF6" w:rsidR="00817D9C" w:rsidRPr="00D96C74" w:rsidRDefault="0073367E" w:rsidP="0073367E">
      <w:pPr>
        <w:pStyle w:val="Point1"/>
        <w:rPr>
          <w:noProof/>
        </w:rPr>
      </w:pPr>
      <w:r w:rsidRPr="0073367E">
        <w:t>(b)</w:t>
      </w:r>
      <w:r w:rsidRPr="0073367E">
        <w:tab/>
      </w:r>
      <w:r w:rsidR="00817D9C" w:rsidRPr="00D96C74">
        <w:rPr>
          <w:noProof/>
        </w:rPr>
        <w:t>o autocertificare din partea producătorului prin care acesta se angajează să furnizeze numai produse textile, asociate textilelor și de încălțăminte aflate pe lista din anexa IVc, cu privire la care cerințele privind răspunderea extinsă a producătorilor menționate la alineatele (</w:t>
      </w:r>
      <w:r w:rsidR="00817D9C" w:rsidRPr="00D020C3">
        <w:rPr>
          <w:noProof/>
        </w:rPr>
        <w:t>1</w:t>
      </w:r>
      <w:r w:rsidR="00817D9C" w:rsidRPr="00D96C74">
        <w:rPr>
          <w:noProof/>
        </w:rPr>
        <w:t>) și (</w:t>
      </w:r>
      <w:r w:rsidR="00817D9C" w:rsidRPr="00D020C3">
        <w:rPr>
          <w:noProof/>
        </w:rPr>
        <w:t>4</w:t>
      </w:r>
      <w:r w:rsidR="00817D9C" w:rsidRPr="00D96C74">
        <w:rPr>
          <w:noProof/>
        </w:rPr>
        <w:t>) ale prezentului articol și la articolul </w:t>
      </w:r>
      <w:r w:rsidR="00817D9C" w:rsidRPr="00D020C3">
        <w:rPr>
          <w:noProof/>
        </w:rPr>
        <w:t>22</w:t>
      </w:r>
      <w:r w:rsidR="00817D9C" w:rsidRPr="00D96C74">
        <w:rPr>
          <w:noProof/>
        </w:rPr>
        <w:t>c alineatul (</w:t>
      </w:r>
      <w:r w:rsidR="00817D9C" w:rsidRPr="00D020C3">
        <w:rPr>
          <w:noProof/>
        </w:rPr>
        <w:t>1</w:t>
      </w:r>
      <w:r w:rsidR="00817D9C" w:rsidRPr="00D96C74">
        <w:rPr>
          <w:noProof/>
        </w:rPr>
        <w:t>) sunt respectate în statul membru în care se află consumatorul.</w:t>
      </w:r>
    </w:p>
    <w:p w14:paraId="1838029D" w14:textId="719C6C5C" w:rsidR="00903645" w:rsidRPr="00D96C74" w:rsidRDefault="0073367E" w:rsidP="0073367E">
      <w:pPr>
        <w:pStyle w:val="ManualNumPar1"/>
        <w:rPr>
          <w:noProof/>
        </w:rPr>
      </w:pPr>
      <w:r w:rsidRPr="0073367E">
        <w:t>8.</w:t>
      </w:r>
      <w:r w:rsidRPr="0073367E">
        <w:tab/>
      </w:r>
      <w:r w:rsidR="74FE92E8" w:rsidRPr="00D96C74">
        <w:rPr>
          <w:noProof/>
        </w:rPr>
        <w:t>Statele membre se asigură că schemele de răspundere extinsă a producătorilor prevăzute la alineatul (</w:t>
      </w:r>
      <w:r w:rsidR="74FE92E8" w:rsidRPr="00D020C3">
        <w:rPr>
          <w:noProof/>
        </w:rPr>
        <w:t>1</w:t>
      </w:r>
      <w:r w:rsidR="74FE92E8" w:rsidRPr="00D96C74">
        <w:rPr>
          <w:noProof/>
        </w:rPr>
        <w:t xml:space="preserve">) al prezentului articol sunt instituite până la [O.P. a se introduce data: treizeci de luni de la intrarea în vigoare a prezentei directive de modificare] în conformitate cu articolele </w:t>
      </w:r>
      <w:r w:rsidR="74FE92E8" w:rsidRPr="00D020C3">
        <w:rPr>
          <w:noProof/>
        </w:rPr>
        <w:t>8</w:t>
      </w:r>
      <w:r w:rsidR="74FE92E8" w:rsidRPr="00D96C74">
        <w:rPr>
          <w:noProof/>
        </w:rPr>
        <w:t xml:space="preserve">, </w:t>
      </w:r>
      <w:r w:rsidR="74FE92E8" w:rsidRPr="00D020C3">
        <w:rPr>
          <w:noProof/>
        </w:rPr>
        <w:t>8</w:t>
      </w:r>
      <w:r w:rsidR="74FE92E8" w:rsidRPr="00D96C74">
        <w:rPr>
          <w:noProof/>
        </w:rPr>
        <w:t xml:space="preserve">a și </w:t>
      </w:r>
      <w:r w:rsidR="74FE92E8" w:rsidRPr="00D020C3">
        <w:rPr>
          <w:noProof/>
        </w:rPr>
        <w:t>22</w:t>
      </w:r>
      <w:r w:rsidR="74FE92E8" w:rsidRPr="00D96C74">
        <w:rPr>
          <w:noProof/>
        </w:rPr>
        <w:t>a-</w:t>
      </w:r>
      <w:r w:rsidR="74FE92E8" w:rsidRPr="00D020C3">
        <w:rPr>
          <w:noProof/>
        </w:rPr>
        <w:t>22</w:t>
      </w:r>
      <w:r w:rsidR="74FE92E8" w:rsidRPr="00D96C74">
        <w:rPr>
          <w:noProof/>
        </w:rPr>
        <w:t xml:space="preserve">d. </w:t>
      </w:r>
    </w:p>
    <w:p w14:paraId="37C8F5C9" w14:textId="77777777" w:rsidR="00903645" w:rsidRPr="008D4D1E" w:rsidRDefault="00903645" w:rsidP="00903645">
      <w:pPr>
        <w:pStyle w:val="Titrearticle"/>
        <w:rPr>
          <w:noProof/>
        </w:rPr>
      </w:pPr>
      <w:r w:rsidRPr="008D4D1E">
        <w:rPr>
          <w:noProof/>
        </w:rPr>
        <w:t>Articolul 22b</w:t>
      </w:r>
    </w:p>
    <w:p w14:paraId="3389F510" w14:textId="77777777" w:rsidR="00903645" w:rsidRPr="00D020C3" w:rsidRDefault="00903645" w:rsidP="072CAFB5">
      <w:pPr>
        <w:pStyle w:val="Titrearticle"/>
        <w:rPr>
          <w:b/>
          <w:bCs/>
          <w:i w:val="0"/>
          <w:noProof/>
        </w:rPr>
      </w:pPr>
      <w:r w:rsidRPr="00D020C3">
        <w:rPr>
          <w:b/>
          <w:i w:val="0"/>
          <w:noProof/>
        </w:rPr>
        <w:t xml:space="preserve">Registrul producătorilor de produse textile, asociate textilelor și de încălțăminte </w:t>
      </w:r>
    </w:p>
    <w:p w14:paraId="4E8B46DF" w14:textId="43641592" w:rsidR="00903645" w:rsidRPr="00D96C74" w:rsidRDefault="0073367E" w:rsidP="0073367E">
      <w:pPr>
        <w:pStyle w:val="ManualNumPar1"/>
        <w:rPr>
          <w:noProof/>
        </w:rPr>
      </w:pPr>
      <w:r w:rsidRPr="0073367E">
        <w:t>1.</w:t>
      </w:r>
      <w:r w:rsidRPr="0073367E">
        <w:tab/>
      </w:r>
      <w:r w:rsidR="00903645" w:rsidRPr="00D96C74">
        <w:rPr>
          <w:noProof/>
        </w:rPr>
        <w:t>Statele membre instituie un registru al producătorilor de produse textile, asociate textilelor și de încălțăminte enumerate în anexa IVc pentru a monitoriza respectarea de către producătorii respectivi a articolului </w:t>
      </w:r>
      <w:r w:rsidR="00903645" w:rsidRPr="00D020C3">
        <w:rPr>
          <w:noProof/>
        </w:rPr>
        <w:t>22</w:t>
      </w:r>
      <w:r w:rsidR="00903645" w:rsidRPr="00D96C74">
        <w:rPr>
          <w:noProof/>
        </w:rPr>
        <w:t xml:space="preserve">a și a articolului </w:t>
      </w:r>
      <w:r w:rsidR="00903645" w:rsidRPr="00D020C3">
        <w:rPr>
          <w:noProof/>
        </w:rPr>
        <w:t>22</w:t>
      </w:r>
      <w:r w:rsidR="00903645" w:rsidRPr="00D96C74">
        <w:rPr>
          <w:noProof/>
        </w:rPr>
        <w:t>c alineatul (</w:t>
      </w:r>
      <w:r w:rsidR="00903645" w:rsidRPr="00D020C3">
        <w:rPr>
          <w:noProof/>
        </w:rPr>
        <w:t>1</w:t>
      </w:r>
      <w:r w:rsidR="00903645" w:rsidRPr="00D96C74">
        <w:rPr>
          <w:noProof/>
        </w:rPr>
        <w:t>).</w:t>
      </w:r>
    </w:p>
    <w:p w14:paraId="0A78FEC9" w14:textId="62FF843F" w:rsidR="00D20AE4" w:rsidRPr="00D96C74" w:rsidRDefault="00D20AE4" w:rsidP="00D20AE4">
      <w:pPr>
        <w:pStyle w:val="Text1"/>
        <w:rPr>
          <w:noProof/>
        </w:rPr>
      </w:pPr>
      <w:r w:rsidRPr="00D96C74">
        <w:rPr>
          <w:noProof/>
        </w:rPr>
        <w:t>Statele membre se asigură că registrul conține linkuri către alte registre naționale pentru a facilita înregistrarea producătorilor în toate statele membre.</w:t>
      </w:r>
    </w:p>
    <w:p w14:paraId="502AAD9B" w14:textId="74FA5A38" w:rsidR="00903645" w:rsidRPr="00D96C74" w:rsidRDefault="0073367E" w:rsidP="0073367E">
      <w:pPr>
        <w:pStyle w:val="ManualNumPar1"/>
        <w:rPr>
          <w:noProof/>
        </w:rPr>
      </w:pPr>
      <w:r w:rsidRPr="0073367E">
        <w:t>2.</w:t>
      </w:r>
      <w:r w:rsidRPr="0073367E">
        <w:tab/>
      </w:r>
      <w:r w:rsidR="710BDEF8" w:rsidRPr="00D96C74">
        <w:rPr>
          <w:noProof/>
        </w:rPr>
        <w:t>Statele membre se asigură că producătorii sunt obligați să se înregistreze în registrul menționat la alineatul (</w:t>
      </w:r>
      <w:r w:rsidR="710BDEF8" w:rsidRPr="00D020C3">
        <w:rPr>
          <w:noProof/>
        </w:rPr>
        <w:t>1</w:t>
      </w:r>
      <w:r w:rsidR="710BDEF8" w:rsidRPr="00D96C74">
        <w:rPr>
          <w:noProof/>
        </w:rPr>
        <w:t>). În acest scop, statele membre solicită producătorilor să depună o cerere de înregistrare în fiecare stat membru în care pun la dispoziție pe piață pentru prima dată produsele textile, asociate textilelor și de încălțăminte enumerate în anexa IVc.</w:t>
      </w:r>
    </w:p>
    <w:p w14:paraId="1052EFEC" w14:textId="63FCD167" w:rsidR="00903645" w:rsidRPr="00D96C74" w:rsidRDefault="0073367E" w:rsidP="0073367E">
      <w:pPr>
        <w:pStyle w:val="ManualNumPar1"/>
        <w:rPr>
          <w:noProof/>
        </w:rPr>
      </w:pPr>
      <w:r w:rsidRPr="0073367E">
        <w:t>3.</w:t>
      </w:r>
      <w:r w:rsidRPr="0073367E">
        <w:tab/>
      </w:r>
      <w:r w:rsidR="42BDF21A" w:rsidRPr="00D96C74">
        <w:rPr>
          <w:noProof/>
        </w:rPr>
        <w:t>Statele membre permit producătorilor să pună la dispoziție pe piață pentru prima dată pe teritoriul lor produse textile, asociate textilelor și de încălțăminte aflate pe lista din anexa IVc numai dacă aceștia sau, în cazul autorizării, reprezentanții lor autorizați pentru răspunderea extinsă a producătorilor sunt înregistrați în statul membru respectiv.</w:t>
      </w:r>
    </w:p>
    <w:p w14:paraId="58CAF7B1" w14:textId="236E92A7" w:rsidR="00903645" w:rsidRPr="00D96C74" w:rsidRDefault="0073367E" w:rsidP="0073367E">
      <w:pPr>
        <w:pStyle w:val="ManualNumPar1"/>
        <w:rPr>
          <w:noProof/>
        </w:rPr>
      </w:pPr>
      <w:r w:rsidRPr="0073367E">
        <w:t>4.</w:t>
      </w:r>
      <w:r w:rsidRPr="0073367E">
        <w:tab/>
      </w:r>
      <w:r w:rsidR="00903645" w:rsidRPr="00D96C74">
        <w:rPr>
          <w:noProof/>
        </w:rPr>
        <w:t>Cererea de înregistrare conține următoarele informații:</w:t>
      </w:r>
    </w:p>
    <w:p w14:paraId="7D8D1BA9" w14:textId="35DABC17" w:rsidR="00903645" w:rsidRPr="00D96C74" w:rsidRDefault="0073367E" w:rsidP="0073367E">
      <w:pPr>
        <w:pStyle w:val="Point1"/>
        <w:rPr>
          <w:noProof/>
        </w:rPr>
      </w:pPr>
      <w:r w:rsidRPr="0073367E">
        <w:t>(a)</w:t>
      </w:r>
      <w:r w:rsidRPr="0073367E">
        <w:tab/>
      </w:r>
      <w:r w:rsidR="00CD36C6" w:rsidRPr="00D96C74">
        <w:rPr>
          <w:noProof/>
        </w:rPr>
        <w:t>numele, marca și denumirile comerciale, dacă sunt disponibile, sub care producătorul își desfășoară activitatea în statul membru și adresa producătorului, care cuprinde codul poștal și localitatea, strada și numărul, țara, numărul de telefon dacă este cazul, adresa de internet și adresa de e-mail, indicând un punct de contact unic;</w:t>
      </w:r>
    </w:p>
    <w:p w14:paraId="296B24D9" w14:textId="4C56B7EC" w:rsidR="00903645" w:rsidRPr="00D96C74" w:rsidRDefault="0073367E" w:rsidP="0073367E">
      <w:pPr>
        <w:pStyle w:val="Point1"/>
        <w:rPr>
          <w:noProof/>
        </w:rPr>
      </w:pPr>
      <w:r w:rsidRPr="0073367E">
        <w:t>(b)</w:t>
      </w:r>
      <w:r w:rsidRPr="0073367E">
        <w:tab/>
      </w:r>
      <w:r w:rsidR="00903645" w:rsidRPr="00D96C74">
        <w:rPr>
          <w:noProof/>
        </w:rPr>
        <w:t>codul național de identificare al producătorului, inclusiv numărul din registrul comerțului sau numărul de înregistrare oficial echivalent, și numărul de identificare fiscală la nivelul Uniunii sau la nivel național;</w:t>
      </w:r>
    </w:p>
    <w:p w14:paraId="0E715574" w14:textId="5677C894" w:rsidR="00903645" w:rsidRPr="00D96C74" w:rsidRDefault="0073367E" w:rsidP="0073367E">
      <w:pPr>
        <w:pStyle w:val="Point1"/>
        <w:rPr>
          <w:noProof/>
        </w:rPr>
      </w:pPr>
      <w:r w:rsidRPr="0073367E">
        <w:t>(c)</w:t>
      </w:r>
      <w:r w:rsidRPr="0073367E">
        <w:tab/>
      </w:r>
      <w:r w:rsidR="00903645" w:rsidRPr="00D96C74">
        <w:rPr>
          <w:noProof/>
        </w:rPr>
        <w:t>codurile din Nomenclatura combinată ale produselor textile, asociate textilelor și de încălțăminte aflate pe lista din anexa IVc pe care producătorul intenționează să le pună la dispoziție pe piață pentru prima dată pe teritoriul statului membru respectiv;</w:t>
      </w:r>
    </w:p>
    <w:p w14:paraId="2CE7F498" w14:textId="0097B141" w:rsidR="00903645" w:rsidRPr="00D96C74" w:rsidRDefault="0073367E" w:rsidP="0073367E">
      <w:pPr>
        <w:pStyle w:val="Point1"/>
        <w:rPr>
          <w:noProof/>
        </w:rPr>
      </w:pPr>
      <w:r w:rsidRPr="0073367E">
        <w:t>(d)</w:t>
      </w:r>
      <w:r w:rsidRPr="0073367E">
        <w:tab/>
      </w:r>
      <w:r w:rsidR="00903645" w:rsidRPr="00D96C74">
        <w:rPr>
          <w:noProof/>
        </w:rPr>
        <w:t>numele, codul poștal, localitatea, strada și numărul, țara, numărul de telefon, adresa de internet, adresa de e-mail și codul național de identificare al organizației care implementează răspunderea extinsă a producătorului, numărul din registrul comerțului sau un număr de înregistrare oficial echivalent, numărul de identificare fiscală la nivelul Uniunii sau la nivel național al organizației care implementează răspunderea extinsă a producătorului și mandatul producătorului reprezentat;</w:t>
      </w:r>
    </w:p>
    <w:p w14:paraId="599F4090" w14:textId="1BEA24EF" w:rsidR="00903645" w:rsidRPr="00D96C74" w:rsidRDefault="0073367E" w:rsidP="0073367E">
      <w:pPr>
        <w:pStyle w:val="Point1"/>
        <w:rPr>
          <w:noProof/>
        </w:rPr>
      </w:pPr>
      <w:r w:rsidRPr="0073367E">
        <w:t>(e)</w:t>
      </w:r>
      <w:r w:rsidRPr="0073367E">
        <w:tab/>
      </w:r>
      <w:r w:rsidR="00903645" w:rsidRPr="00D96C74">
        <w:rPr>
          <w:noProof/>
        </w:rPr>
        <w:t xml:space="preserve">o declarație a producătorului sau a organizației care implementează răspunderea extinsă a producătorului, care să ateste că informațiile furnizate sunt adevărate. </w:t>
      </w:r>
    </w:p>
    <w:p w14:paraId="4D7CA9E1" w14:textId="083CB4A0" w:rsidR="00903645" w:rsidRPr="00D96C74" w:rsidRDefault="0073367E" w:rsidP="0073367E">
      <w:pPr>
        <w:pStyle w:val="ManualNumPar1"/>
        <w:rPr>
          <w:noProof/>
        </w:rPr>
      </w:pPr>
      <w:r w:rsidRPr="0073367E">
        <w:t>5.</w:t>
      </w:r>
      <w:r w:rsidRPr="0073367E">
        <w:tab/>
      </w:r>
      <w:r w:rsidR="03923761" w:rsidRPr="00D96C74">
        <w:rPr>
          <w:noProof/>
        </w:rPr>
        <w:t>Statele membre se asigură că obligațiile prevăzute la prezentul articol pot fi îndeplinite, în numele producătorului, de o organizație care implementează răspunderea extinsă a producătorului.</w:t>
      </w:r>
    </w:p>
    <w:p w14:paraId="20B76C15" w14:textId="77777777" w:rsidR="00CD36C6" w:rsidRPr="00D96C74" w:rsidRDefault="00903645" w:rsidP="00CD36C6">
      <w:pPr>
        <w:pStyle w:val="Text1"/>
        <w:rPr>
          <w:noProof/>
        </w:rPr>
      </w:pPr>
      <w:r w:rsidRPr="00D96C74">
        <w:rPr>
          <w:noProof/>
        </w:rPr>
        <w:t xml:space="preserve">În cazul în care un producător a desemnat o organizație care implementează răspunderea extinsă a producătorului, organizația respectivă îndeplinește </w:t>
      </w:r>
      <w:r w:rsidRPr="008D4D1E">
        <w:rPr>
          <w:i/>
          <w:noProof/>
        </w:rPr>
        <w:t>mutatis mutandis</w:t>
      </w:r>
      <w:r w:rsidRPr="00D96C74">
        <w:rPr>
          <w:noProof/>
        </w:rPr>
        <w:t xml:space="preserve"> obligațiile prevăzute la prezentul articol, cu excepția cazului în care statul membru prevede altfel. </w:t>
      </w:r>
    </w:p>
    <w:p w14:paraId="428E0736" w14:textId="59937001" w:rsidR="00903645" w:rsidRPr="00D96C74" w:rsidRDefault="0073367E" w:rsidP="0073367E">
      <w:pPr>
        <w:pStyle w:val="ManualNumPar1"/>
        <w:rPr>
          <w:noProof/>
        </w:rPr>
      </w:pPr>
      <w:r w:rsidRPr="0073367E">
        <w:t>6.</w:t>
      </w:r>
      <w:r w:rsidRPr="0073367E">
        <w:tab/>
      </w:r>
      <w:r w:rsidR="006C29AD" w:rsidRPr="00D96C74">
        <w:rPr>
          <w:noProof/>
        </w:rPr>
        <w:t>Statele membre se asigură că autoritatea competentă:</w:t>
      </w:r>
    </w:p>
    <w:p w14:paraId="5DB780BA" w14:textId="32E01507" w:rsidR="00903645" w:rsidRPr="00D96C74" w:rsidRDefault="0073367E" w:rsidP="0073367E">
      <w:pPr>
        <w:pStyle w:val="Point1"/>
        <w:rPr>
          <w:noProof/>
        </w:rPr>
      </w:pPr>
      <w:r w:rsidRPr="0073367E">
        <w:t>(a)</w:t>
      </w:r>
      <w:r w:rsidRPr="0073367E">
        <w:tab/>
      </w:r>
      <w:r w:rsidR="00903645" w:rsidRPr="00D96C74">
        <w:rPr>
          <w:noProof/>
        </w:rPr>
        <w:t>primește cererile de înregistrare ale producătorilor menționate la alineatul (</w:t>
      </w:r>
      <w:r w:rsidR="00903645" w:rsidRPr="00D020C3">
        <w:rPr>
          <w:noProof/>
        </w:rPr>
        <w:t>2</w:t>
      </w:r>
      <w:r w:rsidR="00903645" w:rsidRPr="00D96C74">
        <w:rPr>
          <w:noProof/>
        </w:rPr>
        <w:t>) printr-un sistem electronic de prelucrare a datelor, iar detaliile cererilor respective sunt puse la dispoziție pe site-ul autorităților competente;</w:t>
      </w:r>
    </w:p>
    <w:p w14:paraId="63D23ECD" w14:textId="5A2E076F" w:rsidR="00903645" w:rsidRPr="00D96C74" w:rsidRDefault="0073367E" w:rsidP="0073367E">
      <w:pPr>
        <w:pStyle w:val="Point1"/>
        <w:rPr>
          <w:noProof/>
        </w:rPr>
      </w:pPr>
      <w:r w:rsidRPr="0073367E">
        <w:t>(b)</w:t>
      </w:r>
      <w:r w:rsidRPr="0073367E">
        <w:tab/>
      </w:r>
      <w:r w:rsidR="00903645" w:rsidRPr="00D96C74">
        <w:rPr>
          <w:noProof/>
        </w:rPr>
        <w:t xml:space="preserve">aprobă înregistrările și transmite un număr de înregistrare în termen de maximum </w:t>
      </w:r>
      <w:r w:rsidR="00903645" w:rsidRPr="00D020C3">
        <w:rPr>
          <w:noProof/>
        </w:rPr>
        <w:t>12</w:t>
      </w:r>
      <w:r w:rsidR="00903645" w:rsidRPr="00D96C74">
        <w:rPr>
          <w:noProof/>
        </w:rPr>
        <w:t xml:space="preserve"> săptămâni de la data la care sunt furnizate toate informațiile prevăzute la alineatul (</w:t>
      </w:r>
      <w:r w:rsidR="00903645" w:rsidRPr="00D020C3">
        <w:rPr>
          <w:noProof/>
        </w:rPr>
        <w:t>4</w:t>
      </w:r>
      <w:r w:rsidR="00903645" w:rsidRPr="00D96C74">
        <w:rPr>
          <w:noProof/>
        </w:rPr>
        <w:t xml:space="preserve">); </w:t>
      </w:r>
    </w:p>
    <w:p w14:paraId="13C03982" w14:textId="4BDF8CEC" w:rsidR="00903645" w:rsidRPr="00D96C74" w:rsidRDefault="0073367E" w:rsidP="0073367E">
      <w:pPr>
        <w:pStyle w:val="Point1"/>
        <w:rPr>
          <w:noProof/>
        </w:rPr>
      </w:pPr>
      <w:r w:rsidRPr="0073367E">
        <w:t>(c)</w:t>
      </w:r>
      <w:r w:rsidRPr="0073367E">
        <w:tab/>
      </w:r>
      <w:r w:rsidR="00903645" w:rsidRPr="00D96C74">
        <w:rPr>
          <w:noProof/>
        </w:rPr>
        <w:t>poate stabili mecanisme detaliate privind cerințele și procesul de înregistrare, fără să adauge cerințe de fond suplimentare celor prevăzute la alineatul (</w:t>
      </w:r>
      <w:r w:rsidR="00903645" w:rsidRPr="00D020C3">
        <w:rPr>
          <w:noProof/>
        </w:rPr>
        <w:t>4</w:t>
      </w:r>
      <w:r w:rsidR="00903645" w:rsidRPr="00D96C74">
        <w:rPr>
          <w:noProof/>
        </w:rPr>
        <w:t xml:space="preserve">); </w:t>
      </w:r>
    </w:p>
    <w:p w14:paraId="506AED71" w14:textId="0B04A2A0" w:rsidR="00903645" w:rsidRPr="00D96C74" w:rsidRDefault="0073367E" w:rsidP="0073367E">
      <w:pPr>
        <w:pStyle w:val="Point1"/>
        <w:rPr>
          <w:noProof/>
        </w:rPr>
      </w:pPr>
      <w:r w:rsidRPr="0073367E">
        <w:t>(d)</w:t>
      </w:r>
      <w:r w:rsidRPr="0073367E">
        <w:tab/>
      </w:r>
      <w:r w:rsidR="00903645" w:rsidRPr="00D96C74">
        <w:rPr>
          <w:noProof/>
        </w:rPr>
        <w:t>poate percepe de la producători taxe bazate pe costuri și proporționale pentru prelucrarea cererilor menționate la alineatul (</w:t>
      </w:r>
      <w:r w:rsidR="00903645" w:rsidRPr="00D020C3">
        <w:rPr>
          <w:noProof/>
        </w:rPr>
        <w:t>2</w:t>
      </w:r>
      <w:r w:rsidR="00903645" w:rsidRPr="00D96C74">
        <w:rPr>
          <w:noProof/>
        </w:rPr>
        <w:t>).</w:t>
      </w:r>
    </w:p>
    <w:p w14:paraId="3123F140" w14:textId="19BD3771" w:rsidR="00903645" w:rsidRPr="00D96C74" w:rsidRDefault="0073367E" w:rsidP="0073367E">
      <w:pPr>
        <w:pStyle w:val="ManualNumPar1"/>
        <w:rPr>
          <w:noProof/>
        </w:rPr>
      </w:pPr>
      <w:r w:rsidRPr="0073367E">
        <w:t>7.</w:t>
      </w:r>
      <w:r w:rsidRPr="0073367E">
        <w:tab/>
      </w:r>
      <w:r w:rsidR="1D545014" w:rsidRPr="00D96C74">
        <w:rPr>
          <w:noProof/>
        </w:rPr>
        <w:t>Autoritatea competentă poate să refuze sau să retragă înregistrarea producătorului în cazul în care informațiile menționate la alineatul (</w:t>
      </w:r>
      <w:r w:rsidR="1D545014" w:rsidRPr="00D020C3">
        <w:rPr>
          <w:noProof/>
        </w:rPr>
        <w:t>4</w:t>
      </w:r>
      <w:r w:rsidR="1D545014" w:rsidRPr="00D96C74">
        <w:rPr>
          <w:noProof/>
        </w:rPr>
        <w:t>) și documentele justificative aferente nu sunt furnizate sau nu sunt suficiente ori în cazul în care producătorul nu mai îndeplinește cerințele prevăzute la alineatul (</w:t>
      </w:r>
      <w:r w:rsidR="1D545014" w:rsidRPr="00D020C3">
        <w:rPr>
          <w:noProof/>
        </w:rPr>
        <w:t>4</w:t>
      </w:r>
      <w:r w:rsidR="1D545014" w:rsidRPr="00D96C74">
        <w:rPr>
          <w:noProof/>
        </w:rPr>
        <w:t>) litera (d).</w:t>
      </w:r>
    </w:p>
    <w:p w14:paraId="4AEAFEFD" w14:textId="2E0F3DA9" w:rsidR="00903645" w:rsidRPr="00D96C74" w:rsidRDefault="0073367E" w:rsidP="0073367E">
      <w:pPr>
        <w:pStyle w:val="ManualNumPar1"/>
        <w:rPr>
          <w:noProof/>
        </w:rPr>
      </w:pPr>
      <w:r w:rsidRPr="0073367E">
        <w:t>8.</w:t>
      </w:r>
      <w:r w:rsidRPr="0073367E">
        <w:tab/>
      </w:r>
      <w:r w:rsidR="00F43CEA" w:rsidRPr="00D96C74">
        <w:rPr>
          <w:noProof/>
        </w:rPr>
        <w:t>Statele membre solicită producătorului sau, după caz, organizației care implementează răspunderea extinsă a producătorului să notifice autorității competente, fără întârzieri nejustificate, orice modificare a informațiilor conținute în înregistrare în conformitate cu alineatul (</w:t>
      </w:r>
      <w:r w:rsidR="00F43CEA" w:rsidRPr="00D020C3">
        <w:rPr>
          <w:noProof/>
        </w:rPr>
        <w:t>4</w:t>
      </w:r>
      <w:r w:rsidR="00F43CEA" w:rsidRPr="00D96C74">
        <w:rPr>
          <w:noProof/>
        </w:rPr>
        <w:t>) litera (d) și orice încetare definitivă a punerii la dispoziție pe piață pentru prima dată pe teritoriul statului membru a produselor textile și de încălțăminte menționate în înregistrare. Producătorii a căror existență încetează se exclud din registrul producătorilor.</w:t>
      </w:r>
    </w:p>
    <w:p w14:paraId="3445087A" w14:textId="178D980F" w:rsidR="00903645" w:rsidRPr="00D96C74" w:rsidRDefault="0073367E" w:rsidP="0073367E">
      <w:pPr>
        <w:pStyle w:val="ManualNumPar1"/>
        <w:rPr>
          <w:noProof/>
        </w:rPr>
      </w:pPr>
      <w:r w:rsidRPr="0073367E">
        <w:t>9.</w:t>
      </w:r>
      <w:r w:rsidRPr="0073367E">
        <w:tab/>
      </w:r>
      <w:r w:rsidR="00903645" w:rsidRPr="00D96C74">
        <w:rPr>
          <w:noProof/>
        </w:rPr>
        <w:t>În cazul în care informațiile din registrul producătorilor nu sunt accesibile publicului, statele membre se asigură că furnizorii de platforme online care permit consumatorilor să încheie contracte la distanță cu producătorii au acces gratuit la registru.</w:t>
      </w:r>
    </w:p>
    <w:p w14:paraId="5762FE9F" w14:textId="7B6973D4" w:rsidR="1491732C" w:rsidRPr="00D96C74" w:rsidRDefault="0073367E" w:rsidP="0073367E">
      <w:pPr>
        <w:pStyle w:val="ManualNumPar1"/>
        <w:rPr>
          <w:noProof/>
        </w:rPr>
      </w:pPr>
      <w:r w:rsidRPr="0073367E">
        <w:t>10.</w:t>
      </w:r>
      <w:r w:rsidRPr="0073367E">
        <w:tab/>
      </w:r>
      <w:r w:rsidR="1491732C" w:rsidRPr="00D96C74">
        <w:rPr>
          <w:noProof/>
        </w:rPr>
        <w:t xml:space="preserve">Comisia adoptă acte de punere în aplicare de stabilire a formatului armonizat pentru </w:t>
      </w:r>
      <w:r w:rsidR="1491732C" w:rsidRPr="00D020C3">
        <w:rPr>
          <w:noProof/>
          <w:spacing w:val="-2"/>
        </w:rPr>
        <w:t>înregistrarea în registru pe baza cerințelor privind informațiile prevăzute la alineatul (4)</w:t>
      </w:r>
      <w:r w:rsidR="1491732C" w:rsidRPr="00D96C74">
        <w:rPr>
          <w:noProof/>
        </w:rPr>
        <w:t xml:space="preserve"> din prezentul articol. Aceste acte de punere în aplicare se adoptă în conformitate cu procedura de examinare menționată la articolul </w:t>
      </w:r>
      <w:r w:rsidR="1491732C" w:rsidRPr="00D020C3">
        <w:rPr>
          <w:noProof/>
        </w:rPr>
        <w:t>39</w:t>
      </w:r>
      <w:r w:rsidR="1491732C" w:rsidRPr="00D96C74">
        <w:rPr>
          <w:noProof/>
        </w:rPr>
        <w:t xml:space="preserve"> alineatul (</w:t>
      </w:r>
      <w:r w:rsidR="1491732C" w:rsidRPr="00D020C3">
        <w:rPr>
          <w:noProof/>
        </w:rPr>
        <w:t>2</w:t>
      </w:r>
      <w:r w:rsidR="1491732C" w:rsidRPr="00D96C74">
        <w:rPr>
          <w:noProof/>
        </w:rPr>
        <w:t>).</w:t>
      </w:r>
    </w:p>
    <w:p w14:paraId="0BCEEC7C" w14:textId="77777777" w:rsidR="00AE27BB" w:rsidRPr="008D4D1E" w:rsidRDefault="00AE27BB" w:rsidP="00AE27BB">
      <w:pPr>
        <w:pStyle w:val="Titrearticle"/>
        <w:rPr>
          <w:noProof/>
        </w:rPr>
      </w:pPr>
      <w:r w:rsidRPr="008D4D1E">
        <w:rPr>
          <w:noProof/>
        </w:rPr>
        <w:t>Articolul 22c</w:t>
      </w:r>
    </w:p>
    <w:p w14:paraId="1C5318E8" w14:textId="77777777" w:rsidR="00AE27BB" w:rsidRPr="00D020C3" w:rsidRDefault="00AE27BB" w:rsidP="00AE27BB">
      <w:pPr>
        <w:pStyle w:val="Titrearticle"/>
        <w:rPr>
          <w:b/>
          <w:bCs/>
          <w:i w:val="0"/>
          <w:iCs/>
          <w:noProof/>
        </w:rPr>
      </w:pPr>
      <w:r w:rsidRPr="00D020C3">
        <w:rPr>
          <w:b/>
          <w:i w:val="0"/>
          <w:noProof/>
        </w:rPr>
        <w:t>Organizațiile care implementează răspunderea extinsă a producătorului în domeniul textilelor</w:t>
      </w:r>
    </w:p>
    <w:p w14:paraId="3AEF372D" w14:textId="088BEF56" w:rsidR="00AE27BB" w:rsidRPr="00D96C74" w:rsidRDefault="0073367E" w:rsidP="0073367E">
      <w:pPr>
        <w:pStyle w:val="ManualNumPar1"/>
        <w:rPr>
          <w:noProof/>
        </w:rPr>
      </w:pPr>
      <w:r w:rsidRPr="0073367E">
        <w:t>1.</w:t>
      </w:r>
      <w:r w:rsidRPr="0073367E">
        <w:tab/>
      </w:r>
      <w:r w:rsidR="00AE27BB" w:rsidRPr="00D96C74">
        <w:rPr>
          <w:noProof/>
        </w:rPr>
        <w:t>Statele membre se asigură că producătorii de produse textile, asociate textilelor și de încălțăminte aflate pe lista din anexa IVc desemnează o organizație care implementează răspunderea extinsă a producătorului care să îndeplinească în numele lor obligațiile în materie de răspundere extinsă a producătorului prevăzute la articolul </w:t>
      </w:r>
      <w:r w:rsidR="00AE27BB" w:rsidRPr="00D020C3">
        <w:rPr>
          <w:noProof/>
        </w:rPr>
        <w:t>22</w:t>
      </w:r>
      <w:r w:rsidR="00AE27BB" w:rsidRPr="00D96C74">
        <w:rPr>
          <w:noProof/>
        </w:rPr>
        <w:t xml:space="preserve">a. </w:t>
      </w:r>
    </w:p>
    <w:p w14:paraId="06248A59" w14:textId="41E4FB5D" w:rsidR="00AE27BB" w:rsidRPr="00D96C74" w:rsidRDefault="0073367E" w:rsidP="0073367E">
      <w:pPr>
        <w:pStyle w:val="ManualNumPar1"/>
        <w:rPr>
          <w:noProof/>
        </w:rPr>
      </w:pPr>
      <w:r w:rsidRPr="0073367E">
        <w:t>2.</w:t>
      </w:r>
      <w:r w:rsidRPr="0073367E">
        <w:tab/>
      </w:r>
      <w:r w:rsidR="24B348DF" w:rsidRPr="00D96C74">
        <w:rPr>
          <w:noProof/>
        </w:rPr>
        <w:t xml:space="preserve">Statele membre impun organizațiilor care implementează răspunderea extinsă a producătorului și care intenționează să îndeplinească, în numele producătorilor, obligațiile în materie de răspundere extinsă a producătorilor prevăzute la articolul </w:t>
      </w:r>
      <w:r w:rsidR="24B348DF" w:rsidRPr="00D020C3">
        <w:rPr>
          <w:noProof/>
        </w:rPr>
        <w:t>8</w:t>
      </w:r>
      <w:r w:rsidR="24B348DF" w:rsidRPr="00D96C74">
        <w:rPr>
          <w:noProof/>
        </w:rPr>
        <w:t>a alineatul (</w:t>
      </w:r>
      <w:r w:rsidR="24B348DF" w:rsidRPr="00D020C3">
        <w:rPr>
          <w:noProof/>
        </w:rPr>
        <w:t>3</w:t>
      </w:r>
      <w:r w:rsidR="24B348DF" w:rsidRPr="00D96C74">
        <w:rPr>
          <w:noProof/>
        </w:rPr>
        <w:t xml:space="preserve">), la articolul </w:t>
      </w:r>
      <w:r w:rsidR="24B348DF" w:rsidRPr="00D020C3">
        <w:rPr>
          <w:noProof/>
        </w:rPr>
        <w:t>22</w:t>
      </w:r>
      <w:r w:rsidR="24B348DF" w:rsidRPr="00D96C74">
        <w:rPr>
          <w:noProof/>
        </w:rPr>
        <w:t xml:space="preserve">a, la articolul </w:t>
      </w:r>
      <w:r w:rsidR="24B348DF" w:rsidRPr="00D020C3">
        <w:rPr>
          <w:noProof/>
        </w:rPr>
        <w:t>22</w:t>
      </w:r>
      <w:r w:rsidR="24B348DF" w:rsidRPr="00D96C74">
        <w:rPr>
          <w:noProof/>
        </w:rPr>
        <w:t xml:space="preserve">b, la articolul </w:t>
      </w:r>
      <w:r w:rsidR="24B348DF" w:rsidRPr="00D020C3">
        <w:rPr>
          <w:noProof/>
        </w:rPr>
        <w:t>22</w:t>
      </w:r>
      <w:r w:rsidR="24B348DF" w:rsidRPr="00D96C74">
        <w:rPr>
          <w:noProof/>
        </w:rPr>
        <w:t>d și la prezentul articol obligația de a obține o autorizație din partea unei autorități competente.</w:t>
      </w:r>
    </w:p>
    <w:p w14:paraId="42DC395F" w14:textId="1B19A53E" w:rsidR="00AE27BB" w:rsidRPr="00D96C74" w:rsidRDefault="0073367E" w:rsidP="0073367E">
      <w:pPr>
        <w:pStyle w:val="ManualNumPar1"/>
        <w:rPr>
          <w:noProof/>
        </w:rPr>
      </w:pPr>
      <w:r w:rsidRPr="0073367E">
        <w:t>3.</w:t>
      </w:r>
      <w:r w:rsidRPr="0073367E">
        <w:tab/>
      </w:r>
      <w:r w:rsidR="2B8851D6" w:rsidRPr="00D96C74">
        <w:rPr>
          <w:noProof/>
        </w:rPr>
        <w:t xml:space="preserve">Statele membre impun organizațiilor care implementează răspunderea extinsă a producătorului obligația de a se asigura că sumele care le sunt plătite sub formă de contribuții financiare de către producătorii de produse textile, asociate textilelor și de încălțăminte aflate pe lista din anexa IVc: </w:t>
      </w:r>
    </w:p>
    <w:p w14:paraId="1591BE77" w14:textId="115F9667" w:rsidR="00AE27BB" w:rsidRPr="00D96C74" w:rsidRDefault="0073367E" w:rsidP="0073367E">
      <w:pPr>
        <w:pStyle w:val="Point1"/>
        <w:rPr>
          <w:noProof/>
        </w:rPr>
      </w:pPr>
      <w:r w:rsidRPr="0073367E">
        <w:t>(a)</w:t>
      </w:r>
      <w:r w:rsidRPr="0073367E">
        <w:tab/>
      </w:r>
      <w:r w:rsidR="00AE27BB" w:rsidRPr="00D96C74">
        <w:rPr>
          <w:noProof/>
        </w:rPr>
        <w:t xml:space="preserve">se bazează pe greutatea produselor în cauză și, în cazul produselor textile enumerate în partea </w:t>
      </w:r>
      <w:r w:rsidR="00AE27BB" w:rsidRPr="00D020C3">
        <w:rPr>
          <w:noProof/>
        </w:rPr>
        <w:t>1</w:t>
      </w:r>
      <w:r w:rsidR="00AE27BB" w:rsidRPr="00D96C74">
        <w:rPr>
          <w:noProof/>
        </w:rPr>
        <w:t xml:space="preserve"> din anexa IVc, sunt modulate pe baza cerințelor de proiectare ecologică adoptate în temeiul Regulamentului .../... al Parlamentului European și al Consiliului [</w:t>
      </w:r>
      <w:r w:rsidR="00AE27BB" w:rsidRPr="008D4D1E">
        <w:rPr>
          <w:i/>
          <w:noProof/>
        </w:rPr>
        <w:t>O.P. a se introduce numărul de serie al Regulamentului privind proiectarea ecologică a produselor sustenabile, după adoptare</w:t>
      </w:r>
      <w:r w:rsidR="00AE27BB" w:rsidRPr="00D96C74">
        <w:rPr>
          <w:noProof/>
        </w:rPr>
        <w:t>]** care sunt cele mai relevante pentru prevenirea generării de deșeuri textile și pentru tratarea textilelor în conformitate cu ierarhia deșeurilor și cu metodologiile de măsurare corespunzătoare pentru criteriile respective, adoptate în temeiul regulamentului respectiv sau pe baza altor acte legislative ale Uniunii care stabilesc criterii de sustenabilitate și metode de măsurare armonizate pentru produsele textile și care asigură îmbunătățirea sustenabilității din punctul de vedere al mediului și a circularității produselor textile;</w:t>
      </w:r>
    </w:p>
    <w:p w14:paraId="1344A39D" w14:textId="310113C1" w:rsidR="00AE27BB" w:rsidRPr="00D96C74" w:rsidRDefault="0073367E" w:rsidP="0073367E">
      <w:pPr>
        <w:pStyle w:val="Point1"/>
        <w:rPr>
          <w:noProof/>
        </w:rPr>
      </w:pPr>
      <w:r w:rsidRPr="0073367E">
        <w:t>(b)</w:t>
      </w:r>
      <w:r w:rsidRPr="0073367E">
        <w:tab/>
      </w:r>
      <w:r w:rsidR="00AE27BB" w:rsidRPr="00D96C74">
        <w:rPr>
          <w:noProof/>
        </w:rPr>
        <w:t xml:space="preserve">sunt ajustate pentru a ține seama de eventualele venituri obținute de organizațiile care implementează răspunderea extinsă a producătorului în urma reutilizării sau a pregătirii pentru reutilizare sau din valoarea materiilor prime secundare obținute din reciclarea deșeurilor textile; </w:t>
      </w:r>
    </w:p>
    <w:p w14:paraId="4B458358" w14:textId="3DEFBBB6" w:rsidR="00AE27BB" w:rsidRPr="00D96C74" w:rsidRDefault="0073367E" w:rsidP="0073367E">
      <w:pPr>
        <w:pStyle w:val="Point1"/>
        <w:rPr>
          <w:noProof/>
        </w:rPr>
      </w:pPr>
      <w:r w:rsidRPr="0073367E">
        <w:t>(c)</w:t>
      </w:r>
      <w:r w:rsidRPr="0073367E">
        <w:tab/>
      </w:r>
      <w:r w:rsidR="00AE27BB" w:rsidRPr="00D96C74">
        <w:rPr>
          <w:noProof/>
        </w:rPr>
        <w:t>asigură tratamentul egal al producătorilor, indiferent de originea sau dimensiunea lor, fără a impune o sarcină disproporționată producătorilor, inclusiv întreprinderilor mici și mijlocii, care produc cantități mici de produse textile, asociate textilelor și de încălțăminte aflate pe lista din anexa IVc.</w:t>
      </w:r>
    </w:p>
    <w:p w14:paraId="44CCA17B" w14:textId="55767EEA" w:rsidR="00AE27BB" w:rsidRPr="00D96C74" w:rsidRDefault="0073367E" w:rsidP="0073367E">
      <w:pPr>
        <w:pStyle w:val="ManualNumPar1"/>
        <w:rPr>
          <w:noProof/>
        </w:rPr>
      </w:pPr>
      <w:r w:rsidRPr="0073367E">
        <w:t>4.</w:t>
      </w:r>
      <w:r w:rsidRPr="0073367E">
        <w:tab/>
      </w:r>
      <w:r w:rsidR="00AE27BB" w:rsidRPr="00D96C74">
        <w:rPr>
          <w:noProof/>
        </w:rPr>
        <w:t>Dacă este necesar, pentru a evita denaturarea pieței interne și a asigura coerența cu cerințele în materie de proiectare ecologică adoptate în temeiul articolului </w:t>
      </w:r>
      <w:r w:rsidR="00AE27BB" w:rsidRPr="00D020C3">
        <w:rPr>
          <w:noProof/>
        </w:rPr>
        <w:t>4</w:t>
      </w:r>
      <w:r w:rsidR="00AE27BB" w:rsidRPr="00D96C74">
        <w:rPr>
          <w:noProof/>
        </w:rPr>
        <w:t xml:space="preserve"> coroborat cu articolul </w:t>
      </w:r>
      <w:r w:rsidR="00AE27BB" w:rsidRPr="00D020C3">
        <w:rPr>
          <w:noProof/>
        </w:rPr>
        <w:t>5</w:t>
      </w:r>
      <w:r w:rsidR="00AE27BB" w:rsidRPr="00D96C74">
        <w:rPr>
          <w:noProof/>
        </w:rPr>
        <w:t xml:space="preserve"> din Regulamentul.../... [O.P. </w:t>
      </w:r>
      <w:r w:rsidR="00AE27BB" w:rsidRPr="008D4D1E">
        <w:rPr>
          <w:i/>
          <w:noProof/>
        </w:rPr>
        <w:t>a se introduce numărul de serie al Regulamentului privind proiectarea ecologică a produselor sustenabile, după adoptare</w:t>
      </w:r>
      <w:r w:rsidR="00AE27BB" w:rsidRPr="00D96C74">
        <w:rPr>
          <w:noProof/>
        </w:rPr>
        <w:t>], Comisia poate adopta acte de punere în aplicare de stabilire a criteriilor de modulare a taxelor în vederea aplicării alineatului (</w:t>
      </w:r>
      <w:r w:rsidR="00AE27BB" w:rsidRPr="00D020C3">
        <w:rPr>
          <w:noProof/>
        </w:rPr>
        <w:t>3</w:t>
      </w:r>
      <w:r w:rsidR="00AE27BB" w:rsidRPr="00D96C74">
        <w:rPr>
          <w:noProof/>
        </w:rPr>
        <w:t>) litera (a) de la prezentul articol. Aceste acte de punere în aplicare nu vizează stabilirea precisă a nivelului contribuțiilor și se adoptă în conformitate cu procedura de examinare menționată la articolul </w:t>
      </w:r>
      <w:r w:rsidR="00AE27BB" w:rsidRPr="00D020C3">
        <w:rPr>
          <w:noProof/>
        </w:rPr>
        <w:t>39</w:t>
      </w:r>
      <w:r w:rsidR="00AE27BB" w:rsidRPr="00D96C74">
        <w:rPr>
          <w:noProof/>
        </w:rPr>
        <w:t xml:space="preserve"> alineatul (</w:t>
      </w:r>
      <w:r w:rsidR="00AE27BB" w:rsidRPr="00D020C3">
        <w:rPr>
          <w:noProof/>
        </w:rPr>
        <w:t>2</w:t>
      </w:r>
      <w:r w:rsidR="00AE27BB" w:rsidRPr="00D96C74">
        <w:rPr>
          <w:noProof/>
        </w:rPr>
        <w:t xml:space="preserve">) din prezenta directivă. </w:t>
      </w:r>
    </w:p>
    <w:p w14:paraId="795BD5B4" w14:textId="3CEC6F4C" w:rsidR="00AE27BB" w:rsidRPr="00D96C74" w:rsidRDefault="0073367E" w:rsidP="0073367E">
      <w:pPr>
        <w:pStyle w:val="ManualNumPar1"/>
        <w:rPr>
          <w:noProof/>
        </w:rPr>
      </w:pPr>
      <w:r w:rsidRPr="0073367E">
        <w:t>5.</w:t>
      </w:r>
      <w:r w:rsidRPr="0073367E">
        <w:tab/>
      </w:r>
      <w:r w:rsidR="00AE27BB" w:rsidRPr="00D96C74">
        <w:rPr>
          <w:noProof/>
        </w:rPr>
        <w:t>Statele membre se asigură că organizațiile care implementează răspunderea extinsă a producătorului instituie un sistem de colectare separată a produselor textile, asociate textilelor și de încălțăminte uzate și care au calitatea de deșeu aflate pe lista din anexa IVc, indiferent de natura, compoziția materialului, starea, numele, denumirea comercială, marca sau originea acestora, pe teritoriul statului membru pe a cărui piață sunt puse la dispoziție produsele respective pentru prima dată. Sistemul de colectare separată:</w:t>
      </w:r>
    </w:p>
    <w:p w14:paraId="53225B6B" w14:textId="0E5A654A" w:rsidR="00AE27BB" w:rsidRPr="00D96C74" w:rsidRDefault="0073367E" w:rsidP="0073367E">
      <w:pPr>
        <w:pStyle w:val="Point1"/>
        <w:rPr>
          <w:noProof/>
        </w:rPr>
      </w:pPr>
      <w:r w:rsidRPr="0073367E">
        <w:t>(a)</w:t>
      </w:r>
      <w:r w:rsidRPr="0073367E">
        <w:tab/>
      </w:r>
      <w:r w:rsidR="00AE27BB" w:rsidRPr="00D96C74">
        <w:rPr>
          <w:noProof/>
        </w:rPr>
        <w:t>asigură colectarea produselor textile, asociate textilelor și de încălțăminte uzate și care au calitatea de deșeu entităților menționate la alineatul (</w:t>
      </w:r>
      <w:r w:rsidR="00AE27BB" w:rsidRPr="00D020C3">
        <w:rPr>
          <w:noProof/>
        </w:rPr>
        <w:t>6</w:t>
      </w:r>
      <w:r w:rsidR="00AE27BB" w:rsidRPr="00D96C74">
        <w:rPr>
          <w:noProof/>
        </w:rPr>
        <w:t>) litera (a) și prevăd mecanismele practice necesare pentru colectarea și transportul respectivelor produse textile, asociate textilelor și de încălțăminte uzate și care au calitatea de deșeu, inclusiv punerea la dispoziție cu titlu gratuit a unor containere adecvate de colectare și de transport către punctele de colectare conectate („punctele de colectare conectate”);</w:t>
      </w:r>
    </w:p>
    <w:p w14:paraId="6819E99E" w14:textId="2B44ED90" w:rsidR="00AE27BB" w:rsidRPr="00D96C74" w:rsidRDefault="0073367E" w:rsidP="0073367E">
      <w:pPr>
        <w:pStyle w:val="Point1"/>
        <w:rPr>
          <w:noProof/>
        </w:rPr>
      </w:pPr>
      <w:r w:rsidRPr="0073367E">
        <w:t>(b)</w:t>
      </w:r>
      <w:r w:rsidRPr="0073367E">
        <w:tab/>
      </w:r>
      <w:r w:rsidR="00AE27BB" w:rsidRPr="00D96C74">
        <w:rPr>
          <w:noProof/>
        </w:rPr>
        <w:t>asigură, cu titlu gratuit, colectarea la punctele de colectare conectate a acestor produse textile, asociate textilelor și de încălțăminte uzate și care au calitatea de deșeu, cu o frecvență proporțională cu suprafața acoperită și cu volumul respectivelor produse textile și de încălțăminte uzate sau care au calitatea de deșeu colectate în mod obișnuit prin intermediul acestor puncte de colectare;</w:t>
      </w:r>
    </w:p>
    <w:p w14:paraId="452432C2" w14:textId="7EEED3EB" w:rsidR="00AE27BB" w:rsidRPr="00D96C74" w:rsidRDefault="0073367E" w:rsidP="0073367E">
      <w:pPr>
        <w:pStyle w:val="Point1"/>
        <w:rPr>
          <w:noProof/>
        </w:rPr>
      </w:pPr>
      <w:r w:rsidRPr="0073367E">
        <w:t>(c)</w:t>
      </w:r>
      <w:r w:rsidRPr="0073367E">
        <w:tab/>
      </w:r>
      <w:r w:rsidR="00AE27BB" w:rsidRPr="00D96C74">
        <w:rPr>
          <w:noProof/>
        </w:rPr>
        <w:t xml:space="preserve">asigură, cu titlu gratuit, colectarea deșeurilor pe care întreprinderile sociale și alți operatori decât operatorii de gestionare a deșeurilor le generează pornind de la respectivele produse textile, asociate textilelor și de încălțăminte colectate prin punctele de colectare conectate. </w:t>
      </w:r>
    </w:p>
    <w:p w14:paraId="18BC0695" w14:textId="77777777" w:rsidR="0CD8ECB9" w:rsidRPr="00D96C74" w:rsidRDefault="0CD8ECB9" w:rsidP="00F25D30">
      <w:pPr>
        <w:pStyle w:val="Text1"/>
        <w:rPr>
          <w:noProof/>
        </w:rPr>
      </w:pPr>
      <w:r w:rsidRPr="00D96C74">
        <w:rPr>
          <w:noProof/>
        </w:rPr>
        <w:t>Eventuala coordonare între organizațiile care implementează răspunderea extinsă a producătorului face în continuare obiectul normelor Uniunii în materie de concurență.</w:t>
      </w:r>
    </w:p>
    <w:p w14:paraId="00554E43" w14:textId="72E965AF" w:rsidR="00AE27BB" w:rsidRPr="00D96C74" w:rsidRDefault="0073367E" w:rsidP="0073367E">
      <w:pPr>
        <w:pStyle w:val="ManualNumPar1"/>
        <w:rPr>
          <w:noProof/>
        </w:rPr>
      </w:pPr>
      <w:r w:rsidRPr="0073367E">
        <w:t>6.</w:t>
      </w:r>
      <w:r w:rsidRPr="0073367E">
        <w:tab/>
      </w:r>
      <w:r w:rsidR="115B15A6" w:rsidRPr="00D96C74">
        <w:rPr>
          <w:noProof/>
        </w:rPr>
        <w:t>Statele membre se asigură că sistemul de colectare menționat la alineatul (</w:t>
      </w:r>
      <w:r w:rsidR="115B15A6" w:rsidRPr="00D020C3">
        <w:rPr>
          <w:noProof/>
        </w:rPr>
        <w:t>5</w:t>
      </w:r>
      <w:r w:rsidR="115B15A6" w:rsidRPr="00D96C74">
        <w:rPr>
          <w:noProof/>
        </w:rPr>
        <w:t>):</w:t>
      </w:r>
    </w:p>
    <w:p w14:paraId="63A8026E" w14:textId="5368B4B5" w:rsidR="00AE27BB" w:rsidRPr="00D96C74" w:rsidRDefault="0073367E" w:rsidP="0073367E">
      <w:pPr>
        <w:pStyle w:val="Point1"/>
        <w:rPr>
          <w:noProof/>
        </w:rPr>
      </w:pPr>
      <w:r w:rsidRPr="0073367E">
        <w:t>(a)</w:t>
      </w:r>
      <w:r w:rsidRPr="0073367E">
        <w:tab/>
      </w:r>
      <w:r w:rsidR="00AE27BB" w:rsidRPr="00D96C74">
        <w:rPr>
          <w:noProof/>
        </w:rPr>
        <w:t>constă în puncte de colectare înființate de organizațiile care implementează răspunderea extinsă a producătorului și de operatorii de gestionare a deșeurilor în numele acestora, în cooperare cu una sau mai multe dintre următoarele entități: întreprinderi sociale și entități din sectorul economiei sociale, distribuitori, autorități publice sau părți terțe care efectuează colectarea în numele lor a produselor textile, asociate textilelor și de încălțăminte uzate și care au calitatea de deșeu aflate pe lista din anexa IVc, precum și în alte puncte de colectare voluntară;</w:t>
      </w:r>
    </w:p>
    <w:p w14:paraId="3F72289A" w14:textId="61855708" w:rsidR="00AE27BB" w:rsidRPr="00D96C74" w:rsidRDefault="0073367E" w:rsidP="0073367E">
      <w:pPr>
        <w:pStyle w:val="Point1"/>
        <w:rPr>
          <w:noProof/>
        </w:rPr>
      </w:pPr>
      <w:r w:rsidRPr="0073367E">
        <w:t>(b)</w:t>
      </w:r>
      <w:r w:rsidRPr="0073367E">
        <w:tab/>
      </w:r>
      <w:r w:rsidR="00AE27BB" w:rsidRPr="00D96C74">
        <w:rPr>
          <w:noProof/>
        </w:rPr>
        <w:t>acoperă întregul teritoriu al statului membru, ținând seama de dimensiunea și densitatea populației, de volumul preconizat al produselor textile, asociate textilelor și de încălțăminte uzate și care au calitatea de deșeu aflate pe lista din anexa IVc, de accesibilitatea și proximitatea utilizatorilor finali, fără a se limita la zonele în care colectarea și gestionarea ulterioară a produselor respective este profitabilă;</w:t>
      </w:r>
    </w:p>
    <w:p w14:paraId="198C80BA" w14:textId="1CA78426" w:rsidR="0090310E" w:rsidRPr="00D96C74" w:rsidRDefault="0073367E" w:rsidP="0073367E">
      <w:pPr>
        <w:pStyle w:val="Point1"/>
        <w:rPr>
          <w:noProof/>
        </w:rPr>
      </w:pPr>
      <w:r w:rsidRPr="0073367E">
        <w:t>(c)</w:t>
      </w:r>
      <w:r w:rsidRPr="0073367E">
        <w:tab/>
      </w:r>
      <w:r w:rsidR="00E92CFE" w:rsidRPr="00D96C74">
        <w:rPr>
          <w:noProof/>
        </w:rPr>
        <w:t>menține o creștere susținută a ratei de colectare separată, astfel încât să se atingă niveluri fezabile din punct de vedere tehnic ținând seama de bunele practici.</w:t>
      </w:r>
    </w:p>
    <w:p w14:paraId="3E331ECF" w14:textId="6089AC65" w:rsidR="00AE27BB" w:rsidRPr="00D96C74" w:rsidRDefault="0073367E" w:rsidP="0073367E">
      <w:pPr>
        <w:pStyle w:val="ManualNumPar1"/>
        <w:rPr>
          <w:noProof/>
        </w:rPr>
      </w:pPr>
      <w:r w:rsidRPr="0073367E">
        <w:t>7.</w:t>
      </w:r>
      <w:r w:rsidRPr="0073367E">
        <w:tab/>
      </w:r>
      <w:r w:rsidR="14882543" w:rsidRPr="00D96C74">
        <w:rPr>
          <w:noProof/>
        </w:rPr>
        <w:t>Statele membre se asigură că rata de colectare menționată la alineatul (</w:t>
      </w:r>
      <w:r w:rsidR="14882543" w:rsidRPr="00D020C3">
        <w:rPr>
          <w:noProof/>
        </w:rPr>
        <w:t>6</w:t>
      </w:r>
      <w:r w:rsidR="14882543" w:rsidRPr="00D96C74">
        <w:rPr>
          <w:noProof/>
        </w:rPr>
        <w:t>) litera (c) este calculată în conformitate cu alineatele (</w:t>
      </w:r>
      <w:r w:rsidR="14882543" w:rsidRPr="00D020C3">
        <w:rPr>
          <w:noProof/>
        </w:rPr>
        <w:t>8</w:t>
      </w:r>
      <w:r w:rsidR="14882543" w:rsidRPr="00D96C74">
        <w:rPr>
          <w:noProof/>
        </w:rPr>
        <w:t>) și (</w:t>
      </w:r>
      <w:r w:rsidR="14882543" w:rsidRPr="00D020C3">
        <w:rPr>
          <w:noProof/>
        </w:rPr>
        <w:t>9</w:t>
      </w:r>
      <w:r w:rsidR="14882543" w:rsidRPr="00D96C74">
        <w:rPr>
          <w:noProof/>
        </w:rPr>
        <w:t xml:space="preserve">). </w:t>
      </w:r>
    </w:p>
    <w:p w14:paraId="4A31D0BA" w14:textId="1E488E59" w:rsidR="00AE27BB" w:rsidRPr="00D96C74" w:rsidRDefault="0073367E" w:rsidP="0073367E">
      <w:pPr>
        <w:pStyle w:val="ManualNumPar1"/>
        <w:rPr>
          <w:noProof/>
        </w:rPr>
      </w:pPr>
      <w:r w:rsidRPr="0073367E">
        <w:t>8.</w:t>
      </w:r>
      <w:r w:rsidRPr="0073367E">
        <w:tab/>
      </w:r>
      <w:r w:rsidR="00AE27BB" w:rsidRPr="00D96C74">
        <w:rPr>
          <w:noProof/>
        </w:rPr>
        <w:t>Rata de colectare separată menționată la alineatul (</w:t>
      </w:r>
      <w:r w:rsidR="00AE27BB" w:rsidRPr="00D020C3">
        <w:rPr>
          <w:noProof/>
        </w:rPr>
        <w:t>6</w:t>
      </w:r>
      <w:r w:rsidR="00AE27BB" w:rsidRPr="00D96C74">
        <w:rPr>
          <w:noProof/>
        </w:rPr>
        <w:t>) litera (c) se calculează ca procent obținut prin împărțirea greutății deșeurilor de produse textile, asociate textilelor și de încălțăminte aflate pe lista din anexa IVc care au fost colectate într-un stat membru în conformitate cu alineatul (</w:t>
      </w:r>
      <w:r w:rsidR="00AE27BB" w:rsidRPr="00D020C3">
        <w:rPr>
          <w:noProof/>
        </w:rPr>
        <w:t>5</w:t>
      </w:r>
      <w:r w:rsidR="00AE27BB" w:rsidRPr="00D96C74">
        <w:rPr>
          <w:noProof/>
        </w:rPr>
        <w:t xml:space="preserve">) într-un anumit an calendaristic la greutatea deșeurilor de produse textile, asociate textilelor și de încălțăminte care sunt generate și colectate sub formă de deșeuri municipale mixte. </w:t>
      </w:r>
    </w:p>
    <w:p w14:paraId="74214E21" w14:textId="27B9CF0B" w:rsidR="00AE27BB" w:rsidRPr="00D96C74" w:rsidRDefault="0073367E" w:rsidP="0073367E">
      <w:pPr>
        <w:pStyle w:val="ManualNumPar1"/>
        <w:rPr>
          <w:noProof/>
        </w:rPr>
      </w:pPr>
      <w:r w:rsidRPr="0073367E">
        <w:t>9.</w:t>
      </w:r>
      <w:r w:rsidRPr="0073367E">
        <w:tab/>
      </w:r>
      <w:r w:rsidR="00AE27BB" w:rsidRPr="00D96C74">
        <w:rPr>
          <w:noProof/>
        </w:rPr>
        <w:t>Comisia adoptă acte de punere în aplicare privind stabilirea metodologiei de calculare și verificare a ratei de colectare separată menționate la alineatul (</w:t>
      </w:r>
      <w:r w:rsidR="00AE27BB" w:rsidRPr="00D020C3">
        <w:rPr>
          <w:noProof/>
        </w:rPr>
        <w:t>6</w:t>
      </w:r>
      <w:r w:rsidR="00AE27BB" w:rsidRPr="00D96C74">
        <w:rPr>
          <w:noProof/>
        </w:rPr>
        <w:t xml:space="preserve">) litera (c) de la prezentul articol. Acest act de punere în aplicare se adoptă în conformitate cu procedura de examinare menționată la articolul </w:t>
      </w:r>
      <w:r w:rsidR="00AE27BB" w:rsidRPr="00D020C3">
        <w:rPr>
          <w:noProof/>
        </w:rPr>
        <w:t>39</w:t>
      </w:r>
      <w:r w:rsidR="00AE27BB" w:rsidRPr="00D96C74">
        <w:rPr>
          <w:noProof/>
        </w:rPr>
        <w:t xml:space="preserve"> alineatul (</w:t>
      </w:r>
      <w:r w:rsidR="00AE27BB" w:rsidRPr="00D020C3">
        <w:rPr>
          <w:noProof/>
        </w:rPr>
        <w:t>2</w:t>
      </w:r>
      <w:r w:rsidR="00AE27BB" w:rsidRPr="00D96C74">
        <w:rPr>
          <w:noProof/>
        </w:rPr>
        <w:t xml:space="preserve">). </w:t>
      </w:r>
    </w:p>
    <w:p w14:paraId="3CBF2AAB" w14:textId="63FACDE6" w:rsidR="00AE27BB" w:rsidRPr="00D96C74" w:rsidRDefault="0073367E" w:rsidP="0073367E">
      <w:pPr>
        <w:pStyle w:val="ManualNumPar1"/>
        <w:rPr>
          <w:noProof/>
        </w:rPr>
      </w:pPr>
      <w:r w:rsidRPr="0073367E">
        <w:t>10.</w:t>
      </w:r>
      <w:r w:rsidRPr="0073367E">
        <w:tab/>
      </w:r>
      <w:r w:rsidR="43C5888F" w:rsidRPr="00D96C74">
        <w:rPr>
          <w:noProof/>
        </w:rPr>
        <w:t>Statele membre se asigură că organizațiile care implementează răspunderea extinsă a producătorului nu sunt autorizate să refuze participarea întreprinderilor sociale și a altor operatori din sectorul reutilizării la sistemul de colectare separată instituit în temeiul alineatului (</w:t>
      </w:r>
      <w:r w:rsidR="43C5888F" w:rsidRPr="00D020C3">
        <w:rPr>
          <w:noProof/>
        </w:rPr>
        <w:t>5</w:t>
      </w:r>
      <w:r w:rsidR="43C5888F" w:rsidRPr="00D96C74">
        <w:rPr>
          <w:noProof/>
        </w:rPr>
        <w:t xml:space="preserve">). </w:t>
      </w:r>
    </w:p>
    <w:p w14:paraId="0CD4C481" w14:textId="6F74840D" w:rsidR="00AE27BB" w:rsidRPr="00D96C74" w:rsidRDefault="0073367E" w:rsidP="0073367E">
      <w:pPr>
        <w:pStyle w:val="ManualNumPar1"/>
        <w:rPr>
          <w:noProof/>
        </w:rPr>
      </w:pPr>
      <w:r w:rsidRPr="0073367E">
        <w:t>11.</w:t>
      </w:r>
      <w:r w:rsidRPr="0073367E">
        <w:tab/>
      </w:r>
      <w:r w:rsidR="00AE27BB" w:rsidRPr="00D96C74">
        <w:rPr>
          <w:noProof/>
        </w:rPr>
        <w:t>Fără a aduce atingere alineatului (</w:t>
      </w:r>
      <w:r w:rsidR="00AE27BB" w:rsidRPr="00D020C3">
        <w:rPr>
          <w:noProof/>
        </w:rPr>
        <w:t>5</w:t>
      </w:r>
      <w:r w:rsidR="00AE27BB" w:rsidRPr="00D96C74">
        <w:rPr>
          <w:noProof/>
        </w:rPr>
        <w:t>) literele (a) și (b) și alineatului (</w:t>
      </w:r>
      <w:r w:rsidR="00AE27BB" w:rsidRPr="00D020C3">
        <w:rPr>
          <w:noProof/>
        </w:rPr>
        <w:t>6</w:t>
      </w:r>
      <w:r w:rsidR="00AE27BB" w:rsidRPr="00D96C74">
        <w:rPr>
          <w:noProof/>
        </w:rPr>
        <w:t>) litera (a), statele membre se asigură că întreprinderile sociale sunt autorizate să mențină și să exploateze propriile puncte de colectare separată și că li se acordă un tratament egal sau preferențial în ceea ce privește amplasarea punctelor de colectare separată. Statele membre se asigură că întreprinderile sociale și entitățile din sectorul economiei sociale care fac parte din punctele de colectare conectate în conformitate cu alineatul (</w:t>
      </w:r>
      <w:r w:rsidR="00AE27BB" w:rsidRPr="00D020C3">
        <w:rPr>
          <w:noProof/>
        </w:rPr>
        <w:t>6</w:t>
      </w:r>
      <w:r w:rsidR="00AE27BB" w:rsidRPr="00D96C74">
        <w:rPr>
          <w:noProof/>
        </w:rPr>
        <w:t>) litera (a) nu sunt obligate să predea organizației care implementează răspunderea extinsă a producătorului produsele textile, asociate textilelor și de încălțăminte uzate și care au calitatea de deșeu aflate pe lista din anexa IVc pe care le-au colectat.</w:t>
      </w:r>
    </w:p>
    <w:p w14:paraId="59834F4B" w14:textId="4CA19F99" w:rsidR="00AE27BB" w:rsidRPr="00D96C74" w:rsidRDefault="0073367E" w:rsidP="0073367E">
      <w:pPr>
        <w:pStyle w:val="ManualNumPar1"/>
        <w:rPr>
          <w:noProof/>
        </w:rPr>
      </w:pPr>
      <w:r w:rsidRPr="0073367E">
        <w:t>12.</w:t>
      </w:r>
      <w:r w:rsidRPr="0073367E">
        <w:tab/>
      </w:r>
      <w:r w:rsidR="00F43CEA" w:rsidRPr="00D96C74">
        <w:rPr>
          <w:noProof/>
        </w:rPr>
        <w:t>Statele membre se asigură că punctele de colectare înființate în conformitate cu alineatele (</w:t>
      </w:r>
      <w:r w:rsidR="00F43CEA" w:rsidRPr="00D020C3">
        <w:rPr>
          <w:noProof/>
        </w:rPr>
        <w:t>5</w:t>
      </w:r>
      <w:r w:rsidR="00F43CEA" w:rsidRPr="00D96C74">
        <w:rPr>
          <w:noProof/>
        </w:rPr>
        <w:t>), (</w:t>
      </w:r>
      <w:r w:rsidR="00F43CEA" w:rsidRPr="00D020C3">
        <w:rPr>
          <w:noProof/>
        </w:rPr>
        <w:t>6</w:t>
      </w:r>
      <w:r w:rsidR="00F43CEA" w:rsidRPr="00D96C74">
        <w:rPr>
          <w:noProof/>
        </w:rPr>
        <w:t>) și (</w:t>
      </w:r>
      <w:r w:rsidR="00F43CEA" w:rsidRPr="00D020C3">
        <w:rPr>
          <w:noProof/>
        </w:rPr>
        <w:t>11</w:t>
      </w:r>
      <w:r w:rsidR="00F43CEA" w:rsidRPr="00D96C74">
        <w:rPr>
          <w:noProof/>
        </w:rPr>
        <w:t>) nu fac obiectul cerințelor de înregistrare sau de autorizare prevăzute de prezenta directivă.</w:t>
      </w:r>
    </w:p>
    <w:p w14:paraId="1D85E68F" w14:textId="638A5311" w:rsidR="00AE27BB" w:rsidRPr="00D96C74" w:rsidRDefault="0073367E" w:rsidP="0073367E">
      <w:pPr>
        <w:pStyle w:val="ManualNumPar1"/>
        <w:rPr>
          <w:noProof/>
        </w:rPr>
      </w:pPr>
      <w:r w:rsidRPr="0073367E">
        <w:t>13.</w:t>
      </w:r>
      <w:r w:rsidRPr="0073367E">
        <w:tab/>
      </w:r>
      <w:r w:rsidR="015D82DA" w:rsidRPr="00D96C74">
        <w:rPr>
          <w:noProof/>
        </w:rPr>
        <w:t>Statele membre se asigură că, pe lângă informațiile menționate la articolul </w:t>
      </w:r>
      <w:r w:rsidR="015D82DA" w:rsidRPr="00D020C3">
        <w:rPr>
          <w:noProof/>
        </w:rPr>
        <w:t>8</w:t>
      </w:r>
      <w:r w:rsidR="015D82DA" w:rsidRPr="00D96C74">
        <w:rPr>
          <w:noProof/>
        </w:rPr>
        <w:t>a alineatul (</w:t>
      </w:r>
      <w:r w:rsidR="015D82DA" w:rsidRPr="00D020C3">
        <w:rPr>
          <w:noProof/>
        </w:rPr>
        <w:t>2</w:t>
      </w:r>
      <w:r w:rsidR="015D82DA" w:rsidRPr="00D96C74">
        <w:rPr>
          <w:noProof/>
        </w:rPr>
        <w:t>), organizațiile care implementează răspunderea extinsă a producătorului pun la dispoziția utilizatorilor finali, în special a consumatorilor, următoarele informații privind consumul durabil, reutilizarea și gestionarea la sfârșitul ciclului de viață a produselor textile, asociate textilelor și de încălțăminte în ceea ce privește produsele textile, asociate textilelor și de încălțăminte aflate pe lista din anexa IVc pe care producătorii le pun la dispoziție pe teritoriul unui stat membru:</w:t>
      </w:r>
    </w:p>
    <w:p w14:paraId="34EACE85" w14:textId="720922D6" w:rsidR="00AE27BB" w:rsidRPr="00D96C74" w:rsidRDefault="0073367E" w:rsidP="0073367E">
      <w:pPr>
        <w:pStyle w:val="Point1"/>
        <w:rPr>
          <w:noProof/>
        </w:rPr>
      </w:pPr>
      <w:r w:rsidRPr="0073367E">
        <w:t>(a)</w:t>
      </w:r>
      <w:r w:rsidRPr="0073367E">
        <w:tab/>
      </w:r>
      <w:r w:rsidR="00AE27BB" w:rsidRPr="00D96C74">
        <w:rPr>
          <w:noProof/>
        </w:rPr>
        <w:t>rolul consumatorilor în a contribui la prevenirea generării de deșeuri, inclusiv orice bune practici, în special prin încurajarea modelelor durabile de consum și prin promovarea unei bune îngrijiri a produselor pe durata utilizării;</w:t>
      </w:r>
    </w:p>
    <w:p w14:paraId="2F01A49A" w14:textId="6EC40BE4" w:rsidR="00AE27BB" w:rsidRPr="00D96C74" w:rsidRDefault="0073367E" w:rsidP="0073367E">
      <w:pPr>
        <w:pStyle w:val="Point1"/>
        <w:rPr>
          <w:noProof/>
        </w:rPr>
      </w:pPr>
      <w:r w:rsidRPr="0073367E">
        <w:t>(b)</w:t>
      </w:r>
      <w:r w:rsidRPr="0073367E">
        <w:tab/>
      </w:r>
      <w:r w:rsidR="00AE27BB" w:rsidRPr="00D96C74">
        <w:rPr>
          <w:noProof/>
        </w:rPr>
        <w:t>modalitățile de reutilizare și reparare disponibile pentru textile și încălțăminte;</w:t>
      </w:r>
    </w:p>
    <w:p w14:paraId="6D146B14" w14:textId="72CE4899" w:rsidR="00AE27BB" w:rsidRPr="00D96C74" w:rsidRDefault="0073367E" w:rsidP="0073367E">
      <w:pPr>
        <w:pStyle w:val="Point1"/>
        <w:rPr>
          <w:noProof/>
        </w:rPr>
      </w:pPr>
      <w:r w:rsidRPr="0073367E">
        <w:t>(c)</w:t>
      </w:r>
      <w:r w:rsidRPr="0073367E">
        <w:tab/>
      </w:r>
      <w:r w:rsidR="00AE27BB" w:rsidRPr="00D96C74">
        <w:rPr>
          <w:noProof/>
        </w:rPr>
        <w:t>rolul consumatorilor în contribuirea la colectarea separată a produselor textile și de încălțăminte uzate și care au calitatea de deșeu;</w:t>
      </w:r>
    </w:p>
    <w:p w14:paraId="435CD4E1" w14:textId="625BB226" w:rsidR="00AE27BB" w:rsidRPr="00D96C74" w:rsidRDefault="0073367E" w:rsidP="0073367E">
      <w:pPr>
        <w:pStyle w:val="Point1"/>
        <w:rPr>
          <w:noProof/>
        </w:rPr>
      </w:pPr>
      <w:r w:rsidRPr="0073367E">
        <w:t>(d)</w:t>
      </w:r>
      <w:r w:rsidRPr="0073367E">
        <w:tab/>
      </w:r>
      <w:r w:rsidR="00AE27BB" w:rsidRPr="00D96C74">
        <w:rPr>
          <w:noProof/>
        </w:rPr>
        <w:t>impactul asupra mediului, a sănătății umane, precum și a drepturilor sociale și a drepturilor omului al producției de textile, în special al consumului și al practicilor modei de consum, al reciclării și al altor operațiuni de valorificare și eliminare, precum și al eliminării necorespunzătoare a deșeurilor textile și de încălțăminte, cum ar fi aruncarea pe domeniul public sau împreună cu deșeurile municipale mixte.</w:t>
      </w:r>
    </w:p>
    <w:p w14:paraId="5B5F83E5" w14:textId="3EDDE9B6" w:rsidR="00AE27BB" w:rsidRPr="00D96C74" w:rsidRDefault="0073367E" w:rsidP="0073367E">
      <w:pPr>
        <w:pStyle w:val="ManualNumPar1"/>
        <w:rPr>
          <w:noProof/>
        </w:rPr>
      </w:pPr>
      <w:r w:rsidRPr="0073367E">
        <w:t>14.</w:t>
      </w:r>
      <w:r w:rsidRPr="0073367E">
        <w:tab/>
      </w:r>
      <w:r w:rsidR="37DD2AA1" w:rsidRPr="00D96C74">
        <w:rPr>
          <w:noProof/>
        </w:rPr>
        <w:t>Statele membre se asigură că organizația care implementează răspunderea extinsă a producătorului furnizează cu regularitate informațiile prevăzute la alineatul (</w:t>
      </w:r>
      <w:r w:rsidR="37DD2AA1" w:rsidRPr="00D020C3">
        <w:rPr>
          <w:noProof/>
        </w:rPr>
        <w:t>13</w:t>
      </w:r>
      <w:r w:rsidR="37DD2AA1" w:rsidRPr="00D96C74">
        <w:rPr>
          <w:noProof/>
        </w:rPr>
        <w:t>), precum și că informațiile sunt actualizate și furnizate prin intermediul:</w:t>
      </w:r>
    </w:p>
    <w:p w14:paraId="7A53BEF5" w14:textId="00830EDD" w:rsidR="00AE27BB" w:rsidRPr="00D96C74" w:rsidRDefault="0073367E" w:rsidP="0073367E">
      <w:pPr>
        <w:pStyle w:val="Point1"/>
        <w:rPr>
          <w:noProof/>
        </w:rPr>
      </w:pPr>
      <w:r w:rsidRPr="0073367E">
        <w:t>(a)</w:t>
      </w:r>
      <w:r w:rsidRPr="0073367E">
        <w:tab/>
      </w:r>
      <w:r w:rsidR="00AE27BB" w:rsidRPr="00D96C74">
        <w:rPr>
          <w:noProof/>
        </w:rPr>
        <w:t>unui site web sau al altor mijloace de comunicare electronică;</w:t>
      </w:r>
    </w:p>
    <w:p w14:paraId="79D1A3E1" w14:textId="69691CCF" w:rsidR="00AE27BB" w:rsidRPr="00D96C74" w:rsidRDefault="0073367E" w:rsidP="0073367E">
      <w:pPr>
        <w:pStyle w:val="Point1"/>
        <w:rPr>
          <w:noProof/>
        </w:rPr>
      </w:pPr>
      <w:r w:rsidRPr="0073367E">
        <w:t>(b)</w:t>
      </w:r>
      <w:r w:rsidRPr="0073367E">
        <w:tab/>
      </w:r>
      <w:r w:rsidR="00AE27BB" w:rsidRPr="00D96C74">
        <w:rPr>
          <w:noProof/>
        </w:rPr>
        <w:t>informării în spațiile publice;</w:t>
      </w:r>
    </w:p>
    <w:p w14:paraId="7A88D7B6" w14:textId="624AC4B4" w:rsidR="00AE27BB" w:rsidRPr="00D96C74" w:rsidRDefault="0073367E" w:rsidP="0073367E">
      <w:pPr>
        <w:pStyle w:val="Point1"/>
        <w:rPr>
          <w:noProof/>
        </w:rPr>
      </w:pPr>
      <w:r w:rsidRPr="0073367E">
        <w:t>(c)</w:t>
      </w:r>
      <w:r w:rsidRPr="0073367E">
        <w:tab/>
      </w:r>
      <w:r w:rsidR="00AE27BB" w:rsidRPr="00D96C74">
        <w:rPr>
          <w:noProof/>
        </w:rPr>
        <w:t>programelor și campaniilor de educare;</w:t>
      </w:r>
    </w:p>
    <w:p w14:paraId="6EC84D63" w14:textId="76F64F3D" w:rsidR="00AE27BB" w:rsidRPr="00D96C74" w:rsidRDefault="0073367E" w:rsidP="0073367E">
      <w:pPr>
        <w:pStyle w:val="Point1"/>
        <w:rPr>
          <w:noProof/>
        </w:rPr>
      </w:pPr>
      <w:r w:rsidRPr="0073367E">
        <w:t>(d)</w:t>
      </w:r>
      <w:r w:rsidRPr="0073367E">
        <w:tab/>
      </w:r>
      <w:r w:rsidR="00AE27BB" w:rsidRPr="00D96C74">
        <w:rPr>
          <w:noProof/>
        </w:rPr>
        <w:t xml:space="preserve">semnalizării în una sau mai multe limbi care pot fi ușor de înțeles de către utilizatori și consumatori. </w:t>
      </w:r>
    </w:p>
    <w:p w14:paraId="154DBAF0" w14:textId="5A5E83E2" w:rsidR="00AE27BB" w:rsidRPr="00D96C74" w:rsidRDefault="0073367E" w:rsidP="0073367E">
      <w:pPr>
        <w:pStyle w:val="ManualNumPar1"/>
        <w:rPr>
          <w:noProof/>
        </w:rPr>
      </w:pPr>
      <w:r w:rsidRPr="0073367E">
        <w:t>15.</w:t>
      </w:r>
      <w:r w:rsidRPr="0073367E">
        <w:tab/>
      </w:r>
      <w:r w:rsidR="00AE27BB" w:rsidRPr="00D96C74">
        <w:rPr>
          <w:noProof/>
        </w:rPr>
        <w:t>În cazul în care, într-un stat membru, mai multe organizații care implementează răspunderea extinsă a producătorului au fost autorizate să îndeplinească obligațiile în materie de răspundere extinsă a producătorului în numele acestora din urmă, statele membre se asigură că acestea acoperă întregul teritoriu al statului membru prin intermediul sistemului de colectare separată a produselor textile, asociate textilelor și de încălțăminte uzate și care au calitatea de deșeu enumerate în anexa IVc. Statele membre încredințează autorității competente sarcina de a supraveghea dacă organizațiile care implementează răspunderea extinsă a producătorului își îndeplinesc obligațiile în mod coordonat și în conformitate cu normele în materie de concurență ale Uniunii sau desemnează o parte terță independentă care să supravegheze acest lucru.</w:t>
      </w:r>
    </w:p>
    <w:p w14:paraId="62095949" w14:textId="23219504" w:rsidR="00AE27BB" w:rsidRPr="00D96C74" w:rsidRDefault="0073367E" w:rsidP="0073367E">
      <w:pPr>
        <w:pStyle w:val="ManualNumPar1"/>
        <w:rPr>
          <w:noProof/>
        </w:rPr>
      </w:pPr>
      <w:r w:rsidRPr="0073367E">
        <w:t>16.</w:t>
      </w:r>
      <w:r w:rsidRPr="0073367E">
        <w:tab/>
      </w:r>
      <w:r w:rsidR="2AB31A49" w:rsidRPr="00D96C74">
        <w:rPr>
          <w:noProof/>
        </w:rPr>
        <w:t>Statele membre impun organizațiilor care implementează răspunderea extinsă a producătorului să asigure confidențialitatea datelor aflate în posesia lor în ceea ce privește informațiile protejate sau informațiile care pot fi atribuite direct producătorilor individuali sau reprezentanților autorizați ai acestora.</w:t>
      </w:r>
    </w:p>
    <w:p w14:paraId="1BB32608" w14:textId="1EF47462" w:rsidR="00AE27BB" w:rsidRPr="00D96C74" w:rsidRDefault="0073367E" w:rsidP="0073367E">
      <w:pPr>
        <w:pStyle w:val="ManualNumPar1"/>
        <w:rPr>
          <w:noProof/>
        </w:rPr>
      </w:pPr>
      <w:r w:rsidRPr="0073367E">
        <w:t>17.</w:t>
      </w:r>
      <w:r w:rsidRPr="0073367E">
        <w:tab/>
      </w:r>
      <w:r w:rsidR="294EE1E2" w:rsidRPr="00D96C74">
        <w:rPr>
          <w:noProof/>
        </w:rPr>
        <w:t>Statele membre se asigură că organizațiile care implementează răspunderea extinsă a producătorului publică pe site-urile lor, pe lângă informațiile menționate la articolul </w:t>
      </w:r>
      <w:r w:rsidR="294EE1E2" w:rsidRPr="00D020C3">
        <w:rPr>
          <w:noProof/>
        </w:rPr>
        <w:t>8</w:t>
      </w:r>
      <w:r w:rsidR="294EE1E2" w:rsidRPr="00D96C74">
        <w:rPr>
          <w:noProof/>
        </w:rPr>
        <w:t>a alineatul (</w:t>
      </w:r>
      <w:r w:rsidR="294EE1E2" w:rsidRPr="00D020C3">
        <w:rPr>
          <w:noProof/>
        </w:rPr>
        <w:t>3</w:t>
      </w:r>
      <w:r w:rsidR="294EE1E2" w:rsidRPr="00D96C74">
        <w:rPr>
          <w:noProof/>
        </w:rPr>
        <w:t>) litera (e):</w:t>
      </w:r>
    </w:p>
    <w:p w14:paraId="42C6B295" w14:textId="43AEAB75" w:rsidR="00AE27BB" w:rsidRPr="00D96C74" w:rsidRDefault="0073367E" w:rsidP="0073367E">
      <w:pPr>
        <w:pStyle w:val="Point1"/>
        <w:rPr>
          <w:noProof/>
        </w:rPr>
      </w:pPr>
      <w:r w:rsidRPr="0073367E">
        <w:t>(a)</w:t>
      </w:r>
      <w:r w:rsidRPr="0073367E">
        <w:tab/>
      </w:r>
      <w:r w:rsidR="00AE27BB" w:rsidRPr="00D96C74">
        <w:rPr>
          <w:noProof/>
        </w:rPr>
        <w:t>cel puțin în fiecare an, sub rezerva confidențialității comerciale și industriale, informații privind cantitatea de produse introduse pe piață, rata de colectare separată a produselor textile, asociate textilelor și de încălțăminte uzate și care au calitatea de deșeu aflate pe lista din anexa IVc, inclusiv a produselor de acest tip nevândute, ratele de reutilizare, de pregătire pentru reutilizare și de reciclare obținute de organizația care implementează răspunderea extinsă a producătorului, specificând separat rata de reciclare în circuit închis („fibre-to-fibre”), precum și ratele altor tipuri de valorificare, rata eliminării și rata exporturilor;</w:t>
      </w:r>
    </w:p>
    <w:p w14:paraId="5BBDE860" w14:textId="4034C677" w:rsidR="00AE27BB" w:rsidRPr="00D96C74" w:rsidRDefault="0073367E" w:rsidP="0073367E">
      <w:pPr>
        <w:pStyle w:val="Point1"/>
        <w:rPr>
          <w:noProof/>
        </w:rPr>
      </w:pPr>
      <w:r w:rsidRPr="0073367E">
        <w:t>(b)</w:t>
      </w:r>
      <w:r w:rsidRPr="0073367E">
        <w:tab/>
      </w:r>
      <w:r w:rsidR="00AE27BB" w:rsidRPr="00D96C74">
        <w:rPr>
          <w:noProof/>
        </w:rPr>
        <w:t>informații privind procedura de selecție folosită pentru operatorii care se ocupă de gestionarea deșeurilor selectați în conformitate cu alineatul (</w:t>
      </w:r>
      <w:r w:rsidR="00AE27BB" w:rsidRPr="00D020C3">
        <w:rPr>
          <w:noProof/>
        </w:rPr>
        <w:t>18</w:t>
      </w:r>
      <w:r w:rsidR="00AE27BB" w:rsidRPr="00D96C74">
        <w:rPr>
          <w:noProof/>
        </w:rPr>
        <w:t>).</w:t>
      </w:r>
    </w:p>
    <w:p w14:paraId="1F889A72" w14:textId="376BDE1D" w:rsidR="00817D9C" w:rsidRPr="00D96C74" w:rsidRDefault="0073367E" w:rsidP="0073367E">
      <w:pPr>
        <w:pStyle w:val="ManualNumPar1"/>
        <w:rPr>
          <w:rFonts w:eastAsia="Calibri"/>
          <w:noProof/>
          <w:szCs w:val="24"/>
        </w:rPr>
      </w:pPr>
      <w:r w:rsidRPr="0073367E">
        <w:t>18.</w:t>
      </w:r>
      <w:r w:rsidRPr="0073367E">
        <w:tab/>
      </w:r>
      <w:r w:rsidR="5A192AD8" w:rsidRPr="00D96C74">
        <w:rPr>
          <w:noProof/>
        </w:rPr>
        <w:t>Statele membre se asigură că organizațiile care implementează răspunderea extinsă a producătorului prevăd o procedură de selecție nediscriminatorie, bazată pe criterii de atribuire transparente și care nu impune o sarcină disproporționată întreprinderilor mici și mijlocii obligându-le să achiziționeze servicii de gestionare a deșeurilor de la operatorii care se ocupă de gestionarea deșeurilor menționați la alineatul (</w:t>
      </w:r>
      <w:r w:rsidR="5A192AD8" w:rsidRPr="00D020C3">
        <w:rPr>
          <w:noProof/>
        </w:rPr>
        <w:t>6</w:t>
      </w:r>
      <w:r w:rsidR="5A192AD8" w:rsidRPr="00D96C74">
        <w:rPr>
          <w:noProof/>
        </w:rPr>
        <w:t>) litera (a) și de la operatorii de gestionare a deșeurilor care efectuează tratarea ulterioară a deșeurilor.</w:t>
      </w:r>
    </w:p>
    <w:p w14:paraId="5699CCA6" w14:textId="45D92BA3" w:rsidR="00817D9C" w:rsidRPr="00D96C74" w:rsidRDefault="0073367E" w:rsidP="0073367E">
      <w:pPr>
        <w:pStyle w:val="ManualNumPar1"/>
        <w:rPr>
          <w:noProof/>
        </w:rPr>
      </w:pPr>
      <w:r w:rsidRPr="0073367E">
        <w:t>19.</w:t>
      </w:r>
      <w:r w:rsidRPr="0073367E">
        <w:tab/>
      </w:r>
      <w:r w:rsidR="400F5C70" w:rsidRPr="00D96C74">
        <w:rPr>
          <w:noProof/>
        </w:rPr>
        <w:t>Statele membre se asigură că organizațiile care implementează răspunderea extinsă a producătorului impun producătorilor obligația să raporteze în fiecare an date privind produsele textile, asociate textilelor și de încălțăminte enumerate în anexa IVc pe care le-au pus la dispoziție pe piață.</w:t>
      </w:r>
    </w:p>
    <w:p w14:paraId="654CCFD9" w14:textId="77777777" w:rsidR="00580C13" w:rsidRPr="008D4D1E" w:rsidRDefault="00580C13" w:rsidP="00580C13">
      <w:pPr>
        <w:pStyle w:val="Titrearticle"/>
        <w:rPr>
          <w:noProof/>
        </w:rPr>
      </w:pPr>
      <w:r w:rsidRPr="008D4D1E">
        <w:rPr>
          <w:noProof/>
        </w:rPr>
        <w:t>Articolul 22d</w:t>
      </w:r>
    </w:p>
    <w:p w14:paraId="4ECEA5FA" w14:textId="77777777" w:rsidR="00580C13" w:rsidRPr="00D96C74" w:rsidRDefault="00580C13" w:rsidP="00580C13">
      <w:pPr>
        <w:pStyle w:val="Titrearticle"/>
        <w:rPr>
          <w:i w:val="0"/>
          <w:iCs/>
          <w:noProof/>
        </w:rPr>
      </w:pPr>
      <w:r w:rsidRPr="00D020C3">
        <w:rPr>
          <w:b/>
          <w:i w:val="0"/>
          <w:noProof/>
        </w:rPr>
        <w:t>Gestionarea deșeurilor textile</w:t>
      </w:r>
    </w:p>
    <w:p w14:paraId="68C2421B" w14:textId="49F13709" w:rsidR="00580C13" w:rsidRPr="00D96C74" w:rsidRDefault="0073367E" w:rsidP="0073367E">
      <w:pPr>
        <w:pStyle w:val="ManualNumPar1"/>
        <w:rPr>
          <w:noProof/>
        </w:rPr>
      </w:pPr>
      <w:r w:rsidRPr="0073367E">
        <w:t>1.</w:t>
      </w:r>
      <w:r w:rsidRPr="0073367E">
        <w:tab/>
      </w:r>
      <w:r w:rsidR="00580C13" w:rsidRPr="00D96C74">
        <w:rPr>
          <w:noProof/>
        </w:rPr>
        <w:t xml:space="preserve">Statele membre asigură, până la </w:t>
      </w:r>
      <w:r w:rsidR="00580C13" w:rsidRPr="00D020C3">
        <w:rPr>
          <w:noProof/>
        </w:rPr>
        <w:t>1</w:t>
      </w:r>
      <w:r w:rsidR="00580C13" w:rsidRPr="00D96C74">
        <w:rPr>
          <w:noProof/>
        </w:rPr>
        <w:t xml:space="preserve"> ianuarie </w:t>
      </w:r>
      <w:r w:rsidR="00580C13" w:rsidRPr="00D020C3">
        <w:rPr>
          <w:noProof/>
        </w:rPr>
        <w:t>2025</w:t>
      </w:r>
      <w:r w:rsidR="00580C13" w:rsidRPr="00D96C74">
        <w:rPr>
          <w:noProof/>
        </w:rPr>
        <w:t xml:space="preserve"> și sub rezerva articolului </w:t>
      </w:r>
      <w:r w:rsidR="00580C13" w:rsidRPr="00D020C3">
        <w:rPr>
          <w:noProof/>
        </w:rPr>
        <w:t>10</w:t>
      </w:r>
      <w:r w:rsidR="00580C13" w:rsidRPr="00D96C74">
        <w:rPr>
          <w:noProof/>
        </w:rPr>
        <w:t xml:space="preserve"> alineatele (</w:t>
      </w:r>
      <w:r w:rsidR="00580C13" w:rsidRPr="00D020C3">
        <w:rPr>
          <w:noProof/>
        </w:rPr>
        <w:t>2</w:t>
      </w:r>
      <w:r w:rsidR="00580C13" w:rsidRPr="00D96C74">
        <w:rPr>
          <w:noProof/>
        </w:rPr>
        <w:t>) și (</w:t>
      </w:r>
      <w:r w:rsidR="00580C13" w:rsidRPr="00D020C3">
        <w:rPr>
          <w:noProof/>
        </w:rPr>
        <w:t>3</w:t>
      </w:r>
      <w:r w:rsidR="00580C13" w:rsidRPr="00D96C74">
        <w:rPr>
          <w:noProof/>
        </w:rPr>
        <w:t>), colectarea separată a textilelor în vederea reutilizării, a pregătirii pentru reutilizare și a reciclării.</w:t>
      </w:r>
    </w:p>
    <w:p w14:paraId="7F6F0149" w14:textId="1466E1CD" w:rsidR="00580C13" w:rsidRPr="00D96C74" w:rsidRDefault="0073367E" w:rsidP="0073367E">
      <w:pPr>
        <w:pStyle w:val="ManualNumPar1"/>
        <w:rPr>
          <w:noProof/>
        </w:rPr>
      </w:pPr>
      <w:r w:rsidRPr="0073367E">
        <w:t>2.</w:t>
      </w:r>
      <w:r w:rsidRPr="0073367E">
        <w:tab/>
      </w:r>
      <w:r w:rsidR="00B5445D" w:rsidRPr="00D96C74">
        <w:rPr>
          <w:noProof/>
        </w:rPr>
        <w:t>Statele membre se asigură că infrastructura și operațiunile de colectare, încărcare și descărcare, transport și depozitare, precum și alte manipulări ale deșeurilor textile, inclusiv în cadrul operațiunilor ulterioare de sortare și tratare, sunt protejate împotriva fenomenelor meteorologice și a altor surse de contaminare, pentru a preveni deteriorarea și contaminarea încrucișată a textilelor colectate. Textilele uzate și deșeurile textile colectate separat fac obiectul unei verificări la punctul de colectare separată pentru a se identifica și elimina articolele sau materialele nevizate sau substanțele care reprezintă o sursă de contaminare.</w:t>
      </w:r>
    </w:p>
    <w:p w14:paraId="60915AE8" w14:textId="1505A3BA" w:rsidR="00580C13" w:rsidRPr="00D96C74" w:rsidRDefault="0073367E" w:rsidP="0073367E">
      <w:pPr>
        <w:pStyle w:val="ManualNumPar1"/>
        <w:rPr>
          <w:noProof/>
        </w:rPr>
      </w:pPr>
      <w:r w:rsidRPr="0073367E">
        <w:t>3.</w:t>
      </w:r>
      <w:r w:rsidRPr="0073367E">
        <w:tab/>
      </w:r>
      <w:r w:rsidR="00B5445D" w:rsidRPr="00D96C74">
        <w:rPr>
          <w:noProof/>
        </w:rPr>
        <w:t>Statele membre se asigură că produsele textile, asociate textilelor și de încălțăminte uzate și care au calitatea de deșeu colectate separat în conformitate cu articolul </w:t>
      </w:r>
      <w:r w:rsidR="00B5445D" w:rsidRPr="00D020C3">
        <w:rPr>
          <w:noProof/>
        </w:rPr>
        <w:t>22</w:t>
      </w:r>
      <w:r w:rsidR="00B5445D" w:rsidRPr="00D96C74">
        <w:rPr>
          <w:noProof/>
        </w:rPr>
        <w:t>c alineatul (</w:t>
      </w:r>
      <w:r w:rsidR="00B5445D" w:rsidRPr="00D020C3">
        <w:rPr>
          <w:noProof/>
        </w:rPr>
        <w:t>5</w:t>
      </w:r>
      <w:r w:rsidR="00B5445D" w:rsidRPr="00D96C74">
        <w:rPr>
          <w:noProof/>
        </w:rPr>
        <w:t>) sunt considerate deșeuri la momentul colectării.</w:t>
      </w:r>
    </w:p>
    <w:p w14:paraId="51FA1F7B" w14:textId="43F7D732" w:rsidR="0052314D" w:rsidRPr="00D96C74" w:rsidRDefault="0052314D" w:rsidP="0038405F">
      <w:pPr>
        <w:pStyle w:val="Text1"/>
        <w:rPr>
          <w:noProof/>
        </w:rPr>
      </w:pPr>
      <w:r w:rsidRPr="00D96C74">
        <w:rPr>
          <w:noProof/>
        </w:rPr>
        <w:t>În ceea ce privește textilele care nu se regăsesc printre produsele enumerate în anexa IVc, precum și produsele textile, asociate textilelor și de încălțăminte enumerate în anexa IVc nevândute, statele membre se asigură că diferitele fracțiuni de materiale textile și articole textile sunt păstrate separat la punctul de generare a deșeurilor, în cazul în care o astfel de separare facilitează reutilizarea ulterioară, pregătirea pentru reutilizare sau reciclarea, inclusiv reciclarea fibrelor în circuit închis („fibre-to-fibre”) în cazul în care progresul tehnologic permite acest lucru.</w:t>
      </w:r>
    </w:p>
    <w:p w14:paraId="43596D31" w14:textId="3ACE3CF7" w:rsidR="00580C13" w:rsidRPr="00D96C74" w:rsidRDefault="0073367E" w:rsidP="0073367E">
      <w:pPr>
        <w:pStyle w:val="ManualNumPar1"/>
        <w:rPr>
          <w:noProof/>
        </w:rPr>
      </w:pPr>
      <w:r w:rsidRPr="0073367E">
        <w:t>4.</w:t>
      </w:r>
      <w:r w:rsidRPr="0073367E">
        <w:tab/>
      </w:r>
      <w:r w:rsidR="00B5445D" w:rsidRPr="00D96C74">
        <w:rPr>
          <w:noProof/>
        </w:rPr>
        <w:t>Statele membre se asigură că produsele textile, asociate textilelor și de încălțăminte uzate și care au calitatea de deșeu colectate separat în conformitate cu articolul </w:t>
      </w:r>
      <w:r w:rsidR="00B5445D" w:rsidRPr="00D020C3">
        <w:rPr>
          <w:noProof/>
        </w:rPr>
        <w:t>22</w:t>
      </w:r>
      <w:r w:rsidR="00B5445D" w:rsidRPr="00D96C74">
        <w:rPr>
          <w:noProof/>
        </w:rPr>
        <w:t>c alineatul (</w:t>
      </w:r>
      <w:r w:rsidR="00B5445D" w:rsidRPr="00D020C3">
        <w:rPr>
          <w:noProof/>
        </w:rPr>
        <w:t>5</w:t>
      </w:r>
      <w:r w:rsidR="00B5445D" w:rsidRPr="00D96C74">
        <w:rPr>
          <w:noProof/>
        </w:rPr>
        <w:t>) fac obiectul unor operațiuni de sortare pentru a se asigura tratarea lor în conformitate cu ierarhia deșeurilor stabilită la articolul </w:t>
      </w:r>
      <w:r w:rsidR="00B5445D" w:rsidRPr="00D020C3">
        <w:rPr>
          <w:noProof/>
        </w:rPr>
        <w:t>4</w:t>
      </w:r>
      <w:r w:rsidR="00B5445D" w:rsidRPr="00D96C74">
        <w:rPr>
          <w:noProof/>
        </w:rPr>
        <w:t xml:space="preserve"> alineatul (</w:t>
      </w:r>
      <w:r w:rsidR="00B5445D" w:rsidRPr="00D020C3">
        <w:rPr>
          <w:noProof/>
        </w:rPr>
        <w:t>1</w:t>
      </w:r>
      <w:r w:rsidR="00B5445D" w:rsidRPr="00D96C74">
        <w:rPr>
          <w:noProof/>
        </w:rPr>
        <w:t xml:space="preserve">). </w:t>
      </w:r>
    </w:p>
    <w:p w14:paraId="3D655235" w14:textId="74B0B9A1" w:rsidR="00B5445D" w:rsidRPr="00D96C74" w:rsidRDefault="0073367E" w:rsidP="0073367E">
      <w:pPr>
        <w:pStyle w:val="ManualNumPar1"/>
        <w:rPr>
          <w:noProof/>
        </w:rPr>
      </w:pPr>
      <w:r w:rsidRPr="0073367E">
        <w:t>5.</w:t>
      </w:r>
      <w:r w:rsidRPr="0073367E">
        <w:tab/>
      </w:r>
      <w:r w:rsidR="00B5445D" w:rsidRPr="00D96C74">
        <w:rPr>
          <w:noProof/>
        </w:rPr>
        <w:t>Statele membre se asigură că operațiunile de sortare a produselor textile, asociate textilelor și de încălțăminte uzate și care au calitatea de deșeu colectate separat în conformitate cu articolul </w:t>
      </w:r>
      <w:r w:rsidR="00B5445D" w:rsidRPr="00D020C3">
        <w:rPr>
          <w:noProof/>
        </w:rPr>
        <w:t>22</w:t>
      </w:r>
      <w:r w:rsidR="00B5445D" w:rsidRPr="00D96C74">
        <w:rPr>
          <w:noProof/>
        </w:rPr>
        <w:t>c alineatul (</w:t>
      </w:r>
      <w:r w:rsidR="00B5445D" w:rsidRPr="00D020C3">
        <w:rPr>
          <w:noProof/>
        </w:rPr>
        <w:t>5</w:t>
      </w:r>
      <w:r w:rsidR="00B5445D" w:rsidRPr="00D96C74">
        <w:rPr>
          <w:noProof/>
        </w:rPr>
        <w:t>) respectă următoarele cerințe:</w:t>
      </w:r>
    </w:p>
    <w:p w14:paraId="6595A7A0" w14:textId="693D6DF8" w:rsidR="00B5445D" w:rsidRPr="00D96C74" w:rsidRDefault="0073367E" w:rsidP="0073367E">
      <w:pPr>
        <w:pStyle w:val="Point1"/>
        <w:rPr>
          <w:noProof/>
          <w:color w:val="000000" w:themeColor="text1"/>
        </w:rPr>
      </w:pPr>
      <w:r w:rsidRPr="0073367E">
        <w:t>(a)</w:t>
      </w:r>
      <w:r w:rsidRPr="0073367E">
        <w:tab/>
      </w:r>
      <w:r w:rsidR="00B5445D" w:rsidRPr="00D96C74">
        <w:rPr>
          <w:noProof/>
        </w:rPr>
        <w:t>operațiunea de sortare este menită să genereze textile în vederea reutilizării și a pregătirii pentru reutilizare;</w:t>
      </w:r>
    </w:p>
    <w:p w14:paraId="58BED4C1" w14:textId="3CFA4BDF" w:rsidR="00580C13" w:rsidRPr="00D96C74" w:rsidRDefault="0073367E" w:rsidP="0073367E">
      <w:pPr>
        <w:pStyle w:val="Point1"/>
        <w:rPr>
          <w:noProof/>
        </w:rPr>
      </w:pPr>
      <w:r w:rsidRPr="0073367E">
        <w:t>(b)</w:t>
      </w:r>
      <w:r w:rsidRPr="0073367E">
        <w:tab/>
      </w:r>
      <w:r w:rsidR="00B5445D" w:rsidRPr="00D96C74">
        <w:rPr>
          <w:noProof/>
        </w:rPr>
        <w:t xml:space="preserve">operațiunile de sortare în vederea reutilizării sortează articolele textile la un nivel corespunzător de granularitate, separând fracțiunile adecvate pentru reutilizare directă de cele care urmează să facă obiectul unor operațiuni suplimentare de pregătire pentru reutilizare, și vizează o piață specifică a reutilizării aplicând criterii de sortare actualizate relevante pentru piața destinatară; </w:t>
      </w:r>
    </w:p>
    <w:p w14:paraId="2BF4D5CB" w14:textId="7E91DDE3" w:rsidR="00580C13" w:rsidRPr="00D96C74" w:rsidRDefault="0073367E" w:rsidP="0073367E">
      <w:pPr>
        <w:pStyle w:val="Point1"/>
        <w:rPr>
          <w:noProof/>
        </w:rPr>
      </w:pPr>
      <w:r w:rsidRPr="0073367E">
        <w:t>(c)</w:t>
      </w:r>
      <w:r w:rsidRPr="0073367E">
        <w:tab/>
      </w:r>
      <w:r w:rsidR="00B5445D" w:rsidRPr="00D96C74">
        <w:rPr>
          <w:noProof/>
        </w:rPr>
        <w:t xml:space="preserve">articolele care sunt evaluate ca fiind neadecvate pentru reutilizare sunt sortate în vederea reciclării, în special a reciclării în circuit închis („fibre-to-fibre”) în cazul în care progresul tehnologic permite acest lucru; </w:t>
      </w:r>
    </w:p>
    <w:p w14:paraId="6ABA92E0" w14:textId="062618CB" w:rsidR="00580C13" w:rsidRPr="00D96C74" w:rsidRDefault="0073367E" w:rsidP="0073367E">
      <w:pPr>
        <w:pStyle w:val="Point1"/>
        <w:rPr>
          <w:noProof/>
        </w:rPr>
      </w:pPr>
      <w:r w:rsidRPr="0073367E">
        <w:t>(d)</w:t>
      </w:r>
      <w:r w:rsidRPr="0073367E">
        <w:tab/>
      </w:r>
      <w:r w:rsidR="0052314D" w:rsidRPr="00D96C74">
        <w:rPr>
          <w:noProof/>
        </w:rPr>
        <w:t>articolele rezultate în urma operațiunilor de sortare și valorificare ulterioară în vederea reutilizării îndeplinesc criteriile pentru a nu mai fi considerate deșeuri, astfel cum se menționează la articolul </w:t>
      </w:r>
      <w:r w:rsidR="0052314D" w:rsidRPr="00D020C3">
        <w:rPr>
          <w:noProof/>
        </w:rPr>
        <w:t>6</w:t>
      </w:r>
      <w:r w:rsidR="0052314D" w:rsidRPr="00D96C74">
        <w:rPr>
          <w:noProof/>
        </w:rPr>
        <w:t>.</w:t>
      </w:r>
    </w:p>
    <w:p w14:paraId="5CF14D67" w14:textId="19845E65" w:rsidR="00580C13" w:rsidRPr="00D96C74" w:rsidRDefault="0073367E" w:rsidP="0073367E">
      <w:pPr>
        <w:pStyle w:val="ManualNumPar1"/>
        <w:rPr>
          <w:rFonts w:eastAsia="Calibri"/>
          <w:noProof/>
          <w:szCs w:val="24"/>
        </w:rPr>
      </w:pPr>
      <w:r w:rsidRPr="0073367E">
        <w:t>6.</w:t>
      </w:r>
      <w:r w:rsidRPr="0073367E">
        <w:tab/>
      </w:r>
      <w:r w:rsidR="00580C13" w:rsidRPr="00D96C74">
        <w:rPr>
          <w:noProof/>
        </w:rPr>
        <w:t xml:space="preserve">Până la </w:t>
      </w:r>
      <w:r w:rsidR="00580C13" w:rsidRPr="00D020C3">
        <w:rPr>
          <w:noProof/>
        </w:rPr>
        <w:t>31</w:t>
      </w:r>
      <w:r w:rsidR="00580C13" w:rsidRPr="00D96C74">
        <w:rPr>
          <w:noProof/>
        </w:rPr>
        <w:t xml:space="preserve"> decembrie </w:t>
      </w:r>
      <w:r w:rsidR="00580C13" w:rsidRPr="00D020C3">
        <w:rPr>
          <w:noProof/>
        </w:rPr>
        <w:t>2025</w:t>
      </w:r>
      <w:r w:rsidR="00580C13" w:rsidRPr="00D96C74">
        <w:rPr>
          <w:noProof/>
        </w:rPr>
        <w:t xml:space="preserve"> și, ulterior, o dată la </w:t>
      </w:r>
      <w:r w:rsidR="00580C13" w:rsidRPr="00D020C3">
        <w:rPr>
          <w:noProof/>
        </w:rPr>
        <w:t>5</w:t>
      </w:r>
      <w:r w:rsidR="00580C13" w:rsidRPr="00D96C74">
        <w:rPr>
          <w:noProof/>
        </w:rPr>
        <w:t xml:space="preserve"> ani, statele membre efectuează o anchetă privind compoziția deșeurilor municipale mixte colectate pentru a determina ponderea deșeurilor textile din acestea. Statele membre se asigură că, pe baza informațiilor obținute, autoritățile competente pot solicita organizațiilor care implementează răspunderea extinsă a producătorului să ia măsuri corective pentru a-și extinde rețeaua de puncte de colectare și să desfășoare campanii de informare în conformitate cu articolul </w:t>
      </w:r>
      <w:r w:rsidR="00580C13" w:rsidRPr="00D020C3">
        <w:rPr>
          <w:noProof/>
        </w:rPr>
        <w:t>22</w:t>
      </w:r>
      <w:r w:rsidR="00580C13" w:rsidRPr="00D96C74">
        <w:rPr>
          <w:noProof/>
        </w:rPr>
        <w:t>c alineatele (</w:t>
      </w:r>
      <w:r w:rsidR="00580C13" w:rsidRPr="00D020C3">
        <w:rPr>
          <w:noProof/>
        </w:rPr>
        <w:t>13</w:t>
      </w:r>
      <w:r w:rsidR="00580C13" w:rsidRPr="00D96C74">
        <w:rPr>
          <w:noProof/>
        </w:rPr>
        <w:t>) și (</w:t>
      </w:r>
      <w:r w:rsidR="00580C13" w:rsidRPr="00D020C3">
        <w:rPr>
          <w:noProof/>
        </w:rPr>
        <w:t>14</w:t>
      </w:r>
      <w:r w:rsidR="00580C13" w:rsidRPr="00D96C74">
        <w:rPr>
          <w:noProof/>
        </w:rPr>
        <w:t>).</w:t>
      </w:r>
    </w:p>
    <w:p w14:paraId="30334734" w14:textId="5E2DAE4B" w:rsidR="00580C13" w:rsidRPr="00D96C74" w:rsidRDefault="0073367E" w:rsidP="0073367E">
      <w:pPr>
        <w:pStyle w:val="ManualNumPar1"/>
        <w:rPr>
          <w:noProof/>
        </w:rPr>
      </w:pPr>
      <w:r w:rsidRPr="0073367E">
        <w:t>7.</w:t>
      </w:r>
      <w:r w:rsidRPr="0073367E">
        <w:tab/>
      </w:r>
      <w:r w:rsidR="008F56CA" w:rsidRPr="00D96C74">
        <w:rPr>
          <w:noProof/>
        </w:rPr>
        <w:t>Statele membre se asigură că, pentru a se face distincția între textilele uzate și deșeurile de textile, expedierile de produse textile, asociate textilelor și de încălțăminte uzate suspectate a fi deșeuri pot fi inspectate de autoritățile competente ale statelor membre pentru a se verifica respectarea cerințelor minime stabilite la alineatele (</w:t>
      </w:r>
      <w:r w:rsidR="008F56CA" w:rsidRPr="00D020C3">
        <w:rPr>
          <w:noProof/>
        </w:rPr>
        <w:t>8</w:t>
      </w:r>
      <w:r w:rsidR="008F56CA" w:rsidRPr="00D96C74">
        <w:rPr>
          <w:noProof/>
        </w:rPr>
        <w:t>) și (</w:t>
      </w:r>
      <w:r w:rsidR="008F56CA" w:rsidRPr="00D020C3">
        <w:rPr>
          <w:noProof/>
        </w:rPr>
        <w:t>9</w:t>
      </w:r>
      <w:r w:rsidR="008F56CA" w:rsidRPr="00D96C74">
        <w:rPr>
          <w:noProof/>
        </w:rPr>
        <w:t>) pentru expedierile de produse textile, asociate textilelor și de încălțăminte uzate aflate pe lista din anexa IVc și pot fi monitorizate în consecință.</w:t>
      </w:r>
    </w:p>
    <w:p w14:paraId="3572DE9D" w14:textId="1F7B7469" w:rsidR="00354149" w:rsidRPr="00D96C74" w:rsidRDefault="0073367E" w:rsidP="0073367E">
      <w:pPr>
        <w:pStyle w:val="ManualNumPar1"/>
        <w:rPr>
          <w:noProof/>
        </w:rPr>
      </w:pPr>
      <w:r w:rsidRPr="0073367E">
        <w:t>8.</w:t>
      </w:r>
      <w:r w:rsidRPr="0073367E">
        <w:tab/>
      </w:r>
      <w:r w:rsidR="00354149" w:rsidRPr="00D96C74">
        <w:rPr>
          <w:noProof/>
        </w:rPr>
        <w:t>Statele membre se asigură că expedierile organizate cu titlu profesional de produse textile, asociate textilelor și de încălțăminte uzate respectă cerințele minime în materie de păstrare a evidențelor prevăzute la alineatul (</w:t>
      </w:r>
      <w:r w:rsidR="00354149" w:rsidRPr="00D020C3">
        <w:rPr>
          <w:noProof/>
        </w:rPr>
        <w:t>9</w:t>
      </w:r>
      <w:r w:rsidR="00354149" w:rsidRPr="00D96C74">
        <w:rPr>
          <w:noProof/>
        </w:rPr>
        <w:t>) și sunt însoțite de cel puțin următoarele informații:</w:t>
      </w:r>
    </w:p>
    <w:p w14:paraId="12D2ECE1" w14:textId="74E8BBD9" w:rsidR="00354149" w:rsidRPr="00D96C74" w:rsidRDefault="0073367E" w:rsidP="0073367E">
      <w:pPr>
        <w:pStyle w:val="Point1"/>
        <w:rPr>
          <w:noProof/>
        </w:rPr>
      </w:pPr>
      <w:r w:rsidRPr="0073367E">
        <w:t>(a)</w:t>
      </w:r>
      <w:r w:rsidRPr="0073367E">
        <w:tab/>
      </w:r>
      <w:r w:rsidR="00354149" w:rsidRPr="00D96C74">
        <w:rPr>
          <w:noProof/>
        </w:rPr>
        <w:t>o copie a facturii și a contractului privind vânzarea sau transferul dreptului de proprietate asupra produselor textile, asociate textilelor și de încălțăminte, în care se precizează că acestea sunt destinate reutilizării directe și că sunt adecvate pentru reutilizare directă; </w:t>
      </w:r>
    </w:p>
    <w:p w14:paraId="40D61DEC" w14:textId="17DC2E4B" w:rsidR="00354149" w:rsidRPr="00D96C74" w:rsidRDefault="0073367E" w:rsidP="0073367E">
      <w:pPr>
        <w:pStyle w:val="Point1"/>
        <w:rPr>
          <w:noProof/>
        </w:rPr>
      </w:pPr>
      <w:r w:rsidRPr="0073367E">
        <w:t>(b)</w:t>
      </w:r>
      <w:r w:rsidRPr="0073367E">
        <w:tab/>
      </w:r>
      <w:r w:rsidR="00354149" w:rsidRPr="00D96C74">
        <w:rPr>
          <w:noProof/>
        </w:rPr>
        <w:t>dovada unei operațiuni de sortare prealabile efectuate în conformitate cu prezentul articol și, dacă sunt disponibile, criteriile adoptate în temeiul articolului </w:t>
      </w:r>
      <w:r w:rsidR="00354149" w:rsidRPr="00D020C3">
        <w:rPr>
          <w:noProof/>
        </w:rPr>
        <w:t>6</w:t>
      </w:r>
      <w:r w:rsidR="00354149" w:rsidRPr="00D96C74">
        <w:rPr>
          <w:noProof/>
        </w:rPr>
        <w:t xml:space="preserve"> alineatul (</w:t>
      </w:r>
      <w:r w:rsidR="00354149" w:rsidRPr="00D020C3">
        <w:rPr>
          <w:noProof/>
        </w:rPr>
        <w:t>2</w:t>
      </w:r>
      <w:r w:rsidR="00354149" w:rsidRPr="00D96C74">
        <w:rPr>
          <w:noProof/>
        </w:rPr>
        <w:t>), sub forma unei copii a evidențelor referitoare la fiecare balot din cadrul transportului și a unui protocol care să conțină toate informațiile din evidențele prevăzute la alineatul (</w:t>
      </w:r>
      <w:r w:rsidR="00354149" w:rsidRPr="00D020C3">
        <w:rPr>
          <w:noProof/>
        </w:rPr>
        <w:t>9</w:t>
      </w:r>
      <w:r w:rsidR="00354149" w:rsidRPr="00D96C74">
        <w:rPr>
          <w:noProof/>
        </w:rPr>
        <w:t xml:space="preserve">); </w:t>
      </w:r>
    </w:p>
    <w:p w14:paraId="7146CAB0" w14:textId="25751610" w:rsidR="00354149" w:rsidRPr="00D96C74" w:rsidRDefault="0073367E" w:rsidP="0073367E">
      <w:pPr>
        <w:pStyle w:val="Point1"/>
        <w:rPr>
          <w:noProof/>
        </w:rPr>
      </w:pPr>
      <w:r w:rsidRPr="0073367E">
        <w:t>(c)</w:t>
      </w:r>
      <w:r w:rsidRPr="0073367E">
        <w:tab/>
      </w:r>
      <w:r w:rsidR="00354149" w:rsidRPr="00D96C74">
        <w:rPr>
          <w:noProof/>
        </w:rPr>
        <w:t>o declarație dată de persoana fizică sau juridică care deține produsele textile, asociate textilelor și de încălțăminte uzate și care organizează, cu titlu profesional, transportul produselor textile, asociate textilelor și de încălțăminte uzate, conform căreia niciunul dintre materialele din cadrul transportului nu constituie deșeuri, astfel cum sunt definite la articolul </w:t>
      </w:r>
      <w:r w:rsidR="00354149" w:rsidRPr="00D020C3">
        <w:rPr>
          <w:noProof/>
        </w:rPr>
        <w:t>3</w:t>
      </w:r>
      <w:r w:rsidR="00354149" w:rsidRPr="00D96C74">
        <w:rPr>
          <w:noProof/>
        </w:rPr>
        <w:t xml:space="preserve"> punctul </w:t>
      </w:r>
      <w:r w:rsidR="00354149" w:rsidRPr="00D020C3">
        <w:rPr>
          <w:noProof/>
        </w:rPr>
        <w:t>1</w:t>
      </w:r>
      <w:r w:rsidR="00354149" w:rsidRPr="00D96C74">
        <w:rPr>
          <w:noProof/>
        </w:rPr>
        <w:t>;  </w:t>
      </w:r>
    </w:p>
    <w:p w14:paraId="43DAA79E" w14:textId="2B1D7DEF" w:rsidR="00354149" w:rsidRPr="00D96C74" w:rsidRDefault="0073367E" w:rsidP="0073367E">
      <w:pPr>
        <w:pStyle w:val="Point1"/>
        <w:rPr>
          <w:noProof/>
        </w:rPr>
      </w:pPr>
      <w:r w:rsidRPr="0073367E">
        <w:t>(d)</w:t>
      </w:r>
      <w:r w:rsidRPr="0073367E">
        <w:tab/>
      </w:r>
      <w:r w:rsidR="00354149" w:rsidRPr="00D96C74">
        <w:rPr>
          <w:noProof/>
        </w:rPr>
        <w:t>protecție corespunzătoare împotriva deteriorării în timpul transportului, al încărcării și al descărcării, în special prin asigurarea ambalării suficiente și prin stivuirea corespunzătoare a încărcăturii. </w:t>
      </w:r>
    </w:p>
    <w:p w14:paraId="3983AC13" w14:textId="799D85A8" w:rsidR="00CB12C5" w:rsidRPr="00D96C74" w:rsidRDefault="0073367E" w:rsidP="0073367E">
      <w:pPr>
        <w:pStyle w:val="ManualNumPar1"/>
        <w:rPr>
          <w:noProof/>
        </w:rPr>
      </w:pPr>
      <w:r w:rsidRPr="0073367E">
        <w:t>9.</w:t>
      </w:r>
      <w:r w:rsidRPr="0073367E">
        <w:tab/>
      </w:r>
      <w:r w:rsidR="0050662E" w:rsidRPr="00D96C74">
        <w:rPr>
          <w:noProof/>
        </w:rPr>
        <w:t>Statele membre se asigură că expedierile de produse textile, asociate textilelor și de încălțăminte uzate respectă următoarele cerințe minime de păstrare a evidențelor:</w:t>
      </w:r>
    </w:p>
    <w:p w14:paraId="72EB139E" w14:textId="6A8E8BFE" w:rsidR="0050662E" w:rsidRPr="00D96C74" w:rsidRDefault="0073367E" w:rsidP="0073367E">
      <w:pPr>
        <w:pStyle w:val="Point1"/>
        <w:rPr>
          <w:noProof/>
        </w:rPr>
      </w:pPr>
      <w:r w:rsidRPr="0073367E">
        <w:t>(a)</w:t>
      </w:r>
      <w:r w:rsidRPr="0073367E">
        <w:tab/>
      </w:r>
      <w:r w:rsidR="0050662E" w:rsidRPr="00D96C74">
        <w:rPr>
          <w:noProof/>
        </w:rPr>
        <w:t xml:space="preserve">documentul care atestă operațiunile de sortare sau de pregătire pentru reutilizare este fixat solid, dar nu permanent pe ambalaj; </w:t>
      </w:r>
    </w:p>
    <w:p w14:paraId="3F5C76A1" w14:textId="77777777" w:rsidR="0050662E" w:rsidRPr="00D96C74" w:rsidRDefault="0050662E" w:rsidP="0050662E">
      <w:pPr>
        <w:spacing w:after="0"/>
        <w:ind w:left="1410" w:hanging="555"/>
        <w:textAlignment w:val="baseline"/>
        <w:rPr>
          <w:rFonts w:ascii="Segoe UI" w:eastAsia="Times New Roman" w:hAnsi="Segoe UI" w:cs="Segoe UI"/>
          <w:noProof/>
          <w:sz w:val="18"/>
          <w:szCs w:val="18"/>
        </w:rPr>
      </w:pPr>
      <w:r w:rsidRPr="00D96C74">
        <w:rPr>
          <w:noProof/>
        </w:rPr>
        <w:t>(b)</w:t>
      </w:r>
      <w:r w:rsidRPr="00D96C74">
        <w:rPr>
          <w:noProof/>
        </w:rPr>
        <w:tab/>
        <w:t xml:space="preserve">documentul respectiv conține următoarele informații: </w:t>
      </w:r>
    </w:p>
    <w:p w14:paraId="593FDD6C" w14:textId="157953BF" w:rsidR="0050662E" w:rsidRPr="00D96C74" w:rsidRDefault="0073367E" w:rsidP="0073367E">
      <w:pPr>
        <w:pStyle w:val="Point2"/>
        <w:rPr>
          <w:rFonts w:ascii="Segoe UI" w:hAnsi="Segoe UI" w:cs="Segoe UI"/>
          <w:noProof/>
          <w:sz w:val="18"/>
          <w:szCs w:val="18"/>
        </w:rPr>
      </w:pPr>
      <w:r w:rsidRPr="0073367E">
        <w:t>(1)</w:t>
      </w:r>
      <w:r w:rsidRPr="0073367E">
        <w:tab/>
      </w:r>
      <w:r w:rsidR="0050662E" w:rsidRPr="00D96C74">
        <w:rPr>
          <w:noProof/>
        </w:rPr>
        <w:t xml:space="preserve">o descriere a articolului sau a articolelor prezent(e) în balot, care să conțină cu cea mai mare granularitate posibilă informații privind operațiunile de sortare la care au fost supuse articolele textile în timpul operațiunilor de sortare sau de pregătire pentru reutilizare, cum ar fi tipul articolelor de îmbrăcăminte, mărimea, culoarea, sexul, compoziția materialului; </w:t>
      </w:r>
    </w:p>
    <w:p w14:paraId="53926566" w14:textId="0E956CBD" w:rsidR="0050662E" w:rsidRPr="00D96C74" w:rsidRDefault="0073367E" w:rsidP="0073367E">
      <w:pPr>
        <w:pStyle w:val="Point2"/>
        <w:rPr>
          <w:noProof/>
        </w:rPr>
      </w:pPr>
      <w:r w:rsidRPr="0073367E">
        <w:t>(2)</w:t>
      </w:r>
      <w:r w:rsidRPr="0073367E">
        <w:tab/>
      </w:r>
      <w:r w:rsidR="0050662E" w:rsidRPr="00D96C74">
        <w:rPr>
          <w:noProof/>
        </w:rPr>
        <w:t>denumirea și adresa societății responsabile pentru sortarea finală sau pregătirea pentru reutilizare.</w:t>
      </w:r>
    </w:p>
    <w:p w14:paraId="2D63997B" w14:textId="1325074A" w:rsidR="00580C13" w:rsidRPr="00D96C74" w:rsidRDefault="0073367E" w:rsidP="0073367E">
      <w:pPr>
        <w:pStyle w:val="ManualNumPar1"/>
        <w:rPr>
          <w:noProof/>
        </w:rPr>
      </w:pPr>
      <w:r w:rsidRPr="0073367E">
        <w:t>10.</w:t>
      </w:r>
      <w:r w:rsidRPr="0073367E">
        <w:tab/>
      </w:r>
      <w:r w:rsidR="008F56CA" w:rsidRPr="00D96C74">
        <w:rPr>
          <w:noProof/>
        </w:rPr>
        <w:t>Statele membre se asigură că, în cazul în care autoritățile competente dintr-un stat membru stabilesc că o expediere preconizată de produse textile, asociate textilelor și de încălțăminte uzate conține de fapt deșeuri, costurile aferente analizelor, inspectării și depozitării corespunzătoare a produselor textile, asociate textilelor și de încălțăminte uzate suspectate a fi deșeuri pot fi imputate producătorilor produselor textile, asociate textilelor și de încălțăminte aflate pe lista din anexa IVc, terților care acționează în numele acestora sau altor persoane care organizează expedierea.</w:t>
      </w:r>
    </w:p>
    <w:p w14:paraId="6103C445" w14:textId="299178F1" w:rsidR="00B24CA9" w:rsidRPr="00D96C74" w:rsidRDefault="063B0436" w:rsidP="00B24CA9">
      <w:pPr>
        <w:pStyle w:val="Text1"/>
        <w:rPr>
          <w:noProof/>
        </w:rPr>
      </w:pPr>
      <w:r w:rsidRPr="00D96C74">
        <w:rPr>
          <w:noProof/>
        </w:rPr>
        <w:t>* Regulamentul (CEE) nr. </w:t>
      </w:r>
      <w:r w:rsidRPr="00D020C3">
        <w:rPr>
          <w:noProof/>
        </w:rPr>
        <w:t>2658</w:t>
      </w:r>
      <w:r w:rsidRPr="00D96C74">
        <w:rPr>
          <w:noProof/>
        </w:rPr>
        <w:t>/</w:t>
      </w:r>
      <w:r w:rsidRPr="00D020C3">
        <w:rPr>
          <w:noProof/>
        </w:rPr>
        <w:t>87</w:t>
      </w:r>
      <w:r w:rsidRPr="00D96C74">
        <w:rPr>
          <w:noProof/>
        </w:rPr>
        <w:t xml:space="preserve"> al Consiliului din </w:t>
      </w:r>
      <w:r w:rsidRPr="00D020C3">
        <w:rPr>
          <w:noProof/>
        </w:rPr>
        <w:t>23</w:t>
      </w:r>
      <w:r w:rsidRPr="00D96C74">
        <w:rPr>
          <w:noProof/>
        </w:rPr>
        <w:t xml:space="preserve"> iulie </w:t>
      </w:r>
      <w:r w:rsidRPr="00D020C3">
        <w:rPr>
          <w:noProof/>
        </w:rPr>
        <w:t>1987</w:t>
      </w:r>
      <w:r w:rsidRPr="00D96C74">
        <w:rPr>
          <w:noProof/>
        </w:rPr>
        <w:t xml:space="preserve"> privind Nomenclatura tarifară și statistică și Tariful vamal comun (JO L </w:t>
      </w:r>
      <w:r w:rsidRPr="00D020C3">
        <w:rPr>
          <w:noProof/>
        </w:rPr>
        <w:t>256</w:t>
      </w:r>
      <w:r w:rsidRPr="00D96C74">
        <w:rPr>
          <w:noProof/>
        </w:rPr>
        <w:t xml:space="preserve">, </w:t>
      </w:r>
      <w:r w:rsidRPr="00D020C3">
        <w:rPr>
          <w:noProof/>
        </w:rPr>
        <w:t>7</w:t>
      </w:r>
      <w:r w:rsidRPr="00D96C74">
        <w:rPr>
          <w:noProof/>
        </w:rPr>
        <w:t>.</w:t>
      </w:r>
      <w:r w:rsidRPr="00D020C3">
        <w:rPr>
          <w:noProof/>
        </w:rPr>
        <w:t>9</w:t>
      </w:r>
      <w:r w:rsidRPr="00D96C74">
        <w:rPr>
          <w:noProof/>
        </w:rPr>
        <w:t>.</w:t>
      </w:r>
      <w:r w:rsidRPr="00D020C3">
        <w:rPr>
          <w:noProof/>
        </w:rPr>
        <w:t>1987</w:t>
      </w:r>
      <w:r w:rsidRPr="00D96C74">
        <w:rPr>
          <w:noProof/>
        </w:rPr>
        <w:t>, p. </w:t>
      </w:r>
      <w:r w:rsidRPr="00D020C3">
        <w:rPr>
          <w:noProof/>
        </w:rPr>
        <w:t>1</w:t>
      </w:r>
      <w:r w:rsidRPr="00D96C74">
        <w:rPr>
          <w:noProof/>
        </w:rPr>
        <w:t>).</w:t>
      </w:r>
    </w:p>
    <w:p w14:paraId="688D7AEF" w14:textId="416F341E" w:rsidR="7B91D415" w:rsidRPr="00D96C74" w:rsidRDefault="063B0436" w:rsidP="00B24CA9">
      <w:pPr>
        <w:pStyle w:val="Text1"/>
        <w:rPr>
          <w:noProof/>
        </w:rPr>
      </w:pPr>
      <w:r w:rsidRPr="00D96C74">
        <w:rPr>
          <w:noProof/>
        </w:rPr>
        <w:t>** Regulamentul …/… (JO …..p. [O.P. a se introduce detaliile publicării Regulamentului privind proiectarea ecologică a produselor sustenabile]”.</w:t>
      </w:r>
    </w:p>
    <w:p w14:paraId="16B203EF" w14:textId="77777777" w:rsidR="00817D9C" w:rsidRPr="00D96C74" w:rsidRDefault="002A14C6" w:rsidP="0020411B">
      <w:pPr>
        <w:pStyle w:val="ListNumber1"/>
        <w:rPr>
          <w:noProof/>
        </w:rPr>
      </w:pPr>
      <w:r w:rsidRPr="00D96C74">
        <w:rPr>
          <w:noProof/>
        </w:rPr>
        <w:t xml:space="preserve">La articolul </w:t>
      </w:r>
      <w:r w:rsidRPr="00D020C3">
        <w:rPr>
          <w:noProof/>
        </w:rPr>
        <w:t>29</w:t>
      </w:r>
      <w:r w:rsidRPr="00D96C74">
        <w:rPr>
          <w:noProof/>
        </w:rPr>
        <w:t>, alineatul (</w:t>
      </w:r>
      <w:r w:rsidRPr="00D020C3">
        <w:rPr>
          <w:noProof/>
        </w:rPr>
        <w:t>2</w:t>
      </w:r>
      <w:r w:rsidRPr="00D96C74">
        <w:rPr>
          <w:noProof/>
        </w:rPr>
        <w:t>a) se elimină.</w:t>
      </w:r>
    </w:p>
    <w:p w14:paraId="464DAAE3" w14:textId="77777777" w:rsidR="004E5F39" w:rsidRPr="00D96C74" w:rsidRDefault="002A14C6" w:rsidP="0020411B">
      <w:pPr>
        <w:pStyle w:val="ListNumber1"/>
        <w:rPr>
          <w:noProof/>
        </w:rPr>
      </w:pPr>
      <w:r w:rsidRPr="00D96C74">
        <w:rPr>
          <w:noProof/>
        </w:rPr>
        <w:t xml:space="preserve">Se introduce următorul articol </w:t>
      </w:r>
      <w:r w:rsidRPr="00D020C3">
        <w:rPr>
          <w:noProof/>
        </w:rPr>
        <w:t>29</w:t>
      </w:r>
      <w:r w:rsidRPr="00D96C74">
        <w:rPr>
          <w:noProof/>
        </w:rPr>
        <w:t>a:</w:t>
      </w:r>
    </w:p>
    <w:p w14:paraId="2CA18FBF" w14:textId="77777777" w:rsidR="00EF684D" w:rsidRPr="008D4D1E" w:rsidRDefault="65C314A3" w:rsidP="00EF684D">
      <w:pPr>
        <w:pStyle w:val="Titrearticle"/>
        <w:rPr>
          <w:noProof/>
        </w:rPr>
      </w:pPr>
      <w:r w:rsidRPr="008D4D1E">
        <w:rPr>
          <w:noProof/>
        </w:rPr>
        <w:t>„Articolul 29a</w:t>
      </w:r>
    </w:p>
    <w:p w14:paraId="4D145E97" w14:textId="77777777" w:rsidR="00EF684D" w:rsidRPr="00D020C3" w:rsidRDefault="00EF684D" w:rsidP="00EF684D">
      <w:pPr>
        <w:pStyle w:val="Titrearticle"/>
        <w:rPr>
          <w:b/>
          <w:bCs/>
          <w:i w:val="0"/>
          <w:iCs/>
          <w:noProof/>
        </w:rPr>
      </w:pPr>
      <w:r w:rsidRPr="00D020C3">
        <w:rPr>
          <w:b/>
          <w:i w:val="0"/>
          <w:noProof/>
        </w:rPr>
        <w:t>Programe de prevenire a generării de deșeuri alimentare</w:t>
      </w:r>
    </w:p>
    <w:p w14:paraId="217D9648" w14:textId="098A211D" w:rsidR="00EF684D" w:rsidRPr="00D96C74" w:rsidRDefault="0073367E" w:rsidP="0073367E">
      <w:pPr>
        <w:pStyle w:val="ManualNumPar1"/>
        <w:rPr>
          <w:noProof/>
        </w:rPr>
      </w:pPr>
      <w:r w:rsidRPr="0073367E">
        <w:t>1.</w:t>
      </w:r>
      <w:r w:rsidRPr="0073367E">
        <w:tab/>
      </w:r>
      <w:r w:rsidR="00480860" w:rsidRPr="00D96C74">
        <w:rPr>
          <w:noProof/>
        </w:rPr>
        <w:t>Până la [</w:t>
      </w:r>
      <w:r w:rsidR="00480860" w:rsidRPr="008D4D1E">
        <w:rPr>
          <w:i/>
          <w:noProof/>
        </w:rPr>
        <w:t>O.P. a se introduce data – doi ani de la intrarea în vigoare a prezentei directive de modificare</w:t>
      </w:r>
      <w:r w:rsidR="00480860" w:rsidRPr="00D96C74">
        <w:rPr>
          <w:noProof/>
        </w:rPr>
        <w:t>], statele membre își revizuiesc și își adaptează programele de prevenire a generării de deșeuri alimentare, în vederea atingerii obiectivelor prevăzute la articolul </w:t>
      </w:r>
      <w:r w:rsidR="00480860" w:rsidRPr="00D020C3">
        <w:rPr>
          <w:noProof/>
        </w:rPr>
        <w:t>9</w:t>
      </w:r>
      <w:r w:rsidR="00480860" w:rsidRPr="00D96C74">
        <w:rPr>
          <w:noProof/>
        </w:rPr>
        <w:t>a alineatul (</w:t>
      </w:r>
      <w:r w:rsidR="00480860" w:rsidRPr="00D020C3">
        <w:rPr>
          <w:noProof/>
        </w:rPr>
        <w:t>4</w:t>
      </w:r>
      <w:r w:rsidR="00480860" w:rsidRPr="00D96C74">
        <w:rPr>
          <w:noProof/>
        </w:rPr>
        <w:t>). Programele respective conțin cel puțin măsurile prevăzute la articolul </w:t>
      </w:r>
      <w:r w:rsidR="00480860" w:rsidRPr="00D020C3">
        <w:rPr>
          <w:noProof/>
        </w:rPr>
        <w:t>9</w:t>
      </w:r>
      <w:r w:rsidR="00480860" w:rsidRPr="00D96C74">
        <w:rPr>
          <w:noProof/>
        </w:rPr>
        <w:t xml:space="preserve"> alineatul (</w:t>
      </w:r>
      <w:r w:rsidR="00480860" w:rsidRPr="00D020C3">
        <w:rPr>
          <w:noProof/>
        </w:rPr>
        <w:t>1</w:t>
      </w:r>
      <w:r w:rsidR="00480860" w:rsidRPr="00D96C74">
        <w:rPr>
          <w:noProof/>
        </w:rPr>
        <w:t xml:space="preserve">) și la articolul </w:t>
      </w:r>
      <w:r w:rsidR="00480860" w:rsidRPr="00D020C3">
        <w:rPr>
          <w:noProof/>
        </w:rPr>
        <w:t>9</w:t>
      </w:r>
      <w:r w:rsidR="00480860" w:rsidRPr="00D96C74">
        <w:rPr>
          <w:noProof/>
        </w:rPr>
        <w:t>a alineatul (</w:t>
      </w:r>
      <w:r w:rsidR="00480860" w:rsidRPr="00D020C3">
        <w:rPr>
          <w:noProof/>
        </w:rPr>
        <w:t>1</w:t>
      </w:r>
      <w:r w:rsidR="00480860" w:rsidRPr="00D96C74">
        <w:rPr>
          <w:noProof/>
        </w:rPr>
        <w:t>) și, după caz, măsurile enumerate în anexele IV și IVa.</w:t>
      </w:r>
    </w:p>
    <w:p w14:paraId="69FB104F" w14:textId="3727B651" w:rsidR="00EF684D" w:rsidRPr="00D96C74" w:rsidRDefault="0073367E" w:rsidP="0073367E">
      <w:pPr>
        <w:pStyle w:val="ManualNumPar1"/>
        <w:rPr>
          <w:noProof/>
        </w:rPr>
      </w:pPr>
      <w:r w:rsidRPr="0073367E">
        <w:t>2.</w:t>
      </w:r>
      <w:r w:rsidRPr="0073367E">
        <w:tab/>
      </w:r>
      <w:r w:rsidR="00EF684D" w:rsidRPr="00D96C74">
        <w:rPr>
          <w:noProof/>
        </w:rPr>
        <w:t>Fiecare stat membru desemnează autoritățile competente responsabile cu coordonarea măsurilor de reducere a deșeurilor alimentare puse în aplicare în vederea atingerii obiectivului stabilit la articolul </w:t>
      </w:r>
      <w:r w:rsidR="00EF684D" w:rsidRPr="00D020C3">
        <w:rPr>
          <w:noProof/>
        </w:rPr>
        <w:t>9</w:t>
      </w:r>
      <w:r w:rsidR="00EF684D" w:rsidRPr="00D96C74">
        <w:rPr>
          <w:noProof/>
        </w:rPr>
        <w:t>a alineatul (</w:t>
      </w:r>
      <w:r w:rsidR="00EF684D" w:rsidRPr="00D020C3">
        <w:rPr>
          <w:noProof/>
        </w:rPr>
        <w:t>4</w:t>
      </w:r>
      <w:r w:rsidR="00EF684D" w:rsidRPr="00D96C74">
        <w:rPr>
          <w:noProof/>
        </w:rPr>
        <w:t>) și informează Comisia în acest sens până la [</w:t>
      </w:r>
      <w:r w:rsidR="00EF684D" w:rsidRPr="008D4D1E">
        <w:rPr>
          <w:i/>
          <w:noProof/>
        </w:rPr>
        <w:t>O.P. a se introduce data – în termen de trei luni de la intrarea în vigoare a prezentei directive de modificare</w:t>
      </w:r>
      <w:r w:rsidR="00EF684D" w:rsidRPr="00D96C74">
        <w:rPr>
          <w:noProof/>
        </w:rPr>
        <w:t xml:space="preserve">]. Comisia publică ulterior aceste informații pe site-ul relevant al Uniunii Europene.” </w:t>
      </w:r>
    </w:p>
    <w:p w14:paraId="5FADA3D4" w14:textId="77777777" w:rsidR="00EF684D" w:rsidRPr="00D96C74" w:rsidRDefault="00EF684D" w:rsidP="0020411B">
      <w:pPr>
        <w:pStyle w:val="ListNumber1"/>
        <w:rPr>
          <w:noProof/>
        </w:rPr>
      </w:pPr>
      <w:r w:rsidRPr="00D96C74">
        <w:rPr>
          <w:noProof/>
        </w:rPr>
        <w:t xml:space="preserve">Articolul </w:t>
      </w:r>
      <w:r w:rsidRPr="00D020C3">
        <w:rPr>
          <w:noProof/>
        </w:rPr>
        <w:t>37</w:t>
      </w:r>
      <w:r w:rsidRPr="00D96C74">
        <w:rPr>
          <w:noProof/>
        </w:rPr>
        <w:t xml:space="preserve"> se modifică după cum urmează:</w:t>
      </w:r>
    </w:p>
    <w:p w14:paraId="2372E2E5" w14:textId="77777777" w:rsidR="00EF684D" w:rsidRPr="00D96C74" w:rsidRDefault="4EAFD2BA" w:rsidP="0020411B">
      <w:pPr>
        <w:pStyle w:val="ListNumber1Level2"/>
        <w:rPr>
          <w:noProof/>
        </w:rPr>
      </w:pPr>
      <w:r w:rsidRPr="00D96C74">
        <w:rPr>
          <w:noProof/>
        </w:rPr>
        <w:t>la alineatul (</w:t>
      </w:r>
      <w:r w:rsidRPr="00D020C3">
        <w:rPr>
          <w:noProof/>
        </w:rPr>
        <w:t>3</w:t>
      </w:r>
      <w:r w:rsidRPr="00D96C74">
        <w:rPr>
          <w:noProof/>
        </w:rPr>
        <w:t>), primul paragraf se înlocuiește cu următorul text:</w:t>
      </w:r>
    </w:p>
    <w:p w14:paraId="09772DBB" w14:textId="051726E8" w:rsidR="00EF684D" w:rsidRPr="00D96C74" w:rsidRDefault="00EF684D" w:rsidP="00EF684D">
      <w:pPr>
        <w:pStyle w:val="Text1"/>
        <w:rPr>
          <w:noProof/>
        </w:rPr>
      </w:pPr>
      <w:r w:rsidRPr="00D96C74">
        <w:rPr>
          <w:noProof/>
        </w:rPr>
        <w:t>„Statele membre raportează Agenției Europene de Mediu datele privind punerea în aplicare a articolului </w:t>
      </w:r>
      <w:r w:rsidRPr="00D020C3">
        <w:rPr>
          <w:noProof/>
        </w:rPr>
        <w:t>9</w:t>
      </w:r>
      <w:r w:rsidRPr="00D96C74">
        <w:rPr>
          <w:noProof/>
        </w:rPr>
        <w:t xml:space="preserve"> alineatul (</w:t>
      </w:r>
      <w:r w:rsidRPr="00D020C3">
        <w:rPr>
          <w:noProof/>
        </w:rPr>
        <w:t>4</w:t>
      </w:r>
      <w:r w:rsidRPr="00D96C74">
        <w:rPr>
          <w:noProof/>
        </w:rPr>
        <w:t>) și datele menționate la articolul </w:t>
      </w:r>
      <w:r w:rsidRPr="00D020C3">
        <w:rPr>
          <w:noProof/>
        </w:rPr>
        <w:t>22</w:t>
      </w:r>
      <w:r w:rsidRPr="00D96C74">
        <w:rPr>
          <w:noProof/>
        </w:rPr>
        <w:t>c alineatul (</w:t>
      </w:r>
      <w:r w:rsidRPr="00D020C3">
        <w:rPr>
          <w:noProof/>
        </w:rPr>
        <w:t>17</w:t>
      </w:r>
      <w:r w:rsidRPr="00D96C74">
        <w:rPr>
          <w:noProof/>
        </w:rPr>
        <w:t>) litera (a) în fiecare an calendaristic. Statele membre nu sunt obligate să raporteze date cantitative privind reutilizarea textilelor în temeiul articolului </w:t>
      </w:r>
      <w:r w:rsidRPr="00D020C3">
        <w:rPr>
          <w:noProof/>
        </w:rPr>
        <w:t>9</w:t>
      </w:r>
      <w:r w:rsidRPr="00D96C74">
        <w:rPr>
          <w:noProof/>
        </w:rPr>
        <w:t xml:space="preserve"> alineatul (</w:t>
      </w:r>
      <w:r w:rsidRPr="00D020C3">
        <w:rPr>
          <w:noProof/>
        </w:rPr>
        <w:t>4</w:t>
      </w:r>
      <w:r w:rsidRPr="00D96C74">
        <w:rPr>
          <w:noProof/>
        </w:rPr>
        <w:t>). Statele membre raportează Comisiei datele privind punerea în aplicare a articolului </w:t>
      </w:r>
      <w:r w:rsidRPr="00D020C3">
        <w:rPr>
          <w:noProof/>
        </w:rPr>
        <w:t>9</w:t>
      </w:r>
      <w:r w:rsidRPr="00D96C74">
        <w:rPr>
          <w:noProof/>
        </w:rPr>
        <w:t>a alineatul (</w:t>
      </w:r>
      <w:r w:rsidRPr="00D020C3">
        <w:rPr>
          <w:noProof/>
        </w:rPr>
        <w:t>2</w:t>
      </w:r>
      <w:r w:rsidRPr="00D96C74">
        <w:rPr>
          <w:noProof/>
        </w:rPr>
        <w:t>) în fiecare an calendaristic.”;</w:t>
      </w:r>
    </w:p>
    <w:p w14:paraId="3C221DCD" w14:textId="28497310" w:rsidR="00B56849" w:rsidRPr="00D96C74" w:rsidRDefault="000028CA" w:rsidP="0020411B">
      <w:pPr>
        <w:pStyle w:val="ListNumber1Level2"/>
        <w:rPr>
          <w:noProof/>
        </w:rPr>
      </w:pPr>
      <w:r w:rsidRPr="00D96C74">
        <w:rPr>
          <w:noProof/>
        </w:rPr>
        <w:t>alineatul (</w:t>
      </w:r>
      <w:r w:rsidRPr="00D020C3">
        <w:rPr>
          <w:noProof/>
        </w:rPr>
        <w:t>7</w:t>
      </w:r>
      <w:r w:rsidRPr="00D96C74">
        <w:rPr>
          <w:noProof/>
        </w:rPr>
        <w:t>) se înlocuiește cu următorul text:</w:t>
      </w:r>
    </w:p>
    <w:p w14:paraId="03DE042A" w14:textId="18BDFA92" w:rsidR="002F4529" w:rsidRPr="00D96C74" w:rsidRDefault="005A4B0D" w:rsidP="00B24CA9">
      <w:pPr>
        <w:pStyle w:val="Text1"/>
        <w:rPr>
          <w:noProof/>
        </w:rPr>
      </w:pPr>
      <w:r w:rsidRPr="00D96C74">
        <w:rPr>
          <w:noProof/>
        </w:rPr>
        <w:t>„(</w:t>
      </w:r>
      <w:r w:rsidRPr="00D020C3">
        <w:rPr>
          <w:noProof/>
        </w:rPr>
        <w:t>7</w:t>
      </w:r>
      <w:r w:rsidRPr="00D96C74">
        <w:rPr>
          <w:noProof/>
        </w:rPr>
        <w:t>)</w:t>
      </w:r>
      <w:r w:rsidR="00873632">
        <w:rPr>
          <w:noProof/>
        </w:rPr>
        <w:t xml:space="preserve"> </w:t>
      </w:r>
      <w:r w:rsidRPr="00D96C74">
        <w:rPr>
          <w:noProof/>
        </w:rPr>
        <w:t>Comisia adoptă acte de punere în aplicare care stabilesc formatul pentru raportarea datelor menționate la alineatele (</w:t>
      </w:r>
      <w:r w:rsidRPr="00D020C3">
        <w:rPr>
          <w:noProof/>
        </w:rPr>
        <w:t>1</w:t>
      </w:r>
      <w:r w:rsidRPr="00D96C74">
        <w:rPr>
          <w:noProof/>
        </w:rPr>
        <w:t>), (</w:t>
      </w:r>
      <w:r w:rsidRPr="00D020C3">
        <w:rPr>
          <w:noProof/>
        </w:rPr>
        <w:t>3</w:t>
      </w:r>
      <w:r w:rsidRPr="00D96C74">
        <w:rPr>
          <w:noProof/>
        </w:rPr>
        <w:t>), (</w:t>
      </w:r>
      <w:r w:rsidRPr="00D020C3">
        <w:rPr>
          <w:noProof/>
        </w:rPr>
        <w:t>4</w:t>
      </w:r>
      <w:r w:rsidRPr="00D96C74">
        <w:rPr>
          <w:noProof/>
        </w:rPr>
        <w:t>) și (</w:t>
      </w:r>
      <w:r w:rsidRPr="00D020C3">
        <w:rPr>
          <w:noProof/>
        </w:rPr>
        <w:t>5</w:t>
      </w:r>
      <w:r w:rsidRPr="00D96C74">
        <w:rPr>
          <w:noProof/>
        </w:rPr>
        <w:t xml:space="preserve">) ale prezentului articol. În scopul raportării privind punerea în aplicare a articolului </w:t>
      </w:r>
      <w:r w:rsidRPr="00D020C3">
        <w:rPr>
          <w:noProof/>
        </w:rPr>
        <w:t>11</w:t>
      </w:r>
      <w:r w:rsidRPr="00D96C74">
        <w:rPr>
          <w:noProof/>
        </w:rPr>
        <w:t xml:space="preserve"> alineatul (</w:t>
      </w:r>
      <w:r w:rsidRPr="00D020C3">
        <w:rPr>
          <w:noProof/>
        </w:rPr>
        <w:t>2</w:t>
      </w:r>
      <w:r w:rsidRPr="00D96C74">
        <w:rPr>
          <w:noProof/>
        </w:rPr>
        <w:t xml:space="preserve">) literele (a) și (b), statele membre utilizează formatul stabilit în Decizia de punere în aplicare a Comisiei din </w:t>
      </w:r>
      <w:r w:rsidRPr="00D020C3">
        <w:rPr>
          <w:noProof/>
        </w:rPr>
        <w:t>18</w:t>
      </w:r>
      <w:r w:rsidRPr="00D96C74">
        <w:rPr>
          <w:noProof/>
        </w:rPr>
        <w:t xml:space="preserve"> aprilie </w:t>
      </w:r>
      <w:r w:rsidRPr="00D020C3">
        <w:rPr>
          <w:noProof/>
        </w:rPr>
        <w:t>2012</w:t>
      </w:r>
      <w:r w:rsidRPr="00D96C74">
        <w:rPr>
          <w:noProof/>
        </w:rPr>
        <w:t xml:space="preserve"> privind stabilirea unui chestionar pentru rapoartele statelor membre privind punerea în aplicare a Directivei </w:t>
      </w:r>
      <w:r w:rsidRPr="00D020C3">
        <w:rPr>
          <w:noProof/>
        </w:rPr>
        <w:t>2008</w:t>
      </w:r>
      <w:r w:rsidRPr="00D96C74">
        <w:rPr>
          <w:noProof/>
        </w:rPr>
        <w:t>/</w:t>
      </w:r>
      <w:r w:rsidRPr="00D020C3">
        <w:rPr>
          <w:noProof/>
        </w:rPr>
        <w:t>98</w:t>
      </w:r>
      <w:r w:rsidRPr="00D96C74">
        <w:rPr>
          <w:noProof/>
        </w:rPr>
        <w:t xml:space="preserve">/CE a Parlamentului European și a Consiliului privind deșeurile. În scopul raportării privind deșeurile alimentare, la elaborarea formatului de raportare se ia în considerare metodologia elaborată în conformitate cu articolul </w:t>
      </w:r>
      <w:r w:rsidRPr="00D020C3">
        <w:rPr>
          <w:noProof/>
        </w:rPr>
        <w:t>9</w:t>
      </w:r>
      <w:r w:rsidRPr="00D96C74">
        <w:rPr>
          <w:noProof/>
        </w:rPr>
        <w:t>a alineatul (</w:t>
      </w:r>
      <w:r w:rsidRPr="00D020C3">
        <w:rPr>
          <w:noProof/>
        </w:rPr>
        <w:t>3</w:t>
      </w:r>
      <w:r w:rsidRPr="00D96C74">
        <w:rPr>
          <w:noProof/>
        </w:rPr>
        <w:t xml:space="preserve">). Aceste acte de punere în </w:t>
      </w:r>
      <w:r w:rsidRPr="00D020C3">
        <w:rPr>
          <w:noProof/>
          <w:spacing w:val="-4"/>
        </w:rPr>
        <w:t>aplicare se adoptă în conformitate cu procedura de examinare menționată la articolul 39</w:t>
      </w:r>
      <w:r w:rsidRPr="00D96C74">
        <w:rPr>
          <w:noProof/>
        </w:rPr>
        <w:t xml:space="preserve"> alineatul (</w:t>
      </w:r>
      <w:r w:rsidRPr="00D020C3">
        <w:rPr>
          <w:noProof/>
        </w:rPr>
        <w:t>2</w:t>
      </w:r>
      <w:r w:rsidRPr="00D96C74">
        <w:rPr>
          <w:noProof/>
        </w:rPr>
        <w:t>) din prezenta directivă.”</w:t>
      </w:r>
    </w:p>
    <w:p w14:paraId="775265B1" w14:textId="78A8C57F" w:rsidR="00EF684D" w:rsidRPr="00D96C74" w:rsidRDefault="008F56CA" w:rsidP="0020411B">
      <w:pPr>
        <w:pStyle w:val="ListNumber1"/>
        <w:rPr>
          <w:noProof/>
        </w:rPr>
      </w:pPr>
      <w:r w:rsidRPr="00D96C74">
        <w:rPr>
          <w:noProof/>
        </w:rPr>
        <w:t xml:space="preserve">Articolul </w:t>
      </w:r>
      <w:r w:rsidRPr="00D020C3">
        <w:rPr>
          <w:noProof/>
        </w:rPr>
        <w:t>38</w:t>
      </w:r>
      <w:r w:rsidRPr="00D96C74">
        <w:rPr>
          <w:noProof/>
        </w:rPr>
        <w:t xml:space="preserve"> se modifică după cum urmează:</w:t>
      </w:r>
    </w:p>
    <w:p w14:paraId="7ABB19E2" w14:textId="5BB4DCA2" w:rsidR="008F56CA" w:rsidRPr="00D96C74" w:rsidRDefault="008F56CA" w:rsidP="008F56CA">
      <w:pPr>
        <w:pStyle w:val="ListNumber1Level2"/>
        <w:rPr>
          <w:noProof/>
        </w:rPr>
      </w:pPr>
      <w:r w:rsidRPr="00D96C74">
        <w:rPr>
          <w:noProof/>
        </w:rPr>
        <w:t>alineatele (</w:t>
      </w:r>
      <w:r w:rsidRPr="00D020C3">
        <w:rPr>
          <w:noProof/>
        </w:rPr>
        <w:t>2</w:t>
      </w:r>
      <w:r w:rsidRPr="00D96C74">
        <w:rPr>
          <w:noProof/>
        </w:rPr>
        <w:t>) și (</w:t>
      </w:r>
      <w:r w:rsidRPr="00D020C3">
        <w:rPr>
          <w:noProof/>
        </w:rPr>
        <w:t>3</w:t>
      </w:r>
      <w:r w:rsidRPr="00D96C74">
        <w:rPr>
          <w:noProof/>
        </w:rPr>
        <w:t>) se înlocuiesc cu următorul text:</w:t>
      </w:r>
    </w:p>
    <w:p w14:paraId="2F143E79" w14:textId="65DB552D" w:rsidR="00EF684D" w:rsidRPr="00D96C74" w:rsidRDefault="7BDE4A46" w:rsidP="00B24CA9">
      <w:pPr>
        <w:pStyle w:val="Text1"/>
        <w:rPr>
          <w:noProof/>
        </w:rPr>
      </w:pPr>
      <w:r w:rsidRPr="00D96C74">
        <w:rPr>
          <w:noProof/>
        </w:rPr>
        <w:t>„(</w:t>
      </w:r>
      <w:r w:rsidRPr="00D020C3">
        <w:rPr>
          <w:noProof/>
        </w:rPr>
        <w:t>2</w:t>
      </w:r>
      <w:r w:rsidRPr="00D96C74">
        <w:rPr>
          <w:noProof/>
        </w:rPr>
        <w:t xml:space="preserve">) Competența de a adopta acte delegate menționată la articolul </w:t>
      </w:r>
      <w:r w:rsidRPr="00D020C3">
        <w:rPr>
          <w:noProof/>
        </w:rPr>
        <w:t>7</w:t>
      </w:r>
      <w:r w:rsidRPr="00D96C74">
        <w:rPr>
          <w:noProof/>
        </w:rPr>
        <w:t xml:space="preserve"> alineatul (</w:t>
      </w:r>
      <w:r w:rsidRPr="00D020C3">
        <w:rPr>
          <w:noProof/>
        </w:rPr>
        <w:t>1</w:t>
      </w:r>
      <w:r w:rsidRPr="00D96C74">
        <w:rPr>
          <w:noProof/>
        </w:rPr>
        <w:t xml:space="preserve">), la articolul </w:t>
      </w:r>
      <w:r w:rsidRPr="00D020C3">
        <w:rPr>
          <w:noProof/>
        </w:rPr>
        <w:t>9</w:t>
      </w:r>
      <w:r w:rsidRPr="00D96C74">
        <w:rPr>
          <w:noProof/>
        </w:rPr>
        <w:t>a alineatul (</w:t>
      </w:r>
      <w:r w:rsidRPr="00D020C3">
        <w:rPr>
          <w:noProof/>
        </w:rPr>
        <w:t>3</w:t>
      </w:r>
      <w:r w:rsidRPr="00D96C74">
        <w:rPr>
          <w:noProof/>
        </w:rPr>
        <w:t xml:space="preserve">), la articolul </w:t>
      </w:r>
      <w:r w:rsidRPr="00D020C3">
        <w:rPr>
          <w:noProof/>
        </w:rPr>
        <w:t>11</w:t>
      </w:r>
      <w:r w:rsidRPr="00D96C74">
        <w:rPr>
          <w:noProof/>
        </w:rPr>
        <w:t>a alineatul (</w:t>
      </w:r>
      <w:r w:rsidRPr="00D020C3">
        <w:rPr>
          <w:noProof/>
        </w:rPr>
        <w:t>10</w:t>
      </w:r>
      <w:r w:rsidRPr="00D96C74">
        <w:rPr>
          <w:noProof/>
        </w:rPr>
        <w:t xml:space="preserve">), la articolul </w:t>
      </w:r>
      <w:r w:rsidRPr="00D020C3">
        <w:rPr>
          <w:noProof/>
        </w:rPr>
        <w:t>27</w:t>
      </w:r>
      <w:r w:rsidRPr="00D96C74">
        <w:rPr>
          <w:noProof/>
        </w:rPr>
        <w:t xml:space="preserve"> alineatele (</w:t>
      </w:r>
      <w:r w:rsidRPr="00D020C3">
        <w:rPr>
          <w:noProof/>
        </w:rPr>
        <w:t>1</w:t>
      </w:r>
      <w:r w:rsidRPr="00D96C74">
        <w:rPr>
          <w:noProof/>
        </w:rPr>
        <w:t>) și (</w:t>
      </w:r>
      <w:r w:rsidRPr="00D020C3">
        <w:rPr>
          <w:noProof/>
        </w:rPr>
        <w:t>4</w:t>
      </w:r>
      <w:r w:rsidRPr="00D96C74">
        <w:rPr>
          <w:noProof/>
        </w:rPr>
        <w:t xml:space="preserve">) și la articolul </w:t>
      </w:r>
      <w:r w:rsidRPr="00D020C3">
        <w:rPr>
          <w:noProof/>
        </w:rPr>
        <w:t>38</w:t>
      </w:r>
      <w:r w:rsidRPr="00D96C74">
        <w:rPr>
          <w:noProof/>
        </w:rPr>
        <w:t xml:space="preserve"> alineatele (</w:t>
      </w:r>
      <w:r w:rsidRPr="00D020C3">
        <w:rPr>
          <w:noProof/>
        </w:rPr>
        <w:t>2</w:t>
      </w:r>
      <w:r w:rsidRPr="00D96C74">
        <w:rPr>
          <w:noProof/>
        </w:rPr>
        <w:t>) și (</w:t>
      </w:r>
      <w:r w:rsidRPr="00D020C3">
        <w:rPr>
          <w:noProof/>
        </w:rPr>
        <w:t>3</w:t>
      </w:r>
      <w:r w:rsidRPr="00D96C74">
        <w:rPr>
          <w:noProof/>
        </w:rPr>
        <w:t xml:space="preserve">) se conferă Comisiei pe o perioadă de cinci ani de la </w:t>
      </w:r>
      <w:r w:rsidRPr="00D020C3">
        <w:rPr>
          <w:noProof/>
        </w:rPr>
        <w:t>4</w:t>
      </w:r>
      <w:r w:rsidRPr="00D96C74">
        <w:rPr>
          <w:noProof/>
        </w:rPr>
        <w:t xml:space="preserve"> iulie </w:t>
      </w:r>
      <w:r w:rsidRPr="00D020C3">
        <w:rPr>
          <w:noProof/>
        </w:rPr>
        <w:t>2018</w:t>
      </w:r>
      <w:r w:rsidRPr="00D96C74">
        <w:rPr>
          <w:noProof/>
        </w:rPr>
        <w:t>. Competența de a adopta acte delegate menționată la articolul </w:t>
      </w:r>
      <w:r w:rsidRPr="00D020C3">
        <w:rPr>
          <w:noProof/>
        </w:rPr>
        <w:t>22</w:t>
      </w:r>
      <w:r w:rsidRPr="00D96C74">
        <w:rPr>
          <w:noProof/>
        </w:rPr>
        <w:t>a alineatul (</w:t>
      </w:r>
      <w:r w:rsidRPr="00D020C3">
        <w:rPr>
          <w:noProof/>
        </w:rPr>
        <w:t>2</w:t>
      </w:r>
      <w:r w:rsidRPr="00D96C74">
        <w:rPr>
          <w:noProof/>
        </w:rPr>
        <w:t>) se conferă Comisiei pe o perioadă de cinci ani de la [OP: a se introduce data – optsprezece luni de la intrarea în vigoare a prezentei directive de modificare]. Comisia prezintă un raport privind delegarea de competențe cel târziu cu nouă luni înainte de încheierea perioadei de cinci ani. Delegarea de competențe se prelungește tacit cu perioade identice, cu excepția cazului în care Parlamentul European sau Consiliul se opun prelungirii respective cel târziu cu trei luni înainte de încheierea fiecărei perioade.</w:t>
      </w:r>
    </w:p>
    <w:p w14:paraId="36AD7582" w14:textId="613C3926" w:rsidR="00EF684D" w:rsidRPr="00D96C74" w:rsidRDefault="008F56CA" w:rsidP="008F56CA">
      <w:pPr>
        <w:pStyle w:val="Text1"/>
        <w:rPr>
          <w:noProof/>
        </w:rPr>
      </w:pPr>
      <w:r w:rsidRPr="00D020C3">
        <w:rPr>
          <w:noProof/>
        </w:rPr>
        <w:t>3</w:t>
      </w:r>
      <w:r w:rsidRPr="00D96C74">
        <w:rPr>
          <w:noProof/>
        </w:rPr>
        <w:t xml:space="preserve">. Delegarea de competențe menționată la articolul </w:t>
      </w:r>
      <w:r w:rsidRPr="00D020C3">
        <w:rPr>
          <w:noProof/>
        </w:rPr>
        <w:t>7</w:t>
      </w:r>
      <w:r w:rsidRPr="00D96C74">
        <w:rPr>
          <w:noProof/>
        </w:rPr>
        <w:t xml:space="preserve"> alineatul (</w:t>
      </w:r>
      <w:r w:rsidRPr="00D020C3">
        <w:rPr>
          <w:noProof/>
        </w:rPr>
        <w:t>1</w:t>
      </w:r>
      <w:r w:rsidRPr="00D96C74">
        <w:rPr>
          <w:noProof/>
        </w:rPr>
        <w:t xml:space="preserve">), la articolul </w:t>
      </w:r>
      <w:r w:rsidRPr="00D020C3">
        <w:rPr>
          <w:noProof/>
        </w:rPr>
        <w:t>9</w:t>
      </w:r>
      <w:r w:rsidRPr="00D96C74">
        <w:rPr>
          <w:noProof/>
        </w:rPr>
        <w:t>a alineatul (</w:t>
      </w:r>
      <w:r w:rsidRPr="00D020C3">
        <w:rPr>
          <w:noProof/>
        </w:rPr>
        <w:t>3</w:t>
      </w:r>
      <w:r w:rsidRPr="00D96C74">
        <w:rPr>
          <w:noProof/>
        </w:rPr>
        <w:t xml:space="preserve">), la articolul </w:t>
      </w:r>
      <w:r w:rsidRPr="00D020C3">
        <w:rPr>
          <w:noProof/>
        </w:rPr>
        <w:t>11</w:t>
      </w:r>
      <w:r w:rsidRPr="00D96C74">
        <w:rPr>
          <w:noProof/>
        </w:rPr>
        <w:t>a alineatul (</w:t>
      </w:r>
      <w:r w:rsidRPr="00D020C3">
        <w:rPr>
          <w:noProof/>
        </w:rPr>
        <w:t>10</w:t>
      </w:r>
      <w:r w:rsidRPr="00D96C74">
        <w:rPr>
          <w:noProof/>
        </w:rPr>
        <w:t xml:space="preserve">), la articolul </w:t>
      </w:r>
      <w:r w:rsidRPr="00D020C3">
        <w:rPr>
          <w:noProof/>
        </w:rPr>
        <w:t>22</w:t>
      </w:r>
      <w:r w:rsidRPr="00D96C74">
        <w:rPr>
          <w:noProof/>
        </w:rPr>
        <w:t>a alineatul (</w:t>
      </w:r>
      <w:r w:rsidRPr="00D020C3">
        <w:rPr>
          <w:noProof/>
        </w:rPr>
        <w:t>2</w:t>
      </w:r>
      <w:r w:rsidRPr="00D96C74">
        <w:rPr>
          <w:noProof/>
        </w:rPr>
        <w:t xml:space="preserve">), la articolul </w:t>
      </w:r>
      <w:r w:rsidRPr="00D020C3">
        <w:rPr>
          <w:noProof/>
        </w:rPr>
        <w:t>27</w:t>
      </w:r>
      <w:r w:rsidRPr="00D96C74">
        <w:rPr>
          <w:noProof/>
        </w:rPr>
        <w:t xml:space="preserve"> alineatele (</w:t>
      </w:r>
      <w:r w:rsidRPr="00D020C3">
        <w:rPr>
          <w:noProof/>
        </w:rPr>
        <w:t>1</w:t>
      </w:r>
      <w:r w:rsidRPr="00D96C74">
        <w:rPr>
          <w:noProof/>
        </w:rPr>
        <w:t>) și (</w:t>
      </w:r>
      <w:r w:rsidRPr="00D020C3">
        <w:rPr>
          <w:noProof/>
        </w:rPr>
        <w:t>4</w:t>
      </w:r>
      <w:r w:rsidRPr="00D96C74">
        <w:rPr>
          <w:noProof/>
        </w:rPr>
        <w:t xml:space="preserve">) și la articolul </w:t>
      </w:r>
      <w:r w:rsidRPr="00D020C3">
        <w:rPr>
          <w:noProof/>
        </w:rPr>
        <w:t>38</w:t>
      </w:r>
      <w:r w:rsidRPr="00D96C74">
        <w:rPr>
          <w:noProof/>
        </w:rPr>
        <w:t xml:space="preserve"> alineatele (</w:t>
      </w:r>
      <w:r w:rsidRPr="00D020C3">
        <w:rPr>
          <w:noProof/>
        </w:rPr>
        <w:t>2</w:t>
      </w:r>
      <w:r w:rsidRPr="00D96C74">
        <w:rPr>
          <w:noProof/>
        </w:rPr>
        <w:t>) și (</w:t>
      </w:r>
      <w:r w:rsidRPr="00D020C3">
        <w:rPr>
          <w:noProof/>
        </w:rPr>
        <w:t>3</w:t>
      </w:r>
      <w:r w:rsidRPr="00D96C74">
        <w:rPr>
          <w:noProof/>
        </w:rPr>
        <w:t xml:space="preserve">) poate fi revocată oricând de Parlamentul European sau de Consiliu. O decizie de revocare pune capăt delegării de competențe specificate în decizia respectivă. </w:t>
      </w:r>
      <w:r w:rsidRPr="008D4D1E">
        <w:rPr>
          <w:i/>
          <w:noProof/>
        </w:rPr>
        <w:t>Jurnalul Oficial al Uniunii Europene</w:t>
      </w:r>
      <w:r w:rsidRPr="00D96C74">
        <w:rPr>
          <w:noProof/>
        </w:rPr>
        <w:t xml:space="preserve"> sau de la o dată ulterioară menționată în decizie. Ea nu aduce atingere actelor delegate care sunt deja în vigoare.”;</w:t>
      </w:r>
    </w:p>
    <w:p w14:paraId="09CBC522" w14:textId="334A4CFB" w:rsidR="008F56CA" w:rsidRPr="00D96C74" w:rsidRDefault="008F56CA" w:rsidP="008F56CA">
      <w:pPr>
        <w:pStyle w:val="ListNumber1Level2"/>
        <w:rPr>
          <w:noProof/>
        </w:rPr>
      </w:pPr>
      <w:r w:rsidRPr="00D96C74">
        <w:rPr>
          <w:noProof/>
        </w:rPr>
        <w:t>alineatul (</w:t>
      </w:r>
      <w:r w:rsidRPr="00D020C3">
        <w:rPr>
          <w:noProof/>
        </w:rPr>
        <w:t>6</w:t>
      </w:r>
      <w:r w:rsidRPr="00D96C74">
        <w:rPr>
          <w:noProof/>
        </w:rPr>
        <w:t>) se înlocuiește cu următorul text:</w:t>
      </w:r>
    </w:p>
    <w:p w14:paraId="3781D5FE" w14:textId="25E1F16D" w:rsidR="00EF684D" w:rsidRPr="00D96C74" w:rsidRDefault="008F56CA" w:rsidP="00B24CA9">
      <w:pPr>
        <w:pStyle w:val="Text1"/>
        <w:rPr>
          <w:noProof/>
        </w:rPr>
      </w:pPr>
      <w:r w:rsidRPr="00D96C74">
        <w:rPr>
          <w:noProof/>
        </w:rPr>
        <w:t>„(</w:t>
      </w:r>
      <w:r w:rsidRPr="00D020C3">
        <w:rPr>
          <w:noProof/>
        </w:rPr>
        <w:t>6</w:t>
      </w:r>
      <w:r w:rsidRPr="00D96C74">
        <w:rPr>
          <w:noProof/>
        </w:rPr>
        <w:t xml:space="preserve">) Un act delegat adoptat în temeiul articolului </w:t>
      </w:r>
      <w:r w:rsidRPr="00D020C3">
        <w:rPr>
          <w:noProof/>
        </w:rPr>
        <w:t>7</w:t>
      </w:r>
      <w:r w:rsidRPr="00D96C74">
        <w:rPr>
          <w:noProof/>
        </w:rPr>
        <w:t xml:space="preserve"> alineatul (</w:t>
      </w:r>
      <w:r w:rsidRPr="00D020C3">
        <w:rPr>
          <w:noProof/>
        </w:rPr>
        <w:t>1</w:t>
      </w:r>
      <w:r w:rsidRPr="00D96C74">
        <w:rPr>
          <w:noProof/>
        </w:rPr>
        <w:t xml:space="preserve">), al articolului </w:t>
      </w:r>
      <w:r w:rsidRPr="00D020C3">
        <w:rPr>
          <w:noProof/>
        </w:rPr>
        <w:t>9</w:t>
      </w:r>
      <w:r w:rsidRPr="00D96C74">
        <w:rPr>
          <w:noProof/>
        </w:rPr>
        <w:t>a alineatul (</w:t>
      </w:r>
      <w:r w:rsidRPr="00D020C3">
        <w:rPr>
          <w:noProof/>
        </w:rPr>
        <w:t>3</w:t>
      </w:r>
      <w:r w:rsidRPr="00D96C74">
        <w:rPr>
          <w:noProof/>
        </w:rPr>
        <w:t xml:space="preserve">), al articolului </w:t>
      </w:r>
      <w:r w:rsidRPr="00D020C3">
        <w:rPr>
          <w:noProof/>
        </w:rPr>
        <w:t>11</w:t>
      </w:r>
      <w:r w:rsidRPr="00D96C74">
        <w:rPr>
          <w:noProof/>
        </w:rPr>
        <w:t>a alineatul (</w:t>
      </w:r>
      <w:r w:rsidRPr="00D020C3">
        <w:rPr>
          <w:noProof/>
        </w:rPr>
        <w:t>10</w:t>
      </w:r>
      <w:r w:rsidRPr="00D96C74">
        <w:rPr>
          <w:noProof/>
        </w:rPr>
        <w:t xml:space="preserve">), al articolului </w:t>
      </w:r>
      <w:r w:rsidRPr="00D020C3">
        <w:rPr>
          <w:noProof/>
        </w:rPr>
        <w:t>22</w:t>
      </w:r>
      <w:r w:rsidRPr="00D96C74">
        <w:rPr>
          <w:noProof/>
        </w:rPr>
        <w:t>a alineatul (</w:t>
      </w:r>
      <w:r w:rsidRPr="00D020C3">
        <w:rPr>
          <w:noProof/>
        </w:rPr>
        <w:t>2</w:t>
      </w:r>
      <w:r w:rsidRPr="00D96C74">
        <w:rPr>
          <w:noProof/>
        </w:rPr>
        <w:t xml:space="preserve">), al articolului </w:t>
      </w:r>
      <w:r w:rsidRPr="00D020C3">
        <w:rPr>
          <w:noProof/>
        </w:rPr>
        <w:t>27</w:t>
      </w:r>
      <w:r w:rsidRPr="00D96C74">
        <w:rPr>
          <w:noProof/>
        </w:rPr>
        <w:t xml:space="preserve"> alineatele (</w:t>
      </w:r>
      <w:r w:rsidRPr="00D020C3">
        <w:rPr>
          <w:noProof/>
        </w:rPr>
        <w:t>1</w:t>
      </w:r>
      <w:r w:rsidRPr="00D96C74">
        <w:rPr>
          <w:noProof/>
        </w:rPr>
        <w:t>) și (</w:t>
      </w:r>
      <w:r w:rsidRPr="00D020C3">
        <w:rPr>
          <w:noProof/>
        </w:rPr>
        <w:t>4</w:t>
      </w:r>
      <w:r w:rsidRPr="00D96C74">
        <w:rPr>
          <w:noProof/>
        </w:rPr>
        <w:t xml:space="preserve">) și al articolului </w:t>
      </w:r>
      <w:r w:rsidRPr="00D020C3">
        <w:rPr>
          <w:noProof/>
        </w:rPr>
        <w:t>38</w:t>
      </w:r>
      <w:r w:rsidRPr="00D96C74">
        <w:rPr>
          <w:noProof/>
        </w:rPr>
        <w:t xml:space="preserve"> alineatele (</w:t>
      </w:r>
      <w:r w:rsidRPr="00D020C3">
        <w:rPr>
          <w:noProof/>
        </w:rPr>
        <w:t>2</w:t>
      </w:r>
      <w:r w:rsidRPr="00D96C74">
        <w:rPr>
          <w:noProof/>
        </w:rPr>
        <w:t>) și (</w:t>
      </w:r>
      <w:r w:rsidRPr="00D020C3">
        <w:rPr>
          <w:noProof/>
        </w:rPr>
        <w:t>3</w:t>
      </w:r>
      <w:r w:rsidRPr="00D96C74">
        <w:rPr>
          <w:noProof/>
        </w:rPr>
        <w:t xml:space="preserve">) intră în vigoare numai în cazul în care nici Parlamentul European și nici Consiliul nu au formulat obiecțiuni în termen de două luni de la notificarea acestuia către Parlamentul European și Consiliu, sau în cazul în care, înaintea expirării termenului respectiv, Parlamentul European și Consiliul au informat Comisia că nu vor formula obiecțiuni. Respectivul termen se prelungește cu două luni la inițiativa Parlamentului European sau a Consiliului.” </w:t>
      </w:r>
    </w:p>
    <w:p w14:paraId="0AFB3BFB" w14:textId="6CC654FF" w:rsidR="00EF684D" w:rsidRPr="00D96C74" w:rsidRDefault="00BD4251" w:rsidP="0020411B">
      <w:pPr>
        <w:pStyle w:val="ListNumber1"/>
        <w:rPr>
          <w:noProof/>
        </w:rPr>
      </w:pPr>
      <w:r w:rsidRPr="00D96C74">
        <w:rPr>
          <w:noProof/>
        </w:rPr>
        <w:t>Se introduce anexa IVc, astfel cum se prevede în anexa la prezenta directivă.</w:t>
      </w:r>
    </w:p>
    <w:p w14:paraId="6338C354" w14:textId="77777777" w:rsidR="00BD4251" w:rsidRPr="008D4D1E" w:rsidRDefault="00BD4251" w:rsidP="00BD4251">
      <w:pPr>
        <w:pStyle w:val="Titrearticle"/>
        <w:rPr>
          <w:noProof/>
        </w:rPr>
      </w:pPr>
      <w:r w:rsidRPr="008D4D1E">
        <w:rPr>
          <w:noProof/>
        </w:rPr>
        <w:t>Articolul 2</w:t>
      </w:r>
    </w:p>
    <w:p w14:paraId="13AA61BC" w14:textId="77777777" w:rsidR="00BD4251" w:rsidRPr="00D020C3" w:rsidRDefault="00BD4251" w:rsidP="00BD4251">
      <w:pPr>
        <w:pStyle w:val="Titrearticle"/>
        <w:rPr>
          <w:b/>
          <w:i w:val="0"/>
          <w:iCs/>
          <w:noProof/>
        </w:rPr>
      </w:pPr>
      <w:r w:rsidRPr="00D020C3">
        <w:rPr>
          <w:b/>
          <w:i w:val="0"/>
          <w:noProof/>
        </w:rPr>
        <w:t>Transpunere</w:t>
      </w:r>
    </w:p>
    <w:p w14:paraId="0A741236" w14:textId="77BD6063" w:rsidR="00BD4251" w:rsidRPr="00D96C74" w:rsidRDefault="0073367E" w:rsidP="0073367E">
      <w:pPr>
        <w:pStyle w:val="ManualNumPar1"/>
        <w:rPr>
          <w:noProof/>
        </w:rPr>
      </w:pPr>
      <w:r w:rsidRPr="0073367E">
        <w:t>1.</w:t>
      </w:r>
      <w:r w:rsidRPr="0073367E">
        <w:tab/>
      </w:r>
      <w:r w:rsidR="00BD4251" w:rsidRPr="00D96C74">
        <w:rPr>
          <w:noProof/>
        </w:rPr>
        <w:t>Statele membre asigură intrarea în vigoare a actelor cu putere de lege și a actelor administrative necesare pentru a se conforma prezentei directive până la [</w:t>
      </w:r>
      <w:r w:rsidR="00BD4251" w:rsidRPr="008D4D1E">
        <w:rPr>
          <w:i/>
          <w:noProof/>
        </w:rPr>
        <w:t>O.P. a se introduce data: optsprezece luni de la data intrării în vigoare a prezentei directive</w:t>
      </w:r>
      <w:r w:rsidR="00BD4251" w:rsidRPr="00D96C74">
        <w:rPr>
          <w:noProof/>
        </w:rPr>
        <w:t>]. Statele membre comunică de îndată Comisiei textul acestor acte.</w:t>
      </w:r>
    </w:p>
    <w:p w14:paraId="21EB5BD7" w14:textId="77777777" w:rsidR="00BD4251" w:rsidRPr="00D96C74" w:rsidRDefault="00BD4251" w:rsidP="002310BE">
      <w:pPr>
        <w:pStyle w:val="Text1"/>
        <w:rPr>
          <w:noProof/>
        </w:rPr>
      </w:pPr>
      <w:r w:rsidRPr="00D96C74">
        <w:rPr>
          <w:noProof/>
        </w:rPr>
        <w:t>Atunci când statele membre adoptă aceste acte, ele cuprind o trimitere la prezenta directivă sau sunt însoțite de o astfel de trimitere la data publicării lor oficiale. Statele membre stabilesc modalitatea de efectuare a acestei trimiteri.</w:t>
      </w:r>
    </w:p>
    <w:p w14:paraId="5D2EFFC0" w14:textId="5134F58F" w:rsidR="00BD4251" w:rsidRPr="00D96C74" w:rsidRDefault="0073367E" w:rsidP="0073367E">
      <w:pPr>
        <w:pStyle w:val="ManualNumPar1"/>
        <w:rPr>
          <w:noProof/>
        </w:rPr>
      </w:pPr>
      <w:r w:rsidRPr="0073367E">
        <w:t>2.</w:t>
      </w:r>
      <w:r w:rsidRPr="0073367E">
        <w:tab/>
      </w:r>
      <w:r w:rsidR="00BD4251" w:rsidRPr="00D96C74">
        <w:rPr>
          <w:noProof/>
        </w:rPr>
        <w:t>Statele membre comunică Comisiei textul principalelor dispoziții de drept intern pe care le adoptă în domeniul reglementat de prezenta directivă.</w:t>
      </w:r>
    </w:p>
    <w:p w14:paraId="6F164EE0" w14:textId="77777777" w:rsidR="00BD152F" w:rsidRPr="008D4D1E" w:rsidRDefault="00BD152F" w:rsidP="00F10DF9">
      <w:pPr>
        <w:pStyle w:val="Titrearticle"/>
        <w:rPr>
          <w:noProof/>
        </w:rPr>
      </w:pPr>
      <w:r w:rsidRPr="008D4D1E">
        <w:rPr>
          <w:noProof/>
        </w:rPr>
        <w:t>Articolul 3</w:t>
      </w:r>
    </w:p>
    <w:p w14:paraId="45DCD751" w14:textId="77777777" w:rsidR="00CD572B" w:rsidRPr="00D020C3" w:rsidRDefault="00CD572B" w:rsidP="00F10DF9">
      <w:pPr>
        <w:pStyle w:val="Titrearticle"/>
        <w:rPr>
          <w:b/>
          <w:bCs/>
          <w:i w:val="0"/>
          <w:iCs/>
          <w:noProof/>
        </w:rPr>
      </w:pPr>
      <w:r w:rsidRPr="00D020C3">
        <w:rPr>
          <w:b/>
          <w:i w:val="0"/>
          <w:noProof/>
        </w:rPr>
        <w:t>Intrare în vigoare</w:t>
      </w:r>
    </w:p>
    <w:p w14:paraId="443D26A7" w14:textId="77777777" w:rsidR="00BD152F" w:rsidRPr="00D96C74" w:rsidRDefault="00BD152F" w:rsidP="00B00391">
      <w:pPr>
        <w:rPr>
          <w:noProof/>
        </w:rPr>
      </w:pPr>
      <w:r w:rsidRPr="00D96C74">
        <w:rPr>
          <w:noProof/>
        </w:rPr>
        <w:t xml:space="preserve">Prezenta directivă intră în vigoare în a douăzecea zi de la data publicării în </w:t>
      </w:r>
      <w:r w:rsidRPr="008D4D1E">
        <w:rPr>
          <w:i/>
          <w:noProof/>
        </w:rPr>
        <w:t>Jurnalul Oficial al Uniunii Europene</w:t>
      </w:r>
      <w:r w:rsidRPr="00D96C74">
        <w:rPr>
          <w:noProof/>
        </w:rPr>
        <w:t>.</w:t>
      </w:r>
    </w:p>
    <w:p w14:paraId="7900A18B" w14:textId="77777777" w:rsidR="00BD152F" w:rsidRPr="008D4D1E" w:rsidRDefault="00BD152F" w:rsidP="00B00391">
      <w:pPr>
        <w:pStyle w:val="Titrearticle"/>
        <w:rPr>
          <w:noProof/>
        </w:rPr>
      </w:pPr>
      <w:r w:rsidRPr="008D4D1E">
        <w:rPr>
          <w:noProof/>
        </w:rPr>
        <w:t>Articolul 4</w:t>
      </w:r>
    </w:p>
    <w:p w14:paraId="28423946" w14:textId="77777777" w:rsidR="00CD572B" w:rsidRPr="00D020C3" w:rsidRDefault="00CD572B" w:rsidP="00E07636">
      <w:pPr>
        <w:pStyle w:val="Titrearticle"/>
        <w:rPr>
          <w:b/>
          <w:bCs/>
          <w:i w:val="0"/>
          <w:iCs/>
          <w:noProof/>
        </w:rPr>
      </w:pPr>
      <w:r w:rsidRPr="00D020C3">
        <w:rPr>
          <w:b/>
          <w:i w:val="0"/>
          <w:noProof/>
        </w:rPr>
        <w:t>Destinatari</w:t>
      </w:r>
    </w:p>
    <w:p w14:paraId="0F9BFBF0" w14:textId="77777777" w:rsidR="00BD152F" w:rsidRPr="00D96C74" w:rsidRDefault="00BD152F" w:rsidP="00B00391">
      <w:pPr>
        <w:keepNext/>
        <w:keepLines/>
        <w:rPr>
          <w:noProof/>
        </w:rPr>
      </w:pPr>
      <w:r w:rsidRPr="00D96C74">
        <w:rPr>
          <w:noProof/>
        </w:rPr>
        <w:t>Prezenta directivă se adresează statelor membre.</w:t>
      </w:r>
    </w:p>
    <w:p w14:paraId="6E1CE0EE" w14:textId="008F8CB3" w:rsidR="00BD152F" w:rsidRPr="00D96C74" w:rsidRDefault="005C043E" w:rsidP="00E07636">
      <w:pPr>
        <w:pStyle w:val="Fait"/>
        <w:rPr>
          <w:noProof/>
        </w:rPr>
      </w:pPr>
      <w:r w:rsidRPr="005C043E">
        <w:t>Adoptată la Bruxelles,</w:t>
      </w:r>
    </w:p>
    <w:p w14:paraId="64EDF3E2" w14:textId="77777777" w:rsidR="00BD152F" w:rsidRPr="008D4D1E" w:rsidRDefault="00BD152F" w:rsidP="00E07636">
      <w:pPr>
        <w:pStyle w:val="Institutionquisigne"/>
        <w:rPr>
          <w:noProof/>
        </w:rPr>
      </w:pPr>
      <w:r w:rsidRPr="008D4D1E">
        <w:rPr>
          <w:noProof/>
        </w:rPr>
        <w:t>Pentru Parlamentul European,</w:t>
      </w:r>
      <w:r w:rsidRPr="008D4D1E">
        <w:rPr>
          <w:noProof/>
        </w:rPr>
        <w:tab/>
        <w:t>Pentru Consiliu,</w:t>
      </w:r>
    </w:p>
    <w:p w14:paraId="17B214D3" w14:textId="77777777" w:rsidR="00BD152F" w:rsidRPr="008D4D1E" w:rsidRDefault="00BD152F" w:rsidP="00BD152F">
      <w:pPr>
        <w:pStyle w:val="Personnequisigne"/>
        <w:rPr>
          <w:noProof/>
        </w:rPr>
      </w:pPr>
      <w:r w:rsidRPr="008D4D1E">
        <w:rPr>
          <w:noProof/>
        </w:rPr>
        <w:t>Președinta</w:t>
      </w:r>
      <w:r w:rsidRPr="008D4D1E">
        <w:rPr>
          <w:noProof/>
        </w:rPr>
        <w:tab/>
        <w:t>Președintele</w:t>
      </w:r>
    </w:p>
    <w:p w14:paraId="25D58F76" w14:textId="77777777" w:rsidR="00BD152F" w:rsidRPr="00D96C74" w:rsidRDefault="00BD152F" w:rsidP="00BD152F">
      <w:pPr>
        <w:rPr>
          <w:noProof/>
        </w:rPr>
        <w:sectPr w:rsidR="00BD152F" w:rsidRPr="00D96C74" w:rsidSect="00311D41">
          <w:footnotePr>
            <w:numRestart w:val="eachSect"/>
          </w:footnotePr>
          <w:pgSz w:w="11907" w:h="16839"/>
          <w:pgMar w:top="1134" w:right="1417" w:bottom="1134" w:left="1417" w:header="709" w:footer="709" w:gutter="0"/>
          <w:cols w:space="708"/>
          <w:docGrid w:linePitch="360"/>
        </w:sectPr>
      </w:pPr>
    </w:p>
    <w:p w14:paraId="0CED6D2C" w14:textId="77777777" w:rsidR="00BD152F" w:rsidRPr="00E86B79" w:rsidRDefault="00BD152F" w:rsidP="00B00391">
      <w:pPr>
        <w:pStyle w:val="Fichefinanciretitre"/>
        <w:keepNext/>
        <w:rPr>
          <w:noProof/>
        </w:rPr>
      </w:pPr>
      <w:r w:rsidRPr="00E86B79">
        <w:rPr>
          <w:noProof/>
        </w:rPr>
        <w:t>FIȘĂ FINANCIARĂ LEGISLATIVĂ</w:t>
      </w:r>
    </w:p>
    <w:p w14:paraId="0B81F985" w14:textId="77777777" w:rsidR="00BD152F" w:rsidRPr="00D020C3" w:rsidRDefault="00BD152F" w:rsidP="00B00391">
      <w:pPr>
        <w:pStyle w:val="ManualHeading1"/>
        <w:rPr>
          <w:noProof/>
        </w:rPr>
      </w:pPr>
      <w:r w:rsidRPr="00D020C3">
        <w:rPr>
          <w:noProof/>
        </w:rPr>
        <w:t>1.</w:t>
      </w:r>
      <w:r w:rsidRPr="00D020C3">
        <w:rPr>
          <w:noProof/>
        </w:rPr>
        <w:tab/>
        <w:t>CADRUL PROPUNERII/INIȚIATIVEI</w:t>
      </w:r>
    </w:p>
    <w:p w14:paraId="144E1034" w14:textId="77777777" w:rsidR="00BD152F" w:rsidRPr="00D020C3" w:rsidRDefault="00BD152F" w:rsidP="00B00391">
      <w:pPr>
        <w:pStyle w:val="ManualHeading2"/>
        <w:rPr>
          <w:noProof/>
        </w:rPr>
      </w:pPr>
      <w:r w:rsidRPr="00D020C3">
        <w:rPr>
          <w:noProof/>
        </w:rPr>
        <w:t>1.1.</w:t>
      </w:r>
      <w:r w:rsidRPr="00D020C3">
        <w:rPr>
          <w:noProof/>
        </w:rPr>
        <w:tab/>
        <w:t>Titlul propunerii/inițiativei</w:t>
      </w:r>
    </w:p>
    <w:p w14:paraId="11D046CD" w14:textId="77777777" w:rsidR="00BD152F" w:rsidRPr="00D020C3" w:rsidRDefault="00BD152F" w:rsidP="00B00391">
      <w:pPr>
        <w:pStyle w:val="ManualHeading2"/>
        <w:rPr>
          <w:noProof/>
        </w:rPr>
      </w:pPr>
      <w:r w:rsidRPr="00D020C3">
        <w:rPr>
          <w:noProof/>
        </w:rPr>
        <w:t>1.2.</w:t>
      </w:r>
      <w:r w:rsidRPr="00D020C3">
        <w:rPr>
          <w:noProof/>
        </w:rPr>
        <w:tab/>
        <w:t>Domeniul (domeniile) de politică vizat(e)</w:t>
      </w:r>
    </w:p>
    <w:p w14:paraId="7E38EAE1" w14:textId="77777777" w:rsidR="00BD152F" w:rsidRPr="00D020C3" w:rsidRDefault="00BD152F" w:rsidP="00B00391">
      <w:pPr>
        <w:pStyle w:val="ManualHeading2"/>
        <w:rPr>
          <w:noProof/>
        </w:rPr>
      </w:pPr>
      <w:r w:rsidRPr="00D020C3">
        <w:rPr>
          <w:noProof/>
        </w:rPr>
        <w:t>1.3.</w:t>
      </w:r>
      <w:r w:rsidRPr="00D020C3">
        <w:rPr>
          <w:noProof/>
        </w:rPr>
        <w:tab/>
        <w:t>Obiectul propunerii/inițiativei</w:t>
      </w:r>
    </w:p>
    <w:p w14:paraId="6897B3B8" w14:textId="77777777" w:rsidR="00BD152F" w:rsidRPr="00D020C3" w:rsidRDefault="00BD152F" w:rsidP="00B00391">
      <w:pPr>
        <w:pStyle w:val="ManualHeading2"/>
        <w:rPr>
          <w:noProof/>
        </w:rPr>
      </w:pPr>
      <w:r w:rsidRPr="00D020C3">
        <w:rPr>
          <w:noProof/>
        </w:rPr>
        <w:t>1.4.</w:t>
      </w:r>
      <w:r w:rsidRPr="00D020C3">
        <w:rPr>
          <w:noProof/>
        </w:rPr>
        <w:tab/>
        <w:t>Obiectiv(e)</w:t>
      </w:r>
    </w:p>
    <w:p w14:paraId="1ED68EF6" w14:textId="77777777" w:rsidR="00BD152F" w:rsidRPr="008D4D1E" w:rsidRDefault="00BD152F" w:rsidP="00B00391">
      <w:pPr>
        <w:pStyle w:val="ManualHeading3"/>
        <w:rPr>
          <w:noProof/>
        </w:rPr>
      </w:pPr>
      <w:r w:rsidRPr="008D4D1E">
        <w:rPr>
          <w:noProof/>
        </w:rPr>
        <w:t>1.4.1.</w:t>
      </w:r>
      <w:r w:rsidRPr="008D4D1E">
        <w:rPr>
          <w:noProof/>
        </w:rPr>
        <w:tab/>
        <w:t>Obiectiv(e) general(e)</w:t>
      </w:r>
    </w:p>
    <w:p w14:paraId="2837232C" w14:textId="77777777" w:rsidR="00BD152F" w:rsidRPr="008D4D1E" w:rsidRDefault="00BD152F" w:rsidP="00B00391">
      <w:pPr>
        <w:pStyle w:val="ManualHeading3"/>
        <w:rPr>
          <w:noProof/>
        </w:rPr>
      </w:pPr>
      <w:r w:rsidRPr="008D4D1E">
        <w:rPr>
          <w:noProof/>
        </w:rPr>
        <w:t>1.4.2.</w:t>
      </w:r>
      <w:r w:rsidRPr="008D4D1E">
        <w:rPr>
          <w:noProof/>
        </w:rPr>
        <w:tab/>
        <w:t>Obiectiv(e) specific(e)</w:t>
      </w:r>
    </w:p>
    <w:p w14:paraId="664D247A" w14:textId="77777777" w:rsidR="00BD152F" w:rsidRPr="008D4D1E" w:rsidRDefault="00BD152F" w:rsidP="00B00391">
      <w:pPr>
        <w:pStyle w:val="ManualHeading3"/>
        <w:rPr>
          <w:noProof/>
        </w:rPr>
      </w:pPr>
      <w:r w:rsidRPr="008D4D1E">
        <w:rPr>
          <w:noProof/>
        </w:rPr>
        <w:t>1.4.3.</w:t>
      </w:r>
      <w:r w:rsidRPr="008D4D1E">
        <w:rPr>
          <w:noProof/>
        </w:rPr>
        <w:tab/>
        <w:t>Rezultatul (rezultatele) și impactul preconizate</w:t>
      </w:r>
    </w:p>
    <w:p w14:paraId="387D3FD3" w14:textId="77777777" w:rsidR="00BD152F" w:rsidRPr="008D4D1E" w:rsidRDefault="00BD152F" w:rsidP="00B00391">
      <w:pPr>
        <w:pStyle w:val="ManualHeading3"/>
        <w:rPr>
          <w:noProof/>
        </w:rPr>
      </w:pPr>
      <w:r w:rsidRPr="008D4D1E">
        <w:rPr>
          <w:noProof/>
        </w:rPr>
        <w:t>1.4.4.</w:t>
      </w:r>
      <w:r w:rsidRPr="008D4D1E">
        <w:rPr>
          <w:noProof/>
        </w:rPr>
        <w:tab/>
        <w:t>Indicatori de performanță</w:t>
      </w:r>
    </w:p>
    <w:p w14:paraId="380663E2" w14:textId="77777777" w:rsidR="00BD152F" w:rsidRPr="00D020C3" w:rsidRDefault="00BD152F" w:rsidP="00B00391">
      <w:pPr>
        <w:pStyle w:val="ManualHeading2"/>
        <w:rPr>
          <w:noProof/>
        </w:rPr>
      </w:pPr>
      <w:r w:rsidRPr="00D020C3">
        <w:rPr>
          <w:noProof/>
        </w:rPr>
        <w:t>1.5.</w:t>
      </w:r>
      <w:r w:rsidRPr="00D020C3">
        <w:rPr>
          <w:noProof/>
        </w:rPr>
        <w:tab/>
        <w:t>Motivele propunerii/inițiativei</w:t>
      </w:r>
    </w:p>
    <w:p w14:paraId="6832B3F5" w14:textId="77777777" w:rsidR="00BD152F" w:rsidRPr="008D4D1E" w:rsidRDefault="00BD152F" w:rsidP="00B00391">
      <w:pPr>
        <w:pStyle w:val="ManualHeading3"/>
        <w:rPr>
          <w:noProof/>
        </w:rPr>
      </w:pPr>
      <w:r w:rsidRPr="008D4D1E">
        <w:rPr>
          <w:noProof/>
        </w:rPr>
        <w:t>1.5.1.</w:t>
      </w:r>
      <w:r w:rsidRPr="008D4D1E">
        <w:rPr>
          <w:noProof/>
        </w:rPr>
        <w:tab/>
        <w:t>Cerința (cerințele) care trebuie îndeplinită (îndeplinite) pe termen scurt sau lung, inclusiv un calendar detaliat pentru punerea în aplicare a inițiativei</w:t>
      </w:r>
    </w:p>
    <w:p w14:paraId="7C2EBC8E" w14:textId="77777777" w:rsidR="00BD152F" w:rsidRPr="008D4D1E" w:rsidRDefault="00BD152F" w:rsidP="00B00391">
      <w:pPr>
        <w:pStyle w:val="ManualHeading3"/>
        <w:rPr>
          <w:noProof/>
        </w:rPr>
      </w:pPr>
      <w:r w:rsidRPr="008D4D1E">
        <w:rPr>
          <w:noProof/>
        </w:rPr>
        <w:t>1.5.2.</w:t>
      </w:r>
      <w:r w:rsidRPr="008D4D1E">
        <w:rPr>
          <w:noProof/>
        </w:rPr>
        <w:tab/>
        <w:t>Valoarea adăugată a intervenției Uniunii (aceasta poate rezulta din diferiți factori, de exemplu o mai bună coordonare, securitatea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p>
    <w:p w14:paraId="28048BC6" w14:textId="77777777" w:rsidR="00BD152F" w:rsidRPr="008D4D1E" w:rsidRDefault="00BD152F" w:rsidP="00B00391">
      <w:pPr>
        <w:pStyle w:val="ManualHeading3"/>
        <w:rPr>
          <w:noProof/>
        </w:rPr>
      </w:pPr>
      <w:r w:rsidRPr="008D4D1E">
        <w:rPr>
          <w:noProof/>
        </w:rPr>
        <w:t>1.5.3.</w:t>
      </w:r>
      <w:r w:rsidRPr="008D4D1E">
        <w:rPr>
          <w:noProof/>
        </w:rPr>
        <w:tab/>
        <w:t>Învățăminte desprinse din experiențele anterioare similare</w:t>
      </w:r>
    </w:p>
    <w:p w14:paraId="5172EBE4" w14:textId="77777777" w:rsidR="00BD152F" w:rsidRPr="008D4D1E" w:rsidRDefault="00BD152F" w:rsidP="00B00391">
      <w:pPr>
        <w:pStyle w:val="ManualHeading3"/>
        <w:rPr>
          <w:noProof/>
        </w:rPr>
      </w:pPr>
      <w:r w:rsidRPr="008D4D1E">
        <w:rPr>
          <w:noProof/>
        </w:rPr>
        <w:t>1.5.4.</w:t>
      </w:r>
      <w:r w:rsidRPr="008D4D1E">
        <w:rPr>
          <w:noProof/>
        </w:rPr>
        <w:tab/>
        <w:t>Compatibilitatea cu cadrul financiar multianual și posibilele sinergii cu alte instrumente corespunzătoare</w:t>
      </w:r>
    </w:p>
    <w:p w14:paraId="40D0762D" w14:textId="77777777" w:rsidR="00BD152F" w:rsidRPr="008D4D1E" w:rsidRDefault="00BD152F" w:rsidP="00B00391">
      <w:pPr>
        <w:pStyle w:val="ManualHeading3"/>
        <w:rPr>
          <w:noProof/>
        </w:rPr>
      </w:pPr>
      <w:r w:rsidRPr="008D4D1E">
        <w:rPr>
          <w:noProof/>
        </w:rPr>
        <w:t>1.5.5.</w:t>
      </w:r>
      <w:r w:rsidRPr="008D4D1E">
        <w:rPr>
          <w:noProof/>
        </w:rPr>
        <w:tab/>
        <w:t>Evaluarea diferitelor opțiuni de finanțare disponibile, inclusiv a posibilităților de realocare a creditelor</w:t>
      </w:r>
    </w:p>
    <w:p w14:paraId="185268DA" w14:textId="77777777" w:rsidR="00BD152F" w:rsidRPr="00D020C3" w:rsidRDefault="00BD152F" w:rsidP="00B00391">
      <w:pPr>
        <w:pStyle w:val="ManualHeading2"/>
        <w:rPr>
          <w:noProof/>
        </w:rPr>
      </w:pPr>
      <w:r w:rsidRPr="00D020C3">
        <w:rPr>
          <w:noProof/>
        </w:rPr>
        <w:t>1.6.</w:t>
      </w:r>
      <w:r w:rsidRPr="00D020C3">
        <w:rPr>
          <w:noProof/>
        </w:rPr>
        <w:tab/>
        <w:t>Durata și impactul financiar ale propunerii/inițiativei</w:t>
      </w:r>
    </w:p>
    <w:p w14:paraId="2C8D3821" w14:textId="77777777" w:rsidR="00BD152F" w:rsidRPr="00D020C3" w:rsidRDefault="00BD152F" w:rsidP="00B00391">
      <w:pPr>
        <w:pStyle w:val="ManualHeading2"/>
        <w:rPr>
          <w:noProof/>
        </w:rPr>
      </w:pPr>
      <w:r w:rsidRPr="00D020C3">
        <w:rPr>
          <w:noProof/>
        </w:rPr>
        <w:t>1.7.</w:t>
      </w:r>
      <w:r w:rsidRPr="00D020C3">
        <w:rPr>
          <w:noProof/>
        </w:rPr>
        <w:tab/>
        <w:t>Metoda (metodele) de execuție a bugetului planificată (planificate)</w:t>
      </w:r>
    </w:p>
    <w:p w14:paraId="40AF2806" w14:textId="77777777" w:rsidR="00BD152F" w:rsidRPr="00D020C3" w:rsidRDefault="00BD152F" w:rsidP="00B00391">
      <w:pPr>
        <w:pStyle w:val="ManualHeading1"/>
        <w:rPr>
          <w:noProof/>
        </w:rPr>
      </w:pPr>
      <w:r w:rsidRPr="00D020C3">
        <w:rPr>
          <w:noProof/>
        </w:rPr>
        <w:t>2.</w:t>
      </w:r>
      <w:r w:rsidRPr="00D020C3">
        <w:rPr>
          <w:noProof/>
        </w:rPr>
        <w:tab/>
        <w:t>MĂSURI DE GESTIUNE</w:t>
      </w:r>
    </w:p>
    <w:p w14:paraId="1A9F4673" w14:textId="77777777" w:rsidR="00BD152F" w:rsidRPr="00D020C3" w:rsidRDefault="00BD152F" w:rsidP="00B00391">
      <w:pPr>
        <w:pStyle w:val="ManualHeading2"/>
        <w:rPr>
          <w:noProof/>
        </w:rPr>
      </w:pPr>
      <w:r w:rsidRPr="00D020C3">
        <w:rPr>
          <w:noProof/>
        </w:rPr>
        <w:t>2.1.</w:t>
      </w:r>
      <w:r w:rsidRPr="00D020C3">
        <w:rPr>
          <w:noProof/>
        </w:rPr>
        <w:tab/>
        <w:t>Dispoziții în materie de monitorizare și de raportare</w:t>
      </w:r>
    </w:p>
    <w:p w14:paraId="6B5E5C34" w14:textId="77777777" w:rsidR="00BD152F" w:rsidRPr="00D020C3" w:rsidRDefault="00BD152F" w:rsidP="00B00391">
      <w:pPr>
        <w:pStyle w:val="ManualHeading2"/>
        <w:rPr>
          <w:noProof/>
        </w:rPr>
      </w:pPr>
      <w:r w:rsidRPr="00D020C3">
        <w:rPr>
          <w:noProof/>
        </w:rPr>
        <w:t>2.2.</w:t>
      </w:r>
      <w:r w:rsidRPr="00D020C3">
        <w:rPr>
          <w:noProof/>
        </w:rPr>
        <w:tab/>
        <w:t>Sistemul (sistemele) de gestiune și de control</w:t>
      </w:r>
    </w:p>
    <w:p w14:paraId="1E041A19" w14:textId="77777777" w:rsidR="00BD152F" w:rsidRPr="008D4D1E" w:rsidRDefault="00BD152F" w:rsidP="00B00391">
      <w:pPr>
        <w:pStyle w:val="ManualHeading3"/>
        <w:rPr>
          <w:noProof/>
        </w:rPr>
      </w:pPr>
      <w:r w:rsidRPr="008D4D1E">
        <w:rPr>
          <w:noProof/>
        </w:rPr>
        <w:t>2.2.1.</w:t>
      </w:r>
      <w:r w:rsidRPr="008D4D1E">
        <w:rPr>
          <w:noProof/>
        </w:rPr>
        <w:tab/>
        <w:t>Justificarea modului (modurilor) de gestiune, a mecanismului (mecanismelor) de punere în aplicare a finanțării, a modalităților de plată și a strategiei de control propuse</w:t>
      </w:r>
    </w:p>
    <w:p w14:paraId="1E69F771" w14:textId="77777777" w:rsidR="00BD152F" w:rsidRPr="008D4D1E" w:rsidRDefault="00BD152F" w:rsidP="00B00391">
      <w:pPr>
        <w:pStyle w:val="ManualHeading3"/>
        <w:rPr>
          <w:noProof/>
        </w:rPr>
      </w:pPr>
      <w:r w:rsidRPr="008D4D1E">
        <w:rPr>
          <w:noProof/>
        </w:rPr>
        <w:t>2.2.2.</w:t>
      </w:r>
      <w:r w:rsidRPr="008D4D1E">
        <w:rPr>
          <w:noProof/>
        </w:rPr>
        <w:tab/>
        <w:t>Informații privind riscurile identificate și sistemul (sistemele) de control intern instituit(e) pentru atenuarea lor</w:t>
      </w:r>
    </w:p>
    <w:p w14:paraId="62467307" w14:textId="77777777" w:rsidR="00BD152F" w:rsidRPr="008D4D1E" w:rsidRDefault="00BD152F" w:rsidP="00B00391">
      <w:pPr>
        <w:pStyle w:val="ManualHeading3"/>
        <w:rPr>
          <w:noProof/>
        </w:rPr>
      </w:pPr>
      <w:r w:rsidRPr="008D4D1E">
        <w:rPr>
          <w:noProof/>
        </w:rPr>
        <w:t>2.2.3.</w:t>
      </w:r>
      <w:r w:rsidRPr="008D4D1E">
        <w:rPr>
          <w:noProof/>
        </w:rPr>
        <w:tab/>
        <w:t>Estimarea și justificarea raportului cost-eficacitate al controalelor (raportul dintre costurile controalelor și valoarea fondurilor aferente gestionate) și evaluarea nivelurilor preconizate ale riscului de eroare (la plată și la închidere)</w:t>
      </w:r>
    </w:p>
    <w:p w14:paraId="43B7D099" w14:textId="77777777" w:rsidR="00BD152F" w:rsidRPr="00D020C3" w:rsidRDefault="00BD152F" w:rsidP="00B00391">
      <w:pPr>
        <w:pStyle w:val="ManualHeading2"/>
        <w:rPr>
          <w:noProof/>
        </w:rPr>
      </w:pPr>
      <w:r w:rsidRPr="00D020C3">
        <w:rPr>
          <w:noProof/>
        </w:rPr>
        <w:t>2.3.</w:t>
      </w:r>
      <w:r w:rsidRPr="00D020C3">
        <w:rPr>
          <w:noProof/>
        </w:rPr>
        <w:tab/>
        <w:t>Măsuri de prevenire a fraudelor și a neregulilor</w:t>
      </w:r>
    </w:p>
    <w:p w14:paraId="7DCA5D7D" w14:textId="77777777" w:rsidR="00BD152F" w:rsidRPr="00D020C3" w:rsidRDefault="00BD152F" w:rsidP="00B00391">
      <w:pPr>
        <w:pStyle w:val="ManualHeading1"/>
        <w:rPr>
          <w:noProof/>
        </w:rPr>
      </w:pPr>
      <w:r w:rsidRPr="00D020C3">
        <w:rPr>
          <w:noProof/>
        </w:rPr>
        <w:t>3.</w:t>
      </w:r>
      <w:r w:rsidRPr="00D020C3">
        <w:rPr>
          <w:noProof/>
        </w:rPr>
        <w:tab/>
        <w:t>IMPACTUL FINANCIAR ESTIMAT AL PROPUNERII/INIȚIATIVEI</w:t>
      </w:r>
    </w:p>
    <w:p w14:paraId="5771716E" w14:textId="77777777" w:rsidR="00BD152F" w:rsidRPr="00D020C3" w:rsidRDefault="00BD152F" w:rsidP="00B00391">
      <w:pPr>
        <w:pStyle w:val="ManualHeading2"/>
        <w:rPr>
          <w:noProof/>
        </w:rPr>
      </w:pPr>
      <w:r w:rsidRPr="00D020C3">
        <w:rPr>
          <w:noProof/>
        </w:rPr>
        <w:t>3.1.</w:t>
      </w:r>
      <w:r w:rsidRPr="00D020C3">
        <w:rPr>
          <w:noProof/>
        </w:rPr>
        <w:tab/>
        <w:t>Rubrica (rubricile) din cadrul financiar multianual și linia (liniile) bugetară (bugetare) de cheltuieli afectată (afectate)</w:t>
      </w:r>
    </w:p>
    <w:p w14:paraId="36196DE4" w14:textId="77777777" w:rsidR="00BD152F" w:rsidRPr="00D020C3" w:rsidRDefault="00BD152F" w:rsidP="00B00391">
      <w:pPr>
        <w:pStyle w:val="ManualHeading2"/>
        <w:rPr>
          <w:noProof/>
        </w:rPr>
      </w:pPr>
      <w:r w:rsidRPr="00D020C3">
        <w:rPr>
          <w:noProof/>
        </w:rPr>
        <w:t>3.2.</w:t>
      </w:r>
      <w:r w:rsidRPr="00D020C3">
        <w:rPr>
          <w:noProof/>
        </w:rPr>
        <w:tab/>
        <w:t>Impactul financiar estimat al propunerii asupra creditelor</w:t>
      </w:r>
    </w:p>
    <w:p w14:paraId="08999102" w14:textId="77777777" w:rsidR="00BD152F" w:rsidRPr="008D4D1E" w:rsidRDefault="00BD152F" w:rsidP="00B00391">
      <w:pPr>
        <w:pStyle w:val="ManualHeading3"/>
        <w:rPr>
          <w:noProof/>
        </w:rPr>
      </w:pPr>
      <w:r w:rsidRPr="008D4D1E">
        <w:rPr>
          <w:noProof/>
        </w:rPr>
        <w:t>3.2.1.</w:t>
      </w:r>
      <w:r w:rsidRPr="008D4D1E">
        <w:rPr>
          <w:noProof/>
        </w:rPr>
        <w:tab/>
        <w:t>Sinteza impactului estimat asupra creditelor operaționale</w:t>
      </w:r>
    </w:p>
    <w:p w14:paraId="065CB0A7" w14:textId="77777777" w:rsidR="00BD152F" w:rsidRPr="008D4D1E" w:rsidRDefault="00BD152F" w:rsidP="00B00391">
      <w:pPr>
        <w:pStyle w:val="ManualHeading3"/>
        <w:rPr>
          <w:noProof/>
        </w:rPr>
      </w:pPr>
      <w:r w:rsidRPr="008D4D1E">
        <w:rPr>
          <w:noProof/>
        </w:rPr>
        <w:t>3.2.2.</w:t>
      </w:r>
      <w:r w:rsidRPr="008D4D1E">
        <w:rPr>
          <w:noProof/>
        </w:rPr>
        <w:tab/>
        <w:t>Realizările preconizate finanțate din credite operaționale</w:t>
      </w:r>
    </w:p>
    <w:p w14:paraId="2CF1AF9D" w14:textId="77777777" w:rsidR="00BD152F" w:rsidRPr="008D4D1E" w:rsidRDefault="00BD152F" w:rsidP="00B00391">
      <w:pPr>
        <w:pStyle w:val="ManualHeading3"/>
        <w:rPr>
          <w:noProof/>
        </w:rPr>
      </w:pPr>
      <w:r w:rsidRPr="008D4D1E">
        <w:rPr>
          <w:noProof/>
        </w:rPr>
        <w:t>3.2.3.</w:t>
      </w:r>
      <w:r w:rsidRPr="008D4D1E">
        <w:rPr>
          <w:noProof/>
        </w:rPr>
        <w:tab/>
        <w:t>Sinteza impactului estimat asupra creditelor administrative</w:t>
      </w:r>
    </w:p>
    <w:p w14:paraId="4EEAF5AC" w14:textId="77777777" w:rsidR="00BD152F" w:rsidRPr="008D4D1E" w:rsidRDefault="00BD152F" w:rsidP="00B00391">
      <w:pPr>
        <w:pStyle w:val="ManualHeading3"/>
        <w:rPr>
          <w:noProof/>
        </w:rPr>
      </w:pPr>
      <w:r w:rsidRPr="008D4D1E">
        <w:rPr>
          <w:noProof/>
        </w:rPr>
        <w:t>3.2.3.1.</w:t>
      </w:r>
      <w:r w:rsidRPr="008D4D1E">
        <w:rPr>
          <w:noProof/>
        </w:rPr>
        <w:tab/>
        <w:t>Necesarul de resurse umane estimat</w:t>
      </w:r>
    </w:p>
    <w:p w14:paraId="26DFA6F2" w14:textId="77777777" w:rsidR="00BD152F" w:rsidRPr="008D4D1E" w:rsidRDefault="00BD152F" w:rsidP="00B00391">
      <w:pPr>
        <w:pStyle w:val="ManualHeading3"/>
        <w:rPr>
          <w:noProof/>
        </w:rPr>
      </w:pPr>
      <w:r w:rsidRPr="008D4D1E">
        <w:rPr>
          <w:noProof/>
        </w:rPr>
        <w:t>3.2.4.</w:t>
      </w:r>
      <w:r w:rsidRPr="008D4D1E">
        <w:rPr>
          <w:noProof/>
        </w:rPr>
        <w:tab/>
        <w:t>Compatibilitatea cu cadrul financiar multianual actual</w:t>
      </w:r>
    </w:p>
    <w:p w14:paraId="6D14551F" w14:textId="77777777" w:rsidR="00BD152F" w:rsidRPr="008D4D1E" w:rsidRDefault="00BD152F" w:rsidP="00B00391">
      <w:pPr>
        <w:pStyle w:val="ManualHeading3"/>
        <w:rPr>
          <w:noProof/>
        </w:rPr>
      </w:pPr>
      <w:r w:rsidRPr="008D4D1E">
        <w:rPr>
          <w:noProof/>
        </w:rPr>
        <w:t>3.2.5.</w:t>
      </w:r>
      <w:r w:rsidRPr="008D4D1E">
        <w:rPr>
          <w:noProof/>
        </w:rPr>
        <w:tab/>
        <w:t>Contribuțiile terților</w:t>
      </w:r>
    </w:p>
    <w:p w14:paraId="401283D8" w14:textId="77777777" w:rsidR="00BD152F" w:rsidRPr="00D020C3" w:rsidRDefault="00BD152F" w:rsidP="00B00391">
      <w:pPr>
        <w:pStyle w:val="ManualHeading2"/>
        <w:rPr>
          <w:noProof/>
        </w:rPr>
      </w:pPr>
      <w:r w:rsidRPr="00D020C3">
        <w:rPr>
          <w:noProof/>
        </w:rPr>
        <w:t>3.3.</w:t>
      </w:r>
      <w:r w:rsidRPr="00D020C3">
        <w:rPr>
          <w:noProof/>
        </w:rPr>
        <w:tab/>
        <w:t>Impactul estimat asupra veniturilor</w:t>
      </w:r>
    </w:p>
    <w:p w14:paraId="2158B96E" w14:textId="77777777" w:rsidR="00BD152F" w:rsidRPr="00D96C74" w:rsidRDefault="00BD152F" w:rsidP="00B00391">
      <w:pPr>
        <w:rPr>
          <w:noProof/>
        </w:rPr>
        <w:sectPr w:rsidR="00BD152F" w:rsidRPr="00D96C74" w:rsidSect="00311D41">
          <w:pgSz w:w="11907" w:h="16840" w:code="9"/>
          <w:pgMar w:top="1134" w:right="1418" w:bottom="1134" w:left="1418" w:header="709" w:footer="709" w:gutter="0"/>
          <w:pgNumType w:start="1"/>
          <w:cols w:space="720"/>
          <w:docGrid w:linePitch="360"/>
        </w:sectPr>
      </w:pPr>
    </w:p>
    <w:p w14:paraId="63CE8122" w14:textId="77777777" w:rsidR="00BD152F" w:rsidRPr="00D020C3" w:rsidRDefault="00BD152F" w:rsidP="00B00391">
      <w:pPr>
        <w:pStyle w:val="ManualHeading1"/>
        <w:rPr>
          <w:noProof/>
        </w:rPr>
      </w:pPr>
      <w:r w:rsidRPr="00D020C3">
        <w:rPr>
          <w:noProof/>
        </w:rPr>
        <w:t>1.</w:t>
      </w:r>
      <w:r w:rsidRPr="00D020C3">
        <w:rPr>
          <w:noProof/>
        </w:rPr>
        <w:tab/>
        <w:t xml:space="preserve">CADRUL PROPUNERII/INIȚIATIVEI </w:t>
      </w:r>
    </w:p>
    <w:p w14:paraId="043CDCD5" w14:textId="77777777" w:rsidR="00BD152F" w:rsidRPr="00D020C3" w:rsidRDefault="00BD152F" w:rsidP="00B00391">
      <w:pPr>
        <w:pStyle w:val="ManualHeading2"/>
        <w:rPr>
          <w:noProof/>
        </w:rPr>
      </w:pPr>
      <w:r w:rsidRPr="00D020C3">
        <w:rPr>
          <w:noProof/>
        </w:rPr>
        <w:t>1.1.</w:t>
      </w:r>
      <w:r w:rsidRPr="00D020C3">
        <w:rPr>
          <w:noProof/>
        </w:rPr>
        <w:tab/>
        <w:t>Titlul propunerii/inițiativei</w:t>
      </w:r>
    </w:p>
    <w:p w14:paraId="2DF084F0" w14:textId="77777777" w:rsidR="00BD152F" w:rsidRPr="00D96C74" w:rsidRDefault="00B44E68" w:rsidP="00B44E68">
      <w:pPr>
        <w:pStyle w:val="Text1"/>
        <w:pBdr>
          <w:top w:val="single" w:sz="4" w:space="1" w:color="auto"/>
          <w:left w:val="single" w:sz="4" w:space="4" w:color="auto"/>
          <w:bottom w:val="single" w:sz="4" w:space="1" w:color="auto"/>
          <w:right w:val="single" w:sz="4" w:space="4" w:color="auto"/>
        </w:pBdr>
        <w:rPr>
          <w:noProof/>
        </w:rPr>
      </w:pPr>
      <w:r w:rsidRPr="00D96C74">
        <w:rPr>
          <w:rStyle w:val="normaltextrun"/>
          <w:noProof/>
          <w:color w:val="000000"/>
          <w:shd w:val="clear" w:color="auto" w:fill="FFFFFF"/>
        </w:rPr>
        <w:t xml:space="preserve">Propunere de directivă a Parlamentului European și a Consiliului de modificare a Directivei </w:t>
      </w:r>
      <w:r w:rsidRPr="00D020C3">
        <w:rPr>
          <w:rStyle w:val="normaltextrun"/>
          <w:noProof/>
          <w:color w:val="000000"/>
          <w:shd w:val="clear" w:color="auto" w:fill="FFFFFF"/>
        </w:rPr>
        <w:t>2008</w:t>
      </w:r>
      <w:r w:rsidRPr="00D96C74">
        <w:rPr>
          <w:rStyle w:val="normaltextrun"/>
          <w:noProof/>
          <w:color w:val="000000"/>
          <w:shd w:val="clear" w:color="auto" w:fill="FFFFFF"/>
        </w:rPr>
        <w:t>/</w:t>
      </w:r>
      <w:r w:rsidRPr="00D020C3">
        <w:rPr>
          <w:rStyle w:val="normaltextrun"/>
          <w:noProof/>
          <w:color w:val="000000"/>
          <w:shd w:val="clear" w:color="auto" w:fill="FFFFFF"/>
        </w:rPr>
        <w:t>98</w:t>
      </w:r>
      <w:r w:rsidRPr="00D96C74">
        <w:rPr>
          <w:rStyle w:val="normaltextrun"/>
          <w:noProof/>
          <w:color w:val="000000"/>
          <w:shd w:val="clear" w:color="auto" w:fill="FFFFFF"/>
        </w:rPr>
        <w:t>/CE privind deșeurile</w:t>
      </w:r>
      <w:r w:rsidRPr="00D96C74">
        <w:rPr>
          <w:rStyle w:val="eop"/>
          <w:noProof/>
          <w:color w:val="000000"/>
          <w:shd w:val="clear" w:color="auto" w:fill="FFFFFF"/>
        </w:rPr>
        <w:t xml:space="preserve"> </w:t>
      </w:r>
    </w:p>
    <w:p w14:paraId="7F28AF72" w14:textId="77777777" w:rsidR="00BD152F" w:rsidRPr="008D4D1E" w:rsidRDefault="00BD152F" w:rsidP="00B00391">
      <w:pPr>
        <w:pStyle w:val="ManualHeading2"/>
        <w:rPr>
          <w:i/>
          <w:noProof/>
        </w:rPr>
      </w:pPr>
      <w:r w:rsidRPr="00D020C3">
        <w:rPr>
          <w:noProof/>
        </w:rPr>
        <w:t>1.2.</w:t>
      </w:r>
      <w:r w:rsidRPr="00D020C3">
        <w:rPr>
          <w:noProof/>
        </w:rPr>
        <w:tab/>
        <w:t>Domeniul (domeniile) de politică vizat(e)</w:t>
      </w:r>
      <w:r w:rsidRPr="008D4D1E">
        <w:rPr>
          <w:i/>
          <w:noProof/>
        </w:rPr>
        <w:t xml:space="preserve"> </w:t>
      </w:r>
    </w:p>
    <w:p w14:paraId="56DF9476" w14:textId="77777777" w:rsidR="00BB1A93" w:rsidRPr="00D96C74" w:rsidRDefault="00B44E68" w:rsidP="00B44E68">
      <w:pPr>
        <w:pStyle w:val="Text1"/>
        <w:pBdr>
          <w:top w:val="single" w:sz="4" w:space="1" w:color="auto"/>
          <w:left w:val="single" w:sz="4" w:space="4" w:color="auto"/>
          <w:bottom w:val="single" w:sz="4" w:space="1" w:color="auto"/>
          <w:right w:val="single" w:sz="4" w:space="4" w:color="auto"/>
        </w:pBdr>
        <w:rPr>
          <w:rStyle w:val="normaltextrun"/>
          <w:noProof/>
          <w:color w:val="000000"/>
          <w:shd w:val="clear" w:color="auto" w:fill="FFFFFF"/>
        </w:rPr>
      </w:pPr>
      <w:r w:rsidRPr="00D020C3">
        <w:rPr>
          <w:rStyle w:val="normaltextrun"/>
          <w:noProof/>
          <w:color w:val="000000"/>
          <w:shd w:val="clear" w:color="auto" w:fill="FFFFFF"/>
        </w:rPr>
        <w:t>09</w:t>
      </w:r>
      <w:r w:rsidRPr="00D96C74">
        <w:rPr>
          <w:rStyle w:val="normaltextrun"/>
          <w:noProof/>
          <w:color w:val="000000"/>
          <w:shd w:val="clear" w:color="auto" w:fill="FFFFFF"/>
        </w:rPr>
        <w:t xml:space="preserve"> – Mediu și schimbări climatice</w:t>
      </w:r>
    </w:p>
    <w:p w14:paraId="0BDD83ED" w14:textId="77777777" w:rsidR="00BD152F" w:rsidRPr="00D020C3" w:rsidRDefault="00BD152F" w:rsidP="00B00391">
      <w:pPr>
        <w:pStyle w:val="ManualHeading2"/>
        <w:rPr>
          <w:bCs/>
          <w:noProof/>
          <w:szCs w:val="24"/>
        </w:rPr>
      </w:pPr>
      <w:r w:rsidRPr="00D020C3">
        <w:rPr>
          <w:noProof/>
        </w:rPr>
        <w:t>1.3.</w:t>
      </w:r>
      <w:r w:rsidRPr="00D020C3">
        <w:rPr>
          <w:noProof/>
        </w:rPr>
        <w:tab/>
        <w:t xml:space="preserve">Obiectul propunerii/inițiativei </w:t>
      </w:r>
    </w:p>
    <w:p w14:paraId="4C1ADBD6" w14:textId="77777777" w:rsidR="00BD152F" w:rsidRPr="00D020C3" w:rsidRDefault="00B44E68" w:rsidP="00B00391">
      <w:pPr>
        <w:pStyle w:val="Text1"/>
        <w:rPr>
          <w:b/>
          <w:noProof/>
          <w:sz w:val="22"/>
        </w:rPr>
      </w:pPr>
      <w:r w:rsidRPr="00D96C74">
        <w:rPr>
          <w:rStyle w:val="normaltextrun"/>
          <w:rFonts w:ascii="Wingdings" w:hAnsi="Wingdings"/>
          <w:noProof/>
          <w:color w:val="000000"/>
          <w:sz w:val="22"/>
          <w:bdr w:val="none" w:sz="0" w:space="0" w:color="auto" w:frame="1"/>
        </w:rPr>
        <w:t></w:t>
      </w:r>
      <w:r w:rsidRPr="008D4D1E">
        <w:rPr>
          <w:b/>
          <w:i/>
          <w:noProof/>
          <w:sz w:val="22"/>
        </w:rPr>
        <w:t> </w:t>
      </w:r>
      <w:r w:rsidRPr="00D020C3">
        <w:rPr>
          <w:b/>
          <w:noProof/>
        </w:rPr>
        <w:t>o acțiune nouă</w:t>
      </w:r>
      <w:r w:rsidRPr="00D020C3">
        <w:rPr>
          <w:b/>
          <w:noProof/>
          <w:sz w:val="22"/>
        </w:rPr>
        <w:t xml:space="preserve"> </w:t>
      </w:r>
    </w:p>
    <w:p w14:paraId="3D70782F" w14:textId="77777777" w:rsidR="00BD152F" w:rsidRPr="00D96C74" w:rsidRDefault="76754597" w:rsidP="00B00391">
      <w:pPr>
        <w:pStyle w:val="Text1"/>
        <w:rPr>
          <w:noProof/>
          <w:sz w:val="22"/>
        </w:rPr>
      </w:pPr>
      <w:r w:rsidRPr="00D96C74">
        <w:rPr>
          <w:rFonts w:ascii="Wingdings" w:hAnsi="Wingdings"/>
          <w:noProof/>
          <w:sz w:val="22"/>
        </w:rPr>
        <w:t></w:t>
      </w:r>
      <w:r w:rsidRPr="008D4D1E">
        <w:rPr>
          <w:i/>
          <w:noProof/>
          <w:sz w:val="22"/>
        </w:rPr>
        <w:t xml:space="preserve"> </w:t>
      </w:r>
      <w:r w:rsidRPr="00D020C3">
        <w:rPr>
          <w:b/>
          <w:noProof/>
        </w:rPr>
        <w:t>o acțiune nouă întreprinsă ca urmare a unui proiect-pilot/a unei acțiuni pregătitoare</w:t>
      </w:r>
      <w:r w:rsidRPr="00D020C3">
        <w:rPr>
          <w:rStyle w:val="FootnoteReference"/>
          <w:b/>
          <w:bCs/>
          <w:noProof/>
        </w:rPr>
        <w:footnoteReference w:id="87"/>
      </w:r>
      <w:r w:rsidRPr="00D96C74">
        <w:rPr>
          <w:noProof/>
          <w:sz w:val="22"/>
        </w:rPr>
        <w:t xml:space="preserve"> </w:t>
      </w:r>
    </w:p>
    <w:p w14:paraId="1EBF7BF1" w14:textId="77777777" w:rsidR="00BD152F" w:rsidRPr="00D96C74" w:rsidRDefault="00B44E68" w:rsidP="00B00391">
      <w:pPr>
        <w:pStyle w:val="Text1"/>
        <w:rPr>
          <w:noProof/>
          <w:sz w:val="22"/>
        </w:rPr>
      </w:pPr>
      <w:r w:rsidRPr="00D96C74">
        <w:rPr>
          <w:rStyle w:val="normaltextrun"/>
          <w:rFonts w:ascii="Wingdings" w:hAnsi="Wingdings"/>
          <w:noProof/>
          <w:color w:val="000000"/>
          <w:sz w:val="22"/>
          <w:bdr w:val="none" w:sz="0" w:space="0" w:color="auto" w:frame="1"/>
        </w:rPr>
        <w:t></w:t>
      </w:r>
      <w:r w:rsidRPr="008D4D1E">
        <w:rPr>
          <w:i/>
          <w:noProof/>
          <w:sz w:val="22"/>
        </w:rPr>
        <w:t xml:space="preserve"> </w:t>
      </w:r>
      <w:r w:rsidRPr="00D020C3">
        <w:rPr>
          <w:b/>
          <w:noProof/>
        </w:rPr>
        <w:t>prelungirea unei acțiuni existente</w:t>
      </w:r>
      <w:r w:rsidRPr="00D96C74">
        <w:rPr>
          <w:noProof/>
          <w:sz w:val="22"/>
        </w:rPr>
        <w:t xml:space="preserve"> </w:t>
      </w:r>
    </w:p>
    <w:p w14:paraId="3302905D" w14:textId="77777777" w:rsidR="00BD152F" w:rsidRPr="00D96C74" w:rsidRDefault="00BD152F" w:rsidP="00B00391">
      <w:pPr>
        <w:pStyle w:val="Text1"/>
        <w:rPr>
          <w:noProof/>
        </w:rPr>
      </w:pPr>
      <w:r w:rsidRPr="00D96C74">
        <w:rPr>
          <w:rFonts w:ascii="Wingdings" w:hAnsi="Wingdings"/>
          <w:noProof/>
          <w:sz w:val="22"/>
        </w:rPr>
        <w:t></w:t>
      </w:r>
      <w:r w:rsidRPr="008D4D1E">
        <w:rPr>
          <w:i/>
          <w:noProof/>
          <w:sz w:val="22"/>
        </w:rPr>
        <w:t xml:space="preserve"> </w:t>
      </w:r>
      <w:r w:rsidRPr="00D020C3">
        <w:rPr>
          <w:b/>
          <w:noProof/>
        </w:rPr>
        <w:t>o fuziune sau o redirecționare a uneia sau mai multor acțiuni către o altă/o nouă acțiune</w:t>
      </w:r>
      <w:r w:rsidRPr="00D96C74">
        <w:rPr>
          <w:noProof/>
        </w:rPr>
        <w:t xml:space="preserve"> </w:t>
      </w:r>
    </w:p>
    <w:p w14:paraId="04690207" w14:textId="77777777" w:rsidR="00BD152F" w:rsidRPr="00D020C3" w:rsidRDefault="00BD152F" w:rsidP="00B00391">
      <w:pPr>
        <w:pStyle w:val="ManualHeading2"/>
        <w:rPr>
          <w:bCs/>
          <w:noProof/>
          <w:szCs w:val="24"/>
        </w:rPr>
      </w:pPr>
      <w:r w:rsidRPr="00D020C3">
        <w:rPr>
          <w:noProof/>
        </w:rPr>
        <w:t>1.4.</w:t>
      </w:r>
      <w:r w:rsidRPr="00D020C3">
        <w:rPr>
          <w:noProof/>
        </w:rPr>
        <w:tab/>
        <w:t>Obiectiv(e)</w:t>
      </w:r>
    </w:p>
    <w:p w14:paraId="4B7F6989" w14:textId="77777777" w:rsidR="00BD152F" w:rsidRPr="008D4D1E" w:rsidRDefault="00BD152F" w:rsidP="00B00391">
      <w:pPr>
        <w:pStyle w:val="ManualHeading3"/>
        <w:rPr>
          <w:noProof/>
        </w:rPr>
      </w:pPr>
      <w:r w:rsidRPr="008D4D1E">
        <w:rPr>
          <w:noProof/>
        </w:rPr>
        <w:t>1.4.1.</w:t>
      </w:r>
      <w:r w:rsidRPr="008D4D1E">
        <w:rPr>
          <w:noProof/>
        </w:rPr>
        <w:tab/>
        <w:t>Obiectiv(e) general(e)</w:t>
      </w:r>
    </w:p>
    <w:p w14:paraId="72007FF0" w14:textId="77777777" w:rsidR="003C7F43" w:rsidRPr="00D96C74" w:rsidRDefault="00BB1A93" w:rsidP="003C7F43">
      <w:pPr>
        <w:pStyle w:val="Text1"/>
        <w:pBdr>
          <w:top w:val="single" w:sz="4" w:space="1" w:color="auto"/>
          <w:left w:val="single" w:sz="4" w:space="4" w:color="auto"/>
          <w:bottom w:val="single" w:sz="4" w:space="1" w:color="auto"/>
          <w:right w:val="single" w:sz="4" w:space="4" w:color="auto"/>
        </w:pBdr>
        <w:rPr>
          <w:rStyle w:val="normaltextrun"/>
          <w:noProof/>
          <w:color w:val="000000"/>
          <w:shd w:val="clear" w:color="auto" w:fill="FFFFFF"/>
        </w:rPr>
      </w:pPr>
      <w:r w:rsidRPr="00D96C74">
        <w:rPr>
          <w:rStyle w:val="normaltextrun"/>
          <w:noProof/>
          <w:color w:val="000000"/>
          <w:shd w:val="clear" w:color="auto" w:fill="FFFFFF"/>
        </w:rPr>
        <w:t>Obiectivele generale ale modificării Directivei-cadru privind deșeurile, pentru textile și, respectiv, pentru alimente, sunt:</w:t>
      </w:r>
    </w:p>
    <w:p w14:paraId="18390BDB" w14:textId="77777777" w:rsidR="00BB1A93" w:rsidRPr="00D96C74" w:rsidRDefault="003C7F43" w:rsidP="003C7F43">
      <w:pPr>
        <w:pStyle w:val="Text1"/>
        <w:pBdr>
          <w:top w:val="single" w:sz="4" w:space="1" w:color="auto"/>
          <w:left w:val="single" w:sz="4" w:space="4" w:color="auto"/>
          <w:bottom w:val="single" w:sz="4" w:space="1" w:color="auto"/>
          <w:right w:val="single" w:sz="4" w:space="4" w:color="auto"/>
        </w:pBdr>
        <w:rPr>
          <w:noProof/>
          <w:color w:val="000000"/>
          <w:shd w:val="clear" w:color="auto" w:fill="FFFFFF"/>
        </w:rPr>
      </w:pPr>
      <w:r w:rsidRPr="00D96C74">
        <w:rPr>
          <w:rStyle w:val="normaltextrun"/>
          <w:noProof/>
          <w:color w:val="000000"/>
          <w:shd w:val="clear" w:color="auto" w:fill="FFFFFF"/>
        </w:rPr>
        <w:t xml:space="preserve">- </w:t>
      </w:r>
      <w:r w:rsidRPr="00D96C74">
        <w:rPr>
          <w:noProof/>
        </w:rPr>
        <w:t>reducerea impactului asupra mediului și a climei, creșterea calității mediului și îmbunătățirea sănătății publice asociate cu gestionarea deșeurilor textile în conformitate cu ierarhia deșeurilor;</w:t>
      </w:r>
    </w:p>
    <w:p w14:paraId="5F88992A" w14:textId="77777777" w:rsidR="00BB1A93" w:rsidRPr="00D96C74" w:rsidRDefault="003C7F43" w:rsidP="003C7F43">
      <w:pPr>
        <w:pStyle w:val="Text1"/>
        <w:pBdr>
          <w:top w:val="single" w:sz="4" w:space="1" w:color="auto"/>
          <w:left w:val="single" w:sz="4" w:space="4" w:color="auto"/>
          <w:bottom w:val="single" w:sz="4" w:space="1" w:color="auto"/>
          <w:right w:val="single" w:sz="4" w:space="4" w:color="auto"/>
        </w:pBdr>
        <w:rPr>
          <w:rStyle w:val="normaltextrun"/>
          <w:rFonts w:eastAsia="Times New Roman"/>
          <w:noProof/>
          <w:szCs w:val="24"/>
        </w:rPr>
      </w:pPr>
      <w:r w:rsidRPr="00D96C74">
        <w:rPr>
          <w:noProof/>
        </w:rPr>
        <w:t>- reducerea impactului asupra mediului și a climei al sistemelor alimentare asociate cu generarea de deșeuri alimentare. Prevenirea generării de deșeuri alimentare ar urma să contribuie și la securitatea alimentară.</w:t>
      </w:r>
    </w:p>
    <w:p w14:paraId="1668BA79" w14:textId="77777777" w:rsidR="00BD152F" w:rsidRPr="008D4D1E" w:rsidRDefault="00BD152F" w:rsidP="00B00391">
      <w:pPr>
        <w:pStyle w:val="ManualHeading3"/>
        <w:rPr>
          <w:bCs/>
          <w:noProof/>
          <w:szCs w:val="24"/>
        </w:rPr>
      </w:pPr>
      <w:r w:rsidRPr="008D4D1E">
        <w:rPr>
          <w:noProof/>
        </w:rPr>
        <w:t>1.4.2.</w:t>
      </w:r>
      <w:r w:rsidRPr="008D4D1E">
        <w:rPr>
          <w:noProof/>
        </w:rPr>
        <w:tab/>
        <w:t>Obiectiv(e) specific(e)</w:t>
      </w:r>
    </w:p>
    <w:p w14:paraId="4AC6821B" w14:textId="77777777" w:rsidR="006D5EFE" w:rsidRPr="00D96C74" w:rsidRDefault="006D5EFE" w:rsidP="00B00391">
      <w:pPr>
        <w:pStyle w:val="Text1"/>
        <w:pBdr>
          <w:top w:val="single" w:sz="4" w:space="1" w:color="auto"/>
          <w:left w:val="single" w:sz="4" w:space="4" w:color="auto"/>
          <w:bottom w:val="single" w:sz="4" w:space="1" w:color="auto"/>
          <w:right w:val="single" w:sz="4" w:space="4" w:color="auto"/>
        </w:pBdr>
        <w:rPr>
          <w:rStyle w:val="normaltextrun"/>
          <w:noProof/>
          <w:color w:val="000000"/>
          <w:bdr w:val="none" w:sz="0" w:space="0" w:color="auto" w:frame="1"/>
        </w:rPr>
      </w:pPr>
      <w:r w:rsidRPr="00D96C74">
        <w:rPr>
          <w:rStyle w:val="normaltextrun"/>
          <w:noProof/>
          <w:color w:val="000000"/>
          <w:bdr w:val="none" w:sz="0" w:space="0" w:color="auto" w:frame="1"/>
        </w:rPr>
        <w:t>În ceea ce privește deșeurile textile</w:t>
      </w:r>
      <w:r w:rsidRPr="00D96C74">
        <w:rPr>
          <w:noProof/>
          <w:color w:val="000000"/>
          <w:bdr w:val="none" w:sz="0" w:space="0" w:color="auto" w:frame="1"/>
        </w:rPr>
        <w:t>, prezenta propunere vizează, pe de o parte, îmbunătățirea gestionării deșeurilor textile în conformitate cu „ierarhia deșeurilor” consacrată în DCD, acordând prioritate prevenirii generării de deșeuri, pregătirii pentru reutilizare și reciclării textilelor înaintea altor opțiuni de valorificare și eliminare și, pe de altă parte, punerea în aplicare a principiului „poluatorul plătește”.</w:t>
      </w:r>
    </w:p>
    <w:p w14:paraId="3C7A30F5" w14:textId="77777777" w:rsidR="00BD152F" w:rsidRPr="00D96C74" w:rsidRDefault="006D5EFE" w:rsidP="006D5EFE">
      <w:pPr>
        <w:pStyle w:val="Text1"/>
        <w:pBdr>
          <w:top w:val="single" w:sz="4" w:space="1" w:color="auto"/>
          <w:left w:val="single" w:sz="4" w:space="4" w:color="auto"/>
          <w:bottom w:val="single" w:sz="4" w:space="1" w:color="auto"/>
          <w:right w:val="single" w:sz="4" w:space="4" w:color="auto"/>
        </w:pBdr>
        <w:rPr>
          <w:noProof/>
        </w:rPr>
      </w:pPr>
      <w:r w:rsidRPr="00D96C74">
        <w:rPr>
          <w:rStyle w:val="normaltextrun"/>
          <w:noProof/>
          <w:color w:val="000000"/>
          <w:shd w:val="clear" w:color="auto" w:fill="FFFFFF"/>
        </w:rPr>
        <w:t xml:space="preserve">În ceea ce privește deșeurile alimentare, obiectivele specifice sunt atribuirea unei responsabilități clare statelor membre de a accelera reducerea deșeurilor alimentare în conformitate cu cea de a treia țintă a ODD </w:t>
      </w:r>
      <w:r w:rsidRPr="00D020C3">
        <w:rPr>
          <w:rStyle w:val="normaltextrun"/>
          <w:noProof/>
          <w:color w:val="000000"/>
          <w:shd w:val="clear" w:color="auto" w:fill="FFFFFF"/>
        </w:rPr>
        <w:t>12</w:t>
      </w:r>
      <w:r w:rsidRPr="00D96C74">
        <w:rPr>
          <w:rStyle w:val="normaltextrun"/>
          <w:noProof/>
          <w:color w:val="000000"/>
          <w:shd w:val="clear" w:color="auto" w:fill="FFFFFF"/>
        </w:rPr>
        <w:t xml:space="preserve"> și asigurarea unor măsuri de răspuns suficiente și coerente din partea tuturor statelor membre.</w:t>
      </w:r>
      <w:r w:rsidRPr="00D96C74">
        <w:rPr>
          <w:noProof/>
        </w:rPr>
        <w:t xml:space="preserve"> </w:t>
      </w:r>
    </w:p>
    <w:p w14:paraId="36B4F71A" w14:textId="77777777" w:rsidR="00BD152F" w:rsidRPr="008D4D1E" w:rsidRDefault="00BD152F" w:rsidP="00B00391">
      <w:pPr>
        <w:pStyle w:val="ManualHeading3"/>
        <w:rPr>
          <w:noProof/>
        </w:rPr>
      </w:pPr>
      <w:r w:rsidRPr="008D4D1E">
        <w:rPr>
          <w:noProof/>
        </w:rPr>
        <w:t>1.4.3.</w:t>
      </w:r>
      <w:r w:rsidRPr="008D4D1E">
        <w:rPr>
          <w:noProof/>
        </w:rPr>
        <w:tab/>
        <w:t>Rezultatul (rezultatele) și impactul preconizate</w:t>
      </w:r>
    </w:p>
    <w:p w14:paraId="577880F4" w14:textId="77777777" w:rsidR="00BD152F" w:rsidRPr="008D4D1E" w:rsidRDefault="00BD152F" w:rsidP="00B00391">
      <w:pPr>
        <w:pStyle w:val="Text1"/>
        <w:rPr>
          <w:i/>
          <w:noProof/>
          <w:sz w:val="20"/>
        </w:rPr>
      </w:pPr>
      <w:r w:rsidRPr="008D4D1E">
        <w:rPr>
          <w:i/>
          <w:noProof/>
          <w:sz w:val="20"/>
        </w:rPr>
        <w:t>A se preciza efectele pe care ar trebui să le aibă propunerea/inițiativa asupra beneficiarilor vizați/grupurilor vizate.</w:t>
      </w:r>
    </w:p>
    <w:p w14:paraId="44F7E8AE" w14:textId="77777777" w:rsidR="006D5EFE" w:rsidRPr="00D96C74" w:rsidRDefault="006D5EFE" w:rsidP="006D5EFE">
      <w:pPr>
        <w:pStyle w:val="Text1"/>
        <w:pBdr>
          <w:top w:val="single" w:sz="4" w:space="1" w:color="auto"/>
          <w:left w:val="single" w:sz="4" w:space="4" w:color="auto"/>
          <w:bottom w:val="single" w:sz="4" w:space="1" w:color="auto"/>
          <w:right w:val="single" w:sz="4" w:space="4" w:color="auto"/>
        </w:pBdr>
        <w:rPr>
          <w:rStyle w:val="normaltextrun"/>
          <w:noProof/>
          <w:color w:val="000000"/>
          <w:shd w:val="clear" w:color="auto" w:fill="FFFFFF"/>
        </w:rPr>
      </w:pPr>
      <w:r w:rsidRPr="00D96C74">
        <w:rPr>
          <w:rStyle w:val="normaltextrun"/>
          <w:noProof/>
          <w:color w:val="000000"/>
          <w:shd w:val="clear" w:color="auto" w:fill="FFFFFF"/>
        </w:rPr>
        <w:t>Rezultatele preconizate sunt următoarele:</w:t>
      </w:r>
    </w:p>
    <w:p w14:paraId="75A64575" w14:textId="77777777" w:rsidR="006D5EFE" w:rsidRPr="00D96C74" w:rsidRDefault="003C7F43" w:rsidP="003C7F43">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Reducerea deșeurilor textile, creșterea gradului de reutilizare, de pregătire pentru reutilizare și de reciclare a textilelor, impulsionarea proiectării textilelor astfel încât să se faciliteze reutilizarea, pregătirea pentru reutilizare și reciclarea (prin răspunderea extinsă a producătorilor), precum și generarea de posibilități financiare pentru a extinde infrastructura de reutilizare, pregătire pentru reutilizare și reciclare necesară în UE</w:t>
      </w:r>
    </w:p>
    <w:p w14:paraId="06C38913" w14:textId="77777777" w:rsidR="006D5EFE" w:rsidRPr="00D96C74" w:rsidRDefault="003C7F43" w:rsidP="003C7F43">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xml:space="preserve">- Beneficii suplimentare, în valoare de </w:t>
      </w:r>
      <w:r w:rsidRPr="00D020C3">
        <w:rPr>
          <w:noProof/>
        </w:rPr>
        <w:t>656</w:t>
      </w:r>
      <w:r w:rsidRPr="00D96C74">
        <w:rPr>
          <w:noProof/>
        </w:rPr>
        <w:t xml:space="preserve"> de milioane EUR, sub formă de textile reutilizabile și reciclabile pentru piața UE a reutilizării și reciclării, precum și sprijin pentru un randament global anual de </w:t>
      </w:r>
      <w:r w:rsidRPr="00D020C3">
        <w:rPr>
          <w:noProof/>
        </w:rPr>
        <w:t>3</w:t>
      </w:r>
      <w:r w:rsidRPr="00D96C74">
        <w:rPr>
          <w:noProof/>
        </w:rPr>
        <w:t>,</w:t>
      </w:r>
      <w:r w:rsidRPr="00D020C3">
        <w:rPr>
          <w:noProof/>
        </w:rPr>
        <w:t>5</w:t>
      </w:r>
      <w:r w:rsidRPr="00D96C74">
        <w:rPr>
          <w:noProof/>
        </w:rPr>
        <w:t>-</w:t>
      </w:r>
      <w:r w:rsidRPr="00D020C3">
        <w:rPr>
          <w:noProof/>
        </w:rPr>
        <w:t>4</w:t>
      </w:r>
      <w:r w:rsidRPr="00D96C74">
        <w:rPr>
          <w:noProof/>
        </w:rPr>
        <w:t>,</w:t>
      </w:r>
      <w:r w:rsidRPr="00D020C3">
        <w:rPr>
          <w:noProof/>
        </w:rPr>
        <w:t>5</w:t>
      </w:r>
      <w:r w:rsidRPr="00D96C74">
        <w:rPr>
          <w:noProof/>
        </w:rPr>
        <w:t xml:space="preserve"> miliarde EUR din investițiile efectuate în legătură cu răspunderea extinsă a producătorilor;</w:t>
      </w:r>
    </w:p>
    <w:p w14:paraId="166E6337" w14:textId="718B7632" w:rsidR="006D5EFE" w:rsidRPr="00D96C74" w:rsidRDefault="003C7F43" w:rsidP="003C7F43">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xml:space="preserve">- Reducere suplimentară a emisiilor de GES provenite de la textile egală cu </w:t>
      </w:r>
      <w:r w:rsidRPr="00D020C3">
        <w:rPr>
          <w:noProof/>
        </w:rPr>
        <w:t>16</w:t>
      </w:r>
      <w:r w:rsidR="00D020C3">
        <w:rPr>
          <w:noProof/>
        </w:rPr>
        <w:t> </w:t>
      </w:r>
      <w:r w:rsidRPr="00D96C74">
        <w:rPr>
          <w:noProof/>
        </w:rPr>
        <w:t>milioane EUR pe an  </w:t>
      </w:r>
    </w:p>
    <w:p w14:paraId="23E0E922" w14:textId="77777777" w:rsidR="006D5EFE" w:rsidRPr="00D96C74" w:rsidRDefault="003C7F43" w:rsidP="003C7F43">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xml:space="preserve">- </w:t>
      </w:r>
      <w:r w:rsidRPr="00D020C3">
        <w:rPr>
          <w:noProof/>
        </w:rPr>
        <w:t>8</w:t>
      </w:r>
      <w:r w:rsidRPr="00D96C74">
        <w:rPr>
          <w:noProof/>
        </w:rPr>
        <w:t> </w:t>
      </w:r>
      <w:r w:rsidRPr="00D020C3">
        <w:rPr>
          <w:noProof/>
        </w:rPr>
        <w:t>740</w:t>
      </w:r>
      <w:r w:rsidRPr="00D96C74">
        <w:rPr>
          <w:noProof/>
        </w:rPr>
        <w:t xml:space="preserve"> de locuri de muncă create în domeniul gestionării deșeurilor </w:t>
      </w:r>
    </w:p>
    <w:p w14:paraId="065C8104" w14:textId="77777777" w:rsidR="006D5EFE" w:rsidRPr="00D96C74" w:rsidRDefault="003C7F43" w:rsidP="003C7F43">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xml:space="preserve">- Reducerea generării de deșeuri alimentare cu </w:t>
      </w:r>
      <w:r w:rsidRPr="00D020C3">
        <w:rPr>
          <w:noProof/>
        </w:rPr>
        <w:t>10</w:t>
      </w:r>
      <w:r w:rsidRPr="00D96C74">
        <w:rPr>
          <w:noProof/>
        </w:rPr>
        <w:t xml:space="preserve"> % în etapa prelucrării și fabricării alimentelor și cu </w:t>
      </w:r>
      <w:r w:rsidRPr="00D020C3">
        <w:rPr>
          <w:noProof/>
        </w:rPr>
        <w:t>30</w:t>
      </w:r>
      <w:r w:rsidRPr="00D96C74">
        <w:rPr>
          <w:noProof/>
        </w:rPr>
        <w:t xml:space="preserve"> % în comerțul cu amănuntul, în serviciile de alimentație și în gospodării (până în </w:t>
      </w:r>
      <w:r w:rsidRPr="00D020C3">
        <w:rPr>
          <w:noProof/>
        </w:rPr>
        <w:t>2030</w:t>
      </w:r>
      <w:r w:rsidRPr="00D96C74">
        <w:rPr>
          <w:noProof/>
        </w:rPr>
        <w:t>)</w:t>
      </w:r>
    </w:p>
    <w:p w14:paraId="25CE2AC1" w14:textId="77777777" w:rsidR="006D5EFE" w:rsidRPr="00D96C74" w:rsidRDefault="003C7F43" w:rsidP="003C7F43">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xml:space="preserve">- Valoare adăugată globală pentru economia UE de </w:t>
      </w:r>
      <w:r w:rsidRPr="00D020C3">
        <w:rPr>
          <w:noProof/>
        </w:rPr>
        <w:t>1</w:t>
      </w:r>
      <w:r w:rsidRPr="00D96C74">
        <w:rPr>
          <w:noProof/>
        </w:rPr>
        <w:t>,</w:t>
      </w:r>
      <w:r w:rsidRPr="00D020C3">
        <w:rPr>
          <w:noProof/>
        </w:rPr>
        <w:t>6</w:t>
      </w:r>
      <w:r w:rsidRPr="00D96C74">
        <w:rPr>
          <w:noProof/>
        </w:rPr>
        <w:t xml:space="preserve"> miliarde EUR (inclusiv costurile menționate mai sus) </w:t>
      </w:r>
    </w:p>
    <w:p w14:paraId="714AFFB5" w14:textId="77777777" w:rsidR="006D5EFE" w:rsidRPr="00D96C74" w:rsidRDefault="003C7F43" w:rsidP="003C7F43">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xml:space="preserve">- Economii cu cheltuielile alimentare ale gospodăriilor de </w:t>
      </w:r>
      <w:r w:rsidRPr="00D020C3">
        <w:rPr>
          <w:noProof/>
        </w:rPr>
        <w:t>439</w:t>
      </w:r>
      <w:r w:rsidRPr="00D96C74">
        <w:rPr>
          <w:noProof/>
        </w:rPr>
        <w:t> EUR anual de gospodărie (</w:t>
      </w:r>
      <w:r w:rsidRPr="00D020C3">
        <w:rPr>
          <w:noProof/>
        </w:rPr>
        <w:t>4</w:t>
      </w:r>
      <w:r w:rsidRPr="00D96C74">
        <w:rPr>
          <w:noProof/>
        </w:rPr>
        <w:t xml:space="preserve"> persoane) </w:t>
      </w:r>
    </w:p>
    <w:p w14:paraId="6540BB89" w14:textId="77777777" w:rsidR="006D5EFE" w:rsidRPr="00D96C74" w:rsidRDefault="003C7F43" w:rsidP="003C7F43">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xml:space="preserve">- Reducerea unei serii de efecte asupra mediului asociate alimentelor, cum ar fi emisiile de GES, eutrofizarea marină, utilizarea terenurilor sau deficitul de apă – estimate în total între </w:t>
      </w:r>
      <w:r w:rsidRPr="00D020C3">
        <w:rPr>
          <w:noProof/>
        </w:rPr>
        <w:t>9</w:t>
      </w:r>
      <w:r w:rsidRPr="00D96C74">
        <w:rPr>
          <w:noProof/>
        </w:rPr>
        <w:t xml:space="preserve"> și </w:t>
      </w:r>
      <w:r w:rsidRPr="00D020C3">
        <w:rPr>
          <w:noProof/>
        </w:rPr>
        <w:t>23</w:t>
      </w:r>
      <w:r w:rsidRPr="00D96C74">
        <w:rPr>
          <w:noProof/>
        </w:rPr>
        <w:t xml:space="preserve"> de miliarde EUR, inclusiv o reducere estimată a emisiilor de GES cuprinsă între </w:t>
      </w:r>
      <w:r w:rsidRPr="00D020C3">
        <w:rPr>
          <w:noProof/>
        </w:rPr>
        <w:t>16</w:t>
      </w:r>
      <w:r w:rsidRPr="00D96C74">
        <w:rPr>
          <w:noProof/>
        </w:rPr>
        <w:t>,</w:t>
      </w:r>
      <w:r w:rsidRPr="00D020C3">
        <w:rPr>
          <w:noProof/>
        </w:rPr>
        <w:t>5</w:t>
      </w:r>
      <w:r w:rsidRPr="00D96C74">
        <w:rPr>
          <w:noProof/>
        </w:rPr>
        <w:t xml:space="preserve"> și </w:t>
      </w:r>
      <w:r w:rsidRPr="00D020C3">
        <w:rPr>
          <w:noProof/>
        </w:rPr>
        <w:t>62</w:t>
      </w:r>
      <w:r w:rsidRPr="00D96C74">
        <w:rPr>
          <w:noProof/>
        </w:rPr>
        <w:t xml:space="preserve"> de milioane de tone</w:t>
      </w:r>
    </w:p>
    <w:p w14:paraId="7F676F7A" w14:textId="77777777" w:rsidR="00BD152F" w:rsidRPr="008D4D1E" w:rsidRDefault="00BD152F" w:rsidP="00B00391">
      <w:pPr>
        <w:pStyle w:val="ManualHeading3"/>
        <w:rPr>
          <w:noProof/>
          <w:szCs w:val="24"/>
        </w:rPr>
      </w:pPr>
      <w:r w:rsidRPr="008D4D1E">
        <w:rPr>
          <w:noProof/>
        </w:rPr>
        <w:t>1.4.4.</w:t>
      </w:r>
      <w:r w:rsidRPr="008D4D1E">
        <w:rPr>
          <w:noProof/>
        </w:rPr>
        <w:tab/>
        <w:t>Indicatori de performanță</w:t>
      </w:r>
    </w:p>
    <w:p w14:paraId="3E2C8D10" w14:textId="77777777" w:rsidR="00BD152F" w:rsidRPr="008D4D1E" w:rsidRDefault="00BD152F" w:rsidP="00B00391">
      <w:pPr>
        <w:pStyle w:val="Text1"/>
        <w:rPr>
          <w:i/>
          <w:noProof/>
          <w:sz w:val="20"/>
        </w:rPr>
      </w:pPr>
      <w:r w:rsidRPr="008D4D1E">
        <w:rPr>
          <w:i/>
          <w:noProof/>
          <w:sz w:val="20"/>
        </w:rPr>
        <w:t>A se preciza indicatorii care permit monitorizarea progreselor și a realizărilor obținute.</w:t>
      </w:r>
    </w:p>
    <w:p w14:paraId="4E2C6E76" w14:textId="77777777" w:rsidR="00BD152F" w:rsidRPr="00D96C74" w:rsidRDefault="00016CEB" w:rsidP="00B00391">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Indicatorii progresului și ai realizării obiectivelor vor fi:</w:t>
      </w:r>
    </w:p>
    <w:p w14:paraId="199681EE" w14:textId="77777777" w:rsidR="00016CEB" w:rsidRPr="00D96C74" w:rsidRDefault="003C7F43" w:rsidP="003C7F43">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Ancheta privind compoziția deșeurilor municipale mixte colectate, cu scopul de a stabili ponderea deșeurilor textile din acestea</w:t>
      </w:r>
    </w:p>
    <w:p w14:paraId="3E0351DD" w14:textId="77777777" w:rsidR="00016CEB" w:rsidRPr="00D96C74" w:rsidRDefault="003C7F43" w:rsidP="003C7F43">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Datele privind pregătirea pentru reutilizare a textilelor uzate și a deșeurilor textile</w:t>
      </w:r>
    </w:p>
    <w:p w14:paraId="2068734A" w14:textId="77777777" w:rsidR="00016CEB" w:rsidRPr="00D96C74" w:rsidRDefault="003C7F43" w:rsidP="003C7F43">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Informațiile privind rata de colectare separată a produselor textile și de încălțăminte uzate și care au calitatea de deșeu aflate pe lista din anexa IVc, rata de reutilizare și pregătire pentru reutilizare și rata de reciclare obținute de organizația care implementează răspunderea extinsă a producătorului</w:t>
      </w:r>
    </w:p>
    <w:p w14:paraId="621B95DA" w14:textId="77777777" w:rsidR="00016CEB" w:rsidRPr="00D96C74" w:rsidRDefault="003C7F43" w:rsidP="003C7F43">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xml:space="preserve">- Până în </w:t>
      </w:r>
      <w:r w:rsidRPr="00D020C3">
        <w:rPr>
          <w:noProof/>
        </w:rPr>
        <w:t>2030</w:t>
      </w:r>
      <w:r w:rsidRPr="00D96C74">
        <w:rPr>
          <w:noProof/>
        </w:rPr>
        <w:t xml:space="preserve">, reducerea generării de deșeuri alimentare cu </w:t>
      </w:r>
      <w:r w:rsidRPr="00D020C3">
        <w:rPr>
          <w:noProof/>
        </w:rPr>
        <w:t>10</w:t>
      </w:r>
      <w:r w:rsidRPr="00D96C74">
        <w:rPr>
          <w:noProof/>
        </w:rPr>
        <w:t xml:space="preserve"> % în etapa prelucrării și fabricării alimentelor și cu </w:t>
      </w:r>
      <w:r w:rsidRPr="00D020C3">
        <w:rPr>
          <w:noProof/>
        </w:rPr>
        <w:t>30</w:t>
      </w:r>
      <w:r w:rsidRPr="00D96C74">
        <w:rPr>
          <w:noProof/>
        </w:rPr>
        <w:t> % în comerțul cu amănuntul, în serviciile de alimentație și în gospodării</w:t>
      </w:r>
    </w:p>
    <w:p w14:paraId="5750C055" w14:textId="77777777" w:rsidR="00BD152F" w:rsidRPr="00D020C3" w:rsidRDefault="00BD152F" w:rsidP="00B00391">
      <w:pPr>
        <w:pStyle w:val="ManualHeading2"/>
        <w:rPr>
          <w:bCs/>
          <w:noProof/>
          <w:szCs w:val="24"/>
        </w:rPr>
      </w:pPr>
      <w:r w:rsidRPr="00D020C3">
        <w:rPr>
          <w:noProof/>
        </w:rPr>
        <w:t>1.5.</w:t>
      </w:r>
      <w:r w:rsidRPr="00D020C3">
        <w:rPr>
          <w:noProof/>
        </w:rPr>
        <w:tab/>
        <w:t xml:space="preserve">Motivele propunerii/inițiativei </w:t>
      </w:r>
    </w:p>
    <w:p w14:paraId="4FEF6B8C" w14:textId="77777777" w:rsidR="00BD152F" w:rsidRPr="008D4D1E" w:rsidRDefault="00BD152F" w:rsidP="00B00391">
      <w:pPr>
        <w:pStyle w:val="ManualHeading3"/>
        <w:rPr>
          <w:noProof/>
        </w:rPr>
      </w:pPr>
      <w:r w:rsidRPr="008D4D1E">
        <w:rPr>
          <w:noProof/>
        </w:rPr>
        <w:t>1.5.1.</w:t>
      </w:r>
      <w:r w:rsidRPr="008D4D1E">
        <w:rPr>
          <w:noProof/>
        </w:rPr>
        <w:tab/>
        <w:t>Cerința (cerințele) care trebuie îndeplinită (îndeplinite) pe termen scurt sau lung, inclusiv un calendar detaliat pentru punerea în aplicare a inițiativei</w:t>
      </w:r>
    </w:p>
    <w:p w14:paraId="2EFDBE90" w14:textId="77777777" w:rsidR="00BD152F" w:rsidRPr="00D96C74" w:rsidRDefault="00A16DC9" w:rsidP="00A16DC9">
      <w:pPr>
        <w:pStyle w:val="Text1"/>
        <w:pBdr>
          <w:top w:val="single" w:sz="4" w:space="1" w:color="auto"/>
          <w:left w:val="single" w:sz="4" w:space="4" w:color="auto"/>
          <w:bottom w:val="single" w:sz="4" w:space="1" w:color="auto"/>
          <w:right w:val="single" w:sz="4" w:space="4" w:color="auto"/>
        </w:pBdr>
        <w:rPr>
          <w:rStyle w:val="normaltextrun"/>
          <w:noProof/>
          <w:color w:val="000000"/>
          <w:shd w:val="clear" w:color="auto" w:fill="FFFFFF"/>
        </w:rPr>
      </w:pPr>
      <w:r w:rsidRPr="00D96C74">
        <w:rPr>
          <w:rStyle w:val="normaltextrun"/>
          <w:noProof/>
          <w:color w:val="000000"/>
          <w:shd w:val="clear" w:color="auto" w:fill="FFFFFF"/>
        </w:rPr>
        <w:t xml:space="preserve">Cerințele detaliate ar trebui să fie specificate prin acte de punere în aplicare într-un interval de timp de aproximativ </w:t>
      </w:r>
      <w:r w:rsidRPr="00D020C3">
        <w:rPr>
          <w:rStyle w:val="normaltextrun"/>
          <w:noProof/>
          <w:color w:val="000000"/>
          <w:shd w:val="clear" w:color="auto" w:fill="FFFFFF"/>
        </w:rPr>
        <w:t>3</w:t>
      </w:r>
      <w:r w:rsidRPr="00D96C74">
        <w:rPr>
          <w:rStyle w:val="normaltextrun"/>
          <w:noProof/>
          <w:color w:val="000000"/>
          <w:shd w:val="clear" w:color="auto" w:fill="FFFFFF"/>
        </w:rPr>
        <w:t xml:space="preserve"> ani. Acestea vor cuprinde următoarele:</w:t>
      </w:r>
    </w:p>
    <w:p w14:paraId="578478F2" w14:textId="2E7EB61C" w:rsidR="003056CA" w:rsidRPr="00D96C74" w:rsidRDefault="003056CA" w:rsidP="00A23F8A">
      <w:pPr>
        <w:pStyle w:val="Text1"/>
        <w:pBdr>
          <w:top w:val="single" w:sz="4" w:space="1" w:color="auto"/>
          <w:left w:val="single" w:sz="4" w:space="4" w:color="auto"/>
          <w:bottom w:val="single" w:sz="4" w:space="1" w:color="auto"/>
          <w:right w:val="single" w:sz="4" w:space="4" w:color="auto"/>
        </w:pBdr>
        <w:rPr>
          <w:rFonts w:eastAsia="Times New Roman"/>
          <w:noProof/>
        </w:rPr>
      </w:pPr>
      <w:r w:rsidRPr="00D96C74">
        <w:rPr>
          <w:noProof/>
        </w:rPr>
        <w:t>- Acte de punere în aplicare de stabilire a formatului armonizat pentru înregistrarea în registru </w:t>
      </w:r>
    </w:p>
    <w:p w14:paraId="1020C591" w14:textId="77777777" w:rsidR="00665C42" w:rsidRPr="00D96C74" w:rsidRDefault="00A23F8A" w:rsidP="00A23F8A">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xml:space="preserve">- Posibile acte delegate de modificare a codurilor din Nomenclatura combinată enumerate în anexa IVc pentru a le alinia la codurile enumerate în anexa </w:t>
      </w:r>
      <w:r w:rsidRPr="00D020C3">
        <w:rPr>
          <w:noProof/>
        </w:rPr>
        <w:t>1</w:t>
      </w:r>
      <w:r w:rsidRPr="00D96C74">
        <w:rPr>
          <w:noProof/>
        </w:rPr>
        <w:t xml:space="preserve"> la Regulamentul (CEE) nr. </w:t>
      </w:r>
      <w:r w:rsidRPr="00D020C3">
        <w:rPr>
          <w:noProof/>
        </w:rPr>
        <w:t>2658</w:t>
      </w:r>
      <w:r w:rsidRPr="00D96C74">
        <w:rPr>
          <w:noProof/>
        </w:rPr>
        <w:t>/</w:t>
      </w:r>
      <w:r w:rsidRPr="00D020C3">
        <w:rPr>
          <w:noProof/>
        </w:rPr>
        <w:t>87</w:t>
      </w:r>
      <w:r w:rsidRPr="00D96C74">
        <w:rPr>
          <w:noProof/>
        </w:rPr>
        <w:t xml:space="preserve"> al Consiliului și pentru a asigura securitatea juridică în ceea ce privește produsele care fac obiectul răspunderii extinse a producătorilor</w:t>
      </w:r>
    </w:p>
    <w:p w14:paraId="5448037F" w14:textId="77777777" w:rsidR="001D3ECB" w:rsidRPr="00D96C74" w:rsidRDefault="00A23F8A" w:rsidP="00A23F8A">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Posibil act de punere în aplicare de stabilire a criteriilor aplicabile organizațiilor care implementează răspunderea extinsă a producătorului în ceea ce privește contribuțiile financiare care le sunt plătite de producători</w:t>
      </w:r>
    </w:p>
    <w:p w14:paraId="69BB0556" w14:textId="77777777" w:rsidR="001D3ECB" w:rsidRPr="00D96C74" w:rsidRDefault="00A23F8A" w:rsidP="00A23F8A">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Act de punere în aplicare de stabilire a metodologiei de calculare și verificare a ratei de colectare separată</w:t>
      </w:r>
    </w:p>
    <w:p w14:paraId="1B5ADB20" w14:textId="77777777" w:rsidR="001D3ECB" w:rsidRPr="00D96C74" w:rsidRDefault="00A23F8A" w:rsidP="00A23F8A">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Acte de punere în aplicare adoptate în temeiul alineatului (</w:t>
      </w:r>
      <w:r w:rsidRPr="00D020C3">
        <w:rPr>
          <w:noProof/>
        </w:rPr>
        <w:t>37</w:t>
      </w:r>
      <w:r w:rsidRPr="00D96C74">
        <w:rPr>
          <w:noProof/>
        </w:rPr>
        <w:t>) al prezentului articol de stabilire a formatului pentru raportarea datelor menționate la alineatul (</w:t>
      </w:r>
      <w:r w:rsidRPr="00D020C3">
        <w:rPr>
          <w:noProof/>
        </w:rPr>
        <w:t>1</w:t>
      </w:r>
      <w:r w:rsidRPr="00D96C74">
        <w:rPr>
          <w:noProof/>
        </w:rPr>
        <w:t>) în vederea adaptării acestora la cerințele prevăzute la alineatul (</w:t>
      </w:r>
      <w:r w:rsidRPr="00D020C3">
        <w:rPr>
          <w:noProof/>
        </w:rPr>
        <w:t>3</w:t>
      </w:r>
      <w:r w:rsidRPr="00D96C74">
        <w:rPr>
          <w:noProof/>
        </w:rPr>
        <w:t>) al articolului respectiv</w:t>
      </w:r>
    </w:p>
    <w:p w14:paraId="079519F1" w14:textId="77777777" w:rsidR="00A16DC9" w:rsidRPr="00D96C74" w:rsidRDefault="00A23F8A" w:rsidP="00A23F8A">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 xml:space="preserve">- Nu există cerințe care să trebuiască îndeplinite în domeniul deșeurilor alimentare (întrucât condițiile prealabile necesare au fost deja adoptate în revizuirea din </w:t>
      </w:r>
      <w:r w:rsidRPr="00D020C3">
        <w:rPr>
          <w:noProof/>
        </w:rPr>
        <w:t>2018</w:t>
      </w:r>
      <w:r w:rsidRPr="00D96C74">
        <w:rPr>
          <w:noProof/>
        </w:rPr>
        <w:t xml:space="preserve"> a DCD și în legislația secundară ulterioară)</w:t>
      </w:r>
    </w:p>
    <w:p w14:paraId="7E10F8AE" w14:textId="77777777" w:rsidR="00BD152F" w:rsidRPr="008D4D1E" w:rsidRDefault="00BD152F" w:rsidP="00B00391">
      <w:pPr>
        <w:pStyle w:val="ManualHeading3"/>
        <w:rPr>
          <w:bCs/>
          <w:noProof/>
          <w:szCs w:val="24"/>
        </w:rPr>
      </w:pPr>
      <w:r w:rsidRPr="008D4D1E">
        <w:rPr>
          <w:noProof/>
        </w:rPr>
        <w:t>1.5.2.</w:t>
      </w:r>
      <w:r w:rsidRPr="008D4D1E">
        <w:rPr>
          <w:noProof/>
        </w:rPr>
        <w:tab/>
        <w:t>Valoarea adăugată a intervenției Uniunii (aceasta poate rezulta din diferiți factori, de exemplu o mai bună coordonare, securitatea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p>
    <w:p w14:paraId="6C212C03" w14:textId="77777777" w:rsidR="00BD152F" w:rsidRPr="00D96C74" w:rsidRDefault="005D28F0" w:rsidP="00B00391">
      <w:pPr>
        <w:pStyle w:val="Text1"/>
        <w:pBdr>
          <w:top w:val="single" w:sz="4" w:space="1" w:color="auto"/>
          <w:left w:val="single" w:sz="4" w:space="4" w:color="auto"/>
          <w:bottom w:val="single" w:sz="4" w:space="1" w:color="auto"/>
          <w:right w:val="single" w:sz="4" w:space="4" w:color="auto"/>
        </w:pBdr>
        <w:rPr>
          <w:noProof/>
        </w:rPr>
      </w:pPr>
      <w:r w:rsidRPr="00D96C74">
        <w:rPr>
          <w:rStyle w:val="normaltextrun"/>
          <w:noProof/>
          <w:color w:val="000000"/>
          <w:bdr w:val="none" w:sz="0" w:space="0" w:color="auto" w:frame="1"/>
        </w:rPr>
        <w:t>Având în vedere caracterul transfrontalier al lanțului valoric al produselor textile din perspectivă economică, socială și de mediu, vânzarea, consumul și gestionarea produselor textile la sfârșitul ciclului de viață sunt legate în mod intrinsec de funcționarea pieței unice și a lanțurilor valorice globale. Dependența ridicată de materii prime evidențiază importanța stimulării modelelor de afaceri circulare pentru a reduce utilizarea materiilor prime primare și pentru a contribui la atenuarea externalităților de mediu negative asociate acestei utilizări.</w:t>
      </w:r>
    </w:p>
    <w:p w14:paraId="4FA25238" w14:textId="77777777" w:rsidR="005D28F0" w:rsidRPr="00D96C74" w:rsidRDefault="005D28F0" w:rsidP="00B00391">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rStyle w:val="normaltextrun"/>
          <w:noProof/>
          <w:color w:val="000000"/>
          <w:shd w:val="clear" w:color="auto" w:fill="FFFFFF"/>
        </w:rPr>
        <w:t>Sistemele de colectare, sortare și reciclare trebuie să fie extinse pentru a fi pregătite pentru viitoarea obligație de colectare separată și pentru punerea sa deplină în aplicare, deoarece în prezent mai multe lacune de reglementare și disfuncționalități ale pieței care afectează toate statele membre și toți actorii din cadrul lanțului valoric al textilelor împiedică asigurarea unei capacități suficiente de colectare, sortare și reciclare. Absența unei abordări comune la nivelul UE în ceea ce privește gestionarea produselor textile riscă să creeze fragmentare normativă și perturbări în fluxurile de deșeuri și materiale sau să le adâncească și mai mult pe cele existente, împiedicând astfel circulația transfrontalieră a textilelor (produse, textile uzate și deșeuri textile), precum și întreprinderea de acțiuni coordonate și realizarea de investiții rapide pe tot cuprinsul UE. Există un risc major de creștere suplimentară a fragmentării normative și a sarcinilor administrative suportate de părțile interesate din industrie, în special de IMM-uri, ca urmare a aplicării neuniforme a principiului „poluatorul plătește” în cadrul schemelor naționale de răspundere extinsă a producătorilor pentru textile. Externalitățile de mediu transfrontaliere, inclusiv emisiile de gaze cu efect de seră și exportul de textile (și de deșeuri deghizate în non-deșeuri) către țări terțe sunt abordate mai eficient prin acțiunea UE, în special deoarece principalii factori determinanți ai problemei decurg din deficiențele în materie de reglementare care rezultă din lipsa unor definiții armonizate și a fragmentării normative, precum și a deficitului de finanțare comun tuturor statelor membre</w:t>
      </w:r>
      <w:r w:rsidRPr="00D96C74">
        <w:rPr>
          <w:rStyle w:val="eop"/>
          <w:noProof/>
          <w:color w:val="000000"/>
          <w:shd w:val="clear" w:color="auto" w:fill="FFFFFF"/>
        </w:rPr>
        <w:t>.</w:t>
      </w:r>
      <w:r w:rsidRPr="00D96C74">
        <w:rPr>
          <w:noProof/>
        </w:rPr>
        <w:t xml:space="preserve"> </w:t>
      </w:r>
    </w:p>
    <w:p w14:paraId="2139142C" w14:textId="77777777" w:rsidR="005D28F0" w:rsidRPr="00D96C74" w:rsidRDefault="005D28F0" w:rsidP="00B00391">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Toate statele membre generează deșeuri alimentare, ceea ce creează externalități de mediu transfrontaliere semnificative. Producția, depozitarea, transportul și prelucrarea alimentelor și eliminarea deșeurilor alimentare au un impact asupra mediului și a climei din UE (de exemplu prin emisiile de GES și efectele asupra utilizării terenurilor, asupra biodiversității, a utilizării apei și a eutrofizării). În plus, producția alimentelor importate în UE poate avea un impact semnificativ asupra mediului și a climei la nivel mondial.</w:t>
      </w:r>
    </w:p>
    <w:p w14:paraId="25C7B00E" w14:textId="4E803AD2" w:rsidR="005D28F0" w:rsidRPr="00D96C74" w:rsidRDefault="005D28F0" w:rsidP="00B00391">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Este necesară o reducere coerentă a deșeurilor alimentare generate în întreaga UE pentru a se asigura, în fiecare stat membru, utilizarea prudentă și rațională a resurselor naturale și reducerea impactului negativ asupra climei, a biodiversității și a utilizării resurselor naturale, cu beneficii care să se propage dincolo de frontierele naționale.</w:t>
      </w:r>
      <w:r w:rsidR="00873632">
        <w:rPr>
          <w:noProof/>
        </w:rPr>
        <w:t xml:space="preserve"> </w:t>
      </w:r>
      <w:r w:rsidRPr="00D96C74">
        <w:rPr>
          <w:noProof/>
        </w:rPr>
        <w:t>Este important de precizat că reducerea generării de deșeuri alimentare, deoarece eficientizează sistemul alimentar, contribuie și la securitatea alimentară în cadrul UE.</w:t>
      </w:r>
    </w:p>
    <w:p w14:paraId="78B9DB47" w14:textId="77777777" w:rsidR="005D28F0" w:rsidRPr="00D96C74" w:rsidRDefault="005D28F0" w:rsidP="00B00391">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Alimentele sunt comercializate pe scară largă pe piața UE, iar întreprinderile din sectorul alimentar care își desfășoară activitatea la nivel transfrontalier au nevoie, pentru a-și planifica investițiile și acțiunile de prevenire a generării de deșeuri alimentare, de coerență și de claritate în ceea ce privește nivelul de ambiție preconizat. O abordare coordonată la nivelul UE poate oferi fiabilitate și continuitate, sprijinind așadar adoptarea de noi modele de afaceri de către operatorii din sectorul alimentar pentru a accelera reducerea generării de deșeuri alimentare de-a lungul lanțului valoric alimentar.</w:t>
      </w:r>
    </w:p>
    <w:p w14:paraId="0D1E3CF7" w14:textId="77777777" w:rsidR="005D28F0" w:rsidRPr="00D96C74" w:rsidRDefault="005D28F0" w:rsidP="00B00391">
      <w:pPr>
        <w:pStyle w:val="Text1"/>
        <w:pBdr>
          <w:top w:val="single" w:sz="4" w:space="1" w:color="auto"/>
          <w:left w:val="single" w:sz="4" w:space="4" w:color="auto"/>
          <w:bottom w:val="single" w:sz="4" w:space="1" w:color="auto"/>
          <w:right w:val="single" w:sz="4" w:space="4" w:color="auto"/>
        </w:pBdr>
        <w:rPr>
          <w:rStyle w:val="eop"/>
          <w:noProof/>
          <w:color w:val="000000"/>
          <w:shd w:val="clear" w:color="auto" w:fill="FFFFFF"/>
        </w:rPr>
      </w:pPr>
      <w:r w:rsidRPr="00D96C74">
        <w:rPr>
          <w:noProof/>
        </w:rPr>
        <w:t xml:space="preserve">Se preconizează că stabilirea unor obiective de reducere a deșeurilor alimentare până în </w:t>
      </w:r>
      <w:r w:rsidRPr="00D020C3">
        <w:rPr>
          <w:noProof/>
        </w:rPr>
        <w:t>2030</w:t>
      </w:r>
      <w:r w:rsidRPr="00D96C74">
        <w:rPr>
          <w:noProof/>
        </w:rPr>
        <w:t xml:space="preserve"> pentru statele membre va consolida eforturile de identificare și de extindere a strategiilor și a inițiativelor eficace atât din statele membre, cât și la nivel transfrontalier, prin: raționalizarea contribuției operatorilor din sectorul alimentar, în special în contextul lanțurilor de aprovizionare transfrontaliere; contribuția la asigurarea faptului că factorii (de piață și comportamentali) care determină generarea de deșeuri alimentare sunt abordați în mod coerent și simultan de către toate statele membre, urmărindu-se convergența cu măsurile luate de statele, deocamdată puține, care s-au remarcat prin rezultatele bune obținute în această privință; și accelerarea elaborării unor strategii naționale eficace de prevenire a deșeurilor alimentare prin diseminarea bunelor practici și valorificarea mai bună a bazei de cunoștințe a UE în materie de prevenire a generării acestora.</w:t>
      </w:r>
    </w:p>
    <w:p w14:paraId="5C15811B" w14:textId="77777777" w:rsidR="00BD152F" w:rsidRPr="008D4D1E" w:rsidRDefault="00BD152F" w:rsidP="00B00391">
      <w:pPr>
        <w:pStyle w:val="ManualHeading3"/>
        <w:rPr>
          <w:noProof/>
        </w:rPr>
      </w:pPr>
      <w:r w:rsidRPr="008D4D1E">
        <w:rPr>
          <w:noProof/>
        </w:rPr>
        <w:t>1.5.3.</w:t>
      </w:r>
      <w:r w:rsidRPr="008D4D1E">
        <w:rPr>
          <w:noProof/>
        </w:rPr>
        <w:tab/>
        <w:t>Învățăminte desprinse din experiențele anterioare similare</w:t>
      </w:r>
    </w:p>
    <w:p w14:paraId="4006DD8C" w14:textId="77777777" w:rsidR="00BD152F" w:rsidRPr="00D96C74" w:rsidRDefault="005D28F0" w:rsidP="00B00391">
      <w:pPr>
        <w:pStyle w:val="Text1"/>
        <w:pBdr>
          <w:top w:val="single" w:sz="4" w:space="1" w:color="auto"/>
          <w:left w:val="single" w:sz="4" w:space="4" w:color="auto"/>
          <w:bottom w:val="single" w:sz="4" w:space="1" w:color="auto"/>
          <w:right w:val="single" w:sz="4" w:space="4" w:color="auto"/>
        </w:pBdr>
        <w:rPr>
          <w:rStyle w:val="normaltextrun"/>
          <w:noProof/>
          <w:color w:val="000000"/>
          <w:shd w:val="clear" w:color="auto" w:fill="FFFFFF"/>
        </w:rPr>
      </w:pPr>
      <w:r w:rsidRPr="00D96C74">
        <w:rPr>
          <w:rStyle w:val="normaltextrun"/>
          <w:noProof/>
          <w:color w:val="000000"/>
          <w:shd w:val="clear" w:color="auto" w:fill="FFFFFF"/>
        </w:rPr>
        <w:t>Directiva-cadru privind deșeurile (DCD) stabilește concepte aplicabile orizontal referitoare la generarea și gestionarea deșeurilor, printre care tratarea, reciclarea și valorificarea deșeurilor. Ea creează o ierarhie a deșeurilor, în care prevenirea generării de deșeuri are prioritate în fața reutilizării și/sau a reciclării, apoi reciclarea are prioritate față de alte opțiuni de valorificare și față de eliminarea finală prin depozitarea deșeurilor. În plus, directiva obligă statele membre să instituie scheme funcționale de răspundere extinsă a producătorilor (REP), care să garanteze că producătorii de produse răspund de gestionarea stadiului de deșeu al produselor lor. În Planul de acțiune privind economia circulară (PAEC), Comisia s-a angajat să revizuiască DCD în contextul deșeurilor textile.</w:t>
      </w:r>
    </w:p>
    <w:p w14:paraId="626E1D8C" w14:textId="77777777" w:rsidR="00BD152F" w:rsidRPr="00D96C74" w:rsidRDefault="00D32E1B" w:rsidP="00D32E1B">
      <w:pPr>
        <w:pStyle w:val="Text1"/>
        <w:pBdr>
          <w:top w:val="single" w:sz="4" w:space="1" w:color="auto"/>
          <w:left w:val="single" w:sz="4" w:space="4" w:color="auto"/>
          <w:bottom w:val="single" w:sz="4" w:space="1" w:color="auto"/>
          <w:right w:val="single" w:sz="4" w:space="4" w:color="auto"/>
        </w:pBdr>
        <w:rPr>
          <w:noProof/>
        </w:rPr>
      </w:pPr>
      <w:r w:rsidRPr="00D96C74">
        <w:rPr>
          <w:rStyle w:val="normaltextrun"/>
          <w:noProof/>
          <w:color w:val="000000"/>
        </w:rPr>
        <w:t>În ceea ce privește alimentele, deși acesta este primul obiectiv referitor la reducerea generării de deșeuri alimentare, în general se consideră că alte obiective stabilite în legislația privind deșeurile care vizează creșterea ratei de reciclare a deșeurilor sau reducerea depozitării deșeurilor sunt eficace, deoarece oferă obiective clare și securitate juridică pentru toți actorii și pentru societate în ansamblu, oferind în același timp statelor membre flexibilitate deplină în ceea ce privește alegerea măsurilor necesare. Experiența arată că progresele înregistrate în direcția atingerii obiectivelor trebuie monitorizate și că trebuie să se acorde sprijin statelor membre prin schimb de bune practici referitoare la instrumentele aplicabile la nivel național pentru atingerea obiectivelor, precum și prin clarificarea prin ghiduri și/sau prin modificarea măsurilor relevante din legislația conexă pentru a facilita prevenirea generării de deșeuri (de exemplu, abordarea oricăror obstacole întâmpinate).</w:t>
      </w:r>
    </w:p>
    <w:p w14:paraId="35706DF5" w14:textId="77777777" w:rsidR="00BD152F" w:rsidRPr="008D4D1E" w:rsidRDefault="00BD152F" w:rsidP="00B00391">
      <w:pPr>
        <w:pStyle w:val="ManualHeading3"/>
        <w:rPr>
          <w:noProof/>
        </w:rPr>
      </w:pPr>
      <w:r w:rsidRPr="008D4D1E">
        <w:rPr>
          <w:noProof/>
        </w:rPr>
        <w:t>1.5.4.</w:t>
      </w:r>
      <w:r w:rsidRPr="008D4D1E">
        <w:rPr>
          <w:noProof/>
        </w:rPr>
        <w:tab/>
        <w:t>Compatibilitatea cu cadrul financiar multianual și posibilele sinergii cu alte instrumente corespunzătoare</w:t>
      </w:r>
    </w:p>
    <w:p w14:paraId="353731A3" w14:textId="77777777" w:rsidR="00BD152F" w:rsidRPr="00D96C74" w:rsidRDefault="00112B99" w:rsidP="00B00391">
      <w:pPr>
        <w:pStyle w:val="Text1"/>
        <w:pBdr>
          <w:top w:val="single" w:sz="4" w:space="1" w:color="auto"/>
          <w:left w:val="single" w:sz="4" w:space="4" w:color="auto"/>
          <w:bottom w:val="single" w:sz="4" w:space="1" w:color="auto"/>
          <w:right w:val="single" w:sz="4" w:space="4" w:color="auto"/>
        </w:pBdr>
        <w:rPr>
          <w:rStyle w:val="normaltextrun"/>
          <w:noProof/>
          <w:color w:val="000000"/>
        </w:rPr>
      </w:pPr>
      <w:r w:rsidRPr="00D96C74">
        <w:rPr>
          <w:rStyle w:val="normaltextrun"/>
          <w:noProof/>
          <w:color w:val="000000"/>
          <w:shd w:val="clear" w:color="auto" w:fill="FFFFFF"/>
        </w:rPr>
        <w:t>Inițiativele se înscriu în continuarea Pactului verde european, care ghidează strategia de redresare a Uniunii Europene. Pactul verde recunoaște avantajele investițiilor în sustenabilitatea noastră competitivă prin construirea unei Europe mai echitabile, mai verzi și mai digitale. Printre inițiative se numără economia circulară, care constituie principalul factor determinant al creșterii gradului de recuperare a materialelor și al îmbunătățirii calității materiilor prime secundare</w:t>
      </w:r>
      <w:r w:rsidRPr="00D96C74">
        <w:rPr>
          <w:rStyle w:val="normaltextrun"/>
          <w:noProof/>
          <w:color w:val="000000"/>
        </w:rPr>
        <w:t>, și Strategia „De la fermă la consumator”.</w:t>
      </w:r>
    </w:p>
    <w:p w14:paraId="217807B1" w14:textId="77777777" w:rsidR="00BD152F" w:rsidRPr="00D96C74" w:rsidRDefault="00112B99" w:rsidP="00B00391">
      <w:pPr>
        <w:pStyle w:val="Text1"/>
        <w:pBdr>
          <w:top w:val="single" w:sz="4" w:space="1" w:color="auto"/>
          <w:left w:val="single" w:sz="4" w:space="4" w:color="auto"/>
          <w:bottom w:val="single" w:sz="4" w:space="1" w:color="auto"/>
          <w:right w:val="single" w:sz="4" w:space="4" w:color="auto"/>
        </w:pBdr>
        <w:rPr>
          <w:noProof/>
        </w:rPr>
      </w:pPr>
      <w:r w:rsidRPr="00D96C74">
        <w:rPr>
          <w:rStyle w:val="normaltextrun"/>
          <w:noProof/>
          <w:color w:val="000000"/>
        </w:rPr>
        <w:t xml:space="preserve">Sprijinul Comisiei Europene și angajamentul său privind cercetarea în domeniul economiei circulare, în special în domeniul textilelor, sunt reflectate în proiectele finanțate prin programul Orizont </w:t>
      </w:r>
      <w:r w:rsidRPr="00D020C3">
        <w:rPr>
          <w:rStyle w:val="normaltextrun"/>
          <w:noProof/>
          <w:color w:val="000000"/>
        </w:rPr>
        <w:t>2020</w:t>
      </w:r>
      <w:r w:rsidRPr="00D96C74">
        <w:rPr>
          <w:rStyle w:val="normaltextrun"/>
          <w:noProof/>
          <w:color w:val="000000"/>
        </w:rPr>
        <w:t xml:space="preserve"> și în contribuția financiară la punerea lor în aplicare. Rezultatele acestor proiecte vor sprijini și promova circularitatea și posibilitatea de reciclare a textilelor. Rețeaua de centre europene de inovare digitală, finanțată prin programul Europa digitală, ajută IMM-urile să dezvolte instrumente digitale care sprijină circularitatea și posibilitatea de reciclare a textilelor, precum și să reducă deșeurile alimentare generate în industria agroalimentară și în industria ospitalității. În domeniul deșeurilor alimentare, sprijinirea proiectelor de cercetare este finanțată atât prin programul Orizont </w:t>
      </w:r>
      <w:r w:rsidRPr="00D020C3">
        <w:rPr>
          <w:rStyle w:val="normaltextrun"/>
          <w:noProof/>
          <w:color w:val="000000"/>
        </w:rPr>
        <w:t>2020</w:t>
      </w:r>
      <w:r w:rsidRPr="00D96C74">
        <w:rPr>
          <w:rStyle w:val="normaltextrun"/>
          <w:noProof/>
          <w:color w:val="000000"/>
        </w:rPr>
        <w:t>, cât și prin programul Orizont Europa.</w:t>
      </w:r>
    </w:p>
    <w:p w14:paraId="14CBE419" w14:textId="77777777" w:rsidR="00BD152F" w:rsidRPr="008D4D1E" w:rsidRDefault="00BD152F" w:rsidP="00B00391">
      <w:pPr>
        <w:pStyle w:val="ManualHeading3"/>
        <w:rPr>
          <w:noProof/>
        </w:rPr>
      </w:pPr>
      <w:r w:rsidRPr="008D4D1E">
        <w:rPr>
          <w:noProof/>
        </w:rPr>
        <w:t>1.5.5.</w:t>
      </w:r>
      <w:r w:rsidRPr="008D4D1E">
        <w:rPr>
          <w:noProof/>
        </w:rPr>
        <w:tab/>
        <w:t>Evaluarea diferitelor opțiuni de finanțare disponibile, inclusiv a posibilităților de realocare a creditelor</w:t>
      </w:r>
    </w:p>
    <w:p w14:paraId="6CFA61E7" w14:textId="77777777" w:rsidR="00BD152F" w:rsidRPr="00D96C74" w:rsidRDefault="00112B99" w:rsidP="00B00391">
      <w:pPr>
        <w:pStyle w:val="Text1"/>
        <w:pBdr>
          <w:top w:val="single" w:sz="4" w:space="1" w:color="auto"/>
          <w:left w:val="single" w:sz="4" w:space="4" w:color="auto"/>
          <w:bottom w:val="single" w:sz="4" w:space="1" w:color="auto"/>
          <w:right w:val="single" w:sz="4" w:space="4" w:color="auto"/>
        </w:pBdr>
        <w:rPr>
          <w:rStyle w:val="normaltextrun"/>
          <w:noProof/>
          <w:color w:val="000000"/>
          <w:shd w:val="clear" w:color="auto" w:fill="FFFFFF"/>
        </w:rPr>
      </w:pPr>
      <w:r w:rsidRPr="00D96C74">
        <w:rPr>
          <w:rStyle w:val="normaltextrun"/>
          <w:noProof/>
          <w:color w:val="000000"/>
          <w:shd w:val="clear" w:color="auto" w:fill="FFFFFF"/>
        </w:rPr>
        <w:t>Teoretic, în cazul textilelor, statele membre ar fi putut adopta acte legislative naționale. Cu toate acestea, se poate observa că legislația în vigoare (și cea planificată) nu ar garanta nivelul de armonizare la nivelul întregii UE necesar pentru a se evita contribuirea la fragmentarea pieței interne.</w:t>
      </w:r>
    </w:p>
    <w:p w14:paraId="5C8ADE6A" w14:textId="77777777" w:rsidR="00112B99" w:rsidRPr="00D96C74" w:rsidRDefault="00112B99" w:rsidP="00B00391">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Teoretic, în cazul textilelor, statele membre ar fi putut adopta acte legislative naționale. Cu toate acestea, se poate observa că legislația în vigoare (și cea planificată) nu ar garanta nivelul de armonizare la nivelul întregii UE necesar pentru a se evita contribuirea la fragmentarea pieței interne.</w:t>
      </w:r>
    </w:p>
    <w:p w14:paraId="56838051" w14:textId="77777777" w:rsidR="00112B99" w:rsidRPr="00D96C74" w:rsidRDefault="00112B99" w:rsidP="00B00391">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Pentru colectarea și validarea datelor a fost aleasă Agenția Europeană de Mediu, având în vedere gestionarea existentă a fluxului de date privind reutilizarea produselor, reputația sa excelentă și disponibilitatea sa de a gestiona fluxul de date. Linkurile către spațiile datelor referitoare la industria prelucrătoare pot contribui la reducerea costurilor de punere în aplicare și de tranzacție.</w:t>
      </w:r>
    </w:p>
    <w:p w14:paraId="0DDE8E47" w14:textId="77777777" w:rsidR="00112B99" w:rsidRPr="00D96C74" w:rsidRDefault="00112B99" w:rsidP="00B00391">
      <w:pPr>
        <w:pStyle w:val="Text1"/>
        <w:pBdr>
          <w:top w:val="single" w:sz="4" w:space="1" w:color="auto"/>
          <w:left w:val="single" w:sz="4" w:space="4" w:color="auto"/>
          <w:bottom w:val="single" w:sz="4" w:space="1" w:color="auto"/>
          <w:right w:val="single" w:sz="4" w:space="4" w:color="auto"/>
        </w:pBdr>
        <w:rPr>
          <w:rFonts w:eastAsia="Times New Roman"/>
          <w:noProof/>
          <w:szCs w:val="24"/>
        </w:rPr>
      </w:pPr>
      <w:r w:rsidRPr="00D96C74">
        <w:rPr>
          <w:noProof/>
        </w:rPr>
        <w:t>Sarcinile legate de elaborarea actelor de punere în aplicare la nivelul UE nu pot fi externalizate.</w:t>
      </w:r>
    </w:p>
    <w:p w14:paraId="2E04EE05" w14:textId="77777777" w:rsidR="00BD152F" w:rsidRPr="00D96C74" w:rsidRDefault="00112B99" w:rsidP="00112B99">
      <w:pPr>
        <w:pStyle w:val="Text1"/>
        <w:pBdr>
          <w:top w:val="single" w:sz="4" w:space="1" w:color="auto"/>
          <w:left w:val="single" w:sz="4" w:space="4" w:color="auto"/>
          <w:bottom w:val="single" w:sz="4" w:space="1" w:color="auto"/>
          <w:right w:val="single" w:sz="4" w:space="4" w:color="auto"/>
        </w:pBdr>
        <w:rPr>
          <w:noProof/>
          <w:color w:val="000000"/>
          <w:shd w:val="clear" w:color="auto" w:fill="FFFFFF"/>
        </w:rPr>
      </w:pPr>
      <w:r w:rsidRPr="00D96C74">
        <w:rPr>
          <w:noProof/>
        </w:rPr>
        <w:t>Natura propunerii – obiective obligatorii din punct de vedere juridic impuse statelor membre – înseamnă că măsurile conexe vor fi finanțate în principal la nivel național.</w:t>
      </w:r>
    </w:p>
    <w:p w14:paraId="0E2C0073" w14:textId="77777777" w:rsidR="00BD152F" w:rsidRPr="00D020C3" w:rsidRDefault="00BD152F" w:rsidP="00B00391">
      <w:pPr>
        <w:pStyle w:val="ManualHeading2"/>
        <w:rPr>
          <w:bCs/>
          <w:noProof/>
          <w:szCs w:val="24"/>
        </w:rPr>
      </w:pPr>
      <w:r w:rsidRPr="00D020C3">
        <w:rPr>
          <w:noProof/>
        </w:rPr>
        <w:br w:type="page"/>
        <w:t>1.6.</w:t>
      </w:r>
      <w:r w:rsidRPr="00D020C3">
        <w:rPr>
          <w:noProof/>
        </w:rPr>
        <w:tab/>
        <w:t>Durata și impactul financiar ale propunerii/inițiativei</w:t>
      </w:r>
    </w:p>
    <w:p w14:paraId="4919EBF5" w14:textId="77777777" w:rsidR="00BD152F" w:rsidRPr="00D96C74" w:rsidRDefault="00BD152F" w:rsidP="00B00391">
      <w:pPr>
        <w:pStyle w:val="Text1"/>
        <w:rPr>
          <w:noProof/>
        </w:rPr>
      </w:pPr>
      <w:r w:rsidRPr="00D96C74">
        <w:rPr>
          <w:rFonts w:ascii="Wingdings" w:hAnsi="Wingdings"/>
          <w:noProof/>
        </w:rPr>
        <w:t></w:t>
      </w:r>
      <w:r w:rsidRPr="008D4D1E">
        <w:rPr>
          <w:b/>
          <w:i/>
          <w:noProof/>
        </w:rPr>
        <w:t xml:space="preserve"> </w:t>
      </w:r>
      <w:r w:rsidRPr="00D020C3">
        <w:rPr>
          <w:b/>
          <w:noProof/>
        </w:rPr>
        <w:t xml:space="preserve">durată limitată </w:t>
      </w:r>
    </w:p>
    <w:p w14:paraId="027DE7FB" w14:textId="77777777" w:rsidR="00BD152F" w:rsidRPr="00D96C74" w:rsidRDefault="00BD152F" w:rsidP="0020411B">
      <w:pPr>
        <w:pStyle w:val="ListDash2"/>
        <w:rPr>
          <w:noProof/>
        </w:rPr>
      </w:pPr>
      <w:r w:rsidRPr="00D96C74">
        <w:rPr>
          <w:rFonts w:ascii="Wingdings" w:hAnsi="Wingdings"/>
          <w:noProof/>
        </w:rPr>
        <w:t></w:t>
      </w:r>
      <w:r w:rsidRPr="00D96C74">
        <w:rPr>
          <w:noProof/>
        </w:rPr>
        <w:tab/>
        <w:t xml:space="preserve">de la [ZZ/LL]AAAA până la [ZZ/LL]AAAA </w:t>
      </w:r>
    </w:p>
    <w:p w14:paraId="333930B9" w14:textId="77777777" w:rsidR="00BD152F" w:rsidRPr="00D96C74" w:rsidRDefault="00BD152F" w:rsidP="0020411B">
      <w:pPr>
        <w:pStyle w:val="ListDash2"/>
        <w:rPr>
          <w:noProof/>
        </w:rPr>
      </w:pPr>
      <w:r w:rsidRPr="00D96C74">
        <w:rPr>
          <w:rFonts w:ascii="Wingdings" w:hAnsi="Wingdings"/>
          <w:noProof/>
        </w:rPr>
        <w:t></w:t>
      </w:r>
      <w:r w:rsidRPr="00D96C74">
        <w:rPr>
          <w:noProof/>
        </w:rPr>
        <w:tab/>
        <w:t xml:space="preserve">Impact financiar din AAAA până în AAAA pentru creditele de angajament și din AAAA până în AAAA pentru creditele de plată. </w:t>
      </w:r>
    </w:p>
    <w:p w14:paraId="340EE6F4" w14:textId="77777777" w:rsidR="00BD152F" w:rsidRPr="00D96C74" w:rsidRDefault="00112B99" w:rsidP="00B00391">
      <w:pPr>
        <w:pStyle w:val="Text1"/>
        <w:rPr>
          <w:noProof/>
        </w:rPr>
      </w:pPr>
      <w:r w:rsidRPr="00D020C3">
        <w:rPr>
          <w:rStyle w:val="normaltextrun"/>
          <w:rFonts w:ascii="Wingdings" w:hAnsi="Wingdings"/>
          <w:b/>
          <w:noProof/>
          <w:color w:val="000000"/>
          <w:bdr w:val="none" w:sz="0" w:space="0" w:color="auto" w:frame="1"/>
        </w:rPr>
        <w:t></w:t>
      </w:r>
      <w:r w:rsidRPr="008D4D1E">
        <w:rPr>
          <w:b/>
          <w:i/>
          <w:noProof/>
        </w:rPr>
        <w:t xml:space="preserve"> </w:t>
      </w:r>
      <w:r w:rsidRPr="00D020C3">
        <w:rPr>
          <w:b/>
          <w:noProof/>
        </w:rPr>
        <w:t>durată nelimitată</w:t>
      </w:r>
    </w:p>
    <w:p w14:paraId="3ABEDC88" w14:textId="77777777" w:rsidR="00BD152F" w:rsidRPr="00D96C74" w:rsidRDefault="00BD152F" w:rsidP="0020411B">
      <w:pPr>
        <w:pStyle w:val="ListDash1"/>
        <w:rPr>
          <w:noProof/>
        </w:rPr>
      </w:pPr>
      <w:r w:rsidRPr="00D96C74">
        <w:rPr>
          <w:noProof/>
        </w:rPr>
        <w:t xml:space="preserve">Punere în aplicare cu o perioadă de creștere în intensitate din </w:t>
      </w:r>
      <w:r w:rsidRPr="00D020C3">
        <w:rPr>
          <w:noProof/>
        </w:rPr>
        <w:t>2024</w:t>
      </w:r>
      <w:r w:rsidRPr="00D96C74">
        <w:rPr>
          <w:noProof/>
        </w:rPr>
        <w:t xml:space="preserve"> până în </w:t>
      </w:r>
      <w:r w:rsidRPr="00D020C3">
        <w:rPr>
          <w:noProof/>
        </w:rPr>
        <w:t>2028</w:t>
      </w:r>
      <w:r w:rsidRPr="00D96C74">
        <w:rPr>
          <w:noProof/>
        </w:rPr>
        <w:t>,</w:t>
      </w:r>
    </w:p>
    <w:p w14:paraId="471F2898" w14:textId="77777777" w:rsidR="00BD152F" w:rsidRPr="00D96C74" w:rsidRDefault="00BD152F" w:rsidP="0020411B">
      <w:pPr>
        <w:pStyle w:val="ListDash1"/>
        <w:rPr>
          <w:noProof/>
        </w:rPr>
      </w:pPr>
      <w:r w:rsidRPr="00D96C74">
        <w:rPr>
          <w:noProof/>
        </w:rPr>
        <w:t>urmată de o perioadă de funcționare la capacitate maximă.</w:t>
      </w:r>
    </w:p>
    <w:p w14:paraId="11652B3C" w14:textId="77777777" w:rsidR="00BD152F" w:rsidRPr="00D020C3" w:rsidRDefault="76754597" w:rsidP="00B00391">
      <w:pPr>
        <w:pStyle w:val="ManualHeading2"/>
        <w:rPr>
          <w:bCs/>
          <w:noProof/>
          <w:szCs w:val="24"/>
        </w:rPr>
      </w:pPr>
      <w:r w:rsidRPr="00D020C3">
        <w:rPr>
          <w:noProof/>
        </w:rPr>
        <w:t>1.7.</w:t>
      </w:r>
      <w:r w:rsidRPr="00D020C3">
        <w:rPr>
          <w:noProof/>
        </w:rPr>
        <w:tab/>
        <w:t>Metoda (metodele) de execuție a bugetului planificată (planificate)</w:t>
      </w:r>
      <w:r w:rsidRPr="00D020C3">
        <w:rPr>
          <w:rStyle w:val="FootnoteReference"/>
          <w:noProof/>
        </w:rPr>
        <w:footnoteReference w:id="88"/>
      </w:r>
      <w:r w:rsidRPr="00D020C3">
        <w:rPr>
          <w:rStyle w:val="FootnoteReference"/>
          <w:noProof/>
        </w:rPr>
        <w:t xml:space="preserve">  </w:t>
      </w:r>
    </w:p>
    <w:p w14:paraId="7138525E" w14:textId="77777777" w:rsidR="00BD152F" w:rsidRPr="00D96C74" w:rsidRDefault="00112B99" w:rsidP="00B00391">
      <w:pPr>
        <w:pStyle w:val="Text1"/>
        <w:rPr>
          <w:noProof/>
        </w:rPr>
      </w:pPr>
      <w:r w:rsidRPr="00D020C3">
        <w:rPr>
          <w:rStyle w:val="normaltextrun"/>
          <w:rFonts w:ascii="Wingdings" w:hAnsi="Wingdings"/>
          <w:b/>
          <w:noProof/>
          <w:color w:val="000000"/>
          <w:bdr w:val="none" w:sz="0" w:space="0" w:color="auto" w:frame="1"/>
        </w:rPr>
        <w:t></w:t>
      </w:r>
      <w:r w:rsidRPr="008D4D1E">
        <w:rPr>
          <w:i/>
          <w:noProof/>
        </w:rPr>
        <w:t xml:space="preserve"> </w:t>
      </w:r>
      <w:r w:rsidRPr="00D96C74">
        <w:rPr>
          <w:noProof/>
        </w:rPr>
        <w:t xml:space="preserve"> </w:t>
      </w:r>
      <w:r w:rsidRPr="00D020C3">
        <w:rPr>
          <w:b/>
          <w:noProof/>
        </w:rPr>
        <w:t>Gestiune directă</w:t>
      </w:r>
      <w:r w:rsidRPr="00D96C74">
        <w:rPr>
          <w:noProof/>
        </w:rPr>
        <w:t xml:space="preserve"> asigurată de Comisie</w:t>
      </w:r>
    </w:p>
    <w:p w14:paraId="18BCDB7C" w14:textId="77777777" w:rsidR="00BD152F" w:rsidRPr="00D96C74" w:rsidRDefault="00112B99" w:rsidP="0020411B">
      <w:pPr>
        <w:pStyle w:val="ListDash2"/>
        <w:rPr>
          <w:rFonts w:cs="EUAlbertina"/>
          <w:noProof/>
        </w:rPr>
      </w:pPr>
      <w:r w:rsidRPr="00D020C3">
        <w:rPr>
          <w:rStyle w:val="normaltextrun"/>
          <w:rFonts w:ascii="Wingdings" w:hAnsi="Wingdings"/>
          <w:b/>
          <w:noProof/>
          <w:color w:val="000000"/>
          <w:bdr w:val="none" w:sz="0" w:space="0" w:color="auto" w:frame="1"/>
        </w:rPr>
        <w:t></w:t>
      </w:r>
      <w:r w:rsidRPr="00D96C74">
        <w:rPr>
          <w:noProof/>
        </w:rPr>
        <w:t xml:space="preserve"> prin intermediul departamentelor sale, inclusiv al personalului din delegațiile Uniunii; </w:t>
      </w:r>
    </w:p>
    <w:p w14:paraId="203CD6ED" w14:textId="77777777" w:rsidR="00BD152F" w:rsidRPr="00D96C74" w:rsidRDefault="00BD152F" w:rsidP="0020411B">
      <w:pPr>
        <w:pStyle w:val="ListDash2"/>
        <w:rPr>
          <w:noProof/>
        </w:rPr>
      </w:pPr>
      <w:r w:rsidRPr="00D96C74">
        <w:rPr>
          <w:rFonts w:ascii="Wingdings" w:hAnsi="Wingdings"/>
          <w:noProof/>
        </w:rPr>
        <w:t></w:t>
      </w:r>
      <w:r w:rsidRPr="00D96C74">
        <w:rPr>
          <w:noProof/>
        </w:rPr>
        <w:tab/>
        <w:t xml:space="preserve">prin intermediul agențiilor executive  </w:t>
      </w:r>
    </w:p>
    <w:p w14:paraId="590E0263" w14:textId="77777777" w:rsidR="00BD152F" w:rsidRPr="00D96C74" w:rsidRDefault="00BD152F" w:rsidP="00B00391">
      <w:pPr>
        <w:pStyle w:val="Text1"/>
        <w:rPr>
          <w:noProof/>
        </w:rPr>
      </w:pPr>
      <w:r w:rsidRPr="00D96C74">
        <w:rPr>
          <w:rFonts w:ascii="Wingdings" w:hAnsi="Wingdings"/>
          <w:noProof/>
        </w:rPr>
        <w:t></w:t>
      </w:r>
      <w:r w:rsidRPr="008D4D1E">
        <w:rPr>
          <w:b/>
          <w:i/>
          <w:noProof/>
        </w:rPr>
        <w:t xml:space="preserve"> </w:t>
      </w:r>
      <w:r w:rsidRPr="00D020C3">
        <w:rPr>
          <w:b/>
          <w:noProof/>
        </w:rPr>
        <w:t>Gestiune partajată</w:t>
      </w:r>
      <w:r w:rsidRPr="00D96C74">
        <w:rPr>
          <w:noProof/>
        </w:rPr>
        <w:t xml:space="preserve"> cu statele membre </w:t>
      </w:r>
    </w:p>
    <w:p w14:paraId="097E63F7" w14:textId="2C9145E3" w:rsidR="00BD152F" w:rsidRPr="00D96C74" w:rsidRDefault="00A64E5B" w:rsidP="00B00391">
      <w:pPr>
        <w:pStyle w:val="Text1"/>
        <w:rPr>
          <w:noProof/>
        </w:rPr>
      </w:pPr>
      <w:r w:rsidRPr="00D96C74">
        <w:rPr>
          <w:rFonts w:ascii="Wingdings" w:hAnsi="Wingdings"/>
          <w:noProof/>
        </w:rPr>
        <w:t></w:t>
      </w:r>
      <w:r w:rsidRPr="008D4D1E">
        <w:rPr>
          <w:i/>
          <w:noProof/>
        </w:rPr>
        <w:t xml:space="preserve"> </w:t>
      </w:r>
      <w:r w:rsidRPr="00D020C3">
        <w:rPr>
          <w:b/>
          <w:noProof/>
        </w:rPr>
        <w:t>Gestiune indirectă</w:t>
      </w:r>
      <w:r w:rsidRPr="00D96C74">
        <w:rPr>
          <w:noProof/>
        </w:rPr>
        <w:t>, cu delegarea sarcinilor de execuție bugetară:</w:t>
      </w:r>
    </w:p>
    <w:p w14:paraId="50CD9F98" w14:textId="77777777" w:rsidR="00BD152F" w:rsidRPr="00D96C74" w:rsidRDefault="00BD152F" w:rsidP="0020411B">
      <w:pPr>
        <w:pStyle w:val="ListDash2"/>
        <w:rPr>
          <w:noProof/>
        </w:rPr>
      </w:pPr>
      <w:r w:rsidRPr="00D96C74">
        <w:rPr>
          <w:rFonts w:ascii="Wingdings" w:hAnsi="Wingdings"/>
          <w:noProof/>
        </w:rPr>
        <w:t></w:t>
      </w:r>
      <w:r w:rsidRPr="00D96C74">
        <w:rPr>
          <w:noProof/>
        </w:rPr>
        <w:t> țărilor terțe sau organismelor pe care le-au desemnat acestea;</w:t>
      </w:r>
    </w:p>
    <w:p w14:paraId="7B707224" w14:textId="77777777" w:rsidR="00BD152F" w:rsidRPr="00D96C74" w:rsidRDefault="00BD152F" w:rsidP="0020411B">
      <w:pPr>
        <w:pStyle w:val="ListDash2"/>
        <w:rPr>
          <w:noProof/>
        </w:rPr>
      </w:pPr>
      <w:r w:rsidRPr="00D96C74">
        <w:rPr>
          <w:rFonts w:ascii="Wingdings" w:hAnsi="Wingdings"/>
          <w:noProof/>
        </w:rPr>
        <w:t></w:t>
      </w:r>
      <w:r w:rsidRPr="00D96C74">
        <w:rPr>
          <w:noProof/>
        </w:rPr>
        <w:t> organizațiilor internaționale și agențiilor acestora (a se preciza);</w:t>
      </w:r>
    </w:p>
    <w:p w14:paraId="23D7CCCF" w14:textId="77777777" w:rsidR="00BD152F" w:rsidRPr="00D96C74" w:rsidRDefault="00BD152F" w:rsidP="0020411B">
      <w:pPr>
        <w:pStyle w:val="ListDash2"/>
        <w:rPr>
          <w:noProof/>
        </w:rPr>
      </w:pPr>
      <w:r w:rsidRPr="00D96C74">
        <w:rPr>
          <w:rFonts w:ascii="Wingdings" w:hAnsi="Wingdings"/>
          <w:noProof/>
        </w:rPr>
        <w:t></w:t>
      </w:r>
      <w:r w:rsidRPr="00D96C74">
        <w:rPr>
          <w:noProof/>
        </w:rPr>
        <w:t> BEI și Fondului european de investiții;</w:t>
      </w:r>
    </w:p>
    <w:p w14:paraId="28D8F33F" w14:textId="5C32DE98" w:rsidR="00BD152F" w:rsidRPr="00D96C74" w:rsidRDefault="00A64E5B" w:rsidP="0020411B">
      <w:pPr>
        <w:pStyle w:val="ListDash2"/>
        <w:rPr>
          <w:noProof/>
        </w:rPr>
      </w:pPr>
      <w:r w:rsidRPr="00D96C74">
        <w:rPr>
          <w:rFonts w:ascii="Wingdings" w:hAnsi="Wingdings"/>
          <w:noProof/>
        </w:rPr>
        <w:t></w:t>
      </w:r>
      <w:r w:rsidRPr="00D96C74">
        <w:rPr>
          <w:noProof/>
        </w:rPr>
        <w:t xml:space="preserve"> organismelor menționate la articolele </w:t>
      </w:r>
      <w:r w:rsidRPr="00D020C3">
        <w:rPr>
          <w:noProof/>
        </w:rPr>
        <w:t>70</w:t>
      </w:r>
      <w:r w:rsidRPr="00D96C74">
        <w:rPr>
          <w:noProof/>
        </w:rPr>
        <w:t xml:space="preserve"> și </w:t>
      </w:r>
      <w:r w:rsidRPr="00D020C3">
        <w:rPr>
          <w:noProof/>
        </w:rPr>
        <w:t>71</w:t>
      </w:r>
      <w:r w:rsidRPr="00D96C74">
        <w:rPr>
          <w:noProof/>
        </w:rPr>
        <w:t xml:space="preserve"> din Regulamentul financiar;</w:t>
      </w:r>
    </w:p>
    <w:p w14:paraId="25F88DC2" w14:textId="77777777" w:rsidR="00BD152F" w:rsidRPr="00D96C74" w:rsidRDefault="00BD152F" w:rsidP="0020411B">
      <w:pPr>
        <w:pStyle w:val="ListDash2"/>
        <w:rPr>
          <w:noProof/>
        </w:rPr>
      </w:pPr>
      <w:r w:rsidRPr="00D96C74">
        <w:rPr>
          <w:rFonts w:ascii="Wingdings" w:hAnsi="Wingdings"/>
          <w:noProof/>
        </w:rPr>
        <w:t></w:t>
      </w:r>
      <w:r w:rsidRPr="00D96C74">
        <w:rPr>
          <w:noProof/>
        </w:rPr>
        <w:t> organismelor de drept public;</w:t>
      </w:r>
    </w:p>
    <w:p w14:paraId="4B630519" w14:textId="77777777" w:rsidR="00BD152F" w:rsidRPr="00D96C74" w:rsidRDefault="00BD152F" w:rsidP="0020411B">
      <w:pPr>
        <w:pStyle w:val="ListDash2"/>
        <w:rPr>
          <w:noProof/>
        </w:rPr>
      </w:pPr>
      <w:r w:rsidRPr="00D96C74">
        <w:rPr>
          <w:rFonts w:ascii="Wingdings" w:hAnsi="Wingdings"/>
          <w:noProof/>
        </w:rPr>
        <w:t></w:t>
      </w:r>
      <w:r w:rsidRPr="00D96C74">
        <w:rPr>
          <w:noProof/>
        </w:rPr>
        <w:t> organismelor de drept privat cu misiune de serviciu public, cu condiția să li se furnizeze garanții financiare adecvate;</w:t>
      </w:r>
    </w:p>
    <w:p w14:paraId="30C75DB6" w14:textId="77777777" w:rsidR="00BD152F" w:rsidRPr="00D96C74" w:rsidRDefault="00BD152F" w:rsidP="0020411B">
      <w:pPr>
        <w:pStyle w:val="ListDash2"/>
        <w:rPr>
          <w:noProof/>
        </w:rPr>
      </w:pPr>
      <w:r w:rsidRPr="00D96C74">
        <w:rPr>
          <w:rFonts w:ascii="Wingdings" w:hAnsi="Wingdings"/>
          <w:noProof/>
        </w:rPr>
        <w:t></w:t>
      </w:r>
      <w:r w:rsidRPr="00D96C74">
        <w:rPr>
          <w:noProof/>
        </w:rPr>
        <w:t> organismelor de drept privat dintr-un stat membru care sunt responsabile cu punerea în aplicare a unui parteneriat public-privat și care beneficiază de garanții financiare adecvate;</w:t>
      </w:r>
    </w:p>
    <w:p w14:paraId="6B62C97C" w14:textId="77777777" w:rsidR="00BD152F" w:rsidRPr="00D96C74" w:rsidRDefault="00BD152F" w:rsidP="0020411B">
      <w:pPr>
        <w:pStyle w:val="ListDash2"/>
        <w:rPr>
          <w:noProof/>
        </w:rPr>
      </w:pPr>
      <w:r w:rsidRPr="00D96C74">
        <w:rPr>
          <w:rFonts w:ascii="Wingdings" w:hAnsi="Wingdings"/>
          <w:noProof/>
        </w:rPr>
        <w:t></w:t>
      </w:r>
      <w:r w:rsidRPr="00D96C74">
        <w:rPr>
          <w:noProof/>
        </w:rPr>
        <w:t> organismelor sau persoanelor cărora li se încredințează executarea unor acțiuni specifice în cadrul PESC, în temeiul titlului V din TUE, și care sunt identificate în actul de bază relevant.</w:t>
      </w:r>
    </w:p>
    <w:p w14:paraId="47D886FE" w14:textId="77777777" w:rsidR="00BD152F" w:rsidRPr="00E86B79" w:rsidRDefault="00BD152F" w:rsidP="0020411B">
      <w:pPr>
        <w:pStyle w:val="ListDash2"/>
        <w:rPr>
          <w:i/>
          <w:noProof/>
          <w:sz w:val="18"/>
          <w:u w:val="single"/>
        </w:rPr>
      </w:pPr>
      <w:r w:rsidRPr="008D4D1E">
        <w:rPr>
          <w:i/>
          <w:noProof/>
          <w:sz w:val="18"/>
        </w:rPr>
        <w:t>Dacă se indică mai multe moduri de gestiune, a se furniza detalii suplimentare în secțiunea „Observații”.</w:t>
      </w:r>
    </w:p>
    <w:p w14:paraId="58BF9C4F" w14:textId="77777777" w:rsidR="00BD152F" w:rsidRPr="00D96C74" w:rsidRDefault="00BD152F" w:rsidP="00B00391">
      <w:pPr>
        <w:rPr>
          <w:noProof/>
        </w:rPr>
      </w:pPr>
      <w:r w:rsidRPr="00D96C74">
        <w:rPr>
          <w:noProof/>
        </w:rPr>
        <w:t xml:space="preserve">Observații </w:t>
      </w:r>
    </w:p>
    <w:p w14:paraId="49DC5AF7" w14:textId="77777777" w:rsidR="00BD152F" w:rsidRPr="00D96C74" w:rsidRDefault="00112B99" w:rsidP="00A23F8A">
      <w:pPr>
        <w:pStyle w:val="Text1"/>
        <w:pBdr>
          <w:top w:val="single" w:sz="4" w:space="1" w:color="auto"/>
          <w:left w:val="single" w:sz="4" w:space="4" w:color="auto"/>
          <w:bottom w:val="single" w:sz="4" w:space="1" w:color="auto"/>
          <w:right w:val="single" w:sz="4" w:space="4" w:color="auto"/>
        </w:pBdr>
        <w:rPr>
          <w:rStyle w:val="normaltextrun"/>
          <w:noProof/>
          <w:color w:val="000000"/>
        </w:rPr>
      </w:pPr>
      <w:r w:rsidRPr="00D96C74">
        <w:rPr>
          <w:rStyle w:val="normaltextrun"/>
          <w:noProof/>
          <w:color w:val="000000"/>
        </w:rPr>
        <w:t>Niciuna.</w:t>
      </w:r>
    </w:p>
    <w:p w14:paraId="259A8E86" w14:textId="77777777" w:rsidR="00BD152F" w:rsidRPr="00D96C74" w:rsidRDefault="00BD152F" w:rsidP="00B00391">
      <w:pPr>
        <w:rPr>
          <w:noProof/>
        </w:rPr>
        <w:sectPr w:rsidR="00BD152F" w:rsidRPr="00D96C74" w:rsidSect="00311D41">
          <w:pgSz w:w="11907" w:h="16840" w:code="9"/>
          <w:pgMar w:top="1134" w:right="1418" w:bottom="1134" w:left="1418" w:header="709" w:footer="709" w:gutter="0"/>
          <w:cols w:space="708"/>
          <w:docGrid w:linePitch="360"/>
        </w:sectPr>
      </w:pPr>
    </w:p>
    <w:p w14:paraId="355A6786" w14:textId="77777777" w:rsidR="00BD152F" w:rsidRPr="00D020C3" w:rsidRDefault="00BD152F" w:rsidP="00B00391">
      <w:pPr>
        <w:pStyle w:val="ManualHeading1"/>
        <w:rPr>
          <w:bCs/>
          <w:noProof/>
          <w:szCs w:val="24"/>
        </w:rPr>
      </w:pPr>
      <w:r w:rsidRPr="00D020C3">
        <w:rPr>
          <w:noProof/>
        </w:rPr>
        <w:t>2.</w:t>
      </w:r>
      <w:r w:rsidRPr="00D020C3">
        <w:rPr>
          <w:noProof/>
        </w:rPr>
        <w:tab/>
        <w:t xml:space="preserve">MĂSURI DE GESTIUNE </w:t>
      </w:r>
    </w:p>
    <w:p w14:paraId="68424609" w14:textId="77777777" w:rsidR="00BD152F" w:rsidRPr="00D020C3" w:rsidRDefault="00BD152F" w:rsidP="00B00391">
      <w:pPr>
        <w:pStyle w:val="ManualHeading2"/>
        <w:rPr>
          <w:noProof/>
        </w:rPr>
      </w:pPr>
      <w:r w:rsidRPr="00D020C3">
        <w:rPr>
          <w:noProof/>
        </w:rPr>
        <w:t>2.1.</w:t>
      </w:r>
      <w:r w:rsidRPr="00D020C3">
        <w:rPr>
          <w:noProof/>
        </w:rPr>
        <w:tab/>
        <w:t xml:space="preserve">Dispoziții în materie de monitorizare și de raportare </w:t>
      </w:r>
    </w:p>
    <w:p w14:paraId="5185B69D" w14:textId="77777777" w:rsidR="00BD152F" w:rsidRPr="008D4D1E" w:rsidRDefault="00BD152F" w:rsidP="00B00391">
      <w:pPr>
        <w:pStyle w:val="Text1"/>
        <w:rPr>
          <w:i/>
          <w:noProof/>
          <w:sz w:val="20"/>
        </w:rPr>
      </w:pPr>
      <w:r w:rsidRPr="008D4D1E">
        <w:rPr>
          <w:i/>
          <w:noProof/>
          <w:sz w:val="20"/>
        </w:rPr>
        <w:t>A se preciza frecvența și condițiile.</w:t>
      </w:r>
    </w:p>
    <w:p w14:paraId="11BB7BBB" w14:textId="04308015" w:rsidR="00BD152F" w:rsidRPr="00D96C74" w:rsidRDefault="00682C4D" w:rsidP="00B00391">
      <w:pPr>
        <w:pStyle w:val="Text1"/>
        <w:pBdr>
          <w:top w:val="single" w:sz="4" w:space="1" w:color="auto"/>
          <w:left w:val="single" w:sz="4" w:space="4" w:color="auto"/>
          <w:bottom w:val="single" w:sz="4" w:space="1" w:color="auto"/>
          <w:right w:val="single" w:sz="4" w:space="4" w:color="auto"/>
        </w:pBdr>
        <w:rPr>
          <w:noProof/>
        </w:rPr>
      </w:pPr>
      <w:r w:rsidRPr="00D96C74">
        <w:rPr>
          <w:rStyle w:val="normaltextrun"/>
          <w:noProof/>
          <w:color w:val="000000"/>
        </w:rPr>
        <w:t xml:space="preserve">Prezenta fișă financiară legislativă include cheltuielile cu personalul din cadrul Comisiei. O eventuală necesitate de consolidare a Agenției Europene de Mediu va fi grupată în fișa financiară legislativă a unei propuneri legislative viitoare, ținându-se seama de sinergiile existente. </w:t>
      </w:r>
      <w:r w:rsidRPr="00D96C74">
        <w:rPr>
          <w:rStyle w:val="normaltextrun"/>
          <w:noProof/>
          <w:color w:val="000000"/>
          <w:bdr w:val="none" w:sz="0" w:space="0" w:color="auto" w:frame="1"/>
        </w:rPr>
        <w:t>Se aplică normele standard privind acest tip de cheltuieli.</w:t>
      </w:r>
    </w:p>
    <w:p w14:paraId="60866E7A" w14:textId="77777777" w:rsidR="00BD152F" w:rsidRPr="00D020C3" w:rsidRDefault="00BD152F" w:rsidP="00112B99">
      <w:pPr>
        <w:pStyle w:val="ManualHeading2"/>
        <w:ind w:left="0" w:firstLine="0"/>
        <w:rPr>
          <w:bCs/>
          <w:noProof/>
          <w:szCs w:val="24"/>
        </w:rPr>
      </w:pPr>
      <w:r w:rsidRPr="00D020C3">
        <w:rPr>
          <w:noProof/>
        </w:rPr>
        <w:t>2.2.</w:t>
      </w:r>
      <w:r w:rsidRPr="00D020C3">
        <w:rPr>
          <w:noProof/>
        </w:rPr>
        <w:tab/>
        <w:t xml:space="preserve">Sistemul (sistemele) de gestiune și de control </w:t>
      </w:r>
    </w:p>
    <w:p w14:paraId="20492B58" w14:textId="77777777" w:rsidR="00BD152F" w:rsidRPr="008D4D1E" w:rsidRDefault="00BD152F" w:rsidP="00B00391">
      <w:pPr>
        <w:pStyle w:val="ManualHeading3"/>
        <w:rPr>
          <w:noProof/>
        </w:rPr>
      </w:pPr>
      <w:r w:rsidRPr="008D4D1E">
        <w:rPr>
          <w:noProof/>
        </w:rPr>
        <w:t>2.2.1.</w:t>
      </w:r>
      <w:r w:rsidRPr="008D4D1E">
        <w:rPr>
          <w:noProof/>
        </w:rPr>
        <w:tab/>
        <w:t>Justificarea modului (modurilor) de gestiune, a mecanismului (mecanismelor) de punere în aplicare a finanțării, a modalităților de plată și a strategiei de control propuse</w:t>
      </w:r>
    </w:p>
    <w:p w14:paraId="32108D76" w14:textId="77777777" w:rsidR="00BD152F" w:rsidRPr="00D96C74" w:rsidRDefault="008549AD" w:rsidP="008549AD">
      <w:pPr>
        <w:pStyle w:val="Text1"/>
        <w:pBdr>
          <w:top w:val="single" w:sz="4" w:space="1" w:color="auto"/>
          <w:left w:val="single" w:sz="4" w:space="4" w:color="auto"/>
          <w:bottom w:val="single" w:sz="4" w:space="1" w:color="auto"/>
          <w:right w:val="single" w:sz="4" w:space="4" w:color="auto"/>
        </w:pBdr>
        <w:rPr>
          <w:noProof/>
          <w:color w:val="0000FF"/>
        </w:rPr>
      </w:pPr>
      <w:r w:rsidRPr="00D96C74">
        <w:rPr>
          <w:rStyle w:val="normaltextrun"/>
          <w:noProof/>
          <w:color w:val="000000"/>
          <w:bdr w:val="none" w:sz="0" w:space="0" w:color="auto" w:frame="1"/>
        </w:rPr>
        <w:t>Nu este cazul – după cum s-a menționat anterior.</w:t>
      </w:r>
      <w:r w:rsidRPr="00D96C74">
        <w:rPr>
          <w:noProof/>
        </w:rPr>
        <w:t xml:space="preserve"> </w:t>
      </w:r>
    </w:p>
    <w:p w14:paraId="400FAE13" w14:textId="77777777" w:rsidR="00BD152F" w:rsidRPr="008D4D1E" w:rsidRDefault="00BD152F" w:rsidP="00B00391">
      <w:pPr>
        <w:pStyle w:val="ManualHeading3"/>
        <w:rPr>
          <w:bCs/>
          <w:noProof/>
          <w:szCs w:val="24"/>
        </w:rPr>
      </w:pPr>
      <w:r w:rsidRPr="008D4D1E">
        <w:rPr>
          <w:noProof/>
        </w:rPr>
        <w:t>2.2.2.</w:t>
      </w:r>
      <w:r w:rsidRPr="008D4D1E">
        <w:rPr>
          <w:noProof/>
        </w:rPr>
        <w:tab/>
        <w:t>Informații privind riscurile identificate și sistemul (sistemele) de control intern instituit(e) pentru atenuarea lor</w:t>
      </w:r>
    </w:p>
    <w:p w14:paraId="3495F04F" w14:textId="77777777" w:rsidR="00BD152F" w:rsidRPr="00D96C74" w:rsidRDefault="008549AD" w:rsidP="008549AD">
      <w:pPr>
        <w:pStyle w:val="Text1"/>
        <w:pBdr>
          <w:top w:val="single" w:sz="4" w:space="1" w:color="auto"/>
          <w:left w:val="single" w:sz="4" w:space="4" w:color="auto"/>
          <w:bottom w:val="single" w:sz="4" w:space="1" w:color="auto"/>
          <w:right w:val="single" w:sz="4" w:space="4" w:color="auto"/>
        </w:pBdr>
        <w:rPr>
          <w:noProof/>
          <w:color w:val="0000FF"/>
        </w:rPr>
      </w:pPr>
      <w:r w:rsidRPr="00D96C74">
        <w:rPr>
          <w:rStyle w:val="normaltextrun"/>
          <w:noProof/>
          <w:color w:val="000000"/>
          <w:bdr w:val="none" w:sz="0" w:space="0" w:color="auto" w:frame="1"/>
        </w:rPr>
        <w:t>Nu este cazul – după cum s-a menționat anterior.</w:t>
      </w:r>
      <w:r w:rsidRPr="00D96C74">
        <w:rPr>
          <w:noProof/>
        </w:rPr>
        <w:t xml:space="preserve"> </w:t>
      </w:r>
    </w:p>
    <w:p w14:paraId="7730E5A1" w14:textId="77777777" w:rsidR="00BD152F" w:rsidRPr="008D4D1E" w:rsidRDefault="00BD152F" w:rsidP="00B00391">
      <w:pPr>
        <w:pStyle w:val="ManualHeading3"/>
        <w:rPr>
          <w:noProof/>
        </w:rPr>
      </w:pPr>
      <w:r w:rsidRPr="008D4D1E">
        <w:rPr>
          <w:noProof/>
        </w:rPr>
        <w:t>2.2.3.</w:t>
      </w:r>
      <w:r w:rsidRPr="008D4D1E">
        <w:rPr>
          <w:noProof/>
        </w:rPr>
        <w:tab/>
        <w:t xml:space="preserve">Estimarea și justificarea raportului cost-eficacitate al controalelor (raportul dintre costurile controalelor și valoarea fondurilor aferente gestionate) și evaluarea nivelurilor preconizate ale riscului de eroare (la plată și la închidere) </w:t>
      </w:r>
    </w:p>
    <w:p w14:paraId="29E65703" w14:textId="77777777" w:rsidR="00BD152F" w:rsidRPr="00D96C74" w:rsidRDefault="008549AD" w:rsidP="00B00391">
      <w:pPr>
        <w:pStyle w:val="Text1"/>
        <w:pBdr>
          <w:top w:val="single" w:sz="4" w:space="1" w:color="auto"/>
          <w:left w:val="single" w:sz="4" w:space="4" w:color="auto"/>
          <w:bottom w:val="single" w:sz="4" w:space="1" w:color="auto"/>
          <w:right w:val="single" w:sz="4" w:space="4" w:color="auto"/>
        </w:pBdr>
        <w:rPr>
          <w:noProof/>
          <w:color w:val="0000FF"/>
        </w:rPr>
      </w:pPr>
      <w:r w:rsidRPr="00D96C74">
        <w:rPr>
          <w:rStyle w:val="normaltextrun"/>
          <w:noProof/>
          <w:color w:val="000000"/>
          <w:bdr w:val="none" w:sz="0" w:space="0" w:color="auto" w:frame="1"/>
        </w:rPr>
        <w:t>Nu este cazul – după cum s-a menționat anterior.</w:t>
      </w:r>
    </w:p>
    <w:p w14:paraId="04A4DBF2" w14:textId="77777777" w:rsidR="00BD152F" w:rsidRPr="00D020C3" w:rsidRDefault="00BD152F" w:rsidP="00B00391">
      <w:pPr>
        <w:pStyle w:val="ManualHeading2"/>
        <w:rPr>
          <w:bCs/>
          <w:noProof/>
          <w:szCs w:val="24"/>
        </w:rPr>
      </w:pPr>
      <w:r w:rsidRPr="00D020C3">
        <w:rPr>
          <w:noProof/>
        </w:rPr>
        <w:t>2.3.</w:t>
      </w:r>
      <w:r w:rsidRPr="00D020C3">
        <w:rPr>
          <w:noProof/>
        </w:rPr>
        <w:tab/>
        <w:t xml:space="preserve">Măsuri de prevenire a fraudelor și a neregulilor </w:t>
      </w:r>
    </w:p>
    <w:p w14:paraId="43967BD3" w14:textId="77777777" w:rsidR="00BD152F" w:rsidRPr="008D4D1E" w:rsidRDefault="00BD152F" w:rsidP="00B00391">
      <w:pPr>
        <w:pStyle w:val="Text1"/>
        <w:rPr>
          <w:i/>
          <w:noProof/>
          <w:sz w:val="20"/>
        </w:rPr>
      </w:pPr>
      <w:r w:rsidRPr="008D4D1E">
        <w:rPr>
          <w:i/>
          <w:noProof/>
          <w:sz w:val="20"/>
        </w:rPr>
        <w:t>A se preciza măsurile de prevenire și de protecție existente sau preconizate, de exemplu din strategia antifraudă.</w:t>
      </w:r>
    </w:p>
    <w:p w14:paraId="7F192E3B" w14:textId="77777777" w:rsidR="00BD152F" w:rsidRPr="00D96C74" w:rsidRDefault="008549AD" w:rsidP="00B00391">
      <w:pPr>
        <w:pStyle w:val="Text1"/>
        <w:pBdr>
          <w:top w:val="single" w:sz="4" w:space="1" w:color="auto"/>
          <w:left w:val="single" w:sz="4" w:space="4" w:color="auto"/>
          <w:bottom w:val="single" w:sz="4" w:space="1" w:color="auto"/>
          <w:right w:val="single" w:sz="4" w:space="4" w:color="auto"/>
        </w:pBdr>
        <w:rPr>
          <w:noProof/>
        </w:rPr>
      </w:pPr>
      <w:r w:rsidRPr="00D96C74">
        <w:rPr>
          <w:rStyle w:val="normaltextrun"/>
          <w:noProof/>
          <w:color w:val="000000"/>
          <w:bdr w:val="none" w:sz="0" w:space="0" w:color="auto" w:frame="1"/>
        </w:rPr>
        <w:t>Nu este cazul – după cum s-a menționat anterior.</w:t>
      </w:r>
    </w:p>
    <w:p w14:paraId="040F92CF" w14:textId="77777777" w:rsidR="00BD152F" w:rsidRPr="00D96C74" w:rsidRDefault="00BD152F" w:rsidP="00B00391">
      <w:pPr>
        <w:rPr>
          <w:noProof/>
        </w:rPr>
        <w:sectPr w:rsidR="00BD152F" w:rsidRPr="00D96C74" w:rsidSect="00311D41">
          <w:pgSz w:w="11907" w:h="16840" w:code="9"/>
          <w:pgMar w:top="1134" w:right="1418" w:bottom="1134" w:left="1418" w:header="709" w:footer="709" w:gutter="0"/>
          <w:cols w:space="708"/>
          <w:docGrid w:linePitch="360"/>
        </w:sectPr>
      </w:pPr>
    </w:p>
    <w:p w14:paraId="647FCEF6" w14:textId="77777777" w:rsidR="00BD152F" w:rsidRPr="00D020C3" w:rsidRDefault="00BD152F" w:rsidP="00B00391">
      <w:pPr>
        <w:pStyle w:val="ManualHeading1"/>
        <w:rPr>
          <w:bCs/>
          <w:noProof/>
          <w:szCs w:val="24"/>
        </w:rPr>
      </w:pPr>
      <w:r w:rsidRPr="00D020C3">
        <w:rPr>
          <w:noProof/>
        </w:rPr>
        <w:t>3.</w:t>
      </w:r>
      <w:r w:rsidRPr="00D020C3">
        <w:rPr>
          <w:noProof/>
        </w:rPr>
        <w:tab/>
        <w:t xml:space="preserve">IMPACTUL FINANCIAR ESTIMAT AL PROPUNERII/INIȚIATIVEI </w:t>
      </w:r>
    </w:p>
    <w:p w14:paraId="1633A350" w14:textId="77777777" w:rsidR="00BD152F" w:rsidRPr="00D020C3" w:rsidRDefault="00BD152F" w:rsidP="00B00391">
      <w:pPr>
        <w:pStyle w:val="ManualHeading2"/>
        <w:rPr>
          <w:noProof/>
        </w:rPr>
      </w:pPr>
      <w:r w:rsidRPr="00D020C3">
        <w:rPr>
          <w:noProof/>
        </w:rPr>
        <w:t>3.1.</w:t>
      </w:r>
      <w:r w:rsidRPr="00D020C3">
        <w:rPr>
          <w:noProof/>
        </w:rPr>
        <w:tab/>
        <w:t xml:space="preserve">Rubrica (rubricile) din cadrul financiar multianual și linia (liniile) bugetară (bugetare) de cheltuieli afectată (afectate) </w:t>
      </w:r>
    </w:p>
    <w:p w14:paraId="560CF5C6" w14:textId="77777777" w:rsidR="00BD152F" w:rsidRPr="00D96C74" w:rsidRDefault="00BD152F" w:rsidP="0020411B">
      <w:pPr>
        <w:pStyle w:val="ListBullet1"/>
        <w:rPr>
          <w:noProof/>
        </w:rPr>
      </w:pPr>
      <w:r w:rsidRPr="00D96C74">
        <w:rPr>
          <w:noProof/>
        </w:rPr>
        <w:t xml:space="preserve">Linii bugetare existente </w:t>
      </w:r>
    </w:p>
    <w:p w14:paraId="4A3D923C" w14:textId="77777777" w:rsidR="00BD152F" w:rsidRPr="008D4D1E" w:rsidRDefault="00BD152F" w:rsidP="00B00391">
      <w:pPr>
        <w:pStyle w:val="Text1"/>
        <w:rPr>
          <w:i/>
          <w:noProof/>
        </w:rPr>
      </w:pPr>
      <w:r w:rsidRPr="00E86B79">
        <w:rPr>
          <w:i/>
          <w:noProof/>
          <w:u w:val="single"/>
        </w:rPr>
        <w:t>În ordinea</w:t>
      </w:r>
      <w:r w:rsidRPr="008D4D1E">
        <w:rPr>
          <w:i/>
          <w:noProof/>
        </w:rPr>
        <w:t xml:space="preserve"> rubricilor din cadrul financiar multianual și a liniilor bugetare.</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F55A81" w:rsidRPr="00D96C74" w14:paraId="2B4E6212" w14:textId="77777777" w:rsidTr="1BD3479F">
        <w:tc>
          <w:tcPr>
            <w:tcW w:w="1080" w:type="dxa"/>
            <w:vMerge w:val="restart"/>
            <w:vAlign w:val="center"/>
          </w:tcPr>
          <w:p w14:paraId="371FD174" w14:textId="77777777" w:rsidR="00BD152F" w:rsidRPr="00D96C74" w:rsidRDefault="00BD152F" w:rsidP="00B00391">
            <w:pPr>
              <w:spacing w:before="60" w:after="60"/>
              <w:jc w:val="center"/>
              <w:rPr>
                <w:noProof/>
              </w:rPr>
            </w:pPr>
            <w:r w:rsidRPr="00D96C74">
              <w:rPr>
                <w:noProof/>
                <w:sz w:val="18"/>
              </w:rPr>
              <w:t>Rubrica din cadrul financiar multianual</w:t>
            </w:r>
          </w:p>
        </w:tc>
        <w:tc>
          <w:tcPr>
            <w:tcW w:w="3960" w:type="dxa"/>
            <w:vAlign w:val="center"/>
          </w:tcPr>
          <w:p w14:paraId="5AB317D2" w14:textId="77777777" w:rsidR="00BD152F" w:rsidRPr="00D96C74" w:rsidRDefault="00BD152F" w:rsidP="00B00391">
            <w:pPr>
              <w:spacing w:before="60" w:after="60"/>
              <w:jc w:val="center"/>
              <w:rPr>
                <w:noProof/>
              </w:rPr>
            </w:pPr>
            <w:r w:rsidRPr="00D96C74">
              <w:rPr>
                <w:noProof/>
                <w:sz w:val="20"/>
              </w:rPr>
              <w:t>Linia bugetară</w:t>
            </w:r>
          </w:p>
        </w:tc>
        <w:tc>
          <w:tcPr>
            <w:tcW w:w="1080" w:type="dxa"/>
            <w:vAlign w:val="center"/>
          </w:tcPr>
          <w:p w14:paraId="23A5B479" w14:textId="77777777" w:rsidR="00BD152F" w:rsidRPr="00D96C74" w:rsidRDefault="00BD152F" w:rsidP="00B00391">
            <w:pPr>
              <w:spacing w:before="60" w:after="60"/>
              <w:jc w:val="center"/>
              <w:rPr>
                <w:noProof/>
              </w:rPr>
            </w:pPr>
            <w:r w:rsidRPr="00D96C74">
              <w:rPr>
                <w:noProof/>
                <w:sz w:val="18"/>
              </w:rPr>
              <w:t xml:space="preserve">Tipul de </w:t>
            </w:r>
            <w:r w:rsidRPr="00D96C74">
              <w:rPr>
                <w:noProof/>
              </w:rPr>
              <w:t xml:space="preserve"> </w:t>
            </w:r>
            <w:r w:rsidRPr="00D96C74">
              <w:rPr>
                <w:noProof/>
              </w:rPr>
              <w:br/>
            </w:r>
            <w:r w:rsidRPr="00D96C74">
              <w:rPr>
                <w:noProof/>
                <w:sz w:val="18"/>
              </w:rPr>
              <w:t>cheltuieli</w:t>
            </w:r>
          </w:p>
        </w:tc>
        <w:tc>
          <w:tcPr>
            <w:tcW w:w="4440" w:type="dxa"/>
            <w:gridSpan w:val="4"/>
            <w:vAlign w:val="center"/>
          </w:tcPr>
          <w:p w14:paraId="27094FFD" w14:textId="77777777" w:rsidR="00BD152F" w:rsidRPr="00D96C74" w:rsidRDefault="00BD152F" w:rsidP="00B00391">
            <w:pPr>
              <w:spacing w:before="60" w:after="60"/>
              <w:jc w:val="center"/>
              <w:rPr>
                <w:noProof/>
              </w:rPr>
            </w:pPr>
            <w:r w:rsidRPr="00D96C74">
              <w:rPr>
                <w:noProof/>
                <w:sz w:val="20"/>
              </w:rPr>
              <w:t xml:space="preserve">Contribuție </w:t>
            </w:r>
          </w:p>
        </w:tc>
      </w:tr>
      <w:tr w:rsidR="008A3CEF" w:rsidRPr="00D96C74" w14:paraId="6B93F5E1" w14:textId="77777777" w:rsidTr="0068785E">
        <w:trPr>
          <w:trHeight w:val="1772"/>
        </w:trPr>
        <w:tc>
          <w:tcPr>
            <w:tcW w:w="1080" w:type="dxa"/>
            <w:vMerge/>
            <w:vAlign w:val="center"/>
          </w:tcPr>
          <w:p w14:paraId="7915191D" w14:textId="77777777" w:rsidR="00BD152F" w:rsidRPr="00D96C74" w:rsidRDefault="00BD152F" w:rsidP="00B00391">
            <w:pPr>
              <w:jc w:val="center"/>
              <w:rPr>
                <w:noProof/>
              </w:rPr>
            </w:pPr>
          </w:p>
        </w:tc>
        <w:tc>
          <w:tcPr>
            <w:tcW w:w="3960" w:type="dxa"/>
            <w:vAlign w:val="center"/>
          </w:tcPr>
          <w:p w14:paraId="39715FCD" w14:textId="77777777" w:rsidR="00BD152F" w:rsidRPr="00D96C74" w:rsidRDefault="00BD152F" w:rsidP="00B00391">
            <w:pPr>
              <w:rPr>
                <w:noProof/>
              </w:rPr>
            </w:pPr>
            <w:r w:rsidRPr="00D96C74">
              <w:rPr>
                <w:noProof/>
                <w:sz w:val="20"/>
              </w:rPr>
              <w:t xml:space="preserve">Numărul </w:t>
            </w:r>
            <w:r w:rsidRPr="00D96C74">
              <w:rPr>
                <w:noProof/>
              </w:rPr>
              <w:t xml:space="preserve"> </w:t>
            </w:r>
            <w:r w:rsidRPr="00D96C74">
              <w:rPr>
                <w:noProof/>
              </w:rPr>
              <w:br/>
            </w:r>
          </w:p>
        </w:tc>
        <w:tc>
          <w:tcPr>
            <w:tcW w:w="1080" w:type="dxa"/>
            <w:vAlign w:val="center"/>
          </w:tcPr>
          <w:p w14:paraId="4D751576" w14:textId="77777777" w:rsidR="00BD152F" w:rsidRPr="00D96C74" w:rsidRDefault="76754597" w:rsidP="00B00391">
            <w:pPr>
              <w:jc w:val="center"/>
              <w:rPr>
                <w:noProof/>
              </w:rPr>
            </w:pPr>
            <w:r w:rsidRPr="00D96C74">
              <w:rPr>
                <w:noProof/>
                <w:sz w:val="18"/>
              </w:rPr>
              <w:t>Dif./ Nedif.</w:t>
            </w:r>
            <w:r w:rsidRPr="00D96C74">
              <w:rPr>
                <w:rStyle w:val="FootnoteReference"/>
                <w:noProof/>
                <w:sz w:val="18"/>
                <w:szCs w:val="18"/>
              </w:rPr>
              <w:footnoteReference w:id="89"/>
            </w:r>
          </w:p>
        </w:tc>
        <w:tc>
          <w:tcPr>
            <w:tcW w:w="956" w:type="dxa"/>
            <w:vAlign w:val="center"/>
          </w:tcPr>
          <w:p w14:paraId="1FC52F7A" w14:textId="77777777" w:rsidR="00BD152F" w:rsidRPr="00D020C3" w:rsidRDefault="76754597" w:rsidP="00B00391">
            <w:pPr>
              <w:jc w:val="center"/>
              <w:rPr>
                <w:b/>
                <w:noProof/>
                <w:sz w:val="18"/>
              </w:rPr>
            </w:pPr>
            <w:r w:rsidRPr="00D96C74">
              <w:rPr>
                <w:noProof/>
                <w:sz w:val="18"/>
              </w:rPr>
              <w:t>din partea țărilor AELS</w:t>
            </w:r>
            <w:r w:rsidRPr="00D96C74">
              <w:rPr>
                <w:rStyle w:val="FootnoteReference"/>
                <w:noProof/>
                <w:sz w:val="18"/>
                <w:szCs w:val="18"/>
              </w:rPr>
              <w:footnoteReference w:id="90"/>
            </w:r>
          </w:p>
        </w:tc>
        <w:tc>
          <w:tcPr>
            <w:tcW w:w="1080" w:type="dxa"/>
            <w:vAlign w:val="center"/>
          </w:tcPr>
          <w:p w14:paraId="6ABB2C77" w14:textId="77777777" w:rsidR="00BD152F" w:rsidRPr="00D96C74" w:rsidRDefault="76754597" w:rsidP="00B00391">
            <w:pPr>
              <w:jc w:val="center"/>
              <w:rPr>
                <w:noProof/>
                <w:sz w:val="18"/>
              </w:rPr>
            </w:pPr>
            <w:r w:rsidRPr="00D96C74">
              <w:rPr>
                <w:noProof/>
                <w:sz w:val="18"/>
              </w:rPr>
              <w:t>din partea țărilor candidate și potențial candidate</w:t>
            </w:r>
            <w:r w:rsidRPr="00D96C74">
              <w:rPr>
                <w:rStyle w:val="FootnoteReference"/>
                <w:noProof/>
                <w:sz w:val="18"/>
                <w:szCs w:val="18"/>
              </w:rPr>
              <w:footnoteReference w:id="91"/>
            </w:r>
          </w:p>
        </w:tc>
        <w:tc>
          <w:tcPr>
            <w:tcW w:w="956" w:type="dxa"/>
            <w:vAlign w:val="center"/>
          </w:tcPr>
          <w:p w14:paraId="29A5C692" w14:textId="77777777" w:rsidR="00BD152F" w:rsidRPr="00D96C74" w:rsidRDefault="00B24CA9" w:rsidP="00B00391">
            <w:pPr>
              <w:jc w:val="center"/>
              <w:rPr>
                <w:noProof/>
                <w:sz w:val="18"/>
              </w:rPr>
            </w:pPr>
            <w:r w:rsidRPr="00D96C74">
              <w:rPr>
                <w:noProof/>
                <w:sz w:val="18"/>
              </w:rPr>
              <w:t>din partea țărilor terțe</w:t>
            </w:r>
          </w:p>
        </w:tc>
        <w:tc>
          <w:tcPr>
            <w:tcW w:w="1448" w:type="dxa"/>
            <w:vAlign w:val="center"/>
          </w:tcPr>
          <w:p w14:paraId="57BF93BF" w14:textId="77777777" w:rsidR="00BD152F" w:rsidRPr="00D96C74" w:rsidRDefault="00BD152F" w:rsidP="00B00391">
            <w:pPr>
              <w:jc w:val="center"/>
              <w:rPr>
                <w:noProof/>
              </w:rPr>
            </w:pPr>
            <w:r w:rsidRPr="00D96C74">
              <w:rPr>
                <w:noProof/>
                <w:sz w:val="18"/>
              </w:rPr>
              <w:t>alte venituri alocate</w:t>
            </w:r>
          </w:p>
        </w:tc>
      </w:tr>
      <w:tr w:rsidR="008B5470" w:rsidRPr="00D96C74" w14:paraId="746E25B7" w14:textId="77777777" w:rsidTr="1BD3479F">
        <w:tc>
          <w:tcPr>
            <w:tcW w:w="1080" w:type="dxa"/>
            <w:vAlign w:val="center"/>
          </w:tcPr>
          <w:p w14:paraId="0A30526E" w14:textId="4F8F0FA3" w:rsidR="008B5470" w:rsidRPr="00D96C74" w:rsidRDefault="008B5470" w:rsidP="008B5470">
            <w:pPr>
              <w:jc w:val="center"/>
              <w:rPr>
                <w:noProof/>
              </w:rPr>
            </w:pPr>
            <w:r w:rsidRPr="00D020C3">
              <w:rPr>
                <w:noProof/>
              </w:rPr>
              <w:t>7</w:t>
            </w:r>
          </w:p>
        </w:tc>
        <w:tc>
          <w:tcPr>
            <w:tcW w:w="3960" w:type="dxa"/>
            <w:vAlign w:val="center"/>
          </w:tcPr>
          <w:p w14:paraId="7AD70DE4" w14:textId="48BF5CD7" w:rsidR="008B5470" w:rsidRPr="00D96C74" w:rsidRDefault="008B5470" w:rsidP="00F30D31">
            <w:pPr>
              <w:spacing w:before="60"/>
              <w:rPr>
                <w:noProof/>
                <w:sz w:val="20"/>
              </w:rPr>
            </w:pPr>
            <w:r w:rsidRPr="00D020C3">
              <w:rPr>
                <w:rStyle w:val="normaltextrun"/>
                <w:noProof/>
                <w:shd w:val="clear" w:color="auto" w:fill="FFFFFF"/>
              </w:rPr>
              <w:t>20</w:t>
            </w:r>
            <w:r w:rsidRPr="00D96C74">
              <w:rPr>
                <w:rStyle w:val="normaltextrun"/>
                <w:noProof/>
                <w:shd w:val="clear" w:color="auto" w:fill="FFFFFF"/>
              </w:rPr>
              <w:t xml:space="preserve"> </w:t>
            </w:r>
            <w:r w:rsidRPr="00D020C3">
              <w:rPr>
                <w:rStyle w:val="normaltextrun"/>
                <w:noProof/>
                <w:shd w:val="clear" w:color="auto" w:fill="FFFFFF"/>
              </w:rPr>
              <w:t>02</w:t>
            </w:r>
            <w:r w:rsidRPr="00D96C74">
              <w:rPr>
                <w:rStyle w:val="normaltextrun"/>
                <w:noProof/>
                <w:shd w:val="clear" w:color="auto" w:fill="FFFFFF"/>
              </w:rPr>
              <w:t xml:space="preserve"> </w:t>
            </w:r>
            <w:r w:rsidRPr="00D020C3">
              <w:rPr>
                <w:rStyle w:val="normaltextrun"/>
                <w:noProof/>
                <w:shd w:val="clear" w:color="auto" w:fill="FFFFFF"/>
              </w:rPr>
              <w:t>02</w:t>
            </w:r>
            <w:r w:rsidRPr="00D96C74">
              <w:rPr>
                <w:rStyle w:val="normaltextrun"/>
                <w:noProof/>
                <w:shd w:val="clear" w:color="auto" w:fill="FFFFFF"/>
              </w:rPr>
              <w:t xml:space="preserve"> </w:t>
            </w:r>
            <w:r w:rsidRPr="00D020C3">
              <w:rPr>
                <w:rStyle w:val="normaltextrun"/>
                <w:noProof/>
                <w:shd w:val="clear" w:color="auto" w:fill="FFFFFF"/>
              </w:rPr>
              <w:t>01</w:t>
            </w:r>
            <w:r w:rsidRPr="00D96C74">
              <w:rPr>
                <w:rStyle w:val="normaltextrun"/>
                <w:noProof/>
                <w:shd w:val="clear" w:color="auto" w:fill="FFFFFF"/>
              </w:rPr>
              <w:t> Sediul central și reprezentanțele</w:t>
            </w:r>
            <w:r w:rsidRPr="00D96C74">
              <w:rPr>
                <w:rStyle w:val="eop"/>
                <w:noProof/>
                <w:shd w:val="clear" w:color="auto" w:fill="FFFFFF"/>
              </w:rPr>
              <w:t xml:space="preserve"> </w:t>
            </w:r>
          </w:p>
        </w:tc>
        <w:tc>
          <w:tcPr>
            <w:tcW w:w="1080" w:type="dxa"/>
            <w:vAlign w:val="center"/>
          </w:tcPr>
          <w:p w14:paraId="273CCC0E" w14:textId="3CBF9806" w:rsidR="008B5470" w:rsidRPr="00D96C74" w:rsidRDefault="008B5470" w:rsidP="008B5470">
            <w:pPr>
              <w:jc w:val="center"/>
              <w:rPr>
                <w:noProof/>
                <w:sz w:val="18"/>
                <w:szCs w:val="18"/>
              </w:rPr>
            </w:pPr>
            <w:r w:rsidRPr="00D96C74">
              <w:rPr>
                <w:rStyle w:val="normaltextrun"/>
                <w:noProof/>
                <w:color w:val="000000"/>
                <w:shd w:val="clear" w:color="auto" w:fill="FFFFFF"/>
              </w:rPr>
              <w:t>Nedif.</w:t>
            </w:r>
          </w:p>
        </w:tc>
        <w:tc>
          <w:tcPr>
            <w:tcW w:w="956" w:type="dxa"/>
            <w:vAlign w:val="center"/>
          </w:tcPr>
          <w:p w14:paraId="626D0209" w14:textId="2B7AA7D5" w:rsidR="008B5470" w:rsidRPr="00D96C74" w:rsidRDefault="008B5470" w:rsidP="008B5470">
            <w:pPr>
              <w:jc w:val="center"/>
              <w:rPr>
                <w:noProof/>
                <w:sz w:val="18"/>
                <w:szCs w:val="18"/>
              </w:rPr>
            </w:pPr>
            <w:r w:rsidRPr="00D96C74">
              <w:rPr>
                <w:noProof/>
                <w:sz w:val="20"/>
              </w:rPr>
              <w:t>NU</w:t>
            </w:r>
          </w:p>
        </w:tc>
        <w:tc>
          <w:tcPr>
            <w:tcW w:w="1080" w:type="dxa"/>
            <w:vAlign w:val="center"/>
          </w:tcPr>
          <w:p w14:paraId="0AF40204" w14:textId="1B854FDA" w:rsidR="008B5470" w:rsidRPr="00D96C74" w:rsidRDefault="008B5470" w:rsidP="008B5470">
            <w:pPr>
              <w:jc w:val="center"/>
              <w:rPr>
                <w:noProof/>
                <w:sz w:val="18"/>
                <w:szCs w:val="18"/>
              </w:rPr>
            </w:pPr>
            <w:r w:rsidRPr="00D96C74">
              <w:rPr>
                <w:noProof/>
                <w:sz w:val="20"/>
              </w:rPr>
              <w:t>NU</w:t>
            </w:r>
          </w:p>
        </w:tc>
        <w:tc>
          <w:tcPr>
            <w:tcW w:w="956" w:type="dxa"/>
            <w:vAlign w:val="center"/>
          </w:tcPr>
          <w:p w14:paraId="4DFE18C3" w14:textId="64551DE2" w:rsidR="008B5470" w:rsidRPr="00D96C74" w:rsidRDefault="008B5470" w:rsidP="008B5470">
            <w:pPr>
              <w:jc w:val="center"/>
              <w:rPr>
                <w:noProof/>
                <w:sz w:val="18"/>
              </w:rPr>
            </w:pPr>
            <w:r w:rsidRPr="00D96C74">
              <w:rPr>
                <w:noProof/>
                <w:sz w:val="20"/>
              </w:rPr>
              <w:t>NU</w:t>
            </w:r>
          </w:p>
        </w:tc>
        <w:tc>
          <w:tcPr>
            <w:tcW w:w="1448" w:type="dxa"/>
            <w:vAlign w:val="center"/>
          </w:tcPr>
          <w:p w14:paraId="2808CB5B" w14:textId="30685014" w:rsidR="008B5470" w:rsidRPr="00D96C74" w:rsidRDefault="008B5470" w:rsidP="008B5470">
            <w:pPr>
              <w:jc w:val="center"/>
              <w:rPr>
                <w:noProof/>
                <w:sz w:val="18"/>
                <w:szCs w:val="18"/>
              </w:rPr>
            </w:pPr>
            <w:r w:rsidRPr="00D96C74">
              <w:rPr>
                <w:noProof/>
                <w:sz w:val="20"/>
              </w:rPr>
              <w:t>NU</w:t>
            </w:r>
          </w:p>
        </w:tc>
      </w:tr>
      <w:tr w:rsidR="008B5470" w:rsidRPr="00D96C74" w14:paraId="515CC480" w14:textId="77777777" w:rsidTr="1BD3479F">
        <w:tc>
          <w:tcPr>
            <w:tcW w:w="1080" w:type="dxa"/>
            <w:vAlign w:val="center"/>
          </w:tcPr>
          <w:p w14:paraId="264C9D5E" w14:textId="77777777" w:rsidR="008B5470" w:rsidRPr="00D96C74" w:rsidRDefault="008B5470" w:rsidP="008B5470">
            <w:pPr>
              <w:jc w:val="center"/>
              <w:rPr>
                <w:noProof/>
              </w:rPr>
            </w:pPr>
            <w:r w:rsidRPr="00D020C3">
              <w:rPr>
                <w:noProof/>
              </w:rPr>
              <w:t>7</w:t>
            </w:r>
          </w:p>
        </w:tc>
        <w:tc>
          <w:tcPr>
            <w:tcW w:w="3960" w:type="dxa"/>
            <w:vAlign w:val="center"/>
          </w:tcPr>
          <w:p w14:paraId="643DF6E3" w14:textId="77777777" w:rsidR="008B5470" w:rsidRPr="00D96C74" w:rsidRDefault="008B5470" w:rsidP="008B5470">
            <w:pPr>
              <w:spacing w:before="60"/>
              <w:rPr>
                <w:noProof/>
                <w:sz w:val="22"/>
              </w:rPr>
            </w:pPr>
            <w:r w:rsidRPr="00D020C3">
              <w:rPr>
                <w:rStyle w:val="normaltextrun"/>
                <w:noProof/>
                <w:shd w:val="clear" w:color="auto" w:fill="FFFFFF"/>
              </w:rPr>
              <w:t>20</w:t>
            </w:r>
            <w:r w:rsidRPr="00D96C74">
              <w:rPr>
                <w:rStyle w:val="normaltextrun"/>
                <w:noProof/>
                <w:shd w:val="clear" w:color="auto" w:fill="FFFFFF"/>
              </w:rPr>
              <w:t> </w:t>
            </w:r>
            <w:r w:rsidRPr="00D020C3">
              <w:rPr>
                <w:rStyle w:val="normaltextrun"/>
                <w:noProof/>
                <w:shd w:val="clear" w:color="auto" w:fill="FFFFFF"/>
              </w:rPr>
              <w:t>02</w:t>
            </w:r>
            <w:r w:rsidRPr="00D96C74">
              <w:rPr>
                <w:rStyle w:val="normaltextrun"/>
                <w:noProof/>
                <w:shd w:val="clear" w:color="auto" w:fill="FFFFFF"/>
              </w:rPr>
              <w:t> </w:t>
            </w:r>
            <w:r w:rsidRPr="00D020C3">
              <w:rPr>
                <w:rStyle w:val="normaltextrun"/>
                <w:noProof/>
                <w:shd w:val="clear" w:color="auto" w:fill="FFFFFF"/>
              </w:rPr>
              <w:t>01</w:t>
            </w:r>
            <w:r w:rsidRPr="00D96C74">
              <w:rPr>
                <w:rStyle w:val="normaltextrun"/>
                <w:noProof/>
                <w:shd w:val="clear" w:color="auto" w:fill="FFFFFF"/>
              </w:rPr>
              <w:t> </w:t>
            </w:r>
            <w:r w:rsidRPr="00D020C3">
              <w:rPr>
                <w:rStyle w:val="normaltextrun"/>
                <w:noProof/>
                <w:shd w:val="clear" w:color="auto" w:fill="FFFFFF"/>
              </w:rPr>
              <w:t>01</w:t>
            </w:r>
            <w:r w:rsidRPr="00D96C74">
              <w:rPr>
                <w:rStyle w:val="normaltextrun"/>
                <w:noProof/>
                <w:shd w:val="clear" w:color="auto" w:fill="FFFFFF"/>
              </w:rPr>
              <w:t> Personal contractual</w:t>
            </w:r>
            <w:r w:rsidRPr="00D96C74">
              <w:rPr>
                <w:rStyle w:val="eop"/>
                <w:noProof/>
                <w:shd w:val="clear" w:color="auto" w:fill="FFFFFF"/>
              </w:rPr>
              <w:t xml:space="preserve"> </w:t>
            </w:r>
          </w:p>
        </w:tc>
        <w:tc>
          <w:tcPr>
            <w:tcW w:w="1080" w:type="dxa"/>
            <w:vAlign w:val="center"/>
          </w:tcPr>
          <w:p w14:paraId="38355734" w14:textId="77777777" w:rsidR="008B5470" w:rsidRPr="00D96C74" w:rsidRDefault="008B5470" w:rsidP="008B5470">
            <w:pPr>
              <w:jc w:val="center"/>
              <w:rPr>
                <w:noProof/>
                <w:sz w:val="22"/>
              </w:rPr>
            </w:pPr>
            <w:r w:rsidRPr="00D96C74">
              <w:rPr>
                <w:rStyle w:val="normaltextrun"/>
                <w:noProof/>
                <w:color w:val="000000"/>
                <w:shd w:val="clear" w:color="auto" w:fill="FFFFFF"/>
              </w:rPr>
              <w:t>Nedif.</w:t>
            </w:r>
            <w:r w:rsidRPr="00D96C74">
              <w:rPr>
                <w:rStyle w:val="eop"/>
                <w:noProof/>
                <w:color w:val="000000"/>
                <w:shd w:val="clear" w:color="auto" w:fill="FFFFFF"/>
              </w:rPr>
              <w:t xml:space="preserve"> </w:t>
            </w:r>
          </w:p>
        </w:tc>
        <w:tc>
          <w:tcPr>
            <w:tcW w:w="956" w:type="dxa"/>
            <w:vAlign w:val="center"/>
          </w:tcPr>
          <w:p w14:paraId="715F3F94" w14:textId="77777777" w:rsidR="008B5470" w:rsidRPr="00D96C74" w:rsidRDefault="008B5470" w:rsidP="008B5470">
            <w:pPr>
              <w:jc w:val="center"/>
              <w:rPr>
                <w:noProof/>
                <w:sz w:val="20"/>
                <w:szCs w:val="20"/>
              </w:rPr>
            </w:pPr>
            <w:r w:rsidRPr="00D96C74">
              <w:rPr>
                <w:noProof/>
                <w:sz w:val="20"/>
              </w:rPr>
              <w:t>NU</w:t>
            </w:r>
          </w:p>
        </w:tc>
        <w:tc>
          <w:tcPr>
            <w:tcW w:w="1080" w:type="dxa"/>
            <w:vAlign w:val="center"/>
          </w:tcPr>
          <w:p w14:paraId="6E16FADD" w14:textId="77777777" w:rsidR="008B5470" w:rsidRPr="00D96C74" w:rsidRDefault="008B5470" w:rsidP="008B5470">
            <w:pPr>
              <w:jc w:val="center"/>
              <w:rPr>
                <w:noProof/>
                <w:sz w:val="20"/>
                <w:szCs w:val="20"/>
              </w:rPr>
            </w:pPr>
            <w:r w:rsidRPr="00D96C74">
              <w:rPr>
                <w:noProof/>
                <w:sz w:val="20"/>
              </w:rPr>
              <w:t>NU</w:t>
            </w:r>
          </w:p>
        </w:tc>
        <w:tc>
          <w:tcPr>
            <w:tcW w:w="956" w:type="dxa"/>
            <w:vAlign w:val="center"/>
          </w:tcPr>
          <w:p w14:paraId="02A2D1EC" w14:textId="77777777" w:rsidR="008B5470" w:rsidRPr="00D96C74" w:rsidRDefault="008B5470" w:rsidP="008B5470">
            <w:pPr>
              <w:jc w:val="center"/>
              <w:rPr>
                <w:noProof/>
                <w:sz w:val="20"/>
                <w:szCs w:val="20"/>
              </w:rPr>
            </w:pPr>
            <w:r w:rsidRPr="00D96C74">
              <w:rPr>
                <w:noProof/>
                <w:sz w:val="20"/>
              </w:rPr>
              <w:t>NU</w:t>
            </w:r>
          </w:p>
        </w:tc>
        <w:tc>
          <w:tcPr>
            <w:tcW w:w="1448" w:type="dxa"/>
            <w:vAlign w:val="center"/>
          </w:tcPr>
          <w:p w14:paraId="3B5BF1EC" w14:textId="77777777" w:rsidR="008B5470" w:rsidRPr="00D96C74" w:rsidRDefault="008B5470" w:rsidP="008B5470">
            <w:pPr>
              <w:jc w:val="center"/>
              <w:rPr>
                <w:noProof/>
                <w:sz w:val="20"/>
                <w:szCs w:val="20"/>
              </w:rPr>
            </w:pPr>
            <w:r w:rsidRPr="00D96C74">
              <w:rPr>
                <w:noProof/>
                <w:sz w:val="20"/>
              </w:rPr>
              <w:t>NU</w:t>
            </w:r>
          </w:p>
        </w:tc>
      </w:tr>
    </w:tbl>
    <w:p w14:paraId="6EEB4434" w14:textId="77777777" w:rsidR="00BD152F" w:rsidRPr="00D96C74" w:rsidRDefault="00BD152F" w:rsidP="0020411B">
      <w:pPr>
        <w:pStyle w:val="ListBullet1"/>
        <w:rPr>
          <w:noProof/>
        </w:rPr>
      </w:pPr>
      <w:r w:rsidRPr="00D96C74">
        <w:rPr>
          <w:noProof/>
        </w:rPr>
        <w:t xml:space="preserve">Noi linii bugetare solicitate </w:t>
      </w:r>
    </w:p>
    <w:p w14:paraId="52A479B3" w14:textId="77777777" w:rsidR="00BD152F" w:rsidRPr="00D96C74" w:rsidRDefault="00D91E47" w:rsidP="00B00391">
      <w:pPr>
        <w:pStyle w:val="Text1"/>
        <w:rPr>
          <w:iCs/>
          <w:noProof/>
          <w:sz w:val="20"/>
        </w:rPr>
      </w:pPr>
      <w:r w:rsidRPr="00E86B79">
        <w:rPr>
          <w:noProof/>
          <w:u w:val="single"/>
        </w:rPr>
        <w:t>Nu este cazul</w:t>
      </w:r>
    </w:p>
    <w:p w14:paraId="0ADD96C8" w14:textId="77777777" w:rsidR="00BD152F" w:rsidRPr="00D96C74" w:rsidRDefault="00BD152F" w:rsidP="00B00391">
      <w:pPr>
        <w:rPr>
          <w:noProof/>
        </w:rPr>
        <w:sectPr w:rsidR="00BD152F" w:rsidRPr="00D96C74" w:rsidSect="00311D41">
          <w:pgSz w:w="11907" w:h="16840" w:code="1"/>
          <w:pgMar w:top="1134" w:right="1418" w:bottom="1134" w:left="1418" w:header="709" w:footer="709" w:gutter="0"/>
          <w:cols w:space="708"/>
          <w:docGrid w:linePitch="360"/>
        </w:sectPr>
      </w:pPr>
    </w:p>
    <w:p w14:paraId="71EE2675" w14:textId="77777777" w:rsidR="00BD152F" w:rsidRPr="00D020C3" w:rsidRDefault="00BD152F" w:rsidP="00B00391">
      <w:pPr>
        <w:pStyle w:val="ManualHeading2"/>
        <w:rPr>
          <w:bCs/>
          <w:noProof/>
          <w:szCs w:val="24"/>
        </w:rPr>
      </w:pPr>
      <w:r w:rsidRPr="00D020C3">
        <w:rPr>
          <w:noProof/>
        </w:rPr>
        <w:t>3.2.</w:t>
      </w:r>
      <w:r w:rsidRPr="00D020C3">
        <w:rPr>
          <w:noProof/>
        </w:rPr>
        <w:tab/>
        <w:t xml:space="preserve">Impactul financiar estimat al propunerii asupra creditelor </w:t>
      </w:r>
    </w:p>
    <w:p w14:paraId="5846525C" w14:textId="77777777" w:rsidR="00BD152F" w:rsidRPr="008D4D1E" w:rsidRDefault="00BD152F" w:rsidP="00B00391">
      <w:pPr>
        <w:pStyle w:val="ManualHeading3"/>
        <w:rPr>
          <w:noProof/>
        </w:rPr>
      </w:pPr>
      <w:r w:rsidRPr="008D4D1E">
        <w:rPr>
          <w:noProof/>
        </w:rPr>
        <w:t>3.2.1.</w:t>
      </w:r>
      <w:r w:rsidRPr="008D4D1E">
        <w:rPr>
          <w:noProof/>
        </w:rPr>
        <w:tab/>
        <w:t xml:space="preserve">Sinteza impactului estimat asupra creditelor operaționale </w:t>
      </w:r>
    </w:p>
    <w:p w14:paraId="1CD27701" w14:textId="77777777" w:rsidR="00BD152F" w:rsidRPr="00D96C74" w:rsidRDefault="00BD152F" w:rsidP="0020411B">
      <w:pPr>
        <w:pStyle w:val="ListDash1"/>
        <w:rPr>
          <w:noProof/>
        </w:rPr>
      </w:pPr>
      <w:r w:rsidRPr="00D96C74">
        <w:rPr>
          <w:rFonts w:ascii="Wingdings" w:hAnsi="Wingdings"/>
          <w:noProof/>
        </w:rPr>
        <w:t></w:t>
      </w:r>
      <w:r w:rsidRPr="00D96C74">
        <w:rPr>
          <w:noProof/>
        </w:rPr>
        <w:tab/>
        <w:t xml:space="preserve">Propunerea/inițiativa nu implică utilizarea de credite operaționale </w:t>
      </w:r>
    </w:p>
    <w:p w14:paraId="512C2433" w14:textId="77777777" w:rsidR="00BD152F" w:rsidRPr="00D96C74" w:rsidRDefault="00D91E47" w:rsidP="0020411B">
      <w:pPr>
        <w:pStyle w:val="ListDash1"/>
        <w:rPr>
          <w:noProof/>
        </w:rPr>
      </w:pPr>
      <w:r w:rsidRPr="00D020C3">
        <w:rPr>
          <w:rStyle w:val="normaltextrun"/>
          <w:rFonts w:ascii="Wingdings" w:hAnsi="Wingdings"/>
          <w:b/>
          <w:noProof/>
          <w:color w:val="000000"/>
          <w:bdr w:val="none" w:sz="0" w:space="0" w:color="auto" w:frame="1"/>
        </w:rPr>
        <w:t></w:t>
      </w:r>
      <w:r w:rsidRPr="00D96C74">
        <w:rPr>
          <w:noProof/>
        </w:rPr>
        <w:tab/>
        <w:t>Propunerea/inițiativa implică utilizarea de credite operaționale, conform explicațiilor de mai jos:</w:t>
      </w:r>
    </w:p>
    <w:p w14:paraId="25759344" w14:textId="77777777" w:rsidR="00BD152F" w:rsidRPr="00D96C74" w:rsidRDefault="00BD152F" w:rsidP="00B00391">
      <w:pPr>
        <w:jc w:val="right"/>
        <w:rPr>
          <w:noProof/>
          <w:sz w:val="18"/>
          <w:szCs w:val="18"/>
        </w:rPr>
      </w:pPr>
      <w:r w:rsidRPr="00D96C74">
        <w:rPr>
          <w:noProof/>
          <w:sz w:val="18"/>
        </w:rPr>
        <w:t>milioane EUR (cu trei zecimale)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9610B" w:rsidRPr="00D96C74" w14:paraId="1D7EB7DF" w14:textId="77777777" w:rsidTr="0079610B">
        <w:trPr>
          <w:jc w:val="center"/>
        </w:trPr>
        <w:tc>
          <w:tcPr>
            <w:tcW w:w="4744" w:type="dxa"/>
            <w:shd w:val="thinDiagStripe" w:color="C0C0C0" w:fill="auto"/>
            <w:vAlign w:val="center"/>
          </w:tcPr>
          <w:p w14:paraId="2A9F7045" w14:textId="77777777" w:rsidR="0079610B" w:rsidRPr="00D020C3" w:rsidRDefault="0079610B" w:rsidP="00B00391">
            <w:pPr>
              <w:spacing w:before="60" w:after="60"/>
              <w:jc w:val="center"/>
              <w:rPr>
                <w:b/>
                <w:noProof/>
              </w:rPr>
            </w:pPr>
            <w:r w:rsidRPr="00D020C3">
              <w:rPr>
                <w:b/>
                <w:noProof/>
                <w:sz w:val="22"/>
              </w:rPr>
              <w:t xml:space="preserve">Rubrica din cadrul financiar </w:t>
            </w:r>
            <w:r w:rsidRPr="00D96C74">
              <w:rPr>
                <w:noProof/>
              </w:rPr>
              <w:t xml:space="preserve"> </w:t>
            </w:r>
            <w:r w:rsidRPr="00D96C74">
              <w:rPr>
                <w:noProof/>
              </w:rPr>
              <w:br/>
            </w:r>
            <w:r w:rsidRPr="00D020C3">
              <w:rPr>
                <w:b/>
                <w:noProof/>
                <w:sz w:val="22"/>
              </w:rPr>
              <w:t xml:space="preserve">multianual </w:t>
            </w:r>
          </w:p>
        </w:tc>
        <w:tc>
          <w:tcPr>
            <w:tcW w:w="1080" w:type="dxa"/>
            <w:vAlign w:val="center"/>
          </w:tcPr>
          <w:p w14:paraId="41A2D55E" w14:textId="77777777" w:rsidR="0079610B" w:rsidRPr="00D96C74" w:rsidRDefault="0079610B" w:rsidP="00B00391">
            <w:pPr>
              <w:spacing w:before="60" w:after="60"/>
              <w:jc w:val="center"/>
              <w:rPr>
                <w:noProof/>
              </w:rPr>
            </w:pPr>
            <w:r w:rsidRPr="00D020C3">
              <w:rPr>
                <w:noProof/>
                <w:sz w:val="22"/>
              </w:rPr>
              <w:t>7</w:t>
            </w:r>
          </w:p>
        </w:tc>
        <w:tc>
          <w:tcPr>
            <w:tcW w:w="7817" w:type="dxa"/>
            <w:vAlign w:val="center"/>
          </w:tcPr>
          <w:p w14:paraId="1EE049DF" w14:textId="77777777" w:rsidR="0079610B" w:rsidRPr="00D96C74" w:rsidRDefault="0079610B" w:rsidP="00B00391">
            <w:pPr>
              <w:spacing w:before="60" w:after="60"/>
              <w:rPr>
                <w:noProof/>
              </w:rPr>
            </w:pPr>
            <w:r w:rsidRPr="00D96C74">
              <w:rPr>
                <w:noProof/>
                <w:sz w:val="22"/>
              </w:rPr>
              <w:t xml:space="preserve">„Cheltuieli administrative” </w:t>
            </w:r>
          </w:p>
        </w:tc>
      </w:tr>
    </w:tbl>
    <w:p w14:paraId="2160A0E8" w14:textId="77777777" w:rsidR="00235A4F" w:rsidRPr="00D96C74" w:rsidRDefault="0079610B" w:rsidP="00235A4F">
      <w:pPr>
        <w:spacing w:before="0" w:after="0"/>
        <w:jc w:val="left"/>
        <w:textAlignment w:val="baseline"/>
        <w:rPr>
          <w:rFonts w:eastAsia="Times New Roman"/>
          <w:noProof/>
          <w:szCs w:val="24"/>
        </w:rPr>
      </w:pPr>
      <w:r w:rsidRPr="00D96C74">
        <w:rPr>
          <w:noProof/>
        </w:rPr>
        <w:t xml:space="preserve">Această secțiune trebuie completată utilizând „datele bugetare cu caracter administrativ” care trebuie introduse mai întâi în </w:t>
      </w:r>
      <w:hyperlink r:id="rId25" w:tgtFrame="_blank" w:history="1">
        <w:r w:rsidRPr="00E86B79">
          <w:rPr>
            <w:noProof/>
            <w:color w:val="000000"/>
            <w:u w:val="single"/>
            <w:shd w:val="clear" w:color="auto" w:fill="E1E3E6"/>
          </w:rPr>
          <w:t>anexa la fișa financiară legislativă</w:t>
        </w:r>
      </w:hyperlink>
      <w:r w:rsidRPr="00D96C74">
        <w:rPr>
          <w:noProof/>
        </w:rPr>
        <w:t xml:space="preserve"> (anexa </w:t>
      </w:r>
      <w:r w:rsidRPr="00D020C3">
        <w:rPr>
          <w:noProof/>
        </w:rPr>
        <w:t>5</w:t>
      </w:r>
      <w:r w:rsidRPr="00D96C74">
        <w:rPr>
          <w:noProof/>
        </w:rPr>
        <w:t xml:space="preserve"> la Decizia Comisiei privind normele interne de execuție a secțiunii „Comisia” din bugetul general al Uniunii Europene), încărcată în DECIDE pentru consultarea interservicii.</w:t>
      </w:r>
    </w:p>
    <w:p w14:paraId="1309B548" w14:textId="77777777" w:rsidR="00682C4D" w:rsidRPr="00D96C74" w:rsidRDefault="00682C4D" w:rsidP="00235A4F">
      <w:pPr>
        <w:spacing w:before="0" w:after="0"/>
        <w:jc w:val="left"/>
        <w:textAlignment w:val="baseline"/>
        <w:rPr>
          <w:rFonts w:eastAsia="Times New Roman"/>
          <w:noProof/>
          <w:szCs w:val="24"/>
          <w:lang w:eastAsia="en-I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88"/>
        <w:gridCol w:w="986"/>
      </w:tblGrid>
      <w:tr w:rsidR="002A1674" w:rsidRPr="00D96C74" w14:paraId="6D5DC09B" w14:textId="77777777" w:rsidTr="00A10DCB">
        <w:tc>
          <w:tcPr>
            <w:tcW w:w="3960" w:type="dxa"/>
            <w:vAlign w:val="center"/>
          </w:tcPr>
          <w:p w14:paraId="767C4C31" w14:textId="77777777" w:rsidR="00B137D3" w:rsidRPr="00D96C74" w:rsidRDefault="00B137D3" w:rsidP="00B00391">
            <w:pPr>
              <w:jc w:val="center"/>
              <w:rPr>
                <w:noProof/>
              </w:rPr>
            </w:pPr>
            <w:r w:rsidRPr="00D96C74">
              <w:rPr>
                <w:noProof/>
                <w:sz w:val="22"/>
              </w:rPr>
              <w:t>DG Mediu</w:t>
            </w:r>
          </w:p>
        </w:tc>
        <w:tc>
          <w:tcPr>
            <w:tcW w:w="2094" w:type="dxa"/>
          </w:tcPr>
          <w:p w14:paraId="1983E71E" w14:textId="77777777" w:rsidR="00B137D3" w:rsidRPr="00D96C74" w:rsidRDefault="00B137D3" w:rsidP="00B00391">
            <w:pPr>
              <w:jc w:val="center"/>
              <w:rPr>
                <w:noProof/>
                <w:sz w:val="20"/>
              </w:rPr>
            </w:pPr>
          </w:p>
        </w:tc>
        <w:tc>
          <w:tcPr>
            <w:tcW w:w="868" w:type="dxa"/>
            <w:vAlign w:val="center"/>
          </w:tcPr>
          <w:p w14:paraId="7446325A" w14:textId="77777777" w:rsidR="00B137D3" w:rsidRPr="00D96C74" w:rsidRDefault="00B137D3" w:rsidP="00B00391">
            <w:pPr>
              <w:jc w:val="center"/>
              <w:rPr>
                <w:noProof/>
                <w:sz w:val="20"/>
              </w:rPr>
            </w:pPr>
            <w:r w:rsidRPr="00D020C3">
              <w:rPr>
                <w:noProof/>
                <w:sz w:val="20"/>
              </w:rPr>
              <w:t>2023</w:t>
            </w:r>
          </w:p>
        </w:tc>
        <w:tc>
          <w:tcPr>
            <w:tcW w:w="868" w:type="dxa"/>
            <w:vAlign w:val="center"/>
          </w:tcPr>
          <w:p w14:paraId="44069956" w14:textId="77777777" w:rsidR="00B137D3" w:rsidRPr="00D96C74" w:rsidRDefault="00B137D3" w:rsidP="00B00391">
            <w:pPr>
              <w:jc w:val="center"/>
              <w:rPr>
                <w:noProof/>
                <w:sz w:val="20"/>
              </w:rPr>
            </w:pPr>
            <w:r w:rsidRPr="00D020C3">
              <w:rPr>
                <w:noProof/>
                <w:sz w:val="20"/>
              </w:rPr>
              <w:t>2024</w:t>
            </w:r>
          </w:p>
        </w:tc>
        <w:tc>
          <w:tcPr>
            <w:tcW w:w="868" w:type="dxa"/>
            <w:vAlign w:val="center"/>
          </w:tcPr>
          <w:p w14:paraId="4C354EC9" w14:textId="77777777" w:rsidR="00B137D3" w:rsidRPr="00D96C74" w:rsidRDefault="00B137D3" w:rsidP="00B00391">
            <w:pPr>
              <w:jc w:val="center"/>
              <w:rPr>
                <w:noProof/>
                <w:sz w:val="20"/>
              </w:rPr>
            </w:pPr>
            <w:r w:rsidRPr="00D020C3">
              <w:rPr>
                <w:noProof/>
                <w:sz w:val="20"/>
              </w:rPr>
              <w:t>2025</w:t>
            </w:r>
          </w:p>
        </w:tc>
        <w:tc>
          <w:tcPr>
            <w:tcW w:w="868" w:type="dxa"/>
            <w:vAlign w:val="center"/>
          </w:tcPr>
          <w:p w14:paraId="341C46FE" w14:textId="77777777" w:rsidR="00B137D3" w:rsidRPr="00D96C74" w:rsidRDefault="00B137D3" w:rsidP="00B00391">
            <w:pPr>
              <w:jc w:val="center"/>
              <w:rPr>
                <w:noProof/>
                <w:sz w:val="20"/>
              </w:rPr>
            </w:pPr>
            <w:r w:rsidRPr="00D020C3">
              <w:rPr>
                <w:noProof/>
                <w:sz w:val="20"/>
              </w:rPr>
              <w:t>2026</w:t>
            </w:r>
          </w:p>
        </w:tc>
        <w:tc>
          <w:tcPr>
            <w:tcW w:w="888" w:type="dxa"/>
          </w:tcPr>
          <w:p w14:paraId="3BDC4D2C" w14:textId="53AE647E" w:rsidR="00B137D3" w:rsidRPr="00D96C74" w:rsidRDefault="00B137D3" w:rsidP="00B00391">
            <w:pPr>
              <w:jc w:val="center"/>
              <w:rPr>
                <w:noProof/>
                <w:sz w:val="18"/>
              </w:rPr>
            </w:pPr>
            <w:r w:rsidRPr="00D020C3">
              <w:rPr>
                <w:noProof/>
                <w:sz w:val="18"/>
              </w:rPr>
              <w:t>2027</w:t>
            </w:r>
          </w:p>
        </w:tc>
        <w:tc>
          <w:tcPr>
            <w:tcW w:w="986" w:type="dxa"/>
          </w:tcPr>
          <w:p w14:paraId="0D897518" w14:textId="77777777" w:rsidR="00B137D3" w:rsidRPr="00D96C74" w:rsidRDefault="00B137D3" w:rsidP="00B00391">
            <w:pPr>
              <w:jc w:val="center"/>
              <w:rPr>
                <w:noProof/>
                <w:sz w:val="18"/>
              </w:rPr>
            </w:pPr>
            <w:r w:rsidRPr="00D020C3">
              <w:rPr>
                <w:b/>
                <w:noProof/>
                <w:sz w:val="20"/>
              </w:rPr>
              <w:t>TOTAL</w:t>
            </w:r>
          </w:p>
        </w:tc>
      </w:tr>
      <w:tr w:rsidR="008B5470" w:rsidRPr="00D96C74" w14:paraId="38BFB325" w14:textId="77777777" w:rsidTr="00B137D3">
        <w:trPr>
          <w:trHeight w:val="213"/>
        </w:trPr>
        <w:tc>
          <w:tcPr>
            <w:tcW w:w="6054" w:type="dxa"/>
            <w:gridSpan w:val="2"/>
            <w:vAlign w:val="center"/>
          </w:tcPr>
          <w:p w14:paraId="40B2DE90" w14:textId="77777777" w:rsidR="008B5470" w:rsidRPr="00D96C74" w:rsidRDefault="008B5470" w:rsidP="008B5470">
            <w:pPr>
              <w:spacing w:before="20" w:after="20"/>
              <w:rPr>
                <w:noProof/>
                <w:sz w:val="21"/>
              </w:rPr>
            </w:pPr>
            <w:r w:rsidRPr="00D96C74">
              <w:rPr>
                <w:noProof/>
                <w:sz w:val="21"/>
              </w:rPr>
              <w:t xml:space="preserve">□ Resurse umane </w:t>
            </w:r>
          </w:p>
        </w:tc>
        <w:tc>
          <w:tcPr>
            <w:tcW w:w="868" w:type="dxa"/>
            <w:vAlign w:val="center"/>
          </w:tcPr>
          <w:p w14:paraId="291115A7" w14:textId="64521ED2" w:rsidR="008B5470" w:rsidRPr="00D96C74" w:rsidRDefault="008B5470" w:rsidP="008B5470">
            <w:pPr>
              <w:jc w:val="center"/>
              <w:rPr>
                <w:noProof/>
                <w:sz w:val="20"/>
              </w:rPr>
            </w:pPr>
            <w:r w:rsidRPr="00D020C3">
              <w:rPr>
                <w:noProof/>
                <w:sz w:val="20"/>
              </w:rPr>
              <w:t>0</w:t>
            </w:r>
            <w:r w:rsidRPr="00D96C74">
              <w:rPr>
                <w:noProof/>
                <w:sz w:val="20"/>
              </w:rPr>
              <w:t>,</w:t>
            </w:r>
            <w:r w:rsidRPr="00D020C3">
              <w:rPr>
                <w:noProof/>
                <w:sz w:val="20"/>
              </w:rPr>
              <w:t>171</w:t>
            </w:r>
          </w:p>
        </w:tc>
        <w:tc>
          <w:tcPr>
            <w:tcW w:w="868" w:type="dxa"/>
            <w:vAlign w:val="center"/>
          </w:tcPr>
          <w:p w14:paraId="0F786B42" w14:textId="3D755174" w:rsidR="008B5470" w:rsidRPr="00D96C74" w:rsidRDefault="008B5470" w:rsidP="008B5470">
            <w:pPr>
              <w:jc w:val="center"/>
              <w:rPr>
                <w:noProof/>
                <w:sz w:val="20"/>
              </w:rPr>
            </w:pPr>
            <w:r w:rsidRPr="00D020C3">
              <w:rPr>
                <w:rStyle w:val="normaltextrun"/>
                <w:noProof/>
                <w:color w:val="000000"/>
                <w:sz w:val="20"/>
              </w:rPr>
              <w:t>0</w:t>
            </w:r>
            <w:r w:rsidRPr="00D96C74">
              <w:rPr>
                <w:rStyle w:val="normaltextrun"/>
                <w:noProof/>
                <w:color w:val="000000"/>
                <w:sz w:val="20"/>
              </w:rPr>
              <w:t>,</w:t>
            </w:r>
            <w:r w:rsidRPr="00D020C3">
              <w:rPr>
                <w:rStyle w:val="normaltextrun"/>
                <w:noProof/>
                <w:color w:val="000000"/>
                <w:sz w:val="20"/>
              </w:rPr>
              <w:t>358</w:t>
            </w:r>
          </w:p>
        </w:tc>
        <w:tc>
          <w:tcPr>
            <w:tcW w:w="868" w:type="dxa"/>
            <w:vAlign w:val="center"/>
          </w:tcPr>
          <w:p w14:paraId="19B77050" w14:textId="58C2AFF2" w:rsidR="008B5470" w:rsidRPr="00D96C74" w:rsidRDefault="008B5470" w:rsidP="008B5470">
            <w:pPr>
              <w:jc w:val="center"/>
              <w:rPr>
                <w:noProof/>
                <w:sz w:val="20"/>
              </w:rPr>
            </w:pPr>
            <w:r w:rsidRPr="00D020C3">
              <w:rPr>
                <w:rStyle w:val="normaltextrun"/>
                <w:noProof/>
                <w:color w:val="000000"/>
                <w:sz w:val="20"/>
              </w:rPr>
              <w:t>0</w:t>
            </w:r>
            <w:r w:rsidRPr="00D96C74">
              <w:rPr>
                <w:rStyle w:val="normaltextrun"/>
                <w:noProof/>
                <w:color w:val="000000"/>
                <w:sz w:val="20"/>
              </w:rPr>
              <w:t>,</w:t>
            </w:r>
            <w:r w:rsidRPr="00D020C3">
              <w:rPr>
                <w:rStyle w:val="normaltextrun"/>
                <w:noProof/>
                <w:color w:val="000000"/>
                <w:sz w:val="20"/>
              </w:rPr>
              <w:t>358</w:t>
            </w:r>
          </w:p>
        </w:tc>
        <w:tc>
          <w:tcPr>
            <w:tcW w:w="868" w:type="dxa"/>
            <w:vAlign w:val="center"/>
          </w:tcPr>
          <w:p w14:paraId="2D5C5C6B" w14:textId="3FE4CAD4" w:rsidR="008B5470" w:rsidRPr="00D96C74" w:rsidRDefault="008B5470" w:rsidP="008B5470">
            <w:pPr>
              <w:jc w:val="center"/>
              <w:rPr>
                <w:noProof/>
                <w:sz w:val="20"/>
              </w:rPr>
            </w:pPr>
            <w:r w:rsidRPr="00D020C3">
              <w:rPr>
                <w:noProof/>
                <w:sz w:val="20"/>
              </w:rPr>
              <w:t>0</w:t>
            </w:r>
            <w:r w:rsidRPr="00D96C74">
              <w:rPr>
                <w:noProof/>
                <w:sz w:val="20"/>
              </w:rPr>
              <w:t>,</w:t>
            </w:r>
            <w:r w:rsidRPr="00D020C3">
              <w:rPr>
                <w:noProof/>
                <w:sz w:val="20"/>
              </w:rPr>
              <w:t>358</w:t>
            </w:r>
          </w:p>
        </w:tc>
        <w:tc>
          <w:tcPr>
            <w:tcW w:w="888" w:type="dxa"/>
            <w:vAlign w:val="center"/>
          </w:tcPr>
          <w:p w14:paraId="4B5246EB" w14:textId="474600C8" w:rsidR="008B5470" w:rsidRPr="00D96C74" w:rsidRDefault="008B5470" w:rsidP="008B5470">
            <w:pPr>
              <w:jc w:val="center"/>
              <w:rPr>
                <w:rStyle w:val="normaltextrun"/>
                <w:noProof/>
                <w:sz w:val="20"/>
                <w:szCs w:val="20"/>
              </w:rPr>
            </w:pPr>
            <w:r w:rsidRPr="00D020C3">
              <w:rPr>
                <w:noProof/>
                <w:sz w:val="20"/>
              </w:rPr>
              <w:t>0</w:t>
            </w:r>
            <w:r w:rsidRPr="00D96C74">
              <w:rPr>
                <w:noProof/>
                <w:sz w:val="20"/>
              </w:rPr>
              <w:t>,</w:t>
            </w:r>
            <w:r w:rsidRPr="00D020C3">
              <w:rPr>
                <w:noProof/>
                <w:sz w:val="20"/>
              </w:rPr>
              <w:t>358</w:t>
            </w:r>
          </w:p>
        </w:tc>
        <w:tc>
          <w:tcPr>
            <w:tcW w:w="986" w:type="dxa"/>
            <w:vAlign w:val="center"/>
          </w:tcPr>
          <w:p w14:paraId="2E777B3E" w14:textId="6398C35C" w:rsidR="008B5470" w:rsidRPr="00D96C74" w:rsidRDefault="008B5470" w:rsidP="008B5470">
            <w:pPr>
              <w:jc w:val="center"/>
              <w:rPr>
                <w:rStyle w:val="normaltextrun"/>
                <w:noProof/>
                <w:sz w:val="20"/>
                <w:szCs w:val="20"/>
              </w:rPr>
            </w:pPr>
            <w:r w:rsidRPr="00D020C3">
              <w:rPr>
                <w:rStyle w:val="normaltextrun"/>
                <w:b/>
                <w:noProof/>
                <w:color w:val="000000"/>
                <w:sz w:val="20"/>
              </w:rPr>
              <w:t>1,603</w:t>
            </w:r>
          </w:p>
        </w:tc>
      </w:tr>
      <w:tr w:rsidR="008B5470" w:rsidRPr="00D96C74" w14:paraId="4B530CB7" w14:textId="77777777" w:rsidTr="00B137D3">
        <w:trPr>
          <w:trHeight w:val="213"/>
        </w:trPr>
        <w:tc>
          <w:tcPr>
            <w:tcW w:w="6054" w:type="dxa"/>
            <w:gridSpan w:val="2"/>
            <w:vAlign w:val="center"/>
          </w:tcPr>
          <w:p w14:paraId="2D486012" w14:textId="77777777" w:rsidR="008B5470" w:rsidRPr="00D96C74" w:rsidRDefault="008B5470" w:rsidP="008B5470">
            <w:pPr>
              <w:spacing w:before="20" w:after="20"/>
              <w:rPr>
                <w:noProof/>
                <w:sz w:val="21"/>
              </w:rPr>
            </w:pPr>
            <w:r w:rsidRPr="00D96C74">
              <w:rPr>
                <w:rFonts w:ascii="Wingdings" w:hAnsi="Wingdings"/>
                <w:noProof/>
                <w:sz w:val="21"/>
              </w:rPr>
              <w:t>□</w:t>
            </w:r>
            <w:r w:rsidRPr="00D96C74">
              <w:rPr>
                <w:noProof/>
                <w:sz w:val="21"/>
              </w:rPr>
              <w:t xml:space="preserve"> </w:t>
            </w:r>
            <w:r w:rsidRPr="00D96C74">
              <w:rPr>
                <w:rStyle w:val="normaltextrun"/>
                <w:noProof/>
                <w:color w:val="000000"/>
                <w:sz w:val="22"/>
                <w:bdr w:val="none" w:sz="0" w:space="0" w:color="auto" w:frame="1"/>
              </w:rPr>
              <w:t>Alte cheltuieli administrative</w:t>
            </w:r>
            <w:r w:rsidRPr="00D96C74">
              <w:rPr>
                <w:noProof/>
                <w:sz w:val="21"/>
              </w:rPr>
              <w:t xml:space="preserve"> </w:t>
            </w:r>
          </w:p>
        </w:tc>
        <w:tc>
          <w:tcPr>
            <w:tcW w:w="868" w:type="dxa"/>
            <w:vAlign w:val="center"/>
          </w:tcPr>
          <w:p w14:paraId="4C9A4CE8" w14:textId="77777777" w:rsidR="008B5470" w:rsidRPr="00D96C74" w:rsidRDefault="008B5470" w:rsidP="008B5470">
            <w:pPr>
              <w:jc w:val="center"/>
              <w:rPr>
                <w:noProof/>
                <w:sz w:val="20"/>
              </w:rPr>
            </w:pPr>
          </w:p>
        </w:tc>
        <w:tc>
          <w:tcPr>
            <w:tcW w:w="868" w:type="dxa"/>
            <w:vAlign w:val="center"/>
          </w:tcPr>
          <w:p w14:paraId="56854D3A" w14:textId="77777777" w:rsidR="008B5470" w:rsidRPr="00D96C74" w:rsidRDefault="008B5470" w:rsidP="008B5470">
            <w:pPr>
              <w:jc w:val="center"/>
              <w:rPr>
                <w:rStyle w:val="normaltextrun"/>
                <w:noProof/>
                <w:sz w:val="20"/>
                <w:szCs w:val="20"/>
              </w:rPr>
            </w:pPr>
          </w:p>
        </w:tc>
        <w:tc>
          <w:tcPr>
            <w:tcW w:w="868" w:type="dxa"/>
            <w:vAlign w:val="center"/>
          </w:tcPr>
          <w:p w14:paraId="52F087F4" w14:textId="77777777" w:rsidR="008B5470" w:rsidRPr="00D96C74" w:rsidRDefault="008B5470" w:rsidP="008B5470">
            <w:pPr>
              <w:jc w:val="center"/>
              <w:rPr>
                <w:rStyle w:val="normaltextrun"/>
                <w:noProof/>
                <w:sz w:val="20"/>
                <w:szCs w:val="20"/>
              </w:rPr>
            </w:pPr>
          </w:p>
        </w:tc>
        <w:tc>
          <w:tcPr>
            <w:tcW w:w="868" w:type="dxa"/>
            <w:vAlign w:val="center"/>
          </w:tcPr>
          <w:p w14:paraId="709C8C55" w14:textId="77777777" w:rsidR="008B5470" w:rsidRPr="00D96C74" w:rsidRDefault="008B5470" w:rsidP="008B5470">
            <w:pPr>
              <w:jc w:val="center"/>
              <w:rPr>
                <w:rStyle w:val="normaltextrun"/>
                <w:noProof/>
                <w:sz w:val="20"/>
                <w:szCs w:val="20"/>
              </w:rPr>
            </w:pPr>
          </w:p>
        </w:tc>
        <w:tc>
          <w:tcPr>
            <w:tcW w:w="888" w:type="dxa"/>
            <w:vAlign w:val="center"/>
          </w:tcPr>
          <w:p w14:paraId="40C079E9" w14:textId="77777777" w:rsidR="008B5470" w:rsidRPr="00D96C74" w:rsidRDefault="008B5470" w:rsidP="008B5470">
            <w:pPr>
              <w:jc w:val="center"/>
              <w:rPr>
                <w:rStyle w:val="normaltextrun"/>
                <w:noProof/>
                <w:sz w:val="20"/>
                <w:szCs w:val="20"/>
              </w:rPr>
            </w:pPr>
          </w:p>
        </w:tc>
        <w:tc>
          <w:tcPr>
            <w:tcW w:w="986" w:type="dxa"/>
            <w:vAlign w:val="center"/>
          </w:tcPr>
          <w:p w14:paraId="3311C22D" w14:textId="77777777" w:rsidR="008B5470" w:rsidRPr="00D020C3" w:rsidRDefault="008B5470" w:rsidP="008B5470">
            <w:pPr>
              <w:jc w:val="center"/>
              <w:rPr>
                <w:rStyle w:val="normaltextrun"/>
                <w:b/>
                <w:bCs/>
                <w:noProof/>
                <w:color w:val="000000"/>
                <w:sz w:val="20"/>
                <w:szCs w:val="20"/>
              </w:rPr>
            </w:pPr>
          </w:p>
        </w:tc>
      </w:tr>
      <w:tr w:rsidR="008B5470" w:rsidRPr="00D96C74" w14:paraId="526ADFEA" w14:textId="77777777" w:rsidTr="00B137D3">
        <w:tc>
          <w:tcPr>
            <w:tcW w:w="3960" w:type="dxa"/>
            <w:vAlign w:val="center"/>
          </w:tcPr>
          <w:p w14:paraId="4C1BB68D" w14:textId="77777777" w:rsidR="008B5470" w:rsidRPr="00D020C3" w:rsidRDefault="008B5470" w:rsidP="008B5470">
            <w:pPr>
              <w:jc w:val="center"/>
              <w:rPr>
                <w:b/>
                <w:noProof/>
              </w:rPr>
            </w:pPr>
            <w:r w:rsidRPr="00D020C3">
              <w:rPr>
                <w:b/>
                <w:noProof/>
                <w:sz w:val="22"/>
              </w:rPr>
              <w:t xml:space="preserve">TOTAL </w:t>
            </w:r>
            <w:r w:rsidRPr="00D96C74">
              <w:rPr>
                <w:noProof/>
                <w:sz w:val="22"/>
              </w:rPr>
              <w:t>DG Mediu</w:t>
            </w:r>
          </w:p>
        </w:tc>
        <w:tc>
          <w:tcPr>
            <w:tcW w:w="2094" w:type="dxa"/>
            <w:vAlign w:val="center"/>
          </w:tcPr>
          <w:p w14:paraId="5E37128B" w14:textId="3969A74D" w:rsidR="008B5470" w:rsidRPr="00D96C74" w:rsidRDefault="008B5470" w:rsidP="008B5470">
            <w:pPr>
              <w:jc w:val="center"/>
              <w:rPr>
                <w:noProof/>
                <w:sz w:val="14"/>
              </w:rPr>
            </w:pPr>
            <w:r w:rsidRPr="00D96C74">
              <w:rPr>
                <w:noProof/>
                <w:sz w:val="18"/>
              </w:rPr>
              <w:t>Credite</w:t>
            </w:r>
          </w:p>
        </w:tc>
        <w:tc>
          <w:tcPr>
            <w:tcW w:w="868" w:type="dxa"/>
            <w:vAlign w:val="center"/>
          </w:tcPr>
          <w:p w14:paraId="01CF37BD" w14:textId="768B7DEE" w:rsidR="008B5470" w:rsidRPr="00D96C74" w:rsidRDefault="008B5470" w:rsidP="008B5470">
            <w:pPr>
              <w:spacing w:before="20" w:after="20"/>
              <w:jc w:val="center"/>
              <w:rPr>
                <w:noProof/>
                <w:sz w:val="20"/>
              </w:rPr>
            </w:pPr>
            <w:r w:rsidRPr="00D020C3">
              <w:rPr>
                <w:noProof/>
                <w:sz w:val="20"/>
              </w:rPr>
              <w:t>0</w:t>
            </w:r>
            <w:r w:rsidRPr="00D96C74">
              <w:rPr>
                <w:noProof/>
                <w:sz w:val="20"/>
              </w:rPr>
              <w:t>,</w:t>
            </w:r>
            <w:r w:rsidRPr="00D020C3">
              <w:rPr>
                <w:noProof/>
                <w:sz w:val="20"/>
              </w:rPr>
              <w:t>171</w:t>
            </w:r>
          </w:p>
        </w:tc>
        <w:tc>
          <w:tcPr>
            <w:tcW w:w="868" w:type="dxa"/>
            <w:vAlign w:val="center"/>
          </w:tcPr>
          <w:p w14:paraId="059A0DF4" w14:textId="606B07AC" w:rsidR="008B5470" w:rsidRPr="00D96C74" w:rsidRDefault="008B5470" w:rsidP="008B5470">
            <w:pPr>
              <w:spacing w:before="20" w:after="20"/>
              <w:jc w:val="center"/>
              <w:rPr>
                <w:noProof/>
                <w:sz w:val="20"/>
              </w:rPr>
            </w:pPr>
            <w:r w:rsidRPr="00D020C3">
              <w:rPr>
                <w:rStyle w:val="normaltextrun"/>
                <w:noProof/>
                <w:color w:val="000000"/>
                <w:sz w:val="20"/>
              </w:rPr>
              <w:t>0</w:t>
            </w:r>
            <w:r w:rsidRPr="00D96C74">
              <w:rPr>
                <w:rStyle w:val="normaltextrun"/>
                <w:noProof/>
                <w:color w:val="000000"/>
                <w:sz w:val="20"/>
              </w:rPr>
              <w:t>,</w:t>
            </w:r>
            <w:r w:rsidRPr="00D020C3">
              <w:rPr>
                <w:rStyle w:val="normaltextrun"/>
                <w:noProof/>
                <w:color w:val="000000"/>
                <w:sz w:val="20"/>
              </w:rPr>
              <w:t>358</w:t>
            </w:r>
          </w:p>
        </w:tc>
        <w:tc>
          <w:tcPr>
            <w:tcW w:w="868" w:type="dxa"/>
            <w:vAlign w:val="center"/>
          </w:tcPr>
          <w:p w14:paraId="0215F747" w14:textId="05124733" w:rsidR="008B5470" w:rsidRPr="00D96C74" w:rsidRDefault="008B5470" w:rsidP="008B5470">
            <w:pPr>
              <w:spacing w:before="20" w:after="20"/>
              <w:jc w:val="center"/>
              <w:rPr>
                <w:noProof/>
                <w:sz w:val="20"/>
              </w:rPr>
            </w:pPr>
            <w:r w:rsidRPr="00D020C3">
              <w:rPr>
                <w:rStyle w:val="normaltextrun"/>
                <w:noProof/>
                <w:color w:val="000000"/>
                <w:sz w:val="20"/>
              </w:rPr>
              <w:t>0</w:t>
            </w:r>
            <w:r w:rsidRPr="00D96C74">
              <w:rPr>
                <w:rStyle w:val="normaltextrun"/>
                <w:noProof/>
                <w:color w:val="000000"/>
                <w:sz w:val="20"/>
              </w:rPr>
              <w:t>,</w:t>
            </w:r>
            <w:r w:rsidRPr="00D020C3">
              <w:rPr>
                <w:rStyle w:val="normaltextrun"/>
                <w:noProof/>
                <w:color w:val="000000"/>
                <w:sz w:val="20"/>
              </w:rPr>
              <w:t>358</w:t>
            </w:r>
          </w:p>
        </w:tc>
        <w:tc>
          <w:tcPr>
            <w:tcW w:w="868" w:type="dxa"/>
            <w:vAlign w:val="center"/>
          </w:tcPr>
          <w:p w14:paraId="1FBC1AA7" w14:textId="294230B7" w:rsidR="008B5470" w:rsidRPr="00D96C74" w:rsidRDefault="008B5470" w:rsidP="008B5470">
            <w:pPr>
              <w:spacing w:before="20" w:after="20"/>
              <w:jc w:val="center"/>
              <w:rPr>
                <w:noProof/>
                <w:sz w:val="20"/>
              </w:rPr>
            </w:pPr>
            <w:r w:rsidRPr="00D020C3">
              <w:rPr>
                <w:noProof/>
                <w:sz w:val="20"/>
              </w:rPr>
              <w:t>0</w:t>
            </w:r>
            <w:r w:rsidRPr="00D96C74">
              <w:rPr>
                <w:noProof/>
                <w:sz w:val="20"/>
              </w:rPr>
              <w:t>,</w:t>
            </w:r>
            <w:r w:rsidRPr="00D020C3">
              <w:rPr>
                <w:noProof/>
                <w:sz w:val="20"/>
              </w:rPr>
              <w:t>358</w:t>
            </w:r>
          </w:p>
        </w:tc>
        <w:tc>
          <w:tcPr>
            <w:tcW w:w="888" w:type="dxa"/>
            <w:vAlign w:val="center"/>
          </w:tcPr>
          <w:p w14:paraId="0E574847" w14:textId="6B53B75E" w:rsidR="008B5470" w:rsidRPr="00D96C74" w:rsidRDefault="008B5470" w:rsidP="008B5470">
            <w:pPr>
              <w:spacing w:before="20" w:after="20"/>
              <w:jc w:val="center"/>
              <w:rPr>
                <w:noProof/>
                <w:sz w:val="20"/>
              </w:rPr>
            </w:pPr>
            <w:r w:rsidRPr="00D020C3">
              <w:rPr>
                <w:noProof/>
                <w:sz w:val="20"/>
              </w:rPr>
              <w:t>0</w:t>
            </w:r>
            <w:r w:rsidRPr="00D96C74">
              <w:rPr>
                <w:noProof/>
                <w:sz w:val="20"/>
              </w:rPr>
              <w:t>,</w:t>
            </w:r>
            <w:r w:rsidRPr="00D020C3">
              <w:rPr>
                <w:noProof/>
                <w:sz w:val="20"/>
              </w:rPr>
              <w:t>358</w:t>
            </w:r>
          </w:p>
        </w:tc>
        <w:tc>
          <w:tcPr>
            <w:tcW w:w="986" w:type="dxa"/>
            <w:vAlign w:val="center"/>
          </w:tcPr>
          <w:p w14:paraId="457C7394" w14:textId="05AE77A7" w:rsidR="008B5470" w:rsidRPr="00D96C74" w:rsidRDefault="008B5470" w:rsidP="008B5470">
            <w:pPr>
              <w:spacing w:before="20" w:after="20"/>
              <w:jc w:val="center"/>
              <w:rPr>
                <w:noProof/>
                <w:sz w:val="20"/>
              </w:rPr>
            </w:pPr>
            <w:r w:rsidRPr="00D020C3">
              <w:rPr>
                <w:rStyle w:val="normaltextrun"/>
                <w:b/>
                <w:noProof/>
                <w:color w:val="000000"/>
                <w:sz w:val="20"/>
              </w:rPr>
              <w:t>1,603</w:t>
            </w:r>
          </w:p>
        </w:tc>
      </w:tr>
    </w:tbl>
    <w:p w14:paraId="691CE41B" w14:textId="77777777" w:rsidR="00235A4F" w:rsidRPr="00D96C74" w:rsidRDefault="00235A4F" w:rsidP="00235A4F">
      <w:pPr>
        <w:rPr>
          <w:rStyle w:val="normaltextrun"/>
          <w:noProof/>
          <w:color w:val="000000"/>
          <w:shd w:val="clear" w:color="auto" w:fill="FFFFFF"/>
        </w:rPr>
      </w:pPr>
      <w:r w:rsidRPr="00D96C74">
        <w:rPr>
          <w:rStyle w:val="normaltextrun"/>
          <w:noProof/>
          <w:color w:val="000000"/>
          <w:shd w:val="clear" w:color="auto" w:fill="FFFFFF"/>
        </w:rPr>
        <w:t>Costurile DG ENV decurg din procesul de codecizie și din punerea în aplicare, precum și din diferitele acte de punere în aplicare propuse în conformitate cu modificările propuse.  </w:t>
      </w:r>
    </w:p>
    <w:p w14:paraId="1467C052" w14:textId="77777777" w:rsidR="005F41FD" w:rsidRPr="00D96C74" w:rsidRDefault="005F41FD" w:rsidP="005F41FD">
      <w:pPr>
        <w:rPr>
          <w:rStyle w:val="normaltextrun"/>
          <w:noProof/>
          <w:color w:val="000000"/>
          <w:shd w:val="clear" w:color="auto" w:fill="FFFFFF"/>
        </w:rPr>
      </w:pPr>
      <w:r w:rsidRPr="00D96C74">
        <w:rPr>
          <w:rStyle w:val="normaltextrun"/>
          <w:noProof/>
          <w:color w:val="000000"/>
          <w:shd w:val="clear" w:color="auto" w:fill="FFFFFF"/>
        </w:rPr>
        <w:t>Personalul existent (</w:t>
      </w:r>
      <w:r w:rsidRPr="00D020C3">
        <w:rPr>
          <w:rStyle w:val="normaltextrun"/>
          <w:noProof/>
          <w:color w:val="000000"/>
          <w:shd w:val="clear" w:color="auto" w:fill="FFFFFF"/>
        </w:rPr>
        <w:t>0</w:t>
      </w:r>
      <w:r w:rsidRPr="00D96C74">
        <w:rPr>
          <w:rStyle w:val="normaltextrun"/>
          <w:noProof/>
          <w:color w:val="000000"/>
          <w:shd w:val="clear" w:color="auto" w:fill="FFFFFF"/>
        </w:rPr>
        <w:t>,</w:t>
      </w:r>
      <w:r w:rsidRPr="00D020C3">
        <w:rPr>
          <w:rStyle w:val="normaltextrun"/>
          <w:noProof/>
          <w:color w:val="000000"/>
          <w:shd w:val="clear" w:color="auto" w:fill="FFFFFF"/>
        </w:rPr>
        <w:t>75</w:t>
      </w:r>
      <w:r w:rsidRPr="00D96C74">
        <w:rPr>
          <w:rStyle w:val="normaltextrun"/>
          <w:noProof/>
          <w:color w:val="000000"/>
          <w:shd w:val="clear" w:color="auto" w:fill="FFFFFF"/>
        </w:rPr>
        <w:t xml:space="preserve"> ENI, AD) va fi angajat integral pentru negocierea și punerea în aplicare generală a directivei modificate, precum și pentru diferitele lucrări pregătitoare și de redactare a actelor de punere în aplicare în conformitate cu termenele propuse în modificare. Aceste lucrări vor necesita </w:t>
      </w:r>
      <w:r w:rsidRPr="00D020C3">
        <w:rPr>
          <w:rStyle w:val="normaltextrun"/>
          <w:noProof/>
          <w:color w:val="000000"/>
          <w:shd w:val="clear" w:color="auto" w:fill="FFFFFF"/>
        </w:rPr>
        <w:t>0</w:t>
      </w:r>
      <w:r w:rsidRPr="00D96C74">
        <w:rPr>
          <w:rStyle w:val="normaltextrun"/>
          <w:noProof/>
          <w:color w:val="000000"/>
          <w:shd w:val="clear" w:color="auto" w:fill="FFFFFF"/>
        </w:rPr>
        <w:t>,</w:t>
      </w:r>
      <w:r w:rsidRPr="00D020C3">
        <w:rPr>
          <w:rStyle w:val="normaltextrun"/>
          <w:noProof/>
          <w:color w:val="000000"/>
          <w:shd w:val="clear" w:color="auto" w:fill="FFFFFF"/>
        </w:rPr>
        <w:t>33</w:t>
      </w:r>
      <w:r w:rsidRPr="00D96C74">
        <w:rPr>
          <w:rStyle w:val="normaltextrun"/>
          <w:noProof/>
          <w:color w:val="000000"/>
          <w:shd w:val="clear" w:color="auto" w:fill="FFFFFF"/>
        </w:rPr>
        <w:t xml:space="preserve"> ENI (AD). </w:t>
      </w:r>
    </w:p>
    <w:p w14:paraId="6B49BB77" w14:textId="21023E0B" w:rsidR="00235A4F" w:rsidRPr="00D96C74" w:rsidRDefault="00C85F36" w:rsidP="00235A4F">
      <w:pPr>
        <w:rPr>
          <w:rStyle w:val="normaltextrun"/>
          <w:noProof/>
          <w:color w:val="000000"/>
          <w:shd w:val="clear" w:color="auto" w:fill="FFFFFF"/>
        </w:rPr>
      </w:pPr>
      <w:r w:rsidRPr="00D96C74">
        <w:rPr>
          <w:rStyle w:val="normaltextrun"/>
          <w:noProof/>
          <w:color w:val="000000"/>
          <w:shd w:val="clear" w:color="auto" w:fill="FFFFFF"/>
        </w:rPr>
        <w:t xml:space="preserve">Sunt necesari </w:t>
      </w:r>
      <w:r w:rsidRPr="00D020C3">
        <w:rPr>
          <w:rStyle w:val="normaltextrun"/>
          <w:noProof/>
          <w:color w:val="000000"/>
          <w:shd w:val="clear" w:color="auto" w:fill="FFFFFF"/>
        </w:rPr>
        <w:t>3</w:t>
      </w:r>
      <w:r w:rsidRPr="00D96C74">
        <w:rPr>
          <w:rStyle w:val="normaltextrun"/>
          <w:noProof/>
          <w:color w:val="000000"/>
          <w:shd w:val="clear" w:color="auto" w:fill="FFFFFF"/>
        </w:rPr>
        <w:t xml:space="preserve"> agenți contractuali suplimentari (</w:t>
      </w:r>
      <w:r w:rsidRPr="00D020C3">
        <w:rPr>
          <w:rStyle w:val="normaltextrun"/>
          <w:noProof/>
          <w:color w:val="000000"/>
          <w:shd w:val="clear" w:color="auto" w:fill="FFFFFF"/>
        </w:rPr>
        <w:t>3</w:t>
      </w:r>
      <w:r w:rsidRPr="00D96C74">
        <w:rPr>
          <w:rStyle w:val="normaltextrun"/>
          <w:noProof/>
          <w:color w:val="000000"/>
          <w:shd w:val="clear" w:color="auto" w:fill="FFFFFF"/>
        </w:rPr>
        <w:t xml:space="preserve"> AC) pentru a efectua lucrările de natură tehnică, care cuprind: </w:t>
      </w:r>
    </w:p>
    <w:p w14:paraId="06A9AE7C" w14:textId="77777777" w:rsidR="003056CA" w:rsidRPr="00D96C74" w:rsidRDefault="003056CA" w:rsidP="003056CA">
      <w:pPr>
        <w:rPr>
          <w:noProof/>
          <w:color w:val="000000"/>
          <w:shd w:val="clear" w:color="auto" w:fill="FFFFFF"/>
        </w:rPr>
      </w:pPr>
      <w:r w:rsidRPr="00D96C74">
        <w:rPr>
          <w:noProof/>
          <w:color w:val="000000" w:themeColor="text1"/>
        </w:rPr>
        <w:t>- Acte de punere în aplicare de stabilire a formatului armonizat pentru înregistrarea în registru </w:t>
      </w:r>
    </w:p>
    <w:p w14:paraId="36976E0A" w14:textId="77777777" w:rsidR="00235A4F" w:rsidRPr="00D96C74" w:rsidRDefault="00235A4F" w:rsidP="00235A4F">
      <w:pPr>
        <w:rPr>
          <w:rStyle w:val="normaltextrun"/>
          <w:noProof/>
          <w:color w:val="000000"/>
          <w:shd w:val="clear" w:color="auto" w:fill="FFFFFF"/>
        </w:rPr>
      </w:pPr>
      <w:r w:rsidRPr="00D96C74">
        <w:rPr>
          <w:rStyle w:val="normaltextrun"/>
          <w:noProof/>
          <w:color w:val="000000"/>
          <w:shd w:val="clear" w:color="auto" w:fill="FFFFFF"/>
        </w:rPr>
        <w:t xml:space="preserve">- Posibile acte delegate de modificare a codurilor din Nomenclatura combinată enumerate în anexa IVc pentru a le alinia la codurile enumerate în anexa </w:t>
      </w:r>
      <w:r w:rsidRPr="00D020C3">
        <w:rPr>
          <w:rStyle w:val="normaltextrun"/>
          <w:noProof/>
          <w:color w:val="000000"/>
          <w:shd w:val="clear" w:color="auto" w:fill="FFFFFF"/>
        </w:rPr>
        <w:t>1</w:t>
      </w:r>
      <w:r w:rsidRPr="00D96C74">
        <w:rPr>
          <w:rStyle w:val="normaltextrun"/>
          <w:noProof/>
          <w:color w:val="000000"/>
          <w:shd w:val="clear" w:color="auto" w:fill="FFFFFF"/>
        </w:rPr>
        <w:t xml:space="preserve"> la Regulamentul (CEE) nr. </w:t>
      </w:r>
      <w:r w:rsidRPr="00D020C3">
        <w:rPr>
          <w:rStyle w:val="normaltextrun"/>
          <w:noProof/>
          <w:color w:val="000000"/>
          <w:shd w:val="clear" w:color="auto" w:fill="FFFFFF"/>
        </w:rPr>
        <w:t>2658</w:t>
      </w:r>
      <w:r w:rsidRPr="00D96C74">
        <w:rPr>
          <w:rStyle w:val="normaltextrun"/>
          <w:noProof/>
          <w:color w:val="000000"/>
          <w:shd w:val="clear" w:color="auto" w:fill="FFFFFF"/>
        </w:rPr>
        <w:t>/</w:t>
      </w:r>
      <w:r w:rsidRPr="00D020C3">
        <w:rPr>
          <w:rStyle w:val="normaltextrun"/>
          <w:noProof/>
          <w:color w:val="000000"/>
          <w:shd w:val="clear" w:color="auto" w:fill="FFFFFF"/>
        </w:rPr>
        <w:t>87</w:t>
      </w:r>
      <w:r w:rsidRPr="00D96C74">
        <w:rPr>
          <w:rStyle w:val="normaltextrun"/>
          <w:noProof/>
          <w:color w:val="000000"/>
          <w:shd w:val="clear" w:color="auto" w:fill="FFFFFF"/>
        </w:rPr>
        <w:t xml:space="preserve"> al Consiliului și pentru a asigura securitatea juridică în ceea ce privește produsele care fac obiectul răspunderii extinse a producătorilor </w:t>
      </w:r>
    </w:p>
    <w:p w14:paraId="6A6548CD" w14:textId="77777777" w:rsidR="00235A4F" w:rsidRPr="00D96C74" w:rsidRDefault="00235A4F" w:rsidP="00235A4F">
      <w:pPr>
        <w:rPr>
          <w:rStyle w:val="normaltextrun"/>
          <w:noProof/>
          <w:color w:val="000000"/>
          <w:shd w:val="clear" w:color="auto" w:fill="FFFFFF"/>
        </w:rPr>
      </w:pPr>
      <w:r w:rsidRPr="00D96C74">
        <w:rPr>
          <w:rStyle w:val="normaltextrun"/>
          <w:noProof/>
          <w:color w:val="000000"/>
          <w:shd w:val="clear" w:color="auto" w:fill="FFFFFF"/>
        </w:rPr>
        <w:t>- Posibil act de punere în aplicare de stabilire a criteriilor aplicabile organizațiilor care implementează răspunderea extinsă a producătorului în ceea ce privește contribuțiile financiare care le sunt plătite de producători </w:t>
      </w:r>
    </w:p>
    <w:p w14:paraId="4AA6D223" w14:textId="77777777" w:rsidR="00235A4F" w:rsidRPr="00D96C74" w:rsidRDefault="00235A4F" w:rsidP="00235A4F">
      <w:pPr>
        <w:rPr>
          <w:rStyle w:val="normaltextrun"/>
          <w:noProof/>
          <w:color w:val="000000"/>
          <w:shd w:val="clear" w:color="auto" w:fill="FFFFFF"/>
        </w:rPr>
      </w:pPr>
      <w:r w:rsidRPr="00D96C74">
        <w:rPr>
          <w:rStyle w:val="normaltextrun"/>
          <w:noProof/>
          <w:color w:val="000000"/>
          <w:shd w:val="clear" w:color="auto" w:fill="FFFFFF"/>
        </w:rPr>
        <w:t>- Act de punere în aplicare de stabilire a metodologiei de calculare și verificare a ratei de colectare separată </w:t>
      </w:r>
    </w:p>
    <w:p w14:paraId="17716EEC" w14:textId="77777777" w:rsidR="00BD152F" w:rsidRPr="00D96C74" w:rsidRDefault="00235A4F" w:rsidP="00B00391">
      <w:pPr>
        <w:rPr>
          <w:rStyle w:val="normaltextrun"/>
          <w:noProof/>
        </w:rPr>
      </w:pPr>
      <w:r w:rsidRPr="00D96C74">
        <w:rPr>
          <w:rStyle w:val="normaltextrun"/>
          <w:noProof/>
          <w:color w:val="000000"/>
          <w:shd w:val="clear" w:color="auto" w:fill="FFFFFF"/>
        </w:rPr>
        <w:t>- Acte de punere în aplicare adoptate în temeiul alineatului (</w:t>
      </w:r>
      <w:r w:rsidRPr="00D020C3">
        <w:rPr>
          <w:rStyle w:val="normaltextrun"/>
          <w:noProof/>
          <w:color w:val="000000"/>
          <w:shd w:val="clear" w:color="auto" w:fill="FFFFFF"/>
        </w:rPr>
        <w:t>37</w:t>
      </w:r>
      <w:r w:rsidRPr="00D96C74">
        <w:rPr>
          <w:rStyle w:val="normaltextrun"/>
          <w:noProof/>
          <w:color w:val="000000"/>
          <w:shd w:val="clear" w:color="auto" w:fill="FFFFFF"/>
        </w:rPr>
        <w:t>) al prezentului articol de stabilire a formatului pentru raportarea datelor menționate la alineatul (</w:t>
      </w:r>
      <w:r w:rsidRPr="00D020C3">
        <w:rPr>
          <w:rStyle w:val="normaltextrun"/>
          <w:noProof/>
          <w:color w:val="000000"/>
          <w:shd w:val="clear" w:color="auto" w:fill="FFFFFF"/>
        </w:rPr>
        <w:t>1</w:t>
      </w:r>
      <w:r w:rsidRPr="00D96C74">
        <w:rPr>
          <w:rStyle w:val="normaltextrun"/>
          <w:noProof/>
          <w:color w:val="000000"/>
          <w:shd w:val="clear" w:color="auto" w:fill="FFFFFF"/>
        </w:rPr>
        <w:t>) în vederea adaptării acestora la cerințele prevăzute la alineatul (</w:t>
      </w:r>
      <w:r w:rsidRPr="00D020C3">
        <w:rPr>
          <w:rStyle w:val="normaltextrun"/>
          <w:noProof/>
          <w:color w:val="000000"/>
          <w:shd w:val="clear" w:color="auto" w:fill="FFFFFF"/>
        </w:rPr>
        <w:t>3</w:t>
      </w:r>
      <w:r w:rsidRPr="00D96C74">
        <w:rPr>
          <w:rStyle w:val="normaltextrun"/>
          <w:noProof/>
          <w:color w:val="000000"/>
          <w:shd w:val="clear" w:color="auto" w:fill="FFFFFF"/>
        </w:rPr>
        <w:t>) al articolului respectiv.</w:t>
      </w:r>
      <w:r w:rsidRPr="00D96C74">
        <w:rPr>
          <w:rStyle w:val="normaltextrun"/>
          <w:noProof/>
        </w:rPr>
        <w:t xml:space="preserve"> </w:t>
      </w:r>
    </w:p>
    <w:p w14:paraId="75B8FFB7" w14:textId="77777777" w:rsidR="005F41FD" w:rsidRPr="00D96C74" w:rsidRDefault="00682C4D" w:rsidP="005F41FD">
      <w:pPr>
        <w:rPr>
          <w:rStyle w:val="normaltextrun"/>
          <w:noProof/>
        </w:rPr>
      </w:pPr>
      <w:r w:rsidRPr="00D96C74">
        <w:rPr>
          <w:noProof/>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88"/>
        <w:gridCol w:w="986"/>
      </w:tblGrid>
      <w:tr w:rsidR="002A1674" w:rsidRPr="00D96C74" w14:paraId="57D46459" w14:textId="77777777" w:rsidTr="00A10DCB">
        <w:tc>
          <w:tcPr>
            <w:tcW w:w="3960" w:type="dxa"/>
            <w:vAlign w:val="center"/>
          </w:tcPr>
          <w:p w14:paraId="55370138" w14:textId="77777777" w:rsidR="005F41FD" w:rsidRPr="00D96C74" w:rsidRDefault="005F41FD" w:rsidP="00B00391">
            <w:pPr>
              <w:jc w:val="center"/>
              <w:rPr>
                <w:noProof/>
              </w:rPr>
            </w:pPr>
            <w:r w:rsidRPr="00D96C74">
              <w:rPr>
                <w:noProof/>
                <w:sz w:val="22"/>
              </w:rPr>
              <w:t>DG SANTE</w:t>
            </w:r>
          </w:p>
        </w:tc>
        <w:tc>
          <w:tcPr>
            <w:tcW w:w="2094" w:type="dxa"/>
          </w:tcPr>
          <w:p w14:paraId="3A36B75B" w14:textId="77777777" w:rsidR="005F41FD" w:rsidRPr="00D96C74" w:rsidRDefault="005F41FD" w:rsidP="00B00391">
            <w:pPr>
              <w:jc w:val="center"/>
              <w:rPr>
                <w:noProof/>
                <w:sz w:val="20"/>
              </w:rPr>
            </w:pPr>
          </w:p>
        </w:tc>
        <w:tc>
          <w:tcPr>
            <w:tcW w:w="868" w:type="dxa"/>
            <w:vAlign w:val="center"/>
          </w:tcPr>
          <w:p w14:paraId="6024FB1E" w14:textId="77777777" w:rsidR="005F41FD" w:rsidRPr="00D96C74" w:rsidRDefault="005F41FD" w:rsidP="00B00391">
            <w:pPr>
              <w:jc w:val="center"/>
              <w:rPr>
                <w:noProof/>
                <w:sz w:val="20"/>
              </w:rPr>
            </w:pPr>
            <w:r w:rsidRPr="00D020C3">
              <w:rPr>
                <w:noProof/>
                <w:sz w:val="20"/>
              </w:rPr>
              <w:t>2023</w:t>
            </w:r>
          </w:p>
        </w:tc>
        <w:tc>
          <w:tcPr>
            <w:tcW w:w="868" w:type="dxa"/>
            <w:vAlign w:val="center"/>
          </w:tcPr>
          <w:p w14:paraId="05C29EAB" w14:textId="77777777" w:rsidR="005F41FD" w:rsidRPr="00D96C74" w:rsidRDefault="005F41FD" w:rsidP="00B00391">
            <w:pPr>
              <w:jc w:val="center"/>
              <w:rPr>
                <w:noProof/>
                <w:sz w:val="20"/>
              </w:rPr>
            </w:pPr>
            <w:r w:rsidRPr="00D020C3">
              <w:rPr>
                <w:noProof/>
                <w:sz w:val="20"/>
              </w:rPr>
              <w:t>2024</w:t>
            </w:r>
          </w:p>
        </w:tc>
        <w:tc>
          <w:tcPr>
            <w:tcW w:w="868" w:type="dxa"/>
            <w:vAlign w:val="center"/>
          </w:tcPr>
          <w:p w14:paraId="164DC7C3" w14:textId="77777777" w:rsidR="005F41FD" w:rsidRPr="00D96C74" w:rsidRDefault="005F41FD" w:rsidP="00B00391">
            <w:pPr>
              <w:jc w:val="center"/>
              <w:rPr>
                <w:noProof/>
                <w:sz w:val="20"/>
              </w:rPr>
            </w:pPr>
            <w:r w:rsidRPr="00D020C3">
              <w:rPr>
                <w:noProof/>
                <w:sz w:val="20"/>
              </w:rPr>
              <w:t>2025</w:t>
            </w:r>
          </w:p>
        </w:tc>
        <w:tc>
          <w:tcPr>
            <w:tcW w:w="868" w:type="dxa"/>
            <w:vAlign w:val="center"/>
          </w:tcPr>
          <w:p w14:paraId="40F53BD0" w14:textId="77777777" w:rsidR="005F41FD" w:rsidRPr="00D96C74" w:rsidRDefault="005F41FD" w:rsidP="00B00391">
            <w:pPr>
              <w:jc w:val="center"/>
              <w:rPr>
                <w:noProof/>
                <w:sz w:val="20"/>
              </w:rPr>
            </w:pPr>
            <w:r w:rsidRPr="00D020C3">
              <w:rPr>
                <w:noProof/>
                <w:sz w:val="20"/>
              </w:rPr>
              <w:t>2026</w:t>
            </w:r>
          </w:p>
        </w:tc>
        <w:tc>
          <w:tcPr>
            <w:tcW w:w="888" w:type="dxa"/>
          </w:tcPr>
          <w:p w14:paraId="1B046857" w14:textId="0971B60E" w:rsidR="005F41FD" w:rsidRPr="00D96C74" w:rsidRDefault="005F41FD" w:rsidP="00B00391">
            <w:pPr>
              <w:jc w:val="center"/>
              <w:rPr>
                <w:noProof/>
                <w:sz w:val="18"/>
              </w:rPr>
            </w:pPr>
            <w:r w:rsidRPr="00D020C3">
              <w:rPr>
                <w:noProof/>
                <w:sz w:val="18"/>
              </w:rPr>
              <w:t>2027</w:t>
            </w:r>
          </w:p>
        </w:tc>
        <w:tc>
          <w:tcPr>
            <w:tcW w:w="986" w:type="dxa"/>
          </w:tcPr>
          <w:p w14:paraId="132399EA" w14:textId="77777777" w:rsidR="005F41FD" w:rsidRPr="00D96C74" w:rsidRDefault="005F41FD" w:rsidP="00B00391">
            <w:pPr>
              <w:jc w:val="center"/>
              <w:rPr>
                <w:noProof/>
                <w:sz w:val="18"/>
              </w:rPr>
            </w:pPr>
            <w:r w:rsidRPr="00D020C3">
              <w:rPr>
                <w:b/>
                <w:noProof/>
                <w:sz w:val="20"/>
              </w:rPr>
              <w:t>TOTAL</w:t>
            </w:r>
          </w:p>
        </w:tc>
      </w:tr>
      <w:tr w:rsidR="002A1674" w:rsidRPr="00D96C74" w14:paraId="42D793D6" w14:textId="77777777" w:rsidTr="00A10DCB">
        <w:trPr>
          <w:trHeight w:val="213"/>
        </w:trPr>
        <w:tc>
          <w:tcPr>
            <w:tcW w:w="6054" w:type="dxa"/>
            <w:gridSpan w:val="2"/>
            <w:vAlign w:val="center"/>
          </w:tcPr>
          <w:p w14:paraId="0A1A88F8" w14:textId="77777777" w:rsidR="005F41FD" w:rsidRPr="00D96C74" w:rsidRDefault="005F41FD" w:rsidP="00B00391">
            <w:pPr>
              <w:spacing w:before="20" w:after="20"/>
              <w:rPr>
                <w:noProof/>
                <w:sz w:val="21"/>
              </w:rPr>
            </w:pPr>
            <w:r w:rsidRPr="00D96C74">
              <w:rPr>
                <w:rFonts w:ascii="Wingdings" w:hAnsi="Wingdings"/>
                <w:noProof/>
                <w:sz w:val="21"/>
              </w:rPr>
              <w:t>□</w:t>
            </w:r>
            <w:r w:rsidRPr="00D96C74">
              <w:rPr>
                <w:noProof/>
                <w:sz w:val="21"/>
              </w:rPr>
              <w:t> Resurse umane</w:t>
            </w:r>
          </w:p>
        </w:tc>
        <w:tc>
          <w:tcPr>
            <w:tcW w:w="868" w:type="dxa"/>
            <w:vAlign w:val="center"/>
          </w:tcPr>
          <w:p w14:paraId="37055561" w14:textId="77777777" w:rsidR="005F41FD" w:rsidRPr="00D96C74" w:rsidRDefault="005F41FD" w:rsidP="00B00391">
            <w:pPr>
              <w:rPr>
                <w:noProof/>
                <w:sz w:val="20"/>
              </w:rPr>
            </w:pPr>
            <w:r w:rsidRPr="00D020C3">
              <w:rPr>
                <w:noProof/>
                <w:sz w:val="20"/>
              </w:rPr>
              <w:t>0</w:t>
            </w:r>
            <w:r w:rsidRPr="00D96C74">
              <w:rPr>
                <w:noProof/>
                <w:sz w:val="20"/>
              </w:rPr>
              <w:t>,</w:t>
            </w:r>
            <w:r w:rsidRPr="00D020C3">
              <w:rPr>
                <w:noProof/>
                <w:sz w:val="20"/>
              </w:rPr>
              <w:t>086</w:t>
            </w:r>
          </w:p>
        </w:tc>
        <w:tc>
          <w:tcPr>
            <w:tcW w:w="868" w:type="dxa"/>
          </w:tcPr>
          <w:p w14:paraId="62A9486C" w14:textId="77777777" w:rsidR="005F41FD" w:rsidRPr="00D96C74" w:rsidRDefault="005F41FD" w:rsidP="00B00391">
            <w:pPr>
              <w:rPr>
                <w:noProof/>
                <w:sz w:val="20"/>
              </w:rPr>
            </w:pPr>
            <w:r w:rsidRPr="00D020C3">
              <w:rPr>
                <w:noProof/>
                <w:sz w:val="20"/>
              </w:rPr>
              <w:t>0</w:t>
            </w:r>
            <w:r w:rsidRPr="00D96C74">
              <w:rPr>
                <w:noProof/>
                <w:sz w:val="20"/>
              </w:rPr>
              <w:t>,</w:t>
            </w:r>
            <w:r w:rsidRPr="00D020C3">
              <w:rPr>
                <w:noProof/>
                <w:sz w:val="20"/>
              </w:rPr>
              <w:t>086</w:t>
            </w:r>
          </w:p>
        </w:tc>
        <w:tc>
          <w:tcPr>
            <w:tcW w:w="868" w:type="dxa"/>
          </w:tcPr>
          <w:p w14:paraId="134C3D71" w14:textId="77777777" w:rsidR="005F41FD" w:rsidRPr="00D96C74" w:rsidRDefault="005F41FD" w:rsidP="00B00391">
            <w:pPr>
              <w:rPr>
                <w:noProof/>
                <w:sz w:val="20"/>
              </w:rPr>
            </w:pPr>
            <w:r w:rsidRPr="00D020C3">
              <w:rPr>
                <w:noProof/>
                <w:sz w:val="20"/>
              </w:rPr>
              <w:t>0</w:t>
            </w:r>
            <w:r w:rsidRPr="00D96C74">
              <w:rPr>
                <w:noProof/>
                <w:sz w:val="20"/>
              </w:rPr>
              <w:t>,</w:t>
            </w:r>
            <w:r w:rsidRPr="00D020C3">
              <w:rPr>
                <w:noProof/>
                <w:sz w:val="20"/>
              </w:rPr>
              <w:t>086</w:t>
            </w:r>
          </w:p>
        </w:tc>
        <w:tc>
          <w:tcPr>
            <w:tcW w:w="868" w:type="dxa"/>
          </w:tcPr>
          <w:p w14:paraId="6EDDC23C" w14:textId="77777777" w:rsidR="005F41FD" w:rsidRPr="00D96C74" w:rsidRDefault="005F41FD" w:rsidP="00B00391">
            <w:pPr>
              <w:rPr>
                <w:noProof/>
                <w:sz w:val="20"/>
              </w:rPr>
            </w:pPr>
            <w:r w:rsidRPr="00D020C3">
              <w:rPr>
                <w:noProof/>
                <w:sz w:val="20"/>
              </w:rPr>
              <w:t>0</w:t>
            </w:r>
            <w:r w:rsidRPr="00D96C74">
              <w:rPr>
                <w:noProof/>
                <w:sz w:val="20"/>
              </w:rPr>
              <w:t>,</w:t>
            </w:r>
            <w:r w:rsidRPr="00D020C3">
              <w:rPr>
                <w:noProof/>
                <w:sz w:val="20"/>
              </w:rPr>
              <w:t>086</w:t>
            </w:r>
          </w:p>
        </w:tc>
        <w:tc>
          <w:tcPr>
            <w:tcW w:w="888" w:type="dxa"/>
          </w:tcPr>
          <w:p w14:paraId="4C715BC0" w14:textId="77777777" w:rsidR="005F41FD" w:rsidRPr="00D96C74" w:rsidRDefault="005F41FD" w:rsidP="00B00391">
            <w:pPr>
              <w:rPr>
                <w:rStyle w:val="normaltextrun"/>
                <w:noProof/>
                <w:sz w:val="20"/>
                <w:szCs w:val="20"/>
              </w:rPr>
            </w:pPr>
            <w:r w:rsidRPr="00D020C3">
              <w:rPr>
                <w:noProof/>
                <w:sz w:val="20"/>
              </w:rPr>
              <w:t>0</w:t>
            </w:r>
            <w:r w:rsidRPr="00D96C74">
              <w:rPr>
                <w:noProof/>
                <w:sz w:val="20"/>
              </w:rPr>
              <w:t>,</w:t>
            </w:r>
            <w:r w:rsidRPr="00D020C3">
              <w:rPr>
                <w:noProof/>
                <w:sz w:val="20"/>
              </w:rPr>
              <w:t>086</w:t>
            </w:r>
          </w:p>
        </w:tc>
        <w:tc>
          <w:tcPr>
            <w:tcW w:w="986" w:type="dxa"/>
            <w:vAlign w:val="center"/>
          </w:tcPr>
          <w:p w14:paraId="33D9BA94" w14:textId="4798FD32" w:rsidR="005F41FD" w:rsidRPr="00D96C74" w:rsidRDefault="005F41FD" w:rsidP="00B00391">
            <w:pPr>
              <w:jc w:val="center"/>
              <w:rPr>
                <w:rStyle w:val="normaltextrun"/>
                <w:noProof/>
                <w:sz w:val="20"/>
                <w:szCs w:val="20"/>
              </w:rPr>
            </w:pPr>
            <w:r w:rsidRPr="00D020C3">
              <w:rPr>
                <w:rStyle w:val="normaltextrun"/>
                <w:b/>
                <w:noProof/>
                <w:color w:val="000000"/>
                <w:sz w:val="20"/>
              </w:rPr>
              <w:t>0,427</w:t>
            </w:r>
          </w:p>
        </w:tc>
      </w:tr>
      <w:tr w:rsidR="009317FA" w:rsidRPr="00D96C74" w14:paraId="316299F0" w14:textId="77777777" w:rsidTr="00A10DCB">
        <w:trPr>
          <w:trHeight w:val="213"/>
        </w:trPr>
        <w:tc>
          <w:tcPr>
            <w:tcW w:w="6054" w:type="dxa"/>
            <w:gridSpan w:val="2"/>
            <w:vAlign w:val="center"/>
          </w:tcPr>
          <w:p w14:paraId="634F4AF0" w14:textId="77777777" w:rsidR="005F41FD" w:rsidRPr="00D96C74" w:rsidRDefault="005F41FD" w:rsidP="00B00391">
            <w:pPr>
              <w:spacing w:before="20" w:after="20"/>
              <w:rPr>
                <w:noProof/>
                <w:sz w:val="21"/>
              </w:rPr>
            </w:pPr>
            <w:r w:rsidRPr="00D96C74">
              <w:rPr>
                <w:rFonts w:ascii="Wingdings" w:hAnsi="Wingdings"/>
                <w:noProof/>
                <w:sz w:val="21"/>
              </w:rPr>
              <w:t>□</w:t>
            </w:r>
            <w:r w:rsidRPr="00D96C74">
              <w:rPr>
                <w:noProof/>
                <w:sz w:val="21"/>
              </w:rPr>
              <w:t xml:space="preserve"> </w:t>
            </w:r>
            <w:r w:rsidRPr="00D96C74">
              <w:rPr>
                <w:rStyle w:val="normaltextrun"/>
                <w:noProof/>
                <w:color w:val="000000"/>
                <w:sz w:val="22"/>
                <w:bdr w:val="none" w:sz="0" w:space="0" w:color="auto" w:frame="1"/>
              </w:rPr>
              <w:t>Alte cheltuieli administrative</w:t>
            </w:r>
          </w:p>
        </w:tc>
        <w:tc>
          <w:tcPr>
            <w:tcW w:w="868" w:type="dxa"/>
            <w:vAlign w:val="center"/>
          </w:tcPr>
          <w:p w14:paraId="73FABCFD" w14:textId="77777777" w:rsidR="005F41FD" w:rsidRPr="00D96C74" w:rsidRDefault="005F41FD" w:rsidP="00B00391">
            <w:pPr>
              <w:rPr>
                <w:noProof/>
                <w:sz w:val="20"/>
              </w:rPr>
            </w:pPr>
          </w:p>
        </w:tc>
        <w:tc>
          <w:tcPr>
            <w:tcW w:w="868" w:type="dxa"/>
            <w:vAlign w:val="bottom"/>
          </w:tcPr>
          <w:p w14:paraId="75313403" w14:textId="77777777" w:rsidR="005F41FD" w:rsidRPr="00D96C74" w:rsidRDefault="005F41FD" w:rsidP="00B00391">
            <w:pPr>
              <w:rPr>
                <w:rStyle w:val="normaltextrun"/>
                <w:noProof/>
                <w:sz w:val="20"/>
                <w:szCs w:val="20"/>
              </w:rPr>
            </w:pPr>
          </w:p>
        </w:tc>
        <w:tc>
          <w:tcPr>
            <w:tcW w:w="868" w:type="dxa"/>
            <w:vAlign w:val="bottom"/>
          </w:tcPr>
          <w:p w14:paraId="7BA54BE6" w14:textId="77777777" w:rsidR="005F41FD" w:rsidRPr="00D96C74" w:rsidRDefault="005F41FD" w:rsidP="00B00391">
            <w:pPr>
              <w:rPr>
                <w:rStyle w:val="normaltextrun"/>
                <w:noProof/>
                <w:sz w:val="20"/>
                <w:szCs w:val="20"/>
              </w:rPr>
            </w:pPr>
          </w:p>
        </w:tc>
        <w:tc>
          <w:tcPr>
            <w:tcW w:w="868" w:type="dxa"/>
            <w:vAlign w:val="bottom"/>
          </w:tcPr>
          <w:p w14:paraId="0F5DBDA7" w14:textId="77777777" w:rsidR="005F41FD" w:rsidRPr="00D96C74" w:rsidRDefault="005F41FD" w:rsidP="00B00391">
            <w:pPr>
              <w:rPr>
                <w:rStyle w:val="normaltextrun"/>
                <w:noProof/>
                <w:sz w:val="20"/>
                <w:szCs w:val="20"/>
              </w:rPr>
            </w:pPr>
          </w:p>
        </w:tc>
        <w:tc>
          <w:tcPr>
            <w:tcW w:w="888" w:type="dxa"/>
          </w:tcPr>
          <w:p w14:paraId="1A417654" w14:textId="77777777" w:rsidR="005F41FD" w:rsidRPr="00D96C74" w:rsidRDefault="005F41FD" w:rsidP="00B00391">
            <w:pPr>
              <w:rPr>
                <w:rStyle w:val="normaltextrun"/>
                <w:noProof/>
                <w:sz w:val="20"/>
                <w:szCs w:val="20"/>
              </w:rPr>
            </w:pPr>
          </w:p>
        </w:tc>
        <w:tc>
          <w:tcPr>
            <w:tcW w:w="986" w:type="dxa"/>
            <w:vAlign w:val="center"/>
          </w:tcPr>
          <w:p w14:paraId="5C653301" w14:textId="77777777" w:rsidR="005F41FD" w:rsidRPr="00D020C3" w:rsidRDefault="005F41FD" w:rsidP="00B00391">
            <w:pPr>
              <w:jc w:val="center"/>
              <w:rPr>
                <w:rStyle w:val="normaltextrun"/>
                <w:b/>
                <w:bCs/>
                <w:noProof/>
                <w:color w:val="000000"/>
                <w:sz w:val="20"/>
                <w:szCs w:val="20"/>
              </w:rPr>
            </w:pPr>
          </w:p>
        </w:tc>
      </w:tr>
      <w:tr w:rsidR="00151042" w:rsidRPr="00D96C74" w14:paraId="31C80E23" w14:textId="77777777" w:rsidTr="00A10DCB">
        <w:tc>
          <w:tcPr>
            <w:tcW w:w="3960" w:type="dxa"/>
            <w:vAlign w:val="center"/>
          </w:tcPr>
          <w:p w14:paraId="2EB8473B" w14:textId="77777777" w:rsidR="005F41FD" w:rsidRPr="00D020C3" w:rsidRDefault="005F41FD" w:rsidP="00B00391">
            <w:pPr>
              <w:jc w:val="center"/>
              <w:rPr>
                <w:b/>
                <w:noProof/>
              </w:rPr>
            </w:pPr>
            <w:r w:rsidRPr="00D020C3">
              <w:rPr>
                <w:b/>
                <w:noProof/>
                <w:sz w:val="22"/>
              </w:rPr>
              <w:t xml:space="preserve">TOTAL </w:t>
            </w:r>
            <w:r w:rsidRPr="00D96C74">
              <w:rPr>
                <w:noProof/>
                <w:sz w:val="22"/>
              </w:rPr>
              <w:t>DG SANTE</w:t>
            </w:r>
          </w:p>
        </w:tc>
        <w:tc>
          <w:tcPr>
            <w:tcW w:w="2094" w:type="dxa"/>
            <w:vAlign w:val="center"/>
          </w:tcPr>
          <w:p w14:paraId="6E91815D" w14:textId="77777777" w:rsidR="005F41FD" w:rsidRPr="00D96C74" w:rsidRDefault="005F41FD" w:rsidP="00B00391">
            <w:pPr>
              <w:jc w:val="center"/>
              <w:rPr>
                <w:noProof/>
                <w:sz w:val="14"/>
              </w:rPr>
            </w:pPr>
            <w:r w:rsidRPr="00D96C74">
              <w:rPr>
                <w:noProof/>
                <w:sz w:val="18"/>
              </w:rPr>
              <w:t>Credite</w:t>
            </w:r>
          </w:p>
        </w:tc>
        <w:tc>
          <w:tcPr>
            <w:tcW w:w="868" w:type="dxa"/>
            <w:vAlign w:val="center"/>
          </w:tcPr>
          <w:p w14:paraId="5F1CD24E" w14:textId="77777777" w:rsidR="005F41FD" w:rsidRPr="00D96C74" w:rsidRDefault="005F41FD" w:rsidP="00B00391">
            <w:pPr>
              <w:spacing w:before="20" w:after="20"/>
              <w:jc w:val="center"/>
              <w:rPr>
                <w:noProof/>
                <w:sz w:val="20"/>
              </w:rPr>
            </w:pPr>
            <w:r w:rsidRPr="00D020C3">
              <w:rPr>
                <w:noProof/>
                <w:sz w:val="20"/>
              </w:rPr>
              <w:t>0</w:t>
            </w:r>
            <w:r w:rsidRPr="00D96C74">
              <w:rPr>
                <w:noProof/>
                <w:sz w:val="20"/>
              </w:rPr>
              <w:t>,</w:t>
            </w:r>
            <w:r w:rsidRPr="00D020C3">
              <w:rPr>
                <w:noProof/>
                <w:sz w:val="20"/>
              </w:rPr>
              <w:t>086</w:t>
            </w:r>
          </w:p>
        </w:tc>
        <w:tc>
          <w:tcPr>
            <w:tcW w:w="868" w:type="dxa"/>
            <w:vAlign w:val="center"/>
          </w:tcPr>
          <w:p w14:paraId="6FBCEE8C" w14:textId="77777777" w:rsidR="005F41FD" w:rsidRPr="00D96C74" w:rsidRDefault="005F41FD" w:rsidP="00B00391">
            <w:pPr>
              <w:spacing w:before="20" w:after="20"/>
              <w:jc w:val="center"/>
              <w:rPr>
                <w:noProof/>
                <w:sz w:val="20"/>
              </w:rPr>
            </w:pPr>
            <w:r w:rsidRPr="00D020C3">
              <w:rPr>
                <w:noProof/>
                <w:sz w:val="20"/>
              </w:rPr>
              <w:t>0</w:t>
            </w:r>
            <w:r w:rsidRPr="00D96C74">
              <w:rPr>
                <w:noProof/>
                <w:sz w:val="20"/>
              </w:rPr>
              <w:t>,</w:t>
            </w:r>
            <w:r w:rsidRPr="00D020C3">
              <w:rPr>
                <w:noProof/>
                <w:sz w:val="20"/>
              </w:rPr>
              <w:t>086</w:t>
            </w:r>
          </w:p>
        </w:tc>
        <w:tc>
          <w:tcPr>
            <w:tcW w:w="868" w:type="dxa"/>
            <w:vAlign w:val="center"/>
          </w:tcPr>
          <w:p w14:paraId="3E18667F" w14:textId="77777777" w:rsidR="005F41FD" w:rsidRPr="00D96C74" w:rsidRDefault="005F41FD" w:rsidP="00B00391">
            <w:pPr>
              <w:spacing w:before="20" w:after="20"/>
              <w:jc w:val="center"/>
              <w:rPr>
                <w:noProof/>
                <w:sz w:val="20"/>
              </w:rPr>
            </w:pPr>
            <w:r w:rsidRPr="00D020C3">
              <w:rPr>
                <w:noProof/>
                <w:sz w:val="20"/>
              </w:rPr>
              <w:t>0</w:t>
            </w:r>
            <w:r w:rsidRPr="00D96C74">
              <w:rPr>
                <w:noProof/>
                <w:sz w:val="20"/>
              </w:rPr>
              <w:t>,</w:t>
            </w:r>
            <w:r w:rsidRPr="00D020C3">
              <w:rPr>
                <w:noProof/>
                <w:sz w:val="20"/>
              </w:rPr>
              <w:t>086</w:t>
            </w:r>
          </w:p>
        </w:tc>
        <w:tc>
          <w:tcPr>
            <w:tcW w:w="868" w:type="dxa"/>
            <w:vAlign w:val="center"/>
          </w:tcPr>
          <w:p w14:paraId="4920F6DE" w14:textId="77777777" w:rsidR="005F41FD" w:rsidRPr="00D96C74" w:rsidRDefault="005F41FD" w:rsidP="00B00391">
            <w:pPr>
              <w:spacing w:before="20" w:after="20"/>
              <w:jc w:val="center"/>
              <w:rPr>
                <w:noProof/>
                <w:sz w:val="20"/>
              </w:rPr>
            </w:pPr>
            <w:r w:rsidRPr="00D020C3">
              <w:rPr>
                <w:noProof/>
                <w:sz w:val="20"/>
              </w:rPr>
              <w:t>0</w:t>
            </w:r>
            <w:r w:rsidRPr="00D96C74">
              <w:rPr>
                <w:noProof/>
                <w:sz w:val="20"/>
              </w:rPr>
              <w:t>,</w:t>
            </w:r>
            <w:r w:rsidRPr="00D020C3">
              <w:rPr>
                <w:noProof/>
                <w:sz w:val="20"/>
              </w:rPr>
              <w:t>086</w:t>
            </w:r>
          </w:p>
        </w:tc>
        <w:tc>
          <w:tcPr>
            <w:tcW w:w="888" w:type="dxa"/>
            <w:vAlign w:val="center"/>
          </w:tcPr>
          <w:p w14:paraId="10AB8F99" w14:textId="77777777" w:rsidR="005F41FD" w:rsidRPr="00D96C74" w:rsidRDefault="005F41FD" w:rsidP="00B00391">
            <w:pPr>
              <w:spacing w:before="20" w:after="20"/>
              <w:jc w:val="center"/>
              <w:rPr>
                <w:noProof/>
                <w:sz w:val="20"/>
              </w:rPr>
            </w:pPr>
            <w:r w:rsidRPr="00D020C3">
              <w:rPr>
                <w:noProof/>
                <w:sz w:val="20"/>
              </w:rPr>
              <w:t>0</w:t>
            </w:r>
            <w:r w:rsidRPr="00D96C74">
              <w:rPr>
                <w:noProof/>
                <w:sz w:val="20"/>
              </w:rPr>
              <w:t>,</w:t>
            </w:r>
            <w:r w:rsidRPr="00D020C3">
              <w:rPr>
                <w:noProof/>
                <w:sz w:val="20"/>
              </w:rPr>
              <w:t>086</w:t>
            </w:r>
          </w:p>
        </w:tc>
        <w:tc>
          <w:tcPr>
            <w:tcW w:w="986" w:type="dxa"/>
            <w:vAlign w:val="center"/>
          </w:tcPr>
          <w:p w14:paraId="20B0981B" w14:textId="533631DE" w:rsidR="005F41FD" w:rsidRPr="00D96C74" w:rsidRDefault="005F41FD" w:rsidP="00B00391">
            <w:pPr>
              <w:spacing w:before="20" w:after="20"/>
              <w:jc w:val="center"/>
              <w:rPr>
                <w:noProof/>
                <w:sz w:val="20"/>
              </w:rPr>
            </w:pPr>
            <w:r w:rsidRPr="00D020C3">
              <w:rPr>
                <w:rStyle w:val="normaltextrun"/>
                <w:b/>
                <w:noProof/>
                <w:color w:val="000000"/>
                <w:sz w:val="20"/>
              </w:rPr>
              <w:t>0,430</w:t>
            </w:r>
          </w:p>
        </w:tc>
      </w:tr>
    </w:tbl>
    <w:p w14:paraId="62D335BF" w14:textId="77777777" w:rsidR="00682C4D" w:rsidRPr="00D96C74" w:rsidRDefault="005F41FD" w:rsidP="005F41FD">
      <w:pPr>
        <w:rPr>
          <w:rStyle w:val="normaltextrun"/>
          <w:noProof/>
          <w:color w:val="000000"/>
          <w:shd w:val="clear" w:color="auto" w:fill="FFFFFF"/>
        </w:rPr>
      </w:pPr>
      <w:r w:rsidRPr="00D96C74">
        <w:rPr>
          <w:rStyle w:val="normaltextrun"/>
          <w:noProof/>
          <w:color w:val="000000"/>
          <w:shd w:val="clear" w:color="auto" w:fill="FFFFFF"/>
        </w:rPr>
        <w:t>Costurile DG SANTE decurg din procesul de codecizie și din monitorizarea performanței în toate statele membre. Ele reflectă personalul existent (AD).</w:t>
      </w:r>
    </w:p>
    <w:tbl>
      <w:tblPr>
        <w:tblW w:w="120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2085"/>
        <w:gridCol w:w="855"/>
        <w:gridCol w:w="855"/>
        <w:gridCol w:w="855"/>
        <w:gridCol w:w="855"/>
        <w:gridCol w:w="855"/>
        <w:gridCol w:w="1770"/>
      </w:tblGrid>
      <w:tr w:rsidR="008B5470" w:rsidRPr="00D96C74" w14:paraId="4DE70DA7" w14:textId="77777777" w:rsidTr="00B137D3">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1C2D7" w14:textId="77777777" w:rsidR="008B5470" w:rsidRPr="00D96C74" w:rsidRDefault="008B5470" w:rsidP="008B5470">
            <w:pPr>
              <w:spacing w:before="0" w:after="0"/>
              <w:jc w:val="center"/>
              <w:textAlignment w:val="baseline"/>
              <w:rPr>
                <w:rFonts w:eastAsia="Times New Roman"/>
                <w:noProof/>
                <w:szCs w:val="24"/>
              </w:rPr>
            </w:pPr>
            <w:r w:rsidRPr="00D020C3">
              <w:rPr>
                <w:b/>
                <w:noProof/>
                <w:sz w:val="22"/>
              </w:rPr>
              <w:t>TOTAL credite</w:t>
            </w:r>
            <w:r w:rsidRPr="00D96C74">
              <w:rPr>
                <w:noProof/>
                <w:sz w:val="22"/>
              </w:rPr>
              <w:t xml:space="preserve"> </w:t>
            </w:r>
            <w:r w:rsidRPr="00D96C74">
              <w:rPr>
                <w:noProof/>
              </w:rPr>
              <w:t xml:space="preserve"> </w:t>
            </w:r>
            <w:r w:rsidRPr="00D96C74">
              <w:rPr>
                <w:noProof/>
              </w:rPr>
              <w:br/>
            </w:r>
            <w:r w:rsidRPr="00D020C3">
              <w:rPr>
                <w:b/>
                <w:noProof/>
                <w:sz w:val="22"/>
              </w:rPr>
              <w:t>de la RUBRICA 7</w:t>
            </w:r>
            <w:r w:rsidRPr="00D96C74">
              <w:rPr>
                <w:noProof/>
                <w:sz w:val="22"/>
              </w:rPr>
              <w:t xml:space="preserve"> </w:t>
            </w:r>
            <w:r w:rsidRPr="00D96C74">
              <w:rPr>
                <w:noProof/>
              </w:rPr>
              <w:t xml:space="preserve"> </w:t>
            </w:r>
            <w:r w:rsidRPr="00D96C74">
              <w:rPr>
                <w:noProof/>
              </w:rPr>
              <w:br/>
            </w:r>
            <w:r w:rsidRPr="00D96C74">
              <w:rPr>
                <w:noProof/>
                <w:sz w:val="22"/>
              </w:rPr>
              <w:t>din cadrul financiar multianual</w:t>
            </w:r>
            <w:r w:rsidRPr="00D020C3">
              <w:rPr>
                <w:b/>
                <w:noProof/>
                <w:sz w:val="22"/>
              </w:rPr>
              <w:t xml:space="preserve"> </w:t>
            </w:r>
            <w:r w:rsidRPr="00D96C74">
              <w:rPr>
                <w:noProof/>
                <w:sz w:val="22"/>
              </w:rPr>
              <w:t xml:space="preserve"> </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5CA5DF" w14:textId="77777777" w:rsidR="008B5470" w:rsidRPr="00D96C74" w:rsidRDefault="008B5470" w:rsidP="008B5470">
            <w:pPr>
              <w:spacing w:before="0" w:after="0"/>
              <w:textAlignment w:val="baseline"/>
              <w:rPr>
                <w:rFonts w:eastAsia="Times New Roman"/>
                <w:noProof/>
                <w:szCs w:val="24"/>
              </w:rPr>
            </w:pPr>
            <w:r w:rsidRPr="00D96C74">
              <w:rPr>
                <w:noProof/>
                <w:sz w:val="18"/>
              </w:rPr>
              <w:t>(Total angajamente = Total plăți)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427D8" w14:textId="6123EF28" w:rsidR="008B5470" w:rsidRPr="00D96C74" w:rsidRDefault="008B5470" w:rsidP="008B5470">
            <w:pPr>
              <w:spacing w:before="0" w:after="0"/>
              <w:jc w:val="center"/>
              <w:textAlignment w:val="baseline"/>
              <w:rPr>
                <w:rFonts w:eastAsia="Times New Roman"/>
                <w:noProof/>
                <w:szCs w:val="24"/>
              </w:rPr>
            </w:pPr>
            <w:r w:rsidRPr="00D020C3">
              <w:rPr>
                <w:noProof/>
                <w:sz w:val="20"/>
              </w:rPr>
              <w:t>0</w:t>
            </w:r>
            <w:r w:rsidRPr="00D96C74">
              <w:rPr>
                <w:noProof/>
                <w:sz w:val="20"/>
              </w:rPr>
              <w:t>,</w:t>
            </w:r>
            <w:r w:rsidRPr="00D020C3">
              <w:rPr>
                <w:noProof/>
                <w:sz w:val="20"/>
              </w:rPr>
              <w:t>257</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89360D" w14:textId="3A9AC5BF" w:rsidR="008B5470" w:rsidRPr="00D96C74" w:rsidRDefault="008B5470" w:rsidP="008B5470">
            <w:pPr>
              <w:spacing w:before="0" w:after="0"/>
              <w:jc w:val="center"/>
              <w:textAlignment w:val="baseline"/>
              <w:rPr>
                <w:noProof/>
                <w:sz w:val="20"/>
              </w:rPr>
            </w:pPr>
            <w:r w:rsidRPr="00D020C3">
              <w:rPr>
                <w:noProof/>
                <w:sz w:val="20"/>
              </w:rPr>
              <w:t>0</w:t>
            </w:r>
            <w:r w:rsidRPr="00D96C74">
              <w:rPr>
                <w:noProof/>
                <w:sz w:val="20"/>
              </w:rPr>
              <w:t>,</w:t>
            </w:r>
            <w:r w:rsidRPr="00D020C3">
              <w:rPr>
                <w:noProof/>
                <w:sz w:val="20"/>
              </w:rPr>
              <w:t>444</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B6D7C" w14:textId="5EA0FFA9" w:rsidR="008B5470" w:rsidRPr="00D96C74" w:rsidRDefault="008B5470" w:rsidP="008B5470">
            <w:pPr>
              <w:spacing w:before="0" w:after="0"/>
              <w:jc w:val="center"/>
              <w:textAlignment w:val="baseline"/>
              <w:rPr>
                <w:noProof/>
                <w:sz w:val="20"/>
              </w:rPr>
            </w:pPr>
            <w:r w:rsidRPr="00D020C3">
              <w:rPr>
                <w:noProof/>
                <w:sz w:val="20"/>
              </w:rPr>
              <w:t>0</w:t>
            </w:r>
            <w:r w:rsidRPr="00D96C74">
              <w:rPr>
                <w:noProof/>
                <w:sz w:val="20"/>
              </w:rPr>
              <w:t>,</w:t>
            </w:r>
            <w:r w:rsidRPr="00D020C3">
              <w:rPr>
                <w:noProof/>
                <w:sz w:val="20"/>
              </w:rPr>
              <w:t>444</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D402F0" w14:textId="617CD6FA" w:rsidR="008B5470" w:rsidRPr="00D96C74" w:rsidRDefault="008B5470" w:rsidP="008B5470">
            <w:pPr>
              <w:spacing w:before="0" w:after="0"/>
              <w:jc w:val="center"/>
              <w:textAlignment w:val="baseline"/>
              <w:rPr>
                <w:noProof/>
                <w:sz w:val="20"/>
              </w:rPr>
            </w:pPr>
            <w:r w:rsidRPr="00D020C3">
              <w:rPr>
                <w:noProof/>
                <w:sz w:val="20"/>
              </w:rPr>
              <w:t>0</w:t>
            </w:r>
            <w:r w:rsidRPr="00D96C74">
              <w:rPr>
                <w:noProof/>
                <w:sz w:val="20"/>
              </w:rPr>
              <w:t>,</w:t>
            </w:r>
            <w:r w:rsidRPr="00D020C3">
              <w:rPr>
                <w:noProof/>
                <w:sz w:val="20"/>
              </w:rPr>
              <w:t>444</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81A9AC" w14:textId="0D5013D5" w:rsidR="008B5470" w:rsidRPr="00D96C74" w:rsidRDefault="008B5470" w:rsidP="008B5470">
            <w:pPr>
              <w:spacing w:before="0" w:after="0"/>
              <w:jc w:val="center"/>
              <w:textAlignment w:val="baseline"/>
              <w:rPr>
                <w:noProof/>
                <w:sz w:val="20"/>
              </w:rPr>
            </w:pPr>
            <w:r w:rsidRPr="00D020C3">
              <w:rPr>
                <w:noProof/>
                <w:sz w:val="20"/>
              </w:rPr>
              <w:t>0</w:t>
            </w:r>
            <w:r w:rsidRPr="00D96C74">
              <w:rPr>
                <w:noProof/>
                <w:sz w:val="20"/>
              </w:rPr>
              <w:t>,</w:t>
            </w:r>
            <w:r w:rsidRPr="00D020C3">
              <w:rPr>
                <w:noProof/>
                <w:sz w:val="20"/>
              </w:rPr>
              <w:t>444</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570852" w14:textId="54159224" w:rsidR="008B5470" w:rsidRPr="00D96C74" w:rsidRDefault="008B5470" w:rsidP="008B5470">
            <w:pPr>
              <w:spacing w:before="0" w:after="0"/>
              <w:jc w:val="center"/>
              <w:textAlignment w:val="baseline"/>
              <w:rPr>
                <w:rFonts w:eastAsia="Times New Roman"/>
                <w:noProof/>
                <w:szCs w:val="24"/>
              </w:rPr>
            </w:pPr>
            <w:r w:rsidRPr="00D020C3">
              <w:rPr>
                <w:rStyle w:val="normaltextrun"/>
                <w:b/>
                <w:noProof/>
                <w:color w:val="000000"/>
                <w:sz w:val="20"/>
              </w:rPr>
              <w:t>2,033</w:t>
            </w:r>
          </w:p>
        </w:tc>
      </w:tr>
    </w:tbl>
    <w:p w14:paraId="34038DAB" w14:textId="77777777" w:rsidR="00B137D3" w:rsidRPr="00D96C74" w:rsidRDefault="00B137D3" w:rsidP="00B137D3">
      <w:pPr>
        <w:spacing w:before="0" w:after="0"/>
        <w:jc w:val="right"/>
        <w:textAlignment w:val="baseline"/>
        <w:rPr>
          <w:rFonts w:ascii="Segoe UI" w:eastAsia="Times New Roman" w:hAnsi="Segoe UI" w:cs="Segoe UI"/>
          <w:noProof/>
          <w:sz w:val="18"/>
          <w:szCs w:val="18"/>
        </w:rPr>
      </w:pPr>
      <w:r w:rsidRPr="00D96C74">
        <w:rPr>
          <w:noProof/>
          <w:sz w:val="20"/>
        </w:rPr>
        <w:t>milioane EUR (cu trei zecimale) </w:t>
      </w:r>
    </w:p>
    <w:tbl>
      <w:tblPr>
        <w:tblW w:w="1216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274"/>
        <w:gridCol w:w="401"/>
        <w:gridCol w:w="935"/>
        <w:gridCol w:w="1215"/>
        <w:gridCol w:w="1215"/>
        <w:gridCol w:w="1215"/>
        <w:gridCol w:w="1215"/>
        <w:gridCol w:w="1557"/>
        <w:gridCol w:w="169"/>
      </w:tblGrid>
      <w:tr w:rsidR="00B137D3" w:rsidRPr="00D96C74" w14:paraId="7E55980E" w14:textId="77777777" w:rsidTr="008B5470">
        <w:trPr>
          <w:gridAfter w:val="1"/>
          <w:wAfter w:w="169" w:type="dxa"/>
          <w:trHeight w:val="300"/>
        </w:trPr>
        <w:tc>
          <w:tcPr>
            <w:tcW w:w="2969" w:type="dxa"/>
            <w:tcBorders>
              <w:top w:val="nil"/>
              <w:left w:val="nil"/>
              <w:bottom w:val="single" w:sz="6" w:space="0" w:color="auto"/>
              <w:right w:val="nil"/>
            </w:tcBorders>
            <w:shd w:val="clear" w:color="auto" w:fill="auto"/>
            <w:vAlign w:val="center"/>
            <w:hideMark/>
          </w:tcPr>
          <w:p w14:paraId="075EB656" w14:textId="77777777" w:rsidR="00B137D3" w:rsidRPr="00D96C74" w:rsidRDefault="00B137D3" w:rsidP="00B00391">
            <w:pPr>
              <w:spacing w:before="0" w:after="0"/>
              <w:jc w:val="center"/>
              <w:textAlignment w:val="baseline"/>
              <w:rPr>
                <w:rFonts w:eastAsia="Times New Roman"/>
                <w:noProof/>
                <w:szCs w:val="24"/>
              </w:rPr>
            </w:pPr>
            <w:r w:rsidRPr="00D96C74">
              <w:rPr>
                <w:noProof/>
              </w:rPr>
              <w:t xml:space="preserve"> </w:t>
            </w:r>
          </w:p>
        </w:tc>
        <w:tc>
          <w:tcPr>
            <w:tcW w:w="1274" w:type="dxa"/>
            <w:tcBorders>
              <w:top w:val="nil"/>
              <w:left w:val="nil"/>
              <w:bottom w:val="single" w:sz="6" w:space="0" w:color="auto"/>
              <w:right w:val="nil"/>
            </w:tcBorders>
            <w:shd w:val="clear" w:color="auto" w:fill="auto"/>
            <w:hideMark/>
          </w:tcPr>
          <w:p w14:paraId="5785B338" w14:textId="77777777" w:rsidR="00B137D3" w:rsidRPr="00D96C74" w:rsidRDefault="00B137D3" w:rsidP="00B00391">
            <w:pPr>
              <w:spacing w:before="0" w:after="0"/>
              <w:textAlignment w:val="baseline"/>
              <w:rPr>
                <w:rFonts w:eastAsia="Times New Roman"/>
                <w:noProof/>
                <w:szCs w:val="24"/>
              </w:rPr>
            </w:pPr>
            <w:r w:rsidRPr="00D96C74">
              <w:rPr>
                <w:noProof/>
                <w:sz w:val="20"/>
              </w:rPr>
              <w:t xml:space="preserve"> </w:t>
            </w:r>
          </w:p>
        </w:tc>
        <w:tc>
          <w:tcPr>
            <w:tcW w:w="401" w:type="dxa"/>
            <w:tcBorders>
              <w:top w:val="nil"/>
              <w:left w:val="nil"/>
              <w:bottom w:val="single" w:sz="6" w:space="0" w:color="auto"/>
              <w:right w:val="single" w:sz="6" w:space="0" w:color="auto"/>
            </w:tcBorders>
            <w:shd w:val="clear" w:color="auto" w:fill="auto"/>
            <w:hideMark/>
          </w:tcPr>
          <w:p w14:paraId="3F394B1A" w14:textId="77777777" w:rsidR="00B137D3" w:rsidRPr="00D96C74" w:rsidRDefault="00B137D3" w:rsidP="00B00391">
            <w:pPr>
              <w:spacing w:before="0" w:after="0"/>
              <w:jc w:val="center"/>
              <w:textAlignment w:val="baseline"/>
              <w:rPr>
                <w:rFonts w:eastAsia="Times New Roman"/>
                <w:noProof/>
                <w:szCs w:val="24"/>
              </w:rPr>
            </w:pPr>
            <w:r w:rsidRPr="00D96C74">
              <w:rPr>
                <w:noProof/>
                <w:sz w:val="20"/>
              </w:rPr>
              <w:t xml:space="preserve"> </w:t>
            </w:r>
          </w:p>
        </w:tc>
        <w:tc>
          <w:tcPr>
            <w:tcW w:w="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30388" w14:textId="77777777" w:rsidR="00B137D3" w:rsidRPr="00D96C74" w:rsidRDefault="00B137D3" w:rsidP="00B00391">
            <w:pPr>
              <w:spacing w:before="0" w:after="0"/>
              <w:jc w:val="center"/>
              <w:textAlignment w:val="baseline"/>
              <w:rPr>
                <w:rFonts w:eastAsia="Times New Roman"/>
                <w:noProof/>
                <w:szCs w:val="24"/>
              </w:rPr>
            </w:pPr>
            <w:r w:rsidRPr="00D020C3">
              <w:rPr>
                <w:b/>
                <w:noProof/>
                <w:sz w:val="20"/>
              </w:rPr>
              <w:t>2023</w:t>
            </w:r>
            <w:r w:rsidRPr="00D96C74">
              <w:rPr>
                <w:noProof/>
                <w:sz w:val="20"/>
              </w:rPr>
              <w:t xml:space="preserve">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AB3F23" w14:textId="77777777" w:rsidR="00B137D3" w:rsidRPr="00D96C74" w:rsidRDefault="00B137D3" w:rsidP="00B00391">
            <w:pPr>
              <w:spacing w:before="0" w:after="0"/>
              <w:jc w:val="center"/>
              <w:textAlignment w:val="baseline"/>
              <w:rPr>
                <w:rFonts w:eastAsia="Times New Roman"/>
                <w:noProof/>
                <w:szCs w:val="24"/>
              </w:rPr>
            </w:pPr>
            <w:r w:rsidRPr="00D020C3">
              <w:rPr>
                <w:b/>
                <w:noProof/>
                <w:sz w:val="20"/>
              </w:rPr>
              <w:t>2024</w:t>
            </w:r>
            <w:r w:rsidRPr="00D96C74">
              <w:rPr>
                <w:noProof/>
                <w:sz w:val="20"/>
              </w:rPr>
              <w:t xml:space="preserve">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A20D8A" w14:textId="77777777" w:rsidR="00B137D3" w:rsidRPr="00D96C74" w:rsidRDefault="00B137D3" w:rsidP="00B00391">
            <w:pPr>
              <w:spacing w:before="0" w:after="0"/>
              <w:jc w:val="center"/>
              <w:textAlignment w:val="baseline"/>
              <w:rPr>
                <w:rFonts w:eastAsia="Times New Roman"/>
                <w:noProof/>
                <w:szCs w:val="24"/>
              </w:rPr>
            </w:pPr>
            <w:r w:rsidRPr="00D020C3">
              <w:rPr>
                <w:b/>
                <w:noProof/>
                <w:sz w:val="20"/>
              </w:rPr>
              <w:t>2025</w:t>
            </w:r>
            <w:r w:rsidRPr="00D96C74">
              <w:rPr>
                <w:noProof/>
                <w:sz w:val="20"/>
              </w:rPr>
              <w:t xml:space="preserve">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EE2937" w14:textId="77777777" w:rsidR="00B137D3" w:rsidRPr="00D96C74" w:rsidRDefault="00B137D3" w:rsidP="00B00391">
            <w:pPr>
              <w:spacing w:before="0" w:after="0"/>
              <w:jc w:val="center"/>
              <w:textAlignment w:val="baseline"/>
              <w:rPr>
                <w:rFonts w:eastAsia="Times New Roman"/>
                <w:noProof/>
                <w:szCs w:val="24"/>
              </w:rPr>
            </w:pPr>
            <w:r w:rsidRPr="00D020C3">
              <w:rPr>
                <w:b/>
                <w:noProof/>
                <w:sz w:val="20"/>
              </w:rPr>
              <w:t>2026</w:t>
            </w:r>
            <w:r w:rsidRPr="00D96C74">
              <w:rPr>
                <w:noProof/>
                <w:sz w:val="20"/>
              </w:rPr>
              <w:t xml:space="preserve">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02B20" w14:textId="090E2AE5" w:rsidR="00B137D3" w:rsidRPr="00D96C74" w:rsidRDefault="00B137D3" w:rsidP="00B00391">
            <w:pPr>
              <w:spacing w:before="0" w:after="0"/>
              <w:jc w:val="center"/>
              <w:textAlignment w:val="baseline"/>
              <w:rPr>
                <w:rFonts w:eastAsia="Times New Roman"/>
                <w:noProof/>
                <w:szCs w:val="24"/>
              </w:rPr>
            </w:pPr>
            <w:r w:rsidRPr="00D020C3">
              <w:rPr>
                <w:b/>
                <w:noProof/>
                <w:sz w:val="20"/>
              </w:rPr>
              <w:t xml:space="preserve">2027 </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73461D" w14:textId="77777777" w:rsidR="00B137D3" w:rsidRPr="00D96C74" w:rsidRDefault="00B137D3" w:rsidP="00B00391">
            <w:pPr>
              <w:spacing w:before="0" w:after="0"/>
              <w:jc w:val="center"/>
              <w:textAlignment w:val="baseline"/>
              <w:rPr>
                <w:rFonts w:eastAsia="Times New Roman"/>
                <w:noProof/>
                <w:szCs w:val="24"/>
              </w:rPr>
            </w:pPr>
            <w:r w:rsidRPr="00D020C3">
              <w:rPr>
                <w:b/>
                <w:noProof/>
                <w:sz w:val="20"/>
              </w:rPr>
              <w:t>TOTAL</w:t>
            </w:r>
            <w:r w:rsidRPr="00D96C74">
              <w:rPr>
                <w:noProof/>
                <w:sz w:val="20"/>
              </w:rPr>
              <w:t xml:space="preserve"> </w:t>
            </w:r>
          </w:p>
        </w:tc>
      </w:tr>
      <w:tr w:rsidR="008B5470" w:rsidRPr="00D96C74" w14:paraId="55E70151" w14:textId="77777777" w:rsidTr="008B5470">
        <w:trPr>
          <w:trHeight w:val="300"/>
        </w:trPr>
        <w:tc>
          <w:tcPr>
            <w:tcW w:w="2969" w:type="dxa"/>
            <w:vMerge w:val="restart"/>
            <w:tcBorders>
              <w:top w:val="single" w:sz="6" w:space="0" w:color="auto"/>
              <w:left w:val="single" w:sz="6" w:space="0" w:color="auto"/>
              <w:bottom w:val="single" w:sz="6" w:space="0" w:color="auto"/>
              <w:right w:val="single" w:sz="6" w:space="0" w:color="auto"/>
            </w:tcBorders>
            <w:shd w:val="clear" w:color="auto" w:fill="C0C0C0"/>
            <w:vAlign w:val="center"/>
            <w:hideMark/>
          </w:tcPr>
          <w:p w14:paraId="34B742E7" w14:textId="77777777" w:rsidR="008B5470" w:rsidRPr="00D96C74" w:rsidRDefault="008B5470" w:rsidP="008B5470">
            <w:pPr>
              <w:spacing w:before="0" w:after="0"/>
              <w:jc w:val="center"/>
              <w:textAlignment w:val="baseline"/>
              <w:rPr>
                <w:rFonts w:eastAsia="Times New Roman"/>
                <w:noProof/>
                <w:szCs w:val="24"/>
              </w:rPr>
            </w:pPr>
            <w:r w:rsidRPr="00D020C3">
              <w:rPr>
                <w:b/>
                <w:noProof/>
                <w:sz w:val="22"/>
              </w:rPr>
              <w:t xml:space="preserve">TOTAL credite </w:t>
            </w:r>
            <w:r w:rsidRPr="00D96C74">
              <w:rPr>
                <w:noProof/>
                <w:sz w:val="22"/>
              </w:rPr>
              <w:t xml:space="preserve"> </w:t>
            </w:r>
            <w:r w:rsidRPr="00D96C74">
              <w:rPr>
                <w:noProof/>
              </w:rPr>
              <w:t xml:space="preserve"> </w:t>
            </w:r>
            <w:r w:rsidRPr="00D96C74">
              <w:rPr>
                <w:noProof/>
              </w:rPr>
              <w:br/>
            </w:r>
            <w:r w:rsidRPr="00D020C3">
              <w:rPr>
                <w:b/>
                <w:noProof/>
                <w:sz w:val="22"/>
              </w:rPr>
              <w:t>de la RUBRICILE 1-7</w:t>
            </w:r>
            <w:r w:rsidRPr="00D96C74">
              <w:rPr>
                <w:noProof/>
                <w:sz w:val="22"/>
              </w:rPr>
              <w:t xml:space="preserve"> </w:t>
            </w:r>
            <w:r w:rsidRPr="00D96C74">
              <w:rPr>
                <w:noProof/>
              </w:rPr>
              <w:t xml:space="preserve"> </w:t>
            </w:r>
            <w:r w:rsidRPr="00D96C74">
              <w:rPr>
                <w:noProof/>
              </w:rPr>
              <w:br/>
            </w:r>
            <w:r w:rsidRPr="00D96C74">
              <w:rPr>
                <w:noProof/>
                <w:sz w:val="22"/>
              </w:rPr>
              <w:t>din cadrul financiar multianual</w:t>
            </w:r>
            <w:r w:rsidRPr="00D020C3">
              <w:rPr>
                <w:b/>
                <w:noProof/>
                <w:sz w:val="22"/>
              </w:rPr>
              <w:t xml:space="preserve"> </w:t>
            </w:r>
            <w:r w:rsidRPr="00D96C74">
              <w:rPr>
                <w:noProof/>
                <w:sz w:val="22"/>
              </w:rPr>
              <w:t xml:space="preserve"> </w:t>
            </w:r>
          </w:p>
        </w:tc>
        <w:tc>
          <w:tcPr>
            <w:tcW w:w="16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8E6E75" w14:textId="77777777" w:rsidR="008B5470" w:rsidRPr="00D96C74" w:rsidRDefault="008B5470" w:rsidP="008B5470">
            <w:pPr>
              <w:spacing w:before="0" w:after="0"/>
              <w:textAlignment w:val="baseline"/>
              <w:rPr>
                <w:rFonts w:eastAsia="Times New Roman"/>
                <w:noProof/>
                <w:szCs w:val="24"/>
              </w:rPr>
            </w:pPr>
            <w:r w:rsidRPr="00D96C74">
              <w:rPr>
                <w:noProof/>
                <w:sz w:val="18"/>
              </w:rPr>
              <w:t>Angajamente </w:t>
            </w:r>
          </w:p>
        </w:tc>
        <w:tc>
          <w:tcPr>
            <w:tcW w:w="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076D6" w14:textId="7F905221" w:rsidR="008B5470" w:rsidRPr="00D96C74" w:rsidRDefault="008B5470" w:rsidP="008B5470">
            <w:pPr>
              <w:spacing w:before="0" w:after="0"/>
              <w:jc w:val="center"/>
              <w:textAlignment w:val="baseline"/>
              <w:rPr>
                <w:rFonts w:eastAsia="Times New Roman"/>
                <w:noProof/>
                <w:szCs w:val="24"/>
              </w:rPr>
            </w:pPr>
            <w:r w:rsidRPr="00D020C3">
              <w:rPr>
                <w:noProof/>
                <w:sz w:val="20"/>
              </w:rPr>
              <w:t>0</w:t>
            </w:r>
            <w:r w:rsidRPr="00D96C74">
              <w:rPr>
                <w:noProof/>
                <w:sz w:val="20"/>
              </w:rPr>
              <w:t>,</w:t>
            </w:r>
            <w:r w:rsidRPr="00D020C3">
              <w:rPr>
                <w:noProof/>
                <w:sz w:val="20"/>
              </w:rPr>
              <w:t>257</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4BE529" w14:textId="5EABAC01" w:rsidR="008B5470" w:rsidRPr="00D96C74" w:rsidRDefault="008B5470" w:rsidP="008B5470">
            <w:pPr>
              <w:spacing w:before="0" w:after="0"/>
              <w:jc w:val="center"/>
              <w:textAlignment w:val="baseline"/>
              <w:rPr>
                <w:rFonts w:eastAsia="Times New Roman"/>
                <w:noProof/>
                <w:szCs w:val="24"/>
              </w:rPr>
            </w:pPr>
            <w:r w:rsidRPr="00D020C3">
              <w:rPr>
                <w:noProof/>
                <w:sz w:val="20"/>
              </w:rPr>
              <w:t>0</w:t>
            </w:r>
            <w:r w:rsidRPr="00D96C74">
              <w:rPr>
                <w:noProof/>
                <w:sz w:val="20"/>
              </w:rPr>
              <w:t>,</w:t>
            </w:r>
            <w:r w:rsidRPr="00D020C3">
              <w:rPr>
                <w:noProof/>
                <w:sz w:val="20"/>
              </w:rPr>
              <w:t>444</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A2FB49" w14:textId="7AF2917B" w:rsidR="008B5470" w:rsidRPr="00D96C74" w:rsidRDefault="008B5470" w:rsidP="008B5470">
            <w:pPr>
              <w:spacing w:before="0" w:after="0"/>
              <w:jc w:val="center"/>
              <w:textAlignment w:val="baseline"/>
              <w:rPr>
                <w:rFonts w:eastAsia="Times New Roman"/>
                <w:noProof/>
                <w:szCs w:val="24"/>
              </w:rPr>
            </w:pPr>
            <w:r w:rsidRPr="00D020C3">
              <w:rPr>
                <w:noProof/>
                <w:sz w:val="20"/>
              </w:rPr>
              <w:t>0</w:t>
            </w:r>
            <w:r w:rsidRPr="00D96C74">
              <w:rPr>
                <w:noProof/>
                <w:sz w:val="20"/>
              </w:rPr>
              <w:t>,</w:t>
            </w:r>
            <w:r w:rsidRPr="00D020C3">
              <w:rPr>
                <w:noProof/>
                <w:sz w:val="20"/>
              </w:rPr>
              <w:t>444</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8EEB7F" w14:textId="46C403D5" w:rsidR="008B5470" w:rsidRPr="00D96C74" w:rsidRDefault="008B5470" w:rsidP="008B5470">
            <w:pPr>
              <w:spacing w:before="0" w:after="0"/>
              <w:jc w:val="center"/>
              <w:textAlignment w:val="baseline"/>
              <w:rPr>
                <w:rFonts w:eastAsia="Times New Roman"/>
                <w:noProof/>
                <w:szCs w:val="24"/>
              </w:rPr>
            </w:pPr>
            <w:r w:rsidRPr="00D020C3">
              <w:rPr>
                <w:noProof/>
                <w:sz w:val="20"/>
              </w:rPr>
              <w:t>0</w:t>
            </w:r>
            <w:r w:rsidRPr="00D96C74">
              <w:rPr>
                <w:noProof/>
                <w:sz w:val="20"/>
              </w:rPr>
              <w:t>,</w:t>
            </w:r>
            <w:r w:rsidRPr="00D020C3">
              <w:rPr>
                <w:noProof/>
                <w:sz w:val="20"/>
              </w:rPr>
              <w:t>444</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ED5F05" w14:textId="68D3EECC" w:rsidR="008B5470" w:rsidRPr="00D96C74" w:rsidRDefault="008B5470" w:rsidP="008B5470">
            <w:pPr>
              <w:spacing w:before="0" w:after="0"/>
              <w:jc w:val="center"/>
              <w:textAlignment w:val="baseline"/>
              <w:rPr>
                <w:rFonts w:eastAsia="Times New Roman"/>
                <w:noProof/>
                <w:szCs w:val="24"/>
              </w:rPr>
            </w:pPr>
            <w:r w:rsidRPr="00D020C3">
              <w:rPr>
                <w:noProof/>
                <w:sz w:val="20"/>
              </w:rPr>
              <w:t>0</w:t>
            </w:r>
            <w:r w:rsidRPr="00D96C74">
              <w:rPr>
                <w:noProof/>
                <w:sz w:val="20"/>
              </w:rPr>
              <w:t>,</w:t>
            </w:r>
            <w:r w:rsidRPr="00D020C3">
              <w:rPr>
                <w:noProof/>
                <w:sz w:val="20"/>
              </w:rPr>
              <w:t>444</w:t>
            </w:r>
          </w:p>
        </w:tc>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6334A3" w14:textId="257D01F2" w:rsidR="008B5470" w:rsidRPr="00D96C74" w:rsidRDefault="008B5470" w:rsidP="008B5470">
            <w:pPr>
              <w:spacing w:before="0" w:after="0"/>
              <w:jc w:val="center"/>
              <w:textAlignment w:val="baseline"/>
              <w:rPr>
                <w:rFonts w:eastAsia="Times New Roman"/>
                <w:noProof/>
                <w:szCs w:val="24"/>
              </w:rPr>
            </w:pPr>
            <w:r w:rsidRPr="00D020C3">
              <w:rPr>
                <w:rStyle w:val="normaltextrun"/>
                <w:b/>
                <w:noProof/>
                <w:color w:val="000000"/>
                <w:sz w:val="20"/>
              </w:rPr>
              <w:t>2,033</w:t>
            </w:r>
          </w:p>
        </w:tc>
      </w:tr>
      <w:tr w:rsidR="008B5470" w:rsidRPr="00D96C74" w14:paraId="6FAA2963" w14:textId="77777777" w:rsidTr="008B547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2A71CC" w14:textId="77777777" w:rsidR="008B5470" w:rsidRPr="00D96C74" w:rsidRDefault="008B5470" w:rsidP="008B5470">
            <w:pPr>
              <w:spacing w:before="0" w:after="0"/>
              <w:jc w:val="left"/>
              <w:rPr>
                <w:rFonts w:eastAsia="Times New Roman"/>
                <w:noProof/>
                <w:szCs w:val="24"/>
                <w:lang w:eastAsia="en-IE"/>
              </w:rPr>
            </w:pPr>
          </w:p>
        </w:tc>
        <w:tc>
          <w:tcPr>
            <w:tcW w:w="16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95C573A" w14:textId="77777777" w:rsidR="008B5470" w:rsidRPr="00D96C74" w:rsidRDefault="008B5470" w:rsidP="008B5470">
            <w:pPr>
              <w:spacing w:before="0" w:after="0"/>
              <w:textAlignment w:val="baseline"/>
              <w:rPr>
                <w:rFonts w:eastAsia="Times New Roman"/>
                <w:noProof/>
                <w:szCs w:val="24"/>
              </w:rPr>
            </w:pPr>
            <w:r w:rsidRPr="00D96C74">
              <w:rPr>
                <w:noProof/>
                <w:sz w:val="18"/>
              </w:rPr>
              <w:t>Plăți </w:t>
            </w:r>
          </w:p>
        </w:tc>
        <w:tc>
          <w:tcPr>
            <w:tcW w:w="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B4E26" w14:textId="47C061BA" w:rsidR="008B5470" w:rsidRPr="00D96C74" w:rsidRDefault="008B5470" w:rsidP="008B5470">
            <w:pPr>
              <w:spacing w:before="0" w:after="0"/>
              <w:jc w:val="center"/>
              <w:textAlignment w:val="baseline"/>
              <w:rPr>
                <w:rFonts w:eastAsia="Times New Roman"/>
                <w:noProof/>
                <w:szCs w:val="24"/>
              </w:rPr>
            </w:pPr>
            <w:r w:rsidRPr="00D020C3">
              <w:rPr>
                <w:noProof/>
                <w:sz w:val="20"/>
              </w:rPr>
              <w:t>0</w:t>
            </w:r>
            <w:r w:rsidRPr="00D96C74">
              <w:rPr>
                <w:noProof/>
                <w:sz w:val="20"/>
              </w:rPr>
              <w:t>,</w:t>
            </w:r>
            <w:r w:rsidRPr="00D020C3">
              <w:rPr>
                <w:noProof/>
                <w:sz w:val="20"/>
              </w:rPr>
              <w:t>257</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41C7DD" w14:textId="3A71FAFB" w:rsidR="008B5470" w:rsidRPr="00D96C74" w:rsidRDefault="008B5470" w:rsidP="008B5470">
            <w:pPr>
              <w:spacing w:before="0" w:after="0"/>
              <w:jc w:val="center"/>
              <w:textAlignment w:val="baseline"/>
              <w:rPr>
                <w:rFonts w:eastAsia="Times New Roman"/>
                <w:noProof/>
                <w:szCs w:val="24"/>
              </w:rPr>
            </w:pPr>
            <w:r w:rsidRPr="00D020C3">
              <w:rPr>
                <w:noProof/>
                <w:sz w:val="20"/>
              </w:rPr>
              <w:t>0</w:t>
            </w:r>
            <w:r w:rsidRPr="00D96C74">
              <w:rPr>
                <w:noProof/>
                <w:sz w:val="20"/>
              </w:rPr>
              <w:t>,</w:t>
            </w:r>
            <w:r w:rsidRPr="00D020C3">
              <w:rPr>
                <w:noProof/>
                <w:sz w:val="20"/>
              </w:rPr>
              <w:t>444</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D7519" w14:textId="41B643ED" w:rsidR="008B5470" w:rsidRPr="00D96C74" w:rsidRDefault="008B5470" w:rsidP="008B5470">
            <w:pPr>
              <w:spacing w:before="0" w:after="0"/>
              <w:jc w:val="center"/>
              <w:textAlignment w:val="baseline"/>
              <w:rPr>
                <w:rFonts w:eastAsia="Times New Roman"/>
                <w:noProof/>
                <w:szCs w:val="24"/>
              </w:rPr>
            </w:pPr>
            <w:r w:rsidRPr="00D020C3">
              <w:rPr>
                <w:noProof/>
                <w:sz w:val="20"/>
              </w:rPr>
              <w:t>0</w:t>
            </w:r>
            <w:r w:rsidRPr="00D96C74">
              <w:rPr>
                <w:noProof/>
                <w:sz w:val="20"/>
              </w:rPr>
              <w:t>,</w:t>
            </w:r>
            <w:r w:rsidRPr="00D020C3">
              <w:rPr>
                <w:noProof/>
                <w:sz w:val="20"/>
              </w:rPr>
              <w:t>444</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23E30" w14:textId="0858C5A6" w:rsidR="008B5470" w:rsidRPr="00D96C74" w:rsidRDefault="008B5470" w:rsidP="008B5470">
            <w:pPr>
              <w:spacing w:before="0" w:after="0"/>
              <w:jc w:val="center"/>
              <w:textAlignment w:val="baseline"/>
              <w:rPr>
                <w:rFonts w:eastAsia="Times New Roman"/>
                <w:noProof/>
                <w:szCs w:val="24"/>
              </w:rPr>
            </w:pPr>
            <w:r w:rsidRPr="00D020C3">
              <w:rPr>
                <w:noProof/>
                <w:sz w:val="20"/>
              </w:rPr>
              <w:t>0</w:t>
            </w:r>
            <w:r w:rsidRPr="00D96C74">
              <w:rPr>
                <w:noProof/>
                <w:sz w:val="20"/>
              </w:rPr>
              <w:t>,</w:t>
            </w:r>
            <w:r w:rsidRPr="00D020C3">
              <w:rPr>
                <w:noProof/>
                <w:sz w:val="20"/>
              </w:rPr>
              <w:t>444</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3885E2" w14:textId="50A33005" w:rsidR="008B5470" w:rsidRPr="00D96C74" w:rsidRDefault="008B5470" w:rsidP="008B5470">
            <w:pPr>
              <w:spacing w:before="0" w:after="0"/>
              <w:jc w:val="center"/>
              <w:textAlignment w:val="baseline"/>
              <w:rPr>
                <w:rFonts w:eastAsia="Times New Roman"/>
                <w:noProof/>
                <w:szCs w:val="24"/>
              </w:rPr>
            </w:pPr>
            <w:r w:rsidRPr="00D020C3">
              <w:rPr>
                <w:noProof/>
                <w:sz w:val="20"/>
              </w:rPr>
              <w:t>0</w:t>
            </w:r>
            <w:r w:rsidRPr="00D96C74">
              <w:rPr>
                <w:noProof/>
                <w:sz w:val="20"/>
              </w:rPr>
              <w:t>,</w:t>
            </w:r>
            <w:r w:rsidRPr="00D020C3">
              <w:rPr>
                <w:noProof/>
                <w:sz w:val="20"/>
              </w:rPr>
              <w:t>444</w:t>
            </w:r>
          </w:p>
        </w:tc>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753620" w14:textId="1F760AEE" w:rsidR="008B5470" w:rsidRPr="00D96C74" w:rsidRDefault="008B5470" w:rsidP="008B5470">
            <w:pPr>
              <w:spacing w:before="0" w:after="0"/>
              <w:jc w:val="center"/>
              <w:textAlignment w:val="baseline"/>
              <w:rPr>
                <w:rFonts w:eastAsia="Times New Roman"/>
                <w:noProof/>
                <w:szCs w:val="24"/>
              </w:rPr>
            </w:pPr>
            <w:r w:rsidRPr="00D020C3">
              <w:rPr>
                <w:rStyle w:val="normaltextrun"/>
                <w:b/>
                <w:noProof/>
                <w:color w:val="000000"/>
                <w:sz w:val="20"/>
              </w:rPr>
              <w:t>2,033</w:t>
            </w:r>
          </w:p>
        </w:tc>
      </w:tr>
    </w:tbl>
    <w:p w14:paraId="6E02AAE8" w14:textId="77777777" w:rsidR="00682C4D" w:rsidRPr="00D96C74" w:rsidRDefault="00682C4D" w:rsidP="00682C4D">
      <w:pPr>
        <w:spacing w:before="0" w:after="0"/>
        <w:textAlignment w:val="baseline"/>
        <w:rPr>
          <w:rFonts w:ascii="Segoe UI" w:eastAsia="Times New Roman" w:hAnsi="Segoe UI" w:cs="Segoe UI"/>
          <w:noProof/>
          <w:sz w:val="18"/>
          <w:szCs w:val="18"/>
        </w:rPr>
      </w:pPr>
      <w:r w:rsidRPr="00D96C74">
        <w:rPr>
          <w:noProof/>
        </w:rPr>
        <w:t xml:space="preserve"> </w:t>
      </w:r>
    </w:p>
    <w:p w14:paraId="77636E81" w14:textId="77777777" w:rsidR="00BD152F" w:rsidRPr="00D96C74" w:rsidRDefault="00BD152F" w:rsidP="00B00391">
      <w:pPr>
        <w:rPr>
          <w:noProof/>
        </w:rPr>
      </w:pPr>
    </w:p>
    <w:p w14:paraId="3C933E2E" w14:textId="77777777" w:rsidR="00BD152F" w:rsidRPr="008D4D1E" w:rsidRDefault="00BD152F" w:rsidP="00B00391">
      <w:pPr>
        <w:pStyle w:val="ManualHeading3"/>
        <w:rPr>
          <w:bCs/>
          <w:noProof/>
          <w:szCs w:val="24"/>
        </w:rPr>
      </w:pPr>
      <w:r w:rsidRPr="008D4D1E">
        <w:rPr>
          <w:noProof/>
        </w:rPr>
        <w:t>3.2.2.</w:t>
      </w:r>
      <w:r w:rsidRPr="008D4D1E">
        <w:rPr>
          <w:noProof/>
        </w:rPr>
        <w:tab/>
        <w:t xml:space="preserve">Realizările preconizate finanțate din credite operaționale </w:t>
      </w:r>
    </w:p>
    <w:p w14:paraId="77C5332A" w14:textId="77777777" w:rsidR="00BD152F" w:rsidRPr="00D96C74" w:rsidRDefault="00BD152F" w:rsidP="00B00391">
      <w:pPr>
        <w:jc w:val="right"/>
        <w:rPr>
          <w:noProof/>
          <w:sz w:val="20"/>
        </w:rPr>
      </w:pPr>
      <w:r w:rsidRPr="00D96C74">
        <w:rPr>
          <w:noProof/>
          <w:sz w:val="20"/>
        </w:rPr>
        <w:t>Credite de angajament în milioane EUR (cu trei zecimale)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BD152F" w:rsidRPr="00D96C74" w14:paraId="3650CA11" w14:textId="77777777" w:rsidTr="1BD3479F">
        <w:trPr>
          <w:jc w:val="center"/>
        </w:trPr>
        <w:tc>
          <w:tcPr>
            <w:tcW w:w="1423" w:type="dxa"/>
            <w:vMerge w:val="restart"/>
            <w:vAlign w:val="center"/>
          </w:tcPr>
          <w:p w14:paraId="6348C4E5" w14:textId="77777777" w:rsidR="00BD152F" w:rsidRPr="00D020C3" w:rsidRDefault="00BD152F" w:rsidP="00B00391">
            <w:pPr>
              <w:ind w:right="-29"/>
              <w:jc w:val="center"/>
              <w:rPr>
                <w:b/>
                <w:noProof/>
                <w:sz w:val="18"/>
                <w:szCs w:val="18"/>
              </w:rPr>
            </w:pPr>
            <w:r w:rsidRPr="00D020C3">
              <w:rPr>
                <w:b/>
                <w:noProof/>
                <w:sz w:val="18"/>
              </w:rPr>
              <w:t xml:space="preserve">A se indica obiectivele și realizările </w:t>
            </w:r>
          </w:p>
          <w:p w14:paraId="79B68218" w14:textId="77777777" w:rsidR="00BD152F" w:rsidRPr="00D020C3" w:rsidRDefault="00BD152F" w:rsidP="00B00391">
            <w:pPr>
              <w:ind w:right="-29"/>
              <w:jc w:val="center"/>
              <w:rPr>
                <w:b/>
                <w:noProof/>
                <w:sz w:val="18"/>
                <w:szCs w:val="18"/>
              </w:rPr>
            </w:pPr>
          </w:p>
          <w:p w14:paraId="69A9CB0D" w14:textId="77777777" w:rsidR="00BD152F" w:rsidRPr="00D96C74" w:rsidRDefault="00BD152F" w:rsidP="00B00391">
            <w:pPr>
              <w:ind w:right="-29"/>
              <w:jc w:val="center"/>
              <w:rPr>
                <w:noProof/>
                <w:sz w:val="18"/>
                <w:szCs w:val="18"/>
              </w:rPr>
            </w:pPr>
            <w:r w:rsidRPr="00D96C74">
              <w:rPr>
                <w:rFonts w:ascii="Wingdings" w:hAnsi="Wingdings"/>
                <w:noProof/>
                <w:sz w:val="18"/>
              </w:rPr>
              <w:t></w:t>
            </w:r>
          </w:p>
        </w:tc>
        <w:tc>
          <w:tcPr>
            <w:tcW w:w="720" w:type="dxa"/>
            <w:vAlign w:val="center"/>
          </w:tcPr>
          <w:p w14:paraId="31DFA723" w14:textId="77777777" w:rsidR="00BD152F" w:rsidRPr="00D96C74" w:rsidRDefault="00BD152F" w:rsidP="00B00391">
            <w:pPr>
              <w:ind w:right="-29"/>
              <w:jc w:val="center"/>
              <w:rPr>
                <w:noProof/>
                <w:sz w:val="18"/>
                <w:szCs w:val="18"/>
              </w:rPr>
            </w:pPr>
          </w:p>
        </w:tc>
        <w:tc>
          <w:tcPr>
            <w:tcW w:w="701" w:type="dxa"/>
            <w:vAlign w:val="center"/>
          </w:tcPr>
          <w:p w14:paraId="6C1BB564" w14:textId="77777777" w:rsidR="00BD152F" w:rsidRPr="00D96C74" w:rsidRDefault="00BD152F" w:rsidP="00B00391">
            <w:pPr>
              <w:ind w:right="-29"/>
              <w:jc w:val="center"/>
              <w:rPr>
                <w:noProof/>
                <w:sz w:val="18"/>
                <w:szCs w:val="18"/>
              </w:rPr>
            </w:pPr>
          </w:p>
        </w:tc>
        <w:tc>
          <w:tcPr>
            <w:tcW w:w="1224" w:type="dxa"/>
            <w:gridSpan w:val="2"/>
            <w:tcBorders>
              <w:left w:val="nil"/>
            </w:tcBorders>
            <w:vAlign w:val="center"/>
          </w:tcPr>
          <w:p w14:paraId="7E0AA8B2" w14:textId="77777777" w:rsidR="00BD152F" w:rsidRPr="00D96C74" w:rsidRDefault="00BD152F" w:rsidP="00B00391">
            <w:pPr>
              <w:ind w:right="-29"/>
              <w:jc w:val="center"/>
              <w:rPr>
                <w:noProof/>
                <w:sz w:val="18"/>
                <w:szCs w:val="18"/>
              </w:rPr>
            </w:pPr>
            <w:r w:rsidRPr="00D96C74">
              <w:rPr>
                <w:noProof/>
                <w:sz w:val="18"/>
              </w:rPr>
              <w:t>Anul</w:t>
            </w:r>
            <w:r w:rsidRPr="00D96C74">
              <w:rPr>
                <w:noProof/>
              </w:rPr>
              <w:t xml:space="preserve"> </w:t>
            </w:r>
            <w:r w:rsidRPr="00D96C74">
              <w:rPr>
                <w:noProof/>
              </w:rPr>
              <w:br/>
            </w:r>
            <w:r w:rsidRPr="00D020C3">
              <w:rPr>
                <w:b/>
                <w:noProof/>
                <w:sz w:val="18"/>
              </w:rPr>
              <w:t>N</w:t>
            </w:r>
          </w:p>
        </w:tc>
        <w:tc>
          <w:tcPr>
            <w:tcW w:w="1260" w:type="dxa"/>
            <w:gridSpan w:val="2"/>
            <w:vAlign w:val="center"/>
          </w:tcPr>
          <w:p w14:paraId="79F6C01A" w14:textId="77777777" w:rsidR="00BD152F" w:rsidRPr="00D96C74" w:rsidRDefault="00BD152F" w:rsidP="00B00391">
            <w:pPr>
              <w:ind w:right="-29"/>
              <w:jc w:val="center"/>
              <w:rPr>
                <w:noProof/>
                <w:sz w:val="18"/>
                <w:szCs w:val="18"/>
              </w:rPr>
            </w:pPr>
            <w:r w:rsidRPr="00D96C74">
              <w:rPr>
                <w:noProof/>
                <w:sz w:val="18"/>
              </w:rPr>
              <w:t>Anul</w:t>
            </w:r>
            <w:r w:rsidRPr="00D96C74">
              <w:rPr>
                <w:noProof/>
              </w:rPr>
              <w:t xml:space="preserve"> </w:t>
            </w:r>
            <w:r w:rsidRPr="00D96C74">
              <w:rPr>
                <w:noProof/>
              </w:rPr>
              <w:br/>
            </w:r>
            <w:r w:rsidRPr="00D020C3">
              <w:rPr>
                <w:b/>
                <w:noProof/>
                <w:sz w:val="18"/>
              </w:rPr>
              <w:t>N+1</w:t>
            </w:r>
          </w:p>
        </w:tc>
        <w:tc>
          <w:tcPr>
            <w:tcW w:w="1440" w:type="dxa"/>
            <w:gridSpan w:val="2"/>
            <w:vAlign w:val="center"/>
          </w:tcPr>
          <w:p w14:paraId="0A34A700" w14:textId="77777777" w:rsidR="00BD152F" w:rsidRPr="00D96C74" w:rsidRDefault="00BD152F" w:rsidP="00B00391">
            <w:pPr>
              <w:ind w:right="-29"/>
              <w:jc w:val="center"/>
              <w:rPr>
                <w:noProof/>
                <w:sz w:val="18"/>
                <w:szCs w:val="18"/>
              </w:rPr>
            </w:pPr>
            <w:r w:rsidRPr="00D96C74">
              <w:rPr>
                <w:noProof/>
                <w:sz w:val="18"/>
              </w:rPr>
              <w:t>Anul</w:t>
            </w:r>
            <w:r w:rsidRPr="00D96C74">
              <w:rPr>
                <w:noProof/>
              </w:rPr>
              <w:t xml:space="preserve"> </w:t>
            </w:r>
            <w:r w:rsidRPr="00D96C74">
              <w:rPr>
                <w:noProof/>
              </w:rPr>
              <w:br/>
            </w:r>
            <w:r w:rsidRPr="00D020C3">
              <w:rPr>
                <w:b/>
                <w:noProof/>
                <w:sz w:val="18"/>
              </w:rPr>
              <w:t>N+2</w:t>
            </w:r>
          </w:p>
        </w:tc>
        <w:tc>
          <w:tcPr>
            <w:tcW w:w="1620" w:type="dxa"/>
            <w:gridSpan w:val="3"/>
            <w:vAlign w:val="center"/>
          </w:tcPr>
          <w:p w14:paraId="20F760BA" w14:textId="77777777" w:rsidR="00BD152F" w:rsidRPr="00D96C74" w:rsidRDefault="00BD152F" w:rsidP="00B00391">
            <w:pPr>
              <w:ind w:right="-29"/>
              <w:jc w:val="center"/>
              <w:rPr>
                <w:noProof/>
                <w:sz w:val="18"/>
                <w:szCs w:val="18"/>
              </w:rPr>
            </w:pPr>
            <w:r w:rsidRPr="00D96C74">
              <w:rPr>
                <w:noProof/>
                <w:sz w:val="18"/>
              </w:rPr>
              <w:t>Anul</w:t>
            </w:r>
            <w:r w:rsidRPr="00D96C74">
              <w:rPr>
                <w:noProof/>
              </w:rPr>
              <w:t xml:space="preserve"> </w:t>
            </w:r>
            <w:r w:rsidRPr="00D96C74">
              <w:rPr>
                <w:noProof/>
              </w:rPr>
              <w:br/>
            </w:r>
            <w:r w:rsidRPr="00D020C3">
              <w:rPr>
                <w:b/>
                <w:noProof/>
                <w:sz w:val="18"/>
              </w:rPr>
              <w:t>N+3</w:t>
            </w:r>
          </w:p>
        </w:tc>
        <w:tc>
          <w:tcPr>
            <w:tcW w:w="3600" w:type="dxa"/>
            <w:gridSpan w:val="6"/>
            <w:vAlign w:val="center"/>
          </w:tcPr>
          <w:p w14:paraId="4D467C1D" w14:textId="77777777" w:rsidR="00BD152F" w:rsidRPr="00D96C74" w:rsidRDefault="00BD152F" w:rsidP="00B00391">
            <w:pPr>
              <w:jc w:val="center"/>
              <w:rPr>
                <w:noProof/>
                <w:sz w:val="18"/>
                <w:szCs w:val="18"/>
              </w:rPr>
            </w:pPr>
            <w:r w:rsidRPr="00D96C74">
              <w:rPr>
                <w:noProof/>
                <w:sz w:val="18"/>
              </w:rPr>
              <w:t>A se introduce atâția ani câți sunt considerați necesari pentru a reflecta durata impactului (a se vedea punctul </w:t>
            </w:r>
            <w:r w:rsidRPr="00D020C3">
              <w:rPr>
                <w:noProof/>
                <w:sz w:val="18"/>
              </w:rPr>
              <w:t>1</w:t>
            </w:r>
            <w:r w:rsidRPr="00D96C74">
              <w:rPr>
                <w:noProof/>
                <w:sz w:val="18"/>
              </w:rPr>
              <w:t>.</w:t>
            </w:r>
            <w:r w:rsidRPr="00D020C3">
              <w:rPr>
                <w:noProof/>
                <w:sz w:val="18"/>
              </w:rPr>
              <w:t>6</w:t>
            </w:r>
            <w:r w:rsidRPr="00D96C74">
              <w:rPr>
                <w:noProof/>
                <w:sz w:val="18"/>
              </w:rPr>
              <w:t>)</w:t>
            </w:r>
          </w:p>
        </w:tc>
        <w:tc>
          <w:tcPr>
            <w:tcW w:w="1620" w:type="dxa"/>
            <w:gridSpan w:val="2"/>
            <w:tcBorders>
              <w:left w:val="nil"/>
              <w:bottom w:val="nil"/>
            </w:tcBorders>
            <w:vAlign w:val="center"/>
          </w:tcPr>
          <w:p w14:paraId="24143563" w14:textId="77777777" w:rsidR="00BD152F" w:rsidRPr="00D96C74" w:rsidRDefault="00BD152F" w:rsidP="00B00391">
            <w:pPr>
              <w:ind w:right="-29"/>
              <w:jc w:val="center"/>
              <w:rPr>
                <w:noProof/>
                <w:sz w:val="18"/>
                <w:szCs w:val="18"/>
              </w:rPr>
            </w:pPr>
            <w:r w:rsidRPr="00D020C3">
              <w:rPr>
                <w:b/>
                <w:noProof/>
                <w:sz w:val="18"/>
              </w:rPr>
              <w:t>TOTAL</w:t>
            </w:r>
          </w:p>
        </w:tc>
      </w:tr>
      <w:tr w:rsidR="00BD152F" w:rsidRPr="00D96C74" w14:paraId="1A8EE6CC" w14:textId="77777777" w:rsidTr="1BD3479F">
        <w:trPr>
          <w:jc w:val="center"/>
        </w:trPr>
        <w:tc>
          <w:tcPr>
            <w:tcW w:w="1423" w:type="dxa"/>
            <w:vMerge/>
            <w:vAlign w:val="center"/>
          </w:tcPr>
          <w:p w14:paraId="5464C35E" w14:textId="77777777" w:rsidR="00BD152F" w:rsidRPr="00D96C74" w:rsidRDefault="00BD152F" w:rsidP="00B00391">
            <w:pPr>
              <w:ind w:right="-29"/>
              <w:jc w:val="center"/>
              <w:rPr>
                <w:noProof/>
                <w:sz w:val="18"/>
                <w:szCs w:val="18"/>
              </w:rPr>
            </w:pPr>
          </w:p>
        </w:tc>
        <w:tc>
          <w:tcPr>
            <w:tcW w:w="12185" w:type="dxa"/>
            <w:gridSpan w:val="19"/>
            <w:vAlign w:val="center"/>
          </w:tcPr>
          <w:p w14:paraId="38A7DB25" w14:textId="77777777" w:rsidR="00BD152F" w:rsidRPr="00D96C74" w:rsidRDefault="00BD152F" w:rsidP="00B00391">
            <w:pPr>
              <w:spacing w:before="60" w:after="60"/>
              <w:ind w:right="-29"/>
              <w:jc w:val="center"/>
              <w:rPr>
                <w:noProof/>
                <w:sz w:val="18"/>
                <w:szCs w:val="18"/>
              </w:rPr>
            </w:pPr>
            <w:r w:rsidRPr="00D020C3">
              <w:rPr>
                <w:b/>
                <w:noProof/>
                <w:sz w:val="18"/>
              </w:rPr>
              <w:t>REALIZĂRI</w:t>
            </w:r>
          </w:p>
        </w:tc>
      </w:tr>
      <w:tr w:rsidR="00BD152F" w:rsidRPr="00D96C74" w14:paraId="5E823154" w14:textId="77777777" w:rsidTr="1BD3479F">
        <w:trPr>
          <w:cantSplit/>
          <w:trHeight w:val="1134"/>
          <w:jc w:val="center"/>
        </w:trPr>
        <w:tc>
          <w:tcPr>
            <w:tcW w:w="1423" w:type="dxa"/>
            <w:vMerge/>
            <w:vAlign w:val="center"/>
          </w:tcPr>
          <w:p w14:paraId="7738D71B" w14:textId="77777777" w:rsidR="00BD152F" w:rsidRPr="00D96C74" w:rsidRDefault="00BD152F" w:rsidP="00B00391">
            <w:pPr>
              <w:rPr>
                <w:noProof/>
                <w:sz w:val="18"/>
                <w:szCs w:val="18"/>
              </w:rPr>
            </w:pPr>
          </w:p>
        </w:tc>
        <w:tc>
          <w:tcPr>
            <w:tcW w:w="720" w:type="dxa"/>
            <w:vAlign w:val="center"/>
          </w:tcPr>
          <w:p w14:paraId="5AA10D16" w14:textId="77777777" w:rsidR="00BD152F" w:rsidRPr="00D96C74" w:rsidRDefault="76754597" w:rsidP="00B00391">
            <w:pPr>
              <w:jc w:val="center"/>
              <w:rPr>
                <w:noProof/>
                <w:sz w:val="18"/>
                <w:szCs w:val="18"/>
              </w:rPr>
            </w:pPr>
            <w:r w:rsidRPr="00D96C74">
              <w:rPr>
                <w:noProof/>
                <w:sz w:val="18"/>
              </w:rPr>
              <w:t>Tip</w:t>
            </w:r>
            <w:r w:rsidRPr="00D96C74">
              <w:rPr>
                <w:rStyle w:val="FootnoteReference"/>
                <w:noProof/>
                <w:sz w:val="18"/>
                <w:szCs w:val="18"/>
              </w:rPr>
              <w:footnoteReference w:id="92"/>
            </w:r>
          </w:p>
          <w:p w14:paraId="6F7FDC95" w14:textId="77777777" w:rsidR="00BD152F" w:rsidRPr="00D96C74" w:rsidRDefault="00BD152F" w:rsidP="00B00391">
            <w:pPr>
              <w:spacing w:before="0" w:after="0"/>
              <w:jc w:val="center"/>
              <w:rPr>
                <w:noProof/>
                <w:sz w:val="18"/>
                <w:szCs w:val="18"/>
              </w:rPr>
            </w:pPr>
          </w:p>
        </w:tc>
        <w:tc>
          <w:tcPr>
            <w:tcW w:w="701" w:type="dxa"/>
            <w:vAlign w:val="center"/>
          </w:tcPr>
          <w:p w14:paraId="173E26EF" w14:textId="77777777" w:rsidR="00BD152F" w:rsidRPr="00D96C74" w:rsidRDefault="00BD152F" w:rsidP="00B00391">
            <w:pPr>
              <w:jc w:val="center"/>
              <w:rPr>
                <w:noProof/>
                <w:sz w:val="18"/>
                <w:szCs w:val="18"/>
              </w:rPr>
            </w:pPr>
            <w:r w:rsidRPr="00D96C74">
              <w:rPr>
                <w:noProof/>
                <w:sz w:val="18"/>
              </w:rPr>
              <w:t>Costuri medii</w:t>
            </w:r>
          </w:p>
        </w:tc>
        <w:tc>
          <w:tcPr>
            <w:tcW w:w="504" w:type="dxa"/>
            <w:tcBorders>
              <w:left w:val="nil"/>
              <w:right w:val="dashSmallGap" w:sz="4" w:space="0" w:color="auto"/>
            </w:tcBorders>
            <w:shd w:val="clear" w:color="auto" w:fill="auto"/>
            <w:textDirection w:val="btLr"/>
            <w:vAlign w:val="center"/>
          </w:tcPr>
          <w:p w14:paraId="46685A64" w14:textId="77777777" w:rsidR="00BD152F" w:rsidRPr="00D96C74" w:rsidRDefault="00BD152F" w:rsidP="00B00391">
            <w:pPr>
              <w:ind w:left="113" w:right="113"/>
              <w:jc w:val="center"/>
              <w:rPr>
                <w:noProof/>
                <w:sz w:val="18"/>
                <w:szCs w:val="18"/>
              </w:rPr>
            </w:pPr>
            <w:r w:rsidRPr="00D96C74">
              <w:rPr>
                <w:noProof/>
                <w:sz w:val="18"/>
              </w:rPr>
              <w:t>Nr.</w:t>
            </w:r>
          </w:p>
        </w:tc>
        <w:tc>
          <w:tcPr>
            <w:tcW w:w="720" w:type="dxa"/>
            <w:tcBorders>
              <w:left w:val="dashSmallGap" w:sz="4" w:space="0" w:color="auto"/>
            </w:tcBorders>
            <w:shd w:val="clear" w:color="auto" w:fill="auto"/>
            <w:vAlign w:val="center"/>
          </w:tcPr>
          <w:p w14:paraId="2C6097AE" w14:textId="77777777" w:rsidR="00BD152F" w:rsidRPr="00D96C74" w:rsidRDefault="00BD152F" w:rsidP="00B00391">
            <w:pPr>
              <w:jc w:val="center"/>
              <w:rPr>
                <w:noProof/>
                <w:sz w:val="18"/>
                <w:szCs w:val="18"/>
              </w:rPr>
            </w:pPr>
            <w:r w:rsidRPr="00D96C74">
              <w:rPr>
                <w:noProof/>
                <w:sz w:val="18"/>
              </w:rPr>
              <w:t>Costuri</w:t>
            </w:r>
          </w:p>
        </w:tc>
        <w:tc>
          <w:tcPr>
            <w:tcW w:w="540" w:type="dxa"/>
            <w:tcBorders>
              <w:right w:val="dashSmallGap" w:sz="4" w:space="0" w:color="auto"/>
            </w:tcBorders>
            <w:shd w:val="clear" w:color="auto" w:fill="auto"/>
            <w:textDirection w:val="btLr"/>
            <w:vAlign w:val="center"/>
          </w:tcPr>
          <w:p w14:paraId="10A7B087" w14:textId="77777777" w:rsidR="00BD152F" w:rsidRPr="00D96C74" w:rsidRDefault="00BD152F" w:rsidP="00B00391">
            <w:pPr>
              <w:ind w:left="113" w:right="113"/>
              <w:jc w:val="center"/>
              <w:rPr>
                <w:noProof/>
                <w:sz w:val="18"/>
                <w:szCs w:val="18"/>
              </w:rPr>
            </w:pPr>
            <w:r w:rsidRPr="00D96C74">
              <w:rPr>
                <w:noProof/>
                <w:sz w:val="18"/>
              </w:rPr>
              <w:t>Nr.</w:t>
            </w:r>
          </w:p>
        </w:tc>
        <w:tc>
          <w:tcPr>
            <w:tcW w:w="720" w:type="dxa"/>
            <w:tcBorders>
              <w:left w:val="dashSmallGap" w:sz="4" w:space="0" w:color="auto"/>
            </w:tcBorders>
            <w:shd w:val="clear" w:color="auto" w:fill="auto"/>
            <w:vAlign w:val="center"/>
          </w:tcPr>
          <w:p w14:paraId="0C2BD502" w14:textId="77777777" w:rsidR="00BD152F" w:rsidRPr="00D96C74" w:rsidRDefault="00BD152F" w:rsidP="00B00391">
            <w:pPr>
              <w:jc w:val="center"/>
              <w:rPr>
                <w:noProof/>
                <w:sz w:val="18"/>
                <w:szCs w:val="18"/>
              </w:rPr>
            </w:pPr>
            <w:r w:rsidRPr="00D96C74">
              <w:rPr>
                <w:noProof/>
                <w:sz w:val="18"/>
              </w:rPr>
              <w:t>Costuri</w:t>
            </w:r>
          </w:p>
        </w:tc>
        <w:tc>
          <w:tcPr>
            <w:tcW w:w="720" w:type="dxa"/>
            <w:tcBorders>
              <w:right w:val="dashSmallGap" w:sz="4" w:space="0" w:color="auto"/>
            </w:tcBorders>
            <w:shd w:val="clear" w:color="auto" w:fill="auto"/>
            <w:textDirection w:val="btLr"/>
            <w:vAlign w:val="center"/>
          </w:tcPr>
          <w:p w14:paraId="0897566B" w14:textId="77777777" w:rsidR="00BD152F" w:rsidRPr="00D96C74" w:rsidRDefault="00BD152F" w:rsidP="00B00391">
            <w:pPr>
              <w:ind w:left="113" w:right="113"/>
              <w:jc w:val="center"/>
              <w:rPr>
                <w:noProof/>
                <w:sz w:val="18"/>
                <w:szCs w:val="18"/>
              </w:rPr>
            </w:pPr>
            <w:r w:rsidRPr="00D96C74">
              <w:rPr>
                <w:noProof/>
                <w:sz w:val="18"/>
              </w:rPr>
              <w:t>Nr.</w:t>
            </w:r>
          </w:p>
        </w:tc>
        <w:tc>
          <w:tcPr>
            <w:tcW w:w="720" w:type="dxa"/>
            <w:tcBorders>
              <w:left w:val="dashSmallGap" w:sz="4" w:space="0" w:color="auto"/>
            </w:tcBorders>
            <w:shd w:val="clear" w:color="auto" w:fill="auto"/>
            <w:vAlign w:val="center"/>
          </w:tcPr>
          <w:p w14:paraId="30DAEC30" w14:textId="77777777" w:rsidR="00BD152F" w:rsidRPr="00D96C74" w:rsidRDefault="00BD152F" w:rsidP="00B00391">
            <w:pPr>
              <w:jc w:val="center"/>
              <w:rPr>
                <w:noProof/>
                <w:sz w:val="18"/>
                <w:szCs w:val="18"/>
              </w:rPr>
            </w:pPr>
            <w:r w:rsidRPr="00D96C74">
              <w:rPr>
                <w:noProof/>
                <w:sz w:val="18"/>
              </w:rPr>
              <w:t>Costuri</w:t>
            </w:r>
          </w:p>
        </w:tc>
        <w:tc>
          <w:tcPr>
            <w:tcW w:w="900" w:type="dxa"/>
            <w:tcBorders>
              <w:right w:val="dashSmallGap" w:sz="4" w:space="0" w:color="auto"/>
            </w:tcBorders>
            <w:shd w:val="clear" w:color="auto" w:fill="auto"/>
            <w:textDirection w:val="btLr"/>
            <w:vAlign w:val="center"/>
          </w:tcPr>
          <w:p w14:paraId="59A3B272" w14:textId="77777777" w:rsidR="00BD152F" w:rsidRPr="00D96C74" w:rsidRDefault="00BD152F" w:rsidP="00B00391">
            <w:pPr>
              <w:ind w:left="113" w:right="113"/>
              <w:jc w:val="center"/>
              <w:rPr>
                <w:noProof/>
                <w:sz w:val="18"/>
                <w:szCs w:val="18"/>
              </w:rPr>
            </w:pPr>
            <w:r w:rsidRPr="00D96C74">
              <w:rPr>
                <w:noProof/>
                <w:sz w:val="18"/>
              </w:rPr>
              <w:t>Nr.</w:t>
            </w:r>
          </w:p>
        </w:tc>
        <w:tc>
          <w:tcPr>
            <w:tcW w:w="720" w:type="dxa"/>
            <w:gridSpan w:val="2"/>
            <w:tcBorders>
              <w:left w:val="dashSmallGap" w:sz="4" w:space="0" w:color="auto"/>
            </w:tcBorders>
            <w:shd w:val="clear" w:color="auto" w:fill="auto"/>
            <w:vAlign w:val="center"/>
          </w:tcPr>
          <w:p w14:paraId="7801A46A" w14:textId="77777777" w:rsidR="00BD152F" w:rsidRPr="00D96C74" w:rsidRDefault="00BD152F" w:rsidP="00B00391">
            <w:pPr>
              <w:jc w:val="center"/>
              <w:rPr>
                <w:noProof/>
                <w:sz w:val="18"/>
                <w:szCs w:val="18"/>
              </w:rPr>
            </w:pPr>
            <w:r w:rsidRPr="00D96C74">
              <w:rPr>
                <w:noProof/>
                <w:sz w:val="18"/>
              </w:rPr>
              <w:t>Costuri</w:t>
            </w:r>
          </w:p>
        </w:tc>
        <w:tc>
          <w:tcPr>
            <w:tcW w:w="540" w:type="dxa"/>
            <w:tcBorders>
              <w:right w:val="dashSmallGap" w:sz="4" w:space="0" w:color="auto"/>
            </w:tcBorders>
            <w:shd w:val="clear" w:color="auto" w:fill="auto"/>
            <w:textDirection w:val="btLr"/>
            <w:vAlign w:val="center"/>
          </w:tcPr>
          <w:p w14:paraId="720D7103" w14:textId="77777777" w:rsidR="00BD152F" w:rsidRPr="00D96C74" w:rsidRDefault="00BD152F" w:rsidP="00B00391">
            <w:pPr>
              <w:ind w:left="113" w:right="113"/>
              <w:jc w:val="center"/>
              <w:rPr>
                <w:noProof/>
                <w:sz w:val="18"/>
                <w:szCs w:val="18"/>
              </w:rPr>
            </w:pPr>
            <w:r w:rsidRPr="00D96C74">
              <w:rPr>
                <w:noProof/>
                <w:sz w:val="18"/>
              </w:rPr>
              <w:t>Nr.</w:t>
            </w:r>
          </w:p>
        </w:tc>
        <w:tc>
          <w:tcPr>
            <w:tcW w:w="648" w:type="dxa"/>
            <w:tcBorders>
              <w:left w:val="dashSmallGap" w:sz="4" w:space="0" w:color="auto"/>
            </w:tcBorders>
            <w:shd w:val="clear" w:color="auto" w:fill="auto"/>
            <w:vAlign w:val="center"/>
          </w:tcPr>
          <w:p w14:paraId="08B57FB2" w14:textId="77777777" w:rsidR="00BD152F" w:rsidRPr="00D96C74" w:rsidRDefault="00BD152F" w:rsidP="00B00391">
            <w:pPr>
              <w:jc w:val="center"/>
              <w:rPr>
                <w:noProof/>
                <w:sz w:val="18"/>
                <w:szCs w:val="18"/>
              </w:rPr>
            </w:pPr>
            <w:r w:rsidRPr="00D96C74">
              <w:rPr>
                <w:noProof/>
                <w:sz w:val="18"/>
              </w:rPr>
              <w:t>Costuri</w:t>
            </w:r>
          </w:p>
        </w:tc>
        <w:tc>
          <w:tcPr>
            <w:tcW w:w="432" w:type="dxa"/>
            <w:tcBorders>
              <w:right w:val="dashSmallGap" w:sz="4" w:space="0" w:color="auto"/>
            </w:tcBorders>
            <w:shd w:val="clear" w:color="auto" w:fill="auto"/>
            <w:textDirection w:val="btLr"/>
            <w:vAlign w:val="center"/>
          </w:tcPr>
          <w:p w14:paraId="35F09007" w14:textId="77777777" w:rsidR="00BD152F" w:rsidRPr="00D96C74" w:rsidRDefault="00BD152F" w:rsidP="00B00391">
            <w:pPr>
              <w:ind w:left="113" w:right="113"/>
              <w:jc w:val="center"/>
              <w:rPr>
                <w:noProof/>
                <w:sz w:val="18"/>
                <w:szCs w:val="18"/>
              </w:rPr>
            </w:pPr>
            <w:r w:rsidRPr="00D96C74">
              <w:rPr>
                <w:noProof/>
                <w:sz w:val="18"/>
              </w:rPr>
              <w:t>Nr.</w:t>
            </w:r>
          </w:p>
        </w:tc>
        <w:tc>
          <w:tcPr>
            <w:tcW w:w="720" w:type="dxa"/>
            <w:tcBorders>
              <w:left w:val="dashSmallGap" w:sz="4" w:space="0" w:color="auto"/>
            </w:tcBorders>
            <w:shd w:val="clear" w:color="auto" w:fill="auto"/>
            <w:vAlign w:val="center"/>
          </w:tcPr>
          <w:p w14:paraId="68D23781" w14:textId="77777777" w:rsidR="00BD152F" w:rsidRPr="00D96C74" w:rsidRDefault="00BD152F" w:rsidP="00B00391">
            <w:pPr>
              <w:jc w:val="center"/>
              <w:rPr>
                <w:noProof/>
                <w:sz w:val="18"/>
                <w:szCs w:val="18"/>
              </w:rPr>
            </w:pPr>
            <w:r w:rsidRPr="00D96C74">
              <w:rPr>
                <w:noProof/>
                <w:sz w:val="18"/>
              </w:rPr>
              <w:t>Costuri</w:t>
            </w:r>
          </w:p>
        </w:tc>
        <w:tc>
          <w:tcPr>
            <w:tcW w:w="540" w:type="dxa"/>
            <w:tcBorders>
              <w:right w:val="dashSmallGap" w:sz="4" w:space="0" w:color="auto"/>
            </w:tcBorders>
            <w:shd w:val="clear" w:color="auto" w:fill="auto"/>
            <w:textDirection w:val="btLr"/>
            <w:vAlign w:val="center"/>
          </w:tcPr>
          <w:p w14:paraId="63A83D55" w14:textId="77777777" w:rsidR="00BD152F" w:rsidRPr="00D96C74" w:rsidRDefault="00BD152F" w:rsidP="00B00391">
            <w:pPr>
              <w:ind w:left="113" w:right="113"/>
              <w:jc w:val="center"/>
              <w:rPr>
                <w:noProof/>
                <w:sz w:val="18"/>
                <w:szCs w:val="18"/>
              </w:rPr>
            </w:pPr>
            <w:r w:rsidRPr="00D96C74">
              <w:rPr>
                <w:noProof/>
                <w:sz w:val="18"/>
              </w:rPr>
              <w:t>Nr.</w:t>
            </w:r>
          </w:p>
        </w:tc>
        <w:tc>
          <w:tcPr>
            <w:tcW w:w="720" w:type="dxa"/>
            <w:tcBorders>
              <w:left w:val="dashSmallGap" w:sz="4" w:space="0" w:color="auto"/>
            </w:tcBorders>
            <w:shd w:val="clear" w:color="auto" w:fill="auto"/>
            <w:vAlign w:val="center"/>
          </w:tcPr>
          <w:p w14:paraId="4845CE2E" w14:textId="77777777" w:rsidR="00BD152F" w:rsidRPr="00D96C74" w:rsidRDefault="00BD152F" w:rsidP="00B00391">
            <w:pPr>
              <w:jc w:val="center"/>
              <w:rPr>
                <w:noProof/>
                <w:sz w:val="18"/>
                <w:szCs w:val="18"/>
              </w:rPr>
            </w:pPr>
            <w:r w:rsidRPr="00D96C74">
              <w:rPr>
                <w:noProof/>
                <w:sz w:val="18"/>
              </w:rPr>
              <w:t>Costuri</w:t>
            </w:r>
          </w:p>
        </w:tc>
        <w:tc>
          <w:tcPr>
            <w:tcW w:w="720" w:type="dxa"/>
            <w:tcBorders>
              <w:right w:val="dashSmallGap" w:sz="4" w:space="0" w:color="auto"/>
            </w:tcBorders>
            <w:shd w:val="clear" w:color="auto" w:fill="auto"/>
            <w:vAlign w:val="center"/>
          </w:tcPr>
          <w:p w14:paraId="39038E8E" w14:textId="77777777" w:rsidR="00BD152F" w:rsidRPr="00D96C74" w:rsidRDefault="00BD152F" w:rsidP="00B00391">
            <w:pPr>
              <w:jc w:val="center"/>
              <w:rPr>
                <w:noProof/>
                <w:sz w:val="18"/>
                <w:szCs w:val="18"/>
              </w:rPr>
            </w:pPr>
            <w:r w:rsidRPr="00D96C74">
              <w:rPr>
                <w:noProof/>
                <w:sz w:val="18"/>
              </w:rPr>
              <w:t>Nr. total</w:t>
            </w:r>
          </w:p>
        </w:tc>
        <w:tc>
          <w:tcPr>
            <w:tcW w:w="900" w:type="dxa"/>
            <w:tcBorders>
              <w:left w:val="dashSmallGap" w:sz="4" w:space="0" w:color="auto"/>
            </w:tcBorders>
            <w:shd w:val="clear" w:color="auto" w:fill="auto"/>
            <w:vAlign w:val="center"/>
          </w:tcPr>
          <w:p w14:paraId="5880C13D" w14:textId="77777777" w:rsidR="00BD152F" w:rsidRPr="00D96C74" w:rsidRDefault="00BD152F" w:rsidP="00B00391">
            <w:pPr>
              <w:jc w:val="center"/>
              <w:rPr>
                <w:noProof/>
                <w:sz w:val="18"/>
                <w:szCs w:val="18"/>
              </w:rPr>
            </w:pPr>
            <w:r w:rsidRPr="00D96C74">
              <w:rPr>
                <w:noProof/>
                <w:sz w:val="18"/>
              </w:rPr>
              <w:t>Costuri totale</w:t>
            </w:r>
          </w:p>
        </w:tc>
      </w:tr>
      <w:tr w:rsidR="00BD152F" w:rsidRPr="00D96C74" w14:paraId="3CADA7F3" w14:textId="77777777" w:rsidTr="1BD3479F">
        <w:trPr>
          <w:jc w:val="center"/>
        </w:trPr>
        <w:tc>
          <w:tcPr>
            <w:tcW w:w="2844" w:type="dxa"/>
            <w:gridSpan w:val="3"/>
            <w:vAlign w:val="center"/>
          </w:tcPr>
          <w:p w14:paraId="43AB3A22" w14:textId="77777777" w:rsidR="00BD152F" w:rsidRPr="00D96C74" w:rsidRDefault="76754597" w:rsidP="00B00391">
            <w:pPr>
              <w:spacing w:before="60" w:after="60"/>
              <w:ind w:right="-29"/>
              <w:jc w:val="center"/>
              <w:rPr>
                <w:noProof/>
                <w:sz w:val="18"/>
                <w:szCs w:val="18"/>
              </w:rPr>
            </w:pPr>
            <w:r w:rsidRPr="00D96C74">
              <w:rPr>
                <w:noProof/>
                <w:sz w:val="18"/>
              </w:rPr>
              <w:t>OBIECTIVUL SPECIFIC NR. </w:t>
            </w:r>
            <w:r w:rsidRPr="00D020C3">
              <w:rPr>
                <w:noProof/>
                <w:sz w:val="18"/>
              </w:rPr>
              <w:t>1</w:t>
            </w:r>
            <w:r w:rsidRPr="00D96C74">
              <w:rPr>
                <w:rStyle w:val="FootnoteReference"/>
                <w:noProof/>
                <w:sz w:val="18"/>
                <w:szCs w:val="18"/>
              </w:rPr>
              <w:footnoteReference w:id="93"/>
            </w:r>
            <w:r w:rsidRPr="00D96C74">
              <w:rPr>
                <w:noProof/>
                <w:sz w:val="18"/>
              </w:rPr>
              <w:t>…</w:t>
            </w:r>
          </w:p>
        </w:tc>
        <w:tc>
          <w:tcPr>
            <w:tcW w:w="504" w:type="dxa"/>
            <w:tcBorders>
              <w:top w:val="nil"/>
              <w:left w:val="nil"/>
              <w:bottom w:val="nil"/>
              <w:right w:val="nil"/>
            </w:tcBorders>
          </w:tcPr>
          <w:p w14:paraId="1AE2034B" w14:textId="77777777" w:rsidR="00BD152F" w:rsidRPr="00D96C74" w:rsidRDefault="00BD152F" w:rsidP="00B00391">
            <w:pPr>
              <w:spacing w:before="60" w:after="60"/>
              <w:ind w:right="-29"/>
              <w:jc w:val="center"/>
              <w:rPr>
                <w:noProof/>
                <w:sz w:val="18"/>
                <w:szCs w:val="18"/>
              </w:rPr>
            </w:pPr>
          </w:p>
        </w:tc>
        <w:tc>
          <w:tcPr>
            <w:tcW w:w="720" w:type="dxa"/>
            <w:tcBorders>
              <w:top w:val="nil"/>
              <w:left w:val="nil"/>
              <w:bottom w:val="nil"/>
              <w:right w:val="nil"/>
            </w:tcBorders>
          </w:tcPr>
          <w:p w14:paraId="6BA51F06" w14:textId="77777777" w:rsidR="00BD152F" w:rsidRPr="00D96C74" w:rsidRDefault="00BD152F" w:rsidP="00B00391">
            <w:pPr>
              <w:spacing w:before="60" w:after="60"/>
              <w:ind w:right="-29"/>
              <w:jc w:val="center"/>
              <w:rPr>
                <w:noProof/>
                <w:sz w:val="18"/>
                <w:szCs w:val="18"/>
              </w:rPr>
            </w:pPr>
          </w:p>
        </w:tc>
        <w:tc>
          <w:tcPr>
            <w:tcW w:w="540" w:type="dxa"/>
            <w:tcBorders>
              <w:top w:val="nil"/>
              <w:left w:val="nil"/>
              <w:bottom w:val="nil"/>
              <w:right w:val="nil"/>
            </w:tcBorders>
          </w:tcPr>
          <w:p w14:paraId="38A40DA9" w14:textId="77777777" w:rsidR="00BD152F" w:rsidRPr="00D96C74" w:rsidRDefault="00BD152F" w:rsidP="00B00391">
            <w:pPr>
              <w:spacing w:before="60" w:after="60"/>
              <w:ind w:right="-29"/>
              <w:jc w:val="center"/>
              <w:rPr>
                <w:noProof/>
                <w:sz w:val="18"/>
                <w:szCs w:val="18"/>
              </w:rPr>
            </w:pPr>
          </w:p>
        </w:tc>
        <w:tc>
          <w:tcPr>
            <w:tcW w:w="720" w:type="dxa"/>
            <w:tcBorders>
              <w:top w:val="nil"/>
              <w:left w:val="nil"/>
              <w:bottom w:val="nil"/>
              <w:right w:val="nil"/>
            </w:tcBorders>
          </w:tcPr>
          <w:p w14:paraId="08ACD634" w14:textId="77777777" w:rsidR="00BD152F" w:rsidRPr="00D96C74" w:rsidRDefault="00BD152F" w:rsidP="00B00391">
            <w:pPr>
              <w:spacing w:before="60" w:after="60"/>
              <w:ind w:right="-29"/>
              <w:jc w:val="center"/>
              <w:rPr>
                <w:noProof/>
                <w:sz w:val="18"/>
                <w:szCs w:val="18"/>
              </w:rPr>
            </w:pPr>
          </w:p>
        </w:tc>
        <w:tc>
          <w:tcPr>
            <w:tcW w:w="720" w:type="dxa"/>
            <w:tcBorders>
              <w:top w:val="nil"/>
              <w:left w:val="nil"/>
              <w:bottom w:val="nil"/>
              <w:right w:val="nil"/>
            </w:tcBorders>
          </w:tcPr>
          <w:p w14:paraId="69A23924" w14:textId="77777777" w:rsidR="00BD152F" w:rsidRPr="00D96C74" w:rsidRDefault="00BD152F" w:rsidP="00B00391">
            <w:pPr>
              <w:spacing w:before="60" w:after="60"/>
              <w:ind w:right="-29"/>
              <w:jc w:val="center"/>
              <w:rPr>
                <w:noProof/>
                <w:sz w:val="18"/>
                <w:szCs w:val="18"/>
              </w:rPr>
            </w:pPr>
          </w:p>
        </w:tc>
        <w:tc>
          <w:tcPr>
            <w:tcW w:w="720" w:type="dxa"/>
            <w:tcBorders>
              <w:top w:val="nil"/>
              <w:left w:val="nil"/>
              <w:bottom w:val="nil"/>
              <w:right w:val="nil"/>
            </w:tcBorders>
          </w:tcPr>
          <w:p w14:paraId="0F771962" w14:textId="77777777" w:rsidR="00BD152F" w:rsidRPr="00D96C74" w:rsidRDefault="00BD152F" w:rsidP="00B00391">
            <w:pPr>
              <w:spacing w:before="60" w:after="60"/>
              <w:ind w:right="-29"/>
              <w:jc w:val="center"/>
              <w:rPr>
                <w:noProof/>
                <w:sz w:val="18"/>
                <w:szCs w:val="18"/>
              </w:rPr>
            </w:pPr>
          </w:p>
        </w:tc>
        <w:tc>
          <w:tcPr>
            <w:tcW w:w="900" w:type="dxa"/>
            <w:tcBorders>
              <w:top w:val="nil"/>
              <w:left w:val="nil"/>
              <w:bottom w:val="nil"/>
              <w:right w:val="nil"/>
            </w:tcBorders>
          </w:tcPr>
          <w:p w14:paraId="67158F61" w14:textId="77777777" w:rsidR="00BD152F" w:rsidRPr="00D96C74" w:rsidRDefault="00BD152F" w:rsidP="00B00391">
            <w:pPr>
              <w:spacing w:before="60" w:after="60"/>
              <w:ind w:right="-29"/>
              <w:jc w:val="center"/>
              <w:rPr>
                <w:noProof/>
                <w:sz w:val="18"/>
                <w:szCs w:val="18"/>
              </w:rPr>
            </w:pPr>
          </w:p>
        </w:tc>
        <w:tc>
          <w:tcPr>
            <w:tcW w:w="720" w:type="dxa"/>
            <w:gridSpan w:val="2"/>
            <w:tcBorders>
              <w:top w:val="nil"/>
              <w:left w:val="nil"/>
              <w:bottom w:val="nil"/>
              <w:right w:val="nil"/>
            </w:tcBorders>
          </w:tcPr>
          <w:p w14:paraId="412A60B8" w14:textId="77777777" w:rsidR="00BD152F" w:rsidRPr="00D96C74" w:rsidRDefault="00BD152F" w:rsidP="00B00391">
            <w:pPr>
              <w:spacing w:before="60" w:after="60"/>
              <w:ind w:right="-29"/>
              <w:jc w:val="center"/>
              <w:rPr>
                <w:noProof/>
                <w:sz w:val="18"/>
                <w:szCs w:val="18"/>
              </w:rPr>
            </w:pPr>
          </w:p>
        </w:tc>
        <w:tc>
          <w:tcPr>
            <w:tcW w:w="540" w:type="dxa"/>
            <w:tcBorders>
              <w:top w:val="nil"/>
              <w:left w:val="nil"/>
              <w:bottom w:val="nil"/>
              <w:right w:val="nil"/>
            </w:tcBorders>
          </w:tcPr>
          <w:p w14:paraId="11CD3C94" w14:textId="77777777" w:rsidR="00BD152F" w:rsidRPr="00D96C74" w:rsidRDefault="00BD152F" w:rsidP="00B00391">
            <w:pPr>
              <w:spacing w:before="60" w:after="60"/>
              <w:ind w:right="-29"/>
              <w:jc w:val="center"/>
              <w:rPr>
                <w:noProof/>
                <w:sz w:val="18"/>
                <w:szCs w:val="18"/>
              </w:rPr>
            </w:pPr>
          </w:p>
        </w:tc>
        <w:tc>
          <w:tcPr>
            <w:tcW w:w="648" w:type="dxa"/>
            <w:tcBorders>
              <w:top w:val="nil"/>
              <w:left w:val="nil"/>
              <w:bottom w:val="nil"/>
              <w:right w:val="nil"/>
            </w:tcBorders>
          </w:tcPr>
          <w:p w14:paraId="0999A30E" w14:textId="77777777" w:rsidR="00BD152F" w:rsidRPr="00D96C74" w:rsidRDefault="00BD152F" w:rsidP="00B00391">
            <w:pPr>
              <w:spacing w:before="60" w:after="60"/>
              <w:ind w:right="-29"/>
              <w:jc w:val="center"/>
              <w:rPr>
                <w:noProof/>
                <w:sz w:val="18"/>
                <w:szCs w:val="18"/>
              </w:rPr>
            </w:pPr>
          </w:p>
        </w:tc>
        <w:tc>
          <w:tcPr>
            <w:tcW w:w="432" w:type="dxa"/>
            <w:tcBorders>
              <w:top w:val="nil"/>
              <w:left w:val="nil"/>
              <w:bottom w:val="nil"/>
              <w:right w:val="nil"/>
            </w:tcBorders>
          </w:tcPr>
          <w:p w14:paraId="661106C8" w14:textId="77777777" w:rsidR="00BD152F" w:rsidRPr="00D96C74" w:rsidRDefault="00BD152F" w:rsidP="00B00391">
            <w:pPr>
              <w:spacing w:before="60" w:after="60"/>
              <w:ind w:right="-29"/>
              <w:jc w:val="center"/>
              <w:rPr>
                <w:noProof/>
                <w:sz w:val="18"/>
                <w:szCs w:val="18"/>
              </w:rPr>
            </w:pPr>
          </w:p>
        </w:tc>
        <w:tc>
          <w:tcPr>
            <w:tcW w:w="720" w:type="dxa"/>
            <w:tcBorders>
              <w:top w:val="nil"/>
              <w:left w:val="nil"/>
              <w:bottom w:val="nil"/>
              <w:right w:val="nil"/>
            </w:tcBorders>
          </w:tcPr>
          <w:p w14:paraId="363E176D" w14:textId="77777777" w:rsidR="00BD152F" w:rsidRPr="00D96C74" w:rsidRDefault="00BD152F" w:rsidP="00B00391">
            <w:pPr>
              <w:spacing w:before="60" w:after="60"/>
              <w:ind w:right="-29"/>
              <w:jc w:val="center"/>
              <w:rPr>
                <w:noProof/>
                <w:sz w:val="18"/>
                <w:szCs w:val="18"/>
              </w:rPr>
            </w:pPr>
          </w:p>
        </w:tc>
        <w:tc>
          <w:tcPr>
            <w:tcW w:w="540" w:type="dxa"/>
            <w:tcBorders>
              <w:top w:val="nil"/>
              <w:left w:val="nil"/>
              <w:bottom w:val="nil"/>
              <w:right w:val="nil"/>
            </w:tcBorders>
          </w:tcPr>
          <w:p w14:paraId="0715723D" w14:textId="77777777" w:rsidR="00BD152F" w:rsidRPr="00D96C74" w:rsidRDefault="00BD152F" w:rsidP="00B00391">
            <w:pPr>
              <w:spacing w:before="60" w:after="60"/>
              <w:ind w:right="-29"/>
              <w:jc w:val="center"/>
              <w:rPr>
                <w:noProof/>
                <w:sz w:val="18"/>
                <w:szCs w:val="18"/>
              </w:rPr>
            </w:pPr>
          </w:p>
        </w:tc>
        <w:tc>
          <w:tcPr>
            <w:tcW w:w="720" w:type="dxa"/>
            <w:tcBorders>
              <w:top w:val="nil"/>
              <w:left w:val="nil"/>
              <w:bottom w:val="nil"/>
              <w:right w:val="nil"/>
            </w:tcBorders>
          </w:tcPr>
          <w:p w14:paraId="5CCC4621" w14:textId="77777777" w:rsidR="00BD152F" w:rsidRPr="00D96C74" w:rsidRDefault="00BD152F" w:rsidP="00B00391">
            <w:pPr>
              <w:spacing w:before="60" w:after="60"/>
              <w:ind w:right="-29"/>
              <w:jc w:val="center"/>
              <w:rPr>
                <w:noProof/>
                <w:sz w:val="18"/>
                <w:szCs w:val="18"/>
              </w:rPr>
            </w:pPr>
          </w:p>
        </w:tc>
        <w:tc>
          <w:tcPr>
            <w:tcW w:w="720" w:type="dxa"/>
            <w:tcBorders>
              <w:top w:val="nil"/>
              <w:left w:val="nil"/>
              <w:bottom w:val="nil"/>
              <w:right w:val="nil"/>
            </w:tcBorders>
          </w:tcPr>
          <w:p w14:paraId="23AB5421" w14:textId="77777777" w:rsidR="00BD152F" w:rsidRPr="00D96C74" w:rsidRDefault="00BD152F" w:rsidP="00B00391">
            <w:pPr>
              <w:spacing w:before="60" w:after="60"/>
              <w:ind w:right="-29"/>
              <w:jc w:val="center"/>
              <w:rPr>
                <w:noProof/>
                <w:sz w:val="18"/>
                <w:szCs w:val="18"/>
              </w:rPr>
            </w:pPr>
          </w:p>
        </w:tc>
        <w:tc>
          <w:tcPr>
            <w:tcW w:w="900" w:type="dxa"/>
            <w:tcBorders>
              <w:top w:val="nil"/>
              <w:left w:val="nil"/>
              <w:bottom w:val="nil"/>
              <w:right w:val="nil"/>
            </w:tcBorders>
          </w:tcPr>
          <w:p w14:paraId="7EC73E4A" w14:textId="77777777" w:rsidR="00BD152F" w:rsidRPr="00D96C74" w:rsidRDefault="00BD152F" w:rsidP="00B00391">
            <w:pPr>
              <w:spacing w:before="60" w:after="60"/>
              <w:ind w:right="-29"/>
              <w:jc w:val="center"/>
              <w:rPr>
                <w:noProof/>
                <w:sz w:val="18"/>
                <w:szCs w:val="18"/>
              </w:rPr>
            </w:pPr>
          </w:p>
        </w:tc>
      </w:tr>
      <w:tr w:rsidR="00BD152F" w:rsidRPr="00D96C74" w14:paraId="2731C77F" w14:textId="77777777" w:rsidTr="1BD3479F">
        <w:trPr>
          <w:trHeight w:hRule="exact" w:val="369"/>
          <w:jc w:val="center"/>
        </w:trPr>
        <w:tc>
          <w:tcPr>
            <w:tcW w:w="1423" w:type="dxa"/>
          </w:tcPr>
          <w:p w14:paraId="6D10F3E9" w14:textId="77777777" w:rsidR="00BD152F" w:rsidRPr="00D96C74" w:rsidRDefault="00BD152F" w:rsidP="00B00391">
            <w:pPr>
              <w:ind w:right="-29"/>
              <w:jc w:val="center"/>
              <w:rPr>
                <w:noProof/>
                <w:sz w:val="18"/>
                <w:szCs w:val="18"/>
              </w:rPr>
            </w:pPr>
            <w:r w:rsidRPr="00D96C74">
              <w:rPr>
                <w:noProof/>
                <w:sz w:val="18"/>
              </w:rPr>
              <w:t>- Realizare</w:t>
            </w:r>
          </w:p>
        </w:tc>
        <w:tc>
          <w:tcPr>
            <w:tcW w:w="720" w:type="dxa"/>
          </w:tcPr>
          <w:p w14:paraId="3E6A1B4B" w14:textId="77777777" w:rsidR="00BD152F" w:rsidRPr="00D96C74" w:rsidRDefault="00BD152F" w:rsidP="00B00391">
            <w:pPr>
              <w:ind w:right="-29"/>
              <w:jc w:val="center"/>
              <w:rPr>
                <w:noProof/>
                <w:sz w:val="18"/>
                <w:szCs w:val="18"/>
              </w:rPr>
            </w:pPr>
          </w:p>
        </w:tc>
        <w:tc>
          <w:tcPr>
            <w:tcW w:w="701" w:type="dxa"/>
          </w:tcPr>
          <w:p w14:paraId="07A5EA96" w14:textId="77777777" w:rsidR="00BD152F" w:rsidRPr="00D96C74" w:rsidRDefault="00BD152F" w:rsidP="00B00391">
            <w:pPr>
              <w:ind w:right="-29"/>
              <w:jc w:val="center"/>
              <w:rPr>
                <w:noProof/>
                <w:sz w:val="18"/>
                <w:szCs w:val="18"/>
              </w:rPr>
            </w:pPr>
          </w:p>
        </w:tc>
        <w:tc>
          <w:tcPr>
            <w:tcW w:w="504" w:type="dxa"/>
            <w:tcBorders>
              <w:right w:val="dashSmallGap" w:sz="4" w:space="0" w:color="auto"/>
            </w:tcBorders>
          </w:tcPr>
          <w:p w14:paraId="032523E9" w14:textId="77777777" w:rsidR="00BD152F" w:rsidRPr="00D96C74" w:rsidRDefault="00BD152F" w:rsidP="00B00391">
            <w:pPr>
              <w:ind w:right="-29"/>
              <w:jc w:val="center"/>
              <w:rPr>
                <w:noProof/>
                <w:sz w:val="18"/>
                <w:szCs w:val="18"/>
              </w:rPr>
            </w:pPr>
          </w:p>
        </w:tc>
        <w:tc>
          <w:tcPr>
            <w:tcW w:w="720" w:type="dxa"/>
            <w:tcBorders>
              <w:left w:val="dashSmallGap" w:sz="4" w:space="0" w:color="auto"/>
            </w:tcBorders>
          </w:tcPr>
          <w:p w14:paraId="42DF4396" w14:textId="77777777" w:rsidR="00BD152F" w:rsidRPr="00D96C74" w:rsidRDefault="00BD152F" w:rsidP="00B00391">
            <w:pPr>
              <w:ind w:right="-29"/>
              <w:jc w:val="center"/>
              <w:rPr>
                <w:noProof/>
                <w:sz w:val="18"/>
                <w:szCs w:val="18"/>
              </w:rPr>
            </w:pPr>
          </w:p>
        </w:tc>
        <w:tc>
          <w:tcPr>
            <w:tcW w:w="540" w:type="dxa"/>
            <w:tcBorders>
              <w:right w:val="dashSmallGap" w:sz="4" w:space="0" w:color="auto"/>
            </w:tcBorders>
          </w:tcPr>
          <w:p w14:paraId="0A30B634" w14:textId="77777777" w:rsidR="00BD152F" w:rsidRPr="00D96C74" w:rsidRDefault="00BD152F" w:rsidP="00B00391">
            <w:pPr>
              <w:ind w:right="-29"/>
              <w:jc w:val="center"/>
              <w:rPr>
                <w:noProof/>
                <w:sz w:val="18"/>
                <w:szCs w:val="18"/>
              </w:rPr>
            </w:pPr>
          </w:p>
        </w:tc>
        <w:tc>
          <w:tcPr>
            <w:tcW w:w="720" w:type="dxa"/>
            <w:tcBorders>
              <w:left w:val="dashSmallGap" w:sz="4" w:space="0" w:color="auto"/>
            </w:tcBorders>
          </w:tcPr>
          <w:p w14:paraId="09CA91CE" w14:textId="77777777" w:rsidR="00BD152F" w:rsidRPr="00D96C74" w:rsidRDefault="00BD152F" w:rsidP="00B00391">
            <w:pPr>
              <w:ind w:right="-29"/>
              <w:jc w:val="center"/>
              <w:rPr>
                <w:noProof/>
                <w:sz w:val="18"/>
                <w:szCs w:val="18"/>
              </w:rPr>
            </w:pPr>
          </w:p>
        </w:tc>
        <w:tc>
          <w:tcPr>
            <w:tcW w:w="720" w:type="dxa"/>
            <w:tcBorders>
              <w:right w:val="dashSmallGap" w:sz="4" w:space="0" w:color="auto"/>
            </w:tcBorders>
          </w:tcPr>
          <w:p w14:paraId="3B48460E" w14:textId="77777777" w:rsidR="00BD152F" w:rsidRPr="00D96C74" w:rsidRDefault="00BD152F" w:rsidP="00B00391">
            <w:pPr>
              <w:ind w:right="-29"/>
              <w:jc w:val="center"/>
              <w:rPr>
                <w:noProof/>
                <w:sz w:val="18"/>
                <w:szCs w:val="18"/>
              </w:rPr>
            </w:pPr>
          </w:p>
        </w:tc>
        <w:tc>
          <w:tcPr>
            <w:tcW w:w="720" w:type="dxa"/>
            <w:tcBorders>
              <w:left w:val="dashSmallGap" w:sz="4" w:space="0" w:color="auto"/>
            </w:tcBorders>
          </w:tcPr>
          <w:p w14:paraId="5EB46618" w14:textId="77777777" w:rsidR="00BD152F" w:rsidRPr="00D96C74" w:rsidRDefault="00BD152F" w:rsidP="00B00391">
            <w:pPr>
              <w:ind w:right="-29"/>
              <w:jc w:val="center"/>
              <w:rPr>
                <w:noProof/>
                <w:sz w:val="18"/>
                <w:szCs w:val="18"/>
              </w:rPr>
            </w:pPr>
          </w:p>
        </w:tc>
        <w:tc>
          <w:tcPr>
            <w:tcW w:w="900" w:type="dxa"/>
            <w:tcBorders>
              <w:right w:val="dashSmallGap" w:sz="4" w:space="0" w:color="auto"/>
            </w:tcBorders>
          </w:tcPr>
          <w:p w14:paraId="49BD8CD9" w14:textId="77777777" w:rsidR="00BD152F" w:rsidRPr="00D96C74" w:rsidRDefault="00BD152F" w:rsidP="00B00391">
            <w:pPr>
              <w:ind w:right="-29"/>
              <w:jc w:val="center"/>
              <w:rPr>
                <w:noProof/>
                <w:sz w:val="18"/>
                <w:szCs w:val="18"/>
              </w:rPr>
            </w:pPr>
          </w:p>
        </w:tc>
        <w:tc>
          <w:tcPr>
            <w:tcW w:w="720" w:type="dxa"/>
            <w:gridSpan w:val="2"/>
            <w:tcBorders>
              <w:left w:val="dashSmallGap" w:sz="4" w:space="0" w:color="auto"/>
            </w:tcBorders>
          </w:tcPr>
          <w:p w14:paraId="07D12A6A" w14:textId="77777777" w:rsidR="00BD152F" w:rsidRPr="00D96C74" w:rsidRDefault="00BD152F" w:rsidP="00B00391">
            <w:pPr>
              <w:ind w:right="-29"/>
              <w:jc w:val="center"/>
              <w:rPr>
                <w:noProof/>
                <w:sz w:val="18"/>
                <w:szCs w:val="18"/>
              </w:rPr>
            </w:pPr>
          </w:p>
        </w:tc>
        <w:tc>
          <w:tcPr>
            <w:tcW w:w="540" w:type="dxa"/>
            <w:tcBorders>
              <w:right w:val="dashSmallGap" w:sz="4" w:space="0" w:color="auto"/>
            </w:tcBorders>
          </w:tcPr>
          <w:p w14:paraId="7E54E637" w14:textId="77777777" w:rsidR="00BD152F" w:rsidRPr="00D96C74" w:rsidRDefault="00BD152F" w:rsidP="00B00391">
            <w:pPr>
              <w:ind w:right="-29"/>
              <w:jc w:val="center"/>
              <w:rPr>
                <w:noProof/>
                <w:sz w:val="18"/>
                <w:szCs w:val="18"/>
              </w:rPr>
            </w:pPr>
          </w:p>
        </w:tc>
        <w:tc>
          <w:tcPr>
            <w:tcW w:w="648" w:type="dxa"/>
            <w:tcBorders>
              <w:left w:val="dashSmallGap" w:sz="4" w:space="0" w:color="auto"/>
            </w:tcBorders>
          </w:tcPr>
          <w:p w14:paraId="1A10D7A6" w14:textId="77777777" w:rsidR="00BD152F" w:rsidRPr="00D96C74" w:rsidRDefault="00BD152F" w:rsidP="00B00391">
            <w:pPr>
              <w:ind w:right="-29"/>
              <w:jc w:val="center"/>
              <w:rPr>
                <w:noProof/>
                <w:sz w:val="18"/>
                <w:szCs w:val="18"/>
              </w:rPr>
            </w:pPr>
          </w:p>
        </w:tc>
        <w:tc>
          <w:tcPr>
            <w:tcW w:w="432" w:type="dxa"/>
            <w:tcBorders>
              <w:right w:val="dashSmallGap" w:sz="4" w:space="0" w:color="auto"/>
            </w:tcBorders>
          </w:tcPr>
          <w:p w14:paraId="132DC4F6" w14:textId="77777777" w:rsidR="00BD152F" w:rsidRPr="00D96C74" w:rsidRDefault="00BD152F" w:rsidP="00B00391">
            <w:pPr>
              <w:ind w:right="-29"/>
              <w:jc w:val="center"/>
              <w:rPr>
                <w:noProof/>
                <w:sz w:val="18"/>
                <w:szCs w:val="18"/>
              </w:rPr>
            </w:pPr>
          </w:p>
        </w:tc>
        <w:tc>
          <w:tcPr>
            <w:tcW w:w="720" w:type="dxa"/>
            <w:tcBorders>
              <w:left w:val="dashSmallGap" w:sz="4" w:space="0" w:color="auto"/>
            </w:tcBorders>
          </w:tcPr>
          <w:p w14:paraId="5DE9DA0C" w14:textId="77777777" w:rsidR="00BD152F" w:rsidRPr="00D96C74" w:rsidRDefault="00BD152F" w:rsidP="00B00391">
            <w:pPr>
              <w:ind w:right="-29"/>
              <w:jc w:val="center"/>
              <w:rPr>
                <w:noProof/>
                <w:sz w:val="18"/>
                <w:szCs w:val="18"/>
              </w:rPr>
            </w:pPr>
          </w:p>
        </w:tc>
        <w:tc>
          <w:tcPr>
            <w:tcW w:w="540" w:type="dxa"/>
            <w:tcBorders>
              <w:right w:val="dashSmallGap" w:sz="4" w:space="0" w:color="auto"/>
            </w:tcBorders>
          </w:tcPr>
          <w:p w14:paraId="6F5EDF8A" w14:textId="77777777" w:rsidR="00BD152F" w:rsidRPr="00D96C74" w:rsidRDefault="00BD152F" w:rsidP="00B00391">
            <w:pPr>
              <w:ind w:right="-29"/>
              <w:jc w:val="center"/>
              <w:rPr>
                <w:noProof/>
                <w:sz w:val="18"/>
                <w:szCs w:val="18"/>
              </w:rPr>
            </w:pPr>
          </w:p>
        </w:tc>
        <w:tc>
          <w:tcPr>
            <w:tcW w:w="720" w:type="dxa"/>
            <w:tcBorders>
              <w:left w:val="dashSmallGap" w:sz="4" w:space="0" w:color="auto"/>
            </w:tcBorders>
          </w:tcPr>
          <w:p w14:paraId="25B2A187" w14:textId="77777777" w:rsidR="00BD152F" w:rsidRPr="00D96C74" w:rsidRDefault="00BD152F" w:rsidP="00B00391">
            <w:pPr>
              <w:ind w:right="-29"/>
              <w:jc w:val="center"/>
              <w:rPr>
                <w:noProof/>
                <w:sz w:val="18"/>
                <w:szCs w:val="18"/>
              </w:rPr>
            </w:pPr>
          </w:p>
        </w:tc>
        <w:tc>
          <w:tcPr>
            <w:tcW w:w="720" w:type="dxa"/>
          </w:tcPr>
          <w:p w14:paraId="50EB7D33" w14:textId="77777777" w:rsidR="00BD152F" w:rsidRPr="00D96C74" w:rsidRDefault="00BD152F" w:rsidP="00B00391">
            <w:pPr>
              <w:ind w:right="-29"/>
              <w:jc w:val="center"/>
              <w:rPr>
                <w:noProof/>
                <w:sz w:val="18"/>
                <w:szCs w:val="18"/>
              </w:rPr>
            </w:pPr>
          </w:p>
        </w:tc>
        <w:tc>
          <w:tcPr>
            <w:tcW w:w="900" w:type="dxa"/>
          </w:tcPr>
          <w:p w14:paraId="752F0077" w14:textId="77777777" w:rsidR="00BD152F" w:rsidRPr="00D96C74" w:rsidRDefault="00BD152F" w:rsidP="00B00391">
            <w:pPr>
              <w:ind w:right="-29"/>
              <w:jc w:val="center"/>
              <w:rPr>
                <w:noProof/>
                <w:sz w:val="18"/>
                <w:szCs w:val="18"/>
              </w:rPr>
            </w:pPr>
          </w:p>
        </w:tc>
      </w:tr>
      <w:tr w:rsidR="00BD152F" w:rsidRPr="00D96C74" w14:paraId="2FD40E4C" w14:textId="77777777" w:rsidTr="1BD3479F">
        <w:trPr>
          <w:trHeight w:hRule="exact" w:val="369"/>
          <w:jc w:val="center"/>
        </w:trPr>
        <w:tc>
          <w:tcPr>
            <w:tcW w:w="1423" w:type="dxa"/>
          </w:tcPr>
          <w:p w14:paraId="3BBF2D20" w14:textId="77777777" w:rsidR="00BD152F" w:rsidRPr="00D96C74" w:rsidRDefault="00BD152F" w:rsidP="00B00391">
            <w:pPr>
              <w:ind w:right="-29"/>
              <w:jc w:val="center"/>
              <w:rPr>
                <w:noProof/>
                <w:sz w:val="18"/>
                <w:szCs w:val="18"/>
              </w:rPr>
            </w:pPr>
            <w:r w:rsidRPr="00D96C74">
              <w:rPr>
                <w:noProof/>
                <w:sz w:val="18"/>
              </w:rPr>
              <w:t>- Realizare</w:t>
            </w:r>
          </w:p>
        </w:tc>
        <w:tc>
          <w:tcPr>
            <w:tcW w:w="720" w:type="dxa"/>
          </w:tcPr>
          <w:p w14:paraId="3033043C" w14:textId="77777777" w:rsidR="00BD152F" w:rsidRPr="00D96C74" w:rsidRDefault="00BD152F" w:rsidP="00B00391">
            <w:pPr>
              <w:ind w:right="-29"/>
              <w:jc w:val="center"/>
              <w:rPr>
                <w:noProof/>
                <w:sz w:val="18"/>
                <w:szCs w:val="18"/>
              </w:rPr>
            </w:pPr>
          </w:p>
        </w:tc>
        <w:tc>
          <w:tcPr>
            <w:tcW w:w="701" w:type="dxa"/>
          </w:tcPr>
          <w:p w14:paraId="303642F2" w14:textId="77777777" w:rsidR="00BD152F" w:rsidRPr="00D96C74" w:rsidRDefault="00BD152F" w:rsidP="00B00391">
            <w:pPr>
              <w:ind w:right="-29"/>
              <w:jc w:val="center"/>
              <w:rPr>
                <w:noProof/>
                <w:sz w:val="18"/>
                <w:szCs w:val="18"/>
              </w:rPr>
            </w:pPr>
          </w:p>
        </w:tc>
        <w:tc>
          <w:tcPr>
            <w:tcW w:w="504" w:type="dxa"/>
            <w:tcBorders>
              <w:right w:val="dashSmallGap" w:sz="4" w:space="0" w:color="auto"/>
            </w:tcBorders>
          </w:tcPr>
          <w:p w14:paraId="2CB30CE4" w14:textId="77777777" w:rsidR="00BD152F" w:rsidRPr="00D96C74" w:rsidRDefault="00BD152F" w:rsidP="00B00391">
            <w:pPr>
              <w:ind w:right="-29"/>
              <w:jc w:val="center"/>
              <w:rPr>
                <w:noProof/>
                <w:sz w:val="18"/>
                <w:szCs w:val="18"/>
              </w:rPr>
            </w:pPr>
          </w:p>
        </w:tc>
        <w:tc>
          <w:tcPr>
            <w:tcW w:w="720" w:type="dxa"/>
            <w:tcBorders>
              <w:left w:val="dashSmallGap" w:sz="4" w:space="0" w:color="auto"/>
            </w:tcBorders>
          </w:tcPr>
          <w:p w14:paraId="6C024B89" w14:textId="77777777" w:rsidR="00BD152F" w:rsidRPr="00D96C74" w:rsidRDefault="00BD152F" w:rsidP="00B00391">
            <w:pPr>
              <w:ind w:right="-29"/>
              <w:jc w:val="center"/>
              <w:rPr>
                <w:noProof/>
                <w:sz w:val="18"/>
                <w:szCs w:val="18"/>
              </w:rPr>
            </w:pPr>
          </w:p>
        </w:tc>
        <w:tc>
          <w:tcPr>
            <w:tcW w:w="540" w:type="dxa"/>
            <w:tcBorders>
              <w:right w:val="dashSmallGap" w:sz="4" w:space="0" w:color="auto"/>
            </w:tcBorders>
          </w:tcPr>
          <w:p w14:paraId="2F18B644" w14:textId="77777777" w:rsidR="00BD152F" w:rsidRPr="00D96C74" w:rsidRDefault="00BD152F" w:rsidP="00B00391">
            <w:pPr>
              <w:ind w:right="-29"/>
              <w:jc w:val="center"/>
              <w:rPr>
                <w:noProof/>
                <w:sz w:val="18"/>
                <w:szCs w:val="18"/>
              </w:rPr>
            </w:pPr>
          </w:p>
        </w:tc>
        <w:tc>
          <w:tcPr>
            <w:tcW w:w="720" w:type="dxa"/>
            <w:tcBorders>
              <w:left w:val="dashSmallGap" w:sz="4" w:space="0" w:color="auto"/>
            </w:tcBorders>
          </w:tcPr>
          <w:p w14:paraId="62150CF7" w14:textId="77777777" w:rsidR="00BD152F" w:rsidRPr="00D96C74" w:rsidRDefault="00BD152F" w:rsidP="00B00391">
            <w:pPr>
              <w:ind w:right="-29"/>
              <w:jc w:val="center"/>
              <w:rPr>
                <w:noProof/>
                <w:sz w:val="18"/>
                <w:szCs w:val="18"/>
              </w:rPr>
            </w:pPr>
          </w:p>
        </w:tc>
        <w:tc>
          <w:tcPr>
            <w:tcW w:w="720" w:type="dxa"/>
            <w:tcBorders>
              <w:right w:val="dashSmallGap" w:sz="4" w:space="0" w:color="auto"/>
            </w:tcBorders>
          </w:tcPr>
          <w:p w14:paraId="5C9F5DC2" w14:textId="77777777" w:rsidR="00BD152F" w:rsidRPr="00D96C74" w:rsidRDefault="00BD152F" w:rsidP="00B00391">
            <w:pPr>
              <w:ind w:right="-29"/>
              <w:jc w:val="center"/>
              <w:rPr>
                <w:noProof/>
                <w:sz w:val="18"/>
                <w:szCs w:val="18"/>
              </w:rPr>
            </w:pPr>
          </w:p>
        </w:tc>
        <w:tc>
          <w:tcPr>
            <w:tcW w:w="720" w:type="dxa"/>
            <w:tcBorders>
              <w:left w:val="dashSmallGap" w:sz="4" w:space="0" w:color="auto"/>
            </w:tcBorders>
          </w:tcPr>
          <w:p w14:paraId="68DCC93F" w14:textId="77777777" w:rsidR="00BD152F" w:rsidRPr="00D96C74" w:rsidRDefault="00BD152F" w:rsidP="00B00391">
            <w:pPr>
              <w:ind w:right="-29"/>
              <w:jc w:val="center"/>
              <w:rPr>
                <w:noProof/>
                <w:sz w:val="18"/>
                <w:szCs w:val="18"/>
              </w:rPr>
            </w:pPr>
          </w:p>
        </w:tc>
        <w:tc>
          <w:tcPr>
            <w:tcW w:w="900" w:type="dxa"/>
            <w:tcBorders>
              <w:right w:val="dashSmallGap" w:sz="4" w:space="0" w:color="auto"/>
            </w:tcBorders>
          </w:tcPr>
          <w:p w14:paraId="792153B2" w14:textId="77777777" w:rsidR="00BD152F" w:rsidRPr="00D96C74" w:rsidRDefault="00BD152F" w:rsidP="00B00391">
            <w:pPr>
              <w:ind w:right="-29"/>
              <w:jc w:val="center"/>
              <w:rPr>
                <w:noProof/>
                <w:sz w:val="18"/>
                <w:szCs w:val="18"/>
              </w:rPr>
            </w:pPr>
          </w:p>
        </w:tc>
        <w:tc>
          <w:tcPr>
            <w:tcW w:w="720" w:type="dxa"/>
            <w:gridSpan w:val="2"/>
            <w:tcBorders>
              <w:left w:val="dashSmallGap" w:sz="4" w:space="0" w:color="auto"/>
            </w:tcBorders>
          </w:tcPr>
          <w:p w14:paraId="0E94BD64" w14:textId="77777777" w:rsidR="00BD152F" w:rsidRPr="00D96C74" w:rsidRDefault="00BD152F" w:rsidP="00B00391">
            <w:pPr>
              <w:ind w:right="-29"/>
              <w:jc w:val="center"/>
              <w:rPr>
                <w:noProof/>
                <w:sz w:val="18"/>
                <w:szCs w:val="18"/>
              </w:rPr>
            </w:pPr>
          </w:p>
        </w:tc>
        <w:tc>
          <w:tcPr>
            <w:tcW w:w="540" w:type="dxa"/>
            <w:tcBorders>
              <w:right w:val="dashSmallGap" w:sz="4" w:space="0" w:color="auto"/>
            </w:tcBorders>
          </w:tcPr>
          <w:p w14:paraId="7B326431" w14:textId="77777777" w:rsidR="00BD152F" w:rsidRPr="00D96C74" w:rsidRDefault="00BD152F" w:rsidP="00B00391">
            <w:pPr>
              <w:ind w:right="-29"/>
              <w:jc w:val="center"/>
              <w:rPr>
                <w:noProof/>
                <w:sz w:val="18"/>
                <w:szCs w:val="18"/>
              </w:rPr>
            </w:pPr>
          </w:p>
        </w:tc>
        <w:tc>
          <w:tcPr>
            <w:tcW w:w="648" w:type="dxa"/>
            <w:tcBorders>
              <w:left w:val="dashSmallGap" w:sz="4" w:space="0" w:color="auto"/>
            </w:tcBorders>
          </w:tcPr>
          <w:p w14:paraId="573A94D9" w14:textId="77777777" w:rsidR="00BD152F" w:rsidRPr="00D96C74" w:rsidRDefault="00BD152F" w:rsidP="00B00391">
            <w:pPr>
              <w:ind w:right="-29"/>
              <w:jc w:val="center"/>
              <w:rPr>
                <w:noProof/>
                <w:sz w:val="18"/>
                <w:szCs w:val="18"/>
              </w:rPr>
            </w:pPr>
          </w:p>
        </w:tc>
        <w:tc>
          <w:tcPr>
            <w:tcW w:w="432" w:type="dxa"/>
            <w:tcBorders>
              <w:right w:val="dashSmallGap" w:sz="4" w:space="0" w:color="auto"/>
            </w:tcBorders>
          </w:tcPr>
          <w:p w14:paraId="7D6D3C25" w14:textId="77777777" w:rsidR="00BD152F" w:rsidRPr="00D96C74" w:rsidRDefault="00BD152F" w:rsidP="00B00391">
            <w:pPr>
              <w:ind w:right="-29"/>
              <w:jc w:val="center"/>
              <w:rPr>
                <w:noProof/>
                <w:sz w:val="18"/>
                <w:szCs w:val="18"/>
              </w:rPr>
            </w:pPr>
          </w:p>
        </w:tc>
        <w:tc>
          <w:tcPr>
            <w:tcW w:w="720" w:type="dxa"/>
            <w:tcBorders>
              <w:left w:val="dashSmallGap" w:sz="4" w:space="0" w:color="auto"/>
            </w:tcBorders>
          </w:tcPr>
          <w:p w14:paraId="62A9462F" w14:textId="77777777" w:rsidR="00BD152F" w:rsidRPr="00D96C74" w:rsidRDefault="00BD152F" w:rsidP="00B00391">
            <w:pPr>
              <w:ind w:right="-29"/>
              <w:jc w:val="center"/>
              <w:rPr>
                <w:noProof/>
                <w:sz w:val="18"/>
                <w:szCs w:val="18"/>
              </w:rPr>
            </w:pPr>
          </w:p>
        </w:tc>
        <w:tc>
          <w:tcPr>
            <w:tcW w:w="540" w:type="dxa"/>
            <w:tcBorders>
              <w:right w:val="dashSmallGap" w:sz="4" w:space="0" w:color="auto"/>
            </w:tcBorders>
          </w:tcPr>
          <w:p w14:paraId="12F664E6" w14:textId="77777777" w:rsidR="00BD152F" w:rsidRPr="00D96C74" w:rsidRDefault="00BD152F" w:rsidP="00B00391">
            <w:pPr>
              <w:ind w:right="-29"/>
              <w:jc w:val="center"/>
              <w:rPr>
                <w:noProof/>
                <w:sz w:val="18"/>
                <w:szCs w:val="18"/>
              </w:rPr>
            </w:pPr>
          </w:p>
        </w:tc>
        <w:tc>
          <w:tcPr>
            <w:tcW w:w="720" w:type="dxa"/>
            <w:tcBorders>
              <w:left w:val="dashSmallGap" w:sz="4" w:space="0" w:color="auto"/>
            </w:tcBorders>
          </w:tcPr>
          <w:p w14:paraId="11898DA5" w14:textId="77777777" w:rsidR="00BD152F" w:rsidRPr="00D96C74" w:rsidRDefault="00BD152F" w:rsidP="00B00391">
            <w:pPr>
              <w:ind w:right="-29"/>
              <w:jc w:val="center"/>
              <w:rPr>
                <w:noProof/>
                <w:sz w:val="18"/>
                <w:szCs w:val="18"/>
              </w:rPr>
            </w:pPr>
          </w:p>
        </w:tc>
        <w:tc>
          <w:tcPr>
            <w:tcW w:w="720" w:type="dxa"/>
          </w:tcPr>
          <w:p w14:paraId="650BAE5C" w14:textId="77777777" w:rsidR="00BD152F" w:rsidRPr="00D96C74" w:rsidRDefault="00BD152F" w:rsidP="00B00391">
            <w:pPr>
              <w:ind w:right="-29"/>
              <w:jc w:val="center"/>
              <w:rPr>
                <w:noProof/>
                <w:sz w:val="18"/>
                <w:szCs w:val="18"/>
              </w:rPr>
            </w:pPr>
          </w:p>
        </w:tc>
        <w:tc>
          <w:tcPr>
            <w:tcW w:w="900" w:type="dxa"/>
          </w:tcPr>
          <w:p w14:paraId="0C2CDAD6" w14:textId="77777777" w:rsidR="00BD152F" w:rsidRPr="00D96C74" w:rsidRDefault="00BD152F" w:rsidP="00B00391">
            <w:pPr>
              <w:ind w:right="-29"/>
              <w:jc w:val="center"/>
              <w:rPr>
                <w:noProof/>
                <w:sz w:val="18"/>
                <w:szCs w:val="18"/>
              </w:rPr>
            </w:pPr>
          </w:p>
        </w:tc>
      </w:tr>
      <w:tr w:rsidR="00BD152F" w:rsidRPr="00D96C74" w14:paraId="3D26E391" w14:textId="77777777" w:rsidTr="1BD3479F">
        <w:trPr>
          <w:trHeight w:hRule="exact" w:val="369"/>
          <w:jc w:val="center"/>
        </w:trPr>
        <w:tc>
          <w:tcPr>
            <w:tcW w:w="1423" w:type="dxa"/>
          </w:tcPr>
          <w:p w14:paraId="7535492E" w14:textId="77777777" w:rsidR="00BD152F" w:rsidRPr="00D96C74" w:rsidRDefault="00BD152F" w:rsidP="00B00391">
            <w:pPr>
              <w:ind w:right="-29"/>
              <w:jc w:val="center"/>
              <w:rPr>
                <w:noProof/>
                <w:sz w:val="18"/>
                <w:szCs w:val="18"/>
              </w:rPr>
            </w:pPr>
            <w:r w:rsidRPr="00D96C74">
              <w:rPr>
                <w:noProof/>
                <w:sz w:val="18"/>
              </w:rPr>
              <w:t>- Realizare</w:t>
            </w:r>
          </w:p>
        </w:tc>
        <w:tc>
          <w:tcPr>
            <w:tcW w:w="720" w:type="dxa"/>
          </w:tcPr>
          <w:p w14:paraId="1845662B" w14:textId="77777777" w:rsidR="00BD152F" w:rsidRPr="00D96C74" w:rsidRDefault="00BD152F" w:rsidP="00B00391">
            <w:pPr>
              <w:ind w:right="-29"/>
              <w:jc w:val="center"/>
              <w:rPr>
                <w:noProof/>
                <w:sz w:val="18"/>
                <w:szCs w:val="18"/>
              </w:rPr>
            </w:pPr>
          </w:p>
        </w:tc>
        <w:tc>
          <w:tcPr>
            <w:tcW w:w="701" w:type="dxa"/>
          </w:tcPr>
          <w:p w14:paraId="396D4E39" w14:textId="77777777" w:rsidR="00BD152F" w:rsidRPr="00D96C74" w:rsidRDefault="00BD152F" w:rsidP="00B00391">
            <w:pPr>
              <w:ind w:right="-29"/>
              <w:jc w:val="center"/>
              <w:rPr>
                <w:noProof/>
                <w:sz w:val="18"/>
                <w:szCs w:val="18"/>
              </w:rPr>
            </w:pPr>
          </w:p>
        </w:tc>
        <w:tc>
          <w:tcPr>
            <w:tcW w:w="504" w:type="dxa"/>
          </w:tcPr>
          <w:p w14:paraId="315EA8F0" w14:textId="77777777" w:rsidR="00BD152F" w:rsidRPr="00D96C74" w:rsidRDefault="00BD152F" w:rsidP="00B00391">
            <w:pPr>
              <w:ind w:right="-29"/>
              <w:jc w:val="center"/>
              <w:rPr>
                <w:noProof/>
                <w:sz w:val="18"/>
                <w:szCs w:val="18"/>
              </w:rPr>
            </w:pPr>
          </w:p>
        </w:tc>
        <w:tc>
          <w:tcPr>
            <w:tcW w:w="720" w:type="dxa"/>
          </w:tcPr>
          <w:p w14:paraId="1783DCED" w14:textId="77777777" w:rsidR="00BD152F" w:rsidRPr="00D96C74" w:rsidRDefault="00BD152F" w:rsidP="00B00391">
            <w:pPr>
              <w:ind w:right="-29"/>
              <w:jc w:val="center"/>
              <w:rPr>
                <w:noProof/>
                <w:sz w:val="18"/>
                <w:szCs w:val="18"/>
              </w:rPr>
            </w:pPr>
          </w:p>
        </w:tc>
        <w:tc>
          <w:tcPr>
            <w:tcW w:w="540" w:type="dxa"/>
          </w:tcPr>
          <w:p w14:paraId="38BF2C7E" w14:textId="77777777" w:rsidR="00BD152F" w:rsidRPr="00D96C74" w:rsidRDefault="00BD152F" w:rsidP="00B00391">
            <w:pPr>
              <w:ind w:right="-29"/>
              <w:jc w:val="center"/>
              <w:rPr>
                <w:noProof/>
                <w:sz w:val="18"/>
                <w:szCs w:val="18"/>
              </w:rPr>
            </w:pPr>
          </w:p>
        </w:tc>
        <w:tc>
          <w:tcPr>
            <w:tcW w:w="720" w:type="dxa"/>
          </w:tcPr>
          <w:p w14:paraId="191AA0B0" w14:textId="77777777" w:rsidR="00BD152F" w:rsidRPr="00D96C74" w:rsidRDefault="00BD152F" w:rsidP="00B00391">
            <w:pPr>
              <w:ind w:right="-29"/>
              <w:jc w:val="center"/>
              <w:rPr>
                <w:noProof/>
                <w:sz w:val="18"/>
                <w:szCs w:val="18"/>
              </w:rPr>
            </w:pPr>
          </w:p>
        </w:tc>
        <w:tc>
          <w:tcPr>
            <w:tcW w:w="720" w:type="dxa"/>
          </w:tcPr>
          <w:p w14:paraId="2D933B48" w14:textId="77777777" w:rsidR="00BD152F" w:rsidRPr="00D96C74" w:rsidRDefault="00BD152F" w:rsidP="00B00391">
            <w:pPr>
              <w:ind w:right="-29"/>
              <w:jc w:val="center"/>
              <w:rPr>
                <w:noProof/>
                <w:sz w:val="18"/>
                <w:szCs w:val="18"/>
              </w:rPr>
            </w:pPr>
          </w:p>
        </w:tc>
        <w:tc>
          <w:tcPr>
            <w:tcW w:w="720" w:type="dxa"/>
          </w:tcPr>
          <w:p w14:paraId="04560D9B" w14:textId="77777777" w:rsidR="00BD152F" w:rsidRPr="00D96C74" w:rsidRDefault="00BD152F" w:rsidP="00B00391">
            <w:pPr>
              <w:ind w:right="-29"/>
              <w:jc w:val="center"/>
              <w:rPr>
                <w:noProof/>
                <w:sz w:val="18"/>
                <w:szCs w:val="18"/>
              </w:rPr>
            </w:pPr>
          </w:p>
        </w:tc>
        <w:tc>
          <w:tcPr>
            <w:tcW w:w="900" w:type="dxa"/>
          </w:tcPr>
          <w:p w14:paraId="74549B9E" w14:textId="77777777" w:rsidR="00BD152F" w:rsidRPr="00D96C74" w:rsidRDefault="00BD152F" w:rsidP="00B00391">
            <w:pPr>
              <w:ind w:right="-29"/>
              <w:jc w:val="center"/>
              <w:rPr>
                <w:noProof/>
                <w:sz w:val="18"/>
                <w:szCs w:val="18"/>
              </w:rPr>
            </w:pPr>
          </w:p>
        </w:tc>
        <w:tc>
          <w:tcPr>
            <w:tcW w:w="720" w:type="dxa"/>
            <w:gridSpan w:val="2"/>
          </w:tcPr>
          <w:p w14:paraId="6CE2F1F5" w14:textId="77777777" w:rsidR="00BD152F" w:rsidRPr="00D96C74" w:rsidRDefault="00BD152F" w:rsidP="00B00391">
            <w:pPr>
              <w:ind w:right="-29"/>
              <w:jc w:val="center"/>
              <w:rPr>
                <w:noProof/>
                <w:sz w:val="18"/>
                <w:szCs w:val="18"/>
              </w:rPr>
            </w:pPr>
          </w:p>
        </w:tc>
        <w:tc>
          <w:tcPr>
            <w:tcW w:w="540" w:type="dxa"/>
          </w:tcPr>
          <w:p w14:paraId="5969440E" w14:textId="77777777" w:rsidR="00BD152F" w:rsidRPr="00D96C74" w:rsidRDefault="00BD152F" w:rsidP="00B00391">
            <w:pPr>
              <w:ind w:right="-29"/>
              <w:jc w:val="center"/>
              <w:rPr>
                <w:noProof/>
                <w:sz w:val="18"/>
                <w:szCs w:val="18"/>
              </w:rPr>
            </w:pPr>
          </w:p>
        </w:tc>
        <w:tc>
          <w:tcPr>
            <w:tcW w:w="648" w:type="dxa"/>
          </w:tcPr>
          <w:p w14:paraId="3664B743" w14:textId="77777777" w:rsidR="00BD152F" w:rsidRPr="00D96C74" w:rsidRDefault="00BD152F" w:rsidP="00B00391">
            <w:pPr>
              <w:ind w:right="-29"/>
              <w:jc w:val="center"/>
              <w:rPr>
                <w:noProof/>
                <w:sz w:val="18"/>
                <w:szCs w:val="18"/>
              </w:rPr>
            </w:pPr>
          </w:p>
        </w:tc>
        <w:tc>
          <w:tcPr>
            <w:tcW w:w="432" w:type="dxa"/>
          </w:tcPr>
          <w:p w14:paraId="50D74793" w14:textId="77777777" w:rsidR="00BD152F" w:rsidRPr="00D96C74" w:rsidRDefault="00BD152F" w:rsidP="00B00391">
            <w:pPr>
              <w:ind w:right="-29"/>
              <w:jc w:val="center"/>
              <w:rPr>
                <w:noProof/>
                <w:sz w:val="18"/>
                <w:szCs w:val="18"/>
              </w:rPr>
            </w:pPr>
          </w:p>
        </w:tc>
        <w:tc>
          <w:tcPr>
            <w:tcW w:w="720" w:type="dxa"/>
          </w:tcPr>
          <w:p w14:paraId="6DE1C21E" w14:textId="77777777" w:rsidR="00BD152F" w:rsidRPr="00D96C74" w:rsidRDefault="00BD152F" w:rsidP="00B00391">
            <w:pPr>
              <w:ind w:right="-29"/>
              <w:jc w:val="center"/>
              <w:rPr>
                <w:noProof/>
                <w:sz w:val="18"/>
                <w:szCs w:val="18"/>
              </w:rPr>
            </w:pPr>
          </w:p>
        </w:tc>
        <w:tc>
          <w:tcPr>
            <w:tcW w:w="540" w:type="dxa"/>
          </w:tcPr>
          <w:p w14:paraId="08E0F270" w14:textId="77777777" w:rsidR="00BD152F" w:rsidRPr="00D96C74" w:rsidRDefault="00BD152F" w:rsidP="00B00391">
            <w:pPr>
              <w:ind w:right="-29"/>
              <w:jc w:val="center"/>
              <w:rPr>
                <w:noProof/>
                <w:sz w:val="18"/>
                <w:szCs w:val="18"/>
              </w:rPr>
            </w:pPr>
          </w:p>
        </w:tc>
        <w:tc>
          <w:tcPr>
            <w:tcW w:w="720" w:type="dxa"/>
          </w:tcPr>
          <w:p w14:paraId="38C157C7" w14:textId="77777777" w:rsidR="00BD152F" w:rsidRPr="00D96C74" w:rsidRDefault="00BD152F" w:rsidP="00B00391">
            <w:pPr>
              <w:ind w:right="-29"/>
              <w:jc w:val="center"/>
              <w:rPr>
                <w:noProof/>
                <w:sz w:val="18"/>
                <w:szCs w:val="18"/>
              </w:rPr>
            </w:pPr>
          </w:p>
        </w:tc>
        <w:tc>
          <w:tcPr>
            <w:tcW w:w="720" w:type="dxa"/>
          </w:tcPr>
          <w:p w14:paraId="6C5143C2" w14:textId="77777777" w:rsidR="00BD152F" w:rsidRPr="00D96C74" w:rsidRDefault="00BD152F" w:rsidP="00B00391">
            <w:pPr>
              <w:ind w:right="-29"/>
              <w:jc w:val="center"/>
              <w:rPr>
                <w:noProof/>
                <w:sz w:val="18"/>
                <w:szCs w:val="18"/>
              </w:rPr>
            </w:pPr>
          </w:p>
        </w:tc>
        <w:tc>
          <w:tcPr>
            <w:tcW w:w="900" w:type="dxa"/>
          </w:tcPr>
          <w:p w14:paraId="04A15AD9" w14:textId="77777777" w:rsidR="00BD152F" w:rsidRPr="00D96C74" w:rsidRDefault="00BD152F" w:rsidP="00B00391">
            <w:pPr>
              <w:ind w:right="-29"/>
              <w:jc w:val="center"/>
              <w:rPr>
                <w:noProof/>
                <w:sz w:val="18"/>
                <w:szCs w:val="18"/>
              </w:rPr>
            </w:pPr>
          </w:p>
        </w:tc>
      </w:tr>
      <w:tr w:rsidR="00BD152F" w:rsidRPr="00D96C74" w14:paraId="10FE82DD" w14:textId="77777777" w:rsidTr="1BD3479F">
        <w:trPr>
          <w:trHeight w:val="77"/>
          <w:jc w:val="center"/>
        </w:trPr>
        <w:tc>
          <w:tcPr>
            <w:tcW w:w="2844" w:type="dxa"/>
            <w:gridSpan w:val="3"/>
            <w:tcBorders>
              <w:bottom w:val="single" w:sz="12" w:space="0" w:color="auto"/>
            </w:tcBorders>
            <w:vAlign w:val="center"/>
          </w:tcPr>
          <w:p w14:paraId="17F4F603" w14:textId="77777777" w:rsidR="00BD152F" w:rsidRPr="00D96C74" w:rsidRDefault="00BD152F" w:rsidP="00B00391">
            <w:pPr>
              <w:ind w:right="-29"/>
              <w:jc w:val="center"/>
              <w:rPr>
                <w:noProof/>
                <w:sz w:val="18"/>
                <w:szCs w:val="18"/>
              </w:rPr>
            </w:pPr>
            <w:r w:rsidRPr="00D96C74">
              <w:rPr>
                <w:noProof/>
                <w:sz w:val="18"/>
              </w:rPr>
              <w:t>Subtotal pentru obiectivul specific nr. </w:t>
            </w:r>
            <w:r w:rsidRPr="00D020C3">
              <w:rPr>
                <w:noProof/>
                <w:sz w:val="18"/>
              </w:rPr>
              <w:t>1</w:t>
            </w:r>
          </w:p>
        </w:tc>
        <w:tc>
          <w:tcPr>
            <w:tcW w:w="504" w:type="dxa"/>
            <w:tcBorders>
              <w:bottom w:val="single" w:sz="12" w:space="0" w:color="auto"/>
            </w:tcBorders>
          </w:tcPr>
          <w:p w14:paraId="2B8E9DBE" w14:textId="77777777" w:rsidR="00BD152F" w:rsidRPr="00D96C74" w:rsidRDefault="00BD152F" w:rsidP="00B00391">
            <w:pPr>
              <w:ind w:right="-29"/>
              <w:jc w:val="center"/>
              <w:rPr>
                <w:noProof/>
                <w:sz w:val="18"/>
                <w:szCs w:val="18"/>
              </w:rPr>
            </w:pPr>
          </w:p>
        </w:tc>
        <w:tc>
          <w:tcPr>
            <w:tcW w:w="720" w:type="dxa"/>
            <w:tcBorders>
              <w:bottom w:val="single" w:sz="12" w:space="0" w:color="auto"/>
            </w:tcBorders>
          </w:tcPr>
          <w:p w14:paraId="194654E6" w14:textId="77777777" w:rsidR="00BD152F" w:rsidRPr="00D96C74" w:rsidRDefault="00BD152F" w:rsidP="00B00391">
            <w:pPr>
              <w:ind w:right="-29"/>
              <w:jc w:val="center"/>
              <w:rPr>
                <w:noProof/>
                <w:sz w:val="18"/>
                <w:szCs w:val="18"/>
              </w:rPr>
            </w:pPr>
          </w:p>
        </w:tc>
        <w:tc>
          <w:tcPr>
            <w:tcW w:w="540" w:type="dxa"/>
            <w:tcBorders>
              <w:bottom w:val="single" w:sz="12" w:space="0" w:color="auto"/>
            </w:tcBorders>
          </w:tcPr>
          <w:p w14:paraId="3A33AAFC" w14:textId="77777777" w:rsidR="00BD152F" w:rsidRPr="00D96C74" w:rsidRDefault="00BD152F" w:rsidP="00B00391">
            <w:pPr>
              <w:ind w:right="-29"/>
              <w:jc w:val="center"/>
              <w:rPr>
                <w:noProof/>
                <w:sz w:val="18"/>
                <w:szCs w:val="18"/>
              </w:rPr>
            </w:pPr>
          </w:p>
        </w:tc>
        <w:tc>
          <w:tcPr>
            <w:tcW w:w="720" w:type="dxa"/>
            <w:tcBorders>
              <w:bottom w:val="single" w:sz="12" w:space="0" w:color="auto"/>
            </w:tcBorders>
          </w:tcPr>
          <w:p w14:paraId="6B335E8F" w14:textId="77777777" w:rsidR="00BD152F" w:rsidRPr="00D96C74" w:rsidRDefault="00BD152F" w:rsidP="00B00391">
            <w:pPr>
              <w:ind w:right="-29"/>
              <w:jc w:val="center"/>
              <w:rPr>
                <w:noProof/>
                <w:sz w:val="18"/>
                <w:szCs w:val="18"/>
              </w:rPr>
            </w:pPr>
          </w:p>
        </w:tc>
        <w:tc>
          <w:tcPr>
            <w:tcW w:w="720" w:type="dxa"/>
            <w:tcBorders>
              <w:bottom w:val="single" w:sz="12" w:space="0" w:color="auto"/>
            </w:tcBorders>
          </w:tcPr>
          <w:p w14:paraId="2CBF8C10" w14:textId="77777777" w:rsidR="00BD152F" w:rsidRPr="00D96C74" w:rsidRDefault="00BD152F" w:rsidP="00B00391">
            <w:pPr>
              <w:ind w:right="-29"/>
              <w:jc w:val="center"/>
              <w:rPr>
                <w:noProof/>
                <w:sz w:val="18"/>
                <w:szCs w:val="18"/>
              </w:rPr>
            </w:pPr>
          </w:p>
        </w:tc>
        <w:tc>
          <w:tcPr>
            <w:tcW w:w="720" w:type="dxa"/>
            <w:tcBorders>
              <w:bottom w:val="single" w:sz="12" w:space="0" w:color="auto"/>
            </w:tcBorders>
          </w:tcPr>
          <w:p w14:paraId="4B6CFBE2" w14:textId="77777777" w:rsidR="00BD152F" w:rsidRPr="00D96C74" w:rsidRDefault="00BD152F" w:rsidP="00B00391">
            <w:pPr>
              <w:ind w:right="-29"/>
              <w:jc w:val="center"/>
              <w:rPr>
                <w:noProof/>
                <w:sz w:val="18"/>
                <w:szCs w:val="18"/>
              </w:rPr>
            </w:pPr>
          </w:p>
        </w:tc>
        <w:tc>
          <w:tcPr>
            <w:tcW w:w="900" w:type="dxa"/>
            <w:tcBorders>
              <w:bottom w:val="single" w:sz="12" w:space="0" w:color="auto"/>
            </w:tcBorders>
          </w:tcPr>
          <w:p w14:paraId="2F07DE2D" w14:textId="77777777" w:rsidR="00BD152F" w:rsidRPr="00D96C74" w:rsidRDefault="00BD152F" w:rsidP="00B00391">
            <w:pPr>
              <w:ind w:right="-29"/>
              <w:jc w:val="center"/>
              <w:rPr>
                <w:noProof/>
                <w:sz w:val="18"/>
                <w:szCs w:val="18"/>
              </w:rPr>
            </w:pPr>
          </w:p>
        </w:tc>
        <w:tc>
          <w:tcPr>
            <w:tcW w:w="720" w:type="dxa"/>
            <w:gridSpan w:val="2"/>
            <w:tcBorders>
              <w:bottom w:val="single" w:sz="12" w:space="0" w:color="auto"/>
            </w:tcBorders>
          </w:tcPr>
          <w:p w14:paraId="5BE32C5A" w14:textId="77777777" w:rsidR="00BD152F" w:rsidRPr="00D96C74" w:rsidRDefault="00BD152F" w:rsidP="00B00391">
            <w:pPr>
              <w:ind w:right="-29"/>
              <w:jc w:val="center"/>
              <w:rPr>
                <w:noProof/>
                <w:sz w:val="18"/>
                <w:szCs w:val="18"/>
              </w:rPr>
            </w:pPr>
          </w:p>
        </w:tc>
        <w:tc>
          <w:tcPr>
            <w:tcW w:w="540" w:type="dxa"/>
            <w:tcBorders>
              <w:bottom w:val="single" w:sz="12" w:space="0" w:color="auto"/>
            </w:tcBorders>
          </w:tcPr>
          <w:p w14:paraId="352967E4" w14:textId="77777777" w:rsidR="00BD152F" w:rsidRPr="00D96C74" w:rsidRDefault="00BD152F" w:rsidP="00B00391">
            <w:pPr>
              <w:ind w:right="-29"/>
              <w:jc w:val="center"/>
              <w:rPr>
                <w:noProof/>
                <w:sz w:val="18"/>
                <w:szCs w:val="18"/>
              </w:rPr>
            </w:pPr>
          </w:p>
        </w:tc>
        <w:tc>
          <w:tcPr>
            <w:tcW w:w="648" w:type="dxa"/>
            <w:tcBorders>
              <w:bottom w:val="single" w:sz="12" w:space="0" w:color="auto"/>
            </w:tcBorders>
          </w:tcPr>
          <w:p w14:paraId="10835E96" w14:textId="77777777" w:rsidR="00BD152F" w:rsidRPr="00D96C74" w:rsidRDefault="00BD152F" w:rsidP="00B00391">
            <w:pPr>
              <w:ind w:right="-29"/>
              <w:jc w:val="center"/>
              <w:rPr>
                <w:noProof/>
                <w:sz w:val="18"/>
                <w:szCs w:val="18"/>
              </w:rPr>
            </w:pPr>
          </w:p>
        </w:tc>
        <w:tc>
          <w:tcPr>
            <w:tcW w:w="432" w:type="dxa"/>
            <w:tcBorders>
              <w:bottom w:val="single" w:sz="12" w:space="0" w:color="auto"/>
            </w:tcBorders>
          </w:tcPr>
          <w:p w14:paraId="1AD06248" w14:textId="77777777" w:rsidR="00BD152F" w:rsidRPr="00D96C74" w:rsidRDefault="00BD152F" w:rsidP="00B00391">
            <w:pPr>
              <w:ind w:right="-29"/>
              <w:jc w:val="center"/>
              <w:rPr>
                <w:noProof/>
                <w:sz w:val="18"/>
                <w:szCs w:val="18"/>
              </w:rPr>
            </w:pPr>
          </w:p>
        </w:tc>
        <w:tc>
          <w:tcPr>
            <w:tcW w:w="720" w:type="dxa"/>
            <w:tcBorders>
              <w:bottom w:val="single" w:sz="12" w:space="0" w:color="auto"/>
            </w:tcBorders>
          </w:tcPr>
          <w:p w14:paraId="47572A10" w14:textId="77777777" w:rsidR="00BD152F" w:rsidRPr="00D96C74" w:rsidRDefault="00BD152F" w:rsidP="00B00391">
            <w:pPr>
              <w:ind w:right="-29"/>
              <w:jc w:val="center"/>
              <w:rPr>
                <w:noProof/>
                <w:sz w:val="18"/>
                <w:szCs w:val="18"/>
              </w:rPr>
            </w:pPr>
          </w:p>
        </w:tc>
        <w:tc>
          <w:tcPr>
            <w:tcW w:w="540" w:type="dxa"/>
            <w:tcBorders>
              <w:bottom w:val="single" w:sz="12" w:space="0" w:color="auto"/>
            </w:tcBorders>
          </w:tcPr>
          <w:p w14:paraId="75F593B5" w14:textId="77777777" w:rsidR="00BD152F" w:rsidRPr="00D96C74" w:rsidRDefault="00BD152F" w:rsidP="00B00391">
            <w:pPr>
              <w:ind w:right="-29"/>
              <w:jc w:val="center"/>
              <w:rPr>
                <w:noProof/>
                <w:sz w:val="18"/>
                <w:szCs w:val="18"/>
              </w:rPr>
            </w:pPr>
          </w:p>
        </w:tc>
        <w:tc>
          <w:tcPr>
            <w:tcW w:w="720" w:type="dxa"/>
            <w:tcBorders>
              <w:bottom w:val="single" w:sz="12" w:space="0" w:color="auto"/>
            </w:tcBorders>
          </w:tcPr>
          <w:p w14:paraId="6930762C" w14:textId="77777777" w:rsidR="00BD152F" w:rsidRPr="00D96C74" w:rsidRDefault="00BD152F" w:rsidP="00B00391">
            <w:pPr>
              <w:ind w:right="-29"/>
              <w:jc w:val="center"/>
              <w:rPr>
                <w:noProof/>
                <w:sz w:val="18"/>
                <w:szCs w:val="18"/>
              </w:rPr>
            </w:pPr>
          </w:p>
        </w:tc>
        <w:tc>
          <w:tcPr>
            <w:tcW w:w="720" w:type="dxa"/>
            <w:tcBorders>
              <w:bottom w:val="single" w:sz="12" w:space="0" w:color="auto"/>
            </w:tcBorders>
          </w:tcPr>
          <w:p w14:paraId="033253B9" w14:textId="77777777" w:rsidR="00BD152F" w:rsidRPr="00D96C74" w:rsidRDefault="00BD152F" w:rsidP="00B00391">
            <w:pPr>
              <w:ind w:right="-29"/>
              <w:jc w:val="center"/>
              <w:rPr>
                <w:noProof/>
                <w:sz w:val="18"/>
                <w:szCs w:val="18"/>
              </w:rPr>
            </w:pPr>
          </w:p>
        </w:tc>
        <w:tc>
          <w:tcPr>
            <w:tcW w:w="900" w:type="dxa"/>
            <w:tcBorders>
              <w:bottom w:val="single" w:sz="12" w:space="0" w:color="auto"/>
            </w:tcBorders>
          </w:tcPr>
          <w:p w14:paraId="3CC29C9A" w14:textId="77777777" w:rsidR="00BD152F" w:rsidRPr="00D96C74" w:rsidRDefault="00BD152F" w:rsidP="00B00391">
            <w:pPr>
              <w:ind w:right="-29"/>
              <w:jc w:val="center"/>
              <w:rPr>
                <w:noProof/>
                <w:sz w:val="18"/>
                <w:szCs w:val="18"/>
              </w:rPr>
            </w:pPr>
          </w:p>
        </w:tc>
      </w:tr>
      <w:tr w:rsidR="00BD152F" w:rsidRPr="00D96C74" w14:paraId="35DD4062" w14:textId="77777777" w:rsidTr="1BD3479F">
        <w:trPr>
          <w:jc w:val="center"/>
        </w:trPr>
        <w:tc>
          <w:tcPr>
            <w:tcW w:w="2844" w:type="dxa"/>
            <w:gridSpan w:val="3"/>
            <w:vAlign w:val="center"/>
          </w:tcPr>
          <w:p w14:paraId="0EEF0445" w14:textId="77777777" w:rsidR="00BD152F" w:rsidRPr="00D96C74" w:rsidRDefault="00BD152F" w:rsidP="00B00391">
            <w:pPr>
              <w:spacing w:before="60" w:after="60"/>
              <w:ind w:right="-29"/>
              <w:jc w:val="center"/>
              <w:rPr>
                <w:noProof/>
                <w:sz w:val="18"/>
                <w:szCs w:val="18"/>
              </w:rPr>
            </w:pPr>
            <w:r w:rsidRPr="00D96C74">
              <w:rPr>
                <w:noProof/>
                <w:sz w:val="18"/>
              </w:rPr>
              <w:t>OBIECTIVUL SPECIFIC NR. </w:t>
            </w:r>
            <w:r w:rsidRPr="00D020C3">
              <w:rPr>
                <w:noProof/>
                <w:sz w:val="18"/>
              </w:rPr>
              <w:t>2</w:t>
            </w:r>
            <w:r w:rsidRPr="00D96C74">
              <w:rPr>
                <w:noProof/>
                <w:sz w:val="18"/>
              </w:rPr>
              <w:t>…</w:t>
            </w:r>
          </w:p>
        </w:tc>
        <w:tc>
          <w:tcPr>
            <w:tcW w:w="504" w:type="dxa"/>
            <w:tcBorders>
              <w:top w:val="nil"/>
              <w:left w:val="nil"/>
              <w:bottom w:val="nil"/>
              <w:right w:val="nil"/>
            </w:tcBorders>
          </w:tcPr>
          <w:p w14:paraId="02839673" w14:textId="77777777" w:rsidR="00BD152F" w:rsidRPr="00D96C74" w:rsidRDefault="00BD152F" w:rsidP="00B00391">
            <w:pPr>
              <w:spacing w:before="60" w:after="60"/>
              <w:ind w:right="-29"/>
              <w:jc w:val="center"/>
              <w:rPr>
                <w:noProof/>
                <w:sz w:val="18"/>
                <w:szCs w:val="18"/>
              </w:rPr>
            </w:pPr>
          </w:p>
        </w:tc>
        <w:tc>
          <w:tcPr>
            <w:tcW w:w="720" w:type="dxa"/>
            <w:tcBorders>
              <w:top w:val="nil"/>
              <w:left w:val="nil"/>
              <w:bottom w:val="nil"/>
              <w:right w:val="nil"/>
            </w:tcBorders>
          </w:tcPr>
          <w:p w14:paraId="0D2F62EB" w14:textId="77777777" w:rsidR="00BD152F" w:rsidRPr="00D96C74" w:rsidRDefault="00BD152F" w:rsidP="00B00391">
            <w:pPr>
              <w:spacing w:before="60" w:after="60"/>
              <w:ind w:right="-29"/>
              <w:jc w:val="center"/>
              <w:rPr>
                <w:noProof/>
                <w:sz w:val="18"/>
                <w:szCs w:val="18"/>
              </w:rPr>
            </w:pPr>
          </w:p>
        </w:tc>
        <w:tc>
          <w:tcPr>
            <w:tcW w:w="540" w:type="dxa"/>
            <w:tcBorders>
              <w:top w:val="nil"/>
              <w:left w:val="nil"/>
              <w:bottom w:val="nil"/>
              <w:right w:val="nil"/>
            </w:tcBorders>
          </w:tcPr>
          <w:p w14:paraId="6DF27A22" w14:textId="77777777" w:rsidR="00BD152F" w:rsidRPr="00D96C74" w:rsidRDefault="00BD152F" w:rsidP="00B00391">
            <w:pPr>
              <w:spacing w:before="60" w:after="60"/>
              <w:ind w:right="-29"/>
              <w:jc w:val="center"/>
              <w:rPr>
                <w:noProof/>
                <w:sz w:val="18"/>
                <w:szCs w:val="18"/>
              </w:rPr>
            </w:pPr>
          </w:p>
        </w:tc>
        <w:tc>
          <w:tcPr>
            <w:tcW w:w="720" w:type="dxa"/>
            <w:tcBorders>
              <w:top w:val="nil"/>
              <w:left w:val="nil"/>
              <w:bottom w:val="nil"/>
              <w:right w:val="nil"/>
            </w:tcBorders>
          </w:tcPr>
          <w:p w14:paraId="0A4453FF" w14:textId="77777777" w:rsidR="00BD152F" w:rsidRPr="00D96C74" w:rsidRDefault="00BD152F" w:rsidP="00B00391">
            <w:pPr>
              <w:spacing w:before="60" w:after="60"/>
              <w:ind w:right="-29"/>
              <w:jc w:val="center"/>
              <w:rPr>
                <w:noProof/>
                <w:sz w:val="18"/>
                <w:szCs w:val="18"/>
              </w:rPr>
            </w:pPr>
          </w:p>
        </w:tc>
        <w:tc>
          <w:tcPr>
            <w:tcW w:w="720" w:type="dxa"/>
            <w:tcBorders>
              <w:top w:val="nil"/>
              <w:left w:val="nil"/>
              <w:bottom w:val="nil"/>
              <w:right w:val="nil"/>
            </w:tcBorders>
          </w:tcPr>
          <w:p w14:paraId="7A570652" w14:textId="77777777" w:rsidR="00BD152F" w:rsidRPr="00D96C74" w:rsidRDefault="00BD152F" w:rsidP="00B00391">
            <w:pPr>
              <w:spacing w:before="60" w:after="60"/>
              <w:ind w:right="-29"/>
              <w:jc w:val="center"/>
              <w:rPr>
                <w:noProof/>
                <w:sz w:val="18"/>
                <w:szCs w:val="18"/>
              </w:rPr>
            </w:pPr>
          </w:p>
        </w:tc>
        <w:tc>
          <w:tcPr>
            <w:tcW w:w="720" w:type="dxa"/>
            <w:tcBorders>
              <w:top w:val="nil"/>
              <w:left w:val="nil"/>
              <w:bottom w:val="nil"/>
              <w:right w:val="nil"/>
            </w:tcBorders>
          </w:tcPr>
          <w:p w14:paraId="779A69D4" w14:textId="77777777" w:rsidR="00BD152F" w:rsidRPr="00D96C74" w:rsidRDefault="00BD152F" w:rsidP="00B00391">
            <w:pPr>
              <w:spacing w:before="60" w:after="60"/>
              <w:ind w:right="-29"/>
              <w:jc w:val="center"/>
              <w:rPr>
                <w:noProof/>
                <w:sz w:val="18"/>
                <w:szCs w:val="18"/>
              </w:rPr>
            </w:pPr>
          </w:p>
        </w:tc>
        <w:tc>
          <w:tcPr>
            <w:tcW w:w="900" w:type="dxa"/>
            <w:tcBorders>
              <w:top w:val="nil"/>
              <w:left w:val="nil"/>
              <w:bottom w:val="nil"/>
              <w:right w:val="nil"/>
            </w:tcBorders>
          </w:tcPr>
          <w:p w14:paraId="79DAD589" w14:textId="77777777" w:rsidR="00BD152F" w:rsidRPr="00D96C74" w:rsidRDefault="00BD152F" w:rsidP="00B00391">
            <w:pPr>
              <w:spacing w:before="60" w:after="60"/>
              <w:ind w:right="-29"/>
              <w:jc w:val="center"/>
              <w:rPr>
                <w:noProof/>
                <w:sz w:val="18"/>
                <w:szCs w:val="18"/>
              </w:rPr>
            </w:pPr>
          </w:p>
        </w:tc>
        <w:tc>
          <w:tcPr>
            <w:tcW w:w="720" w:type="dxa"/>
            <w:gridSpan w:val="2"/>
            <w:tcBorders>
              <w:top w:val="nil"/>
              <w:left w:val="nil"/>
              <w:bottom w:val="nil"/>
              <w:right w:val="nil"/>
            </w:tcBorders>
          </w:tcPr>
          <w:p w14:paraId="5B3EDBC8" w14:textId="77777777" w:rsidR="00BD152F" w:rsidRPr="00D96C74" w:rsidRDefault="00BD152F" w:rsidP="00B00391">
            <w:pPr>
              <w:spacing w:before="60" w:after="60"/>
              <w:ind w:right="-29"/>
              <w:jc w:val="center"/>
              <w:rPr>
                <w:noProof/>
                <w:sz w:val="18"/>
                <w:szCs w:val="18"/>
              </w:rPr>
            </w:pPr>
          </w:p>
        </w:tc>
        <w:tc>
          <w:tcPr>
            <w:tcW w:w="540" w:type="dxa"/>
            <w:tcBorders>
              <w:top w:val="nil"/>
              <w:left w:val="nil"/>
              <w:bottom w:val="nil"/>
              <w:right w:val="nil"/>
            </w:tcBorders>
          </w:tcPr>
          <w:p w14:paraId="158280F8" w14:textId="77777777" w:rsidR="00BD152F" w:rsidRPr="00D96C74" w:rsidRDefault="00BD152F" w:rsidP="00B00391">
            <w:pPr>
              <w:spacing w:before="60" w:after="60"/>
              <w:ind w:right="-29"/>
              <w:jc w:val="center"/>
              <w:rPr>
                <w:noProof/>
                <w:sz w:val="18"/>
                <w:szCs w:val="18"/>
              </w:rPr>
            </w:pPr>
          </w:p>
        </w:tc>
        <w:tc>
          <w:tcPr>
            <w:tcW w:w="648" w:type="dxa"/>
            <w:tcBorders>
              <w:top w:val="nil"/>
              <w:left w:val="nil"/>
              <w:bottom w:val="nil"/>
              <w:right w:val="nil"/>
            </w:tcBorders>
          </w:tcPr>
          <w:p w14:paraId="4A9A607E" w14:textId="77777777" w:rsidR="00BD152F" w:rsidRPr="00D96C74" w:rsidRDefault="00BD152F" w:rsidP="00B00391">
            <w:pPr>
              <w:spacing w:before="60" w:after="60"/>
              <w:ind w:right="-29"/>
              <w:jc w:val="center"/>
              <w:rPr>
                <w:noProof/>
                <w:sz w:val="18"/>
                <w:szCs w:val="18"/>
              </w:rPr>
            </w:pPr>
          </w:p>
        </w:tc>
        <w:tc>
          <w:tcPr>
            <w:tcW w:w="432" w:type="dxa"/>
            <w:tcBorders>
              <w:top w:val="nil"/>
              <w:left w:val="nil"/>
              <w:bottom w:val="nil"/>
              <w:right w:val="nil"/>
            </w:tcBorders>
          </w:tcPr>
          <w:p w14:paraId="1F7496AB" w14:textId="77777777" w:rsidR="00BD152F" w:rsidRPr="00D96C74" w:rsidRDefault="00BD152F" w:rsidP="00B00391">
            <w:pPr>
              <w:spacing w:before="60" w:after="60"/>
              <w:ind w:right="-29"/>
              <w:jc w:val="center"/>
              <w:rPr>
                <w:noProof/>
                <w:sz w:val="18"/>
                <w:szCs w:val="18"/>
              </w:rPr>
            </w:pPr>
          </w:p>
        </w:tc>
        <w:tc>
          <w:tcPr>
            <w:tcW w:w="720" w:type="dxa"/>
            <w:tcBorders>
              <w:top w:val="nil"/>
              <w:left w:val="nil"/>
              <w:bottom w:val="nil"/>
              <w:right w:val="nil"/>
            </w:tcBorders>
          </w:tcPr>
          <w:p w14:paraId="56C4F03E" w14:textId="77777777" w:rsidR="00BD152F" w:rsidRPr="00D96C74" w:rsidRDefault="00BD152F" w:rsidP="00B00391">
            <w:pPr>
              <w:spacing w:before="60" w:after="60"/>
              <w:ind w:right="-29"/>
              <w:jc w:val="center"/>
              <w:rPr>
                <w:noProof/>
                <w:sz w:val="18"/>
                <w:szCs w:val="18"/>
              </w:rPr>
            </w:pPr>
          </w:p>
        </w:tc>
        <w:tc>
          <w:tcPr>
            <w:tcW w:w="540" w:type="dxa"/>
            <w:tcBorders>
              <w:top w:val="nil"/>
              <w:left w:val="nil"/>
              <w:bottom w:val="nil"/>
              <w:right w:val="nil"/>
            </w:tcBorders>
          </w:tcPr>
          <w:p w14:paraId="5C41575C" w14:textId="77777777" w:rsidR="00BD152F" w:rsidRPr="00D96C74" w:rsidRDefault="00BD152F" w:rsidP="00B00391">
            <w:pPr>
              <w:spacing w:before="60" w:after="60"/>
              <w:ind w:right="-29"/>
              <w:jc w:val="center"/>
              <w:rPr>
                <w:noProof/>
                <w:sz w:val="18"/>
                <w:szCs w:val="18"/>
              </w:rPr>
            </w:pPr>
          </w:p>
        </w:tc>
        <w:tc>
          <w:tcPr>
            <w:tcW w:w="720" w:type="dxa"/>
            <w:tcBorders>
              <w:top w:val="nil"/>
              <w:left w:val="nil"/>
              <w:bottom w:val="nil"/>
              <w:right w:val="nil"/>
            </w:tcBorders>
          </w:tcPr>
          <w:p w14:paraId="51C14048" w14:textId="77777777" w:rsidR="00BD152F" w:rsidRPr="00D96C74" w:rsidRDefault="00BD152F" w:rsidP="00B00391">
            <w:pPr>
              <w:spacing w:before="60" w:after="60"/>
              <w:ind w:right="-29"/>
              <w:jc w:val="center"/>
              <w:rPr>
                <w:noProof/>
                <w:sz w:val="18"/>
                <w:szCs w:val="18"/>
              </w:rPr>
            </w:pPr>
          </w:p>
        </w:tc>
        <w:tc>
          <w:tcPr>
            <w:tcW w:w="720" w:type="dxa"/>
            <w:tcBorders>
              <w:top w:val="nil"/>
              <w:left w:val="nil"/>
              <w:bottom w:val="nil"/>
              <w:right w:val="nil"/>
            </w:tcBorders>
          </w:tcPr>
          <w:p w14:paraId="7DCBFE84" w14:textId="77777777" w:rsidR="00BD152F" w:rsidRPr="00D96C74" w:rsidRDefault="00BD152F" w:rsidP="00B00391">
            <w:pPr>
              <w:spacing w:before="60" w:after="60"/>
              <w:ind w:right="-29"/>
              <w:jc w:val="center"/>
              <w:rPr>
                <w:noProof/>
                <w:sz w:val="18"/>
                <w:szCs w:val="18"/>
              </w:rPr>
            </w:pPr>
          </w:p>
        </w:tc>
        <w:tc>
          <w:tcPr>
            <w:tcW w:w="900" w:type="dxa"/>
            <w:tcBorders>
              <w:top w:val="nil"/>
              <w:left w:val="nil"/>
              <w:bottom w:val="nil"/>
              <w:right w:val="nil"/>
            </w:tcBorders>
          </w:tcPr>
          <w:p w14:paraId="15F01188" w14:textId="77777777" w:rsidR="00BD152F" w:rsidRPr="00D96C74" w:rsidRDefault="00BD152F" w:rsidP="00B00391">
            <w:pPr>
              <w:spacing w:before="60" w:after="60"/>
              <w:ind w:right="-29"/>
              <w:jc w:val="center"/>
              <w:rPr>
                <w:noProof/>
                <w:sz w:val="18"/>
                <w:szCs w:val="18"/>
              </w:rPr>
            </w:pPr>
          </w:p>
        </w:tc>
      </w:tr>
      <w:tr w:rsidR="00BD152F" w:rsidRPr="00D96C74" w14:paraId="6BD8FF63" w14:textId="77777777" w:rsidTr="1BD3479F">
        <w:trPr>
          <w:trHeight w:hRule="exact" w:val="369"/>
          <w:jc w:val="center"/>
        </w:trPr>
        <w:tc>
          <w:tcPr>
            <w:tcW w:w="1423" w:type="dxa"/>
          </w:tcPr>
          <w:p w14:paraId="03FBCF5D" w14:textId="77777777" w:rsidR="00BD152F" w:rsidRPr="00D96C74" w:rsidRDefault="00BD152F" w:rsidP="00B00391">
            <w:pPr>
              <w:ind w:right="-29"/>
              <w:jc w:val="center"/>
              <w:rPr>
                <w:noProof/>
                <w:sz w:val="18"/>
                <w:szCs w:val="18"/>
              </w:rPr>
            </w:pPr>
            <w:r w:rsidRPr="00D96C74">
              <w:rPr>
                <w:noProof/>
                <w:sz w:val="18"/>
              </w:rPr>
              <w:t>- Realizare</w:t>
            </w:r>
          </w:p>
        </w:tc>
        <w:tc>
          <w:tcPr>
            <w:tcW w:w="720" w:type="dxa"/>
          </w:tcPr>
          <w:p w14:paraId="6E4EDB81" w14:textId="77777777" w:rsidR="00BD152F" w:rsidRPr="00D96C74" w:rsidRDefault="00BD152F" w:rsidP="00B00391">
            <w:pPr>
              <w:ind w:right="-29"/>
              <w:jc w:val="center"/>
              <w:rPr>
                <w:noProof/>
                <w:sz w:val="18"/>
                <w:szCs w:val="18"/>
              </w:rPr>
            </w:pPr>
          </w:p>
        </w:tc>
        <w:tc>
          <w:tcPr>
            <w:tcW w:w="701" w:type="dxa"/>
          </w:tcPr>
          <w:p w14:paraId="6247D0F5" w14:textId="77777777" w:rsidR="00BD152F" w:rsidRPr="00D96C74" w:rsidRDefault="00BD152F" w:rsidP="00B00391">
            <w:pPr>
              <w:ind w:right="-29"/>
              <w:jc w:val="center"/>
              <w:rPr>
                <w:noProof/>
                <w:sz w:val="18"/>
                <w:szCs w:val="18"/>
              </w:rPr>
            </w:pPr>
          </w:p>
        </w:tc>
        <w:tc>
          <w:tcPr>
            <w:tcW w:w="504" w:type="dxa"/>
          </w:tcPr>
          <w:p w14:paraId="782832D3" w14:textId="77777777" w:rsidR="00BD152F" w:rsidRPr="00D96C74" w:rsidRDefault="00BD152F" w:rsidP="00B00391">
            <w:pPr>
              <w:ind w:right="-29"/>
              <w:jc w:val="center"/>
              <w:rPr>
                <w:noProof/>
                <w:sz w:val="18"/>
                <w:szCs w:val="18"/>
              </w:rPr>
            </w:pPr>
          </w:p>
        </w:tc>
        <w:tc>
          <w:tcPr>
            <w:tcW w:w="720" w:type="dxa"/>
          </w:tcPr>
          <w:p w14:paraId="3932B11A" w14:textId="77777777" w:rsidR="00BD152F" w:rsidRPr="00D96C74" w:rsidRDefault="00BD152F" w:rsidP="00B00391">
            <w:pPr>
              <w:ind w:right="-29"/>
              <w:jc w:val="center"/>
              <w:rPr>
                <w:noProof/>
                <w:sz w:val="18"/>
                <w:szCs w:val="18"/>
              </w:rPr>
            </w:pPr>
          </w:p>
        </w:tc>
        <w:tc>
          <w:tcPr>
            <w:tcW w:w="540" w:type="dxa"/>
          </w:tcPr>
          <w:p w14:paraId="68C11460" w14:textId="77777777" w:rsidR="00BD152F" w:rsidRPr="00D96C74" w:rsidRDefault="00BD152F" w:rsidP="00B00391">
            <w:pPr>
              <w:ind w:right="-29"/>
              <w:jc w:val="center"/>
              <w:rPr>
                <w:noProof/>
                <w:sz w:val="18"/>
                <w:szCs w:val="18"/>
              </w:rPr>
            </w:pPr>
          </w:p>
        </w:tc>
        <w:tc>
          <w:tcPr>
            <w:tcW w:w="720" w:type="dxa"/>
          </w:tcPr>
          <w:p w14:paraId="52379039" w14:textId="77777777" w:rsidR="00BD152F" w:rsidRPr="00D96C74" w:rsidRDefault="00BD152F" w:rsidP="00B00391">
            <w:pPr>
              <w:ind w:right="-29"/>
              <w:jc w:val="center"/>
              <w:rPr>
                <w:noProof/>
                <w:sz w:val="18"/>
                <w:szCs w:val="18"/>
              </w:rPr>
            </w:pPr>
          </w:p>
        </w:tc>
        <w:tc>
          <w:tcPr>
            <w:tcW w:w="720" w:type="dxa"/>
          </w:tcPr>
          <w:p w14:paraId="38A4C362" w14:textId="77777777" w:rsidR="00BD152F" w:rsidRPr="00D96C74" w:rsidRDefault="00BD152F" w:rsidP="00B00391">
            <w:pPr>
              <w:ind w:right="-29"/>
              <w:jc w:val="center"/>
              <w:rPr>
                <w:noProof/>
                <w:sz w:val="18"/>
                <w:szCs w:val="18"/>
              </w:rPr>
            </w:pPr>
          </w:p>
        </w:tc>
        <w:tc>
          <w:tcPr>
            <w:tcW w:w="720" w:type="dxa"/>
          </w:tcPr>
          <w:p w14:paraId="23E856ED" w14:textId="77777777" w:rsidR="00BD152F" w:rsidRPr="00D96C74" w:rsidRDefault="00BD152F" w:rsidP="00B00391">
            <w:pPr>
              <w:ind w:right="-29"/>
              <w:jc w:val="center"/>
              <w:rPr>
                <w:noProof/>
                <w:sz w:val="18"/>
                <w:szCs w:val="18"/>
              </w:rPr>
            </w:pPr>
          </w:p>
        </w:tc>
        <w:tc>
          <w:tcPr>
            <w:tcW w:w="900" w:type="dxa"/>
          </w:tcPr>
          <w:p w14:paraId="235B9126" w14:textId="77777777" w:rsidR="00BD152F" w:rsidRPr="00D96C74" w:rsidRDefault="00BD152F" w:rsidP="00B00391">
            <w:pPr>
              <w:ind w:right="-29"/>
              <w:jc w:val="center"/>
              <w:rPr>
                <w:noProof/>
                <w:sz w:val="18"/>
                <w:szCs w:val="18"/>
              </w:rPr>
            </w:pPr>
          </w:p>
        </w:tc>
        <w:tc>
          <w:tcPr>
            <w:tcW w:w="720" w:type="dxa"/>
            <w:gridSpan w:val="2"/>
          </w:tcPr>
          <w:p w14:paraId="0ADC2A7C" w14:textId="77777777" w:rsidR="00BD152F" w:rsidRPr="00D96C74" w:rsidRDefault="00BD152F" w:rsidP="00B00391">
            <w:pPr>
              <w:ind w:right="-29"/>
              <w:jc w:val="center"/>
              <w:rPr>
                <w:noProof/>
                <w:sz w:val="18"/>
                <w:szCs w:val="18"/>
              </w:rPr>
            </w:pPr>
          </w:p>
        </w:tc>
        <w:tc>
          <w:tcPr>
            <w:tcW w:w="540" w:type="dxa"/>
          </w:tcPr>
          <w:p w14:paraId="3B569C0E" w14:textId="77777777" w:rsidR="00BD152F" w:rsidRPr="00D96C74" w:rsidRDefault="00BD152F" w:rsidP="00B00391">
            <w:pPr>
              <w:ind w:right="-29"/>
              <w:jc w:val="center"/>
              <w:rPr>
                <w:noProof/>
                <w:sz w:val="18"/>
                <w:szCs w:val="18"/>
              </w:rPr>
            </w:pPr>
          </w:p>
        </w:tc>
        <w:tc>
          <w:tcPr>
            <w:tcW w:w="648" w:type="dxa"/>
          </w:tcPr>
          <w:p w14:paraId="04ADAA18" w14:textId="77777777" w:rsidR="00BD152F" w:rsidRPr="00D96C74" w:rsidRDefault="00BD152F" w:rsidP="00B00391">
            <w:pPr>
              <w:ind w:right="-29"/>
              <w:jc w:val="center"/>
              <w:rPr>
                <w:noProof/>
                <w:sz w:val="18"/>
                <w:szCs w:val="18"/>
              </w:rPr>
            </w:pPr>
          </w:p>
        </w:tc>
        <w:tc>
          <w:tcPr>
            <w:tcW w:w="432" w:type="dxa"/>
          </w:tcPr>
          <w:p w14:paraId="15630881" w14:textId="77777777" w:rsidR="00BD152F" w:rsidRPr="00D96C74" w:rsidRDefault="00BD152F" w:rsidP="00B00391">
            <w:pPr>
              <w:ind w:right="-29"/>
              <w:jc w:val="center"/>
              <w:rPr>
                <w:noProof/>
                <w:sz w:val="18"/>
                <w:szCs w:val="18"/>
              </w:rPr>
            </w:pPr>
          </w:p>
        </w:tc>
        <w:tc>
          <w:tcPr>
            <w:tcW w:w="720" w:type="dxa"/>
          </w:tcPr>
          <w:p w14:paraId="1349EFAB" w14:textId="77777777" w:rsidR="00BD152F" w:rsidRPr="00D96C74" w:rsidRDefault="00BD152F" w:rsidP="00B00391">
            <w:pPr>
              <w:ind w:right="-29"/>
              <w:jc w:val="center"/>
              <w:rPr>
                <w:noProof/>
                <w:sz w:val="18"/>
                <w:szCs w:val="18"/>
              </w:rPr>
            </w:pPr>
          </w:p>
        </w:tc>
        <w:tc>
          <w:tcPr>
            <w:tcW w:w="540" w:type="dxa"/>
          </w:tcPr>
          <w:p w14:paraId="167C2C72" w14:textId="77777777" w:rsidR="00BD152F" w:rsidRPr="00D96C74" w:rsidRDefault="00BD152F" w:rsidP="00B00391">
            <w:pPr>
              <w:ind w:right="-29"/>
              <w:jc w:val="center"/>
              <w:rPr>
                <w:noProof/>
                <w:sz w:val="18"/>
                <w:szCs w:val="18"/>
              </w:rPr>
            </w:pPr>
          </w:p>
        </w:tc>
        <w:tc>
          <w:tcPr>
            <w:tcW w:w="720" w:type="dxa"/>
          </w:tcPr>
          <w:p w14:paraId="34C1C32B" w14:textId="77777777" w:rsidR="00BD152F" w:rsidRPr="00D96C74" w:rsidRDefault="00BD152F" w:rsidP="00B00391">
            <w:pPr>
              <w:ind w:right="-29"/>
              <w:jc w:val="center"/>
              <w:rPr>
                <w:noProof/>
                <w:sz w:val="18"/>
                <w:szCs w:val="18"/>
              </w:rPr>
            </w:pPr>
          </w:p>
        </w:tc>
        <w:tc>
          <w:tcPr>
            <w:tcW w:w="720" w:type="dxa"/>
          </w:tcPr>
          <w:p w14:paraId="0869137A" w14:textId="77777777" w:rsidR="00BD152F" w:rsidRPr="00D96C74" w:rsidRDefault="00BD152F" w:rsidP="00B00391">
            <w:pPr>
              <w:ind w:right="-29"/>
              <w:jc w:val="center"/>
              <w:rPr>
                <w:noProof/>
                <w:sz w:val="18"/>
                <w:szCs w:val="18"/>
              </w:rPr>
            </w:pPr>
          </w:p>
        </w:tc>
        <w:tc>
          <w:tcPr>
            <w:tcW w:w="900" w:type="dxa"/>
          </w:tcPr>
          <w:p w14:paraId="421CF468" w14:textId="77777777" w:rsidR="00BD152F" w:rsidRPr="00D96C74" w:rsidRDefault="00BD152F" w:rsidP="00B00391">
            <w:pPr>
              <w:ind w:right="-29"/>
              <w:jc w:val="center"/>
              <w:rPr>
                <w:noProof/>
                <w:sz w:val="18"/>
                <w:szCs w:val="18"/>
              </w:rPr>
            </w:pPr>
          </w:p>
        </w:tc>
      </w:tr>
      <w:tr w:rsidR="00BD152F" w:rsidRPr="00D96C74" w14:paraId="272B6AD5" w14:textId="77777777" w:rsidTr="1BD3479F">
        <w:trPr>
          <w:jc w:val="center"/>
        </w:trPr>
        <w:tc>
          <w:tcPr>
            <w:tcW w:w="2844" w:type="dxa"/>
            <w:gridSpan w:val="3"/>
            <w:tcBorders>
              <w:bottom w:val="single" w:sz="12" w:space="0" w:color="auto"/>
            </w:tcBorders>
            <w:vAlign w:val="center"/>
          </w:tcPr>
          <w:p w14:paraId="7ECA6F59" w14:textId="77777777" w:rsidR="00BD152F" w:rsidRPr="00D96C74" w:rsidRDefault="00BD152F" w:rsidP="00B00391">
            <w:pPr>
              <w:jc w:val="center"/>
              <w:rPr>
                <w:noProof/>
                <w:sz w:val="18"/>
                <w:szCs w:val="18"/>
              </w:rPr>
            </w:pPr>
            <w:r w:rsidRPr="00D96C74">
              <w:rPr>
                <w:noProof/>
                <w:sz w:val="18"/>
              </w:rPr>
              <w:t>Subtotal pentru obiectivul specific nr. </w:t>
            </w:r>
            <w:r w:rsidRPr="00D020C3">
              <w:rPr>
                <w:noProof/>
                <w:sz w:val="18"/>
              </w:rPr>
              <w:t>2</w:t>
            </w:r>
          </w:p>
        </w:tc>
        <w:tc>
          <w:tcPr>
            <w:tcW w:w="504" w:type="dxa"/>
            <w:tcBorders>
              <w:bottom w:val="single" w:sz="12" w:space="0" w:color="auto"/>
            </w:tcBorders>
          </w:tcPr>
          <w:p w14:paraId="371EA93C" w14:textId="77777777" w:rsidR="00BD152F" w:rsidRPr="00D96C74" w:rsidRDefault="00BD152F" w:rsidP="00B00391">
            <w:pPr>
              <w:ind w:right="-29"/>
              <w:jc w:val="center"/>
              <w:rPr>
                <w:noProof/>
                <w:sz w:val="18"/>
                <w:szCs w:val="18"/>
              </w:rPr>
            </w:pPr>
          </w:p>
        </w:tc>
        <w:tc>
          <w:tcPr>
            <w:tcW w:w="720" w:type="dxa"/>
            <w:tcBorders>
              <w:bottom w:val="single" w:sz="12" w:space="0" w:color="auto"/>
            </w:tcBorders>
          </w:tcPr>
          <w:p w14:paraId="2E4F3F09" w14:textId="77777777" w:rsidR="00BD152F" w:rsidRPr="00D96C74" w:rsidRDefault="00BD152F" w:rsidP="00B00391">
            <w:pPr>
              <w:ind w:right="-29"/>
              <w:jc w:val="center"/>
              <w:rPr>
                <w:noProof/>
                <w:sz w:val="18"/>
                <w:szCs w:val="18"/>
              </w:rPr>
            </w:pPr>
          </w:p>
        </w:tc>
        <w:tc>
          <w:tcPr>
            <w:tcW w:w="540" w:type="dxa"/>
            <w:tcBorders>
              <w:bottom w:val="single" w:sz="12" w:space="0" w:color="auto"/>
            </w:tcBorders>
          </w:tcPr>
          <w:p w14:paraId="313206C0" w14:textId="77777777" w:rsidR="00BD152F" w:rsidRPr="00D96C74" w:rsidRDefault="00BD152F" w:rsidP="00B00391">
            <w:pPr>
              <w:ind w:right="-29"/>
              <w:jc w:val="center"/>
              <w:rPr>
                <w:noProof/>
                <w:sz w:val="18"/>
                <w:szCs w:val="18"/>
              </w:rPr>
            </w:pPr>
          </w:p>
        </w:tc>
        <w:tc>
          <w:tcPr>
            <w:tcW w:w="720" w:type="dxa"/>
            <w:tcBorders>
              <w:bottom w:val="single" w:sz="12" w:space="0" w:color="auto"/>
            </w:tcBorders>
          </w:tcPr>
          <w:p w14:paraId="6739BC5A" w14:textId="77777777" w:rsidR="00BD152F" w:rsidRPr="00D96C74" w:rsidRDefault="00BD152F" w:rsidP="00B00391">
            <w:pPr>
              <w:ind w:right="-29"/>
              <w:jc w:val="center"/>
              <w:rPr>
                <w:noProof/>
                <w:sz w:val="18"/>
                <w:szCs w:val="18"/>
              </w:rPr>
            </w:pPr>
          </w:p>
        </w:tc>
        <w:tc>
          <w:tcPr>
            <w:tcW w:w="720" w:type="dxa"/>
            <w:tcBorders>
              <w:bottom w:val="single" w:sz="12" w:space="0" w:color="auto"/>
            </w:tcBorders>
          </w:tcPr>
          <w:p w14:paraId="2CFBC946" w14:textId="77777777" w:rsidR="00BD152F" w:rsidRPr="00D96C74" w:rsidRDefault="00BD152F" w:rsidP="00B00391">
            <w:pPr>
              <w:ind w:right="-29"/>
              <w:jc w:val="center"/>
              <w:rPr>
                <w:noProof/>
                <w:sz w:val="18"/>
                <w:szCs w:val="18"/>
              </w:rPr>
            </w:pPr>
          </w:p>
        </w:tc>
        <w:tc>
          <w:tcPr>
            <w:tcW w:w="720" w:type="dxa"/>
            <w:tcBorders>
              <w:bottom w:val="single" w:sz="12" w:space="0" w:color="auto"/>
            </w:tcBorders>
          </w:tcPr>
          <w:p w14:paraId="52655094" w14:textId="77777777" w:rsidR="00BD152F" w:rsidRPr="00D96C74" w:rsidRDefault="00BD152F" w:rsidP="00B00391">
            <w:pPr>
              <w:ind w:right="-29"/>
              <w:jc w:val="center"/>
              <w:rPr>
                <w:noProof/>
                <w:sz w:val="18"/>
                <w:szCs w:val="18"/>
              </w:rPr>
            </w:pPr>
          </w:p>
        </w:tc>
        <w:tc>
          <w:tcPr>
            <w:tcW w:w="951" w:type="dxa"/>
            <w:gridSpan w:val="2"/>
            <w:tcBorders>
              <w:bottom w:val="single" w:sz="12" w:space="0" w:color="auto"/>
            </w:tcBorders>
          </w:tcPr>
          <w:p w14:paraId="13D128EB" w14:textId="77777777" w:rsidR="00BD152F" w:rsidRPr="00D96C74" w:rsidRDefault="00BD152F" w:rsidP="00B00391">
            <w:pPr>
              <w:ind w:right="-29"/>
              <w:jc w:val="center"/>
              <w:rPr>
                <w:noProof/>
                <w:sz w:val="18"/>
                <w:szCs w:val="18"/>
              </w:rPr>
            </w:pPr>
          </w:p>
        </w:tc>
        <w:tc>
          <w:tcPr>
            <w:tcW w:w="669" w:type="dxa"/>
            <w:tcBorders>
              <w:bottom w:val="single" w:sz="12" w:space="0" w:color="auto"/>
            </w:tcBorders>
          </w:tcPr>
          <w:p w14:paraId="5A1B691B" w14:textId="77777777" w:rsidR="00BD152F" w:rsidRPr="00D96C74" w:rsidRDefault="00BD152F" w:rsidP="00B00391">
            <w:pPr>
              <w:ind w:right="-29"/>
              <w:jc w:val="center"/>
              <w:rPr>
                <w:noProof/>
                <w:sz w:val="18"/>
                <w:szCs w:val="18"/>
              </w:rPr>
            </w:pPr>
          </w:p>
        </w:tc>
        <w:tc>
          <w:tcPr>
            <w:tcW w:w="540" w:type="dxa"/>
            <w:tcBorders>
              <w:bottom w:val="single" w:sz="12" w:space="0" w:color="auto"/>
            </w:tcBorders>
          </w:tcPr>
          <w:p w14:paraId="689C1150" w14:textId="77777777" w:rsidR="00BD152F" w:rsidRPr="00D96C74" w:rsidRDefault="00BD152F" w:rsidP="00B00391">
            <w:pPr>
              <w:ind w:right="-29"/>
              <w:jc w:val="center"/>
              <w:rPr>
                <w:noProof/>
                <w:sz w:val="18"/>
                <w:szCs w:val="18"/>
              </w:rPr>
            </w:pPr>
          </w:p>
        </w:tc>
        <w:tc>
          <w:tcPr>
            <w:tcW w:w="648" w:type="dxa"/>
            <w:tcBorders>
              <w:bottom w:val="single" w:sz="12" w:space="0" w:color="auto"/>
            </w:tcBorders>
          </w:tcPr>
          <w:p w14:paraId="46512877" w14:textId="77777777" w:rsidR="00BD152F" w:rsidRPr="00D96C74" w:rsidRDefault="00BD152F" w:rsidP="00B00391">
            <w:pPr>
              <w:ind w:right="-29"/>
              <w:jc w:val="center"/>
              <w:rPr>
                <w:noProof/>
                <w:sz w:val="18"/>
                <w:szCs w:val="18"/>
              </w:rPr>
            </w:pPr>
          </w:p>
        </w:tc>
        <w:tc>
          <w:tcPr>
            <w:tcW w:w="432" w:type="dxa"/>
            <w:tcBorders>
              <w:bottom w:val="single" w:sz="12" w:space="0" w:color="auto"/>
            </w:tcBorders>
          </w:tcPr>
          <w:p w14:paraId="328A477B" w14:textId="77777777" w:rsidR="00BD152F" w:rsidRPr="00D96C74" w:rsidRDefault="00BD152F" w:rsidP="00B00391">
            <w:pPr>
              <w:ind w:right="-29"/>
              <w:jc w:val="center"/>
              <w:rPr>
                <w:noProof/>
                <w:sz w:val="18"/>
                <w:szCs w:val="18"/>
              </w:rPr>
            </w:pPr>
          </w:p>
        </w:tc>
        <w:tc>
          <w:tcPr>
            <w:tcW w:w="720" w:type="dxa"/>
            <w:tcBorders>
              <w:bottom w:val="single" w:sz="12" w:space="0" w:color="auto"/>
            </w:tcBorders>
          </w:tcPr>
          <w:p w14:paraId="7DE502E3" w14:textId="77777777" w:rsidR="00BD152F" w:rsidRPr="00D96C74" w:rsidRDefault="00BD152F" w:rsidP="00B00391">
            <w:pPr>
              <w:ind w:right="-29"/>
              <w:jc w:val="center"/>
              <w:rPr>
                <w:noProof/>
                <w:sz w:val="18"/>
                <w:szCs w:val="18"/>
              </w:rPr>
            </w:pPr>
          </w:p>
        </w:tc>
        <w:tc>
          <w:tcPr>
            <w:tcW w:w="540" w:type="dxa"/>
            <w:tcBorders>
              <w:bottom w:val="single" w:sz="12" w:space="0" w:color="auto"/>
            </w:tcBorders>
          </w:tcPr>
          <w:p w14:paraId="55ACAA10" w14:textId="77777777" w:rsidR="00BD152F" w:rsidRPr="00D96C74" w:rsidRDefault="00BD152F" w:rsidP="00B00391">
            <w:pPr>
              <w:ind w:right="-29"/>
              <w:jc w:val="center"/>
              <w:rPr>
                <w:noProof/>
                <w:sz w:val="18"/>
                <w:szCs w:val="18"/>
              </w:rPr>
            </w:pPr>
          </w:p>
        </w:tc>
        <w:tc>
          <w:tcPr>
            <w:tcW w:w="720" w:type="dxa"/>
            <w:tcBorders>
              <w:bottom w:val="single" w:sz="12" w:space="0" w:color="auto"/>
            </w:tcBorders>
          </w:tcPr>
          <w:p w14:paraId="5C04FB5B" w14:textId="77777777" w:rsidR="00BD152F" w:rsidRPr="00D96C74" w:rsidRDefault="00BD152F" w:rsidP="00B00391">
            <w:pPr>
              <w:ind w:right="-29"/>
              <w:jc w:val="center"/>
              <w:rPr>
                <w:noProof/>
                <w:sz w:val="18"/>
                <w:szCs w:val="18"/>
              </w:rPr>
            </w:pPr>
          </w:p>
        </w:tc>
        <w:tc>
          <w:tcPr>
            <w:tcW w:w="720" w:type="dxa"/>
            <w:tcBorders>
              <w:bottom w:val="single" w:sz="12" w:space="0" w:color="auto"/>
            </w:tcBorders>
          </w:tcPr>
          <w:p w14:paraId="462BC034" w14:textId="77777777" w:rsidR="00BD152F" w:rsidRPr="00D96C74" w:rsidRDefault="00BD152F" w:rsidP="00B00391">
            <w:pPr>
              <w:ind w:right="-29"/>
              <w:jc w:val="center"/>
              <w:rPr>
                <w:noProof/>
                <w:sz w:val="18"/>
                <w:szCs w:val="18"/>
              </w:rPr>
            </w:pPr>
          </w:p>
        </w:tc>
        <w:tc>
          <w:tcPr>
            <w:tcW w:w="900" w:type="dxa"/>
            <w:tcBorders>
              <w:bottom w:val="single" w:sz="12" w:space="0" w:color="auto"/>
            </w:tcBorders>
          </w:tcPr>
          <w:p w14:paraId="1779652F" w14:textId="77777777" w:rsidR="00BD152F" w:rsidRPr="00D96C74" w:rsidRDefault="00BD152F" w:rsidP="00B00391">
            <w:pPr>
              <w:ind w:right="-29"/>
              <w:jc w:val="center"/>
              <w:rPr>
                <w:noProof/>
                <w:sz w:val="18"/>
                <w:szCs w:val="18"/>
              </w:rPr>
            </w:pPr>
          </w:p>
        </w:tc>
      </w:tr>
      <w:tr w:rsidR="00BD152F" w:rsidRPr="00D96C74" w14:paraId="23FB888B" w14:textId="77777777" w:rsidTr="1BD3479F">
        <w:trPr>
          <w:jc w:val="center"/>
        </w:trPr>
        <w:tc>
          <w:tcPr>
            <w:tcW w:w="2844" w:type="dxa"/>
            <w:gridSpan w:val="3"/>
            <w:tcBorders>
              <w:top w:val="single" w:sz="12" w:space="0" w:color="auto"/>
              <w:left w:val="single" w:sz="12" w:space="0" w:color="auto"/>
              <w:bottom w:val="single" w:sz="12" w:space="0" w:color="auto"/>
            </w:tcBorders>
            <w:vAlign w:val="center"/>
          </w:tcPr>
          <w:p w14:paraId="47AE2E0B" w14:textId="77777777" w:rsidR="00BD152F" w:rsidRPr="00D96C74" w:rsidRDefault="00BD152F" w:rsidP="00B00391">
            <w:pPr>
              <w:ind w:right="-29"/>
              <w:jc w:val="center"/>
              <w:rPr>
                <w:noProof/>
                <w:sz w:val="18"/>
                <w:szCs w:val="18"/>
              </w:rPr>
            </w:pPr>
            <w:r w:rsidRPr="00D020C3">
              <w:rPr>
                <w:b/>
                <w:noProof/>
                <w:sz w:val="18"/>
              </w:rPr>
              <w:t>TOTALURI</w:t>
            </w:r>
          </w:p>
        </w:tc>
        <w:tc>
          <w:tcPr>
            <w:tcW w:w="504" w:type="dxa"/>
            <w:tcBorders>
              <w:top w:val="single" w:sz="12" w:space="0" w:color="auto"/>
              <w:bottom w:val="single" w:sz="12" w:space="0" w:color="auto"/>
            </w:tcBorders>
          </w:tcPr>
          <w:p w14:paraId="00292C79" w14:textId="77777777" w:rsidR="00BD152F" w:rsidRPr="00D96C74" w:rsidRDefault="00BD152F" w:rsidP="00B00391">
            <w:pPr>
              <w:spacing w:before="180" w:after="180"/>
              <w:ind w:right="-29"/>
              <w:jc w:val="center"/>
              <w:rPr>
                <w:noProof/>
                <w:sz w:val="18"/>
                <w:szCs w:val="18"/>
              </w:rPr>
            </w:pPr>
          </w:p>
        </w:tc>
        <w:tc>
          <w:tcPr>
            <w:tcW w:w="720" w:type="dxa"/>
            <w:tcBorders>
              <w:top w:val="single" w:sz="12" w:space="0" w:color="auto"/>
              <w:bottom w:val="single" w:sz="12" w:space="0" w:color="auto"/>
            </w:tcBorders>
          </w:tcPr>
          <w:p w14:paraId="469BD494" w14:textId="77777777" w:rsidR="00BD152F" w:rsidRPr="00D96C74" w:rsidRDefault="00BD152F" w:rsidP="00B00391">
            <w:pPr>
              <w:spacing w:before="180" w:after="180"/>
              <w:ind w:right="-29"/>
              <w:jc w:val="center"/>
              <w:rPr>
                <w:noProof/>
                <w:sz w:val="18"/>
                <w:szCs w:val="18"/>
              </w:rPr>
            </w:pPr>
          </w:p>
        </w:tc>
        <w:tc>
          <w:tcPr>
            <w:tcW w:w="540" w:type="dxa"/>
            <w:tcBorders>
              <w:top w:val="single" w:sz="12" w:space="0" w:color="auto"/>
              <w:bottom w:val="single" w:sz="12" w:space="0" w:color="auto"/>
            </w:tcBorders>
          </w:tcPr>
          <w:p w14:paraId="63371B90" w14:textId="77777777" w:rsidR="00BD152F" w:rsidRPr="00D96C74" w:rsidRDefault="00BD152F" w:rsidP="00B00391">
            <w:pPr>
              <w:spacing w:before="180" w:after="180"/>
              <w:ind w:right="-29"/>
              <w:jc w:val="center"/>
              <w:rPr>
                <w:noProof/>
                <w:sz w:val="18"/>
                <w:szCs w:val="18"/>
              </w:rPr>
            </w:pPr>
          </w:p>
        </w:tc>
        <w:tc>
          <w:tcPr>
            <w:tcW w:w="720" w:type="dxa"/>
            <w:tcBorders>
              <w:top w:val="single" w:sz="12" w:space="0" w:color="auto"/>
              <w:bottom w:val="single" w:sz="12" w:space="0" w:color="auto"/>
            </w:tcBorders>
          </w:tcPr>
          <w:p w14:paraId="54295DD2" w14:textId="77777777" w:rsidR="00BD152F" w:rsidRPr="00D96C74" w:rsidRDefault="00BD152F" w:rsidP="00B00391">
            <w:pPr>
              <w:spacing w:before="180" w:after="180"/>
              <w:ind w:right="-29"/>
              <w:jc w:val="center"/>
              <w:rPr>
                <w:noProof/>
                <w:sz w:val="18"/>
                <w:szCs w:val="18"/>
              </w:rPr>
            </w:pPr>
          </w:p>
        </w:tc>
        <w:tc>
          <w:tcPr>
            <w:tcW w:w="720" w:type="dxa"/>
            <w:tcBorders>
              <w:top w:val="single" w:sz="12" w:space="0" w:color="auto"/>
              <w:bottom w:val="single" w:sz="12" w:space="0" w:color="auto"/>
            </w:tcBorders>
          </w:tcPr>
          <w:p w14:paraId="52011A74" w14:textId="77777777" w:rsidR="00BD152F" w:rsidRPr="00D96C74" w:rsidRDefault="00BD152F" w:rsidP="00B00391">
            <w:pPr>
              <w:spacing w:before="180" w:after="180"/>
              <w:ind w:right="-29"/>
              <w:jc w:val="center"/>
              <w:rPr>
                <w:noProof/>
                <w:sz w:val="18"/>
                <w:szCs w:val="18"/>
              </w:rPr>
            </w:pPr>
          </w:p>
        </w:tc>
        <w:tc>
          <w:tcPr>
            <w:tcW w:w="720" w:type="dxa"/>
            <w:tcBorders>
              <w:top w:val="single" w:sz="12" w:space="0" w:color="auto"/>
              <w:bottom w:val="single" w:sz="12" w:space="0" w:color="auto"/>
            </w:tcBorders>
          </w:tcPr>
          <w:p w14:paraId="0F60B3D4" w14:textId="77777777" w:rsidR="00BD152F" w:rsidRPr="00D96C74" w:rsidRDefault="00BD152F" w:rsidP="00B00391">
            <w:pPr>
              <w:spacing w:before="180" w:after="180"/>
              <w:ind w:right="-29"/>
              <w:jc w:val="center"/>
              <w:rPr>
                <w:noProof/>
                <w:sz w:val="18"/>
                <w:szCs w:val="18"/>
              </w:rPr>
            </w:pPr>
          </w:p>
        </w:tc>
        <w:tc>
          <w:tcPr>
            <w:tcW w:w="900" w:type="dxa"/>
            <w:tcBorders>
              <w:top w:val="single" w:sz="12" w:space="0" w:color="auto"/>
              <w:bottom w:val="single" w:sz="12" w:space="0" w:color="auto"/>
            </w:tcBorders>
          </w:tcPr>
          <w:p w14:paraId="0BDF7DC6" w14:textId="77777777" w:rsidR="00BD152F" w:rsidRPr="00D96C74" w:rsidRDefault="00BD152F" w:rsidP="00B00391">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17E8B96C" w14:textId="77777777" w:rsidR="00BD152F" w:rsidRPr="00D96C74" w:rsidRDefault="00BD152F" w:rsidP="00B00391">
            <w:pPr>
              <w:spacing w:before="180" w:after="180"/>
              <w:ind w:right="-29"/>
              <w:jc w:val="center"/>
              <w:rPr>
                <w:noProof/>
                <w:sz w:val="18"/>
                <w:szCs w:val="18"/>
              </w:rPr>
            </w:pPr>
          </w:p>
        </w:tc>
        <w:tc>
          <w:tcPr>
            <w:tcW w:w="540" w:type="dxa"/>
            <w:tcBorders>
              <w:top w:val="single" w:sz="12" w:space="0" w:color="auto"/>
              <w:bottom w:val="single" w:sz="12" w:space="0" w:color="auto"/>
            </w:tcBorders>
          </w:tcPr>
          <w:p w14:paraId="561E2951" w14:textId="77777777" w:rsidR="00BD152F" w:rsidRPr="00D96C74" w:rsidRDefault="00BD152F" w:rsidP="00B00391">
            <w:pPr>
              <w:spacing w:before="180" w:after="180"/>
              <w:ind w:right="-29"/>
              <w:jc w:val="center"/>
              <w:rPr>
                <w:noProof/>
                <w:sz w:val="18"/>
                <w:szCs w:val="18"/>
              </w:rPr>
            </w:pPr>
          </w:p>
        </w:tc>
        <w:tc>
          <w:tcPr>
            <w:tcW w:w="648" w:type="dxa"/>
            <w:tcBorders>
              <w:top w:val="single" w:sz="12" w:space="0" w:color="auto"/>
              <w:bottom w:val="single" w:sz="12" w:space="0" w:color="auto"/>
            </w:tcBorders>
          </w:tcPr>
          <w:p w14:paraId="5E23F465" w14:textId="77777777" w:rsidR="00BD152F" w:rsidRPr="00D96C74" w:rsidRDefault="00BD152F" w:rsidP="00B00391">
            <w:pPr>
              <w:spacing w:before="180" w:after="180"/>
              <w:ind w:right="-29"/>
              <w:jc w:val="center"/>
              <w:rPr>
                <w:noProof/>
                <w:sz w:val="18"/>
                <w:szCs w:val="18"/>
              </w:rPr>
            </w:pPr>
          </w:p>
        </w:tc>
        <w:tc>
          <w:tcPr>
            <w:tcW w:w="432" w:type="dxa"/>
            <w:tcBorders>
              <w:top w:val="single" w:sz="12" w:space="0" w:color="auto"/>
              <w:bottom w:val="single" w:sz="12" w:space="0" w:color="auto"/>
            </w:tcBorders>
          </w:tcPr>
          <w:p w14:paraId="2463BD15" w14:textId="77777777" w:rsidR="00BD152F" w:rsidRPr="00D96C74" w:rsidRDefault="00BD152F" w:rsidP="00B00391">
            <w:pPr>
              <w:spacing w:before="180" w:after="180"/>
              <w:ind w:right="-29"/>
              <w:jc w:val="center"/>
              <w:rPr>
                <w:noProof/>
                <w:sz w:val="18"/>
                <w:szCs w:val="18"/>
              </w:rPr>
            </w:pPr>
          </w:p>
        </w:tc>
        <w:tc>
          <w:tcPr>
            <w:tcW w:w="720" w:type="dxa"/>
            <w:tcBorders>
              <w:top w:val="single" w:sz="12" w:space="0" w:color="auto"/>
              <w:bottom w:val="single" w:sz="12" w:space="0" w:color="auto"/>
            </w:tcBorders>
          </w:tcPr>
          <w:p w14:paraId="215981CF" w14:textId="77777777" w:rsidR="00BD152F" w:rsidRPr="00D96C74" w:rsidRDefault="00BD152F" w:rsidP="00B00391">
            <w:pPr>
              <w:spacing w:before="180" w:after="180"/>
              <w:ind w:right="-29"/>
              <w:jc w:val="center"/>
              <w:rPr>
                <w:noProof/>
                <w:sz w:val="18"/>
                <w:szCs w:val="18"/>
              </w:rPr>
            </w:pPr>
          </w:p>
        </w:tc>
        <w:tc>
          <w:tcPr>
            <w:tcW w:w="540" w:type="dxa"/>
            <w:tcBorders>
              <w:top w:val="single" w:sz="12" w:space="0" w:color="auto"/>
              <w:bottom w:val="single" w:sz="12" w:space="0" w:color="auto"/>
            </w:tcBorders>
          </w:tcPr>
          <w:p w14:paraId="01D59800" w14:textId="77777777" w:rsidR="00BD152F" w:rsidRPr="00D96C74" w:rsidRDefault="00BD152F" w:rsidP="00B00391">
            <w:pPr>
              <w:spacing w:before="180" w:after="180"/>
              <w:ind w:right="-29"/>
              <w:jc w:val="center"/>
              <w:rPr>
                <w:noProof/>
                <w:sz w:val="18"/>
                <w:szCs w:val="18"/>
              </w:rPr>
            </w:pPr>
          </w:p>
        </w:tc>
        <w:tc>
          <w:tcPr>
            <w:tcW w:w="720" w:type="dxa"/>
            <w:tcBorders>
              <w:top w:val="single" w:sz="12" w:space="0" w:color="auto"/>
              <w:bottom w:val="single" w:sz="12" w:space="0" w:color="auto"/>
            </w:tcBorders>
          </w:tcPr>
          <w:p w14:paraId="7A34FB82" w14:textId="77777777" w:rsidR="00BD152F" w:rsidRPr="00D96C74" w:rsidRDefault="00BD152F" w:rsidP="00B00391">
            <w:pPr>
              <w:spacing w:before="180" w:after="180"/>
              <w:ind w:right="-29"/>
              <w:jc w:val="center"/>
              <w:rPr>
                <w:noProof/>
                <w:sz w:val="18"/>
                <w:szCs w:val="18"/>
              </w:rPr>
            </w:pPr>
          </w:p>
        </w:tc>
        <w:tc>
          <w:tcPr>
            <w:tcW w:w="720" w:type="dxa"/>
            <w:tcBorders>
              <w:top w:val="single" w:sz="12" w:space="0" w:color="auto"/>
              <w:bottom w:val="single" w:sz="12" w:space="0" w:color="auto"/>
            </w:tcBorders>
          </w:tcPr>
          <w:p w14:paraId="5DA19D51" w14:textId="77777777" w:rsidR="00BD152F" w:rsidRPr="00D96C74" w:rsidRDefault="00BD152F" w:rsidP="00B00391">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1C1D1D58" w14:textId="77777777" w:rsidR="00BD152F" w:rsidRPr="00D96C74" w:rsidRDefault="00BD152F" w:rsidP="00B00391">
            <w:pPr>
              <w:spacing w:before="180" w:after="180"/>
              <w:ind w:right="-29"/>
              <w:jc w:val="center"/>
              <w:rPr>
                <w:noProof/>
                <w:sz w:val="18"/>
                <w:szCs w:val="18"/>
              </w:rPr>
            </w:pPr>
          </w:p>
        </w:tc>
      </w:tr>
    </w:tbl>
    <w:p w14:paraId="03B21298" w14:textId="77777777" w:rsidR="00BD152F" w:rsidRPr="00D96C74" w:rsidRDefault="00BD152F" w:rsidP="00B00391">
      <w:pPr>
        <w:rPr>
          <w:noProof/>
        </w:rPr>
        <w:sectPr w:rsidR="00BD152F" w:rsidRPr="00D96C74" w:rsidSect="00311D41">
          <w:headerReference w:type="default" r:id="rId26"/>
          <w:footerReference w:type="default" r:id="rId27"/>
          <w:headerReference w:type="first" r:id="rId28"/>
          <w:footerReference w:type="first" r:id="rId29"/>
          <w:pgSz w:w="16840" w:h="11907" w:orient="landscape" w:code="9"/>
          <w:pgMar w:top="1134" w:right="1418" w:bottom="567" w:left="1418" w:header="709" w:footer="709" w:gutter="0"/>
          <w:cols w:space="708"/>
          <w:docGrid w:linePitch="360"/>
        </w:sectPr>
      </w:pPr>
    </w:p>
    <w:p w14:paraId="617FF961" w14:textId="0E8E2182" w:rsidR="00BD152F" w:rsidRPr="008D4D1E" w:rsidRDefault="00BD152F" w:rsidP="00B00391">
      <w:pPr>
        <w:pStyle w:val="ManualHeading3"/>
        <w:rPr>
          <w:bCs/>
          <w:noProof/>
          <w:szCs w:val="24"/>
        </w:rPr>
      </w:pPr>
      <w:r w:rsidRPr="008D4D1E">
        <w:rPr>
          <w:noProof/>
        </w:rPr>
        <w:t>3.2.3.</w:t>
      </w:r>
      <w:r w:rsidRPr="008D4D1E">
        <w:rPr>
          <w:noProof/>
        </w:rPr>
        <w:tab/>
        <w:t xml:space="preserve">Sinteza impactului estimat asupra resurselor umane și a creditelor administrative </w:t>
      </w:r>
    </w:p>
    <w:p w14:paraId="058EE5DE" w14:textId="77777777" w:rsidR="00BD152F" w:rsidRPr="00D96C74" w:rsidRDefault="00BD152F" w:rsidP="00B00391">
      <w:pPr>
        <w:pStyle w:val="ManualHeading4"/>
        <w:rPr>
          <w:noProof/>
        </w:rPr>
      </w:pPr>
      <w:r w:rsidRPr="00D96C74">
        <w:rPr>
          <w:noProof/>
        </w:rPr>
        <w:t xml:space="preserve">Necesarul estimat de credite administrative în cadrul Comisiei </w:t>
      </w:r>
    </w:p>
    <w:p w14:paraId="56153124" w14:textId="77777777" w:rsidR="00BD152F" w:rsidRPr="00D96C74" w:rsidRDefault="00BD152F" w:rsidP="0020411B">
      <w:pPr>
        <w:pStyle w:val="ListDash1"/>
        <w:rPr>
          <w:noProof/>
        </w:rPr>
      </w:pPr>
      <w:r w:rsidRPr="00D96C74">
        <w:rPr>
          <w:rFonts w:ascii="Wingdings" w:hAnsi="Wingdings"/>
          <w:noProof/>
        </w:rPr>
        <w:t></w:t>
      </w:r>
      <w:r w:rsidRPr="00D96C74">
        <w:rPr>
          <w:noProof/>
        </w:rPr>
        <w:tab/>
        <w:t xml:space="preserve">Propunerea/inițiativa nu implică utilizarea de </w:t>
      </w:r>
      <w:r w:rsidRPr="00D96C74">
        <w:rPr>
          <w:rStyle w:val="normaltextrun"/>
          <w:noProof/>
          <w:color w:val="000000"/>
          <w:bdr w:val="none" w:sz="0" w:space="0" w:color="auto" w:frame="1"/>
        </w:rPr>
        <w:t>credite cu caracter administrativ</w:t>
      </w:r>
      <w:r w:rsidRPr="00D96C74">
        <w:rPr>
          <w:noProof/>
        </w:rPr>
        <w:t xml:space="preserve">. </w:t>
      </w:r>
    </w:p>
    <w:p w14:paraId="060B1476" w14:textId="77777777" w:rsidR="002B6EB1" w:rsidRPr="00D96C74" w:rsidRDefault="00CB1A27" w:rsidP="0020411B">
      <w:pPr>
        <w:pStyle w:val="ListDash1"/>
        <w:rPr>
          <w:noProof/>
        </w:rPr>
      </w:pPr>
      <w:r w:rsidRPr="00D020C3">
        <w:rPr>
          <w:rStyle w:val="normaltextrun"/>
          <w:rFonts w:ascii="Wingdings" w:hAnsi="Wingdings"/>
          <w:b/>
          <w:noProof/>
          <w:color w:val="000000"/>
          <w:bdr w:val="none" w:sz="0" w:space="0" w:color="auto" w:frame="1"/>
        </w:rPr>
        <w:t></w:t>
      </w:r>
      <w:r w:rsidRPr="00D96C74">
        <w:rPr>
          <w:noProof/>
        </w:rPr>
        <w:tab/>
        <w:t xml:space="preserve">Propunerea/inițiativa implică utilizarea de </w:t>
      </w:r>
      <w:r w:rsidRPr="00D96C74">
        <w:rPr>
          <w:rStyle w:val="normaltextrun"/>
          <w:noProof/>
          <w:color w:val="000000"/>
          <w:bdr w:val="none" w:sz="0" w:space="0" w:color="auto" w:frame="1"/>
        </w:rPr>
        <w:t>credite cu caracter administrativ</w:t>
      </w:r>
      <w:r w:rsidRPr="00D96C74">
        <w:rPr>
          <w:noProof/>
        </w:rPr>
        <w:t>, conform explicațiilor de mai jos:</w:t>
      </w:r>
    </w:p>
    <w:p w14:paraId="721CB94C" w14:textId="77777777" w:rsidR="002B6EB1" w:rsidRPr="00D96C74" w:rsidRDefault="00B10A70" w:rsidP="00E50A7A">
      <w:pPr>
        <w:spacing w:before="0" w:after="0"/>
        <w:jc w:val="right"/>
        <w:textAlignment w:val="baseline"/>
        <w:rPr>
          <w:rFonts w:ascii="Segoe UI" w:eastAsia="Times New Roman" w:hAnsi="Segoe UI" w:cs="Segoe UI"/>
          <w:noProof/>
          <w:sz w:val="18"/>
          <w:szCs w:val="18"/>
        </w:rPr>
      </w:pPr>
      <w:r w:rsidRPr="008D4D1E">
        <w:rPr>
          <w:i/>
          <w:noProof/>
          <w:sz w:val="20"/>
        </w:rPr>
        <w:t>milioane EUR (cu trei zecimale) </w:t>
      </w:r>
      <w:r w:rsidRPr="00D96C74">
        <w:rPr>
          <w:noProof/>
        </w:rPr>
        <w:t xml:space="preserve"> </w:t>
      </w: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151042" w:rsidRPr="00D96C74" w14:paraId="70A3E942" w14:textId="77777777" w:rsidTr="00A10DCB">
        <w:trPr>
          <w:trHeight w:val="585"/>
        </w:trPr>
        <w:tc>
          <w:tcPr>
            <w:tcW w:w="1980" w:type="dxa"/>
          </w:tcPr>
          <w:p w14:paraId="52FD8EEC" w14:textId="77777777" w:rsidR="002B6EB1" w:rsidRPr="00D96C74" w:rsidRDefault="002B6EB1" w:rsidP="00B00391">
            <w:pPr>
              <w:spacing w:before="60" w:after="60" w:line="200" w:lineRule="exact"/>
              <w:rPr>
                <w:noProof/>
                <w:sz w:val="16"/>
                <w:szCs w:val="16"/>
              </w:rPr>
            </w:pPr>
          </w:p>
        </w:tc>
        <w:tc>
          <w:tcPr>
            <w:tcW w:w="1080" w:type="dxa"/>
            <w:vAlign w:val="center"/>
          </w:tcPr>
          <w:p w14:paraId="6460C661" w14:textId="77777777" w:rsidR="002B6EB1" w:rsidRPr="00D96C74" w:rsidRDefault="002B6EB1" w:rsidP="00B00391">
            <w:pPr>
              <w:spacing w:before="60" w:after="60" w:line="200" w:lineRule="exact"/>
              <w:jc w:val="center"/>
              <w:rPr>
                <w:noProof/>
                <w:sz w:val="16"/>
                <w:szCs w:val="16"/>
              </w:rPr>
            </w:pPr>
            <w:r w:rsidRPr="00D020C3">
              <w:rPr>
                <w:rStyle w:val="normaltextrun"/>
                <w:b/>
                <w:noProof/>
                <w:sz w:val="16"/>
              </w:rPr>
              <w:t>2023</w:t>
            </w:r>
            <w:r w:rsidRPr="00D96C74">
              <w:rPr>
                <w:rStyle w:val="eop"/>
                <w:noProof/>
                <w:sz w:val="16"/>
              </w:rPr>
              <w:t xml:space="preserve"> </w:t>
            </w:r>
          </w:p>
        </w:tc>
        <w:tc>
          <w:tcPr>
            <w:tcW w:w="1080" w:type="dxa"/>
            <w:vAlign w:val="center"/>
          </w:tcPr>
          <w:p w14:paraId="6FA75E7D" w14:textId="77777777" w:rsidR="002B6EB1" w:rsidRPr="00D96C74" w:rsidRDefault="002B6EB1" w:rsidP="00B00391">
            <w:pPr>
              <w:spacing w:before="60" w:after="60" w:line="200" w:lineRule="exact"/>
              <w:jc w:val="center"/>
              <w:rPr>
                <w:noProof/>
                <w:sz w:val="16"/>
                <w:szCs w:val="16"/>
              </w:rPr>
            </w:pPr>
            <w:r w:rsidRPr="00D020C3">
              <w:rPr>
                <w:rStyle w:val="normaltextrun"/>
                <w:b/>
                <w:noProof/>
                <w:sz w:val="16"/>
              </w:rPr>
              <w:t>2024</w:t>
            </w:r>
            <w:r w:rsidRPr="00D96C74">
              <w:rPr>
                <w:rStyle w:val="eop"/>
                <w:noProof/>
                <w:sz w:val="16"/>
              </w:rPr>
              <w:t xml:space="preserve"> </w:t>
            </w:r>
          </w:p>
        </w:tc>
        <w:tc>
          <w:tcPr>
            <w:tcW w:w="1080" w:type="dxa"/>
            <w:vAlign w:val="center"/>
          </w:tcPr>
          <w:p w14:paraId="02E0C6CB" w14:textId="77777777" w:rsidR="002B6EB1" w:rsidRPr="00D96C74" w:rsidRDefault="002B6EB1" w:rsidP="00B00391">
            <w:pPr>
              <w:spacing w:before="60" w:after="60" w:line="200" w:lineRule="exact"/>
              <w:jc w:val="center"/>
              <w:rPr>
                <w:noProof/>
                <w:sz w:val="16"/>
                <w:szCs w:val="16"/>
              </w:rPr>
            </w:pPr>
            <w:r w:rsidRPr="00D020C3">
              <w:rPr>
                <w:rStyle w:val="normaltextrun"/>
                <w:b/>
                <w:noProof/>
                <w:sz w:val="16"/>
              </w:rPr>
              <w:t>2025</w:t>
            </w:r>
            <w:r w:rsidRPr="00D96C74">
              <w:rPr>
                <w:rStyle w:val="eop"/>
                <w:noProof/>
                <w:sz w:val="16"/>
              </w:rPr>
              <w:t xml:space="preserve"> </w:t>
            </w:r>
          </w:p>
        </w:tc>
        <w:tc>
          <w:tcPr>
            <w:tcW w:w="1080" w:type="dxa"/>
            <w:vAlign w:val="center"/>
          </w:tcPr>
          <w:p w14:paraId="04370416" w14:textId="77777777" w:rsidR="002B6EB1" w:rsidRPr="00D96C74" w:rsidRDefault="002B6EB1" w:rsidP="00B00391">
            <w:pPr>
              <w:spacing w:before="60" w:after="60" w:line="200" w:lineRule="exact"/>
              <w:jc w:val="center"/>
              <w:rPr>
                <w:noProof/>
                <w:sz w:val="16"/>
                <w:szCs w:val="16"/>
              </w:rPr>
            </w:pPr>
            <w:r w:rsidRPr="00D020C3">
              <w:rPr>
                <w:rStyle w:val="normaltextrun"/>
                <w:b/>
                <w:noProof/>
                <w:sz w:val="16"/>
              </w:rPr>
              <w:t>2026</w:t>
            </w:r>
            <w:r w:rsidRPr="00D96C74">
              <w:rPr>
                <w:rStyle w:val="eop"/>
                <w:noProof/>
                <w:sz w:val="16"/>
              </w:rPr>
              <w:t xml:space="preserve"> </w:t>
            </w:r>
          </w:p>
        </w:tc>
        <w:tc>
          <w:tcPr>
            <w:tcW w:w="1080" w:type="dxa"/>
            <w:vAlign w:val="center"/>
          </w:tcPr>
          <w:p w14:paraId="4DA46529" w14:textId="6A341874" w:rsidR="002B6EB1" w:rsidRPr="00D96C74" w:rsidRDefault="002B6EB1" w:rsidP="00B00391">
            <w:pPr>
              <w:spacing w:before="60" w:after="60" w:line="200" w:lineRule="exact"/>
              <w:jc w:val="center"/>
              <w:rPr>
                <w:b/>
                <w:noProof/>
                <w:sz w:val="16"/>
              </w:rPr>
            </w:pPr>
            <w:r w:rsidRPr="00D020C3">
              <w:rPr>
                <w:rStyle w:val="normaltextrun"/>
                <w:b/>
                <w:noProof/>
                <w:sz w:val="16"/>
              </w:rPr>
              <w:t xml:space="preserve">2027 </w:t>
            </w:r>
          </w:p>
        </w:tc>
        <w:tc>
          <w:tcPr>
            <w:tcW w:w="1080" w:type="dxa"/>
            <w:vAlign w:val="center"/>
          </w:tcPr>
          <w:p w14:paraId="36C9A3F6" w14:textId="77777777" w:rsidR="002B6EB1" w:rsidRPr="00D020C3" w:rsidRDefault="002B6EB1" w:rsidP="00B00391">
            <w:pPr>
              <w:spacing w:before="60" w:after="60" w:line="200" w:lineRule="exact"/>
              <w:jc w:val="center"/>
              <w:rPr>
                <w:b/>
                <w:noProof/>
                <w:sz w:val="16"/>
                <w:szCs w:val="16"/>
              </w:rPr>
            </w:pPr>
            <w:r w:rsidRPr="00D020C3">
              <w:rPr>
                <w:rStyle w:val="normaltextrun"/>
                <w:b/>
                <w:noProof/>
                <w:sz w:val="16"/>
              </w:rPr>
              <w:t>TOTAL</w:t>
            </w:r>
            <w:r w:rsidRPr="00D96C74">
              <w:rPr>
                <w:rStyle w:val="eop"/>
                <w:noProof/>
                <w:sz w:val="16"/>
              </w:rPr>
              <w:t xml:space="preserve"> </w:t>
            </w:r>
          </w:p>
        </w:tc>
      </w:tr>
    </w:tbl>
    <w:p w14:paraId="5B388176" w14:textId="77777777" w:rsidR="002B6EB1" w:rsidRPr="00D96C74" w:rsidRDefault="002B6EB1" w:rsidP="002B6EB1">
      <w:pPr>
        <w:spacing w:line="200" w:lineRule="exact"/>
        <w:rPr>
          <w:noProof/>
          <w:sz w:val="16"/>
          <w:szCs w:val="16"/>
        </w:rPr>
      </w:pP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8A3CEF" w:rsidRPr="00D96C74" w14:paraId="75F56540" w14:textId="77777777" w:rsidTr="00A10DCB">
        <w:trPr>
          <w:trHeight w:val="585"/>
        </w:trPr>
        <w:tc>
          <w:tcPr>
            <w:tcW w:w="1980" w:type="dxa"/>
            <w:shd w:val="clear" w:color="auto" w:fill="CCCCCC"/>
            <w:vAlign w:val="center"/>
          </w:tcPr>
          <w:p w14:paraId="21CB68B5" w14:textId="77777777" w:rsidR="002B6EB1" w:rsidRPr="00D020C3" w:rsidRDefault="002B6EB1" w:rsidP="00B00391">
            <w:pPr>
              <w:spacing w:before="60" w:after="60" w:line="200" w:lineRule="exact"/>
              <w:jc w:val="center"/>
              <w:rPr>
                <w:b/>
                <w:noProof/>
                <w:sz w:val="16"/>
                <w:szCs w:val="16"/>
              </w:rPr>
            </w:pPr>
            <w:r w:rsidRPr="00D020C3">
              <w:rPr>
                <w:b/>
                <w:noProof/>
                <w:sz w:val="16"/>
              </w:rPr>
              <w:t>RUBRICA 7</w:t>
            </w:r>
            <w:r w:rsidRPr="00D96C74">
              <w:rPr>
                <w:noProof/>
              </w:rPr>
              <w:t xml:space="preserve"> </w:t>
            </w:r>
            <w:r w:rsidRPr="00D96C74">
              <w:rPr>
                <w:noProof/>
              </w:rPr>
              <w:br/>
            </w:r>
            <w:r w:rsidRPr="00D020C3">
              <w:rPr>
                <w:b/>
                <w:noProof/>
                <w:sz w:val="16"/>
              </w:rPr>
              <w:t>din cadrul financiar multianual</w:t>
            </w:r>
          </w:p>
        </w:tc>
        <w:tc>
          <w:tcPr>
            <w:tcW w:w="1080" w:type="dxa"/>
            <w:vAlign w:val="center"/>
          </w:tcPr>
          <w:p w14:paraId="137C9D41" w14:textId="77777777" w:rsidR="002B6EB1" w:rsidRPr="00D96C74" w:rsidRDefault="002B6EB1" w:rsidP="00B00391">
            <w:pPr>
              <w:spacing w:before="60" w:after="60" w:line="200" w:lineRule="exact"/>
              <w:jc w:val="right"/>
              <w:rPr>
                <w:noProof/>
                <w:sz w:val="16"/>
                <w:szCs w:val="16"/>
              </w:rPr>
            </w:pPr>
          </w:p>
        </w:tc>
        <w:tc>
          <w:tcPr>
            <w:tcW w:w="1080" w:type="dxa"/>
            <w:vAlign w:val="center"/>
          </w:tcPr>
          <w:p w14:paraId="2EA9949D" w14:textId="77777777" w:rsidR="002B6EB1" w:rsidRPr="00D96C74" w:rsidRDefault="002B6EB1" w:rsidP="00B00391">
            <w:pPr>
              <w:spacing w:before="60" w:after="60" w:line="200" w:lineRule="exact"/>
              <w:jc w:val="right"/>
              <w:rPr>
                <w:noProof/>
                <w:sz w:val="16"/>
                <w:szCs w:val="16"/>
              </w:rPr>
            </w:pPr>
          </w:p>
        </w:tc>
        <w:tc>
          <w:tcPr>
            <w:tcW w:w="1080" w:type="dxa"/>
            <w:vAlign w:val="center"/>
          </w:tcPr>
          <w:p w14:paraId="3AB7283F" w14:textId="77777777" w:rsidR="002B6EB1" w:rsidRPr="00D96C74" w:rsidRDefault="002B6EB1" w:rsidP="00B00391">
            <w:pPr>
              <w:spacing w:before="60" w:after="60" w:line="200" w:lineRule="exact"/>
              <w:jc w:val="right"/>
              <w:rPr>
                <w:noProof/>
                <w:sz w:val="16"/>
                <w:szCs w:val="16"/>
              </w:rPr>
            </w:pPr>
          </w:p>
        </w:tc>
        <w:tc>
          <w:tcPr>
            <w:tcW w:w="1080" w:type="dxa"/>
            <w:vAlign w:val="center"/>
          </w:tcPr>
          <w:p w14:paraId="1F8FD13B" w14:textId="77777777" w:rsidR="002B6EB1" w:rsidRPr="00D96C74" w:rsidRDefault="002B6EB1" w:rsidP="00B00391">
            <w:pPr>
              <w:spacing w:before="60" w:after="60" w:line="200" w:lineRule="exact"/>
              <w:jc w:val="right"/>
              <w:rPr>
                <w:noProof/>
                <w:sz w:val="16"/>
                <w:szCs w:val="16"/>
              </w:rPr>
            </w:pPr>
          </w:p>
        </w:tc>
        <w:tc>
          <w:tcPr>
            <w:tcW w:w="1080" w:type="dxa"/>
            <w:vAlign w:val="center"/>
          </w:tcPr>
          <w:p w14:paraId="6B5A7DD4" w14:textId="77777777" w:rsidR="002B6EB1" w:rsidRPr="00D96C74" w:rsidRDefault="002B6EB1" w:rsidP="00B00391">
            <w:pPr>
              <w:spacing w:before="60" w:after="60" w:line="200" w:lineRule="exact"/>
              <w:jc w:val="right"/>
              <w:rPr>
                <w:noProof/>
                <w:sz w:val="16"/>
                <w:szCs w:val="16"/>
              </w:rPr>
            </w:pPr>
          </w:p>
        </w:tc>
        <w:tc>
          <w:tcPr>
            <w:tcW w:w="1080" w:type="dxa"/>
            <w:vAlign w:val="center"/>
          </w:tcPr>
          <w:p w14:paraId="099A0D1A" w14:textId="77777777" w:rsidR="002B6EB1" w:rsidRPr="00D96C74" w:rsidRDefault="002B6EB1" w:rsidP="00B00391">
            <w:pPr>
              <w:spacing w:before="60" w:after="60" w:line="200" w:lineRule="exact"/>
              <w:jc w:val="right"/>
              <w:rPr>
                <w:noProof/>
                <w:sz w:val="16"/>
                <w:szCs w:val="16"/>
              </w:rPr>
            </w:pPr>
          </w:p>
        </w:tc>
      </w:tr>
      <w:tr w:rsidR="008B5470" w:rsidRPr="00D96C74" w14:paraId="445FB06D" w14:textId="77777777" w:rsidTr="00A10DCB">
        <w:trPr>
          <w:trHeight w:val="585"/>
        </w:trPr>
        <w:tc>
          <w:tcPr>
            <w:tcW w:w="1980" w:type="dxa"/>
            <w:vAlign w:val="center"/>
          </w:tcPr>
          <w:p w14:paraId="623A3B0A" w14:textId="77777777" w:rsidR="008B5470" w:rsidRPr="00D96C74" w:rsidRDefault="008B5470" w:rsidP="008B5470">
            <w:pPr>
              <w:spacing w:before="60" w:after="60" w:line="200" w:lineRule="exact"/>
              <w:ind w:left="72"/>
              <w:jc w:val="left"/>
              <w:rPr>
                <w:noProof/>
                <w:sz w:val="16"/>
                <w:szCs w:val="16"/>
              </w:rPr>
            </w:pPr>
            <w:r w:rsidRPr="00D96C74">
              <w:rPr>
                <w:noProof/>
                <w:sz w:val="16"/>
              </w:rPr>
              <w:t xml:space="preserve">Resurse umane </w:t>
            </w:r>
          </w:p>
        </w:tc>
        <w:tc>
          <w:tcPr>
            <w:tcW w:w="1080" w:type="dxa"/>
            <w:vAlign w:val="center"/>
          </w:tcPr>
          <w:p w14:paraId="6EF7D2F6" w14:textId="6B9B0343" w:rsidR="008B5470" w:rsidRPr="00D96C74" w:rsidRDefault="008B5470" w:rsidP="008B5470">
            <w:pPr>
              <w:spacing w:before="60" w:after="60" w:line="200" w:lineRule="exact"/>
              <w:jc w:val="right"/>
              <w:rPr>
                <w:noProof/>
                <w:sz w:val="16"/>
                <w:szCs w:val="16"/>
              </w:rPr>
            </w:pPr>
            <w:r w:rsidRPr="00D020C3">
              <w:rPr>
                <w:noProof/>
                <w:sz w:val="20"/>
              </w:rPr>
              <w:t>0</w:t>
            </w:r>
            <w:r w:rsidRPr="00D96C74">
              <w:rPr>
                <w:noProof/>
                <w:sz w:val="20"/>
              </w:rPr>
              <w:t>,</w:t>
            </w:r>
            <w:r w:rsidRPr="00D020C3">
              <w:rPr>
                <w:noProof/>
                <w:sz w:val="20"/>
              </w:rPr>
              <w:t>257</w:t>
            </w:r>
          </w:p>
        </w:tc>
        <w:tc>
          <w:tcPr>
            <w:tcW w:w="1080" w:type="dxa"/>
            <w:vAlign w:val="center"/>
          </w:tcPr>
          <w:p w14:paraId="34650986" w14:textId="34D91B79" w:rsidR="008B5470" w:rsidRPr="00D96C74" w:rsidRDefault="008B5470" w:rsidP="008B5470">
            <w:pPr>
              <w:spacing w:before="60" w:after="60" w:line="200" w:lineRule="exact"/>
              <w:jc w:val="right"/>
              <w:rPr>
                <w:noProof/>
                <w:sz w:val="16"/>
                <w:szCs w:val="16"/>
              </w:rPr>
            </w:pPr>
            <w:r w:rsidRPr="00D020C3">
              <w:rPr>
                <w:noProof/>
                <w:sz w:val="20"/>
              </w:rPr>
              <w:t>0</w:t>
            </w:r>
            <w:r w:rsidRPr="00D96C74">
              <w:rPr>
                <w:noProof/>
                <w:sz w:val="20"/>
              </w:rPr>
              <w:t>,</w:t>
            </w:r>
            <w:r w:rsidRPr="00D020C3">
              <w:rPr>
                <w:noProof/>
                <w:sz w:val="20"/>
              </w:rPr>
              <w:t>444</w:t>
            </w:r>
          </w:p>
        </w:tc>
        <w:tc>
          <w:tcPr>
            <w:tcW w:w="1080" w:type="dxa"/>
            <w:vAlign w:val="center"/>
          </w:tcPr>
          <w:p w14:paraId="232B31B9" w14:textId="07FFCDCC" w:rsidR="008B5470" w:rsidRPr="00D96C74" w:rsidRDefault="008B5470" w:rsidP="008B5470">
            <w:pPr>
              <w:spacing w:before="60" w:after="60" w:line="200" w:lineRule="exact"/>
              <w:jc w:val="right"/>
              <w:rPr>
                <w:noProof/>
                <w:sz w:val="16"/>
                <w:szCs w:val="16"/>
              </w:rPr>
            </w:pPr>
            <w:r w:rsidRPr="00D020C3">
              <w:rPr>
                <w:noProof/>
                <w:sz w:val="20"/>
              </w:rPr>
              <w:t>0</w:t>
            </w:r>
            <w:r w:rsidRPr="00D96C74">
              <w:rPr>
                <w:noProof/>
                <w:sz w:val="20"/>
              </w:rPr>
              <w:t>,</w:t>
            </w:r>
            <w:r w:rsidRPr="00D020C3">
              <w:rPr>
                <w:noProof/>
                <w:sz w:val="20"/>
              </w:rPr>
              <w:t>444</w:t>
            </w:r>
          </w:p>
        </w:tc>
        <w:tc>
          <w:tcPr>
            <w:tcW w:w="1080" w:type="dxa"/>
            <w:vAlign w:val="center"/>
          </w:tcPr>
          <w:p w14:paraId="4B1F4A17" w14:textId="7B86C09B" w:rsidR="008B5470" w:rsidRPr="00D96C74" w:rsidRDefault="008B5470" w:rsidP="008B5470">
            <w:pPr>
              <w:spacing w:before="60" w:after="60" w:line="200" w:lineRule="exact"/>
              <w:jc w:val="right"/>
              <w:rPr>
                <w:noProof/>
                <w:sz w:val="16"/>
                <w:szCs w:val="16"/>
              </w:rPr>
            </w:pPr>
            <w:r w:rsidRPr="00D020C3">
              <w:rPr>
                <w:noProof/>
                <w:sz w:val="20"/>
              </w:rPr>
              <w:t>0</w:t>
            </w:r>
            <w:r w:rsidRPr="00D96C74">
              <w:rPr>
                <w:noProof/>
                <w:sz w:val="20"/>
              </w:rPr>
              <w:t>,</w:t>
            </w:r>
            <w:r w:rsidRPr="00D020C3">
              <w:rPr>
                <w:noProof/>
                <w:sz w:val="20"/>
              </w:rPr>
              <w:t>444</w:t>
            </w:r>
          </w:p>
        </w:tc>
        <w:tc>
          <w:tcPr>
            <w:tcW w:w="1080" w:type="dxa"/>
            <w:vAlign w:val="center"/>
          </w:tcPr>
          <w:p w14:paraId="0A6A43ED" w14:textId="7B97EEAB" w:rsidR="008B5470" w:rsidRPr="00D96C74" w:rsidRDefault="008B5470" w:rsidP="008B5470">
            <w:pPr>
              <w:spacing w:before="60" w:after="60" w:line="200" w:lineRule="exact"/>
              <w:jc w:val="right"/>
              <w:rPr>
                <w:noProof/>
                <w:sz w:val="16"/>
                <w:szCs w:val="16"/>
              </w:rPr>
            </w:pPr>
            <w:r w:rsidRPr="00D020C3">
              <w:rPr>
                <w:noProof/>
                <w:sz w:val="20"/>
              </w:rPr>
              <w:t>0</w:t>
            </w:r>
            <w:r w:rsidRPr="00D96C74">
              <w:rPr>
                <w:noProof/>
                <w:sz w:val="20"/>
              </w:rPr>
              <w:t>,</w:t>
            </w:r>
            <w:r w:rsidRPr="00D020C3">
              <w:rPr>
                <w:noProof/>
                <w:sz w:val="20"/>
              </w:rPr>
              <w:t>444</w:t>
            </w:r>
          </w:p>
        </w:tc>
        <w:tc>
          <w:tcPr>
            <w:tcW w:w="1080" w:type="dxa"/>
            <w:vAlign w:val="center"/>
          </w:tcPr>
          <w:p w14:paraId="29BCA055" w14:textId="0EAC19C6" w:rsidR="008B5470" w:rsidRPr="00D96C74" w:rsidRDefault="008B5470" w:rsidP="008B5470">
            <w:pPr>
              <w:spacing w:before="60" w:after="60" w:line="200" w:lineRule="exact"/>
              <w:jc w:val="right"/>
              <w:rPr>
                <w:noProof/>
                <w:sz w:val="16"/>
                <w:szCs w:val="16"/>
              </w:rPr>
            </w:pPr>
            <w:r w:rsidRPr="00D020C3">
              <w:rPr>
                <w:rStyle w:val="normaltextrun"/>
                <w:b/>
                <w:noProof/>
                <w:color w:val="000000"/>
                <w:sz w:val="20"/>
              </w:rPr>
              <w:t>2,033</w:t>
            </w:r>
          </w:p>
        </w:tc>
      </w:tr>
      <w:tr w:rsidR="002A1674" w:rsidRPr="00D96C74" w14:paraId="7FE4871F" w14:textId="77777777" w:rsidTr="00A10DCB">
        <w:trPr>
          <w:trHeight w:val="585"/>
        </w:trPr>
        <w:tc>
          <w:tcPr>
            <w:tcW w:w="1980" w:type="dxa"/>
            <w:vAlign w:val="center"/>
          </w:tcPr>
          <w:p w14:paraId="26000D62" w14:textId="77777777" w:rsidR="002B6EB1" w:rsidRPr="00D96C74" w:rsidRDefault="002B6EB1" w:rsidP="00B00391">
            <w:pPr>
              <w:spacing w:before="60" w:after="60" w:line="200" w:lineRule="exact"/>
              <w:ind w:left="72"/>
              <w:jc w:val="left"/>
              <w:rPr>
                <w:noProof/>
                <w:sz w:val="16"/>
                <w:szCs w:val="16"/>
              </w:rPr>
            </w:pPr>
            <w:r w:rsidRPr="00D96C74">
              <w:rPr>
                <w:noProof/>
                <w:sz w:val="16"/>
              </w:rPr>
              <w:t xml:space="preserve">Alte cheltuieli administrative </w:t>
            </w:r>
          </w:p>
        </w:tc>
        <w:tc>
          <w:tcPr>
            <w:tcW w:w="1080" w:type="dxa"/>
            <w:vAlign w:val="center"/>
          </w:tcPr>
          <w:p w14:paraId="6B0E1C86" w14:textId="77777777" w:rsidR="002B6EB1" w:rsidRPr="00D96C74" w:rsidRDefault="002B6EB1" w:rsidP="00B00391">
            <w:pPr>
              <w:spacing w:before="60" w:after="60" w:line="200" w:lineRule="exact"/>
              <w:jc w:val="right"/>
              <w:rPr>
                <w:noProof/>
                <w:sz w:val="16"/>
                <w:szCs w:val="16"/>
              </w:rPr>
            </w:pPr>
          </w:p>
        </w:tc>
        <w:tc>
          <w:tcPr>
            <w:tcW w:w="1080" w:type="dxa"/>
            <w:vAlign w:val="bottom"/>
          </w:tcPr>
          <w:p w14:paraId="17693C2A" w14:textId="77777777" w:rsidR="002B6EB1" w:rsidRPr="00D96C74" w:rsidRDefault="002B6EB1" w:rsidP="00B00391">
            <w:pPr>
              <w:spacing w:before="60" w:after="60" w:line="200" w:lineRule="exact"/>
              <w:jc w:val="right"/>
              <w:rPr>
                <w:noProof/>
                <w:sz w:val="16"/>
                <w:szCs w:val="16"/>
              </w:rPr>
            </w:pPr>
            <w:r w:rsidRPr="00D96C74">
              <w:rPr>
                <w:rStyle w:val="eop"/>
                <w:noProof/>
                <w:sz w:val="20"/>
              </w:rPr>
              <w:t xml:space="preserve"> </w:t>
            </w:r>
          </w:p>
        </w:tc>
        <w:tc>
          <w:tcPr>
            <w:tcW w:w="1080" w:type="dxa"/>
            <w:vAlign w:val="bottom"/>
          </w:tcPr>
          <w:p w14:paraId="3B35D7EC" w14:textId="77777777" w:rsidR="002B6EB1" w:rsidRPr="00D96C74" w:rsidRDefault="002B6EB1" w:rsidP="00B00391">
            <w:pPr>
              <w:spacing w:before="60" w:after="60" w:line="200" w:lineRule="exact"/>
              <w:jc w:val="right"/>
              <w:rPr>
                <w:noProof/>
                <w:sz w:val="16"/>
                <w:szCs w:val="16"/>
              </w:rPr>
            </w:pPr>
            <w:r w:rsidRPr="00D96C74">
              <w:rPr>
                <w:rStyle w:val="eop"/>
                <w:noProof/>
                <w:sz w:val="20"/>
              </w:rPr>
              <w:t xml:space="preserve"> </w:t>
            </w:r>
          </w:p>
        </w:tc>
        <w:tc>
          <w:tcPr>
            <w:tcW w:w="1080" w:type="dxa"/>
            <w:vAlign w:val="bottom"/>
          </w:tcPr>
          <w:p w14:paraId="1BA94936" w14:textId="77777777" w:rsidR="002B6EB1" w:rsidRPr="00D96C74" w:rsidRDefault="002B6EB1" w:rsidP="00B00391">
            <w:pPr>
              <w:spacing w:before="60" w:after="60" w:line="200" w:lineRule="exact"/>
              <w:jc w:val="right"/>
              <w:rPr>
                <w:noProof/>
                <w:sz w:val="16"/>
                <w:szCs w:val="16"/>
              </w:rPr>
            </w:pPr>
            <w:r w:rsidRPr="00D96C74">
              <w:rPr>
                <w:rStyle w:val="eop"/>
                <w:noProof/>
                <w:sz w:val="20"/>
              </w:rPr>
              <w:t xml:space="preserve"> </w:t>
            </w:r>
          </w:p>
        </w:tc>
        <w:tc>
          <w:tcPr>
            <w:tcW w:w="1080" w:type="dxa"/>
            <w:vAlign w:val="bottom"/>
          </w:tcPr>
          <w:p w14:paraId="486A533D" w14:textId="77777777" w:rsidR="002B6EB1" w:rsidRPr="00D96C74" w:rsidRDefault="002B6EB1" w:rsidP="00B00391">
            <w:pPr>
              <w:spacing w:before="60" w:after="60" w:line="200" w:lineRule="exact"/>
              <w:jc w:val="right"/>
              <w:rPr>
                <w:noProof/>
                <w:sz w:val="16"/>
                <w:szCs w:val="16"/>
              </w:rPr>
            </w:pPr>
            <w:r w:rsidRPr="00D96C74">
              <w:rPr>
                <w:rStyle w:val="eop"/>
                <w:noProof/>
                <w:sz w:val="20"/>
              </w:rPr>
              <w:t xml:space="preserve"> </w:t>
            </w:r>
          </w:p>
        </w:tc>
        <w:tc>
          <w:tcPr>
            <w:tcW w:w="1080" w:type="dxa"/>
            <w:vAlign w:val="bottom"/>
          </w:tcPr>
          <w:p w14:paraId="320834F6" w14:textId="77777777" w:rsidR="002B6EB1" w:rsidRPr="00D96C74" w:rsidRDefault="002B6EB1" w:rsidP="00B00391">
            <w:pPr>
              <w:spacing w:before="60" w:after="60" w:line="200" w:lineRule="exact"/>
              <w:jc w:val="right"/>
              <w:rPr>
                <w:noProof/>
                <w:sz w:val="16"/>
                <w:szCs w:val="16"/>
              </w:rPr>
            </w:pPr>
            <w:r w:rsidRPr="00D96C74">
              <w:rPr>
                <w:rStyle w:val="eop"/>
                <w:noProof/>
                <w:sz w:val="20"/>
              </w:rPr>
              <w:t xml:space="preserve"> </w:t>
            </w:r>
          </w:p>
        </w:tc>
      </w:tr>
      <w:tr w:rsidR="008B5470" w:rsidRPr="00D96C74" w14:paraId="5D814A3A" w14:textId="77777777" w:rsidTr="00A10DCB">
        <w:trPr>
          <w:trHeight w:val="585"/>
        </w:trPr>
        <w:tc>
          <w:tcPr>
            <w:tcW w:w="1980" w:type="dxa"/>
            <w:shd w:val="clear" w:color="auto" w:fill="CCCCCC"/>
            <w:vAlign w:val="center"/>
          </w:tcPr>
          <w:p w14:paraId="7D20B495" w14:textId="77777777" w:rsidR="008B5470" w:rsidRPr="00D020C3" w:rsidRDefault="008B5470" w:rsidP="008B5470">
            <w:pPr>
              <w:spacing w:before="60" w:after="60" w:line="200" w:lineRule="exact"/>
              <w:jc w:val="center"/>
              <w:rPr>
                <w:b/>
                <w:noProof/>
                <w:sz w:val="16"/>
                <w:szCs w:val="16"/>
              </w:rPr>
            </w:pPr>
            <w:r w:rsidRPr="00D020C3">
              <w:rPr>
                <w:b/>
                <w:noProof/>
                <w:sz w:val="16"/>
              </w:rPr>
              <w:t>Subtotal RUBRICA 7</w:t>
            </w:r>
            <w:r w:rsidRPr="00D96C74">
              <w:rPr>
                <w:noProof/>
              </w:rPr>
              <w:t xml:space="preserve"> </w:t>
            </w:r>
            <w:r w:rsidRPr="00D96C74">
              <w:rPr>
                <w:noProof/>
              </w:rPr>
              <w:br/>
            </w:r>
            <w:r w:rsidRPr="00D020C3">
              <w:rPr>
                <w:b/>
                <w:noProof/>
                <w:sz w:val="16"/>
              </w:rPr>
              <w:t xml:space="preserve">din cadrul financiar multianual </w:t>
            </w:r>
          </w:p>
        </w:tc>
        <w:tc>
          <w:tcPr>
            <w:tcW w:w="1080" w:type="dxa"/>
            <w:vAlign w:val="center"/>
          </w:tcPr>
          <w:p w14:paraId="6ABCAFF0" w14:textId="7B6579F2" w:rsidR="008B5470" w:rsidRPr="00D96C74" w:rsidRDefault="008B5470" w:rsidP="008B5470">
            <w:pPr>
              <w:spacing w:before="60" w:after="60" w:line="200" w:lineRule="exact"/>
              <w:jc w:val="right"/>
              <w:rPr>
                <w:noProof/>
                <w:sz w:val="16"/>
                <w:szCs w:val="16"/>
              </w:rPr>
            </w:pPr>
            <w:r w:rsidRPr="00D020C3">
              <w:rPr>
                <w:noProof/>
                <w:sz w:val="20"/>
              </w:rPr>
              <w:t>0</w:t>
            </w:r>
            <w:r w:rsidRPr="00D96C74">
              <w:rPr>
                <w:noProof/>
                <w:sz w:val="20"/>
              </w:rPr>
              <w:t>,</w:t>
            </w:r>
            <w:r w:rsidRPr="00D020C3">
              <w:rPr>
                <w:noProof/>
                <w:sz w:val="20"/>
              </w:rPr>
              <w:t>257</w:t>
            </w:r>
          </w:p>
        </w:tc>
        <w:tc>
          <w:tcPr>
            <w:tcW w:w="1080" w:type="dxa"/>
            <w:vAlign w:val="center"/>
          </w:tcPr>
          <w:p w14:paraId="63B6751C" w14:textId="7F0441E1" w:rsidR="008B5470" w:rsidRPr="00D96C74" w:rsidRDefault="008B5470" w:rsidP="008B5470">
            <w:pPr>
              <w:spacing w:before="60" w:after="60" w:line="200" w:lineRule="exact"/>
              <w:jc w:val="right"/>
              <w:rPr>
                <w:noProof/>
                <w:sz w:val="16"/>
                <w:szCs w:val="16"/>
              </w:rPr>
            </w:pPr>
            <w:r w:rsidRPr="00D020C3">
              <w:rPr>
                <w:noProof/>
                <w:sz w:val="20"/>
              </w:rPr>
              <w:t>0</w:t>
            </w:r>
            <w:r w:rsidRPr="00D96C74">
              <w:rPr>
                <w:noProof/>
                <w:sz w:val="20"/>
              </w:rPr>
              <w:t>,</w:t>
            </w:r>
            <w:r w:rsidRPr="00D020C3">
              <w:rPr>
                <w:noProof/>
                <w:sz w:val="20"/>
              </w:rPr>
              <w:t>444</w:t>
            </w:r>
          </w:p>
        </w:tc>
        <w:tc>
          <w:tcPr>
            <w:tcW w:w="1080" w:type="dxa"/>
            <w:vAlign w:val="center"/>
          </w:tcPr>
          <w:p w14:paraId="69B794BA" w14:textId="61605670" w:rsidR="008B5470" w:rsidRPr="00D96C74" w:rsidRDefault="008B5470" w:rsidP="008B5470">
            <w:pPr>
              <w:spacing w:before="60" w:after="60" w:line="200" w:lineRule="exact"/>
              <w:jc w:val="right"/>
              <w:rPr>
                <w:noProof/>
                <w:sz w:val="16"/>
                <w:szCs w:val="16"/>
              </w:rPr>
            </w:pPr>
            <w:r w:rsidRPr="00D020C3">
              <w:rPr>
                <w:noProof/>
                <w:sz w:val="20"/>
              </w:rPr>
              <w:t>0</w:t>
            </w:r>
            <w:r w:rsidRPr="00D96C74">
              <w:rPr>
                <w:noProof/>
                <w:sz w:val="20"/>
              </w:rPr>
              <w:t>,</w:t>
            </w:r>
            <w:r w:rsidRPr="00D020C3">
              <w:rPr>
                <w:noProof/>
                <w:sz w:val="20"/>
              </w:rPr>
              <w:t>444</w:t>
            </w:r>
          </w:p>
        </w:tc>
        <w:tc>
          <w:tcPr>
            <w:tcW w:w="1080" w:type="dxa"/>
            <w:vAlign w:val="center"/>
          </w:tcPr>
          <w:p w14:paraId="42D19071" w14:textId="47E0F0B6" w:rsidR="008B5470" w:rsidRPr="00D96C74" w:rsidRDefault="008B5470" w:rsidP="008B5470">
            <w:pPr>
              <w:spacing w:before="60" w:after="60" w:line="200" w:lineRule="exact"/>
              <w:jc w:val="right"/>
              <w:rPr>
                <w:noProof/>
                <w:sz w:val="16"/>
                <w:szCs w:val="16"/>
              </w:rPr>
            </w:pPr>
            <w:r w:rsidRPr="00D020C3">
              <w:rPr>
                <w:noProof/>
                <w:sz w:val="20"/>
              </w:rPr>
              <w:t>0</w:t>
            </w:r>
            <w:r w:rsidRPr="00D96C74">
              <w:rPr>
                <w:noProof/>
                <w:sz w:val="20"/>
              </w:rPr>
              <w:t>,</w:t>
            </w:r>
            <w:r w:rsidRPr="00D020C3">
              <w:rPr>
                <w:noProof/>
                <w:sz w:val="20"/>
              </w:rPr>
              <w:t>444</w:t>
            </w:r>
          </w:p>
        </w:tc>
        <w:tc>
          <w:tcPr>
            <w:tcW w:w="1080" w:type="dxa"/>
            <w:vAlign w:val="center"/>
          </w:tcPr>
          <w:p w14:paraId="7C9F15F7" w14:textId="1B7F50C8" w:rsidR="008B5470" w:rsidRPr="00D96C74" w:rsidRDefault="008B5470" w:rsidP="008B5470">
            <w:pPr>
              <w:spacing w:before="60" w:after="60" w:line="200" w:lineRule="exact"/>
              <w:jc w:val="right"/>
              <w:rPr>
                <w:noProof/>
                <w:sz w:val="16"/>
                <w:szCs w:val="16"/>
              </w:rPr>
            </w:pPr>
            <w:r w:rsidRPr="00D020C3">
              <w:rPr>
                <w:noProof/>
                <w:sz w:val="20"/>
              </w:rPr>
              <w:t>00</w:t>
            </w:r>
            <w:r w:rsidRPr="00D96C74">
              <w:rPr>
                <w:noProof/>
                <w:sz w:val="20"/>
              </w:rPr>
              <w:t>,</w:t>
            </w:r>
            <w:r w:rsidRPr="00D020C3">
              <w:rPr>
                <w:noProof/>
                <w:sz w:val="20"/>
              </w:rPr>
              <w:t>444</w:t>
            </w:r>
          </w:p>
        </w:tc>
        <w:tc>
          <w:tcPr>
            <w:tcW w:w="1080" w:type="dxa"/>
            <w:vAlign w:val="center"/>
          </w:tcPr>
          <w:p w14:paraId="7E1A998A" w14:textId="7E4ADA40" w:rsidR="008B5470" w:rsidRPr="00D96C74" w:rsidRDefault="008B5470" w:rsidP="008B5470">
            <w:pPr>
              <w:spacing w:before="60" w:after="60" w:line="200" w:lineRule="exact"/>
              <w:jc w:val="right"/>
              <w:rPr>
                <w:noProof/>
                <w:sz w:val="16"/>
                <w:szCs w:val="16"/>
              </w:rPr>
            </w:pPr>
            <w:r w:rsidRPr="00D020C3">
              <w:rPr>
                <w:rStyle w:val="normaltextrun"/>
                <w:b/>
                <w:noProof/>
                <w:color w:val="000000"/>
                <w:sz w:val="20"/>
              </w:rPr>
              <w:t>2,033</w:t>
            </w:r>
          </w:p>
        </w:tc>
      </w:tr>
    </w:tbl>
    <w:p w14:paraId="44098017" w14:textId="77777777" w:rsidR="002B6EB1" w:rsidRPr="00D96C74" w:rsidRDefault="002B6EB1" w:rsidP="002B6EB1">
      <w:pPr>
        <w:spacing w:line="200" w:lineRule="exact"/>
        <w:rPr>
          <w:noProof/>
          <w:sz w:val="16"/>
          <w:szCs w:val="16"/>
        </w:rPr>
      </w:pP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8A3CEF" w:rsidRPr="00D96C74" w14:paraId="01079D6D" w14:textId="77777777" w:rsidTr="1BD3479F">
        <w:trPr>
          <w:trHeight w:val="585"/>
        </w:trPr>
        <w:tc>
          <w:tcPr>
            <w:tcW w:w="1980" w:type="dxa"/>
            <w:shd w:val="clear" w:color="auto" w:fill="CCCCCC"/>
            <w:vAlign w:val="center"/>
          </w:tcPr>
          <w:p w14:paraId="3B83D736" w14:textId="77777777" w:rsidR="002B6EB1" w:rsidRPr="00D96C74" w:rsidRDefault="2BDE843F" w:rsidP="00B00391">
            <w:pPr>
              <w:spacing w:before="60" w:after="60" w:line="200" w:lineRule="exact"/>
              <w:jc w:val="center"/>
              <w:rPr>
                <w:noProof/>
                <w:sz w:val="16"/>
                <w:szCs w:val="16"/>
              </w:rPr>
            </w:pPr>
            <w:r w:rsidRPr="00D020C3">
              <w:rPr>
                <w:b/>
                <w:noProof/>
                <w:sz w:val="16"/>
              </w:rPr>
              <w:t>În afara RUBRICII 7</w:t>
            </w:r>
            <w:r w:rsidRPr="00D020C3">
              <w:rPr>
                <w:rStyle w:val="FootnoteReference"/>
                <w:b/>
                <w:bCs/>
                <w:noProof/>
                <w:sz w:val="16"/>
                <w:szCs w:val="16"/>
              </w:rPr>
              <w:footnoteReference w:id="94"/>
            </w:r>
            <w:r w:rsidRPr="00D96C74">
              <w:rPr>
                <w:noProof/>
              </w:rPr>
              <w:t xml:space="preserve"> </w:t>
            </w:r>
            <w:r w:rsidRPr="00D96C74">
              <w:rPr>
                <w:noProof/>
              </w:rPr>
              <w:br/>
            </w:r>
            <w:r w:rsidRPr="00D020C3">
              <w:rPr>
                <w:b/>
                <w:noProof/>
                <w:sz w:val="16"/>
              </w:rPr>
              <w:t xml:space="preserve">din cadrul financiar multianual </w:t>
            </w:r>
          </w:p>
          <w:p w14:paraId="4BE3F8D3" w14:textId="77777777" w:rsidR="002B6EB1" w:rsidRPr="00D020C3" w:rsidRDefault="002B6EB1" w:rsidP="00B00391">
            <w:pPr>
              <w:spacing w:before="0" w:after="0" w:line="200" w:lineRule="exact"/>
              <w:jc w:val="center"/>
              <w:rPr>
                <w:b/>
                <w:noProof/>
                <w:sz w:val="16"/>
                <w:szCs w:val="16"/>
              </w:rPr>
            </w:pPr>
          </w:p>
        </w:tc>
        <w:tc>
          <w:tcPr>
            <w:tcW w:w="1080" w:type="dxa"/>
            <w:vAlign w:val="center"/>
          </w:tcPr>
          <w:p w14:paraId="03CD9810" w14:textId="77777777" w:rsidR="002B6EB1" w:rsidRPr="00D96C74" w:rsidRDefault="002B6EB1" w:rsidP="00B00391">
            <w:pPr>
              <w:spacing w:before="60" w:after="60" w:line="200" w:lineRule="exact"/>
              <w:jc w:val="right"/>
              <w:rPr>
                <w:noProof/>
                <w:sz w:val="16"/>
                <w:szCs w:val="16"/>
              </w:rPr>
            </w:pPr>
            <w:r w:rsidRPr="00D96C74">
              <w:rPr>
                <w:rStyle w:val="normaltextrun"/>
                <w:noProof/>
                <w:sz w:val="16"/>
              </w:rPr>
              <w:t>nu este cazul</w:t>
            </w:r>
            <w:r w:rsidRPr="00D96C74">
              <w:rPr>
                <w:rStyle w:val="eop"/>
                <w:noProof/>
                <w:sz w:val="16"/>
              </w:rPr>
              <w:t xml:space="preserve"> </w:t>
            </w:r>
          </w:p>
        </w:tc>
        <w:tc>
          <w:tcPr>
            <w:tcW w:w="1080" w:type="dxa"/>
            <w:vAlign w:val="center"/>
          </w:tcPr>
          <w:p w14:paraId="014F5663" w14:textId="77777777" w:rsidR="002B6EB1" w:rsidRPr="00D96C74" w:rsidRDefault="002B6EB1" w:rsidP="00B00391">
            <w:pPr>
              <w:spacing w:before="60" w:after="60" w:line="200" w:lineRule="exact"/>
              <w:jc w:val="right"/>
              <w:rPr>
                <w:noProof/>
                <w:sz w:val="16"/>
                <w:szCs w:val="16"/>
              </w:rPr>
            </w:pPr>
            <w:r w:rsidRPr="00D96C74">
              <w:rPr>
                <w:rStyle w:val="normaltextrun"/>
                <w:noProof/>
                <w:sz w:val="16"/>
              </w:rPr>
              <w:t>nu este cazul</w:t>
            </w:r>
            <w:r w:rsidRPr="00D96C74">
              <w:rPr>
                <w:rStyle w:val="eop"/>
                <w:noProof/>
                <w:sz w:val="16"/>
              </w:rPr>
              <w:t xml:space="preserve"> </w:t>
            </w:r>
          </w:p>
        </w:tc>
        <w:tc>
          <w:tcPr>
            <w:tcW w:w="1080" w:type="dxa"/>
            <w:vAlign w:val="center"/>
          </w:tcPr>
          <w:p w14:paraId="5BB1CCC2" w14:textId="77777777" w:rsidR="002B6EB1" w:rsidRPr="00D96C74" w:rsidRDefault="002B6EB1" w:rsidP="00B00391">
            <w:pPr>
              <w:spacing w:before="60" w:after="60" w:line="200" w:lineRule="exact"/>
              <w:jc w:val="right"/>
              <w:rPr>
                <w:noProof/>
                <w:sz w:val="16"/>
                <w:szCs w:val="16"/>
              </w:rPr>
            </w:pPr>
            <w:r w:rsidRPr="00D96C74">
              <w:rPr>
                <w:rStyle w:val="normaltextrun"/>
                <w:noProof/>
                <w:sz w:val="16"/>
              </w:rPr>
              <w:t>nu este cazul</w:t>
            </w:r>
            <w:r w:rsidRPr="00D96C74">
              <w:rPr>
                <w:rStyle w:val="eop"/>
                <w:noProof/>
                <w:sz w:val="16"/>
              </w:rPr>
              <w:t xml:space="preserve"> </w:t>
            </w:r>
          </w:p>
        </w:tc>
        <w:tc>
          <w:tcPr>
            <w:tcW w:w="1080" w:type="dxa"/>
            <w:vAlign w:val="center"/>
          </w:tcPr>
          <w:p w14:paraId="4F09228B" w14:textId="77777777" w:rsidR="002B6EB1" w:rsidRPr="00D96C74" w:rsidRDefault="002B6EB1" w:rsidP="00B00391">
            <w:pPr>
              <w:spacing w:before="60" w:after="60" w:line="200" w:lineRule="exact"/>
              <w:jc w:val="right"/>
              <w:rPr>
                <w:noProof/>
                <w:sz w:val="16"/>
                <w:szCs w:val="16"/>
              </w:rPr>
            </w:pPr>
            <w:r w:rsidRPr="00D96C74">
              <w:rPr>
                <w:rStyle w:val="normaltextrun"/>
                <w:noProof/>
                <w:sz w:val="16"/>
              </w:rPr>
              <w:t>nu este cazul</w:t>
            </w:r>
            <w:r w:rsidRPr="00D96C74">
              <w:rPr>
                <w:rStyle w:val="eop"/>
                <w:noProof/>
                <w:sz w:val="16"/>
              </w:rPr>
              <w:t xml:space="preserve"> </w:t>
            </w:r>
          </w:p>
        </w:tc>
        <w:tc>
          <w:tcPr>
            <w:tcW w:w="1080" w:type="dxa"/>
            <w:vAlign w:val="center"/>
          </w:tcPr>
          <w:p w14:paraId="2C7EFB4D" w14:textId="77777777" w:rsidR="002B6EB1" w:rsidRPr="00D96C74" w:rsidRDefault="002B6EB1" w:rsidP="00B00391">
            <w:pPr>
              <w:spacing w:before="60" w:after="60" w:line="200" w:lineRule="exact"/>
              <w:jc w:val="right"/>
              <w:rPr>
                <w:noProof/>
                <w:sz w:val="16"/>
                <w:szCs w:val="16"/>
              </w:rPr>
            </w:pPr>
            <w:r w:rsidRPr="00D96C74">
              <w:rPr>
                <w:rStyle w:val="normaltextrun"/>
                <w:noProof/>
                <w:sz w:val="16"/>
              </w:rPr>
              <w:t>nu este cazul</w:t>
            </w:r>
            <w:r w:rsidRPr="00D96C74">
              <w:rPr>
                <w:rStyle w:val="eop"/>
                <w:noProof/>
                <w:sz w:val="16"/>
              </w:rPr>
              <w:t xml:space="preserve"> </w:t>
            </w:r>
          </w:p>
        </w:tc>
        <w:tc>
          <w:tcPr>
            <w:tcW w:w="1080" w:type="dxa"/>
            <w:vAlign w:val="center"/>
          </w:tcPr>
          <w:p w14:paraId="1E7B736B" w14:textId="77777777" w:rsidR="002B6EB1" w:rsidRPr="00D96C74" w:rsidRDefault="002B6EB1" w:rsidP="00B00391">
            <w:pPr>
              <w:spacing w:before="60" w:after="60" w:line="200" w:lineRule="exact"/>
              <w:jc w:val="right"/>
              <w:rPr>
                <w:noProof/>
                <w:sz w:val="16"/>
                <w:szCs w:val="16"/>
              </w:rPr>
            </w:pPr>
            <w:r w:rsidRPr="00D96C74">
              <w:rPr>
                <w:rStyle w:val="normaltextrun"/>
                <w:noProof/>
                <w:sz w:val="16"/>
              </w:rPr>
              <w:t>nu este cazul</w:t>
            </w:r>
            <w:r w:rsidRPr="00D96C74">
              <w:rPr>
                <w:rStyle w:val="eop"/>
                <w:noProof/>
                <w:sz w:val="16"/>
              </w:rPr>
              <w:t xml:space="preserve"> </w:t>
            </w:r>
          </w:p>
        </w:tc>
      </w:tr>
      <w:tr w:rsidR="00151042" w:rsidRPr="00D96C74" w14:paraId="4E17F563" w14:textId="77777777" w:rsidTr="1BD3479F">
        <w:trPr>
          <w:trHeight w:val="585"/>
        </w:trPr>
        <w:tc>
          <w:tcPr>
            <w:tcW w:w="1980" w:type="dxa"/>
            <w:vAlign w:val="center"/>
          </w:tcPr>
          <w:p w14:paraId="1C2F1200" w14:textId="77777777" w:rsidR="002B6EB1" w:rsidRPr="00D96C74" w:rsidRDefault="002B6EB1" w:rsidP="00B00391">
            <w:pPr>
              <w:spacing w:before="60" w:after="60" w:line="200" w:lineRule="exact"/>
              <w:ind w:left="72"/>
              <w:jc w:val="left"/>
              <w:rPr>
                <w:noProof/>
                <w:sz w:val="16"/>
                <w:szCs w:val="16"/>
              </w:rPr>
            </w:pPr>
            <w:r w:rsidRPr="00D96C74">
              <w:rPr>
                <w:noProof/>
                <w:sz w:val="16"/>
              </w:rPr>
              <w:t xml:space="preserve">Resurse umane </w:t>
            </w:r>
          </w:p>
        </w:tc>
        <w:tc>
          <w:tcPr>
            <w:tcW w:w="1080" w:type="dxa"/>
            <w:vAlign w:val="center"/>
          </w:tcPr>
          <w:p w14:paraId="54D254B4" w14:textId="77777777" w:rsidR="002B6EB1" w:rsidRPr="00D96C74" w:rsidRDefault="002B6EB1" w:rsidP="00B00391">
            <w:pPr>
              <w:spacing w:before="60" w:after="60" w:line="200" w:lineRule="exact"/>
              <w:jc w:val="right"/>
              <w:rPr>
                <w:noProof/>
                <w:sz w:val="16"/>
                <w:szCs w:val="16"/>
              </w:rPr>
            </w:pPr>
          </w:p>
        </w:tc>
        <w:tc>
          <w:tcPr>
            <w:tcW w:w="1080" w:type="dxa"/>
            <w:vAlign w:val="center"/>
          </w:tcPr>
          <w:p w14:paraId="24086668" w14:textId="77777777" w:rsidR="002B6EB1" w:rsidRPr="00D96C74" w:rsidRDefault="002B6EB1" w:rsidP="00B00391">
            <w:pPr>
              <w:spacing w:before="60" w:after="60" w:line="200" w:lineRule="exact"/>
              <w:jc w:val="right"/>
              <w:rPr>
                <w:noProof/>
                <w:sz w:val="16"/>
                <w:szCs w:val="16"/>
              </w:rPr>
            </w:pPr>
          </w:p>
        </w:tc>
        <w:tc>
          <w:tcPr>
            <w:tcW w:w="1080" w:type="dxa"/>
            <w:vAlign w:val="center"/>
          </w:tcPr>
          <w:p w14:paraId="714D59E0" w14:textId="77777777" w:rsidR="002B6EB1" w:rsidRPr="00D96C74" w:rsidRDefault="002B6EB1" w:rsidP="00B00391">
            <w:pPr>
              <w:spacing w:before="60" w:after="60" w:line="200" w:lineRule="exact"/>
              <w:jc w:val="right"/>
              <w:rPr>
                <w:noProof/>
                <w:sz w:val="16"/>
                <w:szCs w:val="16"/>
              </w:rPr>
            </w:pPr>
          </w:p>
        </w:tc>
        <w:tc>
          <w:tcPr>
            <w:tcW w:w="1080" w:type="dxa"/>
            <w:vAlign w:val="center"/>
          </w:tcPr>
          <w:p w14:paraId="3F7DEC1F" w14:textId="77777777" w:rsidR="002B6EB1" w:rsidRPr="00D96C74" w:rsidRDefault="002B6EB1" w:rsidP="00B00391">
            <w:pPr>
              <w:spacing w:before="60" w:after="60" w:line="200" w:lineRule="exact"/>
              <w:jc w:val="right"/>
              <w:rPr>
                <w:noProof/>
                <w:sz w:val="16"/>
                <w:szCs w:val="16"/>
              </w:rPr>
            </w:pPr>
          </w:p>
        </w:tc>
        <w:tc>
          <w:tcPr>
            <w:tcW w:w="1080" w:type="dxa"/>
            <w:vAlign w:val="center"/>
          </w:tcPr>
          <w:p w14:paraId="5CD843F1" w14:textId="77777777" w:rsidR="002B6EB1" w:rsidRPr="00D96C74" w:rsidRDefault="002B6EB1" w:rsidP="00B00391">
            <w:pPr>
              <w:spacing w:before="60" w:after="60" w:line="200" w:lineRule="exact"/>
              <w:jc w:val="right"/>
              <w:rPr>
                <w:noProof/>
                <w:sz w:val="16"/>
                <w:szCs w:val="16"/>
              </w:rPr>
            </w:pPr>
          </w:p>
        </w:tc>
        <w:tc>
          <w:tcPr>
            <w:tcW w:w="1080" w:type="dxa"/>
            <w:vAlign w:val="center"/>
          </w:tcPr>
          <w:p w14:paraId="6FB356DB" w14:textId="77777777" w:rsidR="002B6EB1" w:rsidRPr="00D96C74" w:rsidRDefault="002B6EB1" w:rsidP="00B00391">
            <w:pPr>
              <w:spacing w:before="60" w:after="60" w:line="200" w:lineRule="exact"/>
              <w:jc w:val="right"/>
              <w:rPr>
                <w:noProof/>
                <w:sz w:val="16"/>
                <w:szCs w:val="16"/>
              </w:rPr>
            </w:pPr>
          </w:p>
        </w:tc>
      </w:tr>
      <w:tr w:rsidR="00151042" w:rsidRPr="00D96C74" w14:paraId="3B97EA39" w14:textId="77777777" w:rsidTr="1BD3479F">
        <w:trPr>
          <w:trHeight w:val="585"/>
        </w:trPr>
        <w:tc>
          <w:tcPr>
            <w:tcW w:w="1980" w:type="dxa"/>
            <w:vAlign w:val="center"/>
          </w:tcPr>
          <w:p w14:paraId="082DAB1D" w14:textId="77777777" w:rsidR="002B6EB1" w:rsidRPr="00D96C74" w:rsidRDefault="002B6EB1" w:rsidP="00B00391">
            <w:pPr>
              <w:spacing w:before="60" w:after="60" w:line="200" w:lineRule="exact"/>
              <w:ind w:left="72"/>
              <w:jc w:val="left"/>
              <w:rPr>
                <w:noProof/>
                <w:sz w:val="16"/>
                <w:szCs w:val="16"/>
              </w:rPr>
            </w:pPr>
            <w:r w:rsidRPr="00D96C74">
              <w:rPr>
                <w:noProof/>
                <w:sz w:val="16"/>
              </w:rPr>
              <w:t xml:space="preserve">Alte cheltuieli </w:t>
            </w:r>
            <w:r w:rsidRPr="00D96C74">
              <w:rPr>
                <w:noProof/>
              </w:rPr>
              <w:t xml:space="preserve"> </w:t>
            </w:r>
            <w:r w:rsidRPr="00D96C74">
              <w:rPr>
                <w:noProof/>
              </w:rPr>
              <w:br/>
            </w:r>
            <w:r w:rsidRPr="00D96C74">
              <w:rPr>
                <w:noProof/>
                <w:sz w:val="16"/>
              </w:rPr>
              <w:t>cu caracter administrativ</w:t>
            </w:r>
          </w:p>
        </w:tc>
        <w:tc>
          <w:tcPr>
            <w:tcW w:w="1080" w:type="dxa"/>
            <w:vAlign w:val="center"/>
          </w:tcPr>
          <w:p w14:paraId="5B0A2A56" w14:textId="77777777" w:rsidR="002B6EB1" w:rsidRPr="00D96C74" w:rsidRDefault="002B6EB1" w:rsidP="00B00391">
            <w:pPr>
              <w:spacing w:before="60" w:after="60" w:line="200" w:lineRule="exact"/>
              <w:jc w:val="right"/>
              <w:rPr>
                <w:noProof/>
                <w:sz w:val="16"/>
                <w:szCs w:val="16"/>
              </w:rPr>
            </w:pPr>
          </w:p>
        </w:tc>
        <w:tc>
          <w:tcPr>
            <w:tcW w:w="1080" w:type="dxa"/>
            <w:vAlign w:val="center"/>
          </w:tcPr>
          <w:p w14:paraId="300704ED" w14:textId="77777777" w:rsidR="002B6EB1" w:rsidRPr="00D96C74" w:rsidRDefault="002B6EB1" w:rsidP="00B00391">
            <w:pPr>
              <w:spacing w:before="60" w:after="60" w:line="200" w:lineRule="exact"/>
              <w:jc w:val="right"/>
              <w:rPr>
                <w:noProof/>
                <w:sz w:val="16"/>
                <w:szCs w:val="16"/>
              </w:rPr>
            </w:pPr>
          </w:p>
        </w:tc>
        <w:tc>
          <w:tcPr>
            <w:tcW w:w="1080" w:type="dxa"/>
            <w:vAlign w:val="center"/>
          </w:tcPr>
          <w:p w14:paraId="1854D037" w14:textId="77777777" w:rsidR="002B6EB1" w:rsidRPr="00D96C74" w:rsidRDefault="002B6EB1" w:rsidP="00B00391">
            <w:pPr>
              <w:spacing w:before="60" w:after="60" w:line="200" w:lineRule="exact"/>
              <w:jc w:val="right"/>
              <w:rPr>
                <w:noProof/>
                <w:sz w:val="16"/>
                <w:szCs w:val="16"/>
              </w:rPr>
            </w:pPr>
          </w:p>
        </w:tc>
        <w:tc>
          <w:tcPr>
            <w:tcW w:w="1080" w:type="dxa"/>
            <w:vAlign w:val="center"/>
          </w:tcPr>
          <w:p w14:paraId="08C498D6" w14:textId="77777777" w:rsidR="002B6EB1" w:rsidRPr="00D96C74" w:rsidRDefault="002B6EB1" w:rsidP="00B00391">
            <w:pPr>
              <w:spacing w:before="60" w:after="60" w:line="200" w:lineRule="exact"/>
              <w:jc w:val="right"/>
              <w:rPr>
                <w:noProof/>
                <w:sz w:val="16"/>
                <w:szCs w:val="16"/>
              </w:rPr>
            </w:pPr>
          </w:p>
        </w:tc>
        <w:tc>
          <w:tcPr>
            <w:tcW w:w="1080" w:type="dxa"/>
            <w:vAlign w:val="center"/>
          </w:tcPr>
          <w:p w14:paraId="79280ED3" w14:textId="77777777" w:rsidR="002B6EB1" w:rsidRPr="00D96C74" w:rsidRDefault="002B6EB1" w:rsidP="00B00391">
            <w:pPr>
              <w:spacing w:before="60" w:after="60" w:line="200" w:lineRule="exact"/>
              <w:jc w:val="right"/>
              <w:rPr>
                <w:noProof/>
                <w:sz w:val="16"/>
                <w:szCs w:val="16"/>
              </w:rPr>
            </w:pPr>
          </w:p>
        </w:tc>
        <w:tc>
          <w:tcPr>
            <w:tcW w:w="1080" w:type="dxa"/>
            <w:vAlign w:val="center"/>
          </w:tcPr>
          <w:p w14:paraId="10CDA0A1" w14:textId="77777777" w:rsidR="002B6EB1" w:rsidRPr="00D96C74" w:rsidRDefault="002B6EB1" w:rsidP="00B00391">
            <w:pPr>
              <w:spacing w:before="60" w:after="60" w:line="200" w:lineRule="exact"/>
              <w:jc w:val="right"/>
              <w:rPr>
                <w:noProof/>
                <w:sz w:val="16"/>
                <w:szCs w:val="16"/>
              </w:rPr>
            </w:pPr>
          </w:p>
        </w:tc>
      </w:tr>
      <w:tr w:rsidR="008A3CEF" w:rsidRPr="00D96C74" w14:paraId="7925E90B" w14:textId="77777777" w:rsidTr="1BD3479F">
        <w:trPr>
          <w:trHeight w:val="585"/>
        </w:trPr>
        <w:tc>
          <w:tcPr>
            <w:tcW w:w="1980" w:type="dxa"/>
            <w:shd w:val="clear" w:color="auto" w:fill="CCCCCC"/>
            <w:vAlign w:val="center"/>
          </w:tcPr>
          <w:p w14:paraId="4E016D37" w14:textId="77777777" w:rsidR="002B6EB1" w:rsidRPr="00D020C3" w:rsidRDefault="002B6EB1" w:rsidP="00B00391">
            <w:pPr>
              <w:spacing w:before="60" w:after="60" w:line="200" w:lineRule="exact"/>
              <w:jc w:val="center"/>
              <w:rPr>
                <w:b/>
                <w:noProof/>
                <w:sz w:val="16"/>
                <w:szCs w:val="16"/>
              </w:rPr>
            </w:pPr>
            <w:r w:rsidRPr="00D020C3">
              <w:rPr>
                <w:b/>
                <w:noProof/>
                <w:sz w:val="16"/>
              </w:rPr>
              <w:t xml:space="preserve">Subtotal </w:t>
            </w:r>
            <w:r w:rsidRPr="00D96C74">
              <w:rPr>
                <w:noProof/>
              </w:rPr>
              <w:t xml:space="preserve"> </w:t>
            </w:r>
            <w:r w:rsidRPr="00D96C74">
              <w:rPr>
                <w:noProof/>
              </w:rPr>
              <w:br/>
            </w:r>
            <w:r w:rsidRPr="00D020C3">
              <w:rPr>
                <w:b/>
                <w:noProof/>
                <w:sz w:val="16"/>
              </w:rPr>
              <w:t>în afara RUBRICII 7</w:t>
            </w:r>
            <w:r w:rsidRPr="00D96C74">
              <w:rPr>
                <w:noProof/>
              </w:rPr>
              <w:t xml:space="preserve"> </w:t>
            </w:r>
            <w:r w:rsidRPr="00D96C74">
              <w:rPr>
                <w:noProof/>
              </w:rPr>
              <w:br/>
            </w:r>
            <w:r w:rsidRPr="00D020C3">
              <w:rPr>
                <w:b/>
                <w:noProof/>
                <w:sz w:val="16"/>
              </w:rPr>
              <w:t xml:space="preserve">din cadrul financiar multianual </w:t>
            </w:r>
          </w:p>
        </w:tc>
        <w:tc>
          <w:tcPr>
            <w:tcW w:w="1080" w:type="dxa"/>
            <w:vAlign w:val="center"/>
          </w:tcPr>
          <w:p w14:paraId="27C7AF06" w14:textId="77777777" w:rsidR="002B6EB1" w:rsidRPr="00D96C74" w:rsidRDefault="002B6EB1" w:rsidP="00B00391">
            <w:pPr>
              <w:spacing w:before="60" w:after="60" w:line="200" w:lineRule="exact"/>
              <w:jc w:val="right"/>
              <w:rPr>
                <w:noProof/>
                <w:sz w:val="16"/>
                <w:szCs w:val="16"/>
              </w:rPr>
            </w:pPr>
            <w:r w:rsidRPr="00D96C74">
              <w:rPr>
                <w:rStyle w:val="normaltextrun"/>
                <w:noProof/>
                <w:sz w:val="16"/>
              </w:rPr>
              <w:t>nu este cazul</w:t>
            </w:r>
            <w:r w:rsidRPr="00D96C74">
              <w:rPr>
                <w:rStyle w:val="eop"/>
                <w:noProof/>
                <w:sz w:val="16"/>
              </w:rPr>
              <w:t xml:space="preserve"> </w:t>
            </w:r>
          </w:p>
        </w:tc>
        <w:tc>
          <w:tcPr>
            <w:tcW w:w="1080" w:type="dxa"/>
            <w:vAlign w:val="center"/>
          </w:tcPr>
          <w:p w14:paraId="32923D11" w14:textId="77777777" w:rsidR="002B6EB1" w:rsidRPr="00D96C74" w:rsidRDefault="002B6EB1" w:rsidP="00B00391">
            <w:pPr>
              <w:spacing w:before="60" w:after="60" w:line="200" w:lineRule="exact"/>
              <w:jc w:val="right"/>
              <w:rPr>
                <w:noProof/>
                <w:sz w:val="16"/>
                <w:szCs w:val="16"/>
              </w:rPr>
            </w:pPr>
            <w:r w:rsidRPr="00D96C74">
              <w:rPr>
                <w:rStyle w:val="normaltextrun"/>
                <w:noProof/>
                <w:sz w:val="16"/>
              </w:rPr>
              <w:t>nu este cazul</w:t>
            </w:r>
            <w:r w:rsidRPr="00D96C74">
              <w:rPr>
                <w:rStyle w:val="eop"/>
                <w:noProof/>
                <w:sz w:val="16"/>
              </w:rPr>
              <w:t xml:space="preserve"> </w:t>
            </w:r>
          </w:p>
        </w:tc>
        <w:tc>
          <w:tcPr>
            <w:tcW w:w="1080" w:type="dxa"/>
            <w:vAlign w:val="center"/>
          </w:tcPr>
          <w:p w14:paraId="2F3D7E62" w14:textId="77777777" w:rsidR="002B6EB1" w:rsidRPr="00D96C74" w:rsidRDefault="002B6EB1" w:rsidP="00B00391">
            <w:pPr>
              <w:spacing w:before="60" w:after="60" w:line="200" w:lineRule="exact"/>
              <w:jc w:val="right"/>
              <w:rPr>
                <w:noProof/>
                <w:sz w:val="16"/>
                <w:szCs w:val="16"/>
              </w:rPr>
            </w:pPr>
            <w:r w:rsidRPr="00D96C74">
              <w:rPr>
                <w:rStyle w:val="normaltextrun"/>
                <w:noProof/>
                <w:sz w:val="16"/>
              </w:rPr>
              <w:t>nu este cazul</w:t>
            </w:r>
            <w:r w:rsidRPr="00D96C74">
              <w:rPr>
                <w:rStyle w:val="eop"/>
                <w:noProof/>
                <w:sz w:val="16"/>
              </w:rPr>
              <w:t xml:space="preserve"> </w:t>
            </w:r>
          </w:p>
        </w:tc>
        <w:tc>
          <w:tcPr>
            <w:tcW w:w="1080" w:type="dxa"/>
            <w:vAlign w:val="center"/>
          </w:tcPr>
          <w:p w14:paraId="65263AD5" w14:textId="77777777" w:rsidR="002B6EB1" w:rsidRPr="00D96C74" w:rsidRDefault="002B6EB1" w:rsidP="00B00391">
            <w:pPr>
              <w:spacing w:before="60" w:after="60" w:line="200" w:lineRule="exact"/>
              <w:jc w:val="right"/>
              <w:rPr>
                <w:noProof/>
                <w:sz w:val="16"/>
                <w:szCs w:val="16"/>
              </w:rPr>
            </w:pPr>
            <w:r w:rsidRPr="00D96C74">
              <w:rPr>
                <w:rStyle w:val="normaltextrun"/>
                <w:noProof/>
                <w:sz w:val="16"/>
              </w:rPr>
              <w:t>nu este cazul</w:t>
            </w:r>
            <w:r w:rsidRPr="00D96C74">
              <w:rPr>
                <w:rStyle w:val="eop"/>
                <w:noProof/>
                <w:sz w:val="16"/>
              </w:rPr>
              <w:t xml:space="preserve"> </w:t>
            </w:r>
          </w:p>
        </w:tc>
        <w:tc>
          <w:tcPr>
            <w:tcW w:w="1080" w:type="dxa"/>
            <w:vAlign w:val="center"/>
          </w:tcPr>
          <w:p w14:paraId="06ABF74B" w14:textId="77777777" w:rsidR="002B6EB1" w:rsidRPr="00D96C74" w:rsidRDefault="002B6EB1" w:rsidP="00B00391">
            <w:pPr>
              <w:spacing w:before="60" w:after="60" w:line="200" w:lineRule="exact"/>
              <w:jc w:val="right"/>
              <w:rPr>
                <w:noProof/>
                <w:sz w:val="16"/>
                <w:szCs w:val="16"/>
              </w:rPr>
            </w:pPr>
            <w:r w:rsidRPr="00D96C74">
              <w:rPr>
                <w:rStyle w:val="normaltextrun"/>
                <w:noProof/>
                <w:sz w:val="16"/>
              </w:rPr>
              <w:t>nu este cazul</w:t>
            </w:r>
            <w:r w:rsidRPr="00D96C74">
              <w:rPr>
                <w:rStyle w:val="eop"/>
                <w:noProof/>
                <w:sz w:val="16"/>
              </w:rPr>
              <w:t xml:space="preserve"> </w:t>
            </w:r>
          </w:p>
        </w:tc>
        <w:tc>
          <w:tcPr>
            <w:tcW w:w="1080" w:type="dxa"/>
            <w:vAlign w:val="center"/>
          </w:tcPr>
          <w:p w14:paraId="0E3A99AB" w14:textId="77777777" w:rsidR="002B6EB1" w:rsidRPr="00D96C74" w:rsidRDefault="002B6EB1" w:rsidP="00B00391">
            <w:pPr>
              <w:spacing w:before="60" w:after="60" w:line="200" w:lineRule="exact"/>
              <w:jc w:val="right"/>
              <w:rPr>
                <w:noProof/>
                <w:sz w:val="16"/>
                <w:szCs w:val="16"/>
              </w:rPr>
            </w:pPr>
            <w:r w:rsidRPr="00D96C74">
              <w:rPr>
                <w:rStyle w:val="normaltextrun"/>
                <w:noProof/>
                <w:sz w:val="16"/>
              </w:rPr>
              <w:t>nu este cazul</w:t>
            </w:r>
            <w:r w:rsidRPr="00D96C74">
              <w:rPr>
                <w:rStyle w:val="eop"/>
                <w:noProof/>
                <w:sz w:val="16"/>
              </w:rPr>
              <w:t xml:space="preserve"> </w:t>
            </w:r>
          </w:p>
        </w:tc>
      </w:tr>
    </w:tbl>
    <w:p w14:paraId="3E6A467A" w14:textId="77777777" w:rsidR="002B6EB1" w:rsidRPr="00D96C74" w:rsidRDefault="002B6EB1" w:rsidP="002B6EB1">
      <w:pPr>
        <w:spacing w:line="200" w:lineRule="exact"/>
        <w:rPr>
          <w:noProof/>
          <w:sz w:val="16"/>
          <w:szCs w:val="16"/>
        </w:rPr>
      </w:pPr>
    </w:p>
    <w:tbl>
      <w:tblPr>
        <w:tblW w:w="8460" w:type="dxa"/>
        <w:tblInd w:w="-612" w:type="dxa"/>
        <w:tblLayout w:type="fixed"/>
        <w:tblLook w:val="01E0" w:firstRow="1" w:lastRow="1" w:firstColumn="1" w:lastColumn="1" w:noHBand="0" w:noVBand="0"/>
      </w:tblPr>
      <w:tblGrid>
        <w:gridCol w:w="1980"/>
        <w:gridCol w:w="1080"/>
        <w:gridCol w:w="1080"/>
        <w:gridCol w:w="1080"/>
        <w:gridCol w:w="1080"/>
        <w:gridCol w:w="1080"/>
        <w:gridCol w:w="1080"/>
      </w:tblGrid>
      <w:tr w:rsidR="008B5470" w:rsidRPr="00D96C74" w14:paraId="1F7ED400" w14:textId="77777777" w:rsidTr="00A10DCB">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0E1E9D5A" w14:textId="77777777" w:rsidR="008B5470" w:rsidRPr="00D96C74" w:rsidRDefault="008B5470" w:rsidP="008B5470">
            <w:pPr>
              <w:spacing w:before="60" w:after="60" w:line="200" w:lineRule="exact"/>
              <w:jc w:val="center"/>
              <w:rPr>
                <w:noProof/>
                <w:sz w:val="16"/>
                <w:szCs w:val="16"/>
              </w:rPr>
            </w:pPr>
            <w:r w:rsidRPr="00D020C3">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47872FCE" w14:textId="18A3C20A" w:rsidR="008B5470" w:rsidRPr="00D020C3" w:rsidRDefault="008B5470" w:rsidP="008B5470">
            <w:pPr>
              <w:spacing w:before="60" w:after="60" w:line="200" w:lineRule="exact"/>
              <w:jc w:val="right"/>
              <w:rPr>
                <w:b/>
                <w:noProof/>
                <w:sz w:val="16"/>
                <w:szCs w:val="16"/>
              </w:rPr>
            </w:pPr>
            <w:r w:rsidRPr="00D020C3">
              <w:rPr>
                <w:noProof/>
                <w:sz w:val="20"/>
              </w:rPr>
              <w:t>0</w:t>
            </w:r>
            <w:r w:rsidRPr="00D96C74">
              <w:rPr>
                <w:noProof/>
                <w:sz w:val="20"/>
              </w:rPr>
              <w:t>,</w:t>
            </w:r>
            <w:r w:rsidRPr="00D020C3">
              <w:rPr>
                <w:noProof/>
                <w:sz w:val="20"/>
              </w:rPr>
              <w:t>257</w:t>
            </w:r>
          </w:p>
        </w:tc>
        <w:tc>
          <w:tcPr>
            <w:tcW w:w="1080" w:type="dxa"/>
            <w:tcBorders>
              <w:top w:val="single" w:sz="12" w:space="0" w:color="auto"/>
              <w:left w:val="single" w:sz="2" w:space="0" w:color="auto"/>
              <w:bottom w:val="single" w:sz="12" w:space="0" w:color="auto"/>
              <w:right w:val="single" w:sz="2" w:space="0" w:color="auto"/>
            </w:tcBorders>
            <w:vAlign w:val="center"/>
          </w:tcPr>
          <w:p w14:paraId="2841CED3" w14:textId="5D57A59D" w:rsidR="008B5470" w:rsidRPr="00D020C3" w:rsidRDefault="008B5470" w:rsidP="008B5470">
            <w:pPr>
              <w:spacing w:before="60" w:after="60" w:line="200" w:lineRule="exact"/>
              <w:jc w:val="right"/>
              <w:rPr>
                <w:b/>
                <w:noProof/>
                <w:sz w:val="16"/>
                <w:szCs w:val="16"/>
              </w:rPr>
            </w:pPr>
            <w:r w:rsidRPr="00D020C3">
              <w:rPr>
                <w:noProof/>
                <w:sz w:val="20"/>
              </w:rPr>
              <w:t>0</w:t>
            </w:r>
            <w:r w:rsidRPr="00D96C74">
              <w:rPr>
                <w:noProof/>
                <w:sz w:val="20"/>
              </w:rPr>
              <w:t>,</w:t>
            </w:r>
            <w:r w:rsidRPr="00D020C3">
              <w:rPr>
                <w:noProof/>
                <w:sz w:val="20"/>
              </w:rPr>
              <w:t>444</w:t>
            </w:r>
          </w:p>
        </w:tc>
        <w:tc>
          <w:tcPr>
            <w:tcW w:w="1080" w:type="dxa"/>
            <w:tcBorders>
              <w:top w:val="single" w:sz="12" w:space="0" w:color="auto"/>
              <w:left w:val="single" w:sz="2" w:space="0" w:color="auto"/>
              <w:bottom w:val="single" w:sz="12" w:space="0" w:color="auto"/>
              <w:right w:val="single" w:sz="2" w:space="0" w:color="auto"/>
            </w:tcBorders>
            <w:vAlign w:val="center"/>
          </w:tcPr>
          <w:p w14:paraId="7FA83816" w14:textId="067969C8" w:rsidR="008B5470" w:rsidRPr="00D020C3" w:rsidRDefault="008B5470" w:rsidP="008B5470">
            <w:pPr>
              <w:spacing w:before="60" w:after="60" w:line="200" w:lineRule="exact"/>
              <w:jc w:val="right"/>
              <w:rPr>
                <w:b/>
                <w:noProof/>
                <w:sz w:val="16"/>
                <w:szCs w:val="16"/>
              </w:rPr>
            </w:pPr>
            <w:r w:rsidRPr="00D020C3">
              <w:rPr>
                <w:noProof/>
                <w:sz w:val="20"/>
              </w:rPr>
              <w:t>0</w:t>
            </w:r>
            <w:r w:rsidRPr="00D96C74">
              <w:rPr>
                <w:noProof/>
                <w:sz w:val="20"/>
              </w:rPr>
              <w:t>,</w:t>
            </w:r>
            <w:r w:rsidRPr="00D020C3">
              <w:rPr>
                <w:noProof/>
                <w:sz w:val="20"/>
              </w:rPr>
              <w:t>444</w:t>
            </w:r>
          </w:p>
        </w:tc>
        <w:tc>
          <w:tcPr>
            <w:tcW w:w="1080" w:type="dxa"/>
            <w:tcBorders>
              <w:top w:val="single" w:sz="12" w:space="0" w:color="auto"/>
              <w:left w:val="single" w:sz="2" w:space="0" w:color="auto"/>
              <w:bottom w:val="single" w:sz="12" w:space="0" w:color="auto"/>
              <w:right w:val="single" w:sz="2" w:space="0" w:color="auto"/>
            </w:tcBorders>
            <w:vAlign w:val="center"/>
          </w:tcPr>
          <w:p w14:paraId="737C901C" w14:textId="7ADBC6CA" w:rsidR="008B5470" w:rsidRPr="00D020C3" w:rsidRDefault="008B5470" w:rsidP="008B5470">
            <w:pPr>
              <w:spacing w:before="60" w:after="60" w:line="200" w:lineRule="exact"/>
              <w:jc w:val="right"/>
              <w:rPr>
                <w:b/>
                <w:noProof/>
                <w:sz w:val="16"/>
                <w:szCs w:val="16"/>
              </w:rPr>
            </w:pPr>
            <w:r w:rsidRPr="00D020C3">
              <w:rPr>
                <w:noProof/>
                <w:sz w:val="20"/>
              </w:rPr>
              <w:t>0</w:t>
            </w:r>
            <w:r w:rsidRPr="00D96C74">
              <w:rPr>
                <w:noProof/>
                <w:sz w:val="20"/>
              </w:rPr>
              <w:t>,</w:t>
            </w:r>
            <w:r w:rsidRPr="00D020C3">
              <w:rPr>
                <w:noProof/>
                <w:sz w:val="20"/>
              </w:rPr>
              <w:t>444</w:t>
            </w:r>
          </w:p>
        </w:tc>
        <w:tc>
          <w:tcPr>
            <w:tcW w:w="1080" w:type="dxa"/>
            <w:tcBorders>
              <w:top w:val="single" w:sz="12" w:space="0" w:color="auto"/>
              <w:left w:val="single" w:sz="2" w:space="0" w:color="auto"/>
              <w:bottom w:val="single" w:sz="12" w:space="0" w:color="auto"/>
              <w:right w:val="single" w:sz="2" w:space="0" w:color="auto"/>
            </w:tcBorders>
            <w:vAlign w:val="center"/>
          </w:tcPr>
          <w:p w14:paraId="0CB18693" w14:textId="5C6628DE" w:rsidR="008B5470" w:rsidRPr="00D96C74" w:rsidRDefault="008B5470" w:rsidP="008B5470">
            <w:pPr>
              <w:spacing w:before="60" w:after="60" w:line="200" w:lineRule="exact"/>
              <w:jc w:val="right"/>
              <w:rPr>
                <w:b/>
                <w:noProof/>
                <w:sz w:val="16"/>
                <w:szCs w:val="16"/>
              </w:rPr>
            </w:pPr>
            <w:r w:rsidRPr="00D020C3">
              <w:rPr>
                <w:noProof/>
                <w:sz w:val="20"/>
              </w:rPr>
              <w:t>0</w:t>
            </w:r>
            <w:r w:rsidRPr="00D96C74">
              <w:rPr>
                <w:noProof/>
                <w:sz w:val="20"/>
              </w:rPr>
              <w:t>,</w:t>
            </w:r>
            <w:r w:rsidRPr="00D020C3">
              <w:rPr>
                <w:noProof/>
                <w:sz w:val="20"/>
              </w:rPr>
              <w:t>444</w:t>
            </w:r>
          </w:p>
        </w:tc>
        <w:tc>
          <w:tcPr>
            <w:tcW w:w="1080" w:type="dxa"/>
            <w:tcBorders>
              <w:top w:val="single" w:sz="12" w:space="0" w:color="auto"/>
              <w:left w:val="single" w:sz="2" w:space="0" w:color="auto"/>
              <w:bottom w:val="single" w:sz="12" w:space="0" w:color="auto"/>
              <w:right w:val="single" w:sz="2" w:space="0" w:color="auto"/>
            </w:tcBorders>
            <w:vAlign w:val="center"/>
          </w:tcPr>
          <w:p w14:paraId="11846762" w14:textId="563AC5A8" w:rsidR="008B5470" w:rsidRPr="00D020C3" w:rsidRDefault="008B5470" w:rsidP="008B5470">
            <w:pPr>
              <w:spacing w:before="60" w:after="60" w:line="200" w:lineRule="exact"/>
              <w:jc w:val="right"/>
              <w:rPr>
                <w:b/>
                <w:noProof/>
                <w:sz w:val="16"/>
                <w:szCs w:val="16"/>
              </w:rPr>
            </w:pPr>
            <w:r w:rsidRPr="00D020C3">
              <w:rPr>
                <w:rStyle w:val="normaltextrun"/>
                <w:b/>
                <w:noProof/>
                <w:color w:val="000000"/>
                <w:sz w:val="20"/>
              </w:rPr>
              <w:t>2,033</w:t>
            </w:r>
          </w:p>
        </w:tc>
      </w:tr>
    </w:tbl>
    <w:p w14:paraId="5F97BCB8" w14:textId="77777777" w:rsidR="002B6EB1" w:rsidRPr="00D96C74" w:rsidRDefault="002B6EB1" w:rsidP="002B6EB1">
      <w:pPr>
        <w:rPr>
          <w:noProof/>
          <w:sz w:val="18"/>
        </w:rPr>
      </w:pPr>
      <w:r w:rsidRPr="00D96C74">
        <w:rPr>
          <w:noProof/>
          <w:sz w:val="18"/>
        </w:rPr>
        <w:t>Necesarul de credite pentru resursele umane și pentru alte cheltuieli cu caracter administrativ va fi acoperit de creditele direcției generale (DG) respective care sunt deja alocate pentru gestionarea acțiunii și/sau au fost redistribuite intern în cadrul DG-ului respectiv, completate, după caz, cu resurse suplimentare care ar putea fi alocate DG-ului care gestionează acțiunea în cadrul procedurii anuale de alocare și ținând seama de constrângerile bugetare.</w:t>
      </w:r>
    </w:p>
    <w:p w14:paraId="5B2FCBF0" w14:textId="77777777" w:rsidR="002B6EB1" w:rsidRPr="00D96C74" w:rsidRDefault="002B6EB1" w:rsidP="002B6EB1">
      <w:pPr>
        <w:pStyle w:val="ManualHeading4"/>
        <w:rPr>
          <w:noProof/>
        </w:rPr>
      </w:pPr>
      <w:r w:rsidRPr="00D020C3">
        <w:rPr>
          <w:noProof/>
        </w:rPr>
        <w:t>3</w:t>
      </w:r>
      <w:r w:rsidRPr="00D96C74">
        <w:rPr>
          <w:noProof/>
        </w:rPr>
        <w:t>.</w:t>
      </w:r>
      <w:r w:rsidRPr="00D020C3">
        <w:rPr>
          <w:noProof/>
        </w:rPr>
        <w:t>2</w:t>
      </w:r>
      <w:r w:rsidRPr="00D96C74">
        <w:rPr>
          <w:noProof/>
        </w:rPr>
        <w:t>.</w:t>
      </w:r>
      <w:r w:rsidRPr="00D020C3">
        <w:rPr>
          <w:noProof/>
        </w:rPr>
        <w:t>3</w:t>
      </w:r>
      <w:r w:rsidRPr="00D96C74">
        <w:rPr>
          <w:noProof/>
        </w:rPr>
        <w:t>.</w:t>
      </w:r>
      <w:r w:rsidRPr="00D020C3">
        <w:rPr>
          <w:noProof/>
        </w:rPr>
        <w:t>3</w:t>
      </w:r>
      <w:r w:rsidRPr="00D96C74">
        <w:rPr>
          <w:noProof/>
        </w:rPr>
        <w:t>.</w:t>
      </w:r>
      <w:r w:rsidRPr="00D96C74">
        <w:rPr>
          <w:noProof/>
        </w:rPr>
        <w:tab/>
        <w:t>Necesarul de resurse umane estimat în cadrul Comisiei </w:t>
      </w:r>
    </w:p>
    <w:p w14:paraId="53AFA202" w14:textId="77777777" w:rsidR="002B6EB1" w:rsidRPr="00D96C74" w:rsidRDefault="002B6EB1" w:rsidP="0020411B">
      <w:pPr>
        <w:pStyle w:val="ListDash1"/>
        <w:rPr>
          <w:noProof/>
        </w:rPr>
      </w:pPr>
      <w:r w:rsidRPr="00D96C74">
        <w:rPr>
          <w:rFonts w:ascii="Wingdings" w:hAnsi="Wingdings"/>
          <w:noProof/>
        </w:rPr>
        <w:t></w:t>
      </w:r>
      <w:r w:rsidRPr="00D96C74">
        <w:rPr>
          <w:noProof/>
        </w:rPr>
        <w:tab/>
        <w:t>Propunerea/inițiativa nu implică utilizarea de resurse umane.  </w:t>
      </w:r>
    </w:p>
    <w:p w14:paraId="13E70F2E" w14:textId="77777777" w:rsidR="002B6EB1" w:rsidRPr="00D96C74" w:rsidRDefault="002B6EB1" w:rsidP="0020411B">
      <w:pPr>
        <w:pStyle w:val="ListDash1"/>
        <w:rPr>
          <w:noProof/>
        </w:rPr>
      </w:pPr>
      <w:r w:rsidRPr="00D96C74">
        <w:rPr>
          <w:rFonts w:ascii="Wingdings" w:hAnsi="Wingdings"/>
          <w:noProof/>
        </w:rPr>
        <w:t></w:t>
      </w:r>
      <w:r w:rsidRPr="00D96C74">
        <w:rPr>
          <w:noProof/>
        </w:rPr>
        <w:tab/>
        <w:t>Propunerea/inițiativa implică utilizarea de resurse umane, conform explicațiilor de mai jos: </w:t>
      </w:r>
    </w:p>
    <w:p w14:paraId="223E1322" w14:textId="77777777" w:rsidR="002B6EB1" w:rsidRPr="008D4D1E" w:rsidRDefault="002B6EB1" w:rsidP="00B00391">
      <w:pPr>
        <w:spacing w:after="60"/>
        <w:jc w:val="right"/>
        <w:rPr>
          <w:i/>
          <w:noProof/>
          <w:sz w:val="20"/>
        </w:rPr>
      </w:pP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178"/>
        <w:gridCol w:w="15"/>
        <w:gridCol w:w="183"/>
        <w:gridCol w:w="2378"/>
        <w:gridCol w:w="731"/>
        <w:gridCol w:w="731"/>
        <w:gridCol w:w="731"/>
        <w:gridCol w:w="731"/>
        <w:gridCol w:w="2193"/>
      </w:tblGrid>
      <w:tr w:rsidR="00CB1A27" w:rsidRPr="00D96C74" w14:paraId="31912299" w14:textId="77777777" w:rsidTr="1BD3479F">
        <w:trPr>
          <w:gridBefore w:val="1"/>
          <w:wBefore w:w="15" w:type="dxa"/>
          <w:trHeight w:val="289"/>
          <w:jc w:val="center"/>
        </w:trPr>
        <w:tc>
          <w:tcPr>
            <w:tcW w:w="4754" w:type="dxa"/>
            <w:gridSpan w:val="4"/>
            <w:shd w:val="clear" w:color="auto" w:fill="auto"/>
          </w:tcPr>
          <w:p w14:paraId="4270B467" w14:textId="77777777" w:rsidR="00CB1A27" w:rsidRPr="008D4D1E" w:rsidRDefault="00CB1A27" w:rsidP="00CB1A27">
            <w:pPr>
              <w:pStyle w:val="Text1"/>
              <w:spacing w:before="40" w:after="40"/>
              <w:ind w:left="0"/>
              <w:jc w:val="center"/>
              <w:rPr>
                <w:i/>
                <w:noProof/>
                <w:sz w:val="16"/>
                <w:szCs w:val="16"/>
              </w:rPr>
            </w:pPr>
          </w:p>
        </w:tc>
        <w:tc>
          <w:tcPr>
            <w:tcW w:w="731" w:type="dxa"/>
            <w:shd w:val="clear" w:color="auto" w:fill="auto"/>
            <w:vAlign w:val="center"/>
          </w:tcPr>
          <w:p w14:paraId="78C59DF8" w14:textId="77777777" w:rsidR="00CB1A27" w:rsidRPr="00D96C74" w:rsidRDefault="00CB1A27" w:rsidP="00CB1A27">
            <w:pPr>
              <w:spacing w:before="20" w:after="20"/>
              <w:jc w:val="center"/>
              <w:rPr>
                <w:noProof/>
                <w:sz w:val="16"/>
                <w:szCs w:val="16"/>
              </w:rPr>
            </w:pPr>
            <w:r w:rsidRPr="00D020C3">
              <w:rPr>
                <w:rStyle w:val="normaltextrun"/>
                <w:b/>
                <w:noProof/>
                <w:sz w:val="16"/>
              </w:rPr>
              <w:t>2023</w:t>
            </w:r>
            <w:r w:rsidRPr="00D96C74">
              <w:rPr>
                <w:rStyle w:val="eop"/>
                <w:noProof/>
                <w:sz w:val="16"/>
              </w:rPr>
              <w:t xml:space="preserve"> </w:t>
            </w:r>
          </w:p>
        </w:tc>
        <w:tc>
          <w:tcPr>
            <w:tcW w:w="731" w:type="dxa"/>
            <w:shd w:val="clear" w:color="auto" w:fill="auto"/>
            <w:vAlign w:val="center"/>
          </w:tcPr>
          <w:p w14:paraId="504A2908" w14:textId="77777777" w:rsidR="00CB1A27" w:rsidRPr="00D96C74" w:rsidRDefault="00CB1A27" w:rsidP="00CB1A27">
            <w:pPr>
              <w:spacing w:before="20" w:after="20"/>
              <w:jc w:val="center"/>
              <w:rPr>
                <w:noProof/>
                <w:sz w:val="16"/>
                <w:szCs w:val="16"/>
              </w:rPr>
            </w:pPr>
            <w:r w:rsidRPr="00D020C3">
              <w:rPr>
                <w:rStyle w:val="normaltextrun"/>
                <w:b/>
                <w:noProof/>
                <w:sz w:val="16"/>
              </w:rPr>
              <w:t>2024</w:t>
            </w:r>
            <w:r w:rsidRPr="00D96C74">
              <w:rPr>
                <w:rStyle w:val="eop"/>
                <w:noProof/>
                <w:sz w:val="16"/>
              </w:rPr>
              <w:t xml:space="preserve"> </w:t>
            </w:r>
          </w:p>
        </w:tc>
        <w:tc>
          <w:tcPr>
            <w:tcW w:w="731" w:type="dxa"/>
            <w:shd w:val="clear" w:color="auto" w:fill="auto"/>
            <w:vAlign w:val="center"/>
          </w:tcPr>
          <w:p w14:paraId="4814EE26" w14:textId="77777777" w:rsidR="00CB1A27" w:rsidRPr="00D96C74" w:rsidRDefault="00CB1A27" w:rsidP="00CB1A27">
            <w:pPr>
              <w:spacing w:before="20" w:after="20"/>
              <w:jc w:val="center"/>
              <w:rPr>
                <w:noProof/>
                <w:sz w:val="16"/>
                <w:szCs w:val="16"/>
              </w:rPr>
            </w:pPr>
            <w:r w:rsidRPr="00D020C3">
              <w:rPr>
                <w:rStyle w:val="normaltextrun"/>
                <w:b/>
                <w:noProof/>
                <w:sz w:val="16"/>
              </w:rPr>
              <w:t>2025</w:t>
            </w:r>
            <w:r w:rsidRPr="00D96C74">
              <w:rPr>
                <w:rStyle w:val="eop"/>
                <w:noProof/>
                <w:sz w:val="16"/>
              </w:rPr>
              <w:t xml:space="preserve"> </w:t>
            </w:r>
          </w:p>
        </w:tc>
        <w:tc>
          <w:tcPr>
            <w:tcW w:w="731" w:type="dxa"/>
            <w:shd w:val="clear" w:color="auto" w:fill="auto"/>
            <w:vAlign w:val="center"/>
          </w:tcPr>
          <w:p w14:paraId="66010444" w14:textId="77777777" w:rsidR="00CB1A27" w:rsidRPr="00D96C74" w:rsidRDefault="00CB1A27" w:rsidP="00CB1A27">
            <w:pPr>
              <w:spacing w:before="20" w:after="20"/>
              <w:jc w:val="center"/>
              <w:rPr>
                <w:noProof/>
                <w:sz w:val="16"/>
                <w:szCs w:val="16"/>
              </w:rPr>
            </w:pPr>
            <w:r w:rsidRPr="00D020C3">
              <w:rPr>
                <w:rStyle w:val="normaltextrun"/>
                <w:b/>
                <w:noProof/>
                <w:sz w:val="16"/>
              </w:rPr>
              <w:t>2026</w:t>
            </w:r>
            <w:r w:rsidRPr="00D96C74">
              <w:rPr>
                <w:rStyle w:val="eop"/>
                <w:noProof/>
                <w:sz w:val="16"/>
              </w:rPr>
              <w:t xml:space="preserve"> </w:t>
            </w:r>
          </w:p>
        </w:tc>
        <w:tc>
          <w:tcPr>
            <w:tcW w:w="2193" w:type="dxa"/>
            <w:vAlign w:val="center"/>
          </w:tcPr>
          <w:p w14:paraId="500D8416" w14:textId="317AA089" w:rsidR="00CB1A27" w:rsidRPr="00D96C74" w:rsidRDefault="00CB1A27" w:rsidP="00CB1A27">
            <w:pPr>
              <w:jc w:val="center"/>
              <w:rPr>
                <w:noProof/>
                <w:sz w:val="16"/>
              </w:rPr>
            </w:pPr>
            <w:r w:rsidRPr="00D020C3">
              <w:rPr>
                <w:rStyle w:val="normaltextrun"/>
                <w:b/>
                <w:noProof/>
                <w:sz w:val="16"/>
              </w:rPr>
              <w:t xml:space="preserve">2027 </w:t>
            </w:r>
          </w:p>
        </w:tc>
      </w:tr>
      <w:tr w:rsidR="00CB1A27" w:rsidRPr="00D96C74" w14:paraId="35ED7B52" w14:textId="77777777" w:rsidTr="1BD3479F">
        <w:trPr>
          <w:gridBefore w:val="1"/>
          <w:gridAfter w:val="7"/>
          <w:wBefore w:w="15" w:type="dxa"/>
          <w:wAfter w:w="7678" w:type="dxa"/>
          <w:trHeight w:val="289"/>
          <w:jc w:val="center"/>
        </w:trPr>
        <w:tc>
          <w:tcPr>
            <w:tcW w:w="2193" w:type="dxa"/>
            <w:gridSpan w:val="2"/>
          </w:tcPr>
          <w:p w14:paraId="27E922EC" w14:textId="77777777" w:rsidR="00CB1A27" w:rsidRPr="00D020C3" w:rsidRDefault="00CB1A27" w:rsidP="00B00391">
            <w:pPr>
              <w:jc w:val="left"/>
              <w:rPr>
                <w:b/>
                <w:noProof/>
                <w:sz w:val="16"/>
              </w:rPr>
            </w:pPr>
          </w:p>
        </w:tc>
      </w:tr>
      <w:tr w:rsidR="00CB1A27" w:rsidRPr="00D96C74" w14:paraId="55A9DD4D" w14:textId="77777777" w:rsidTr="1BD3479F">
        <w:trPr>
          <w:gridBefore w:val="1"/>
          <w:wBefore w:w="15" w:type="dxa"/>
          <w:trHeight w:val="289"/>
          <w:jc w:val="center"/>
        </w:trPr>
        <w:tc>
          <w:tcPr>
            <w:tcW w:w="4754" w:type="dxa"/>
            <w:gridSpan w:val="4"/>
            <w:shd w:val="clear" w:color="auto" w:fill="auto"/>
            <w:vAlign w:val="center"/>
          </w:tcPr>
          <w:p w14:paraId="72A0CC7B" w14:textId="77777777" w:rsidR="00CB1A27" w:rsidRPr="00D020C3" w:rsidRDefault="00CB1A27" w:rsidP="00B00391">
            <w:pPr>
              <w:pStyle w:val="Text1"/>
              <w:spacing w:beforeLines="20" w:before="48" w:afterLines="20" w:after="48"/>
              <w:ind w:left="134"/>
              <w:jc w:val="left"/>
              <w:rPr>
                <w:b/>
                <w:noProof/>
                <w:sz w:val="16"/>
                <w:szCs w:val="16"/>
              </w:rPr>
            </w:pPr>
            <w:r w:rsidRPr="00D020C3">
              <w:rPr>
                <w:noProof/>
                <w:sz w:val="16"/>
              </w:rPr>
              <w:t>20</w:t>
            </w:r>
            <w:r w:rsidRPr="00D96C74">
              <w:rPr>
                <w:noProof/>
                <w:sz w:val="16"/>
              </w:rPr>
              <w:t xml:space="preserve"> </w:t>
            </w:r>
            <w:r w:rsidRPr="00D020C3">
              <w:rPr>
                <w:noProof/>
                <w:sz w:val="16"/>
              </w:rPr>
              <w:t>01</w:t>
            </w:r>
            <w:r w:rsidRPr="00D96C74">
              <w:rPr>
                <w:noProof/>
                <w:sz w:val="16"/>
              </w:rPr>
              <w:t xml:space="preserve"> </w:t>
            </w:r>
            <w:r w:rsidRPr="00D020C3">
              <w:rPr>
                <w:noProof/>
                <w:sz w:val="16"/>
              </w:rPr>
              <w:t>02</w:t>
            </w:r>
            <w:r w:rsidRPr="00D96C74">
              <w:rPr>
                <w:noProof/>
                <w:sz w:val="16"/>
              </w:rPr>
              <w:t xml:space="preserve"> </w:t>
            </w:r>
            <w:r w:rsidRPr="00D020C3">
              <w:rPr>
                <w:noProof/>
                <w:sz w:val="16"/>
              </w:rPr>
              <w:t>01</w:t>
            </w:r>
            <w:r w:rsidRPr="00D96C74">
              <w:rPr>
                <w:rFonts w:ascii="Arial Narrow" w:hAnsi="Arial Narrow"/>
                <w:noProof/>
                <w:color w:val="000000"/>
                <w:sz w:val="20"/>
              </w:rPr>
              <w:t xml:space="preserve"> </w:t>
            </w:r>
            <w:r w:rsidRPr="00D96C74">
              <w:rPr>
                <w:noProof/>
                <w:sz w:val="16"/>
              </w:rPr>
              <w:t>(la sediu și în reprezentanțele Comisiei)</w:t>
            </w:r>
          </w:p>
        </w:tc>
        <w:tc>
          <w:tcPr>
            <w:tcW w:w="731" w:type="dxa"/>
            <w:shd w:val="clear" w:color="auto" w:fill="auto"/>
            <w:vAlign w:val="center"/>
          </w:tcPr>
          <w:p w14:paraId="1DD186C4" w14:textId="77777777" w:rsidR="00CB1A27" w:rsidRPr="00D96C74" w:rsidRDefault="005F41FD" w:rsidP="00B00391">
            <w:pPr>
              <w:spacing w:beforeLines="20" w:before="48" w:afterLines="20" w:after="48"/>
              <w:jc w:val="center"/>
              <w:rPr>
                <w:noProof/>
                <w:sz w:val="16"/>
                <w:szCs w:val="16"/>
              </w:rPr>
            </w:pPr>
            <w:r w:rsidRPr="00D020C3">
              <w:rPr>
                <w:noProof/>
                <w:sz w:val="16"/>
              </w:rPr>
              <w:t>1</w:t>
            </w:r>
            <w:r w:rsidRPr="00D96C74">
              <w:rPr>
                <w:noProof/>
                <w:sz w:val="16"/>
              </w:rPr>
              <w:t>,</w:t>
            </w:r>
            <w:r w:rsidRPr="00D020C3">
              <w:rPr>
                <w:noProof/>
                <w:sz w:val="16"/>
              </w:rPr>
              <w:t>5</w:t>
            </w:r>
          </w:p>
        </w:tc>
        <w:tc>
          <w:tcPr>
            <w:tcW w:w="731" w:type="dxa"/>
            <w:shd w:val="clear" w:color="auto" w:fill="auto"/>
            <w:vAlign w:val="center"/>
          </w:tcPr>
          <w:p w14:paraId="0A2BDF41" w14:textId="77777777" w:rsidR="00CB1A27" w:rsidRPr="00D96C74" w:rsidRDefault="005F41FD" w:rsidP="00B00391">
            <w:pPr>
              <w:spacing w:beforeLines="20" w:before="48" w:afterLines="20" w:after="48"/>
              <w:jc w:val="center"/>
              <w:rPr>
                <w:noProof/>
                <w:sz w:val="16"/>
                <w:szCs w:val="16"/>
              </w:rPr>
            </w:pPr>
            <w:r w:rsidRPr="00D020C3">
              <w:rPr>
                <w:noProof/>
                <w:sz w:val="16"/>
              </w:rPr>
              <w:t>1</w:t>
            </w:r>
          </w:p>
        </w:tc>
        <w:tc>
          <w:tcPr>
            <w:tcW w:w="731" w:type="dxa"/>
            <w:shd w:val="clear" w:color="auto" w:fill="auto"/>
            <w:vAlign w:val="center"/>
          </w:tcPr>
          <w:p w14:paraId="5020701E" w14:textId="77777777" w:rsidR="00CB1A27" w:rsidRPr="00D96C74" w:rsidRDefault="005F41FD" w:rsidP="00B00391">
            <w:pPr>
              <w:spacing w:beforeLines="20" w:before="48" w:afterLines="20" w:after="48"/>
              <w:jc w:val="center"/>
              <w:rPr>
                <w:noProof/>
                <w:sz w:val="16"/>
                <w:szCs w:val="16"/>
              </w:rPr>
            </w:pPr>
            <w:r w:rsidRPr="00D020C3">
              <w:rPr>
                <w:noProof/>
                <w:sz w:val="16"/>
              </w:rPr>
              <w:t>1</w:t>
            </w:r>
          </w:p>
        </w:tc>
        <w:tc>
          <w:tcPr>
            <w:tcW w:w="731" w:type="dxa"/>
            <w:shd w:val="clear" w:color="auto" w:fill="auto"/>
            <w:vAlign w:val="center"/>
          </w:tcPr>
          <w:p w14:paraId="077A0EE3" w14:textId="77777777" w:rsidR="00CB1A27" w:rsidRPr="00D96C74" w:rsidRDefault="005F41FD" w:rsidP="00B00391">
            <w:pPr>
              <w:spacing w:beforeLines="20" w:before="48" w:afterLines="20" w:after="48"/>
              <w:jc w:val="center"/>
              <w:rPr>
                <w:noProof/>
                <w:sz w:val="16"/>
                <w:szCs w:val="16"/>
              </w:rPr>
            </w:pPr>
            <w:r w:rsidRPr="00D020C3">
              <w:rPr>
                <w:noProof/>
                <w:sz w:val="16"/>
              </w:rPr>
              <w:t>1</w:t>
            </w:r>
          </w:p>
        </w:tc>
        <w:tc>
          <w:tcPr>
            <w:tcW w:w="2193" w:type="dxa"/>
          </w:tcPr>
          <w:p w14:paraId="7099C1BA" w14:textId="77777777" w:rsidR="00CB1A27" w:rsidRPr="00D96C74" w:rsidRDefault="005F41FD" w:rsidP="00B00391">
            <w:pPr>
              <w:spacing w:beforeLines="20" w:before="48" w:afterLines="20" w:after="48"/>
              <w:jc w:val="center"/>
              <w:rPr>
                <w:noProof/>
                <w:sz w:val="16"/>
                <w:szCs w:val="16"/>
              </w:rPr>
            </w:pPr>
            <w:r w:rsidRPr="00D020C3">
              <w:rPr>
                <w:noProof/>
                <w:sz w:val="16"/>
              </w:rPr>
              <w:t>1</w:t>
            </w:r>
          </w:p>
        </w:tc>
      </w:tr>
      <w:tr w:rsidR="00CB1A27" w:rsidRPr="00D96C74" w14:paraId="2E0E929F" w14:textId="77777777" w:rsidTr="1BD3479F">
        <w:trPr>
          <w:gridBefore w:val="1"/>
          <w:wBefore w:w="15" w:type="dxa"/>
          <w:trHeight w:val="289"/>
          <w:jc w:val="center"/>
        </w:trPr>
        <w:tc>
          <w:tcPr>
            <w:tcW w:w="4754" w:type="dxa"/>
            <w:gridSpan w:val="4"/>
            <w:shd w:val="clear" w:color="auto" w:fill="auto"/>
            <w:vAlign w:val="center"/>
          </w:tcPr>
          <w:p w14:paraId="709BBFFE" w14:textId="77777777" w:rsidR="00CB1A27" w:rsidRPr="00D96C74" w:rsidRDefault="00CB1A27" w:rsidP="00B00391">
            <w:pPr>
              <w:pStyle w:val="Text1"/>
              <w:spacing w:beforeLines="20" w:before="48" w:afterLines="20" w:after="48"/>
              <w:ind w:left="134"/>
              <w:jc w:val="left"/>
              <w:rPr>
                <w:noProof/>
                <w:sz w:val="16"/>
              </w:rPr>
            </w:pPr>
            <w:r w:rsidRPr="00D020C3">
              <w:rPr>
                <w:noProof/>
                <w:sz w:val="16"/>
              </w:rPr>
              <w:t>20</w:t>
            </w:r>
            <w:r w:rsidRPr="00D96C74">
              <w:rPr>
                <w:noProof/>
                <w:sz w:val="16"/>
              </w:rPr>
              <w:t xml:space="preserve"> </w:t>
            </w:r>
            <w:r w:rsidRPr="00D020C3">
              <w:rPr>
                <w:noProof/>
                <w:sz w:val="16"/>
              </w:rPr>
              <w:t>01</w:t>
            </w:r>
            <w:r w:rsidRPr="00D96C74">
              <w:rPr>
                <w:noProof/>
                <w:sz w:val="16"/>
              </w:rPr>
              <w:t xml:space="preserve"> </w:t>
            </w:r>
            <w:r w:rsidRPr="00D020C3">
              <w:rPr>
                <w:noProof/>
                <w:sz w:val="16"/>
              </w:rPr>
              <w:t>02</w:t>
            </w:r>
            <w:r w:rsidRPr="00D96C74">
              <w:rPr>
                <w:noProof/>
                <w:sz w:val="16"/>
              </w:rPr>
              <w:t xml:space="preserve"> </w:t>
            </w:r>
            <w:r w:rsidRPr="00D020C3">
              <w:rPr>
                <w:noProof/>
                <w:sz w:val="16"/>
              </w:rPr>
              <w:t>03</w:t>
            </w:r>
            <w:r w:rsidRPr="00D96C74">
              <w:rPr>
                <w:noProof/>
                <w:sz w:val="16"/>
              </w:rPr>
              <w:t xml:space="preserve"> (în delegații)</w:t>
            </w:r>
          </w:p>
        </w:tc>
        <w:tc>
          <w:tcPr>
            <w:tcW w:w="731" w:type="dxa"/>
            <w:shd w:val="clear" w:color="auto" w:fill="auto"/>
            <w:vAlign w:val="center"/>
          </w:tcPr>
          <w:p w14:paraId="22215821"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743EB058"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24000F50"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315846E8" w14:textId="77777777" w:rsidR="00CB1A27" w:rsidRPr="00D96C74" w:rsidRDefault="00CB1A27" w:rsidP="00B00391">
            <w:pPr>
              <w:spacing w:beforeLines="20" w:before="48" w:afterLines="20" w:after="48"/>
              <w:jc w:val="center"/>
              <w:rPr>
                <w:noProof/>
                <w:sz w:val="16"/>
                <w:szCs w:val="16"/>
              </w:rPr>
            </w:pPr>
          </w:p>
        </w:tc>
        <w:tc>
          <w:tcPr>
            <w:tcW w:w="2193" w:type="dxa"/>
          </w:tcPr>
          <w:p w14:paraId="22A4F9C4" w14:textId="77777777" w:rsidR="00CB1A27" w:rsidRPr="00D96C74" w:rsidRDefault="00CB1A27" w:rsidP="00B00391">
            <w:pPr>
              <w:spacing w:beforeLines="20" w:before="48" w:afterLines="20" w:after="48"/>
              <w:jc w:val="center"/>
              <w:rPr>
                <w:noProof/>
                <w:sz w:val="16"/>
                <w:szCs w:val="16"/>
              </w:rPr>
            </w:pPr>
          </w:p>
        </w:tc>
      </w:tr>
      <w:tr w:rsidR="00CB1A27" w:rsidRPr="00D96C74" w14:paraId="08761026" w14:textId="77777777" w:rsidTr="1BD3479F">
        <w:trPr>
          <w:gridBefore w:val="1"/>
          <w:wBefore w:w="15" w:type="dxa"/>
          <w:trHeight w:val="289"/>
          <w:jc w:val="center"/>
        </w:trPr>
        <w:tc>
          <w:tcPr>
            <w:tcW w:w="4754" w:type="dxa"/>
            <w:gridSpan w:val="4"/>
            <w:shd w:val="clear" w:color="auto" w:fill="auto"/>
            <w:vAlign w:val="center"/>
          </w:tcPr>
          <w:p w14:paraId="001B9D01" w14:textId="285D71B1" w:rsidR="00CB1A27" w:rsidRPr="00D96C74" w:rsidRDefault="00CB1A27" w:rsidP="00B00391">
            <w:pPr>
              <w:pStyle w:val="Text1"/>
              <w:spacing w:beforeLines="20" w:before="48" w:afterLines="20" w:after="48"/>
              <w:ind w:left="134"/>
              <w:jc w:val="left"/>
              <w:rPr>
                <w:noProof/>
                <w:sz w:val="16"/>
                <w:szCs w:val="16"/>
              </w:rPr>
            </w:pPr>
            <w:r w:rsidRPr="00D020C3">
              <w:rPr>
                <w:noProof/>
                <w:sz w:val="16"/>
              </w:rPr>
              <w:t>01</w:t>
            </w:r>
            <w:r w:rsidRPr="00D96C74">
              <w:rPr>
                <w:noProof/>
                <w:sz w:val="16"/>
              </w:rPr>
              <w:t xml:space="preserve"> </w:t>
            </w:r>
            <w:r w:rsidRPr="00D020C3">
              <w:rPr>
                <w:noProof/>
                <w:sz w:val="16"/>
              </w:rPr>
              <w:t>01</w:t>
            </w:r>
            <w:r w:rsidRPr="00D96C74">
              <w:rPr>
                <w:noProof/>
                <w:sz w:val="16"/>
              </w:rPr>
              <w:t xml:space="preserve"> </w:t>
            </w:r>
            <w:r w:rsidRPr="00D020C3">
              <w:rPr>
                <w:noProof/>
                <w:sz w:val="16"/>
              </w:rPr>
              <w:t>01</w:t>
            </w:r>
            <w:r w:rsidRPr="00D96C74">
              <w:rPr>
                <w:noProof/>
                <w:sz w:val="16"/>
              </w:rPr>
              <w:t xml:space="preserve"> </w:t>
            </w:r>
            <w:r w:rsidRPr="00D020C3">
              <w:rPr>
                <w:noProof/>
                <w:sz w:val="16"/>
              </w:rPr>
              <w:t>01</w:t>
            </w:r>
            <w:r w:rsidRPr="00D96C74">
              <w:rPr>
                <w:noProof/>
                <w:sz w:val="16"/>
              </w:rPr>
              <w:t xml:space="preserve"> (cercetare indirectă)</w:t>
            </w:r>
          </w:p>
        </w:tc>
        <w:tc>
          <w:tcPr>
            <w:tcW w:w="731" w:type="dxa"/>
            <w:shd w:val="clear" w:color="auto" w:fill="auto"/>
            <w:vAlign w:val="center"/>
          </w:tcPr>
          <w:p w14:paraId="3E62EE87"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74658F9A"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7742F802"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5F3168AC" w14:textId="77777777" w:rsidR="00CB1A27" w:rsidRPr="00D96C74" w:rsidRDefault="00CB1A27" w:rsidP="00B00391">
            <w:pPr>
              <w:spacing w:beforeLines="20" w:before="48" w:afterLines="20" w:after="48"/>
              <w:jc w:val="center"/>
              <w:rPr>
                <w:noProof/>
                <w:sz w:val="16"/>
                <w:szCs w:val="16"/>
              </w:rPr>
            </w:pPr>
          </w:p>
        </w:tc>
        <w:tc>
          <w:tcPr>
            <w:tcW w:w="2193" w:type="dxa"/>
          </w:tcPr>
          <w:p w14:paraId="058989BF" w14:textId="77777777" w:rsidR="00CB1A27" w:rsidRPr="00D96C74" w:rsidRDefault="00CB1A27" w:rsidP="00B00391">
            <w:pPr>
              <w:spacing w:beforeLines="20" w:before="48" w:afterLines="20" w:after="48"/>
              <w:jc w:val="center"/>
              <w:rPr>
                <w:noProof/>
                <w:sz w:val="16"/>
                <w:szCs w:val="16"/>
              </w:rPr>
            </w:pPr>
          </w:p>
        </w:tc>
      </w:tr>
      <w:tr w:rsidR="00CB1A27" w:rsidRPr="00D96C74" w14:paraId="1D2EC275" w14:textId="77777777" w:rsidTr="1BD3479F">
        <w:trPr>
          <w:gridBefore w:val="1"/>
          <w:wBefore w:w="15" w:type="dxa"/>
          <w:trHeight w:val="289"/>
          <w:jc w:val="center"/>
        </w:trPr>
        <w:tc>
          <w:tcPr>
            <w:tcW w:w="4754" w:type="dxa"/>
            <w:gridSpan w:val="4"/>
            <w:shd w:val="clear" w:color="auto" w:fill="auto"/>
            <w:vAlign w:val="center"/>
          </w:tcPr>
          <w:p w14:paraId="34563847" w14:textId="77777777" w:rsidR="00CB1A27" w:rsidRPr="00D96C74" w:rsidRDefault="00CB1A27" w:rsidP="00B00391">
            <w:pPr>
              <w:pStyle w:val="Text1"/>
              <w:spacing w:beforeLines="20" w:before="48" w:afterLines="20" w:after="48"/>
              <w:ind w:left="134"/>
              <w:jc w:val="left"/>
              <w:rPr>
                <w:noProof/>
                <w:sz w:val="16"/>
                <w:szCs w:val="16"/>
              </w:rPr>
            </w:pPr>
            <w:r w:rsidRPr="00D96C74">
              <w:rPr>
                <w:noProof/>
                <w:sz w:val="16"/>
              </w:rPr>
              <w:t xml:space="preserve"> </w:t>
            </w:r>
            <w:r w:rsidRPr="00D020C3">
              <w:rPr>
                <w:noProof/>
                <w:sz w:val="16"/>
              </w:rPr>
              <w:t>01</w:t>
            </w:r>
            <w:r w:rsidRPr="00D96C74">
              <w:rPr>
                <w:noProof/>
                <w:sz w:val="16"/>
              </w:rPr>
              <w:t xml:space="preserve"> </w:t>
            </w:r>
            <w:r w:rsidRPr="00D020C3">
              <w:rPr>
                <w:noProof/>
                <w:sz w:val="16"/>
              </w:rPr>
              <w:t>01</w:t>
            </w:r>
            <w:r w:rsidRPr="00D96C74">
              <w:rPr>
                <w:noProof/>
                <w:sz w:val="16"/>
              </w:rPr>
              <w:t xml:space="preserve"> </w:t>
            </w:r>
            <w:r w:rsidRPr="00D020C3">
              <w:rPr>
                <w:noProof/>
                <w:sz w:val="16"/>
              </w:rPr>
              <w:t>01</w:t>
            </w:r>
            <w:r w:rsidRPr="00D96C74">
              <w:rPr>
                <w:noProof/>
                <w:sz w:val="16"/>
              </w:rPr>
              <w:t xml:space="preserve"> </w:t>
            </w:r>
            <w:r w:rsidRPr="00D020C3">
              <w:rPr>
                <w:noProof/>
                <w:sz w:val="16"/>
              </w:rPr>
              <w:t>11</w:t>
            </w:r>
            <w:r w:rsidRPr="00D96C74">
              <w:rPr>
                <w:noProof/>
                <w:sz w:val="16"/>
              </w:rPr>
              <w:t xml:space="preserve"> (cercetare directă)</w:t>
            </w:r>
          </w:p>
        </w:tc>
        <w:tc>
          <w:tcPr>
            <w:tcW w:w="731" w:type="dxa"/>
            <w:shd w:val="clear" w:color="auto" w:fill="auto"/>
            <w:vAlign w:val="center"/>
          </w:tcPr>
          <w:p w14:paraId="6AB9D7A7"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76931607"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03C10E1F"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20476D3E" w14:textId="77777777" w:rsidR="00CB1A27" w:rsidRPr="00D96C74" w:rsidRDefault="00CB1A27" w:rsidP="00B00391">
            <w:pPr>
              <w:spacing w:beforeLines="20" w:before="48" w:afterLines="20" w:after="48"/>
              <w:jc w:val="center"/>
              <w:rPr>
                <w:noProof/>
                <w:sz w:val="16"/>
                <w:szCs w:val="16"/>
              </w:rPr>
            </w:pPr>
          </w:p>
        </w:tc>
        <w:tc>
          <w:tcPr>
            <w:tcW w:w="2193" w:type="dxa"/>
          </w:tcPr>
          <w:p w14:paraId="6F369CEA" w14:textId="77777777" w:rsidR="00CB1A27" w:rsidRPr="00D96C74" w:rsidRDefault="00CB1A27" w:rsidP="00B00391">
            <w:pPr>
              <w:spacing w:beforeLines="20" w:before="48" w:afterLines="20" w:after="48"/>
              <w:jc w:val="center"/>
              <w:rPr>
                <w:noProof/>
                <w:sz w:val="16"/>
                <w:szCs w:val="16"/>
              </w:rPr>
            </w:pPr>
          </w:p>
        </w:tc>
      </w:tr>
      <w:tr w:rsidR="00CB1A27" w:rsidRPr="00D96C74" w14:paraId="6D87659B" w14:textId="77777777" w:rsidTr="1BD3479F">
        <w:trPr>
          <w:gridBefore w:val="1"/>
          <w:wBefore w:w="15" w:type="dxa"/>
          <w:trHeight w:val="289"/>
          <w:jc w:val="center"/>
        </w:trPr>
        <w:tc>
          <w:tcPr>
            <w:tcW w:w="4754" w:type="dxa"/>
            <w:gridSpan w:val="4"/>
            <w:shd w:val="clear" w:color="auto" w:fill="auto"/>
            <w:vAlign w:val="center"/>
          </w:tcPr>
          <w:p w14:paraId="25E6C950" w14:textId="77777777" w:rsidR="00CB1A27" w:rsidRPr="00D96C74" w:rsidRDefault="00CB1A27" w:rsidP="00B00391">
            <w:pPr>
              <w:pStyle w:val="Text1"/>
              <w:spacing w:beforeLines="20" w:before="48" w:afterLines="20" w:after="48"/>
              <w:ind w:left="134"/>
              <w:jc w:val="left"/>
              <w:rPr>
                <w:noProof/>
                <w:sz w:val="16"/>
              </w:rPr>
            </w:pPr>
            <w:r w:rsidRPr="00D96C74">
              <w:rPr>
                <w:noProof/>
                <w:sz w:val="16"/>
              </w:rPr>
              <w:t>Alte linii bugetare (a se preciza)</w:t>
            </w:r>
          </w:p>
        </w:tc>
        <w:tc>
          <w:tcPr>
            <w:tcW w:w="731" w:type="dxa"/>
            <w:shd w:val="clear" w:color="auto" w:fill="auto"/>
            <w:vAlign w:val="center"/>
          </w:tcPr>
          <w:p w14:paraId="21C5CE7E"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3C8F75BD"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66A4B5D0"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57DFEAD1" w14:textId="77777777" w:rsidR="00CB1A27" w:rsidRPr="00D96C74" w:rsidRDefault="00CB1A27" w:rsidP="00B00391">
            <w:pPr>
              <w:spacing w:beforeLines="20" w:before="48" w:afterLines="20" w:after="48"/>
              <w:jc w:val="center"/>
              <w:rPr>
                <w:noProof/>
                <w:sz w:val="16"/>
                <w:szCs w:val="16"/>
              </w:rPr>
            </w:pPr>
          </w:p>
        </w:tc>
        <w:tc>
          <w:tcPr>
            <w:tcW w:w="2193" w:type="dxa"/>
          </w:tcPr>
          <w:p w14:paraId="4440303D" w14:textId="77777777" w:rsidR="00CB1A27" w:rsidRPr="00D96C74" w:rsidRDefault="00CB1A27" w:rsidP="00B00391">
            <w:pPr>
              <w:spacing w:beforeLines="20" w:before="48" w:afterLines="20" w:after="48"/>
              <w:jc w:val="center"/>
              <w:rPr>
                <w:noProof/>
                <w:sz w:val="16"/>
                <w:szCs w:val="16"/>
              </w:rPr>
            </w:pPr>
          </w:p>
        </w:tc>
      </w:tr>
      <w:tr w:rsidR="00CB1A27" w:rsidRPr="00D96C74" w14:paraId="24919745" w14:textId="77777777" w:rsidTr="1BD3479F">
        <w:trPr>
          <w:gridAfter w:val="8"/>
          <w:wAfter w:w="7693" w:type="dxa"/>
          <w:trHeight w:val="248"/>
          <w:jc w:val="center"/>
        </w:trPr>
        <w:tc>
          <w:tcPr>
            <w:tcW w:w="2193" w:type="dxa"/>
            <w:gridSpan w:val="2"/>
          </w:tcPr>
          <w:p w14:paraId="7E51D627" w14:textId="77777777" w:rsidR="00CB1A27" w:rsidRPr="00D020C3" w:rsidRDefault="00CB1A27" w:rsidP="00B00391">
            <w:pPr>
              <w:pStyle w:val="Text1"/>
              <w:spacing w:before="60" w:after="60"/>
              <w:ind w:left="0"/>
              <w:jc w:val="left"/>
              <w:rPr>
                <w:b/>
                <w:noProof/>
                <w:sz w:val="16"/>
              </w:rPr>
            </w:pPr>
          </w:p>
        </w:tc>
      </w:tr>
      <w:tr w:rsidR="00CB1A27" w:rsidRPr="00D96C74" w14:paraId="26D5D65D" w14:textId="77777777" w:rsidTr="1BD3479F">
        <w:trPr>
          <w:gridBefore w:val="1"/>
          <w:wBefore w:w="15" w:type="dxa"/>
          <w:trHeight w:val="289"/>
          <w:jc w:val="center"/>
        </w:trPr>
        <w:tc>
          <w:tcPr>
            <w:tcW w:w="4754" w:type="dxa"/>
            <w:gridSpan w:val="4"/>
            <w:shd w:val="clear" w:color="auto" w:fill="auto"/>
            <w:vAlign w:val="center"/>
          </w:tcPr>
          <w:p w14:paraId="00650AB6" w14:textId="77777777" w:rsidR="00CB1A27" w:rsidRPr="00D020C3" w:rsidRDefault="00CB1A27" w:rsidP="00CB1A27">
            <w:pPr>
              <w:pStyle w:val="Text1"/>
              <w:spacing w:beforeLines="20" w:before="48" w:afterLines="20" w:after="48"/>
              <w:ind w:left="136"/>
              <w:jc w:val="left"/>
              <w:rPr>
                <w:b/>
                <w:noProof/>
                <w:sz w:val="16"/>
                <w:szCs w:val="16"/>
              </w:rPr>
            </w:pPr>
            <w:r w:rsidRPr="00D020C3">
              <w:rPr>
                <w:noProof/>
                <w:sz w:val="16"/>
              </w:rPr>
              <w:t>20</w:t>
            </w:r>
            <w:r w:rsidRPr="00D96C74">
              <w:rPr>
                <w:noProof/>
                <w:sz w:val="16"/>
              </w:rPr>
              <w:t xml:space="preserve"> </w:t>
            </w:r>
            <w:r w:rsidRPr="00D020C3">
              <w:rPr>
                <w:noProof/>
                <w:sz w:val="16"/>
              </w:rPr>
              <w:t>02</w:t>
            </w:r>
            <w:r w:rsidRPr="00D96C74">
              <w:rPr>
                <w:noProof/>
                <w:sz w:val="16"/>
              </w:rPr>
              <w:t xml:space="preserve"> </w:t>
            </w:r>
            <w:r w:rsidRPr="00D020C3">
              <w:rPr>
                <w:noProof/>
                <w:sz w:val="16"/>
              </w:rPr>
              <w:t>01</w:t>
            </w:r>
            <w:r w:rsidRPr="00D96C74">
              <w:rPr>
                <w:rFonts w:ascii="Arial Narrow" w:hAnsi="Arial Narrow"/>
                <w:noProof/>
                <w:color w:val="000000"/>
                <w:sz w:val="20"/>
              </w:rPr>
              <w:t xml:space="preserve"> </w:t>
            </w:r>
            <w:r w:rsidRPr="00D96C74">
              <w:rPr>
                <w:noProof/>
                <w:sz w:val="16"/>
              </w:rPr>
              <w:t>(AC, END, INT din „pachetul global”)</w:t>
            </w:r>
          </w:p>
        </w:tc>
        <w:tc>
          <w:tcPr>
            <w:tcW w:w="731" w:type="dxa"/>
            <w:shd w:val="clear" w:color="auto" w:fill="auto"/>
            <w:vAlign w:val="center"/>
          </w:tcPr>
          <w:p w14:paraId="3F589706" w14:textId="77777777" w:rsidR="00CB1A27" w:rsidRPr="00D96C74" w:rsidRDefault="00CB1A27" w:rsidP="00CB1A27">
            <w:pPr>
              <w:spacing w:beforeLines="20" w:before="48" w:afterLines="20" w:after="48"/>
              <w:jc w:val="center"/>
              <w:rPr>
                <w:noProof/>
                <w:sz w:val="16"/>
                <w:szCs w:val="16"/>
              </w:rPr>
            </w:pPr>
          </w:p>
        </w:tc>
        <w:tc>
          <w:tcPr>
            <w:tcW w:w="731" w:type="dxa"/>
            <w:shd w:val="clear" w:color="auto" w:fill="auto"/>
            <w:vAlign w:val="center"/>
          </w:tcPr>
          <w:p w14:paraId="44A68FC8" w14:textId="2AB07F41" w:rsidR="00CB1A27" w:rsidRPr="00D96C74" w:rsidRDefault="00C85F36" w:rsidP="00CB1A27">
            <w:pPr>
              <w:spacing w:beforeLines="20" w:before="48" w:afterLines="20" w:after="48"/>
              <w:jc w:val="center"/>
              <w:rPr>
                <w:noProof/>
                <w:sz w:val="16"/>
                <w:szCs w:val="16"/>
              </w:rPr>
            </w:pPr>
            <w:r w:rsidRPr="00D020C3">
              <w:rPr>
                <w:rStyle w:val="eop"/>
                <w:noProof/>
                <w:sz w:val="16"/>
              </w:rPr>
              <w:t>3</w:t>
            </w:r>
          </w:p>
        </w:tc>
        <w:tc>
          <w:tcPr>
            <w:tcW w:w="731" w:type="dxa"/>
            <w:shd w:val="clear" w:color="auto" w:fill="auto"/>
            <w:vAlign w:val="center"/>
          </w:tcPr>
          <w:p w14:paraId="44E6C246" w14:textId="5B7C1AB5" w:rsidR="00CB1A27" w:rsidRPr="00D96C74" w:rsidRDefault="00C85F36" w:rsidP="00CB1A27">
            <w:pPr>
              <w:spacing w:beforeLines="20" w:before="48" w:afterLines="20" w:after="48"/>
              <w:jc w:val="center"/>
              <w:rPr>
                <w:noProof/>
                <w:sz w:val="16"/>
                <w:szCs w:val="16"/>
              </w:rPr>
            </w:pPr>
            <w:r w:rsidRPr="00D020C3">
              <w:rPr>
                <w:rStyle w:val="normaltextrun"/>
                <w:noProof/>
                <w:sz w:val="16"/>
              </w:rPr>
              <w:t>3</w:t>
            </w:r>
          </w:p>
        </w:tc>
        <w:tc>
          <w:tcPr>
            <w:tcW w:w="731" w:type="dxa"/>
            <w:shd w:val="clear" w:color="auto" w:fill="auto"/>
            <w:vAlign w:val="center"/>
          </w:tcPr>
          <w:p w14:paraId="63B7D05E" w14:textId="40D15CEF" w:rsidR="00CB1A27" w:rsidRPr="00D96C74" w:rsidRDefault="00C85F36" w:rsidP="00CB1A27">
            <w:pPr>
              <w:spacing w:beforeLines="20" w:before="48" w:afterLines="20" w:after="48"/>
              <w:jc w:val="center"/>
              <w:rPr>
                <w:noProof/>
                <w:sz w:val="16"/>
                <w:szCs w:val="16"/>
              </w:rPr>
            </w:pPr>
            <w:r w:rsidRPr="00D020C3">
              <w:rPr>
                <w:rStyle w:val="normaltextrun"/>
                <w:noProof/>
                <w:sz w:val="16"/>
              </w:rPr>
              <w:t>3</w:t>
            </w:r>
          </w:p>
        </w:tc>
        <w:tc>
          <w:tcPr>
            <w:tcW w:w="2193" w:type="dxa"/>
            <w:vAlign w:val="center"/>
          </w:tcPr>
          <w:p w14:paraId="1DC1974B" w14:textId="4F62DDA9" w:rsidR="00CB1A27" w:rsidRPr="00D96C74" w:rsidRDefault="00C85F36" w:rsidP="00CB1A27">
            <w:pPr>
              <w:spacing w:beforeLines="20" w:before="48" w:afterLines="20" w:after="48"/>
              <w:jc w:val="center"/>
              <w:rPr>
                <w:noProof/>
                <w:sz w:val="16"/>
                <w:szCs w:val="16"/>
              </w:rPr>
            </w:pPr>
            <w:r w:rsidRPr="00D020C3">
              <w:rPr>
                <w:rStyle w:val="normaltextrun"/>
                <w:noProof/>
                <w:sz w:val="16"/>
              </w:rPr>
              <w:t>3</w:t>
            </w:r>
          </w:p>
        </w:tc>
      </w:tr>
      <w:tr w:rsidR="00CB1A27" w:rsidRPr="00D96C74" w14:paraId="2D770D3C" w14:textId="77777777" w:rsidTr="1BD3479F">
        <w:trPr>
          <w:gridBefore w:val="1"/>
          <w:wBefore w:w="15" w:type="dxa"/>
          <w:trHeight w:val="289"/>
          <w:jc w:val="center"/>
        </w:trPr>
        <w:tc>
          <w:tcPr>
            <w:tcW w:w="4754" w:type="dxa"/>
            <w:gridSpan w:val="4"/>
            <w:shd w:val="clear" w:color="auto" w:fill="auto"/>
            <w:vAlign w:val="center"/>
          </w:tcPr>
          <w:p w14:paraId="748D7783" w14:textId="77777777" w:rsidR="00CB1A27" w:rsidRPr="00D96C74" w:rsidRDefault="00CB1A27" w:rsidP="00B00391">
            <w:pPr>
              <w:pStyle w:val="Text1"/>
              <w:spacing w:beforeLines="20" w:before="48" w:afterLines="20" w:after="48"/>
              <w:ind w:left="136"/>
              <w:jc w:val="left"/>
              <w:rPr>
                <w:noProof/>
                <w:sz w:val="16"/>
              </w:rPr>
            </w:pPr>
            <w:r w:rsidRPr="00D020C3">
              <w:rPr>
                <w:noProof/>
                <w:sz w:val="16"/>
              </w:rPr>
              <w:t>20</w:t>
            </w:r>
            <w:r w:rsidRPr="00D96C74">
              <w:rPr>
                <w:noProof/>
                <w:sz w:val="16"/>
              </w:rPr>
              <w:t xml:space="preserve"> </w:t>
            </w:r>
            <w:r w:rsidRPr="00D020C3">
              <w:rPr>
                <w:noProof/>
                <w:sz w:val="16"/>
              </w:rPr>
              <w:t>02</w:t>
            </w:r>
            <w:r w:rsidRPr="00D96C74">
              <w:rPr>
                <w:noProof/>
                <w:sz w:val="16"/>
              </w:rPr>
              <w:t xml:space="preserve"> </w:t>
            </w:r>
            <w:r w:rsidRPr="00D020C3">
              <w:rPr>
                <w:noProof/>
                <w:sz w:val="16"/>
              </w:rPr>
              <w:t>03</w:t>
            </w:r>
            <w:r w:rsidRPr="00D96C74">
              <w:rPr>
                <w:noProof/>
                <w:sz w:val="16"/>
              </w:rPr>
              <w:t xml:space="preserve"> (AC, AL, END, INT și JPD în delegații)</w:t>
            </w:r>
          </w:p>
        </w:tc>
        <w:tc>
          <w:tcPr>
            <w:tcW w:w="731" w:type="dxa"/>
            <w:shd w:val="clear" w:color="auto" w:fill="auto"/>
            <w:vAlign w:val="center"/>
          </w:tcPr>
          <w:p w14:paraId="722ED299"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09523B16"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32B16614"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5AA5D1C0" w14:textId="77777777" w:rsidR="00CB1A27" w:rsidRPr="00D96C74" w:rsidRDefault="00CB1A27" w:rsidP="00B00391">
            <w:pPr>
              <w:spacing w:beforeLines="20" w:before="48" w:afterLines="20" w:after="48"/>
              <w:jc w:val="center"/>
              <w:rPr>
                <w:noProof/>
                <w:sz w:val="16"/>
                <w:szCs w:val="16"/>
              </w:rPr>
            </w:pPr>
          </w:p>
        </w:tc>
        <w:tc>
          <w:tcPr>
            <w:tcW w:w="2193" w:type="dxa"/>
          </w:tcPr>
          <w:p w14:paraId="266C8D57" w14:textId="77777777" w:rsidR="00CB1A27" w:rsidRPr="00D96C74" w:rsidRDefault="00CB1A27" w:rsidP="00B00391">
            <w:pPr>
              <w:spacing w:beforeLines="20" w:before="48" w:afterLines="20" w:after="48"/>
              <w:jc w:val="center"/>
              <w:rPr>
                <w:noProof/>
                <w:sz w:val="16"/>
                <w:szCs w:val="16"/>
              </w:rPr>
            </w:pPr>
          </w:p>
        </w:tc>
      </w:tr>
      <w:tr w:rsidR="00CB1A27" w:rsidRPr="00D96C74" w14:paraId="21F19A7C" w14:textId="77777777" w:rsidTr="1BD3479F">
        <w:trPr>
          <w:gridBefore w:val="1"/>
          <w:wBefore w:w="15" w:type="dxa"/>
          <w:trHeight w:val="289"/>
          <w:jc w:val="center"/>
        </w:trPr>
        <w:tc>
          <w:tcPr>
            <w:tcW w:w="2376" w:type="dxa"/>
            <w:gridSpan w:val="3"/>
            <w:vMerge w:val="restart"/>
            <w:shd w:val="clear" w:color="auto" w:fill="auto"/>
            <w:vAlign w:val="center"/>
          </w:tcPr>
          <w:p w14:paraId="4B438D57" w14:textId="77777777" w:rsidR="00CB1A27" w:rsidRPr="00D020C3" w:rsidRDefault="1B03D677" w:rsidP="00B00391">
            <w:pPr>
              <w:pStyle w:val="Text1"/>
              <w:spacing w:beforeLines="20" w:before="48" w:afterLines="20" w:after="48"/>
              <w:ind w:left="136"/>
              <w:jc w:val="left"/>
              <w:rPr>
                <w:b/>
                <w:noProof/>
                <w:sz w:val="16"/>
                <w:szCs w:val="16"/>
              </w:rPr>
            </w:pPr>
            <w:r w:rsidRPr="00D020C3">
              <w:rPr>
                <w:b/>
                <w:noProof/>
                <w:sz w:val="16"/>
              </w:rPr>
              <w:t>XX</w:t>
            </w:r>
            <w:r w:rsidRPr="00D96C74">
              <w:rPr>
                <w:noProof/>
                <w:sz w:val="16"/>
              </w:rPr>
              <w:t xml:space="preserve"> </w:t>
            </w:r>
            <w:r w:rsidRPr="00D020C3">
              <w:rPr>
                <w:noProof/>
                <w:sz w:val="16"/>
              </w:rPr>
              <w:t>01</w:t>
            </w:r>
            <w:r w:rsidRPr="00D96C74">
              <w:rPr>
                <w:noProof/>
                <w:sz w:val="16"/>
              </w:rPr>
              <w:t xml:space="preserve">  xx </w:t>
            </w:r>
            <w:r w:rsidRPr="00D020C3">
              <w:rPr>
                <w:b/>
                <w:noProof/>
                <w:sz w:val="16"/>
              </w:rPr>
              <w:t xml:space="preserve">yy zz </w:t>
            </w:r>
            <w:r w:rsidRPr="008D4D1E">
              <w:rPr>
                <w:b/>
                <w:i/>
                <w:noProof/>
                <w:sz w:val="16"/>
              </w:rPr>
              <w:t xml:space="preserve"> </w:t>
            </w:r>
            <w:r w:rsidRPr="008D4D1E">
              <w:rPr>
                <w:rStyle w:val="FootnoteReference"/>
                <w:b/>
                <w:bCs/>
                <w:i/>
                <w:iCs/>
                <w:noProof/>
                <w:sz w:val="16"/>
                <w:szCs w:val="16"/>
              </w:rPr>
              <w:footnoteReference w:id="95"/>
            </w:r>
          </w:p>
          <w:p w14:paraId="79921493" w14:textId="77777777" w:rsidR="00CB1A27" w:rsidRPr="00D020C3" w:rsidRDefault="00CB1A27" w:rsidP="00B00391">
            <w:pPr>
              <w:pStyle w:val="Text1"/>
              <w:spacing w:beforeLines="20" w:before="48" w:afterLines="20" w:after="48"/>
              <w:ind w:left="136"/>
              <w:jc w:val="left"/>
              <w:rPr>
                <w:b/>
                <w:noProof/>
                <w:sz w:val="16"/>
                <w:szCs w:val="16"/>
              </w:rPr>
            </w:pPr>
          </w:p>
        </w:tc>
        <w:tc>
          <w:tcPr>
            <w:tcW w:w="2378" w:type="dxa"/>
            <w:shd w:val="clear" w:color="auto" w:fill="auto"/>
            <w:vAlign w:val="center"/>
          </w:tcPr>
          <w:p w14:paraId="742C40AA" w14:textId="77777777" w:rsidR="00CB1A27" w:rsidRPr="00D020C3" w:rsidRDefault="00CB1A27" w:rsidP="00B00391">
            <w:pPr>
              <w:pStyle w:val="Text1"/>
              <w:spacing w:beforeLines="20" w:before="48" w:afterLines="20" w:after="48"/>
              <w:ind w:left="136"/>
              <w:jc w:val="left"/>
              <w:rPr>
                <w:b/>
                <w:noProof/>
                <w:sz w:val="16"/>
                <w:szCs w:val="16"/>
              </w:rPr>
            </w:pPr>
            <w:r w:rsidRPr="00D96C74">
              <w:rPr>
                <w:noProof/>
                <w:sz w:val="16"/>
              </w:rPr>
              <w:t>- la sediu</w:t>
            </w:r>
          </w:p>
          <w:p w14:paraId="60B99DEF" w14:textId="77777777" w:rsidR="00CB1A27" w:rsidRPr="00D020C3" w:rsidRDefault="00CB1A27" w:rsidP="00B00391">
            <w:pPr>
              <w:pStyle w:val="Text1"/>
              <w:spacing w:beforeLines="20" w:before="48" w:afterLines="20" w:after="48"/>
              <w:ind w:left="136"/>
              <w:jc w:val="left"/>
              <w:rPr>
                <w:b/>
                <w:noProof/>
                <w:sz w:val="16"/>
                <w:szCs w:val="16"/>
              </w:rPr>
            </w:pPr>
          </w:p>
        </w:tc>
        <w:tc>
          <w:tcPr>
            <w:tcW w:w="731" w:type="dxa"/>
            <w:shd w:val="clear" w:color="auto" w:fill="auto"/>
            <w:vAlign w:val="center"/>
          </w:tcPr>
          <w:p w14:paraId="4BECD47B" w14:textId="77777777" w:rsidR="00CB1A27" w:rsidRPr="00D96C74" w:rsidRDefault="00CB1A27" w:rsidP="00B00391">
            <w:pPr>
              <w:pStyle w:val="Text1"/>
              <w:spacing w:beforeLines="20" w:before="48" w:afterLines="20" w:after="48"/>
              <w:ind w:left="0"/>
              <w:rPr>
                <w:noProof/>
                <w:sz w:val="16"/>
                <w:szCs w:val="16"/>
              </w:rPr>
            </w:pPr>
          </w:p>
        </w:tc>
        <w:tc>
          <w:tcPr>
            <w:tcW w:w="731" w:type="dxa"/>
            <w:shd w:val="clear" w:color="auto" w:fill="auto"/>
            <w:vAlign w:val="center"/>
          </w:tcPr>
          <w:p w14:paraId="57A059C9"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3DA14B76"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6FD8C6BB" w14:textId="77777777" w:rsidR="00CB1A27" w:rsidRPr="00D96C74" w:rsidRDefault="00CB1A27" w:rsidP="00B00391">
            <w:pPr>
              <w:spacing w:beforeLines="20" w:before="48" w:afterLines="20" w:after="48"/>
              <w:jc w:val="center"/>
              <w:rPr>
                <w:noProof/>
                <w:sz w:val="16"/>
                <w:szCs w:val="16"/>
              </w:rPr>
            </w:pPr>
          </w:p>
        </w:tc>
        <w:tc>
          <w:tcPr>
            <w:tcW w:w="2193" w:type="dxa"/>
          </w:tcPr>
          <w:p w14:paraId="6A4CDE1B" w14:textId="77777777" w:rsidR="00CB1A27" w:rsidRPr="00D96C74" w:rsidRDefault="00CB1A27" w:rsidP="00B00391">
            <w:pPr>
              <w:spacing w:beforeLines="20" w:before="48" w:afterLines="20" w:after="48"/>
              <w:jc w:val="center"/>
              <w:rPr>
                <w:noProof/>
                <w:sz w:val="16"/>
                <w:szCs w:val="16"/>
              </w:rPr>
            </w:pPr>
          </w:p>
        </w:tc>
      </w:tr>
      <w:tr w:rsidR="00CB1A27" w:rsidRPr="00D96C74" w14:paraId="135763CC" w14:textId="77777777" w:rsidTr="1BD3479F">
        <w:trPr>
          <w:gridBefore w:val="1"/>
          <w:wBefore w:w="15" w:type="dxa"/>
          <w:trHeight w:val="289"/>
          <w:jc w:val="center"/>
        </w:trPr>
        <w:tc>
          <w:tcPr>
            <w:tcW w:w="2376" w:type="dxa"/>
            <w:gridSpan w:val="3"/>
            <w:vMerge/>
            <w:vAlign w:val="center"/>
          </w:tcPr>
          <w:p w14:paraId="4CC0575F" w14:textId="77777777" w:rsidR="00CB1A27" w:rsidRPr="00D020C3" w:rsidRDefault="00CB1A27" w:rsidP="00B00391">
            <w:pPr>
              <w:pStyle w:val="Text1"/>
              <w:spacing w:beforeLines="20" w:before="48" w:afterLines="20" w:after="48"/>
              <w:ind w:left="136"/>
              <w:jc w:val="left"/>
              <w:rPr>
                <w:b/>
                <w:noProof/>
                <w:sz w:val="16"/>
                <w:szCs w:val="16"/>
              </w:rPr>
            </w:pPr>
          </w:p>
        </w:tc>
        <w:tc>
          <w:tcPr>
            <w:tcW w:w="2378" w:type="dxa"/>
            <w:shd w:val="clear" w:color="auto" w:fill="auto"/>
            <w:vAlign w:val="center"/>
          </w:tcPr>
          <w:p w14:paraId="09E4A691" w14:textId="77777777" w:rsidR="00CB1A27" w:rsidRPr="00D020C3" w:rsidRDefault="00CB1A27" w:rsidP="00B00391">
            <w:pPr>
              <w:pStyle w:val="Text1"/>
              <w:spacing w:beforeLines="20" w:before="48" w:afterLines="20" w:after="48"/>
              <w:ind w:left="136"/>
              <w:jc w:val="left"/>
              <w:rPr>
                <w:b/>
                <w:noProof/>
                <w:sz w:val="16"/>
                <w:szCs w:val="16"/>
              </w:rPr>
            </w:pPr>
            <w:r w:rsidRPr="00D96C74">
              <w:rPr>
                <w:noProof/>
                <w:sz w:val="16"/>
              </w:rPr>
              <w:t xml:space="preserve">- în delegații </w:t>
            </w:r>
          </w:p>
        </w:tc>
        <w:tc>
          <w:tcPr>
            <w:tcW w:w="731" w:type="dxa"/>
            <w:shd w:val="clear" w:color="auto" w:fill="auto"/>
            <w:vAlign w:val="center"/>
          </w:tcPr>
          <w:p w14:paraId="23D6ADFE" w14:textId="77777777" w:rsidR="00CB1A27" w:rsidRPr="00D96C74" w:rsidRDefault="00CB1A27" w:rsidP="00B00391">
            <w:pPr>
              <w:pStyle w:val="Text1"/>
              <w:spacing w:beforeLines="20" w:before="48" w:afterLines="20" w:after="48"/>
              <w:ind w:left="0"/>
              <w:rPr>
                <w:noProof/>
                <w:sz w:val="16"/>
                <w:szCs w:val="16"/>
              </w:rPr>
            </w:pPr>
          </w:p>
        </w:tc>
        <w:tc>
          <w:tcPr>
            <w:tcW w:w="731" w:type="dxa"/>
            <w:shd w:val="clear" w:color="auto" w:fill="auto"/>
            <w:vAlign w:val="center"/>
          </w:tcPr>
          <w:p w14:paraId="7DDDAE47"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3C73E529"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452B2A0A" w14:textId="77777777" w:rsidR="00CB1A27" w:rsidRPr="00D96C74" w:rsidRDefault="00CB1A27" w:rsidP="00B00391">
            <w:pPr>
              <w:spacing w:beforeLines="20" w:before="48" w:afterLines="20" w:after="48"/>
              <w:jc w:val="center"/>
              <w:rPr>
                <w:noProof/>
                <w:sz w:val="16"/>
                <w:szCs w:val="16"/>
              </w:rPr>
            </w:pPr>
          </w:p>
        </w:tc>
        <w:tc>
          <w:tcPr>
            <w:tcW w:w="2193" w:type="dxa"/>
          </w:tcPr>
          <w:p w14:paraId="23F89ACD" w14:textId="77777777" w:rsidR="00CB1A27" w:rsidRPr="00D96C74" w:rsidRDefault="00CB1A27" w:rsidP="00B00391">
            <w:pPr>
              <w:spacing w:beforeLines="20" w:before="48" w:afterLines="20" w:after="48"/>
              <w:jc w:val="center"/>
              <w:rPr>
                <w:noProof/>
                <w:sz w:val="16"/>
                <w:szCs w:val="16"/>
              </w:rPr>
            </w:pPr>
          </w:p>
        </w:tc>
      </w:tr>
      <w:tr w:rsidR="00CB1A27" w:rsidRPr="00D96C74" w14:paraId="2FF82FC0" w14:textId="77777777" w:rsidTr="1BD3479F">
        <w:trPr>
          <w:gridBefore w:val="1"/>
          <w:wBefore w:w="15" w:type="dxa"/>
          <w:trHeight w:val="289"/>
          <w:jc w:val="center"/>
        </w:trPr>
        <w:tc>
          <w:tcPr>
            <w:tcW w:w="4754" w:type="dxa"/>
            <w:gridSpan w:val="4"/>
            <w:shd w:val="clear" w:color="auto" w:fill="auto"/>
            <w:vAlign w:val="center"/>
          </w:tcPr>
          <w:p w14:paraId="1A9C3ADD" w14:textId="77777777" w:rsidR="00CB1A27" w:rsidRPr="00D96C74" w:rsidRDefault="00CB1A27" w:rsidP="00B00391">
            <w:pPr>
              <w:pStyle w:val="Text1"/>
              <w:spacing w:beforeLines="20" w:before="48" w:afterLines="20" w:after="48"/>
              <w:ind w:left="136"/>
              <w:jc w:val="left"/>
              <w:rPr>
                <w:noProof/>
                <w:sz w:val="16"/>
                <w:szCs w:val="16"/>
              </w:rPr>
            </w:pPr>
            <w:r w:rsidRPr="00D020C3">
              <w:rPr>
                <w:noProof/>
                <w:sz w:val="16"/>
              </w:rPr>
              <w:t>01</w:t>
            </w:r>
            <w:r w:rsidRPr="00D96C74">
              <w:rPr>
                <w:noProof/>
                <w:sz w:val="16"/>
              </w:rPr>
              <w:t xml:space="preserve"> </w:t>
            </w:r>
            <w:r w:rsidRPr="00D020C3">
              <w:rPr>
                <w:noProof/>
                <w:sz w:val="16"/>
              </w:rPr>
              <w:t>01</w:t>
            </w:r>
            <w:r w:rsidRPr="00D96C74">
              <w:rPr>
                <w:noProof/>
                <w:sz w:val="16"/>
              </w:rPr>
              <w:t xml:space="preserve"> </w:t>
            </w:r>
            <w:r w:rsidRPr="00D020C3">
              <w:rPr>
                <w:noProof/>
                <w:sz w:val="16"/>
              </w:rPr>
              <w:t>01</w:t>
            </w:r>
            <w:r w:rsidRPr="00D96C74">
              <w:rPr>
                <w:noProof/>
                <w:sz w:val="16"/>
              </w:rPr>
              <w:t xml:space="preserve"> </w:t>
            </w:r>
            <w:r w:rsidRPr="00D020C3">
              <w:rPr>
                <w:noProof/>
                <w:sz w:val="16"/>
              </w:rPr>
              <w:t>02</w:t>
            </w:r>
            <w:r w:rsidRPr="00D96C74">
              <w:rPr>
                <w:rFonts w:ascii="Arial Narrow" w:hAnsi="Arial Narrow"/>
                <w:noProof/>
                <w:color w:val="000000"/>
                <w:sz w:val="20"/>
              </w:rPr>
              <w:t xml:space="preserve"> </w:t>
            </w:r>
            <w:r w:rsidRPr="00D96C74">
              <w:rPr>
                <w:noProof/>
                <w:sz w:val="16"/>
              </w:rPr>
              <w:t>(AC, END, INT – cercetare indirectă)</w:t>
            </w:r>
          </w:p>
        </w:tc>
        <w:tc>
          <w:tcPr>
            <w:tcW w:w="731" w:type="dxa"/>
            <w:shd w:val="clear" w:color="auto" w:fill="auto"/>
            <w:vAlign w:val="center"/>
          </w:tcPr>
          <w:p w14:paraId="768AFB23"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4CD15929"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16566605"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0B94856B" w14:textId="77777777" w:rsidR="00CB1A27" w:rsidRPr="00D96C74" w:rsidRDefault="00CB1A27" w:rsidP="00B00391">
            <w:pPr>
              <w:spacing w:beforeLines="20" w:before="48" w:afterLines="20" w:after="48"/>
              <w:jc w:val="center"/>
              <w:rPr>
                <w:noProof/>
                <w:sz w:val="16"/>
                <w:szCs w:val="16"/>
              </w:rPr>
            </w:pPr>
          </w:p>
        </w:tc>
        <w:tc>
          <w:tcPr>
            <w:tcW w:w="2193" w:type="dxa"/>
          </w:tcPr>
          <w:p w14:paraId="5BCF04CE" w14:textId="77777777" w:rsidR="00CB1A27" w:rsidRPr="00D96C74" w:rsidRDefault="00CB1A27" w:rsidP="00B00391">
            <w:pPr>
              <w:spacing w:beforeLines="20" w:before="48" w:afterLines="20" w:after="48"/>
              <w:jc w:val="center"/>
              <w:rPr>
                <w:noProof/>
                <w:sz w:val="16"/>
                <w:szCs w:val="16"/>
              </w:rPr>
            </w:pPr>
          </w:p>
        </w:tc>
      </w:tr>
      <w:tr w:rsidR="00CB1A27" w:rsidRPr="00D96C74" w14:paraId="7017EC71" w14:textId="77777777" w:rsidTr="1BD3479F">
        <w:trPr>
          <w:gridBefore w:val="1"/>
          <w:wBefore w:w="15" w:type="dxa"/>
          <w:trHeight w:val="289"/>
          <w:jc w:val="center"/>
        </w:trPr>
        <w:tc>
          <w:tcPr>
            <w:tcW w:w="4754" w:type="dxa"/>
            <w:gridSpan w:val="4"/>
            <w:shd w:val="clear" w:color="auto" w:fill="auto"/>
            <w:vAlign w:val="center"/>
          </w:tcPr>
          <w:p w14:paraId="5F4C9537" w14:textId="77777777" w:rsidR="00CB1A27" w:rsidRPr="00D96C74" w:rsidRDefault="00CB1A27" w:rsidP="00B00391">
            <w:pPr>
              <w:pStyle w:val="Text1"/>
              <w:spacing w:beforeLines="20" w:before="48" w:afterLines="20" w:after="48"/>
              <w:ind w:left="136"/>
              <w:jc w:val="left"/>
              <w:rPr>
                <w:noProof/>
                <w:color w:val="FF0000"/>
                <w:sz w:val="16"/>
                <w:szCs w:val="16"/>
              </w:rPr>
            </w:pPr>
            <w:r w:rsidRPr="00D96C74">
              <w:rPr>
                <w:noProof/>
                <w:sz w:val="16"/>
              </w:rPr>
              <w:t xml:space="preserve"> </w:t>
            </w:r>
            <w:r w:rsidRPr="00D020C3">
              <w:rPr>
                <w:noProof/>
                <w:sz w:val="16"/>
              </w:rPr>
              <w:t>01</w:t>
            </w:r>
            <w:r w:rsidRPr="00D96C74">
              <w:rPr>
                <w:noProof/>
                <w:sz w:val="16"/>
              </w:rPr>
              <w:t xml:space="preserve"> </w:t>
            </w:r>
            <w:r w:rsidRPr="00D020C3">
              <w:rPr>
                <w:noProof/>
                <w:sz w:val="16"/>
              </w:rPr>
              <w:t>01</w:t>
            </w:r>
            <w:r w:rsidRPr="00D96C74">
              <w:rPr>
                <w:noProof/>
                <w:sz w:val="16"/>
              </w:rPr>
              <w:t xml:space="preserve"> </w:t>
            </w:r>
            <w:r w:rsidRPr="00D020C3">
              <w:rPr>
                <w:noProof/>
                <w:sz w:val="16"/>
              </w:rPr>
              <w:t>01</w:t>
            </w:r>
            <w:r w:rsidRPr="00D96C74">
              <w:rPr>
                <w:noProof/>
                <w:sz w:val="16"/>
              </w:rPr>
              <w:t xml:space="preserve"> </w:t>
            </w:r>
            <w:r w:rsidRPr="00D020C3">
              <w:rPr>
                <w:noProof/>
                <w:sz w:val="16"/>
              </w:rPr>
              <w:t>12</w:t>
            </w:r>
            <w:r w:rsidRPr="00D96C74">
              <w:rPr>
                <w:noProof/>
                <w:sz w:val="16"/>
              </w:rPr>
              <w:t xml:space="preserve"> (AC, END, INT – cercetare directă)</w:t>
            </w:r>
          </w:p>
        </w:tc>
        <w:tc>
          <w:tcPr>
            <w:tcW w:w="731" w:type="dxa"/>
            <w:shd w:val="clear" w:color="auto" w:fill="auto"/>
            <w:vAlign w:val="center"/>
          </w:tcPr>
          <w:p w14:paraId="18054F3A"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1EBD1B4B"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57CCE110"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69E31454" w14:textId="77777777" w:rsidR="00CB1A27" w:rsidRPr="00D96C74" w:rsidRDefault="00CB1A27" w:rsidP="00B00391">
            <w:pPr>
              <w:spacing w:beforeLines="20" w:before="48" w:afterLines="20" w:after="48"/>
              <w:jc w:val="center"/>
              <w:rPr>
                <w:noProof/>
                <w:sz w:val="16"/>
                <w:szCs w:val="16"/>
              </w:rPr>
            </w:pPr>
          </w:p>
        </w:tc>
        <w:tc>
          <w:tcPr>
            <w:tcW w:w="2193" w:type="dxa"/>
          </w:tcPr>
          <w:p w14:paraId="478FBB79" w14:textId="77777777" w:rsidR="00CB1A27" w:rsidRPr="00D96C74" w:rsidRDefault="00CB1A27" w:rsidP="00B00391">
            <w:pPr>
              <w:spacing w:beforeLines="20" w:before="48" w:afterLines="20" w:after="48"/>
              <w:jc w:val="center"/>
              <w:rPr>
                <w:noProof/>
                <w:sz w:val="16"/>
                <w:szCs w:val="16"/>
              </w:rPr>
            </w:pPr>
          </w:p>
        </w:tc>
      </w:tr>
      <w:tr w:rsidR="00CB1A27" w:rsidRPr="00D96C74" w14:paraId="72B44072" w14:textId="77777777" w:rsidTr="1BD3479F">
        <w:trPr>
          <w:gridBefore w:val="1"/>
          <w:wBefore w:w="15" w:type="dxa"/>
          <w:trHeight w:val="289"/>
          <w:jc w:val="center"/>
        </w:trPr>
        <w:tc>
          <w:tcPr>
            <w:tcW w:w="4754" w:type="dxa"/>
            <w:gridSpan w:val="4"/>
            <w:shd w:val="clear" w:color="auto" w:fill="auto"/>
            <w:vAlign w:val="center"/>
          </w:tcPr>
          <w:p w14:paraId="60D6A2EF" w14:textId="77777777" w:rsidR="00CB1A27" w:rsidRPr="00D96C74" w:rsidRDefault="00CB1A27" w:rsidP="00B00391">
            <w:pPr>
              <w:pStyle w:val="Text1"/>
              <w:spacing w:beforeLines="20" w:before="48" w:afterLines="20" w:after="48"/>
              <w:ind w:left="136"/>
              <w:jc w:val="left"/>
              <w:rPr>
                <w:noProof/>
                <w:sz w:val="16"/>
              </w:rPr>
            </w:pPr>
            <w:r w:rsidRPr="00D96C74">
              <w:rPr>
                <w:noProof/>
                <w:sz w:val="16"/>
              </w:rPr>
              <w:t>Alte linii bugetare (a se preciza)</w:t>
            </w:r>
          </w:p>
        </w:tc>
        <w:tc>
          <w:tcPr>
            <w:tcW w:w="731" w:type="dxa"/>
            <w:shd w:val="clear" w:color="auto" w:fill="auto"/>
            <w:vAlign w:val="center"/>
          </w:tcPr>
          <w:p w14:paraId="25359CA4"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14C7160C"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34A5955D" w14:textId="77777777" w:rsidR="00CB1A27" w:rsidRPr="00D96C74" w:rsidRDefault="00CB1A27" w:rsidP="00B00391">
            <w:pPr>
              <w:spacing w:beforeLines="20" w:before="48" w:afterLines="20" w:after="48"/>
              <w:jc w:val="center"/>
              <w:rPr>
                <w:noProof/>
                <w:sz w:val="16"/>
                <w:szCs w:val="16"/>
              </w:rPr>
            </w:pPr>
          </w:p>
        </w:tc>
        <w:tc>
          <w:tcPr>
            <w:tcW w:w="731" w:type="dxa"/>
            <w:shd w:val="clear" w:color="auto" w:fill="auto"/>
            <w:vAlign w:val="center"/>
          </w:tcPr>
          <w:p w14:paraId="4F5FE3CE" w14:textId="77777777" w:rsidR="00CB1A27" w:rsidRPr="00D96C74" w:rsidRDefault="00CB1A27" w:rsidP="00B00391">
            <w:pPr>
              <w:spacing w:beforeLines="20" w:before="48" w:afterLines="20" w:after="48"/>
              <w:jc w:val="center"/>
              <w:rPr>
                <w:noProof/>
                <w:sz w:val="16"/>
                <w:szCs w:val="16"/>
              </w:rPr>
            </w:pPr>
          </w:p>
        </w:tc>
        <w:tc>
          <w:tcPr>
            <w:tcW w:w="2193" w:type="dxa"/>
          </w:tcPr>
          <w:p w14:paraId="2CB33991" w14:textId="77777777" w:rsidR="00CB1A27" w:rsidRPr="00D96C74" w:rsidRDefault="00CB1A27" w:rsidP="00B00391">
            <w:pPr>
              <w:spacing w:beforeLines="20" w:before="48" w:afterLines="20" w:after="48"/>
              <w:jc w:val="center"/>
              <w:rPr>
                <w:noProof/>
                <w:sz w:val="16"/>
                <w:szCs w:val="16"/>
              </w:rPr>
            </w:pPr>
          </w:p>
        </w:tc>
      </w:tr>
      <w:tr w:rsidR="00CB1A27" w:rsidRPr="00D96C74" w14:paraId="196D3830" w14:textId="77777777" w:rsidTr="1BD3479F">
        <w:trPr>
          <w:gridBefore w:val="1"/>
          <w:wBefore w:w="15" w:type="dxa"/>
          <w:trHeight w:val="289"/>
          <w:jc w:val="center"/>
        </w:trPr>
        <w:tc>
          <w:tcPr>
            <w:tcW w:w="4754" w:type="dxa"/>
            <w:gridSpan w:val="4"/>
            <w:tcBorders>
              <w:top w:val="double" w:sz="4" w:space="0" w:color="auto"/>
            </w:tcBorders>
            <w:shd w:val="clear" w:color="auto" w:fill="auto"/>
            <w:vAlign w:val="center"/>
          </w:tcPr>
          <w:p w14:paraId="08194E47" w14:textId="77777777" w:rsidR="00CB1A27" w:rsidRPr="00D96C74" w:rsidRDefault="00CB1A27" w:rsidP="00CB1A27">
            <w:pPr>
              <w:pStyle w:val="Text1"/>
              <w:spacing w:beforeLines="20" w:before="48" w:afterLines="20" w:after="48"/>
              <w:ind w:left="136"/>
              <w:jc w:val="left"/>
              <w:rPr>
                <w:noProof/>
                <w:sz w:val="16"/>
                <w:szCs w:val="16"/>
              </w:rPr>
            </w:pPr>
            <w:r w:rsidRPr="00D020C3">
              <w:rPr>
                <w:b/>
                <w:noProof/>
                <w:sz w:val="16"/>
              </w:rPr>
              <w:t>TOTAL</w:t>
            </w:r>
          </w:p>
        </w:tc>
        <w:tc>
          <w:tcPr>
            <w:tcW w:w="731" w:type="dxa"/>
            <w:tcBorders>
              <w:top w:val="double" w:sz="4" w:space="0" w:color="auto"/>
            </w:tcBorders>
            <w:shd w:val="clear" w:color="auto" w:fill="auto"/>
            <w:vAlign w:val="center"/>
          </w:tcPr>
          <w:p w14:paraId="4DDCACD2" w14:textId="77777777" w:rsidR="00CB1A27" w:rsidRPr="00D020C3" w:rsidRDefault="005F41FD" w:rsidP="00CB1A27">
            <w:pPr>
              <w:spacing w:beforeLines="20" w:before="48" w:afterLines="20" w:after="48"/>
              <w:jc w:val="center"/>
              <w:rPr>
                <w:b/>
                <w:noProof/>
                <w:sz w:val="16"/>
                <w:szCs w:val="16"/>
              </w:rPr>
            </w:pPr>
            <w:r w:rsidRPr="00D020C3">
              <w:rPr>
                <w:b/>
                <w:noProof/>
                <w:sz w:val="16"/>
              </w:rPr>
              <w:t>1,5</w:t>
            </w:r>
          </w:p>
        </w:tc>
        <w:tc>
          <w:tcPr>
            <w:tcW w:w="731" w:type="dxa"/>
            <w:tcBorders>
              <w:top w:val="double" w:sz="4" w:space="0" w:color="auto"/>
            </w:tcBorders>
            <w:shd w:val="clear" w:color="auto" w:fill="auto"/>
            <w:vAlign w:val="center"/>
          </w:tcPr>
          <w:p w14:paraId="25DEC284" w14:textId="1EDE7E67" w:rsidR="00CB1A27" w:rsidRPr="00D020C3" w:rsidRDefault="00C85F36" w:rsidP="00CB1A27">
            <w:pPr>
              <w:spacing w:beforeLines="20" w:before="48" w:afterLines="20" w:after="48"/>
              <w:jc w:val="center"/>
              <w:rPr>
                <w:b/>
                <w:noProof/>
                <w:sz w:val="16"/>
                <w:szCs w:val="16"/>
              </w:rPr>
            </w:pPr>
            <w:r w:rsidRPr="00D020C3">
              <w:rPr>
                <w:rStyle w:val="normaltextrun"/>
                <w:noProof/>
                <w:sz w:val="18"/>
              </w:rPr>
              <w:t>4</w:t>
            </w:r>
          </w:p>
        </w:tc>
        <w:tc>
          <w:tcPr>
            <w:tcW w:w="731" w:type="dxa"/>
            <w:tcBorders>
              <w:top w:val="double" w:sz="4" w:space="0" w:color="auto"/>
            </w:tcBorders>
            <w:shd w:val="clear" w:color="auto" w:fill="auto"/>
            <w:vAlign w:val="center"/>
          </w:tcPr>
          <w:p w14:paraId="6DD90DB4" w14:textId="58A3FF5F" w:rsidR="00CB1A27" w:rsidRPr="00D020C3" w:rsidRDefault="00C85F36" w:rsidP="00CB1A27">
            <w:pPr>
              <w:spacing w:beforeLines="20" w:before="48" w:afterLines="20" w:after="48"/>
              <w:jc w:val="center"/>
              <w:rPr>
                <w:b/>
                <w:noProof/>
                <w:sz w:val="16"/>
                <w:szCs w:val="16"/>
              </w:rPr>
            </w:pPr>
            <w:r w:rsidRPr="00D020C3">
              <w:rPr>
                <w:rStyle w:val="normaltextrun"/>
                <w:noProof/>
                <w:sz w:val="18"/>
              </w:rPr>
              <w:t>4</w:t>
            </w:r>
          </w:p>
        </w:tc>
        <w:tc>
          <w:tcPr>
            <w:tcW w:w="731" w:type="dxa"/>
            <w:tcBorders>
              <w:top w:val="double" w:sz="4" w:space="0" w:color="auto"/>
            </w:tcBorders>
            <w:shd w:val="clear" w:color="auto" w:fill="auto"/>
            <w:vAlign w:val="center"/>
          </w:tcPr>
          <w:p w14:paraId="3AEFA4BB" w14:textId="2688C411" w:rsidR="00CB1A27" w:rsidRPr="00D020C3" w:rsidRDefault="00C85F36" w:rsidP="00CB1A27">
            <w:pPr>
              <w:spacing w:beforeLines="20" w:before="48" w:afterLines="20" w:after="48"/>
              <w:jc w:val="center"/>
              <w:rPr>
                <w:b/>
                <w:noProof/>
                <w:sz w:val="16"/>
                <w:szCs w:val="16"/>
              </w:rPr>
            </w:pPr>
            <w:r w:rsidRPr="00D020C3">
              <w:rPr>
                <w:rStyle w:val="normaltextrun"/>
                <w:noProof/>
                <w:sz w:val="18"/>
              </w:rPr>
              <w:t>4</w:t>
            </w:r>
          </w:p>
        </w:tc>
        <w:tc>
          <w:tcPr>
            <w:tcW w:w="2193" w:type="dxa"/>
            <w:tcBorders>
              <w:top w:val="double" w:sz="4" w:space="0" w:color="auto"/>
            </w:tcBorders>
            <w:vAlign w:val="center"/>
          </w:tcPr>
          <w:p w14:paraId="168F7AF8" w14:textId="67D690DF" w:rsidR="00CB1A27" w:rsidRPr="00D020C3" w:rsidRDefault="00C85F36" w:rsidP="00CB1A27">
            <w:pPr>
              <w:spacing w:beforeLines="20" w:before="48" w:afterLines="20" w:after="48"/>
              <w:jc w:val="center"/>
              <w:rPr>
                <w:b/>
                <w:noProof/>
                <w:sz w:val="16"/>
                <w:szCs w:val="16"/>
              </w:rPr>
            </w:pPr>
            <w:r w:rsidRPr="00D020C3">
              <w:rPr>
                <w:rStyle w:val="normaltextrun"/>
                <w:noProof/>
                <w:sz w:val="18"/>
              </w:rPr>
              <w:t>4</w:t>
            </w:r>
          </w:p>
        </w:tc>
      </w:tr>
    </w:tbl>
    <w:p w14:paraId="0E1156D8" w14:textId="77777777" w:rsidR="00BD152F" w:rsidRPr="00D96C74" w:rsidRDefault="00BD152F" w:rsidP="00B00391">
      <w:pPr>
        <w:pStyle w:val="Text1"/>
        <w:spacing w:before="60" w:after="60"/>
        <w:ind w:left="851"/>
        <w:rPr>
          <w:noProof/>
          <w:sz w:val="18"/>
          <w:szCs w:val="18"/>
        </w:rPr>
      </w:pPr>
      <w:r w:rsidRPr="00D020C3">
        <w:rPr>
          <w:b/>
          <w:noProof/>
          <w:sz w:val="18"/>
        </w:rPr>
        <w:t>XX</w:t>
      </w:r>
      <w:r w:rsidRPr="00D96C74">
        <w:rPr>
          <w:noProof/>
          <w:sz w:val="18"/>
        </w:rPr>
        <w:t xml:space="preserve"> este domeniul de politică sau titlul din buget în cauză.</w:t>
      </w:r>
    </w:p>
    <w:p w14:paraId="4A3D41EF" w14:textId="77777777" w:rsidR="00BD152F" w:rsidRPr="00D96C74" w:rsidRDefault="00BD152F" w:rsidP="00B00391">
      <w:pPr>
        <w:pStyle w:val="Text1"/>
        <w:rPr>
          <w:noProof/>
          <w:sz w:val="18"/>
          <w:szCs w:val="18"/>
        </w:rPr>
      </w:pPr>
      <w:r w:rsidRPr="00D96C74">
        <w:rPr>
          <w:noProof/>
          <w:sz w:val="18"/>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seama de constrângerile bugetare.</w:t>
      </w:r>
    </w:p>
    <w:p w14:paraId="2B1740C5" w14:textId="77777777" w:rsidR="00BD152F" w:rsidRPr="00D96C74" w:rsidRDefault="00BD152F" w:rsidP="00B00391">
      <w:pPr>
        <w:rPr>
          <w:noProof/>
          <w:sz w:val="20"/>
        </w:rPr>
      </w:pPr>
      <w:r w:rsidRPr="00D96C74">
        <w:rPr>
          <w:noProof/>
          <w:sz w:val="20"/>
        </w:rPr>
        <w:t>Descrierea sarcinilor care trebuie efectuate: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026B1D" w:rsidRPr="00D96C74" w14:paraId="049DD08B" w14:textId="77777777" w:rsidTr="00A10DCB">
        <w:tc>
          <w:tcPr>
            <w:tcW w:w="3240" w:type="dxa"/>
          </w:tcPr>
          <w:p w14:paraId="361CA254" w14:textId="77777777" w:rsidR="00BD152F" w:rsidRPr="00D96C74" w:rsidRDefault="00BD152F" w:rsidP="00B00391">
            <w:pPr>
              <w:rPr>
                <w:noProof/>
                <w:sz w:val="20"/>
              </w:rPr>
            </w:pPr>
            <w:r w:rsidRPr="00D96C74">
              <w:rPr>
                <w:noProof/>
                <w:sz w:val="20"/>
              </w:rPr>
              <w:t>Funcționari și personal temporar</w:t>
            </w:r>
          </w:p>
        </w:tc>
        <w:tc>
          <w:tcPr>
            <w:tcW w:w="7200" w:type="dxa"/>
          </w:tcPr>
          <w:p w14:paraId="038C456A" w14:textId="77777777" w:rsidR="005F41FD" w:rsidRPr="00D96C74" w:rsidRDefault="005F41FD" w:rsidP="005F41FD">
            <w:pPr>
              <w:spacing w:before="0" w:after="0"/>
              <w:textAlignment w:val="baseline"/>
              <w:rPr>
                <w:noProof/>
                <w:sz w:val="20"/>
              </w:rPr>
            </w:pPr>
            <w:r w:rsidRPr="00D96C74">
              <w:rPr>
                <w:noProof/>
                <w:sz w:val="20"/>
              </w:rPr>
              <w:t xml:space="preserve">DG ENV: </w:t>
            </w:r>
            <w:r w:rsidRPr="00D020C3">
              <w:rPr>
                <w:noProof/>
                <w:sz w:val="20"/>
              </w:rPr>
              <w:t>0</w:t>
            </w:r>
            <w:r w:rsidRPr="00D96C74">
              <w:rPr>
                <w:noProof/>
                <w:sz w:val="20"/>
              </w:rPr>
              <w:t>,</w:t>
            </w:r>
            <w:r w:rsidRPr="00D020C3">
              <w:rPr>
                <w:noProof/>
                <w:sz w:val="20"/>
              </w:rPr>
              <w:t>75</w:t>
            </w:r>
            <w:r w:rsidRPr="00D96C74">
              <w:rPr>
                <w:noProof/>
                <w:sz w:val="20"/>
              </w:rPr>
              <w:t xml:space="preserve"> ENI (AD) existente pentru codecizie și </w:t>
            </w:r>
            <w:r w:rsidRPr="00D020C3">
              <w:rPr>
                <w:noProof/>
                <w:sz w:val="20"/>
              </w:rPr>
              <w:t>0</w:t>
            </w:r>
            <w:r w:rsidRPr="00D96C74">
              <w:rPr>
                <w:noProof/>
                <w:sz w:val="20"/>
              </w:rPr>
              <w:t>,</w:t>
            </w:r>
            <w:r w:rsidRPr="00D020C3">
              <w:rPr>
                <w:noProof/>
                <w:sz w:val="20"/>
              </w:rPr>
              <w:t>33</w:t>
            </w:r>
            <w:r w:rsidRPr="00D96C74">
              <w:rPr>
                <w:noProof/>
                <w:sz w:val="20"/>
              </w:rPr>
              <w:t xml:space="preserve"> ENI (AD) existente pentru punerea în aplicare </w:t>
            </w:r>
          </w:p>
          <w:p w14:paraId="374F9F44" w14:textId="77777777" w:rsidR="00BD152F" w:rsidRPr="00D96C74" w:rsidRDefault="005F41FD" w:rsidP="005F41FD">
            <w:pPr>
              <w:pStyle w:val="paragraph"/>
              <w:spacing w:before="0" w:beforeAutospacing="0" w:after="0" w:afterAutospacing="0"/>
              <w:ind w:right="225"/>
              <w:jc w:val="both"/>
              <w:textAlignment w:val="baseline"/>
              <w:rPr>
                <w:noProof/>
                <w:sz w:val="20"/>
              </w:rPr>
            </w:pPr>
            <w:r w:rsidRPr="00D96C74">
              <w:rPr>
                <w:noProof/>
                <w:sz w:val="20"/>
              </w:rPr>
              <w:t xml:space="preserve">DG SANTE: </w:t>
            </w:r>
            <w:r w:rsidRPr="00D020C3">
              <w:rPr>
                <w:noProof/>
                <w:sz w:val="20"/>
              </w:rPr>
              <w:t>0</w:t>
            </w:r>
            <w:r w:rsidRPr="00D96C74">
              <w:rPr>
                <w:noProof/>
                <w:sz w:val="20"/>
              </w:rPr>
              <w:t>,</w:t>
            </w:r>
            <w:r w:rsidRPr="00D020C3">
              <w:rPr>
                <w:noProof/>
                <w:sz w:val="20"/>
              </w:rPr>
              <w:t>5</w:t>
            </w:r>
            <w:r w:rsidRPr="00D96C74">
              <w:rPr>
                <w:noProof/>
                <w:sz w:val="20"/>
              </w:rPr>
              <w:t xml:space="preserve"> ENI (AD) existente pentru codecizie și monitorizarea statelor membre.</w:t>
            </w:r>
          </w:p>
        </w:tc>
      </w:tr>
      <w:tr w:rsidR="00026B1D" w:rsidRPr="00D96C74" w14:paraId="325FCCF8" w14:textId="77777777" w:rsidTr="00A10DCB">
        <w:tc>
          <w:tcPr>
            <w:tcW w:w="3240" w:type="dxa"/>
          </w:tcPr>
          <w:p w14:paraId="355619FF" w14:textId="77777777" w:rsidR="00BD152F" w:rsidRPr="00D96C74" w:rsidRDefault="00BD152F" w:rsidP="00B00391">
            <w:pPr>
              <w:spacing w:before="60" w:after="60"/>
              <w:rPr>
                <w:noProof/>
                <w:sz w:val="20"/>
              </w:rPr>
            </w:pPr>
            <w:r w:rsidRPr="00D96C74">
              <w:rPr>
                <w:noProof/>
                <w:sz w:val="20"/>
              </w:rPr>
              <w:t>Personal extern</w:t>
            </w:r>
          </w:p>
        </w:tc>
        <w:tc>
          <w:tcPr>
            <w:tcW w:w="7200" w:type="dxa"/>
          </w:tcPr>
          <w:p w14:paraId="433019A3" w14:textId="3C75F75B" w:rsidR="005F41FD" w:rsidRPr="00D96C74" w:rsidRDefault="005F41FD" w:rsidP="005F41FD">
            <w:pPr>
              <w:pStyle w:val="paragraph"/>
              <w:spacing w:before="0" w:beforeAutospacing="0" w:after="0" w:afterAutospacing="0"/>
              <w:ind w:right="225"/>
              <w:jc w:val="both"/>
              <w:textAlignment w:val="baseline"/>
              <w:rPr>
                <w:rFonts w:ascii="Segoe UI" w:hAnsi="Segoe UI" w:cs="Segoe UI"/>
                <w:noProof/>
                <w:sz w:val="18"/>
                <w:szCs w:val="18"/>
              </w:rPr>
            </w:pPr>
            <w:r w:rsidRPr="00D96C74">
              <w:rPr>
                <w:noProof/>
                <w:sz w:val="20"/>
              </w:rPr>
              <w:t xml:space="preserve">DG ENV: Sunt necesari </w:t>
            </w:r>
            <w:r w:rsidRPr="00D020C3">
              <w:rPr>
                <w:noProof/>
                <w:sz w:val="20"/>
              </w:rPr>
              <w:t>3</w:t>
            </w:r>
            <w:r w:rsidRPr="00D96C74">
              <w:rPr>
                <w:noProof/>
                <w:sz w:val="20"/>
              </w:rPr>
              <w:t xml:space="preserve"> agenți contractuali suplimentari (</w:t>
            </w:r>
            <w:r w:rsidRPr="00D020C3">
              <w:rPr>
                <w:noProof/>
                <w:sz w:val="20"/>
              </w:rPr>
              <w:t>3</w:t>
            </w:r>
            <w:r w:rsidRPr="00D96C74">
              <w:rPr>
                <w:noProof/>
                <w:sz w:val="20"/>
              </w:rPr>
              <w:t xml:space="preserve"> AC) pentru a efectua lucrările de natură tehnică, care cuprind: </w:t>
            </w:r>
          </w:p>
          <w:p w14:paraId="27545F6D" w14:textId="77777777" w:rsidR="003056CA" w:rsidRPr="00D96C74" w:rsidRDefault="003056CA" w:rsidP="003056CA">
            <w:pPr>
              <w:spacing w:before="0" w:after="0"/>
              <w:ind w:right="225"/>
              <w:textAlignment w:val="baseline"/>
              <w:rPr>
                <w:rFonts w:eastAsia="Times New Roman"/>
                <w:noProof/>
                <w:sz w:val="20"/>
                <w:szCs w:val="20"/>
              </w:rPr>
            </w:pPr>
            <w:r w:rsidRPr="00D96C74">
              <w:rPr>
                <w:noProof/>
                <w:sz w:val="20"/>
              </w:rPr>
              <w:t>- Acte de punere în aplicare de stabilire a formatului armonizat pentru înregistrarea în registru </w:t>
            </w:r>
          </w:p>
          <w:p w14:paraId="6ADDB0F0" w14:textId="77777777" w:rsidR="005F41FD" w:rsidRPr="00D96C74" w:rsidRDefault="005F41FD" w:rsidP="005F41FD">
            <w:pPr>
              <w:spacing w:before="0" w:after="0"/>
              <w:ind w:right="225"/>
              <w:textAlignment w:val="baseline"/>
              <w:rPr>
                <w:rFonts w:ascii="Segoe UI" w:eastAsia="Times New Roman" w:hAnsi="Segoe UI" w:cs="Segoe UI"/>
                <w:noProof/>
                <w:sz w:val="18"/>
                <w:szCs w:val="18"/>
              </w:rPr>
            </w:pPr>
            <w:r w:rsidRPr="00D96C74">
              <w:rPr>
                <w:noProof/>
                <w:sz w:val="20"/>
              </w:rPr>
              <w:t xml:space="preserve">- Posibile acte delegate de modificare a codurilor din Nomenclatura combinată enumerate în anexa IVc pentru a le alinia la codurile enumerate în anexa </w:t>
            </w:r>
            <w:r w:rsidRPr="00D020C3">
              <w:rPr>
                <w:noProof/>
                <w:sz w:val="20"/>
              </w:rPr>
              <w:t>1</w:t>
            </w:r>
            <w:r w:rsidRPr="00D96C74">
              <w:rPr>
                <w:noProof/>
                <w:sz w:val="20"/>
              </w:rPr>
              <w:t xml:space="preserve"> la Regulamentul (CEE) nr. </w:t>
            </w:r>
            <w:r w:rsidRPr="00D020C3">
              <w:rPr>
                <w:noProof/>
                <w:sz w:val="20"/>
              </w:rPr>
              <w:t>2658</w:t>
            </w:r>
            <w:r w:rsidRPr="00D96C74">
              <w:rPr>
                <w:noProof/>
                <w:sz w:val="20"/>
              </w:rPr>
              <w:t>/</w:t>
            </w:r>
            <w:r w:rsidRPr="00D020C3">
              <w:rPr>
                <w:noProof/>
                <w:sz w:val="20"/>
              </w:rPr>
              <w:t>87</w:t>
            </w:r>
            <w:r w:rsidRPr="00D96C74">
              <w:rPr>
                <w:noProof/>
                <w:sz w:val="20"/>
              </w:rPr>
              <w:t xml:space="preserve"> al Consiliului și pentru a asigura securitatea juridică în ceea ce privește produsele care fac obiectul răspunderii extinse a producătorilor </w:t>
            </w:r>
          </w:p>
          <w:p w14:paraId="55D9C6F2" w14:textId="77777777" w:rsidR="005F41FD" w:rsidRPr="00D96C74" w:rsidRDefault="005F41FD" w:rsidP="005F41FD">
            <w:pPr>
              <w:spacing w:before="0" w:after="0"/>
              <w:ind w:right="225"/>
              <w:textAlignment w:val="baseline"/>
              <w:rPr>
                <w:rFonts w:ascii="Segoe UI" w:eastAsia="Times New Roman" w:hAnsi="Segoe UI" w:cs="Segoe UI"/>
                <w:noProof/>
                <w:sz w:val="18"/>
                <w:szCs w:val="18"/>
              </w:rPr>
            </w:pPr>
            <w:r w:rsidRPr="00D96C74">
              <w:rPr>
                <w:noProof/>
                <w:sz w:val="20"/>
              </w:rPr>
              <w:t>- Posibil act de punere în aplicare de stabilire a criteriilor aplicabile organizațiilor care implementează răspunderea extinsă a producătorului în ceea ce privește contribuțiile financiare care le sunt plătite de producători </w:t>
            </w:r>
          </w:p>
          <w:p w14:paraId="5879418D" w14:textId="149F24F2" w:rsidR="00300293" w:rsidRPr="00D96C74" w:rsidRDefault="005F41FD" w:rsidP="005F41FD">
            <w:pPr>
              <w:spacing w:before="0" w:after="0"/>
              <w:ind w:right="225"/>
              <w:textAlignment w:val="baseline"/>
              <w:rPr>
                <w:rFonts w:ascii="Segoe UI" w:eastAsia="Times New Roman" w:hAnsi="Segoe UI" w:cs="Segoe UI"/>
                <w:noProof/>
                <w:sz w:val="18"/>
                <w:szCs w:val="18"/>
              </w:rPr>
            </w:pPr>
            <w:r w:rsidRPr="00D96C74">
              <w:rPr>
                <w:noProof/>
                <w:sz w:val="20"/>
              </w:rPr>
              <w:t>- Act de punere în aplicare de stabilire a metodologiei de calculare și verificare a ratei de colectare separată </w:t>
            </w:r>
          </w:p>
          <w:p w14:paraId="701A0C89" w14:textId="77777777" w:rsidR="00BD152F" w:rsidRPr="00D96C74" w:rsidRDefault="005F41FD" w:rsidP="008B5470">
            <w:pPr>
              <w:spacing w:before="0" w:after="0"/>
              <w:ind w:right="225"/>
              <w:textAlignment w:val="baseline"/>
              <w:rPr>
                <w:noProof/>
                <w:sz w:val="20"/>
              </w:rPr>
            </w:pPr>
            <w:r w:rsidRPr="00D96C74">
              <w:rPr>
                <w:noProof/>
                <w:sz w:val="20"/>
              </w:rPr>
              <w:t>- Acte de punere în aplicare adoptate în temeiul alineatului (</w:t>
            </w:r>
            <w:r w:rsidRPr="00D020C3">
              <w:rPr>
                <w:noProof/>
                <w:sz w:val="20"/>
              </w:rPr>
              <w:t>37</w:t>
            </w:r>
            <w:r w:rsidRPr="00D96C74">
              <w:rPr>
                <w:noProof/>
                <w:sz w:val="20"/>
              </w:rPr>
              <w:t>) al prezentului articol de stabilire a formatului pentru raportarea datelor menționate la alineatul (</w:t>
            </w:r>
            <w:r w:rsidRPr="00D020C3">
              <w:rPr>
                <w:noProof/>
                <w:sz w:val="20"/>
              </w:rPr>
              <w:t>1</w:t>
            </w:r>
            <w:r w:rsidRPr="00D96C74">
              <w:rPr>
                <w:noProof/>
                <w:sz w:val="20"/>
              </w:rPr>
              <w:t>) în vederea adaptării acestora la cerințele prevăzute la alineatul (</w:t>
            </w:r>
            <w:r w:rsidRPr="00D020C3">
              <w:rPr>
                <w:noProof/>
                <w:sz w:val="20"/>
              </w:rPr>
              <w:t>3</w:t>
            </w:r>
            <w:r w:rsidRPr="00D96C74">
              <w:rPr>
                <w:noProof/>
                <w:sz w:val="20"/>
              </w:rPr>
              <w:t>) al articolului respectiv.</w:t>
            </w:r>
          </w:p>
        </w:tc>
      </w:tr>
    </w:tbl>
    <w:p w14:paraId="204720D6" w14:textId="77777777" w:rsidR="00BD152F" w:rsidRPr="00D96C74" w:rsidRDefault="00BD152F" w:rsidP="00B00391">
      <w:pPr>
        <w:rPr>
          <w:noProof/>
        </w:rPr>
        <w:sectPr w:rsidR="00BD152F" w:rsidRPr="00D96C74" w:rsidSect="00311D41">
          <w:headerReference w:type="default" r:id="rId30"/>
          <w:footerReference w:type="default" r:id="rId31"/>
          <w:headerReference w:type="first" r:id="rId32"/>
          <w:footerReference w:type="first" r:id="rId33"/>
          <w:pgSz w:w="11907" w:h="16840"/>
          <w:pgMar w:top="1134" w:right="1418" w:bottom="1134" w:left="1418" w:header="709" w:footer="709" w:gutter="0"/>
          <w:cols w:space="708"/>
          <w:docGrid w:linePitch="360"/>
        </w:sectPr>
      </w:pPr>
    </w:p>
    <w:p w14:paraId="63C363F1" w14:textId="77777777" w:rsidR="00BD152F" w:rsidRPr="008D4D1E" w:rsidRDefault="00BD152F" w:rsidP="00B00391">
      <w:pPr>
        <w:pStyle w:val="ManualHeading3"/>
        <w:rPr>
          <w:noProof/>
        </w:rPr>
      </w:pPr>
      <w:r w:rsidRPr="008D4D1E">
        <w:rPr>
          <w:noProof/>
        </w:rPr>
        <w:t>3.2.4.</w:t>
      </w:r>
      <w:r w:rsidRPr="008D4D1E">
        <w:rPr>
          <w:noProof/>
        </w:rPr>
        <w:tab/>
        <w:t xml:space="preserve">Compatibilitatea cu cadrul financiar multianual actual </w:t>
      </w:r>
    </w:p>
    <w:p w14:paraId="59DE0936" w14:textId="77777777" w:rsidR="00BD152F" w:rsidRPr="00D96C74" w:rsidRDefault="00BD152F" w:rsidP="00B00391">
      <w:pPr>
        <w:pStyle w:val="Text1"/>
        <w:rPr>
          <w:noProof/>
        </w:rPr>
      </w:pPr>
      <w:r w:rsidRPr="00D96C74">
        <w:rPr>
          <w:noProof/>
        </w:rPr>
        <w:t>Propunerea/inițiativa:</w:t>
      </w:r>
    </w:p>
    <w:p w14:paraId="361455B4" w14:textId="77777777" w:rsidR="00BD152F" w:rsidRPr="00D96C74" w:rsidRDefault="00841644" w:rsidP="0020411B">
      <w:pPr>
        <w:pStyle w:val="ListDash1"/>
        <w:rPr>
          <w:noProof/>
        </w:rPr>
      </w:pPr>
      <w:r w:rsidRPr="00D020C3">
        <w:rPr>
          <w:rStyle w:val="normaltextrun"/>
          <w:rFonts w:ascii="Wingdings" w:hAnsi="Wingdings"/>
          <w:b/>
          <w:noProof/>
          <w:color w:val="000000"/>
          <w:bdr w:val="none" w:sz="0" w:space="0" w:color="auto" w:frame="1"/>
        </w:rPr>
        <w:t></w:t>
      </w:r>
      <w:r w:rsidRPr="00D96C74">
        <w:rPr>
          <w:noProof/>
        </w:rPr>
        <w:tab/>
        <w:t>poate fi finanțată integral prin realocarea creditelor în cadrul rubricii relevante din cadrul financiar multianual (CFM).</w:t>
      </w:r>
    </w:p>
    <w:p w14:paraId="42E52C25" w14:textId="77777777" w:rsidR="00BD152F" w:rsidRPr="00D96C74" w:rsidRDefault="00BD152F" w:rsidP="0020411B">
      <w:pPr>
        <w:pStyle w:val="ListDash1"/>
        <w:rPr>
          <w:noProof/>
        </w:rPr>
      </w:pPr>
      <w:r w:rsidRPr="00D96C74">
        <w:rPr>
          <w:rFonts w:ascii="Wingdings" w:hAnsi="Wingdings"/>
          <w:noProof/>
        </w:rPr>
        <w:t></w:t>
      </w:r>
      <w:r w:rsidRPr="00D96C74">
        <w:rPr>
          <w:noProof/>
        </w:rPr>
        <w:tab/>
        <w:t>necesită utilizarea marjei nealocate din cadrul rubricii corespunzătoare din CFM și/sau utilizarea instrumentelor speciale, astfel cum sunt definite în Regulamentul privind CFM.</w:t>
      </w:r>
    </w:p>
    <w:p w14:paraId="6CDB5870" w14:textId="77777777" w:rsidR="00BD152F" w:rsidRPr="00D96C74" w:rsidRDefault="00BD152F" w:rsidP="00B00391">
      <w:pPr>
        <w:pStyle w:val="Text1"/>
        <w:pBdr>
          <w:top w:val="single" w:sz="4" w:space="1" w:color="auto"/>
          <w:left w:val="single" w:sz="4" w:space="4" w:color="auto"/>
          <w:bottom w:val="single" w:sz="4" w:space="1" w:color="auto"/>
          <w:right w:val="single" w:sz="4" w:space="4" w:color="auto"/>
        </w:pBdr>
        <w:rPr>
          <w:noProof/>
          <w:sz w:val="20"/>
        </w:rPr>
      </w:pPr>
      <w:r w:rsidRPr="00D96C74">
        <w:rPr>
          <w:noProof/>
          <w:sz w:val="20"/>
        </w:rPr>
        <w:t>A se explica necesitatea efectuării acestei acțiuni, precizând rubricile și liniile bugetare vizate, sumele aferente și instrumentele propuse a fi utilizate.</w:t>
      </w:r>
    </w:p>
    <w:p w14:paraId="35DCA817" w14:textId="77777777" w:rsidR="00BD152F" w:rsidRPr="00D96C74" w:rsidRDefault="00BD152F" w:rsidP="0020411B">
      <w:pPr>
        <w:pStyle w:val="ListDash1"/>
        <w:rPr>
          <w:noProof/>
        </w:rPr>
      </w:pPr>
      <w:r w:rsidRPr="00D96C74">
        <w:rPr>
          <w:rFonts w:ascii="Wingdings" w:hAnsi="Wingdings"/>
          <w:noProof/>
        </w:rPr>
        <w:t></w:t>
      </w:r>
      <w:r w:rsidRPr="00D96C74">
        <w:rPr>
          <w:noProof/>
        </w:rPr>
        <w:tab/>
        <w:t>necesită revizuirea CFM.</w:t>
      </w:r>
    </w:p>
    <w:p w14:paraId="6D29474E" w14:textId="77777777" w:rsidR="00BD152F" w:rsidRPr="00D96C74" w:rsidRDefault="00BD152F" w:rsidP="00B00391">
      <w:pPr>
        <w:pStyle w:val="Text1"/>
        <w:pBdr>
          <w:top w:val="single" w:sz="4" w:space="1" w:color="auto"/>
          <w:left w:val="single" w:sz="4" w:space="4" w:color="auto"/>
          <w:bottom w:val="single" w:sz="4" w:space="1" w:color="auto"/>
          <w:right w:val="single" w:sz="4" w:space="4" w:color="auto"/>
        </w:pBdr>
        <w:rPr>
          <w:noProof/>
          <w:sz w:val="20"/>
        </w:rPr>
      </w:pPr>
      <w:r w:rsidRPr="00D96C74">
        <w:rPr>
          <w:noProof/>
          <w:sz w:val="20"/>
        </w:rPr>
        <w:t>A se explica necesitatea efectuării acestei acțiuni, precizând rubricile și liniile bugetare vizate, precum și sumele aferente.</w:t>
      </w:r>
    </w:p>
    <w:p w14:paraId="63A16A14" w14:textId="77777777" w:rsidR="00BD152F" w:rsidRPr="008D4D1E" w:rsidRDefault="00BD152F" w:rsidP="00B00391">
      <w:pPr>
        <w:pStyle w:val="ManualHeading3"/>
        <w:rPr>
          <w:bCs/>
          <w:noProof/>
          <w:szCs w:val="24"/>
        </w:rPr>
      </w:pPr>
      <w:r w:rsidRPr="008D4D1E">
        <w:rPr>
          <w:noProof/>
        </w:rPr>
        <w:t>3.2.5.</w:t>
      </w:r>
      <w:r w:rsidRPr="008D4D1E">
        <w:rPr>
          <w:noProof/>
        </w:rPr>
        <w:tab/>
        <w:t xml:space="preserve">Contribuțiile terților </w:t>
      </w:r>
    </w:p>
    <w:p w14:paraId="426F6D16" w14:textId="77777777" w:rsidR="00BD152F" w:rsidRPr="00D96C74" w:rsidRDefault="00BD152F" w:rsidP="00B00391">
      <w:pPr>
        <w:pStyle w:val="Text1"/>
        <w:rPr>
          <w:noProof/>
        </w:rPr>
      </w:pPr>
      <w:r w:rsidRPr="00D96C74">
        <w:rPr>
          <w:noProof/>
        </w:rPr>
        <w:t>Propunerea/inițiativa:</w:t>
      </w:r>
    </w:p>
    <w:p w14:paraId="47B8CD71" w14:textId="77777777" w:rsidR="00BD152F" w:rsidRPr="00D96C74" w:rsidRDefault="00841644" w:rsidP="0020411B">
      <w:pPr>
        <w:pStyle w:val="ListDash1"/>
        <w:rPr>
          <w:noProof/>
        </w:rPr>
      </w:pPr>
      <w:r w:rsidRPr="00D020C3">
        <w:rPr>
          <w:rStyle w:val="normaltextrun"/>
          <w:rFonts w:ascii="Wingdings" w:hAnsi="Wingdings"/>
          <w:b/>
          <w:noProof/>
          <w:color w:val="000000"/>
          <w:bdr w:val="none" w:sz="0" w:space="0" w:color="auto" w:frame="1"/>
        </w:rPr>
        <w:t></w:t>
      </w:r>
      <w:r w:rsidRPr="00D96C74">
        <w:rPr>
          <w:noProof/>
        </w:rPr>
        <w:tab/>
        <w:t>nu prevede cofinanțare din partea terților</w:t>
      </w:r>
    </w:p>
    <w:p w14:paraId="17AE49D6" w14:textId="77777777" w:rsidR="00BD152F" w:rsidRPr="00D96C74" w:rsidRDefault="00BD152F" w:rsidP="0020411B">
      <w:pPr>
        <w:pStyle w:val="ListDash1"/>
        <w:rPr>
          <w:noProof/>
        </w:rPr>
      </w:pPr>
      <w:r w:rsidRPr="00D96C74">
        <w:rPr>
          <w:rFonts w:ascii="Wingdings" w:hAnsi="Wingdings"/>
          <w:noProof/>
        </w:rPr>
        <w:t></w:t>
      </w:r>
      <w:r w:rsidRPr="00D96C74">
        <w:rPr>
          <w:noProof/>
        </w:rPr>
        <w:tab/>
        <w:t>prevede cofinanțare din partea terților, estimată mai jos:</w:t>
      </w:r>
    </w:p>
    <w:p w14:paraId="14534BCB" w14:textId="77777777" w:rsidR="00BD152F" w:rsidRPr="00D96C74" w:rsidRDefault="00BD152F" w:rsidP="00B00391">
      <w:pPr>
        <w:jc w:val="right"/>
        <w:rPr>
          <w:noProof/>
          <w:sz w:val="20"/>
        </w:rPr>
      </w:pPr>
      <w:r w:rsidRPr="00D96C74">
        <w:rPr>
          <w:noProof/>
          <w:sz w:val="20"/>
        </w:rPr>
        <w:t>Credite în milioane EUR (cu trei zecimale)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2A1674" w:rsidRPr="00D96C74" w14:paraId="12284B24" w14:textId="77777777" w:rsidTr="1BD3479F">
        <w:trPr>
          <w:cantSplit/>
        </w:trPr>
        <w:tc>
          <w:tcPr>
            <w:tcW w:w="2340" w:type="dxa"/>
          </w:tcPr>
          <w:p w14:paraId="5A8F754C" w14:textId="77777777" w:rsidR="00BD152F" w:rsidRPr="00D96C74" w:rsidRDefault="00BD152F" w:rsidP="00B00391">
            <w:pPr>
              <w:spacing w:before="60" w:after="60"/>
              <w:rPr>
                <w:noProof/>
                <w:sz w:val="20"/>
              </w:rPr>
            </w:pPr>
          </w:p>
        </w:tc>
        <w:tc>
          <w:tcPr>
            <w:tcW w:w="964" w:type="dxa"/>
            <w:vAlign w:val="center"/>
          </w:tcPr>
          <w:p w14:paraId="4C93DA8C" w14:textId="77777777" w:rsidR="00BD152F" w:rsidRPr="00D96C74" w:rsidRDefault="76754597" w:rsidP="00B00391">
            <w:pPr>
              <w:jc w:val="center"/>
              <w:rPr>
                <w:noProof/>
                <w:sz w:val="20"/>
              </w:rPr>
            </w:pPr>
            <w:r w:rsidRPr="00D96C74">
              <w:rPr>
                <w:noProof/>
                <w:sz w:val="20"/>
              </w:rPr>
              <w:t>Anul</w:t>
            </w:r>
            <w:r w:rsidRPr="00D96C74">
              <w:rPr>
                <w:noProof/>
              </w:rPr>
              <w:t xml:space="preserve"> </w:t>
            </w:r>
            <w:r w:rsidRPr="00D96C74">
              <w:rPr>
                <w:noProof/>
              </w:rPr>
              <w:br/>
            </w:r>
            <w:r w:rsidRPr="00D020C3">
              <w:rPr>
                <w:b/>
                <w:noProof/>
                <w:sz w:val="20"/>
              </w:rPr>
              <w:t>N</w:t>
            </w:r>
            <w:r w:rsidRPr="00D020C3">
              <w:rPr>
                <w:rStyle w:val="FootnoteReference"/>
                <w:b/>
                <w:bCs/>
                <w:noProof/>
                <w:sz w:val="20"/>
                <w:szCs w:val="20"/>
              </w:rPr>
              <w:footnoteReference w:id="96"/>
            </w:r>
          </w:p>
        </w:tc>
        <w:tc>
          <w:tcPr>
            <w:tcW w:w="964" w:type="dxa"/>
            <w:vAlign w:val="center"/>
          </w:tcPr>
          <w:p w14:paraId="5F3402F3" w14:textId="77777777" w:rsidR="00BD152F" w:rsidRPr="00D96C74" w:rsidRDefault="00BD152F" w:rsidP="00B00391">
            <w:pPr>
              <w:jc w:val="center"/>
              <w:rPr>
                <w:noProof/>
                <w:sz w:val="20"/>
              </w:rPr>
            </w:pPr>
            <w:r w:rsidRPr="00D96C74">
              <w:rPr>
                <w:noProof/>
                <w:sz w:val="20"/>
              </w:rPr>
              <w:t>Anul</w:t>
            </w:r>
            <w:r w:rsidRPr="00D96C74">
              <w:rPr>
                <w:noProof/>
              </w:rPr>
              <w:t xml:space="preserve"> </w:t>
            </w:r>
            <w:r w:rsidRPr="00D96C74">
              <w:rPr>
                <w:noProof/>
              </w:rPr>
              <w:br/>
            </w:r>
            <w:r w:rsidRPr="00D020C3">
              <w:rPr>
                <w:b/>
                <w:noProof/>
                <w:sz w:val="20"/>
              </w:rPr>
              <w:t>N+1</w:t>
            </w:r>
          </w:p>
        </w:tc>
        <w:tc>
          <w:tcPr>
            <w:tcW w:w="964" w:type="dxa"/>
            <w:vAlign w:val="center"/>
          </w:tcPr>
          <w:p w14:paraId="6962192A" w14:textId="77777777" w:rsidR="00BD152F" w:rsidRPr="00D96C74" w:rsidRDefault="00BD152F" w:rsidP="00B00391">
            <w:pPr>
              <w:jc w:val="center"/>
              <w:rPr>
                <w:noProof/>
                <w:sz w:val="20"/>
              </w:rPr>
            </w:pPr>
            <w:r w:rsidRPr="00D96C74">
              <w:rPr>
                <w:noProof/>
                <w:sz w:val="20"/>
              </w:rPr>
              <w:t>Anul</w:t>
            </w:r>
            <w:r w:rsidRPr="00D96C74">
              <w:rPr>
                <w:noProof/>
              </w:rPr>
              <w:t xml:space="preserve"> </w:t>
            </w:r>
            <w:r w:rsidRPr="00D96C74">
              <w:rPr>
                <w:noProof/>
              </w:rPr>
              <w:br/>
            </w:r>
            <w:r w:rsidRPr="00D020C3">
              <w:rPr>
                <w:b/>
                <w:noProof/>
                <w:sz w:val="20"/>
              </w:rPr>
              <w:t>N+2</w:t>
            </w:r>
          </w:p>
        </w:tc>
        <w:tc>
          <w:tcPr>
            <w:tcW w:w="964" w:type="dxa"/>
            <w:vAlign w:val="center"/>
          </w:tcPr>
          <w:p w14:paraId="736C47E1" w14:textId="77777777" w:rsidR="00BD152F" w:rsidRPr="00D96C74" w:rsidRDefault="00BD152F" w:rsidP="00B00391">
            <w:pPr>
              <w:jc w:val="center"/>
              <w:rPr>
                <w:noProof/>
                <w:sz w:val="20"/>
              </w:rPr>
            </w:pPr>
            <w:r w:rsidRPr="00D96C74">
              <w:rPr>
                <w:noProof/>
                <w:sz w:val="20"/>
              </w:rPr>
              <w:t>Anul</w:t>
            </w:r>
            <w:r w:rsidRPr="00D96C74">
              <w:rPr>
                <w:noProof/>
              </w:rPr>
              <w:t xml:space="preserve"> </w:t>
            </w:r>
            <w:r w:rsidRPr="00D96C74">
              <w:rPr>
                <w:noProof/>
              </w:rPr>
              <w:br/>
            </w:r>
            <w:r w:rsidRPr="00D020C3">
              <w:rPr>
                <w:b/>
                <w:noProof/>
                <w:sz w:val="20"/>
              </w:rPr>
              <w:t>N+3</w:t>
            </w:r>
          </w:p>
        </w:tc>
        <w:tc>
          <w:tcPr>
            <w:tcW w:w="2892" w:type="dxa"/>
            <w:gridSpan w:val="3"/>
            <w:vAlign w:val="center"/>
          </w:tcPr>
          <w:p w14:paraId="1C0E8AF6" w14:textId="77777777" w:rsidR="00BD152F" w:rsidRPr="00D020C3" w:rsidRDefault="00BD152F" w:rsidP="00B00391">
            <w:pPr>
              <w:jc w:val="center"/>
              <w:rPr>
                <w:b/>
                <w:noProof/>
                <w:sz w:val="20"/>
              </w:rPr>
            </w:pPr>
            <w:r w:rsidRPr="00D96C74">
              <w:rPr>
                <w:noProof/>
                <w:sz w:val="20"/>
              </w:rPr>
              <w:t>A se introduce atâția ani câți sunt considerați necesari pentru a reflecta durata impactului (a se vedea punctul </w:t>
            </w:r>
            <w:r w:rsidRPr="00D020C3">
              <w:rPr>
                <w:noProof/>
                <w:sz w:val="20"/>
              </w:rPr>
              <w:t>1</w:t>
            </w:r>
            <w:r w:rsidRPr="00D96C74">
              <w:rPr>
                <w:noProof/>
                <w:sz w:val="20"/>
              </w:rPr>
              <w:t>.</w:t>
            </w:r>
            <w:r w:rsidRPr="00D020C3">
              <w:rPr>
                <w:noProof/>
                <w:sz w:val="20"/>
              </w:rPr>
              <w:t>6</w:t>
            </w:r>
            <w:r w:rsidRPr="00D96C74">
              <w:rPr>
                <w:noProof/>
                <w:sz w:val="20"/>
              </w:rPr>
              <w:t>)</w:t>
            </w:r>
          </w:p>
        </w:tc>
        <w:tc>
          <w:tcPr>
            <w:tcW w:w="1158" w:type="dxa"/>
            <w:vAlign w:val="center"/>
          </w:tcPr>
          <w:p w14:paraId="74F5BB88" w14:textId="77777777" w:rsidR="00BD152F" w:rsidRPr="00D96C74" w:rsidRDefault="00BD152F" w:rsidP="00B00391">
            <w:pPr>
              <w:spacing w:before="60" w:after="60"/>
              <w:jc w:val="center"/>
              <w:rPr>
                <w:noProof/>
                <w:sz w:val="20"/>
              </w:rPr>
            </w:pPr>
            <w:r w:rsidRPr="00D96C74">
              <w:rPr>
                <w:noProof/>
                <w:sz w:val="20"/>
              </w:rPr>
              <w:t>Total</w:t>
            </w:r>
          </w:p>
        </w:tc>
      </w:tr>
      <w:tr w:rsidR="002A1674" w:rsidRPr="00D96C74" w14:paraId="0E63A667" w14:textId="77777777" w:rsidTr="1BD3479F">
        <w:trPr>
          <w:cantSplit/>
        </w:trPr>
        <w:tc>
          <w:tcPr>
            <w:tcW w:w="2340" w:type="dxa"/>
          </w:tcPr>
          <w:p w14:paraId="2ED76BF0" w14:textId="77777777" w:rsidR="00BD152F" w:rsidRPr="00D96C74" w:rsidRDefault="00BD152F" w:rsidP="00B00391">
            <w:pPr>
              <w:rPr>
                <w:noProof/>
              </w:rPr>
            </w:pPr>
            <w:r w:rsidRPr="00D96C74">
              <w:rPr>
                <w:noProof/>
                <w:sz w:val="20"/>
              </w:rPr>
              <w:t>A se preciza organismul care asigură cofinanțarea</w:t>
            </w:r>
            <w:r w:rsidRPr="008D4D1E">
              <w:rPr>
                <w:i/>
                <w:noProof/>
                <w:sz w:val="20"/>
              </w:rPr>
              <w:t xml:space="preserve"> </w:t>
            </w:r>
          </w:p>
        </w:tc>
        <w:tc>
          <w:tcPr>
            <w:tcW w:w="964" w:type="dxa"/>
            <w:vAlign w:val="center"/>
          </w:tcPr>
          <w:p w14:paraId="19549115" w14:textId="77777777" w:rsidR="00BD152F" w:rsidRPr="00D96C74" w:rsidRDefault="00BD152F" w:rsidP="00B00391">
            <w:pPr>
              <w:spacing w:before="60" w:after="60"/>
              <w:jc w:val="center"/>
              <w:rPr>
                <w:noProof/>
                <w:sz w:val="20"/>
              </w:rPr>
            </w:pPr>
          </w:p>
        </w:tc>
        <w:tc>
          <w:tcPr>
            <w:tcW w:w="964" w:type="dxa"/>
            <w:vAlign w:val="center"/>
          </w:tcPr>
          <w:p w14:paraId="5C4EA3A0" w14:textId="77777777" w:rsidR="00BD152F" w:rsidRPr="00D96C74" w:rsidRDefault="00BD152F" w:rsidP="00B00391">
            <w:pPr>
              <w:spacing w:before="60" w:after="60"/>
              <w:jc w:val="center"/>
              <w:rPr>
                <w:noProof/>
                <w:sz w:val="20"/>
              </w:rPr>
            </w:pPr>
          </w:p>
        </w:tc>
        <w:tc>
          <w:tcPr>
            <w:tcW w:w="964" w:type="dxa"/>
            <w:vAlign w:val="center"/>
          </w:tcPr>
          <w:p w14:paraId="4FE81887" w14:textId="77777777" w:rsidR="00BD152F" w:rsidRPr="00D96C74" w:rsidRDefault="00BD152F" w:rsidP="00B00391">
            <w:pPr>
              <w:spacing w:before="60" w:after="60"/>
              <w:jc w:val="center"/>
              <w:rPr>
                <w:noProof/>
                <w:sz w:val="20"/>
              </w:rPr>
            </w:pPr>
          </w:p>
        </w:tc>
        <w:tc>
          <w:tcPr>
            <w:tcW w:w="964" w:type="dxa"/>
            <w:vAlign w:val="center"/>
          </w:tcPr>
          <w:p w14:paraId="1601BFFF" w14:textId="77777777" w:rsidR="00BD152F" w:rsidRPr="00D96C74" w:rsidRDefault="00BD152F" w:rsidP="00B00391">
            <w:pPr>
              <w:spacing w:before="60" w:after="60"/>
              <w:jc w:val="center"/>
              <w:rPr>
                <w:noProof/>
                <w:sz w:val="20"/>
              </w:rPr>
            </w:pPr>
          </w:p>
        </w:tc>
        <w:tc>
          <w:tcPr>
            <w:tcW w:w="964" w:type="dxa"/>
            <w:vAlign w:val="center"/>
          </w:tcPr>
          <w:p w14:paraId="5C2F6204" w14:textId="77777777" w:rsidR="00BD152F" w:rsidRPr="00D96C74" w:rsidRDefault="00BD152F" w:rsidP="00B00391">
            <w:pPr>
              <w:spacing w:before="60" w:after="60"/>
              <w:jc w:val="center"/>
              <w:rPr>
                <w:noProof/>
                <w:sz w:val="20"/>
              </w:rPr>
            </w:pPr>
          </w:p>
        </w:tc>
        <w:tc>
          <w:tcPr>
            <w:tcW w:w="964" w:type="dxa"/>
            <w:vAlign w:val="center"/>
          </w:tcPr>
          <w:p w14:paraId="20D01F21" w14:textId="77777777" w:rsidR="00BD152F" w:rsidRPr="00D96C74" w:rsidRDefault="00BD152F" w:rsidP="00B00391">
            <w:pPr>
              <w:spacing w:before="60" w:after="60"/>
              <w:jc w:val="center"/>
              <w:rPr>
                <w:noProof/>
                <w:sz w:val="20"/>
              </w:rPr>
            </w:pPr>
          </w:p>
        </w:tc>
        <w:tc>
          <w:tcPr>
            <w:tcW w:w="964" w:type="dxa"/>
            <w:vAlign w:val="center"/>
          </w:tcPr>
          <w:p w14:paraId="6B46E923" w14:textId="77777777" w:rsidR="00BD152F" w:rsidRPr="00D96C74" w:rsidRDefault="00BD152F" w:rsidP="00B00391">
            <w:pPr>
              <w:spacing w:before="60" w:after="60"/>
              <w:jc w:val="center"/>
              <w:rPr>
                <w:noProof/>
                <w:sz w:val="20"/>
              </w:rPr>
            </w:pPr>
          </w:p>
        </w:tc>
        <w:tc>
          <w:tcPr>
            <w:tcW w:w="1158" w:type="dxa"/>
            <w:vAlign w:val="center"/>
          </w:tcPr>
          <w:p w14:paraId="1A6ACDBE" w14:textId="77777777" w:rsidR="00BD152F" w:rsidRPr="00D96C74" w:rsidRDefault="00BD152F" w:rsidP="00B00391">
            <w:pPr>
              <w:spacing w:before="60" w:after="60"/>
              <w:jc w:val="center"/>
              <w:rPr>
                <w:noProof/>
                <w:sz w:val="20"/>
              </w:rPr>
            </w:pPr>
          </w:p>
        </w:tc>
      </w:tr>
      <w:tr w:rsidR="002A1674" w:rsidRPr="00D96C74" w14:paraId="7402D868" w14:textId="77777777" w:rsidTr="1BD3479F">
        <w:trPr>
          <w:cantSplit/>
        </w:trPr>
        <w:tc>
          <w:tcPr>
            <w:tcW w:w="2340" w:type="dxa"/>
          </w:tcPr>
          <w:p w14:paraId="1FF36F9F" w14:textId="77777777" w:rsidR="00BD152F" w:rsidRPr="00D96C74" w:rsidRDefault="00BD152F" w:rsidP="00B00391">
            <w:pPr>
              <w:spacing w:before="60" w:after="60"/>
              <w:jc w:val="left"/>
              <w:rPr>
                <w:noProof/>
                <w:sz w:val="20"/>
              </w:rPr>
            </w:pPr>
            <w:r w:rsidRPr="00D96C74">
              <w:rPr>
                <w:noProof/>
                <w:sz w:val="20"/>
              </w:rPr>
              <w:t xml:space="preserve">TOTAL credite cofinanțate </w:t>
            </w:r>
          </w:p>
        </w:tc>
        <w:tc>
          <w:tcPr>
            <w:tcW w:w="964" w:type="dxa"/>
            <w:vAlign w:val="center"/>
          </w:tcPr>
          <w:p w14:paraId="590DF510" w14:textId="77777777" w:rsidR="00BD152F" w:rsidRPr="00D96C74" w:rsidRDefault="00BD152F" w:rsidP="00B00391">
            <w:pPr>
              <w:spacing w:before="60" w:after="60"/>
              <w:jc w:val="center"/>
              <w:rPr>
                <w:noProof/>
                <w:sz w:val="20"/>
              </w:rPr>
            </w:pPr>
          </w:p>
        </w:tc>
        <w:tc>
          <w:tcPr>
            <w:tcW w:w="964" w:type="dxa"/>
            <w:vAlign w:val="center"/>
          </w:tcPr>
          <w:p w14:paraId="077F398A" w14:textId="77777777" w:rsidR="00BD152F" w:rsidRPr="00D96C74" w:rsidRDefault="00BD152F" w:rsidP="00B00391">
            <w:pPr>
              <w:spacing w:before="60" w:after="60"/>
              <w:jc w:val="center"/>
              <w:rPr>
                <w:noProof/>
                <w:sz w:val="20"/>
              </w:rPr>
            </w:pPr>
          </w:p>
        </w:tc>
        <w:tc>
          <w:tcPr>
            <w:tcW w:w="964" w:type="dxa"/>
            <w:vAlign w:val="center"/>
          </w:tcPr>
          <w:p w14:paraId="36CF04A0" w14:textId="77777777" w:rsidR="00BD152F" w:rsidRPr="00D96C74" w:rsidRDefault="00BD152F" w:rsidP="00B00391">
            <w:pPr>
              <w:spacing w:before="60" w:after="60"/>
              <w:jc w:val="center"/>
              <w:rPr>
                <w:noProof/>
                <w:sz w:val="20"/>
              </w:rPr>
            </w:pPr>
          </w:p>
        </w:tc>
        <w:tc>
          <w:tcPr>
            <w:tcW w:w="964" w:type="dxa"/>
            <w:vAlign w:val="center"/>
          </w:tcPr>
          <w:p w14:paraId="3EF14F62" w14:textId="77777777" w:rsidR="00BD152F" w:rsidRPr="00D96C74" w:rsidRDefault="00BD152F" w:rsidP="00B00391">
            <w:pPr>
              <w:spacing w:before="60" w:after="60"/>
              <w:jc w:val="center"/>
              <w:rPr>
                <w:noProof/>
                <w:sz w:val="20"/>
              </w:rPr>
            </w:pPr>
          </w:p>
        </w:tc>
        <w:tc>
          <w:tcPr>
            <w:tcW w:w="964" w:type="dxa"/>
            <w:vAlign w:val="center"/>
          </w:tcPr>
          <w:p w14:paraId="4A7F3399" w14:textId="77777777" w:rsidR="00BD152F" w:rsidRPr="00D96C74" w:rsidRDefault="00BD152F" w:rsidP="00B00391">
            <w:pPr>
              <w:spacing w:before="60" w:after="60"/>
              <w:jc w:val="center"/>
              <w:rPr>
                <w:noProof/>
                <w:sz w:val="20"/>
              </w:rPr>
            </w:pPr>
          </w:p>
        </w:tc>
        <w:tc>
          <w:tcPr>
            <w:tcW w:w="964" w:type="dxa"/>
            <w:vAlign w:val="center"/>
          </w:tcPr>
          <w:p w14:paraId="0CEB5BFD" w14:textId="77777777" w:rsidR="00BD152F" w:rsidRPr="00D96C74" w:rsidRDefault="00BD152F" w:rsidP="00B00391">
            <w:pPr>
              <w:spacing w:before="60" w:after="60"/>
              <w:jc w:val="center"/>
              <w:rPr>
                <w:noProof/>
                <w:sz w:val="20"/>
              </w:rPr>
            </w:pPr>
          </w:p>
        </w:tc>
        <w:tc>
          <w:tcPr>
            <w:tcW w:w="964" w:type="dxa"/>
            <w:vAlign w:val="center"/>
          </w:tcPr>
          <w:p w14:paraId="3C349F80" w14:textId="77777777" w:rsidR="00BD152F" w:rsidRPr="00D96C74" w:rsidRDefault="00BD152F" w:rsidP="00B00391">
            <w:pPr>
              <w:spacing w:before="60" w:after="60"/>
              <w:jc w:val="center"/>
              <w:rPr>
                <w:noProof/>
                <w:sz w:val="20"/>
              </w:rPr>
            </w:pPr>
          </w:p>
        </w:tc>
        <w:tc>
          <w:tcPr>
            <w:tcW w:w="1158" w:type="dxa"/>
            <w:vAlign w:val="center"/>
          </w:tcPr>
          <w:p w14:paraId="49D7B9E1" w14:textId="77777777" w:rsidR="00BD152F" w:rsidRPr="00D96C74" w:rsidRDefault="00BD152F" w:rsidP="00B00391">
            <w:pPr>
              <w:spacing w:before="60" w:after="60"/>
              <w:jc w:val="center"/>
              <w:rPr>
                <w:noProof/>
                <w:sz w:val="20"/>
              </w:rPr>
            </w:pPr>
          </w:p>
        </w:tc>
      </w:tr>
    </w:tbl>
    <w:p w14:paraId="2C350EA9" w14:textId="53887B85" w:rsidR="00BD152F" w:rsidRPr="00D96C74" w:rsidRDefault="00BD152F" w:rsidP="00B00391">
      <w:pPr>
        <w:rPr>
          <w:noProof/>
        </w:rPr>
      </w:pPr>
      <w:r w:rsidRPr="00D96C74">
        <w:rPr>
          <w:noProof/>
        </w:rPr>
        <w:br/>
      </w:r>
    </w:p>
    <w:p w14:paraId="0A802D0F" w14:textId="77777777" w:rsidR="00BD152F" w:rsidRPr="00D020C3" w:rsidRDefault="00BD152F" w:rsidP="00B00391">
      <w:pPr>
        <w:pStyle w:val="ManualHeading2"/>
        <w:rPr>
          <w:bCs/>
          <w:noProof/>
          <w:szCs w:val="24"/>
        </w:rPr>
      </w:pPr>
      <w:r w:rsidRPr="00D020C3">
        <w:rPr>
          <w:noProof/>
        </w:rPr>
        <w:br w:type="page"/>
        <w:t>3.3.</w:t>
      </w:r>
      <w:r w:rsidRPr="00D020C3">
        <w:rPr>
          <w:noProof/>
        </w:rPr>
        <w:tab/>
        <w:t xml:space="preserve">Impactul estimat asupra veniturilor </w:t>
      </w:r>
    </w:p>
    <w:p w14:paraId="724D4CBF" w14:textId="77777777" w:rsidR="00BD152F" w:rsidRPr="00D96C74" w:rsidRDefault="00841644" w:rsidP="0020411B">
      <w:pPr>
        <w:pStyle w:val="ListDash1"/>
        <w:rPr>
          <w:noProof/>
        </w:rPr>
      </w:pPr>
      <w:r w:rsidRPr="00D020C3">
        <w:rPr>
          <w:rStyle w:val="normaltextrun"/>
          <w:rFonts w:ascii="Wingdings" w:hAnsi="Wingdings"/>
          <w:b/>
          <w:noProof/>
          <w:color w:val="000000"/>
          <w:bdr w:val="none" w:sz="0" w:space="0" w:color="auto" w:frame="1"/>
        </w:rPr>
        <w:t></w:t>
      </w:r>
      <w:r w:rsidRPr="00D96C74">
        <w:rPr>
          <w:noProof/>
        </w:rPr>
        <w:tab/>
        <w:t>Propunerea/inițiativa nu are impact financiar asupra veniturilor.</w:t>
      </w:r>
    </w:p>
    <w:p w14:paraId="1A863359" w14:textId="77777777" w:rsidR="00BD152F" w:rsidRPr="00D96C74" w:rsidRDefault="00BD152F" w:rsidP="0020411B">
      <w:pPr>
        <w:pStyle w:val="ListDash1"/>
        <w:rPr>
          <w:noProof/>
        </w:rPr>
      </w:pPr>
      <w:r w:rsidRPr="00D96C74">
        <w:rPr>
          <w:rFonts w:ascii="Wingdings" w:hAnsi="Wingdings"/>
          <w:noProof/>
        </w:rPr>
        <w:t></w:t>
      </w:r>
      <w:r w:rsidRPr="00D96C74">
        <w:rPr>
          <w:noProof/>
        </w:rPr>
        <w:tab/>
        <w:t>Propunerea/inițiativa are următorul impact financiar:</w:t>
      </w:r>
    </w:p>
    <w:p w14:paraId="296CAFD4" w14:textId="77777777" w:rsidR="00BD152F" w:rsidRPr="00D96C74" w:rsidRDefault="00BD152F" w:rsidP="005975D6">
      <w:pPr>
        <w:pStyle w:val="ListNumberLevel3"/>
        <w:rPr>
          <w:noProof/>
        </w:rPr>
      </w:pPr>
      <w:r w:rsidRPr="00D96C74">
        <w:rPr>
          <w:rFonts w:ascii="Wingdings" w:hAnsi="Wingdings"/>
          <w:noProof/>
        </w:rPr>
        <w:t></w:t>
      </w:r>
      <w:r w:rsidRPr="00D96C74">
        <w:rPr>
          <w:noProof/>
        </w:rPr>
        <w:tab/>
        <w:t xml:space="preserve">asupra resurselor proprii </w:t>
      </w:r>
    </w:p>
    <w:p w14:paraId="49A23154" w14:textId="77777777" w:rsidR="00BD152F" w:rsidRPr="00D96C74" w:rsidRDefault="00BD152F" w:rsidP="005975D6">
      <w:pPr>
        <w:pStyle w:val="ListNumberLevel3"/>
        <w:rPr>
          <w:noProof/>
        </w:rPr>
      </w:pPr>
      <w:r w:rsidRPr="00D96C74">
        <w:rPr>
          <w:rFonts w:ascii="Wingdings" w:hAnsi="Wingdings"/>
          <w:noProof/>
        </w:rPr>
        <w:t></w:t>
      </w:r>
      <w:r w:rsidRPr="00D96C74">
        <w:rPr>
          <w:noProof/>
        </w:rPr>
        <w:tab/>
        <w:t>asupra altor venituri</w:t>
      </w:r>
    </w:p>
    <w:p w14:paraId="6E4B5122" w14:textId="77777777" w:rsidR="00BD152F" w:rsidRPr="00D96C74" w:rsidRDefault="00BD152F" w:rsidP="005975D6">
      <w:pPr>
        <w:pStyle w:val="ListNumberLevel3"/>
        <w:rPr>
          <w:noProof/>
        </w:rPr>
      </w:pPr>
      <w:r w:rsidRPr="00D96C74">
        <w:rPr>
          <w:noProof/>
        </w:rPr>
        <w:t xml:space="preserve">vă rugăm să precizați dacă veniturile sunt alocate unor linii de cheltuieli </w:t>
      </w:r>
      <w:r w:rsidRPr="00D96C74">
        <w:rPr>
          <w:rFonts w:ascii="Wingdings" w:hAnsi="Wingdings"/>
          <w:noProof/>
        </w:rPr>
        <w:t></w:t>
      </w:r>
      <w:r w:rsidRPr="00D96C74">
        <w:rPr>
          <w:noProof/>
        </w:rPr>
        <w:tab/>
      </w:r>
    </w:p>
    <w:p w14:paraId="5A747B96" w14:textId="77777777" w:rsidR="00BD152F" w:rsidRPr="008D4D1E" w:rsidRDefault="00BD152F" w:rsidP="00B00391">
      <w:pPr>
        <w:ind w:left="4320"/>
        <w:rPr>
          <w:i/>
          <w:noProof/>
          <w:sz w:val="20"/>
        </w:rPr>
      </w:pPr>
      <w:r w:rsidRPr="00D96C74">
        <w:rPr>
          <w:noProof/>
        </w:rPr>
        <w:t xml:space="preserve">     milioane EUR (cu trei zecimale)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2A1674" w:rsidRPr="00D96C74" w14:paraId="38FA35F6" w14:textId="77777777" w:rsidTr="1BD3479F">
        <w:trPr>
          <w:trHeight w:val="388"/>
        </w:trPr>
        <w:tc>
          <w:tcPr>
            <w:tcW w:w="2144" w:type="dxa"/>
            <w:vMerge w:val="restart"/>
            <w:vAlign w:val="center"/>
          </w:tcPr>
          <w:p w14:paraId="41B61B9C" w14:textId="77777777" w:rsidR="00BD152F" w:rsidRPr="00D96C74" w:rsidRDefault="00BD152F" w:rsidP="00B00391">
            <w:pPr>
              <w:spacing w:before="40" w:after="40"/>
              <w:rPr>
                <w:noProof/>
                <w:sz w:val="18"/>
              </w:rPr>
            </w:pPr>
            <w:r w:rsidRPr="00D96C74">
              <w:rPr>
                <w:noProof/>
                <w:sz w:val="18"/>
              </w:rPr>
              <w:t>Linia bugetară pentru venituri:</w:t>
            </w:r>
          </w:p>
        </w:tc>
        <w:tc>
          <w:tcPr>
            <w:tcW w:w="1325" w:type="dxa"/>
            <w:vMerge w:val="restart"/>
            <w:vAlign w:val="center"/>
          </w:tcPr>
          <w:p w14:paraId="024DFBA7" w14:textId="77777777" w:rsidR="00BD152F" w:rsidRPr="00D96C74" w:rsidRDefault="00BD152F" w:rsidP="00B00391">
            <w:pPr>
              <w:jc w:val="center"/>
              <w:rPr>
                <w:noProof/>
                <w:sz w:val="18"/>
              </w:rPr>
            </w:pPr>
            <w:r w:rsidRPr="00D96C74">
              <w:rPr>
                <w:noProof/>
                <w:sz w:val="18"/>
              </w:rPr>
              <w:t>Credite disponibile pentru exercițiul financiar în curs</w:t>
            </w:r>
          </w:p>
        </w:tc>
        <w:tc>
          <w:tcPr>
            <w:tcW w:w="7151" w:type="dxa"/>
            <w:gridSpan w:val="7"/>
            <w:vAlign w:val="center"/>
          </w:tcPr>
          <w:p w14:paraId="04BBF031" w14:textId="77777777" w:rsidR="00BD152F" w:rsidRPr="00D96C74" w:rsidRDefault="76754597" w:rsidP="00B00391">
            <w:pPr>
              <w:jc w:val="center"/>
              <w:rPr>
                <w:noProof/>
                <w:sz w:val="18"/>
              </w:rPr>
            </w:pPr>
            <w:r w:rsidRPr="00D96C74">
              <w:rPr>
                <w:noProof/>
                <w:sz w:val="18"/>
              </w:rPr>
              <w:t>Impactul propunerii/inițiativei</w:t>
            </w:r>
            <w:r w:rsidRPr="00D96C74">
              <w:rPr>
                <w:rStyle w:val="FootnoteReference"/>
                <w:noProof/>
                <w:sz w:val="18"/>
                <w:szCs w:val="18"/>
              </w:rPr>
              <w:footnoteReference w:id="97"/>
            </w:r>
          </w:p>
        </w:tc>
      </w:tr>
      <w:tr w:rsidR="002A1674" w:rsidRPr="00D96C74" w14:paraId="3D021D0F" w14:textId="77777777" w:rsidTr="1BD3479F">
        <w:trPr>
          <w:trHeight w:val="388"/>
        </w:trPr>
        <w:tc>
          <w:tcPr>
            <w:tcW w:w="2144" w:type="dxa"/>
            <w:vMerge/>
          </w:tcPr>
          <w:p w14:paraId="71F4E4A3" w14:textId="77777777" w:rsidR="00BD152F" w:rsidRPr="00D96C74" w:rsidRDefault="00BD152F" w:rsidP="00B00391">
            <w:pPr>
              <w:spacing w:before="40" w:after="40"/>
              <w:rPr>
                <w:noProof/>
                <w:sz w:val="18"/>
              </w:rPr>
            </w:pPr>
          </w:p>
        </w:tc>
        <w:tc>
          <w:tcPr>
            <w:tcW w:w="1325" w:type="dxa"/>
            <w:vMerge/>
          </w:tcPr>
          <w:p w14:paraId="5AF440AB" w14:textId="77777777" w:rsidR="00BD152F" w:rsidRPr="008D4D1E" w:rsidRDefault="00BD152F" w:rsidP="00B00391">
            <w:pPr>
              <w:spacing w:beforeLines="40" w:before="96" w:afterLines="40" w:after="96"/>
              <w:rPr>
                <w:i/>
                <w:noProof/>
                <w:sz w:val="18"/>
              </w:rPr>
            </w:pPr>
          </w:p>
        </w:tc>
        <w:tc>
          <w:tcPr>
            <w:tcW w:w="1031" w:type="dxa"/>
            <w:vAlign w:val="center"/>
          </w:tcPr>
          <w:p w14:paraId="6761B8E9" w14:textId="77777777" w:rsidR="00BD152F" w:rsidRPr="00D96C74" w:rsidRDefault="00BD152F" w:rsidP="00B00391">
            <w:pPr>
              <w:jc w:val="center"/>
              <w:rPr>
                <w:noProof/>
                <w:sz w:val="18"/>
              </w:rPr>
            </w:pPr>
            <w:r w:rsidRPr="00D96C74">
              <w:rPr>
                <w:noProof/>
                <w:sz w:val="18"/>
              </w:rPr>
              <w:t>Anul</w:t>
            </w:r>
            <w:r w:rsidRPr="00D96C74">
              <w:rPr>
                <w:noProof/>
              </w:rPr>
              <w:t xml:space="preserve"> </w:t>
            </w:r>
            <w:r w:rsidRPr="00D96C74">
              <w:rPr>
                <w:noProof/>
              </w:rPr>
              <w:br/>
            </w:r>
            <w:r w:rsidRPr="00D020C3">
              <w:rPr>
                <w:b/>
                <w:noProof/>
                <w:sz w:val="18"/>
              </w:rPr>
              <w:t>N</w:t>
            </w:r>
          </w:p>
        </w:tc>
        <w:tc>
          <w:tcPr>
            <w:tcW w:w="900" w:type="dxa"/>
            <w:vAlign w:val="center"/>
          </w:tcPr>
          <w:p w14:paraId="2AFFA5DA" w14:textId="77777777" w:rsidR="00BD152F" w:rsidRPr="00D96C74" w:rsidRDefault="00BD152F" w:rsidP="00B00391">
            <w:pPr>
              <w:jc w:val="center"/>
              <w:rPr>
                <w:noProof/>
                <w:sz w:val="18"/>
              </w:rPr>
            </w:pPr>
            <w:r w:rsidRPr="00D96C74">
              <w:rPr>
                <w:noProof/>
                <w:sz w:val="18"/>
              </w:rPr>
              <w:t>Anul</w:t>
            </w:r>
            <w:r w:rsidRPr="00D96C74">
              <w:rPr>
                <w:noProof/>
              </w:rPr>
              <w:t xml:space="preserve"> </w:t>
            </w:r>
            <w:r w:rsidRPr="00D96C74">
              <w:rPr>
                <w:noProof/>
              </w:rPr>
              <w:br/>
            </w:r>
            <w:r w:rsidRPr="00D020C3">
              <w:rPr>
                <w:b/>
                <w:noProof/>
                <w:sz w:val="18"/>
              </w:rPr>
              <w:t>N+1</w:t>
            </w:r>
          </w:p>
        </w:tc>
        <w:tc>
          <w:tcPr>
            <w:tcW w:w="900" w:type="dxa"/>
            <w:vAlign w:val="center"/>
          </w:tcPr>
          <w:p w14:paraId="2C8A628E" w14:textId="77777777" w:rsidR="00BD152F" w:rsidRPr="00D96C74" w:rsidRDefault="00BD152F" w:rsidP="00B00391">
            <w:pPr>
              <w:jc w:val="center"/>
              <w:rPr>
                <w:noProof/>
                <w:sz w:val="18"/>
              </w:rPr>
            </w:pPr>
            <w:r w:rsidRPr="00D96C74">
              <w:rPr>
                <w:noProof/>
                <w:sz w:val="18"/>
              </w:rPr>
              <w:t>Anul</w:t>
            </w:r>
            <w:r w:rsidRPr="00D96C74">
              <w:rPr>
                <w:noProof/>
              </w:rPr>
              <w:t xml:space="preserve"> </w:t>
            </w:r>
            <w:r w:rsidRPr="00D96C74">
              <w:rPr>
                <w:noProof/>
              </w:rPr>
              <w:br/>
            </w:r>
            <w:r w:rsidRPr="00D020C3">
              <w:rPr>
                <w:b/>
                <w:noProof/>
                <w:sz w:val="18"/>
              </w:rPr>
              <w:t>N+2</w:t>
            </w:r>
          </w:p>
        </w:tc>
        <w:tc>
          <w:tcPr>
            <w:tcW w:w="1080" w:type="dxa"/>
            <w:vAlign w:val="center"/>
          </w:tcPr>
          <w:p w14:paraId="53F3AA91" w14:textId="77777777" w:rsidR="00BD152F" w:rsidRPr="00D96C74" w:rsidRDefault="00BD152F" w:rsidP="00B00391">
            <w:pPr>
              <w:jc w:val="center"/>
              <w:rPr>
                <w:noProof/>
                <w:sz w:val="18"/>
              </w:rPr>
            </w:pPr>
            <w:r w:rsidRPr="00D96C74">
              <w:rPr>
                <w:noProof/>
                <w:sz w:val="18"/>
              </w:rPr>
              <w:t>Anul</w:t>
            </w:r>
            <w:r w:rsidRPr="00D96C74">
              <w:rPr>
                <w:noProof/>
              </w:rPr>
              <w:t xml:space="preserve"> </w:t>
            </w:r>
            <w:r w:rsidRPr="00D96C74">
              <w:rPr>
                <w:noProof/>
              </w:rPr>
              <w:br/>
            </w:r>
            <w:r w:rsidRPr="00D020C3">
              <w:rPr>
                <w:b/>
                <w:noProof/>
                <w:sz w:val="18"/>
              </w:rPr>
              <w:t>N+3</w:t>
            </w:r>
          </w:p>
        </w:tc>
        <w:tc>
          <w:tcPr>
            <w:tcW w:w="3240" w:type="dxa"/>
            <w:gridSpan w:val="3"/>
            <w:vAlign w:val="center"/>
          </w:tcPr>
          <w:p w14:paraId="45E3535E" w14:textId="77777777" w:rsidR="00BD152F" w:rsidRPr="00D020C3" w:rsidRDefault="00BD152F" w:rsidP="00B00391">
            <w:pPr>
              <w:jc w:val="center"/>
              <w:rPr>
                <w:b/>
                <w:noProof/>
                <w:sz w:val="18"/>
              </w:rPr>
            </w:pPr>
            <w:r w:rsidRPr="00D96C74">
              <w:rPr>
                <w:noProof/>
                <w:sz w:val="18"/>
              </w:rPr>
              <w:t>A se introduce atâția ani câți sunt considerați necesari pentru a reflecta durata impactului (a se vedea punctul </w:t>
            </w:r>
            <w:r w:rsidRPr="00D020C3">
              <w:rPr>
                <w:noProof/>
                <w:sz w:val="18"/>
              </w:rPr>
              <w:t>1</w:t>
            </w:r>
            <w:r w:rsidRPr="00D96C74">
              <w:rPr>
                <w:noProof/>
                <w:sz w:val="18"/>
              </w:rPr>
              <w:t>.</w:t>
            </w:r>
            <w:r w:rsidRPr="00D020C3">
              <w:rPr>
                <w:noProof/>
                <w:sz w:val="18"/>
              </w:rPr>
              <w:t>6</w:t>
            </w:r>
            <w:r w:rsidRPr="00D96C74">
              <w:rPr>
                <w:noProof/>
                <w:sz w:val="18"/>
              </w:rPr>
              <w:t>)</w:t>
            </w:r>
          </w:p>
        </w:tc>
      </w:tr>
      <w:tr w:rsidR="00151042" w:rsidRPr="00D96C74" w14:paraId="39AA4F63" w14:textId="77777777" w:rsidTr="1BD3479F">
        <w:trPr>
          <w:trHeight w:val="388"/>
        </w:trPr>
        <w:tc>
          <w:tcPr>
            <w:tcW w:w="2144" w:type="dxa"/>
            <w:vAlign w:val="center"/>
          </w:tcPr>
          <w:p w14:paraId="15218F1C" w14:textId="77777777" w:rsidR="00BD152F" w:rsidRPr="00D96C74" w:rsidRDefault="00BD152F" w:rsidP="00B00391">
            <w:pPr>
              <w:spacing w:before="40" w:after="40"/>
              <w:rPr>
                <w:noProof/>
                <w:sz w:val="18"/>
              </w:rPr>
            </w:pPr>
            <w:r w:rsidRPr="00D96C74">
              <w:rPr>
                <w:noProof/>
                <w:sz w:val="18"/>
              </w:rPr>
              <w:t>Articolul ………….</w:t>
            </w:r>
          </w:p>
        </w:tc>
        <w:tc>
          <w:tcPr>
            <w:tcW w:w="1325" w:type="dxa"/>
          </w:tcPr>
          <w:p w14:paraId="437BE3AA" w14:textId="77777777" w:rsidR="00BD152F" w:rsidRPr="008D4D1E" w:rsidRDefault="00BD152F" w:rsidP="00B00391">
            <w:pPr>
              <w:spacing w:beforeLines="40" w:before="96" w:afterLines="40" w:after="96"/>
              <w:jc w:val="center"/>
              <w:rPr>
                <w:i/>
                <w:noProof/>
                <w:sz w:val="18"/>
              </w:rPr>
            </w:pPr>
          </w:p>
        </w:tc>
        <w:tc>
          <w:tcPr>
            <w:tcW w:w="1031" w:type="dxa"/>
          </w:tcPr>
          <w:p w14:paraId="02D9B6F8" w14:textId="77777777" w:rsidR="00BD152F" w:rsidRPr="00D96C74" w:rsidRDefault="00BD152F" w:rsidP="00B00391">
            <w:pPr>
              <w:spacing w:beforeLines="40" w:before="96" w:afterLines="40" w:after="96"/>
              <w:jc w:val="center"/>
              <w:rPr>
                <w:noProof/>
                <w:sz w:val="18"/>
              </w:rPr>
            </w:pPr>
          </w:p>
        </w:tc>
        <w:tc>
          <w:tcPr>
            <w:tcW w:w="900" w:type="dxa"/>
          </w:tcPr>
          <w:p w14:paraId="754D0322" w14:textId="77777777" w:rsidR="00BD152F" w:rsidRPr="00D96C74" w:rsidRDefault="00BD152F" w:rsidP="00B00391">
            <w:pPr>
              <w:spacing w:beforeLines="40" w:before="96" w:afterLines="40" w:after="96"/>
              <w:jc w:val="center"/>
              <w:rPr>
                <w:noProof/>
                <w:sz w:val="18"/>
              </w:rPr>
            </w:pPr>
          </w:p>
        </w:tc>
        <w:tc>
          <w:tcPr>
            <w:tcW w:w="900" w:type="dxa"/>
          </w:tcPr>
          <w:p w14:paraId="267E34A7" w14:textId="77777777" w:rsidR="00BD152F" w:rsidRPr="00D96C74" w:rsidRDefault="00BD152F" w:rsidP="00B00391">
            <w:pPr>
              <w:spacing w:beforeLines="40" w:before="96" w:afterLines="40" w:after="96"/>
              <w:jc w:val="center"/>
              <w:rPr>
                <w:noProof/>
                <w:sz w:val="18"/>
              </w:rPr>
            </w:pPr>
          </w:p>
        </w:tc>
        <w:tc>
          <w:tcPr>
            <w:tcW w:w="1080" w:type="dxa"/>
          </w:tcPr>
          <w:p w14:paraId="52B6BA77" w14:textId="77777777" w:rsidR="00BD152F" w:rsidRPr="00D96C74" w:rsidRDefault="00BD152F" w:rsidP="00B00391">
            <w:pPr>
              <w:spacing w:beforeLines="40" w:before="96" w:afterLines="40" w:after="96"/>
              <w:jc w:val="center"/>
              <w:rPr>
                <w:noProof/>
                <w:sz w:val="18"/>
              </w:rPr>
            </w:pPr>
          </w:p>
        </w:tc>
        <w:tc>
          <w:tcPr>
            <w:tcW w:w="1080" w:type="dxa"/>
          </w:tcPr>
          <w:p w14:paraId="471C523A" w14:textId="77777777" w:rsidR="00BD152F" w:rsidRPr="00D96C74" w:rsidRDefault="00BD152F" w:rsidP="00B00391">
            <w:pPr>
              <w:spacing w:beforeLines="40" w:before="96" w:afterLines="40" w:after="96"/>
              <w:jc w:val="center"/>
              <w:rPr>
                <w:noProof/>
                <w:sz w:val="18"/>
              </w:rPr>
            </w:pPr>
          </w:p>
        </w:tc>
        <w:tc>
          <w:tcPr>
            <w:tcW w:w="1080" w:type="dxa"/>
          </w:tcPr>
          <w:p w14:paraId="248B6399" w14:textId="77777777" w:rsidR="00BD152F" w:rsidRPr="00D96C74" w:rsidRDefault="00BD152F" w:rsidP="00B00391">
            <w:pPr>
              <w:spacing w:beforeLines="40" w:before="96" w:afterLines="40" w:after="96"/>
              <w:jc w:val="center"/>
              <w:rPr>
                <w:noProof/>
                <w:sz w:val="18"/>
              </w:rPr>
            </w:pPr>
          </w:p>
        </w:tc>
        <w:tc>
          <w:tcPr>
            <w:tcW w:w="1080" w:type="dxa"/>
          </w:tcPr>
          <w:p w14:paraId="1278A6F9" w14:textId="77777777" w:rsidR="00BD152F" w:rsidRPr="00D96C74" w:rsidRDefault="00BD152F" w:rsidP="00B00391">
            <w:pPr>
              <w:spacing w:beforeLines="40" w:before="96" w:afterLines="40" w:after="96"/>
              <w:jc w:val="center"/>
              <w:rPr>
                <w:noProof/>
                <w:sz w:val="18"/>
              </w:rPr>
            </w:pPr>
          </w:p>
        </w:tc>
      </w:tr>
    </w:tbl>
    <w:p w14:paraId="55B453E4" w14:textId="77777777" w:rsidR="00BD152F" w:rsidRPr="00D96C74" w:rsidRDefault="00BD152F" w:rsidP="00B00391">
      <w:pPr>
        <w:pStyle w:val="Text1"/>
        <w:rPr>
          <w:noProof/>
          <w:sz w:val="20"/>
        </w:rPr>
      </w:pPr>
      <w:r w:rsidRPr="00D96C74">
        <w:rPr>
          <w:noProof/>
          <w:sz w:val="20"/>
        </w:rPr>
        <w:t>Pentru veniturile alocate, a se preciza linia (liniile) bugetară (bugetare) de cheltuieli afectată (afectate).</w:t>
      </w:r>
    </w:p>
    <w:p w14:paraId="0203443F" w14:textId="63C1CE99" w:rsidR="00BD152F" w:rsidRPr="00D96C74" w:rsidRDefault="00BD152F" w:rsidP="00B00391">
      <w:pPr>
        <w:pStyle w:val="Text1"/>
        <w:pBdr>
          <w:top w:val="single" w:sz="4" w:space="1" w:color="auto"/>
          <w:left w:val="single" w:sz="4" w:space="4" w:color="auto"/>
          <w:bottom w:val="single" w:sz="4" w:space="1" w:color="auto"/>
          <w:right w:val="single" w:sz="4" w:space="4" w:color="auto"/>
        </w:pBdr>
        <w:rPr>
          <w:noProof/>
        </w:rPr>
      </w:pPr>
    </w:p>
    <w:p w14:paraId="525DE660" w14:textId="77777777" w:rsidR="00BD152F" w:rsidRPr="00D96C74" w:rsidRDefault="00BD152F" w:rsidP="00B00391">
      <w:pPr>
        <w:pStyle w:val="Text1"/>
        <w:rPr>
          <w:noProof/>
          <w:sz w:val="20"/>
        </w:rPr>
      </w:pPr>
      <w:r w:rsidRPr="00D96C74">
        <w:rPr>
          <w:noProof/>
          <w:sz w:val="20"/>
        </w:rPr>
        <w:t>Alte observații (de exemplu, metoda/formula utilizată pentru calcularea impactului asupra veniturilor sau orice alte informații).</w:t>
      </w:r>
    </w:p>
    <w:p w14:paraId="775BC146" w14:textId="1D1FAF2E" w:rsidR="00BD152F" w:rsidRPr="00D96C74" w:rsidRDefault="00BD152F" w:rsidP="00B00391">
      <w:pPr>
        <w:pStyle w:val="Text1"/>
        <w:pBdr>
          <w:top w:val="single" w:sz="4" w:space="1" w:color="auto"/>
          <w:left w:val="single" w:sz="4" w:space="4" w:color="auto"/>
          <w:bottom w:val="single" w:sz="4" w:space="1" w:color="auto"/>
          <w:right w:val="single" w:sz="4" w:space="4" w:color="auto"/>
        </w:pBdr>
        <w:rPr>
          <w:noProof/>
        </w:rPr>
      </w:pPr>
    </w:p>
    <w:sectPr w:rsidR="00BD152F" w:rsidRPr="00D96C74" w:rsidSect="00311D4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85E47" w14:textId="77777777" w:rsidR="009C3813" w:rsidRDefault="009C3813" w:rsidP="00BD152F">
      <w:pPr>
        <w:spacing w:before="0" w:after="0"/>
      </w:pPr>
      <w:r>
        <w:separator/>
      </w:r>
    </w:p>
  </w:endnote>
  <w:endnote w:type="continuationSeparator" w:id="0">
    <w:p w14:paraId="0A6E9F40" w14:textId="77777777" w:rsidR="009C3813" w:rsidRDefault="009C3813" w:rsidP="00BD152F">
      <w:pPr>
        <w:spacing w:before="0" w:after="0"/>
      </w:pPr>
      <w:r>
        <w:continuationSeparator/>
      </w:r>
    </w:p>
  </w:endnote>
  <w:endnote w:type="continuationNotice" w:id="1">
    <w:p w14:paraId="3C5942D1" w14:textId="77777777" w:rsidR="009C3813" w:rsidRDefault="009C38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399FB" w14:textId="0BE4BB13" w:rsidR="00E90D01" w:rsidRPr="00311D41" w:rsidRDefault="00311D41" w:rsidP="00311D41">
    <w:pPr>
      <w:pStyle w:val="Footer"/>
      <w:rPr>
        <w:rFonts w:ascii="Arial" w:hAnsi="Arial" w:cs="Arial"/>
        <w:b/>
        <w:sz w:val="48"/>
      </w:rPr>
    </w:pPr>
    <w:r w:rsidRPr="00311D41">
      <w:rPr>
        <w:rFonts w:ascii="Arial" w:hAnsi="Arial" w:cs="Arial"/>
        <w:b/>
        <w:sz w:val="48"/>
      </w:rPr>
      <w:t>RO</w:t>
    </w:r>
    <w:r w:rsidRPr="00311D41">
      <w:rPr>
        <w:rFonts w:ascii="Arial" w:hAnsi="Arial" w:cs="Arial"/>
        <w:b/>
        <w:sz w:val="48"/>
      </w:rPr>
      <w:tab/>
    </w:r>
    <w:r w:rsidRPr="00311D41">
      <w:rPr>
        <w:rFonts w:ascii="Arial" w:hAnsi="Arial" w:cs="Arial"/>
        <w:b/>
        <w:sz w:val="48"/>
      </w:rPr>
      <w:tab/>
    </w:r>
    <w:r w:rsidRPr="00311D41">
      <w:tab/>
    </w:r>
    <w:r w:rsidRPr="00311D41">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6EB69" w14:textId="69EBB992" w:rsidR="00311D41" w:rsidRPr="00311D41" w:rsidRDefault="00311D41" w:rsidP="00311D41">
    <w:pPr>
      <w:pStyle w:val="Footer"/>
      <w:rPr>
        <w:rFonts w:ascii="Arial" w:hAnsi="Arial" w:cs="Arial"/>
        <w:b/>
        <w:sz w:val="48"/>
      </w:rPr>
    </w:pPr>
    <w:r w:rsidRPr="00311D41">
      <w:rPr>
        <w:rFonts w:ascii="Arial" w:hAnsi="Arial" w:cs="Arial"/>
        <w:b/>
        <w:sz w:val="48"/>
      </w:rPr>
      <w:t>RO</w:t>
    </w:r>
    <w:r w:rsidRPr="00311D41">
      <w:rPr>
        <w:rFonts w:ascii="Arial" w:hAnsi="Arial" w:cs="Arial"/>
        <w:b/>
        <w:sz w:val="48"/>
      </w:rPr>
      <w:tab/>
    </w:r>
    <w:r>
      <w:fldChar w:fldCharType="begin"/>
    </w:r>
    <w:r>
      <w:instrText xml:space="preserve"> PAGE  \* MERGEFORMAT </w:instrText>
    </w:r>
    <w:r>
      <w:fldChar w:fldCharType="separate"/>
    </w:r>
    <w:r w:rsidR="00E07636">
      <w:rPr>
        <w:noProof/>
      </w:rPr>
      <w:t>58</w:t>
    </w:r>
    <w:r>
      <w:fldChar w:fldCharType="end"/>
    </w:r>
    <w:r>
      <w:tab/>
    </w:r>
    <w:r w:rsidRPr="00311D41">
      <w:tab/>
    </w:r>
    <w:r w:rsidRPr="00311D41">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68B67" w14:textId="77777777" w:rsidR="00311D41" w:rsidRPr="00311D41" w:rsidRDefault="00311D41" w:rsidP="00311D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2D98" w14:textId="5E5BA145" w:rsidR="00311D41" w:rsidRPr="00311D41" w:rsidRDefault="00311D41" w:rsidP="00311D41">
    <w:pPr>
      <w:pStyle w:val="FooterLandscape"/>
      <w:rPr>
        <w:rFonts w:ascii="Arial" w:hAnsi="Arial" w:cs="Arial"/>
        <w:b/>
        <w:sz w:val="48"/>
      </w:rPr>
    </w:pPr>
    <w:r w:rsidRPr="00311D41">
      <w:rPr>
        <w:rFonts w:ascii="Arial" w:hAnsi="Arial" w:cs="Arial"/>
        <w:b/>
        <w:sz w:val="48"/>
      </w:rPr>
      <w:t>RO</w:t>
    </w:r>
    <w:r w:rsidRPr="00311D41">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11D41">
      <w:tab/>
    </w:r>
    <w:r w:rsidRPr="00311D41">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34560" w14:textId="77777777" w:rsidR="00311D41" w:rsidRPr="00311D41" w:rsidRDefault="00311D41" w:rsidP="00311D41">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54B8F" w14:textId="44BEB2D0" w:rsidR="00006B65" w:rsidRPr="00311D41" w:rsidRDefault="00311D41" w:rsidP="00311D41">
    <w:pPr>
      <w:pStyle w:val="Footer"/>
      <w:rPr>
        <w:rFonts w:ascii="Arial" w:hAnsi="Arial" w:cs="Arial"/>
        <w:b/>
        <w:sz w:val="48"/>
      </w:rPr>
    </w:pPr>
    <w:r w:rsidRPr="00311D41">
      <w:rPr>
        <w:rFonts w:ascii="Arial" w:hAnsi="Arial" w:cs="Arial"/>
        <w:b/>
        <w:sz w:val="48"/>
      </w:rPr>
      <w:t>RO</w:t>
    </w:r>
    <w:r w:rsidRPr="00311D4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311D41">
      <w:tab/>
    </w:r>
    <w:r w:rsidRPr="00311D41">
      <w:rPr>
        <w:rFonts w:ascii="Arial" w:hAnsi="Arial" w:cs="Arial"/>
        <w:b/>
        <w:sz w:val="48"/>
      </w:rPr>
      <w:t>RO</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371D8" w14:textId="77777777" w:rsidR="00311D41" w:rsidRPr="00311D41" w:rsidRDefault="00311D41" w:rsidP="00311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1A1B4" w14:textId="77777777" w:rsidR="009C3813" w:rsidRDefault="009C3813" w:rsidP="00BD152F">
      <w:pPr>
        <w:spacing w:before="0" w:after="0"/>
      </w:pPr>
      <w:r>
        <w:separator/>
      </w:r>
    </w:p>
  </w:footnote>
  <w:footnote w:type="continuationSeparator" w:id="0">
    <w:p w14:paraId="51239E26" w14:textId="77777777" w:rsidR="009C3813" w:rsidRDefault="009C3813" w:rsidP="00BD152F">
      <w:pPr>
        <w:spacing w:before="0" w:after="0"/>
      </w:pPr>
      <w:r>
        <w:continuationSeparator/>
      </w:r>
    </w:p>
  </w:footnote>
  <w:footnote w:type="continuationNotice" w:id="1">
    <w:p w14:paraId="1526ACD9" w14:textId="77777777" w:rsidR="009C3813" w:rsidRDefault="009C3813">
      <w:pPr>
        <w:spacing w:before="0" w:after="0"/>
      </w:pPr>
    </w:p>
  </w:footnote>
  <w:footnote w:id="2">
    <w:p w14:paraId="253D051E" w14:textId="4BF0677E" w:rsidR="00B24CA9" w:rsidRPr="000F1E2A" w:rsidRDefault="00B24CA9">
      <w:pPr>
        <w:pStyle w:val="FootnoteText"/>
      </w:pPr>
      <w:r>
        <w:rPr>
          <w:rStyle w:val="FootnoteReference"/>
        </w:rPr>
        <w:footnoteRef/>
      </w:r>
      <w:r>
        <w:tab/>
      </w:r>
      <w:r w:rsidRPr="000F1E2A">
        <w:t>Comunicarea Comisiei către Parlamentul European, Consiliul European, Consiliu, Comitetul Economic și Social European și Comitetul Regiunilor: Pactul verde european, COM(2019) 640 final.</w:t>
      </w:r>
    </w:p>
  </w:footnote>
  <w:footnote w:id="3">
    <w:p w14:paraId="30FA0C84" w14:textId="77777777" w:rsidR="00B24CA9" w:rsidRPr="000F1E2A" w:rsidRDefault="00B24CA9">
      <w:pPr>
        <w:pStyle w:val="FootnoteText"/>
      </w:pPr>
      <w:r w:rsidRPr="000F1E2A">
        <w:rPr>
          <w:rStyle w:val="FootnoteReference"/>
        </w:rPr>
        <w:footnoteRef/>
      </w:r>
      <w:r w:rsidRPr="000F1E2A">
        <w:tab/>
        <w:t xml:space="preserve">Un nou Plan de acțiune privind economia circulară: Pentru o Europă mai curată și mai competitivă, </w:t>
      </w:r>
      <w:r w:rsidRPr="000F1E2A">
        <w:rPr>
          <w:color w:val="333333"/>
        </w:rPr>
        <w:t>COM(2020) 98 final</w:t>
      </w:r>
      <w:r w:rsidRPr="000F1E2A">
        <w:t xml:space="preserve"> din 11.3.2020.</w:t>
      </w:r>
    </w:p>
  </w:footnote>
  <w:footnote w:id="4">
    <w:p w14:paraId="03BEFBC6" w14:textId="68BDBC9D" w:rsidR="00B24CA9" w:rsidRPr="000F1E2A" w:rsidRDefault="00B24CA9">
      <w:pPr>
        <w:pStyle w:val="FootnoteText"/>
      </w:pPr>
      <w:r w:rsidRPr="000F1E2A">
        <w:rPr>
          <w:rStyle w:val="FootnoteReference"/>
        </w:rPr>
        <w:footnoteRef/>
      </w:r>
      <w:r w:rsidRPr="000F1E2A">
        <w:tab/>
      </w:r>
      <w:hyperlink r:id="rId1" w:history="1">
        <w:r w:rsidRPr="000F1E2A">
          <w:rPr>
            <w:rStyle w:val="Hyperlink"/>
          </w:rPr>
          <w:t>Căile de tranziție ale UE (europa.eu)</w:t>
        </w:r>
      </w:hyperlink>
      <w:r w:rsidRPr="000F1E2A">
        <w:t>.</w:t>
      </w:r>
    </w:p>
  </w:footnote>
  <w:footnote w:id="5">
    <w:p w14:paraId="50CD89E9" w14:textId="77777777" w:rsidR="00876A2B" w:rsidRPr="000F1E2A" w:rsidRDefault="00876A2B" w:rsidP="00876A2B">
      <w:pPr>
        <w:pStyle w:val="FootnoteText"/>
      </w:pPr>
      <w:r w:rsidRPr="000F1E2A">
        <w:rPr>
          <w:rStyle w:val="FootnoteReference"/>
        </w:rPr>
        <w:footnoteRef/>
      </w:r>
      <w:r w:rsidRPr="000F1E2A">
        <w:tab/>
      </w:r>
      <w:r w:rsidRPr="000F1E2A">
        <w:rPr>
          <w:rStyle w:val="normaltextrun"/>
          <w:color w:val="000000" w:themeColor="text1"/>
        </w:rPr>
        <w:t>JO L 312 22.11.2008, p. 3.</w:t>
      </w:r>
    </w:p>
  </w:footnote>
  <w:footnote w:id="6">
    <w:p w14:paraId="78308536" w14:textId="77777777" w:rsidR="0050683A" w:rsidRPr="000F1E2A" w:rsidRDefault="0050683A">
      <w:pPr>
        <w:pStyle w:val="FootnoteText"/>
      </w:pPr>
      <w:r w:rsidRPr="000F1E2A">
        <w:rPr>
          <w:rStyle w:val="FootnoteReference"/>
        </w:rPr>
        <w:footnoteRef/>
      </w:r>
      <w:r w:rsidRPr="000F1E2A">
        <w:tab/>
      </w:r>
      <w:r w:rsidRPr="000F1E2A">
        <w:rPr>
          <w:rStyle w:val="normaltextrun"/>
          <w:color w:val="000000"/>
          <w:shd w:val="clear" w:color="auto" w:fill="FFFFFF"/>
        </w:rPr>
        <w:t xml:space="preserve">Agenția Europeană de Mediu, </w:t>
      </w:r>
      <w:r w:rsidRPr="000F1E2A">
        <w:rPr>
          <w:rStyle w:val="normaltextrun"/>
          <w:i/>
          <w:color w:val="000000"/>
          <w:shd w:val="clear" w:color="auto" w:fill="FFFFFF"/>
        </w:rPr>
        <w:t>Prevenirea deșeurilor în Europa</w:t>
      </w:r>
      <w:r w:rsidRPr="000F1E2A">
        <w:rPr>
          <w:rStyle w:val="normaltextrun"/>
          <w:color w:val="000000"/>
          <w:shd w:val="clear" w:color="auto" w:fill="FFFFFF"/>
        </w:rPr>
        <w:t xml:space="preserve">, 2021, </w:t>
      </w:r>
      <w:hyperlink r:id="rId2" w:tgtFrame="_blank" w:history="1">
        <w:r w:rsidRPr="000F1E2A">
          <w:rPr>
            <w:rStyle w:val="normaltextrun"/>
            <w:color w:val="0000FF"/>
            <w:u w:val="single"/>
            <w:shd w:val="clear" w:color="auto" w:fill="FFFFFF"/>
          </w:rPr>
          <w:t>Waste prevention in Europe – Agenția Europeană de Mediu (europa.eu)</w:t>
        </w:r>
      </w:hyperlink>
      <w:r w:rsidRPr="000F1E2A">
        <w:t>.</w:t>
      </w:r>
    </w:p>
  </w:footnote>
  <w:footnote w:id="7">
    <w:p w14:paraId="78735316" w14:textId="77777777" w:rsidR="0097087E" w:rsidRPr="000F1E2A" w:rsidRDefault="0097087E">
      <w:pPr>
        <w:pStyle w:val="FootnoteText"/>
      </w:pPr>
      <w:r w:rsidRPr="000F1E2A">
        <w:rPr>
          <w:rStyle w:val="FootnoteReference"/>
        </w:rPr>
        <w:footnoteRef/>
      </w:r>
      <w:r w:rsidRPr="000F1E2A">
        <w:tab/>
      </w:r>
      <w:r w:rsidRPr="000F1E2A">
        <w:rPr>
          <w:rStyle w:val="normaltextrun"/>
          <w:color w:val="000000"/>
          <w:shd w:val="clear" w:color="auto" w:fill="FFFFFF"/>
        </w:rPr>
        <w:t>Lai, O., </w:t>
      </w:r>
      <w:r w:rsidRPr="000F1E2A">
        <w:rPr>
          <w:rStyle w:val="normaltextrun"/>
          <w:i/>
          <w:color w:val="000000"/>
          <w:shd w:val="clear" w:color="auto" w:fill="FFFFFF"/>
        </w:rPr>
        <w:t>What is fast fashion</w:t>
      </w:r>
      <w:r w:rsidRPr="000F1E2A">
        <w:rPr>
          <w:rStyle w:val="normaltextrun"/>
          <w:color w:val="000000"/>
          <w:shd w:val="clear" w:color="auto" w:fill="FFFFFF"/>
        </w:rPr>
        <w:t xml:space="preserve"> (Ce este moda de consum), Earth.org, 2021, </w:t>
      </w:r>
      <w:hyperlink r:id="rId3" w:tgtFrame="_blank" w:history="1">
        <w:r w:rsidRPr="000F1E2A">
          <w:rPr>
            <w:rStyle w:val="normaltextrun"/>
            <w:color w:val="0000FF"/>
            <w:u w:val="single"/>
            <w:shd w:val="clear" w:color="auto" w:fill="FFFFFF"/>
          </w:rPr>
          <w:t>https://earth.org/what-is-fast-fashion</w:t>
        </w:r>
      </w:hyperlink>
      <w:r w:rsidRPr="000F1E2A">
        <w:t>.</w:t>
      </w:r>
    </w:p>
  </w:footnote>
  <w:footnote w:id="8">
    <w:p w14:paraId="7B477789" w14:textId="77777777" w:rsidR="0097087E" w:rsidRPr="000F1E2A" w:rsidRDefault="0097087E">
      <w:pPr>
        <w:pStyle w:val="FootnoteText"/>
      </w:pPr>
      <w:r w:rsidRPr="000F1E2A">
        <w:rPr>
          <w:rStyle w:val="FootnoteReference"/>
        </w:rPr>
        <w:footnoteRef/>
      </w:r>
      <w:r w:rsidRPr="000F1E2A">
        <w:tab/>
      </w:r>
      <w:r w:rsidRPr="000F1E2A">
        <w:rPr>
          <w:rStyle w:val="normaltextrun"/>
          <w:color w:val="000000"/>
          <w:bdr w:val="none" w:sz="0" w:space="0" w:color="auto" w:frame="1"/>
        </w:rPr>
        <w:t>Atelier cu părțile interesate.</w:t>
      </w:r>
    </w:p>
  </w:footnote>
  <w:footnote w:id="9">
    <w:p w14:paraId="7FC1CF68" w14:textId="77777777" w:rsidR="0097087E" w:rsidRPr="000F1E2A" w:rsidRDefault="0097087E">
      <w:pPr>
        <w:pStyle w:val="FootnoteText"/>
      </w:pPr>
      <w:r w:rsidRPr="000F1E2A">
        <w:rPr>
          <w:rStyle w:val="FootnoteReference"/>
        </w:rPr>
        <w:footnoteRef/>
      </w:r>
      <w:r w:rsidRPr="000F1E2A">
        <w:tab/>
      </w:r>
      <w:r w:rsidRPr="000F1E2A">
        <w:rPr>
          <w:rStyle w:val="normaltextrun"/>
          <w:color w:val="000000"/>
          <w:shd w:val="clear" w:color="auto" w:fill="FFFFFF"/>
        </w:rPr>
        <w:t xml:space="preserve">Comisia Europeană, Centrul Comun de Cercetare, 2021, </w:t>
      </w:r>
      <w:hyperlink r:id="rId4" w:tgtFrame="_blank" w:history="1">
        <w:r w:rsidRPr="000F1E2A">
          <w:rPr>
            <w:rStyle w:val="normaltextrun"/>
            <w:color w:val="0000FF"/>
            <w:u w:val="single"/>
            <w:shd w:val="clear" w:color="auto" w:fill="FFFFFF"/>
          </w:rPr>
          <w:t>https://data.europa.eu/doi/10.2760/858144</w:t>
        </w:r>
      </w:hyperlink>
      <w:r w:rsidRPr="000F1E2A">
        <w:rPr>
          <w:rStyle w:val="normaltextrun"/>
          <w:color w:val="000000"/>
          <w:shd w:val="clear" w:color="auto" w:fill="FFFFFF"/>
        </w:rPr>
        <w:t>.</w:t>
      </w:r>
    </w:p>
  </w:footnote>
  <w:footnote w:id="10">
    <w:p w14:paraId="493EC6BC" w14:textId="77777777" w:rsidR="00B24CA9" w:rsidRPr="000F1E2A" w:rsidRDefault="00B24CA9">
      <w:pPr>
        <w:pStyle w:val="FootnoteText"/>
      </w:pPr>
      <w:r w:rsidRPr="000F1E2A">
        <w:rPr>
          <w:rStyle w:val="FootnoteReference"/>
        </w:rPr>
        <w:footnoteRef/>
      </w:r>
      <w:r w:rsidRPr="000F1E2A">
        <w:tab/>
        <w:t xml:space="preserve">Comisia Europeană, Centrul Comun de Cercetare. </w:t>
      </w:r>
      <w:r w:rsidRPr="000F1E2A">
        <w:rPr>
          <w:i/>
        </w:rPr>
        <w:t>Techno-scientific assessment of the management options for used and waste textiles</w:t>
      </w:r>
      <w:r w:rsidRPr="000F1E2A">
        <w:t xml:space="preserve"> (Evaluare tehnico-științifică a opțiunilor de gestionare a textilelor uzate și a deșeurilor textile). 2023 (în curs de elaborare).</w:t>
      </w:r>
    </w:p>
  </w:footnote>
  <w:footnote w:id="11">
    <w:p w14:paraId="085B012D" w14:textId="77777777" w:rsidR="0087161A" w:rsidRPr="000F1E2A" w:rsidRDefault="0087161A">
      <w:pPr>
        <w:pStyle w:val="FootnoteText"/>
      </w:pPr>
      <w:r w:rsidRPr="000F1E2A">
        <w:rPr>
          <w:rStyle w:val="FootnoteReference"/>
        </w:rPr>
        <w:footnoteRef/>
      </w:r>
      <w:r w:rsidRPr="000F1E2A">
        <w:tab/>
      </w:r>
      <w:r w:rsidRPr="000F1E2A">
        <w:rPr>
          <w:rStyle w:val="normaltextrun"/>
          <w:shd w:val="clear" w:color="auto" w:fill="FFFFFF"/>
        </w:rPr>
        <w:t>Comisia Europeană, Centrul Comun de Cercetare. </w:t>
      </w:r>
      <w:r w:rsidRPr="000F1E2A">
        <w:rPr>
          <w:rStyle w:val="normaltextrun"/>
          <w:i/>
          <w:shd w:val="clear" w:color="auto" w:fill="FFFFFF"/>
        </w:rPr>
        <w:t>Techno-scientific assessment of the management options for used and waste textiles</w:t>
      </w:r>
      <w:r w:rsidRPr="000F1E2A">
        <w:rPr>
          <w:rStyle w:val="normaltextrun"/>
          <w:shd w:val="clear" w:color="auto" w:fill="FFFFFF"/>
        </w:rPr>
        <w:t xml:space="preserve"> (Evaluare tehnico-științifică a opțiunilor de gestionare a textilelor uzate și a deșeurilor textile). 2023 (în curs de elaborare).</w:t>
      </w:r>
    </w:p>
  </w:footnote>
  <w:footnote w:id="12">
    <w:p w14:paraId="2648DDE3" w14:textId="77777777" w:rsidR="00770D83" w:rsidRPr="000F1E2A" w:rsidRDefault="00770D83">
      <w:pPr>
        <w:pStyle w:val="FootnoteText"/>
      </w:pPr>
      <w:r w:rsidRPr="000F1E2A">
        <w:rPr>
          <w:rStyle w:val="FootnoteReference"/>
        </w:rPr>
        <w:footnoteRef/>
      </w:r>
      <w:r w:rsidRPr="000F1E2A">
        <w:tab/>
      </w:r>
      <w:r w:rsidRPr="000F1E2A">
        <w:rPr>
          <w:rStyle w:val="normaltextrun"/>
          <w:color w:val="000000"/>
          <w:bdr w:val="none" w:sz="0" w:space="0" w:color="auto" w:frame="1"/>
        </w:rPr>
        <w:t>Agenția Europeană de Mediu, 2019.</w:t>
      </w:r>
    </w:p>
  </w:footnote>
  <w:footnote w:id="13">
    <w:p w14:paraId="54750C54" w14:textId="77777777" w:rsidR="00770D83" w:rsidRPr="000F1E2A" w:rsidRDefault="00770D83">
      <w:pPr>
        <w:pStyle w:val="FootnoteText"/>
      </w:pPr>
      <w:r w:rsidRPr="000F1E2A">
        <w:rPr>
          <w:rStyle w:val="FootnoteReference"/>
        </w:rPr>
        <w:footnoteRef/>
      </w:r>
      <w:r w:rsidRPr="000F1E2A">
        <w:tab/>
      </w:r>
      <w:r w:rsidRPr="000F1E2A">
        <w:rPr>
          <w:rStyle w:val="normaltextrun"/>
          <w:color w:val="000000"/>
          <w:shd w:val="clear" w:color="auto" w:fill="FFFFFF"/>
        </w:rPr>
        <w:t>AEM. </w:t>
      </w:r>
      <w:r w:rsidRPr="000F1E2A">
        <w:rPr>
          <w:rStyle w:val="normaltextrun"/>
          <w:i/>
          <w:color w:val="000000"/>
          <w:shd w:val="clear" w:color="auto" w:fill="FFFFFF"/>
        </w:rPr>
        <w:t>Textiles and the environment:</w:t>
      </w:r>
      <w:r w:rsidRPr="000F1E2A">
        <w:rPr>
          <w:rStyle w:val="normaltextrun"/>
          <w:color w:val="000000"/>
          <w:shd w:val="clear" w:color="auto" w:fill="FFFFFF"/>
        </w:rPr>
        <w:t xml:space="preserve"> </w:t>
      </w:r>
      <w:r w:rsidRPr="000F1E2A">
        <w:rPr>
          <w:rStyle w:val="normaltextrun"/>
          <w:i/>
          <w:color w:val="000000"/>
          <w:shd w:val="clear" w:color="auto" w:fill="FFFFFF"/>
        </w:rPr>
        <w:t>the role of design in Europe’s circular economy</w:t>
      </w:r>
      <w:r w:rsidRPr="000F1E2A">
        <w:rPr>
          <w:rStyle w:val="normaltextrun"/>
          <w:color w:val="000000"/>
          <w:shd w:val="clear" w:color="auto" w:fill="FFFFFF"/>
        </w:rPr>
        <w:t xml:space="preserve"> (Textilele și mediul: rolul proiectării în economia circulară a Europei (2022). Disponibil la: https://www.eea.europa.eu/publications/textiles-and-the-environment-the.</w:t>
      </w:r>
    </w:p>
  </w:footnote>
  <w:footnote w:id="14">
    <w:p w14:paraId="2966DB91" w14:textId="77777777" w:rsidR="00770D83" w:rsidRPr="000F1E2A" w:rsidRDefault="00770D83">
      <w:pPr>
        <w:pStyle w:val="FootnoteText"/>
      </w:pPr>
      <w:r w:rsidRPr="000F1E2A">
        <w:rPr>
          <w:rStyle w:val="FootnoteReference"/>
        </w:rPr>
        <w:footnoteRef/>
      </w:r>
      <w:r w:rsidRPr="000F1E2A">
        <w:tab/>
      </w:r>
      <w:r w:rsidRPr="000F1E2A">
        <w:rPr>
          <w:rStyle w:val="normaltextrun"/>
          <w:color w:val="000000"/>
          <w:shd w:val="clear" w:color="auto" w:fill="FFFFFF"/>
        </w:rPr>
        <w:t xml:space="preserve">Fundația Ellen Mac Arthur, 2017, </w:t>
      </w:r>
      <w:r w:rsidRPr="000F1E2A">
        <w:rPr>
          <w:rStyle w:val="normaltextrun"/>
          <w:color w:val="0000FF"/>
          <w:u w:val="single"/>
          <w:shd w:val="clear" w:color="auto" w:fill="FFFFFF"/>
        </w:rPr>
        <w:t>https://ellenmacarthurfoundation.org/a-new-textiles-economy</w:t>
      </w:r>
      <w:r w:rsidRPr="000F1E2A">
        <w:rPr>
          <w:rStyle w:val="normaltextrun"/>
          <w:shd w:val="clear" w:color="auto" w:fill="FFFFFF"/>
        </w:rPr>
        <w:t>.</w:t>
      </w:r>
    </w:p>
  </w:footnote>
  <w:footnote w:id="15">
    <w:p w14:paraId="6A02167A" w14:textId="77777777" w:rsidR="00770D83" w:rsidRPr="000F1E2A" w:rsidRDefault="00770D83">
      <w:pPr>
        <w:pStyle w:val="FootnoteText"/>
      </w:pPr>
      <w:r w:rsidRPr="000F1E2A">
        <w:rPr>
          <w:rStyle w:val="FootnoteReference"/>
        </w:rPr>
        <w:footnoteRef/>
      </w:r>
      <w:r w:rsidRPr="000F1E2A">
        <w:tab/>
      </w:r>
      <w:r w:rsidRPr="000F1E2A">
        <w:rPr>
          <w:rStyle w:val="normaltextrun"/>
          <w:color w:val="000000"/>
          <w:shd w:val="clear" w:color="auto" w:fill="FFFFFF"/>
        </w:rPr>
        <w:t>Ierarhia deșeurilor este un concept central în DCD, care stabilește o ordine a preferințelor pentru gestionarea și eliminarea deșeurilor: mai întâi prevenirea(inclusiv reutilizarea), urmată de operațiunile de gestionare a deșeurilor: pregătirea pentru reutilizare, reciclarea, valorificarea și, în cele din urmă, eliminarea. Ierarhia este operaționalizată prin norme specifice și obiective de performanță, cum ar fi stabilirea unor obligații de colectare separată și a unor obiective de prevenire, reciclare sau reducere a eliminării în depozitele de deșeuri.</w:t>
      </w:r>
    </w:p>
  </w:footnote>
  <w:footnote w:id="16">
    <w:p w14:paraId="6D252720" w14:textId="77777777" w:rsidR="001E4A96" w:rsidRPr="000F1E2A" w:rsidRDefault="001E4A96">
      <w:pPr>
        <w:pStyle w:val="FootnoteText"/>
      </w:pPr>
      <w:r w:rsidRPr="000F1E2A">
        <w:rPr>
          <w:rStyle w:val="FootnoteReference"/>
        </w:rPr>
        <w:footnoteRef/>
      </w:r>
      <w:r w:rsidRPr="000F1E2A">
        <w:tab/>
      </w:r>
      <w:r w:rsidRPr="000F1E2A">
        <w:rPr>
          <w:rStyle w:val="normaltextrun"/>
          <w:color w:val="000000"/>
          <w:bdr w:val="none" w:sz="0" w:space="0" w:color="auto" w:frame="1"/>
        </w:rPr>
        <w:t>COM(2020) 98 final.</w:t>
      </w:r>
    </w:p>
  </w:footnote>
  <w:footnote w:id="17">
    <w:p w14:paraId="455AEA8A" w14:textId="77777777" w:rsidR="001E4A96" w:rsidRPr="000F1E2A" w:rsidRDefault="001E4A96">
      <w:pPr>
        <w:pStyle w:val="FootnoteText"/>
      </w:pPr>
      <w:r w:rsidRPr="000F1E2A">
        <w:rPr>
          <w:rStyle w:val="FootnoteReference"/>
        </w:rPr>
        <w:footnoteRef/>
      </w:r>
      <w:r w:rsidRPr="000F1E2A">
        <w:tab/>
      </w:r>
      <w:r w:rsidRPr="000F1E2A">
        <w:rPr>
          <w:rStyle w:val="normaltextrun"/>
          <w:color w:val="000000"/>
          <w:bdr w:val="none" w:sz="0" w:space="0" w:color="auto" w:frame="1"/>
        </w:rPr>
        <w:t>COM(2022) 141 final.</w:t>
      </w:r>
    </w:p>
  </w:footnote>
  <w:footnote w:id="18">
    <w:p w14:paraId="4BE489F9" w14:textId="77777777" w:rsidR="00FD1AD5" w:rsidRPr="000F1E2A" w:rsidRDefault="00FD1AD5">
      <w:pPr>
        <w:pStyle w:val="FootnoteText"/>
      </w:pPr>
      <w:r w:rsidRPr="000F1E2A">
        <w:rPr>
          <w:rStyle w:val="FootnoteReference"/>
        </w:rPr>
        <w:footnoteRef/>
      </w:r>
      <w:r w:rsidRPr="000F1E2A">
        <w:tab/>
      </w:r>
      <w:r w:rsidRPr="000F1E2A">
        <w:rPr>
          <w:rStyle w:val="normaltextrun"/>
          <w:color w:val="000000"/>
          <w:shd w:val="clear" w:color="auto" w:fill="FFFFFF"/>
        </w:rPr>
        <w:t xml:space="preserve">Sanye Mengual, E. și Sala, S., 2023. </w:t>
      </w:r>
      <w:r w:rsidRPr="000F1E2A">
        <w:rPr>
          <w:rStyle w:val="normaltextrun"/>
          <w:i/>
          <w:color w:val="000000"/>
          <w:shd w:val="clear" w:color="auto" w:fill="FFFFFF"/>
        </w:rPr>
        <w:t>Consumption Footprint and Domestic Footprint: Assessing the environmental impacts of EU consumption and production</w:t>
      </w:r>
      <w:r w:rsidRPr="000F1E2A">
        <w:rPr>
          <w:rStyle w:val="normaltextrun"/>
          <w:color w:val="000000"/>
          <w:shd w:val="clear" w:color="auto" w:fill="FFFFFF"/>
        </w:rPr>
        <w:t xml:space="preserve"> (Amprenta consumului și amprenta internă: Evaluarea impactului asupra mediului al consumului și al producției din UE).</w:t>
      </w:r>
      <w:r w:rsidRPr="000F1E2A">
        <w:t xml:space="preserve"> </w:t>
      </w:r>
    </w:p>
  </w:footnote>
  <w:footnote w:id="19">
    <w:p w14:paraId="198DE722" w14:textId="77777777" w:rsidR="00F8462C" w:rsidRPr="000F1E2A" w:rsidRDefault="00F8462C">
      <w:pPr>
        <w:pStyle w:val="FootnoteText"/>
      </w:pPr>
      <w:r w:rsidRPr="000F1E2A">
        <w:rPr>
          <w:rStyle w:val="FootnoteReference"/>
        </w:rPr>
        <w:footnoteRef/>
      </w:r>
      <w:r w:rsidRPr="000F1E2A">
        <w:tab/>
      </w:r>
      <w:r w:rsidRPr="000F1E2A">
        <w:rPr>
          <w:rStyle w:val="normaltextrun"/>
          <w:color w:val="000000"/>
          <w:shd w:val="clear" w:color="auto" w:fill="FFFFFF"/>
        </w:rPr>
        <w:t xml:space="preserve">Sanyé-Mengual, E., Biganzoli, F., Valente, A., Pfister, S. și Sala, S. (2023). </w:t>
      </w:r>
      <w:r w:rsidRPr="000F1E2A">
        <w:rPr>
          <w:rStyle w:val="normaltextrun"/>
          <w:i/>
          <w:color w:val="000000"/>
          <w:shd w:val="clear" w:color="auto" w:fill="FFFFFF"/>
        </w:rPr>
        <w:t>What are the main environmental impacts and products contributing to the biodiversity footprint of EU consumption? A comparison of life cycle impact assessment methods and models</w:t>
      </w:r>
      <w:r w:rsidRPr="000F1E2A">
        <w:t xml:space="preserve"> (Care sunt principalele impacturi asupra mediului și principalele produse care contribuie la amprenta asupra biodiversității a consumului din UE? Comparație a mai multe metode și modele de evaluare a impactului pe durata ciclului de viață).</w:t>
      </w:r>
    </w:p>
  </w:footnote>
  <w:footnote w:id="20">
    <w:p w14:paraId="73E8B660" w14:textId="77777777" w:rsidR="00F8462C" w:rsidRPr="000F1E2A" w:rsidRDefault="00F8462C">
      <w:pPr>
        <w:pStyle w:val="FootnoteText"/>
      </w:pPr>
      <w:r w:rsidRPr="000F1E2A">
        <w:rPr>
          <w:rStyle w:val="FootnoteReference"/>
        </w:rPr>
        <w:footnoteRef/>
      </w:r>
      <w:r w:rsidRPr="000F1E2A">
        <w:tab/>
      </w:r>
      <w:hyperlink r:id="rId5" w:tgtFrame="_blank" w:history="1">
        <w:r w:rsidRPr="000F1E2A">
          <w:rPr>
            <w:rStyle w:val="normaltextrun"/>
            <w:color w:val="0000FF"/>
            <w:u w:val="single"/>
            <w:shd w:val="clear" w:color="auto" w:fill="FFFFFF"/>
          </w:rPr>
          <w:t>https://ec.europa.eu/eurostat/databrowser/view/env_wasfw/default/table?lang=en</w:t>
        </w:r>
      </w:hyperlink>
      <w:r w:rsidRPr="000F1E2A">
        <w:t>.</w:t>
      </w:r>
    </w:p>
  </w:footnote>
  <w:footnote w:id="21">
    <w:p w14:paraId="41A97577" w14:textId="77777777" w:rsidR="00F8462C" w:rsidRPr="000F1E2A" w:rsidRDefault="00F8462C">
      <w:pPr>
        <w:pStyle w:val="FootnoteText"/>
      </w:pPr>
      <w:r w:rsidRPr="000F1E2A">
        <w:rPr>
          <w:rStyle w:val="FootnoteReference"/>
        </w:rPr>
        <w:footnoteRef/>
      </w:r>
      <w:r w:rsidRPr="000F1E2A">
        <w:tab/>
      </w:r>
      <w:r w:rsidRPr="000F1E2A">
        <w:rPr>
          <w:rStyle w:val="normaltextrun"/>
          <w:color w:val="000000"/>
          <w:shd w:val="clear" w:color="auto" w:fill="FFFFFF"/>
        </w:rPr>
        <w:t xml:space="preserve">Pentru calcul s-a utilizat metodologia privind amprenta consumului, astfel cum este prezentată în: Comisia Europeană, Centrul Comun de Cercetare, Sanyé Mengual, E., Sala, S., </w:t>
      </w:r>
      <w:r w:rsidRPr="000F1E2A">
        <w:rPr>
          <w:rStyle w:val="normaltextrun"/>
          <w:i/>
          <w:color w:val="000000"/>
          <w:shd w:val="clear" w:color="auto" w:fill="FFFFFF"/>
        </w:rPr>
        <w:t>Consumption footprint and domestic footprint: assessing the environmental impacts of EU consumption and production: life cycle assessment to support the European Green Deal</w:t>
      </w:r>
      <w:r w:rsidRPr="000F1E2A">
        <w:rPr>
          <w:rStyle w:val="normaltextrun"/>
          <w:color w:val="000000"/>
          <w:shd w:val="clear" w:color="auto" w:fill="FFFFFF"/>
        </w:rPr>
        <w:t xml:space="preserve"> (Amprenta consumului și amprenta internă: Evaluarea impactului asupra mediului al consumului și al producției din UE: evaluarea ciclului de viață în sprijinul Pactului verde european), Oficiul pentru Publicații al Uniunii Europene, 2023, https://data.europa.eu/doi/10.2760/218540.</w:t>
      </w:r>
    </w:p>
  </w:footnote>
  <w:footnote w:id="22">
    <w:p w14:paraId="1D0C21FC" w14:textId="77777777" w:rsidR="00F8462C" w:rsidRPr="000F1E2A" w:rsidRDefault="00F8462C">
      <w:pPr>
        <w:pStyle w:val="FootnoteText"/>
      </w:pPr>
      <w:r w:rsidRPr="000F1E2A">
        <w:rPr>
          <w:rStyle w:val="FootnoteReference"/>
        </w:rPr>
        <w:footnoteRef/>
      </w:r>
      <w:r w:rsidRPr="000F1E2A">
        <w:tab/>
      </w:r>
      <w:r w:rsidRPr="000F1E2A">
        <w:rPr>
          <w:rStyle w:val="normaltextrun"/>
          <w:color w:val="000000"/>
          <w:shd w:val="clear" w:color="auto" w:fill="FFFFFF"/>
        </w:rPr>
        <w:t>Un m</w:t>
      </w:r>
      <w:r w:rsidRPr="000F1E2A">
        <w:rPr>
          <w:rStyle w:val="normaltextrun"/>
          <w:color w:val="000000"/>
          <w:sz w:val="16"/>
          <w:shd w:val="clear" w:color="auto" w:fill="FFFFFF"/>
          <w:vertAlign w:val="superscript"/>
        </w:rPr>
        <w:t>3</w:t>
      </w:r>
      <w:r w:rsidRPr="000F1E2A">
        <w:rPr>
          <w:rStyle w:val="normaltextrun"/>
          <w:color w:val="000000"/>
          <w:shd w:val="clear" w:color="auto" w:fill="FFFFFF"/>
        </w:rPr>
        <w:t xml:space="preserve"> echivalent de apă reprezintă un metru cub consumat în medie pe mapamond. Media se referă la o medie ponderată în funcție de consum și, prin urmare, reprezintă locurile în care este consumată apa în prezent.</w:t>
      </w:r>
    </w:p>
  </w:footnote>
  <w:footnote w:id="23">
    <w:p w14:paraId="75808C85" w14:textId="77777777" w:rsidR="00F8462C" w:rsidRPr="000F1E2A" w:rsidRDefault="00F8462C">
      <w:pPr>
        <w:pStyle w:val="FootnoteText"/>
      </w:pPr>
      <w:r w:rsidRPr="000F1E2A">
        <w:rPr>
          <w:rStyle w:val="FootnoteReference"/>
        </w:rPr>
        <w:footnoteRef/>
      </w:r>
      <w:r w:rsidRPr="000F1E2A">
        <w:tab/>
      </w:r>
      <w:r w:rsidRPr="000F1E2A">
        <w:rPr>
          <w:rStyle w:val="normaltextrun"/>
          <w:color w:val="000000"/>
          <w:shd w:val="clear" w:color="auto" w:fill="FFFFFF"/>
        </w:rPr>
        <w:t xml:space="preserve">Evaluarea s-a realizat prin analizarea impactului asupra a patru proprietăți ale solului: producția biotică, rezistența la eroziune, regenerarea apelor subterane și filtrarea mecanică, astfel cum sunt prezentate în: De Laurentiis, V., Secchi, M., Bos, U., Horn, R., Laurent, A. și Sala, S., </w:t>
      </w:r>
      <w:r w:rsidRPr="000F1E2A">
        <w:rPr>
          <w:rStyle w:val="normaltextrun"/>
          <w:i/>
          <w:color w:val="000000"/>
          <w:shd w:val="clear" w:color="auto" w:fill="FFFFFF"/>
        </w:rPr>
        <w:t>Soil quality index:</w:t>
      </w:r>
      <w:r w:rsidRPr="000F1E2A">
        <w:rPr>
          <w:rStyle w:val="normaltextrun"/>
          <w:color w:val="000000"/>
          <w:shd w:val="clear" w:color="auto" w:fill="FFFFFF"/>
        </w:rPr>
        <w:t> </w:t>
      </w:r>
      <w:r w:rsidRPr="000F1E2A">
        <w:rPr>
          <w:rStyle w:val="normaltextrun"/>
          <w:i/>
          <w:color w:val="000000"/>
          <w:shd w:val="clear" w:color="auto" w:fill="FFFFFF"/>
        </w:rPr>
        <w:t>Exploring options for a comprehensive assessment of land use impacts in LCA</w:t>
      </w:r>
      <w:r w:rsidRPr="000F1E2A">
        <w:rPr>
          <w:rStyle w:val="normaltextrun"/>
          <w:color w:val="000000"/>
          <w:shd w:val="clear" w:color="auto" w:fill="FFFFFF"/>
        </w:rPr>
        <w:t>, (Indicele calității solului: Explorarea opțiunilor în vederea unei evaluări cuprinzătoare a impactului utilizării terenurilor în ECV), Journal of Cleaner Production, 215, p. 63-74, 2019.</w:t>
      </w:r>
    </w:p>
  </w:footnote>
  <w:footnote w:id="24">
    <w:p w14:paraId="5F9BD18F" w14:textId="77777777" w:rsidR="00C24FD0" w:rsidRPr="000F1E2A" w:rsidRDefault="00C24FD0">
      <w:pPr>
        <w:pStyle w:val="FootnoteText"/>
      </w:pPr>
      <w:r w:rsidRPr="000F1E2A">
        <w:rPr>
          <w:rStyle w:val="FootnoteReference"/>
        </w:rPr>
        <w:footnoteRef/>
      </w:r>
      <w:r w:rsidRPr="000F1E2A">
        <w:tab/>
      </w:r>
      <w:r w:rsidRPr="000F1E2A">
        <w:rPr>
          <w:rStyle w:val="normaltextrun"/>
          <w:color w:val="000000"/>
          <w:bdr w:val="none" w:sz="0" w:space="0" w:color="auto" w:frame="1"/>
        </w:rPr>
        <w:t>Amprenta consumului vizează cele 16 categorii de impact ale amprentei de mediu (Comisia Europeană, 2021), una dintre ele fiind eutrofizarea apelor dulci, care este cauzată în principal de emisiile de fosfor.</w:t>
      </w:r>
    </w:p>
  </w:footnote>
  <w:footnote w:id="25">
    <w:p w14:paraId="77C355E7" w14:textId="77777777" w:rsidR="00C24FD0" w:rsidRPr="000F1E2A" w:rsidRDefault="00C24FD0">
      <w:pPr>
        <w:pStyle w:val="FootnoteText"/>
      </w:pPr>
      <w:r w:rsidRPr="000F1E2A">
        <w:rPr>
          <w:rStyle w:val="FootnoteReference"/>
        </w:rPr>
        <w:footnoteRef/>
      </w:r>
      <w:r w:rsidRPr="000F1E2A">
        <w:tab/>
      </w:r>
      <w:r w:rsidRPr="000F1E2A">
        <w:rPr>
          <w:rStyle w:val="normaltextrun"/>
          <w:color w:val="000000"/>
          <w:shd w:val="clear" w:color="auto" w:fill="FFFFFF"/>
        </w:rPr>
        <w:t>JO L 471, 30.12.2021, p. 1.</w:t>
      </w:r>
    </w:p>
  </w:footnote>
  <w:footnote w:id="26">
    <w:p w14:paraId="1BC381E5" w14:textId="77777777" w:rsidR="00C24FD0" w:rsidRPr="000F1E2A" w:rsidRDefault="00C24FD0">
      <w:pPr>
        <w:pStyle w:val="FootnoteText"/>
      </w:pPr>
      <w:r w:rsidRPr="000F1E2A">
        <w:rPr>
          <w:rStyle w:val="FootnoteReference"/>
        </w:rPr>
        <w:footnoteRef/>
      </w:r>
      <w:r w:rsidRPr="000F1E2A">
        <w:tab/>
      </w:r>
      <w:r w:rsidRPr="000F1E2A">
        <w:rPr>
          <w:rStyle w:val="normaltextrun"/>
          <w:color w:val="000000"/>
          <w:shd w:val="clear" w:color="auto" w:fill="FFFFFF"/>
        </w:rPr>
        <w:t>Eurostat, 2022 (a se vedea nota 92, pagina 32).</w:t>
      </w:r>
    </w:p>
  </w:footnote>
  <w:footnote w:id="27">
    <w:p w14:paraId="365AF526" w14:textId="77777777" w:rsidR="00C24FD0" w:rsidRPr="000F1E2A" w:rsidRDefault="00C24FD0">
      <w:pPr>
        <w:pStyle w:val="FootnoteText"/>
      </w:pPr>
      <w:r w:rsidRPr="000F1E2A">
        <w:rPr>
          <w:rStyle w:val="FootnoteReference"/>
        </w:rPr>
        <w:footnoteRef/>
      </w:r>
      <w:r w:rsidRPr="000F1E2A">
        <w:tab/>
      </w:r>
      <w:r w:rsidRPr="000F1E2A">
        <w:rPr>
          <w:rStyle w:val="normaltextrun"/>
          <w:color w:val="000000"/>
          <w:shd w:val="clear" w:color="auto" w:fill="FFFFFF"/>
        </w:rPr>
        <w:t>Manfredi, S. și Cristobal, J., </w:t>
      </w:r>
      <w:r w:rsidRPr="000F1E2A">
        <w:rPr>
          <w:rStyle w:val="normaltextrun"/>
          <w:i/>
          <w:color w:val="000000"/>
          <w:shd w:val="clear" w:color="auto" w:fill="FFFFFF"/>
        </w:rPr>
        <w:t>Towards more sustainable management of European food waste: Methodological approach and numerical application</w:t>
      </w:r>
      <w:r w:rsidRPr="000F1E2A">
        <w:rPr>
          <w:rStyle w:val="normaltextrun"/>
          <w:color w:val="000000"/>
          <w:shd w:val="clear" w:color="auto" w:fill="FFFFFF"/>
        </w:rPr>
        <w:t xml:space="preserve"> (Către o gestionare mai durabilă a deșeurilor alimentare din Europa: Abordare metodologică și aplicare numerică). </w:t>
      </w:r>
      <w:r w:rsidRPr="000F1E2A">
        <w:rPr>
          <w:rStyle w:val="normaltextrun"/>
          <w:i/>
          <w:color w:val="000000"/>
          <w:shd w:val="clear" w:color="auto" w:fill="FFFFFF"/>
        </w:rPr>
        <w:t>Waste Management and Research,</w:t>
      </w:r>
      <w:r w:rsidRPr="000F1E2A">
        <w:rPr>
          <w:rStyle w:val="normaltextrun"/>
          <w:color w:val="000000"/>
          <w:shd w:val="clear" w:color="auto" w:fill="FFFFFF"/>
        </w:rPr>
        <w:t xml:space="preserve"> 34(9), 957–968, 2016, https://doi.org/10.1177/0734242X16652965.</w:t>
      </w:r>
    </w:p>
  </w:footnote>
  <w:footnote w:id="28">
    <w:p w14:paraId="5A7B8D2B" w14:textId="77777777" w:rsidR="00C24FD0" w:rsidRPr="000F1E2A" w:rsidRDefault="00C24FD0">
      <w:pPr>
        <w:pStyle w:val="FootnoteText"/>
      </w:pPr>
      <w:r w:rsidRPr="000F1E2A">
        <w:rPr>
          <w:rStyle w:val="FootnoteReference"/>
        </w:rPr>
        <w:footnoteRef/>
      </w:r>
      <w:r w:rsidRPr="000F1E2A">
        <w:tab/>
      </w:r>
      <w:r w:rsidRPr="000F1E2A">
        <w:rPr>
          <w:rStyle w:val="normaltextrun"/>
          <w:color w:val="000000"/>
          <w:shd w:val="clear" w:color="auto" w:fill="FFFFFF"/>
        </w:rPr>
        <w:t xml:space="preserve">Comisia Europeană, Direcția Generală Agricultură și Dezvoltare Rurală, </w:t>
      </w:r>
      <w:r w:rsidRPr="000F1E2A">
        <w:rPr>
          <w:rStyle w:val="normaltextrun"/>
          <w:i/>
          <w:color w:val="000000"/>
          <w:shd w:val="clear" w:color="auto" w:fill="FFFFFF"/>
        </w:rPr>
        <w:t>EU agricultural outlook for markets, income and environment 2022-2032</w:t>
      </w:r>
      <w:r w:rsidRPr="000F1E2A">
        <w:rPr>
          <w:rStyle w:val="normaltextrun"/>
          <w:color w:val="000000"/>
          <w:shd w:val="clear" w:color="auto" w:fill="FFFFFF"/>
        </w:rPr>
        <w:t xml:space="preserve"> (Perspectivă asupra agriculturii UE din punctul de vedere al piețelor, al veniturilor și al mediului 2022-2032), Oficiul pentru Publicații al Uniunii Europene, 2023, p. 43. </w:t>
      </w:r>
      <w:r w:rsidRPr="000F1E2A">
        <w:rPr>
          <w:rStyle w:val="normaltextrun"/>
          <w:shd w:val="clear" w:color="auto" w:fill="FFFFFF"/>
        </w:rPr>
        <w:t>https://data.europa.eu/doi/10.2762/29222</w:t>
      </w:r>
      <w:r w:rsidRPr="000F1E2A">
        <w:rPr>
          <w:rStyle w:val="normaltextrun"/>
          <w:color w:val="000000"/>
          <w:shd w:val="clear" w:color="auto" w:fill="FFFFFF"/>
        </w:rPr>
        <w:t>. Notă: există o variație foarte mică (sub 1 %), din cauza faptului că s-a utilizat o valoare de referință MAGNET ușor diferită.</w:t>
      </w:r>
    </w:p>
  </w:footnote>
  <w:footnote w:id="29">
    <w:p w14:paraId="50E386B5" w14:textId="77777777" w:rsidR="00C24FD0" w:rsidRPr="000F1E2A" w:rsidRDefault="00C24FD0">
      <w:pPr>
        <w:pStyle w:val="FootnoteText"/>
      </w:pPr>
      <w:r w:rsidRPr="000F1E2A">
        <w:rPr>
          <w:rStyle w:val="FootnoteReference"/>
        </w:rPr>
        <w:footnoteRef/>
      </w:r>
      <w:r w:rsidRPr="000F1E2A">
        <w:tab/>
      </w:r>
      <w:r w:rsidRPr="000F1E2A">
        <w:rPr>
          <w:rStyle w:val="normaltextrun"/>
          <w:color w:val="000000"/>
          <w:shd w:val="clear" w:color="auto" w:fill="FFFFFF"/>
        </w:rPr>
        <w:t>Eurostat, octombrie 2022. </w:t>
      </w:r>
      <w:r w:rsidRPr="000F1E2A">
        <w:rPr>
          <w:rStyle w:val="normaltextrun"/>
          <w:i/>
          <w:shd w:val="clear" w:color="auto" w:fill="FFFFFF"/>
        </w:rPr>
        <w:t>Living conditions in Europe - material deprivation and economic strain - Statistics Explained (Condițiile de viață în Europa – deprivarea materială și presiunea economică – Statistici explicate).</w:t>
      </w:r>
    </w:p>
  </w:footnote>
  <w:footnote w:id="30">
    <w:p w14:paraId="43B3B0A9" w14:textId="77777777" w:rsidR="00C24FD0" w:rsidRPr="000F1E2A" w:rsidRDefault="00C24FD0">
      <w:pPr>
        <w:pStyle w:val="FootnoteText"/>
      </w:pPr>
      <w:r w:rsidRPr="000F1E2A">
        <w:rPr>
          <w:rStyle w:val="FootnoteReference"/>
        </w:rPr>
        <w:footnoteRef/>
      </w:r>
      <w:r w:rsidRPr="000F1E2A">
        <w:tab/>
      </w:r>
      <w:r w:rsidRPr="000F1E2A">
        <w:rPr>
          <w:rStyle w:val="normaltextrun"/>
          <w:color w:val="000000"/>
          <w:shd w:val="clear" w:color="auto" w:fill="FFFFFF"/>
        </w:rPr>
        <w:t>Necesitatea de a asigura accesul la alimente și solidaritatea în cadrul lanțului alimentar este subliniată și în recomandările grupului de dezbatere al cetățenilor europeni privind deșeurile alimentare. Pentru setul complet de recomandări, a se vedea anexa 16 la evaluarea impactului.</w:t>
      </w:r>
    </w:p>
  </w:footnote>
  <w:footnote w:id="31">
    <w:p w14:paraId="5F8D143E" w14:textId="77777777" w:rsidR="00B24CA9" w:rsidRPr="000F1E2A" w:rsidRDefault="00B24CA9">
      <w:pPr>
        <w:pStyle w:val="FootnoteText"/>
      </w:pPr>
      <w:r w:rsidRPr="000F1E2A">
        <w:rPr>
          <w:rStyle w:val="FootnoteReference"/>
        </w:rPr>
        <w:footnoteRef/>
      </w:r>
      <w:r w:rsidRPr="000F1E2A">
        <w:tab/>
        <w:t>COM(2020) 381 final.</w:t>
      </w:r>
    </w:p>
  </w:footnote>
  <w:footnote w:id="32">
    <w:p w14:paraId="424E67FD" w14:textId="77777777" w:rsidR="00C24FD0" w:rsidRPr="000F1E2A" w:rsidRDefault="00C24FD0">
      <w:pPr>
        <w:pStyle w:val="FootnoteText"/>
      </w:pPr>
      <w:r w:rsidRPr="000F1E2A">
        <w:rPr>
          <w:rStyle w:val="FootnoteReference"/>
        </w:rPr>
        <w:footnoteRef/>
      </w:r>
      <w:r w:rsidRPr="000F1E2A">
        <w:tab/>
      </w:r>
      <w:r w:rsidRPr="000F1E2A">
        <w:rPr>
          <w:rStyle w:val="normaltextrun"/>
          <w:shd w:val="clear" w:color="auto" w:fill="FFFFFF"/>
        </w:rPr>
        <w:t>JO L 248, 27.9.2019, p. 77.</w:t>
      </w:r>
    </w:p>
  </w:footnote>
  <w:footnote w:id="33">
    <w:p w14:paraId="54F82A1A" w14:textId="77777777" w:rsidR="00C24FD0" w:rsidRPr="000F1E2A" w:rsidRDefault="00C24FD0">
      <w:pPr>
        <w:pStyle w:val="FootnoteText"/>
      </w:pPr>
      <w:r w:rsidRPr="000F1E2A">
        <w:rPr>
          <w:rStyle w:val="FootnoteReference"/>
        </w:rPr>
        <w:footnoteRef/>
      </w:r>
      <w:r w:rsidRPr="000F1E2A">
        <w:tab/>
      </w:r>
      <w:r w:rsidRPr="000F1E2A">
        <w:rPr>
          <w:rStyle w:val="normaltextrun"/>
          <w:bdr w:val="none" w:sz="0" w:space="0" w:color="auto" w:frame="1"/>
        </w:rPr>
        <w:t>JO C 361, 25.10.2017, p. 1.</w:t>
      </w:r>
    </w:p>
  </w:footnote>
  <w:footnote w:id="34">
    <w:p w14:paraId="4F741570" w14:textId="77777777" w:rsidR="00C24FD0" w:rsidRPr="000F1E2A" w:rsidRDefault="00C24FD0">
      <w:pPr>
        <w:pStyle w:val="FootnoteText"/>
      </w:pPr>
      <w:r w:rsidRPr="000F1E2A">
        <w:rPr>
          <w:rStyle w:val="FootnoteReference"/>
        </w:rPr>
        <w:footnoteRef/>
      </w:r>
      <w:r w:rsidRPr="000F1E2A">
        <w:tab/>
      </w:r>
      <w:r w:rsidRPr="000F1E2A">
        <w:rPr>
          <w:rStyle w:val="normaltextrun"/>
          <w:shd w:val="clear" w:color="auto" w:fill="FFFFFF"/>
        </w:rPr>
        <w:t xml:space="preserve">JO C 133, 16.4.2018, p. 2. </w:t>
      </w:r>
    </w:p>
  </w:footnote>
  <w:footnote w:id="35">
    <w:p w14:paraId="33675C67" w14:textId="77777777" w:rsidR="00B24CA9" w:rsidRPr="000F1E2A" w:rsidRDefault="00B24CA9">
      <w:pPr>
        <w:pStyle w:val="FootnoteText"/>
      </w:pPr>
      <w:r w:rsidRPr="000F1E2A">
        <w:rPr>
          <w:rStyle w:val="FootnoteReference"/>
        </w:rPr>
        <w:footnoteRef/>
      </w:r>
      <w:r w:rsidRPr="000F1E2A">
        <w:tab/>
        <w:t>https://food.ec.europa.eu/safety/food-waste/eu-actions-against-food-waste/eu-platform-food-losses-and-food-waste_en/</w:t>
      </w:r>
    </w:p>
  </w:footnote>
  <w:footnote w:id="36">
    <w:p w14:paraId="1F50B8C8" w14:textId="77777777" w:rsidR="00B24CA9" w:rsidRPr="000F1E2A" w:rsidRDefault="00B24CA9">
      <w:pPr>
        <w:pStyle w:val="FootnoteText"/>
      </w:pPr>
      <w:r w:rsidRPr="000F1E2A">
        <w:rPr>
          <w:rStyle w:val="FootnoteReference"/>
        </w:rPr>
        <w:footnoteRef/>
      </w:r>
      <w:r w:rsidRPr="000F1E2A">
        <w:tab/>
        <w:t>https://food.ec.europa.eu/system/files/2021-05/fs_eu-actions_action_platform_key-rcmnd_en.pdf/</w:t>
      </w:r>
    </w:p>
  </w:footnote>
  <w:footnote w:id="37">
    <w:p w14:paraId="76CD9091" w14:textId="77777777" w:rsidR="004A3E48" w:rsidRPr="000F1E2A" w:rsidRDefault="004A3E48">
      <w:pPr>
        <w:pStyle w:val="FootnoteText"/>
      </w:pPr>
      <w:r w:rsidRPr="000F1E2A">
        <w:rPr>
          <w:rStyle w:val="FootnoteReference"/>
        </w:rPr>
        <w:footnoteRef/>
      </w:r>
      <w:r w:rsidRPr="000F1E2A">
        <w:tab/>
      </w:r>
      <w:r w:rsidRPr="000F1E2A">
        <w:rPr>
          <w:rStyle w:val="normaltextrun"/>
          <w:shd w:val="clear" w:color="auto" w:fill="FFFFFF"/>
        </w:rPr>
        <w:t>https://ec.europa.eu/food/safety/food_waste/eu_actions/date_marking_en/</w:t>
      </w:r>
    </w:p>
  </w:footnote>
  <w:footnote w:id="38">
    <w:p w14:paraId="4730088E" w14:textId="77777777" w:rsidR="00B24CA9" w:rsidRPr="000F1E2A" w:rsidRDefault="00B24CA9">
      <w:pPr>
        <w:pStyle w:val="FootnoteText"/>
      </w:pPr>
      <w:r w:rsidRPr="000F1E2A">
        <w:rPr>
          <w:rStyle w:val="FootnoteReference"/>
        </w:rPr>
        <w:footnoteRef/>
      </w:r>
      <w:r w:rsidRPr="000F1E2A">
        <w:tab/>
        <w:t>https://ec.europa.eu/food/safety/food_waste/eu-food-loss-waste-prevention-hub/eu-member-state-page/show/FI/</w:t>
      </w:r>
    </w:p>
  </w:footnote>
  <w:footnote w:id="39">
    <w:p w14:paraId="18C50F6C" w14:textId="77777777" w:rsidR="00B24CA9" w:rsidRPr="000F1E2A" w:rsidRDefault="00B24CA9">
      <w:pPr>
        <w:pStyle w:val="FootnoteText"/>
      </w:pPr>
      <w:r w:rsidRPr="000F1E2A">
        <w:rPr>
          <w:rStyle w:val="FootnoteReference"/>
        </w:rPr>
        <w:footnoteRef/>
      </w:r>
      <w:r w:rsidRPr="000F1E2A">
        <w:tab/>
        <w:t>https://restwith.eu//</w:t>
      </w:r>
    </w:p>
  </w:footnote>
  <w:footnote w:id="40">
    <w:p w14:paraId="5AED61EC" w14:textId="77777777" w:rsidR="004A3E48" w:rsidRPr="000F1E2A" w:rsidRDefault="004A3E48">
      <w:pPr>
        <w:pStyle w:val="FootnoteText"/>
      </w:pPr>
      <w:r w:rsidRPr="000F1E2A">
        <w:rPr>
          <w:rStyle w:val="FootnoteReference"/>
        </w:rPr>
        <w:footnoteRef/>
      </w:r>
      <w:r w:rsidRPr="000F1E2A">
        <w:tab/>
      </w:r>
      <w:r w:rsidRPr="000F1E2A">
        <w:rPr>
          <w:rStyle w:val="normaltextrun"/>
          <w:color w:val="000000"/>
          <w:shd w:val="clear" w:color="auto" w:fill="FFFFFF"/>
        </w:rPr>
        <w:t>Comisia Europeană, Centrul Comun de Cercetare, Caldeira, C., Sala, S., De Laurentiis, V., </w:t>
      </w:r>
      <w:r w:rsidRPr="000F1E2A">
        <w:rPr>
          <w:rStyle w:val="normaltextrun"/>
          <w:i/>
          <w:color w:val="000000"/>
          <w:shd w:val="clear" w:color="auto" w:fill="FFFFFF"/>
        </w:rPr>
        <w:t>Assessment of food waste prevention actions. Development of an evaluation framework to assess the performance of food waste prevention actions</w:t>
      </w:r>
      <w:r w:rsidRPr="000F1E2A">
        <w:rPr>
          <w:rStyle w:val="normaltextrun"/>
          <w:color w:val="000000"/>
          <w:shd w:val="clear" w:color="auto" w:fill="FFFFFF"/>
        </w:rPr>
        <w:t xml:space="preserve"> (Evaluarea acțiunilor de prevenire a deșeurilor alimentare. Elaborarea unui cadru de evaluare pentru evaluarea performanței acțiunilor de prevenire a deșeurilor alimentare), Oficiul pentru Publicații, 2019.</w:t>
      </w:r>
      <w:r w:rsidRPr="000F1E2A">
        <w:t xml:space="preserve"> </w:t>
      </w:r>
    </w:p>
  </w:footnote>
  <w:footnote w:id="41">
    <w:p w14:paraId="5FD283B5" w14:textId="77777777" w:rsidR="004A3E48" w:rsidRPr="000F1E2A" w:rsidRDefault="004A3E48" w:rsidP="004A3E48">
      <w:pPr>
        <w:pStyle w:val="FootnoteText"/>
      </w:pPr>
      <w:r w:rsidRPr="000F1E2A">
        <w:rPr>
          <w:rStyle w:val="FootnoteReference"/>
        </w:rPr>
        <w:footnoteRef/>
      </w:r>
      <w:r w:rsidRPr="000F1E2A">
        <w:tab/>
      </w:r>
      <w:r w:rsidRPr="000F1E2A">
        <w:rPr>
          <w:rStyle w:val="normaltextrun"/>
          <w:color w:val="000000"/>
          <w:shd w:val="clear" w:color="auto" w:fill="FFFFFF"/>
        </w:rPr>
        <w:t>A se vedea proiectele </w:t>
      </w:r>
      <w:hyperlink r:id="rId6" w:tgtFrame="_blank" w:history="1">
        <w:r w:rsidRPr="000F1E2A">
          <w:rPr>
            <w:rStyle w:val="normaltextrun"/>
            <w:color w:val="0000FF"/>
            <w:u w:val="single"/>
            <w:shd w:val="clear" w:color="auto" w:fill="FFFFFF"/>
          </w:rPr>
          <w:t>CHORIZO</w:t>
        </w:r>
      </w:hyperlink>
      <w:r w:rsidRPr="000F1E2A">
        <w:rPr>
          <w:rStyle w:val="normaltextrun"/>
          <w:color w:val="000000"/>
          <w:shd w:val="clear" w:color="auto" w:fill="FFFFFF"/>
        </w:rPr>
        <w:t> și </w:t>
      </w:r>
      <w:hyperlink r:id="rId7" w:tgtFrame="_blank" w:history="1">
        <w:r w:rsidRPr="000F1E2A">
          <w:rPr>
            <w:rStyle w:val="normaltextrun"/>
            <w:color w:val="0000FF"/>
            <w:u w:val="single"/>
            <w:shd w:val="clear" w:color="auto" w:fill="FFFFFF"/>
          </w:rPr>
          <w:t>ToNoWaste</w:t>
        </w:r>
      </w:hyperlink>
      <w:r w:rsidRPr="000F1E2A">
        <w:t>/</w:t>
      </w:r>
    </w:p>
  </w:footnote>
  <w:footnote w:id="42">
    <w:p w14:paraId="2A13A2F4" w14:textId="77777777" w:rsidR="004A3E48" w:rsidRPr="000F1E2A" w:rsidRDefault="004A3E48">
      <w:pPr>
        <w:pStyle w:val="FootnoteText"/>
      </w:pPr>
      <w:r w:rsidRPr="000F1E2A">
        <w:rPr>
          <w:rStyle w:val="FootnoteReference"/>
        </w:rPr>
        <w:footnoteRef/>
      </w:r>
      <w:r w:rsidRPr="000F1E2A">
        <w:tab/>
      </w:r>
      <w:r w:rsidRPr="000F1E2A">
        <w:rPr>
          <w:rStyle w:val="normaltextrun"/>
          <w:color w:val="000000"/>
          <w:shd w:val="clear" w:color="auto" w:fill="FFFFFF"/>
        </w:rPr>
        <w:t>A se vedea proiectele </w:t>
      </w:r>
      <w:hyperlink r:id="rId8" w:tgtFrame="_blank" w:history="1">
        <w:r w:rsidRPr="000F1E2A">
          <w:rPr>
            <w:rStyle w:val="normaltextrun"/>
            <w:color w:val="0000FF"/>
            <w:u w:val="single"/>
            <w:shd w:val="clear" w:color="auto" w:fill="FFFFFF"/>
          </w:rPr>
          <w:t>FOLOU</w:t>
        </w:r>
      </w:hyperlink>
      <w:r w:rsidRPr="000F1E2A">
        <w:rPr>
          <w:rStyle w:val="normaltextrun"/>
          <w:color w:val="000000"/>
          <w:shd w:val="clear" w:color="auto" w:fill="FFFFFF"/>
        </w:rPr>
        <w:t> și </w:t>
      </w:r>
      <w:hyperlink r:id="rId9" w:tgtFrame="_blank" w:history="1">
        <w:r w:rsidRPr="000F1E2A">
          <w:rPr>
            <w:rStyle w:val="normaltextrun"/>
            <w:color w:val="0000FF"/>
            <w:u w:val="single"/>
            <w:shd w:val="clear" w:color="auto" w:fill="FFFFFF"/>
          </w:rPr>
          <w:t>WASTELESS</w:t>
        </w:r>
      </w:hyperlink>
      <w:r w:rsidRPr="000F1E2A">
        <w:t>/</w:t>
      </w:r>
    </w:p>
  </w:footnote>
  <w:footnote w:id="43">
    <w:p w14:paraId="4E5F2935" w14:textId="77777777" w:rsidR="004A3E48" w:rsidRPr="000F1E2A" w:rsidRDefault="004A3E48">
      <w:pPr>
        <w:pStyle w:val="FootnoteText"/>
      </w:pPr>
      <w:r w:rsidRPr="000F1E2A">
        <w:rPr>
          <w:rStyle w:val="FootnoteReference"/>
        </w:rPr>
        <w:footnoteRef/>
      </w:r>
      <w:r w:rsidRPr="000F1E2A">
        <w:tab/>
      </w:r>
      <w:r w:rsidRPr="000F1E2A">
        <w:rPr>
          <w:rStyle w:val="normaltextrun"/>
          <w:color w:val="000000"/>
          <w:shd w:val="clear" w:color="auto" w:fill="FFFFFF"/>
        </w:rPr>
        <w:t>Exemplu: </w:t>
      </w:r>
      <w:hyperlink r:id="rId10" w:tgtFrame="_blank" w:history="1">
        <w:r w:rsidRPr="000F1E2A">
          <w:rPr>
            <w:rStyle w:val="normaltextrun"/>
            <w:color w:val="0000FF"/>
            <w:u w:val="single"/>
            <w:shd w:val="clear" w:color="auto" w:fill="FFFFFF"/>
          </w:rPr>
          <w:t>Cererea de propuneri HADEA 2022, cu scopul de a ajuta părțile interesate să ia măsuri de combatere a generării de deșeuri alimentare</w:t>
        </w:r>
      </w:hyperlink>
      <w:r w:rsidRPr="000F1E2A">
        <w:t>.</w:t>
      </w:r>
    </w:p>
  </w:footnote>
  <w:footnote w:id="44">
    <w:p w14:paraId="33BCA36E" w14:textId="77777777" w:rsidR="00B24CA9" w:rsidRPr="000F1E2A" w:rsidRDefault="00B24CA9">
      <w:pPr>
        <w:pStyle w:val="FootnoteText"/>
      </w:pPr>
      <w:r w:rsidRPr="000F1E2A">
        <w:rPr>
          <w:rStyle w:val="FootnoteReference"/>
        </w:rPr>
        <w:footnoteRef/>
      </w:r>
      <w:r w:rsidRPr="000F1E2A">
        <w:tab/>
        <w:t xml:space="preserve">Comisia Europeană, Siguranța alimentară, </w:t>
      </w:r>
      <w:r w:rsidRPr="000F1E2A">
        <w:rPr>
          <w:i/>
        </w:rPr>
        <w:t>Codul de conduită al UE privind practicile responsabile în domeniul producerii și comercializării alimentelor</w:t>
      </w:r>
      <w:r w:rsidRPr="000F1E2A">
        <w:t>, 2021.</w:t>
      </w:r>
    </w:p>
  </w:footnote>
  <w:footnote w:id="45">
    <w:p w14:paraId="12160DA0" w14:textId="41CF3530" w:rsidR="00CC4FD1" w:rsidRPr="000F1E2A" w:rsidRDefault="00CC4FD1">
      <w:pPr>
        <w:pStyle w:val="FootnoteText"/>
      </w:pPr>
      <w:r w:rsidRPr="000F1E2A">
        <w:rPr>
          <w:rStyle w:val="FootnoteReference"/>
        </w:rPr>
        <w:footnoteRef/>
      </w:r>
      <w:r w:rsidRPr="000F1E2A">
        <w:tab/>
        <w:t>COM/2022/66 final.</w:t>
      </w:r>
    </w:p>
  </w:footnote>
  <w:footnote w:id="46">
    <w:p w14:paraId="514502C7" w14:textId="4AB22E6A" w:rsidR="00AB7409" w:rsidRPr="000F1E2A" w:rsidRDefault="00AB7409">
      <w:pPr>
        <w:pStyle w:val="FootnoteText"/>
      </w:pPr>
      <w:r w:rsidRPr="000F1E2A">
        <w:rPr>
          <w:rStyle w:val="FootnoteReference"/>
        </w:rPr>
        <w:footnoteRef/>
      </w:r>
      <w:r w:rsidRPr="000F1E2A">
        <w:tab/>
        <w:t>COM/2021/709 final.</w:t>
      </w:r>
    </w:p>
  </w:footnote>
  <w:footnote w:id="47">
    <w:p w14:paraId="759E6C58" w14:textId="27121F70" w:rsidR="00AB7409" w:rsidRPr="000F1E2A" w:rsidRDefault="00AB7409">
      <w:pPr>
        <w:pStyle w:val="FootnoteText"/>
      </w:pPr>
      <w:r w:rsidRPr="000F1E2A">
        <w:rPr>
          <w:rStyle w:val="FootnoteReference"/>
        </w:rPr>
        <w:footnoteRef/>
      </w:r>
      <w:r w:rsidRPr="000F1E2A">
        <w:tab/>
        <w:t>COM/2022/142 final.</w:t>
      </w:r>
    </w:p>
  </w:footnote>
  <w:footnote w:id="48">
    <w:p w14:paraId="3C2D7D04" w14:textId="2C7F167B" w:rsidR="00AB7409" w:rsidRPr="000F1E2A" w:rsidRDefault="00AB7409">
      <w:pPr>
        <w:pStyle w:val="FootnoteText"/>
      </w:pPr>
      <w:r w:rsidRPr="000F1E2A">
        <w:rPr>
          <w:rStyle w:val="FootnoteReference"/>
        </w:rPr>
        <w:footnoteRef/>
      </w:r>
      <w:r w:rsidRPr="000F1E2A">
        <w:tab/>
        <w:t>JO L 272 18.10.2011, p. 1.</w:t>
      </w:r>
    </w:p>
  </w:footnote>
  <w:footnote w:id="49">
    <w:p w14:paraId="10C9DD29" w14:textId="201E48E4" w:rsidR="00AB7409" w:rsidRPr="000F1E2A" w:rsidRDefault="00AB7409">
      <w:pPr>
        <w:pStyle w:val="FootnoteText"/>
      </w:pPr>
      <w:r w:rsidRPr="000F1E2A">
        <w:rPr>
          <w:rStyle w:val="FootnoteReference"/>
        </w:rPr>
        <w:footnoteRef/>
      </w:r>
      <w:r w:rsidRPr="000F1E2A">
        <w:tab/>
        <w:t>JO L 396 30.12.2006, p. 1.</w:t>
      </w:r>
    </w:p>
  </w:footnote>
  <w:footnote w:id="50">
    <w:p w14:paraId="6E937D5F" w14:textId="5FDC7849" w:rsidR="00AB7409" w:rsidRPr="000F1E2A" w:rsidRDefault="00AB7409">
      <w:pPr>
        <w:pStyle w:val="FootnoteText"/>
      </w:pPr>
      <w:r w:rsidRPr="000F1E2A">
        <w:rPr>
          <w:rStyle w:val="FootnoteReference"/>
        </w:rPr>
        <w:footnoteRef/>
      </w:r>
      <w:r w:rsidRPr="000F1E2A">
        <w:tab/>
        <w:t>COM(2020) 562 final.</w:t>
      </w:r>
    </w:p>
  </w:footnote>
  <w:footnote w:id="51">
    <w:p w14:paraId="30183334" w14:textId="207C3D44" w:rsidR="00AB7409" w:rsidRPr="000F1E2A" w:rsidRDefault="00AB7409">
      <w:pPr>
        <w:pStyle w:val="FootnoteText"/>
      </w:pPr>
      <w:r w:rsidRPr="000F1E2A">
        <w:rPr>
          <w:rStyle w:val="FootnoteReference"/>
        </w:rPr>
        <w:footnoteRef/>
      </w:r>
      <w:r w:rsidRPr="000F1E2A">
        <w:tab/>
        <w:t>COM(2012) 060 final.</w:t>
      </w:r>
    </w:p>
  </w:footnote>
  <w:footnote w:id="52">
    <w:p w14:paraId="65727D70" w14:textId="427E66F3" w:rsidR="00AB7409" w:rsidRPr="000F1E2A" w:rsidRDefault="00AB7409">
      <w:pPr>
        <w:pStyle w:val="FootnoteText"/>
      </w:pPr>
      <w:r w:rsidRPr="000F1E2A">
        <w:rPr>
          <w:rStyle w:val="FootnoteReference"/>
        </w:rPr>
        <w:footnoteRef/>
      </w:r>
      <w:r w:rsidRPr="000F1E2A">
        <w:tab/>
        <w:t>https://op.europa.eu/ro/publication-detail/-/publication/404a8144-8892-11ec-8c40-01aa75ed71a1.</w:t>
      </w:r>
    </w:p>
  </w:footnote>
  <w:footnote w:id="53">
    <w:p w14:paraId="2D656E1B" w14:textId="798F07F6" w:rsidR="004151DC" w:rsidRPr="000F1E2A" w:rsidRDefault="004151DC">
      <w:pPr>
        <w:pStyle w:val="FootnoteText"/>
      </w:pPr>
      <w:r w:rsidRPr="000F1E2A">
        <w:rPr>
          <w:rStyle w:val="FootnoteReference"/>
        </w:rPr>
        <w:footnoteRef/>
      </w:r>
      <w:r w:rsidRPr="000F1E2A">
        <w:tab/>
      </w:r>
      <w:hyperlink r:id="rId11" w:history="1">
        <w:r w:rsidRPr="000F1E2A">
          <w:rPr>
            <w:rStyle w:val="Hyperlink"/>
          </w:rPr>
          <w:t>https://data.consilium.europa.eu/doc/document/ST-15441-2022-INIT/ro/pdf</w:t>
        </w:r>
      </w:hyperlink>
      <w:r w:rsidRPr="000F1E2A">
        <w:t>.</w:t>
      </w:r>
    </w:p>
  </w:footnote>
  <w:footnote w:id="54">
    <w:p w14:paraId="0DBB9C2D" w14:textId="0783F906" w:rsidR="00AB7409" w:rsidRPr="000F1E2A" w:rsidRDefault="00AB7409">
      <w:pPr>
        <w:pStyle w:val="FootnoteText"/>
      </w:pPr>
      <w:r w:rsidRPr="000F1E2A">
        <w:rPr>
          <w:rStyle w:val="FootnoteReference"/>
        </w:rPr>
        <w:footnoteRef/>
      </w:r>
      <w:r w:rsidRPr="000F1E2A">
        <w:tab/>
        <w:t xml:space="preserve">SWD(2023) 4 final, </w:t>
      </w:r>
      <w:r w:rsidRPr="000F1E2A">
        <w:rPr>
          <w:i/>
        </w:rPr>
        <w:t>Factorii determinanți ai securității alimentare</w:t>
      </w:r>
      <w:r w:rsidRPr="000F1E2A">
        <w:t>.</w:t>
      </w:r>
    </w:p>
  </w:footnote>
  <w:footnote w:id="55">
    <w:p w14:paraId="48BC940D" w14:textId="77777777" w:rsidR="004A3E48" w:rsidRPr="000F1E2A" w:rsidRDefault="004A3E48">
      <w:pPr>
        <w:pStyle w:val="FootnoteText"/>
      </w:pPr>
      <w:r w:rsidRPr="000F1E2A">
        <w:rPr>
          <w:rStyle w:val="FootnoteReference"/>
        </w:rPr>
        <w:footnoteRef/>
      </w:r>
      <w:r w:rsidRPr="000F1E2A">
        <w:tab/>
      </w:r>
      <w:r w:rsidRPr="000F1E2A">
        <w:rPr>
          <w:rStyle w:val="normaltextrun"/>
          <w:color w:val="000000"/>
          <w:shd w:val="clear" w:color="auto" w:fill="FFFFFF"/>
        </w:rPr>
        <w:t>JO C 326, 26.10.2012, p. 47.</w:t>
      </w:r>
      <w:r w:rsidRPr="000F1E2A">
        <w:t xml:space="preserve"> </w:t>
      </w:r>
    </w:p>
  </w:footnote>
  <w:footnote w:id="56">
    <w:p w14:paraId="2475BA83" w14:textId="5F22F382" w:rsidR="00415D46" w:rsidRPr="000F1E2A" w:rsidRDefault="00415D46">
      <w:pPr>
        <w:pStyle w:val="FootnoteText"/>
      </w:pPr>
      <w:r w:rsidRPr="000F1E2A">
        <w:rPr>
          <w:rStyle w:val="FootnoteReference"/>
        </w:rPr>
        <w:footnoteRef/>
      </w:r>
      <w:r w:rsidRPr="000F1E2A">
        <w:tab/>
        <w:t xml:space="preserve">Comisia Europeană, Exprimați-vă părerea!, Inițiative publicate, Impactul gestionării deșeurilor asupra mediului – revizuirea cadrului UE privind deșeurile, </w:t>
      </w:r>
      <w:hyperlink r:id="rId12" w:history="1">
        <w:r w:rsidRPr="000F1E2A">
          <w:rPr>
            <w:rStyle w:val="Hyperlink"/>
          </w:rPr>
          <w:t>https://ec.europa.eu/info/law/better-regulation/have-your-say/initiatives/13225-Impactul-gestionarii-deseurilor-asupra-mediului-revizuirea-cadrului-UE-privind-deseurile_ro</w:t>
        </w:r>
      </w:hyperlink>
      <w:r w:rsidRPr="000F1E2A">
        <w:t>.</w:t>
      </w:r>
    </w:p>
  </w:footnote>
  <w:footnote w:id="57">
    <w:p w14:paraId="755306CC" w14:textId="7B2980E8" w:rsidR="00415D46" w:rsidRPr="000F1E2A" w:rsidRDefault="00415D46">
      <w:pPr>
        <w:pStyle w:val="FootnoteText"/>
      </w:pPr>
      <w:r w:rsidRPr="000F1E2A">
        <w:rPr>
          <w:rStyle w:val="FootnoteReference"/>
        </w:rPr>
        <w:footnoteRef/>
      </w:r>
      <w:r w:rsidRPr="000F1E2A">
        <w:tab/>
        <w:t xml:space="preserve">Comisia Europeană, Exprimați-vă părerea!, inițiative publicate, Reducerea risipei de alimente – obiective, </w:t>
      </w:r>
      <w:hyperlink r:id="rId13" w:history="1">
        <w:r w:rsidRPr="000F1E2A">
          <w:rPr>
            <w:rStyle w:val="Hyperlink"/>
          </w:rPr>
          <w:t>https://ec.europa.eu/info/law/better-regulation/have-your-say/initiatives/13223-Reducerea-risipei-de-alimente-obiective_ro</w:t>
        </w:r>
      </w:hyperlink>
      <w:r w:rsidRPr="000F1E2A">
        <w:t>.</w:t>
      </w:r>
    </w:p>
  </w:footnote>
  <w:footnote w:id="58">
    <w:p w14:paraId="247DB093" w14:textId="77777777" w:rsidR="004A3E48" w:rsidRPr="000F1E2A" w:rsidRDefault="004A3E48">
      <w:pPr>
        <w:pStyle w:val="FootnoteText"/>
      </w:pPr>
      <w:r w:rsidRPr="000F1E2A">
        <w:rPr>
          <w:rStyle w:val="FootnoteReference"/>
        </w:rPr>
        <w:footnoteRef/>
      </w:r>
      <w:r w:rsidRPr="000F1E2A">
        <w:tab/>
      </w:r>
      <w:r w:rsidRPr="000F1E2A">
        <w:rPr>
          <w:rStyle w:val="normaltextrun"/>
          <w:color w:val="000000"/>
          <w:shd w:val="clear" w:color="auto" w:fill="FFFFFF"/>
        </w:rPr>
        <w:t xml:space="preserve">Numărul apare ca 198 în </w:t>
      </w:r>
      <w:hyperlink r:id="rId14" w:tgtFrame="_blank" w:history="1">
        <w:r w:rsidRPr="000F1E2A">
          <w:rPr>
            <w:rStyle w:val="normaltextrun"/>
            <w:color w:val="0000FF"/>
            <w:u w:val="single"/>
            <w:shd w:val="clear" w:color="auto" w:fill="FFFFFF"/>
          </w:rPr>
          <w:t>Impactul gestionării deșeurilor asupra mediului – revizuirea cadrului UE privind deșeurile (europa.eu)</w:t>
        </w:r>
      </w:hyperlink>
      <w:r w:rsidRPr="000F1E2A">
        <w:rPr>
          <w:rStyle w:val="normaltextrun"/>
          <w:color w:val="000000"/>
          <w:shd w:val="clear" w:color="auto" w:fill="FFFFFF"/>
        </w:rPr>
        <w:t>, din cauza duplicării unui răspuns de pe forumul privind DEEE.</w:t>
      </w:r>
    </w:p>
  </w:footnote>
  <w:footnote w:id="59">
    <w:p w14:paraId="04EBCE66" w14:textId="77777777" w:rsidR="004A3E48" w:rsidRPr="000F1E2A" w:rsidRDefault="004A3E48">
      <w:pPr>
        <w:pStyle w:val="FootnoteText"/>
      </w:pPr>
      <w:r w:rsidRPr="000F1E2A">
        <w:rPr>
          <w:rStyle w:val="FootnoteReference"/>
        </w:rPr>
        <w:footnoteRef/>
      </w:r>
      <w:r w:rsidRPr="000F1E2A">
        <w:tab/>
      </w:r>
      <w:r w:rsidRPr="000F1E2A">
        <w:rPr>
          <w:rStyle w:val="normaltextrun"/>
          <w:color w:val="000000"/>
          <w:shd w:val="clear" w:color="auto" w:fill="FFFFFF"/>
        </w:rPr>
        <w:t>Toate contribuțiile primite au fost considerate valabile.</w:t>
      </w:r>
      <w:r w:rsidRPr="000F1E2A">
        <w:rPr>
          <w:rStyle w:val="eop"/>
          <w:color w:val="000000"/>
          <w:shd w:val="clear" w:color="auto" w:fill="FFFFFF"/>
        </w:rPr>
        <w:t xml:space="preserve"> </w:t>
      </w:r>
    </w:p>
  </w:footnote>
  <w:footnote w:id="60">
    <w:p w14:paraId="6559CE1C" w14:textId="77777777" w:rsidR="004A3E48" w:rsidRPr="000F1E2A" w:rsidRDefault="004A3E48">
      <w:pPr>
        <w:pStyle w:val="FootnoteText"/>
      </w:pPr>
      <w:r w:rsidRPr="000F1E2A">
        <w:rPr>
          <w:rStyle w:val="FootnoteReference"/>
        </w:rPr>
        <w:footnoteRef/>
      </w:r>
      <w:r w:rsidRPr="000F1E2A">
        <w:tab/>
      </w:r>
      <w:r w:rsidRPr="000F1E2A">
        <w:rPr>
          <w:rStyle w:val="normaltextrun"/>
          <w:color w:val="000000"/>
          <w:bdr w:val="none" w:sz="0" w:space="0" w:color="auto" w:frame="1"/>
        </w:rPr>
        <w:t>Se presupune că explicația numărului mare de respondenți din Belgia constă în faptul că Bruxelles-ul găzduiește multe dintre organizațiile care reprezintă diferite grupuri de interese pe lângă instituțiile UE, cum ar fi asociații profesionale, organizații neguvernamentale și organizații ale consumatorilor etc.</w:t>
      </w:r>
    </w:p>
  </w:footnote>
  <w:footnote w:id="61">
    <w:p w14:paraId="7D496028" w14:textId="6612580F" w:rsidR="00415D46" w:rsidRPr="000F1E2A" w:rsidRDefault="00415D46">
      <w:pPr>
        <w:pStyle w:val="FootnoteText"/>
      </w:pPr>
      <w:r w:rsidRPr="000F1E2A">
        <w:rPr>
          <w:rStyle w:val="FootnoteReference"/>
        </w:rPr>
        <w:footnoteRef/>
      </w:r>
      <w:r w:rsidRPr="000F1E2A">
        <w:tab/>
        <w:t xml:space="preserve">Grupul de dezbatere al cetățenilor europeni privind deșeurile alimentare, </w:t>
      </w:r>
      <w:hyperlink r:id="rId15" w:history="1">
        <w:r w:rsidRPr="000F1E2A">
          <w:rPr>
            <w:rStyle w:val="Hyperlink"/>
            <w:i/>
          </w:rPr>
          <w:t>Recomandări finale</w:t>
        </w:r>
      </w:hyperlink>
      <w:r w:rsidRPr="000F1E2A">
        <w:t>, februarie 2023.</w:t>
      </w:r>
    </w:p>
  </w:footnote>
  <w:footnote w:id="62">
    <w:p w14:paraId="2EA0E815" w14:textId="442BED44" w:rsidR="004151DC" w:rsidRPr="000F1E2A" w:rsidRDefault="004151DC">
      <w:pPr>
        <w:pStyle w:val="FootnoteText"/>
      </w:pPr>
      <w:r w:rsidRPr="000F1E2A">
        <w:rPr>
          <w:rStyle w:val="FootnoteReference"/>
        </w:rPr>
        <w:footnoteRef/>
      </w:r>
      <w:r w:rsidRPr="000F1E2A">
        <w:tab/>
      </w:r>
      <w:hyperlink r:id="rId16" w:history="1">
        <w:r w:rsidRPr="000F1E2A">
          <w:rPr>
            <w:rStyle w:val="Hyperlink"/>
          </w:rPr>
          <w:t>Comisia Europeană, Centrul Comun de Cercetare.</w:t>
        </w:r>
      </w:hyperlink>
      <w:hyperlink r:id="rId17" w:history="1">
        <w:r w:rsidRPr="000F1E2A">
          <w:rPr>
            <w:rStyle w:val="Hyperlink"/>
          </w:rPr>
          <w:t xml:space="preserve"> Circular economy perspectives in the EU Textile sector (Perspectivele economiei circulare în sectorul textilelor din UE).</w:t>
        </w:r>
      </w:hyperlink>
      <w:hyperlink r:id="rId18" w:history="1">
        <w:r w:rsidRPr="000F1E2A">
          <w:rPr>
            <w:rStyle w:val="Hyperlink"/>
          </w:rPr>
          <w:t xml:space="preserve"> 2021</w:t>
        </w:r>
      </w:hyperlink>
      <w:r w:rsidRPr="000F1E2A">
        <w:t xml:space="preserve"> și Comisia Europeană, Centrul Comun de Cercetare. Techno-scientific assessment of the management options for used and waste textiles (Evaluare tehnico-științifică a opțiunilor de gestionare a textilelor uzate și a deșeurilor textile). 2023 (în curs de elaborare).</w:t>
      </w:r>
    </w:p>
  </w:footnote>
  <w:footnote w:id="63">
    <w:p w14:paraId="7E2FA76B" w14:textId="32C75116" w:rsidR="004151DC" w:rsidRPr="000F1E2A" w:rsidRDefault="004151DC">
      <w:pPr>
        <w:pStyle w:val="FootnoteText"/>
      </w:pPr>
      <w:r w:rsidRPr="000F1E2A">
        <w:rPr>
          <w:rStyle w:val="FootnoteReference"/>
        </w:rPr>
        <w:footnoteRef/>
      </w:r>
      <w:r w:rsidRPr="000F1E2A">
        <w:tab/>
        <w:t xml:space="preserve">De Laurentiis, V, Mancini, L, Casonato, C, Boysen-Urban, K, De Jong, B, M’Barek, R, Sanyé Mengual, E, Sala, S. </w:t>
      </w:r>
      <w:r w:rsidRPr="000F1E2A">
        <w:rPr>
          <w:i/>
        </w:rPr>
        <w:t>Setting the scene for an EU initiative on food waste reduction targets</w:t>
      </w:r>
      <w:r w:rsidRPr="000F1E2A">
        <w:t>. Oficiul pentru Publicații al Uniunii Europene, Luxemburg, 2023, doi: 10.2760/13859, JRC133967.</w:t>
      </w:r>
    </w:p>
  </w:footnote>
  <w:footnote w:id="64">
    <w:p w14:paraId="5149D8DD" w14:textId="2C9B82BD" w:rsidR="004151DC" w:rsidRPr="000F1E2A" w:rsidRDefault="004151DC">
      <w:pPr>
        <w:pStyle w:val="FootnoteText"/>
      </w:pPr>
      <w:r w:rsidRPr="000F1E2A">
        <w:rPr>
          <w:rStyle w:val="FootnoteReference"/>
        </w:rPr>
        <w:footnoteRef/>
      </w:r>
      <w:r w:rsidRPr="000F1E2A">
        <w:tab/>
      </w:r>
      <w:r w:rsidRPr="000F1E2A">
        <w:rPr>
          <w:color w:val="000000" w:themeColor="text1"/>
        </w:rPr>
        <w:t xml:space="preserve">De Jong B, Boysen-Urban K, De Laurentiis V, Philippidis G, Bartelings H, Mancini L, Biganzoli F, Sanyé Mengual E, Sala S, Lasarte-López J, Rokicki B, M’barek R. </w:t>
      </w:r>
      <w:r w:rsidRPr="000F1E2A">
        <w:rPr>
          <w:i/>
          <w:color w:val="000000" w:themeColor="text1"/>
        </w:rPr>
        <w:t xml:space="preserve">Assessing the economic, social and environmental impacts of food waste reduction targets. A model-based analysis. </w:t>
      </w:r>
      <w:r w:rsidRPr="000F1E2A">
        <w:rPr>
          <w:color w:val="000000" w:themeColor="text1"/>
        </w:rPr>
        <w:t>Oficiul pentru Publicații al Uniunii Europene, Luxemburg, 2023, doi: 10.2760/77251, JRC133971.</w:t>
      </w:r>
    </w:p>
  </w:footnote>
  <w:footnote w:id="65">
    <w:p w14:paraId="34B7E488" w14:textId="4DB447DA" w:rsidR="00415D46" w:rsidRPr="000F1E2A" w:rsidRDefault="00415D46">
      <w:pPr>
        <w:pStyle w:val="FootnoteText"/>
      </w:pPr>
      <w:r w:rsidRPr="000F1E2A">
        <w:rPr>
          <w:rStyle w:val="FootnoteReference"/>
        </w:rPr>
        <w:footnoteRef/>
      </w:r>
      <w:r w:rsidRPr="000F1E2A">
        <w:tab/>
      </w:r>
      <w:hyperlink r:id="rId19" w:tgtFrame="_blank" w:history="1">
        <w:r w:rsidRPr="000F1E2A">
          <w:rPr>
            <w:rStyle w:val="normaltextrun"/>
            <w:color w:val="0000FF"/>
            <w:u w:val="single"/>
          </w:rPr>
          <w:t>https://ec.europa.eu/eurostat/statistics-explained/index.php?title=Food_waste_and_food_waste_prevention_-_estimates</w:t>
        </w:r>
      </w:hyperlink>
      <w:r w:rsidRPr="000F1E2A">
        <w:rPr>
          <w:rStyle w:val="normaltextrun"/>
          <w:color w:val="0000FF"/>
          <w:u w:val="single"/>
        </w:rPr>
        <w:t xml:space="preserve">. </w:t>
      </w:r>
      <w:r w:rsidRPr="000F1E2A">
        <w:rPr>
          <w:rStyle w:val="eop"/>
        </w:rPr>
        <w:t>Baza de date se găsește pe site-ul Eurostat la codul ( env_wasfw ).</w:t>
      </w:r>
    </w:p>
  </w:footnote>
  <w:footnote w:id="66">
    <w:p w14:paraId="5B1DC319" w14:textId="6F0CDAE4" w:rsidR="00415D46" w:rsidRPr="000F1E2A" w:rsidRDefault="00415D46">
      <w:pPr>
        <w:pStyle w:val="FootnoteText"/>
      </w:pPr>
      <w:r w:rsidRPr="000F1E2A">
        <w:rPr>
          <w:rStyle w:val="FootnoteReference"/>
        </w:rPr>
        <w:footnoteRef/>
      </w:r>
      <w:r w:rsidRPr="000F1E2A">
        <w:tab/>
        <w:t>Pentru o imagine de ansamblu a canalelor prin care economia circulară influențează competitivitatea, a se vedea Flachenecker, F. (2018)</w:t>
      </w:r>
      <w:r w:rsidRPr="000F1E2A">
        <w:rPr>
          <w:i/>
        </w:rPr>
        <w:t xml:space="preserve"> The causal impact of material productivity on macroeconomic competitiveness in the EU</w:t>
      </w:r>
      <w:r w:rsidRPr="000F1E2A">
        <w:t xml:space="preserve"> (Impactul cauzal al productivității materialelor asupra competitivității macroeconomice în UE). </w:t>
      </w:r>
      <w:r w:rsidRPr="000F1E2A">
        <w:rPr>
          <w:i/>
        </w:rPr>
        <w:t>Environmental Economics and Policy Studies</w:t>
      </w:r>
      <w:r w:rsidRPr="000F1E2A">
        <w:t xml:space="preserve"> 20, 17-46. </w:t>
      </w:r>
      <w:hyperlink r:id="rId20" w:history="1">
        <w:r w:rsidRPr="000F1E2A">
          <w:rPr>
            <w:rStyle w:val="Hyperlink"/>
          </w:rPr>
          <w:t>https://doi.org/10.1007/s10018-016-0180-3</w:t>
        </w:r>
      </w:hyperlink>
      <w:r w:rsidRPr="000F1E2A">
        <w:t xml:space="preserve"> și Flachenecker, F., Kornejew, M. (2019) The causal impact of material productivity on microeconomic competitiveness and environmental performance in the EU (Impactul cauzal al productivității materialelor asupra competitivității microeconomice și a performanței de mediu în UE). </w:t>
      </w:r>
      <w:r w:rsidRPr="000F1E2A">
        <w:rPr>
          <w:i/>
        </w:rPr>
        <w:t>Environmental Economics and Policy Studies</w:t>
      </w:r>
      <w:r w:rsidRPr="000F1E2A">
        <w:t xml:space="preserve"> 21, 87–122. </w:t>
      </w:r>
      <w:hyperlink r:id="rId21" w:history="1">
        <w:r w:rsidRPr="000F1E2A">
          <w:rPr>
            <w:rStyle w:val="Hyperlink"/>
          </w:rPr>
          <w:t>https://doi.org/10.1007/s10018-018-0223-z</w:t>
        </w:r>
      </w:hyperlink>
      <w:r w:rsidRPr="000F1E2A">
        <w:t>.</w:t>
      </w:r>
    </w:p>
  </w:footnote>
  <w:footnote w:id="67">
    <w:p w14:paraId="6F86CE69" w14:textId="77777777" w:rsidR="00C309FA" w:rsidRPr="000F1E2A" w:rsidRDefault="00C309FA">
      <w:pPr>
        <w:pStyle w:val="FootnoteText"/>
      </w:pPr>
      <w:r w:rsidRPr="000F1E2A">
        <w:rPr>
          <w:rStyle w:val="FootnoteReference"/>
        </w:rPr>
        <w:footnoteRef/>
      </w:r>
      <w:r w:rsidRPr="000F1E2A">
        <w:tab/>
      </w:r>
      <w:r w:rsidRPr="000F1E2A">
        <w:rPr>
          <w:rStyle w:val="normaltextrun"/>
          <w:color w:val="000000"/>
          <w:bdr w:val="none" w:sz="0" w:space="0" w:color="auto" w:frame="1"/>
        </w:rPr>
        <w:t>COM/2014/0397 final.</w:t>
      </w:r>
    </w:p>
  </w:footnote>
  <w:footnote w:id="68">
    <w:p w14:paraId="21A9901A" w14:textId="7871EEC3" w:rsidR="00BD152F" w:rsidRPr="000F1E2A" w:rsidRDefault="00BD152F" w:rsidP="00B00391">
      <w:pPr>
        <w:pStyle w:val="FootnoteText"/>
      </w:pPr>
      <w:r w:rsidRPr="000F1E2A">
        <w:rPr>
          <w:rStyle w:val="FootnoteReference"/>
        </w:rPr>
        <w:footnoteRef/>
      </w:r>
      <w:r w:rsidRPr="000F1E2A">
        <w:tab/>
        <w:t>JO C , , p. .</w:t>
      </w:r>
    </w:p>
  </w:footnote>
  <w:footnote w:id="69">
    <w:p w14:paraId="0109F5F6" w14:textId="7F230C65" w:rsidR="00BD152F" w:rsidRPr="000F1E2A" w:rsidRDefault="00BD152F" w:rsidP="00B00391">
      <w:pPr>
        <w:pStyle w:val="FootnoteText"/>
      </w:pPr>
      <w:r w:rsidRPr="000F1E2A">
        <w:rPr>
          <w:rStyle w:val="FootnoteReference"/>
        </w:rPr>
        <w:footnoteRef/>
      </w:r>
      <w:r w:rsidRPr="000F1E2A">
        <w:tab/>
        <w:t>JO C , , p. .</w:t>
      </w:r>
    </w:p>
  </w:footnote>
  <w:footnote w:id="70">
    <w:p w14:paraId="762DA0E7" w14:textId="57726AFD" w:rsidR="0074680C" w:rsidRPr="000F1E2A" w:rsidRDefault="0074680C">
      <w:pPr>
        <w:pStyle w:val="FootnoteText"/>
      </w:pPr>
      <w:r w:rsidRPr="000F1E2A">
        <w:rPr>
          <w:rStyle w:val="FootnoteReference"/>
        </w:rPr>
        <w:footnoteRef/>
      </w:r>
      <w:r w:rsidRPr="000F1E2A">
        <w:tab/>
      </w:r>
      <w:r w:rsidRPr="000F1E2A">
        <w:rPr>
          <w:color w:val="333333"/>
        </w:rPr>
        <w:t>COM(2020) 98 final</w:t>
      </w:r>
      <w:r w:rsidRPr="000F1E2A">
        <w:t xml:space="preserve"> din 11 martie 2020.</w:t>
      </w:r>
    </w:p>
  </w:footnote>
  <w:footnote w:id="71">
    <w:p w14:paraId="4F82A326" w14:textId="77777777" w:rsidR="0074680C" w:rsidRPr="000F1E2A" w:rsidRDefault="0074680C">
      <w:pPr>
        <w:pStyle w:val="FootnoteText"/>
      </w:pPr>
      <w:r w:rsidRPr="000F1E2A">
        <w:rPr>
          <w:rStyle w:val="FootnoteReference"/>
        </w:rPr>
        <w:footnoteRef/>
      </w:r>
      <w:r w:rsidRPr="000F1E2A">
        <w:tab/>
        <w:t>Căile de tranziție ale UE (europa.eu).</w:t>
      </w:r>
    </w:p>
  </w:footnote>
  <w:footnote w:id="72">
    <w:p w14:paraId="61B9B71A" w14:textId="5B7F3F3B" w:rsidR="0074680C" w:rsidRPr="000F1E2A" w:rsidRDefault="0074680C">
      <w:pPr>
        <w:pStyle w:val="FootnoteText"/>
      </w:pPr>
      <w:r w:rsidRPr="000F1E2A">
        <w:rPr>
          <w:rStyle w:val="FootnoteReference"/>
        </w:rPr>
        <w:footnoteRef/>
      </w:r>
      <w:r w:rsidRPr="000F1E2A">
        <w:tab/>
        <w:t xml:space="preserve">COM(2022) 141 final din </w:t>
      </w:r>
      <w:r w:rsidRPr="000F1E2A">
        <w:rPr>
          <w:color w:val="333333"/>
        </w:rPr>
        <w:t>30 martie 2022.</w:t>
      </w:r>
    </w:p>
  </w:footnote>
  <w:footnote w:id="73">
    <w:p w14:paraId="0BB5FB42" w14:textId="5FE909C1" w:rsidR="00415D46" w:rsidRPr="000F1E2A" w:rsidRDefault="00415D46">
      <w:pPr>
        <w:pStyle w:val="FootnoteText"/>
      </w:pPr>
      <w:r w:rsidRPr="000F1E2A">
        <w:rPr>
          <w:rStyle w:val="FootnoteReference"/>
        </w:rPr>
        <w:footnoteRef/>
      </w:r>
      <w:r w:rsidRPr="000F1E2A">
        <w:tab/>
        <w:t>Pentru lista completă a recomandărilor, a se vedea anexa 16 la evaluarea impactului.</w:t>
      </w:r>
    </w:p>
  </w:footnote>
  <w:footnote w:id="74">
    <w:p w14:paraId="51217E43" w14:textId="3BA993AC" w:rsidR="0074680C" w:rsidRPr="000F1E2A" w:rsidRDefault="0074680C">
      <w:pPr>
        <w:pStyle w:val="FootnoteText"/>
      </w:pPr>
      <w:r w:rsidRPr="000F1E2A">
        <w:rPr>
          <w:rStyle w:val="FootnoteReference"/>
        </w:rPr>
        <w:footnoteRef/>
      </w:r>
      <w:r w:rsidRPr="000F1E2A">
        <w:tab/>
        <w:t>JO L 140, 5.6.2009, p. 114.</w:t>
      </w:r>
    </w:p>
  </w:footnote>
  <w:footnote w:id="75">
    <w:p w14:paraId="0CF5B19A" w14:textId="73931422" w:rsidR="0074680C" w:rsidRPr="000F1E2A" w:rsidRDefault="0074680C">
      <w:pPr>
        <w:pStyle w:val="FootnoteText"/>
      </w:pPr>
      <w:r w:rsidRPr="000F1E2A">
        <w:rPr>
          <w:rStyle w:val="FootnoteReference"/>
        </w:rPr>
        <w:footnoteRef/>
      </w:r>
      <w:r w:rsidRPr="000F1E2A">
        <w:tab/>
        <w:t>JO L 114, 27.4.2006, p. 9.</w:t>
      </w:r>
    </w:p>
  </w:footnote>
  <w:footnote w:id="76">
    <w:p w14:paraId="48AB0B94" w14:textId="6C7856B5" w:rsidR="0074680C" w:rsidRPr="000F1E2A" w:rsidRDefault="0074680C">
      <w:pPr>
        <w:pStyle w:val="FootnoteText"/>
      </w:pPr>
      <w:r w:rsidRPr="000F1E2A">
        <w:rPr>
          <w:rStyle w:val="FootnoteReference"/>
        </w:rPr>
        <w:footnoteRef/>
      </w:r>
      <w:r w:rsidRPr="000F1E2A">
        <w:tab/>
        <w:t>JO L 312, 22.11.2008, p. 3.</w:t>
      </w:r>
    </w:p>
  </w:footnote>
  <w:footnote w:id="77">
    <w:p w14:paraId="754353A4" w14:textId="114D4153" w:rsidR="00415D46" w:rsidRPr="000F1E2A" w:rsidRDefault="00415D46">
      <w:pPr>
        <w:pStyle w:val="FootnoteText"/>
      </w:pPr>
      <w:r w:rsidRPr="000F1E2A">
        <w:rPr>
          <w:rStyle w:val="FootnoteReference"/>
        </w:rPr>
        <w:footnoteRef/>
      </w:r>
      <w:r w:rsidRPr="000F1E2A">
        <w:tab/>
        <w:t>Decizia delegată (UE) 2019/1597 a Comisiei din 3 mai 2019 de completare a Directivei 2008/98/CE a Parlamentului European și a Consiliului în ceea ce privește o metodologie comună și cerințele minime de calitate pentru măsurarea uniformă a nivelurilor de deșeuri alimentare (JO L 248, 27.9.2019, p. 77).</w:t>
      </w:r>
    </w:p>
  </w:footnote>
  <w:footnote w:id="78">
    <w:p w14:paraId="365A8293" w14:textId="77777777" w:rsidR="0074680C" w:rsidRPr="000F1E2A" w:rsidRDefault="0074680C">
      <w:pPr>
        <w:pStyle w:val="FootnoteText"/>
      </w:pPr>
      <w:r w:rsidRPr="000F1E2A">
        <w:rPr>
          <w:rStyle w:val="FootnoteReference"/>
        </w:rPr>
        <w:footnoteRef/>
      </w:r>
      <w:r w:rsidRPr="000F1E2A">
        <w:tab/>
      </w:r>
      <w:r w:rsidRPr="000F1E2A">
        <w:rPr>
          <w:sz w:val="19"/>
        </w:rPr>
        <w:t>Directiva 2011/83/UE a Parlamentului European și a Consiliului din 25</w:t>
      </w:r>
      <w:r w:rsidRPr="000F1E2A">
        <w:t> octombrie 2011 privind drepturile consumatorilor, de modificare a Directivei 93/13/CEE a Consiliului și a Directivei 1999/44/CE a Parlamentului European și a Consiliului și de abrogare a Directivei 85/577/CEE a Consiliului și a Directivei 97/7/CE a Parlamentului European și a Consiliului (JO L 304, 22.11.2011, p. 64).</w:t>
      </w:r>
    </w:p>
  </w:footnote>
  <w:footnote w:id="79">
    <w:p w14:paraId="495009C8" w14:textId="5FA34F6B" w:rsidR="0074680C" w:rsidRPr="000F1E2A" w:rsidRDefault="0074680C">
      <w:pPr>
        <w:pStyle w:val="FootnoteText"/>
      </w:pPr>
      <w:r w:rsidRPr="000F1E2A">
        <w:rPr>
          <w:rStyle w:val="FootnoteReference"/>
        </w:rPr>
        <w:footnoteRef/>
      </w:r>
      <w:r w:rsidRPr="000F1E2A">
        <w:tab/>
      </w:r>
      <w:r w:rsidRPr="000F1E2A">
        <w:rPr>
          <w:color w:val="333333"/>
        </w:rPr>
        <w:t>JO L 256, 7.9.1987, p. 1.</w:t>
      </w:r>
    </w:p>
  </w:footnote>
  <w:footnote w:id="80">
    <w:p w14:paraId="1E942955" w14:textId="172AAAD8" w:rsidR="0074680C" w:rsidRPr="000F1E2A" w:rsidRDefault="0074680C">
      <w:pPr>
        <w:pStyle w:val="FootnoteText"/>
      </w:pPr>
      <w:r w:rsidRPr="000F1E2A">
        <w:rPr>
          <w:rStyle w:val="FootnoteReference"/>
        </w:rPr>
        <w:footnoteRef/>
      </w:r>
      <w:r w:rsidRPr="000F1E2A">
        <w:tab/>
      </w:r>
      <w:r w:rsidRPr="000F1E2A">
        <w:rPr>
          <w:color w:val="333333"/>
        </w:rPr>
        <w:t xml:space="preserve">COM(2021) </w:t>
      </w:r>
      <w:r w:rsidRPr="000F1E2A">
        <w:t>778 final din 9 decembrie 2021.</w:t>
      </w:r>
    </w:p>
  </w:footnote>
  <w:footnote w:id="81">
    <w:p w14:paraId="35025608" w14:textId="77777777" w:rsidR="00B13603" w:rsidRPr="000F1E2A" w:rsidRDefault="00B13603">
      <w:pPr>
        <w:pStyle w:val="FootnoteText"/>
      </w:pPr>
      <w:r w:rsidRPr="000F1E2A">
        <w:rPr>
          <w:rStyle w:val="FootnoteReference"/>
        </w:rPr>
        <w:footnoteRef/>
      </w:r>
      <w:r w:rsidRPr="000F1E2A">
        <w:tab/>
      </w:r>
      <w:r w:rsidRPr="000F1E2A">
        <w:rPr>
          <w:i/>
        </w:rPr>
        <w:t>JO a se introduce numărul de referință după adoptare.</w:t>
      </w:r>
    </w:p>
  </w:footnote>
  <w:footnote w:id="82">
    <w:p w14:paraId="35AB3491" w14:textId="5AE8D451" w:rsidR="00B13603" w:rsidRPr="000F1E2A" w:rsidRDefault="00B13603">
      <w:pPr>
        <w:pStyle w:val="FootnoteText"/>
      </w:pPr>
      <w:r w:rsidRPr="000F1E2A">
        <w:rPr>
          <w:rStyle w:val="FootnoteReference"/>
        </w:rPr>
        <w:footnoteRef/>
      </w:r>
      <w:r w:rsidRPr="000F1E2A">
        <w:tab/>
        <w:t>Regulamentul (UE) nr. 1007/2011 al Parlamentului European și al Consiliului din 27 septembrie 2011 privind denumirile fibrelor textile și etichetarea corespunzătoare și marcarea compoziției fibroase a produselor textile și de abrogare a Directivei 73/44/CEE a Consiliului și a Directivelor 96/73/CE și 2008/121/CE ale Parlamentului European și ale Consiliului (JO L 272, 18.10.2011, p. 1).</w:t>
      </w:r>
    </w:p>
  </w:footnote>
  <w:footnote w:id="83">
    <w:p w14:paraId="040C7958" w14:textId="77777777" w:rsidR="0074680C" w:rsidRPr="000F1E2A" w:rsidRDefault="0074680C">
      <w:pPr>
        <w:pStyle w:val="FootnoteText"/>
      </w:pPr>
      <w:r w:rsidRPr="000F1E2A">
        <w:rPr>
          <w:rStyle w:val="FootnoteReference"/>
        </w:rPr>
        <w:footnoteRef/>
      </w:r>
      <w:r w:rsidRPr="000F1E2A">
        <w:tab/>
      </w:r>
      <w:r w:rsidRPr="000F1E2A">
        <w:rPr>
          <w:i/>
        </w:rPr>
        <w:t>JO a se introduce numărul de referință după adoptare.</w:t>
      </w:r>
    </w:p>
  </w:footnote>
  <w:footnote w:id="84">
    <w:p w14:paraId="6D97D033" w14:textId="1E0AB156" w:rsidR="0074680C" w:rsidRPr="000F1E2A" w:rsidRDefault="0074680C">
      <w:pPr>
        <w:pStyle w:val="FootnoteText"/>
      </w:pPr>
      <w:r w:rsidRPr="000F1E2A">
        <w:rPr>
          <w:rStyle w:val="FootnoteReference"/>
        </w:rPr>
        <w:footnoteRef/>
      </w:r>
      <w:r w:rsidRPr="000F1E2A">
        <w:tab/>
      </w:r>
      <w:r w:rsidRPr="000F1E2A">
        <w:rPr>
          <w:color w:val="333333"/>
        </w:rPr>
        <w:t>JO L 277, 27.10.2022, p. 1.</w:t>
      </w:r>
    </w:p>
  </w:footnote>
  <w:footnote w:id="85">
    <w:p w14:paraId="741B2D4F" w14:textId="77777777" w:rsidR="0074680C" w:rsidRPr="000F1E2A" w:rsidRDefault="0074680C">
      <w:pPr>
        <w:pStyle w:val="FootnoteText"/>
      </w:pPr>
      <w:r w:rsidRPr="000F1E2A">
        <w:rPr>
          <w:rStyle w:val="FootnoteReference"/>
        </w:rPr>
        <w:footnoteRef/>
      </w:r>
      <w:r w:rsidRPr="000F1E2A">
        <w:tab/>
      </w:r>
      <w:r w:rsidRPr="000F1E2A">
        <w:rPr>
          <w:i/>
        </w:rPr>
        <w:t>JO a se introduce numărul de referință după adoptare.</w:t>
      </w:r>
    </w:p>
  </w:footnote>
  <w:footnote w:id="86">
    <w:p w14:paraId="6E690F98" w14:textId="77777777" w:rsidR="00290C17" w:rsidRPr="000F1E2A" w:rsidRDefault="00290C17">
      <w:pPr>
        <w:pStyle w:val="FootnoteText"/>
      </w:pPr>
      <w:r w:rsidRPr="000F1E2A">
        <w:rPr>
          <w:rStyle w:val="FootnoteReference"/>
        </w:rPr>
        <w:footnoteRef/>
      </w:r>
      <w:r w:rsidRPr="000F1E2A">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 w:id="87">
    <w:p w14:paraId="4F88370C" w14:textId="77777777" w:rsidR="00BD152F" w:rsidRPr="000F1E2A" w:rsidRDefault="00BD152F" w:rsidP="00B00391">
      <w:pPr>
        <w:pStyle w:val="FootnoteText"/>
        <w:rPr>
          <w:szCs w:val="24"/>
        </w:rPr>
      </w:pPr>
      <w:r w:rsidRPr="000F1E2A">
        <w:rPr>
          <w:rStyle w:val="FootnoteReference"/>
        </w:rPr>
        <w:footnoteRef/>
      </w:r>
      <w:r w:rsidRPr="000F1E2A">
        <w:tab/>
        <w:t>Astfel cum se menționează la articolul 58 alineatul (2) litera (a) sau (b) din Regulamentul financiar.</w:t>
      </w:r>
    </w:p>
  </w:footnote>
  <w:footnote w:id="88">
    <w:p w14:paraId="37B4B8E0" w14:textId="77777777" w:rsidR="00BD152F" w:rsidRPr="000F1E2A" w:rsidRDefault="00BD152F" w:rsidP="00B00391">
      <w:pPr>
        <w:pStyle w:val="FootnoteText"/>
        <w:jc w:val="left"/>
        <w:rPr>
          <w:szCs w:val="24"/>
        </w:rPr>
      </w:pPr>
      <w:r w:rsidRPr="000F1E2A">
        <w:rPr>
          <w:rStyle w:val="FootnoteReference"/>
        </w:rPr>
        <w:footnoteRef/>
      </w:r>
      <w:r w:rsidRPr="000F1E2A">
        <w:tab/>
        <w:t xml:space="preserve">Explicații detaliate privind metodele de execuție a bugetului, precum și trimiterile la Regulamentul financiar sunt disponibile pe site-ul BUDGpedia: </w:t>
      </w:r>
      <w:hyperlink r:id="rId22" w:history="1">
        <w:r w:rsidRPr="000F1E2A">
          <w:rPr>
            <w:rStyle w:val="Hyperlink"/>
          </w:rPr>
          <w:t>https://myintracomm.ec.europa.eu/corp/budget/financial-rules/budget-implementation/Pages/implementation-methods.aspx</w:t>
        </w:r>
      </w:hyperlink>
      <w:r w:rsidRPr="000F1E2A">
        <w:t>.</w:t>
      </w:r>
    </w:p>
  </w:footnote>
  <w:footnote w:id="89">
    <w:p w14:paraId="2B254A55" w14:textId="77777777" w:rsidR="00BD152F" w:rsidRPr="000F1E2A" w:rsidRDefault="00BD152F" w:rsidP="00B00391">
      <w:pPr>
        <w:pStyle w:val="FootnoteText"/>
        <w:rPr>
          <w:szCs w:val="24"/>
        </w:rPr>
      </w:pPr>
      <w:r w:rsidRPr="000F1E2A">
        <w:rPr>
          <w:rStyle w:val="FootnoteReference"/>
        </w:rPr>
        <w:footnoteRef/>
      </w:r>
      <w:r w:rsidRPr="000F1E2A">
        <w:tab/>
        <w:t>Dif. = credite diferențiate / Nedif. = credite nediferențiate.</w:t>
      </w:r>
    </w:p>
  </w:footnote>
  <w:footnote w:id="90">
    <w:p w14:paraId="50A17A5E" w14:textId="77777777" w:rsidR="00BD152F" w:rsidRPr="000F1E2A" w:rsidRDefault="00BD152F" w:rsidP="00B00391">
      <w:pPr>
        <w:pStyle w:val="FootnoteText"/>
        <w:rPr>
          <w:szCs w:val="24"/>
        </w:rPr>
      </w:pPr>
      <w:r w:rsidRPr="000F1E2A">
        <w:rPr>
          <w:rStyle w:val="FootnoteReference"/>
        </w:rPr>
        <w:footnoteRef/>
      </w:r>
      <w:r w:rsidRPr="000F1E2A">
        <w:tab/>
        <w:t xml:space="preserve">AELS: Asociația Europeană a Liberului Schimb. </w:t>
      </w:r>
    </w:p>
  </w:footnote>
  <w:footnote w:id="91">
    <w:p w14:paraId="5DE039AB" w14:textId="77777777" w:rsidR="00BD152F" w:rsidRPr="000F1E2A" w:rsidRDefault="00BD152F" w:rsidP="00B00391">
      <w:pPr>
        <w:pStyle w:val="FootnoteText"/>
        <w:rPr>
          <w:szCs w:val="24"/>
        </w:rPr>
      </w:pPr>
      <w:r w:rsidRPr="000F1E2A">
        <w:rPr>
          <w:rStyle w:val="FootnoteReference"/>
        </w:rPr>
        <w:footnoteRef/>
      </w:r>
      <w:r w:rsidRPr="000F1E2A">
        <w:tab/>
        <w:t>Țările candidate și, după caz, țările potențial candidate din Balcanii de Vest.</w:t>
      </w:r>
    </w:p>
  </w:footnote>
  <w:footnote w:id="92">
    <w:p w14:paraId="7E1146EF" w14:textId="77777777" w:rsidR="00BD152F" w:rsidRPr="000F1E2A" w:rsidRDefault="00BD152F" w:rsidP="00B00391">
      <w:pPr>
        <w:pStyle w:val="FootnoteText"/>
        <w:rPr>
          <w:szCs w:val="24"/>
        </w:rPr>
      </w:pPr>
      <w:r w:rsidRPr="000F1E2A">
        <w:rPr>
          <w:rStyle w:val="FootnoteReference"/>
        </w:rPr>
        <w:footnoteRef/>
      </w:r>
      <w:r w:rsidRPr="000F1E2A">
        <w:tab/>
        <w:t>Realizările se referă la produsele și serviciile care vor fi furnizate (de exemplu: numărul de schimburi de studenți finanțate, numărul de km de drumuri construiți etc.).</w:t>
      </w:r>
    </w:p>
  </w:footnote>
  <w:footnote w:id="93">
    <w:p w14:paraId="77DB3BA7" w14:textId="77777777" w:rsidR="00BD152F" w:rsidRPr="000F1E2A" w:rsidRDefault="00BD152F" w:rsidP="00B00391">
      <w:pPr>
        <w:pStyle w:val="FootnoteText"/>
        <w:rPr>
          <w:szCs w:val="24"/>
        </w:rPr>
      </w:pPr>
      <w:r w:rsidRPr="000F1E2A">
        <w:rPr>
          <w:rStyle w:val="FootnoteReference"/>
        </w:rPr>
        <w:footnoteRef/>
      </w:r>
      <w:r w:rsidRPr="000F1E2A">
        <w:tab/>
        <w:t xml:space="preserve">Conform descrierii de la punctul 1.4.2. „Obiectiv(e) specific(e)…”. </w:t>
      </w:r>
    </w:p>
  </w:footnote>
  <w:footnote w:id="94">
    <w:p w14:paraId="308C6730" w14:textId="77777777" w:rsidR="002B6EB1" w:rsidRPr="000F1E2A" w:rsidRDefault="002B6EB1" w:rsidP="002B6EB1">
      <w:pPr>
        <w:pStyle w:val="FootnoteText"/>
        <w:rPr>
          <w:szCs w:val="24"/>
        </w:rPr>
      </w:pPr>
      <w:r w:rsidRPr="000F1E2A">
        <w:rPr>
          <w:rStyle w:val="FootnoteReference"/>
        </w:rPr>
        <w:footnoteRef/>
      </w:r>
      <w:r w:rsidRPr="000F1E2A">
        <w:tab/>
      </w:r>
      <w:r w:rsidRPr="000F1E2A">
        <w:rPr>
          <w:sz w:val="18"/>
        </w:rPr>
        <w:t>Asistență tehnică și/sau administrativă și cheltuieli de sprijin pentru punerea în aplicare a programelor și/sau a acțiunilor UE (fostele linii „BA”), cercetare indirectă și cercetare directă.</w:t>
      </w:r>
    </w:p>
  </w:footnote>
  <w:footnote w:id="95">
    <w:p w14:paraId="155F571C" w14:textId="77777777" w:rsidR="00CB1A27" w:rsidRPr="000F1E2A" w:rsidRDefault="00CB1A27" w:rsidP="00B00391">
      <w:pPr>
        <w:pStyle w:val="FootnoteText"/>
        <w:rPr>
          <w:szCs w:val="24"/>
        </w:rPr>
      </w:pPr>
      <w:r w:rsidRPr="000F1E2A">
        <w:rPr>
          <w:rStyle w:val="FootnoteReference"/>
        </w:rPr>
        <w:footnoteRef/>
      </w:r>
      <w:r w:rsidRPr="000F1E2A">
        <w:tab/>
        <w:t>Subplafonul pentru personal extern acoperit din creditele operaționale (fostele linii „BA”).</w:t>
      </w:r>
    </w:p>
  </w:footnote>
  <w:footnote w:id="96">
    <w:p w14:paraId="059D8945" w14:textId="77777777" w:rsidR="00BD152F" w:rsidRPr="000F1E2A" w:rsidRDefault="00BD152F" w:rsidP="00B00391">
      <w:pPr>
        <w:pStyle w:val="FootnoteText"/>
      </w:pPr>
      <w:r w:rsidRPr="000F1E2A">
        <w:rPr>
          <w:rStyle w:val="FootnoteReference"/>
        </w:rPr>
        <w:footnoteRef/>
      </w:r>
      <w:r w:rsidRPr="000F1E2A">
        <w:tab/>
        <w:t>Anul N este anul în care începe punerea în aplicare a propunerii/inițiativei. Vă rugăm să înlocuiți „N” cu primul an estimat de punere în aplicare (de exemplu: 2021). Se procedează la fel pentru anii următori.</w:t>
      </w:r>
    </w:p>
  </w:footnote>
  <w:footnote w:id="97">
    <w:p w14:paraId="07A7C31C" w14:textId="77777777" w:rsidR="00BD152F" w:rsidRPr="000F1E2A" w:rsidRDefault="00BD152F" w:rsidP="00B00391">
      <w:pPr>
        <w:pStyle w:val="FootnoteText"/>
        <w:rPr>
          <w:szCs w:val="24"/>
        </w:rPr>
      </w:pPr>
      <w:r w:rsidRPr="000F1E2A">
        <w:rPr>
          <w:rStyle w:val="FootnoteReference"/>
        </w:rPr>
        <w:footnoteRef/>
      </w:r>
      <w:r w:rsidRPr="000F1E2A">
        <w:tab/>
        <w:t>În ceea ce privește resursele proprii tradiționale (taxe vamale, cotizații pentru zahăr), sumele indicate trebuie să fie sume nete, și anume sumele brute după deducerea unei cote de 20 % pentru costurile de colectare.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87E94" w14:textId="77777777" w:rsidR="00311D41" w:rsidRPr="00311D41" w:rsidRDefault="00311D41" w:rsidP="00311D41">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2769" w14:textId="77777777" w:rsidR="00311D41" w:rsidRPr="00311D41" w:rsidRDefault="00311D41" w:rsidP="00311D41">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A1105" w14:textId="77777777" w:rsidR="00006B65" w:rsidRPr="00006B65" w:rsidRDefault="00006B65" w:rsidP="00311D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A830" w14:textId="77777777" w:rsidR="00311D41" w:rsidRPr="00311D41" w:rsidRDefault="00311D41" w:rsidP="00311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1E3F0D19"/>
    <w:multiLevelType w:val="hybridMultilevel"/>
    <w:tmpl w:val="3DB227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AA153C0"/>
    <w:multiLevelType w:val="hybridMultilevel"/>
    <w:tmpl w:val="233402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50160F3"/>
    <w:multiLevelType w:val="hybridMultilevel"/>
    <w:tmpl w:val="07861B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F0424"/>
    <w:multiLevelType w:val="hybridMultilevel"/>
    <w:tmpl w:val="D2B649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1"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2"/>
  </w:num>
  <w:num w:numId="8">
    <w:abstractNumId w:val="8"/>
  </w:num>
  <w:num w:numId="9">
    <w:abstractNumId w:val="18"/>
  </w:num>
  <w:num w:numId="10">
    <w:abstractNumId w:val="16"/>
  </w:num>
  <w:num w:numId="11">
    <w:abstractNumId w:val="26"/>
  </w:num>
  <w:num w:numId="12">
    <w:abstractNumId w:val="30"/>
  </w:num>
  <w:num w:numId="13">
    <w:abstractNumId w:val="31"/>
  </w:num>
  <w:num w:numId="14">
    <w:abstractNumId w:val="1"/>
  </w:num>
  <w:num w:numId="15">
    <w:abstractNumId w:val="10"/>
  </w:num>
  <w:num w:numId="16">
    <w:abstractNumId w:val="2"/>
  </w:num>
  <w:num w:numId="17">
    <w:abstractNumId w:val="11"/>
  </w:num>
  <w:num w:numId="18">
    <w:abstractNumId w:val="9"/>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num>
  <w:num w:numId="25">
    <w:abstractNumId w:val="20"/>
  </w:num>
  <w:num w:numId="26">
    <w:abstractNumId w:val="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num>
  <w:num w:numId="30">
    <w:abstractNumId w:val="32"/>
    <w:lvlOverride w:ilvl="0">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2"/>
  </w:num>
  <w:num w:numId="47">
    <w:abstractNumId w:val="29"/>
  </w:num>
  <w:num w:numId="48">
    <w:abstractNumId w:val="7"/>
  </w:num>
  <w:num w:numId="49">
    <w:abstractNumId w:val="13"/>
  </w:num>
  <w:num w:numId="50">
    <w:abstractNumId w:val="14"/>
  </w:num>
  <w:num w:numId="51">
    <w:abstractNumId w:val="5"/>
  </w:num>
  <w:num w:numId="52">
    <w:abstractNumId w:val="27"/>
  </w:num>
  <w:num w:numId="53">
    <w:abstractNumId w:val="3"/>
  </w:num>
  <w:num w:numId="54">
    <w:abstractNumId w:val="15"/>
  </w:num>
  <w:num w:numId="55">
    <w:abstractNumId w:val="23"/>
  </w:num>
  <w:num w:numId="56">
    <w:abstractNumId w:val="24"/>
  </w:num>
  <w:num w:numId="57">
    <w:abstractNumId w:val="6"/>
  </w:num>
  <w:num w:numId="58">
    <w:abstractNumId w:val="21"/>
  </w:num>
  <w:num w:numId="59">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27 16:13:5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BDEE9297-4640-473B-BD0F-5B4D0DE680EE"/>
    <w:docVar w:name="LW_COVERPAGE_TYPE" w:val="1"/>
    <w:docVar w:name="LW_CROSSREFERENCE" w:val="{SEC(2023) 420 final} - {SWD(2023) 420 final} - {SWD(2023) 421 final} - {SWD(2023) 422 final}"/>
    <w:docVar w:name="LW_DocType" w:val="COM"/>
    <w:docVar w:name="LW_EMISSION" w:val="5.7.2023"/>
    <w:docVar w:name="LW_EMISSION_ISODATE" w:val="2023-07-05"/>
    <w:docVar w:name="LW_EMISSION_LOCATION" w:val="BRX"/>
    <w:docVar w:name="LW_EMISSION_PREFIX" w:val="Bruxelle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cu relevanță pentru SEE)"/>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234"/>
    <w:docVar w:name="LW_REF.II.NEW.CP_YEAR" w:val="2023"/>
    <w:docVar w:name="LW_REF.INST.NEW" w:val="COM"/>
    <w:docVar w:name="LW_REF.INST.NEW_ADOPTED" w:val="final"/>
    <w:docVar w:name="LW_REF.INST.NEW_TEXT" w:val="(2023) 4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de modificare a Directivei 2008/98/CE privind deșeurile"/>
    <w:docVar w:name="LW_TYPE.DOC.CP" w:val="DIRECTIVĂ A PARLAMENTULUI EUROPEAN ȘI A CONSILIULUI"/>
    <w:docVar w:name="LwApiVersions" w:val="LW4CoDe 1.23.2.0; LW 8.0, Build 20211117"/>
  </w:docVars>
  <w:rsids>
    <w:rsidRoot w:val="00BD152F"/>
    <w:rsid w:val="00000AB9"/>
    <w:rsid w:val="00000DEA"/>
    <w:rsid w:val="0000226F"/>
    <w:rsid w:val="000028CA"/>
    <w:rsid w:val="0000469B"/>
    <w:rsid w:val="0000584A"/>
    <w:rsid w:val="00006468"/>
    <w:rsid w:val="00006B65"/>
    <w:rsid w:val="000074D2"/>
    <w:rsid w:val="00007E02"/>
    <w:rsid w:val="00011D6D"/>
    <w:rsid w:val="00012845"/>
    <w:rsid w:val="00012E51"/>
    <w:rsid w:val="00014686"/>
    <w:rsid w:val="00014DDB"/>
    <w:rsid w:val="00015CC9"/>
    <w:rsid w:val="000168A2"/>
    <w:rsid w:val="000169B3"/>
    <w:rsid w:val="00016CEB"/>
    <w:rsid w:val="00016D72"/>
    <w:rsid w:val="00017BB7"/>
    <w:rsid w:val="00017FC3"/>
    <w:rsid w:val="000200F7"/>
    <w:rsid w:val="000203FE"/>
    <w:rsid w:val="00020D0D"/>
    <w:rsid w:val="000215A0"/>
    <w:rsid w:val="000223B9"/>
    <w:rsid w:val="00022CC9"/>
    <w:rsid w:val="00026A3F"/>
    <w:rsid w:val="00026B1D"/>
    <w:rsid w:val="00030507"/>
    <w:rsid w:val="00030678"/>
    <w:rsid w:val="0003068F"/>
    <w:rsid w:val="00030BEB"/>
    <w:rsid w:val="000353BD"/>
    <w:rsid w:val="0003594C"/>
    <w:rsid w:val="00036B5A"/>
    <w:rsid w:val="0004047F"/>
    <w:rsid w:val="00041038"/>
    <w:rsid w:val="0004185E"/>
    <w:rsid w:val="0004337C"/>
    <w:rsid w:val="000439FC"/>
    <w:rsid w:val="00043A68"/>
    <w:rsid w:val="000441C4"/>
    <w:rsid w:val="000458A8"/>
    <w:rsid w:val="00046018"/>
    <w:rsid w:val="00046417"/>
    <w:rsid w:val="00046EA1"/>
    <w:rsid w:val="00047DDE"/>
    <w:rsid w:val="00050789"/>
    <w:rsid w:val="00050A91"/>
    <w:rsid w:val="000514B9"/>
    <w:rsid w:val="00053263"/>
    <w:rsid w:val="0005334E"/>
    <w:rsid w:val="00054A42"/>
    <w:rsid w:val="00055B25"/>
    <w:rsid w:val="0005661C"/>
    <w:rsid w:val="00056718"/>
    <w:rsid w:val="00056B7C"/>
    <w:rsid w:val="0006044A"/>
    <w:rsid w:val="00060F34"/>
    <w:rsid w:val="00060F7C"/>
    <w:rsid w:val="00061843"/>
    <w:rsid w:val="00062210"/>
    <w:rsid w:val="00063757"/>
    <w:rsid w:val="00063BDC"/>
    <w:rsid w:val="00064E64"/>
    <w:rsid w:val="00064FB1"/>
    <w:rsid w:val="00065095"/>
    <w:rsid w:val="000654D0"/>
    <w:rsid w:val="000660AB"/>
    <w:rsid w:val="0006638A"/>
    <w:rsid w:val="000666BB"/>
    <w:rsid w:val="00066BE4"/>
    <w:rsid w:val="00071359"/>
    <w:rsid w:val="000727FB"/>
    <w:rsid w:val="000728BD"/>
    <w:rsid w:val="00072A17"/>
    <w:rsid w:val="00073719"/>
    <w:rsid w:val="00073797"/>
    <w:rsid w:val="00074A43"/>
    <w:rsid w:val="000758D1"/>
    <w:rsid w:val="00076746"/>
    <w:rsid w:val="000778D6"/>
    <w:rsid w:val="00077E96"/>
    <w:rsid w:val="0008239E"/>
    <w:rsid w:val="000829CE"/>
    <w:rsid w:val="00083D0B"/>
    <w:rsid w:val="00084820"/>
    <w:rsid w:val="00084B17"/>
    <w:rsid w:val="00084E23"/>
    <w:rsid w:val="00085B2C"/>
    <w:rsid w:val="00086335"/>
    <w:rsid w:val="00087AF0"/>
    <w:rsid w:val="0009073A"/>
    <w:rsid w:val="00091233"/>
    <w:rsid w:val="00092582"/>
    <w:rsid w:val="0009328A"/>
    <w:rsid w:val="0009334E"/>
    <w:rsid w:val="000945E5"/>
    <w:rsid w:val="00097FC3"/>
    <w:rsid w:val="000A1989"/>
    <w:rsid w:val="000A1A20"/>
    <w:rsid w:val="000A3657"/>
    <w:rsid w:val="000A3B20"/>
    <w:rsid w:val="000A3BA4"/>
    <w:rsid w:val="000A58C2"/>
    <w:rsid w:val="000A5C9A"/>
    <w:rsid w:val="000A78F4"/>
    <w:rsid w:val="000B0944"/>
    <w:rsid w:val="000B1352"/>
    <w:rsid w:val="000B36BB"/>
    <w:rsid w:val="000B3B3E"/>
    <w:rsid w:val="000B4C5D"/>
    <w:rsid w:val="000B5091"/>
    <w:rsid w:val="000B50E8"/>
    <w:rsid w:val="000B622F"/>
    <w:rsid w:val="000B7EAC"/>
    <w:rsid w:val="000C1B7A"/>
    <w:rsid w:val="000C3982"/>
    <w:rsid w:val="000C3D99"/>
    <w:rsid w:val="000C4BFA"/>
    <w:rsid w:val="000C5B9F"/>
    <w:rsid w:val="000C65FB"/>
    <w:rsid w:val="000C7E56"/>
    <w:rsid w:val="000D10D0"/>
    <w:rsid w:val="000D123F"/>
    <w:rsid w:val="000D166F"/>
    <w:rsid w:val="000D2452"/>
    <w:rsid w:val="000D34D9"/>
    <w:rsid w:val="000D62D8"/>
    <w:rsid w:val="000E01BF"/>
    <w:rsid w:val="000E18DA"/>
    <w:rsid w:val="000E253D"/>
    <w:rsid w:val="000E2727"/>
    <w:rsid w:val="000E2C90"/>
    <w:rsid w:val="000E36FD"/>
    <w:rsid w:val="000E40C1"/>
    <w:rsid w:val="000E5D2A"/>
    <w:rsid w:val="000E7B47"/>
    <w:rsid w:val="000E7C63"/>
    <w:rsid w:val="000F039D"/>
    <w:rsid w:val="000F1A08"/>
    <w:rsid w:val="000F1A14"/>
    <w:rsid w:val="000F1E2A"/>
    <w:rsid w:val="000F39A7"/>
    <w:rsid w:val="000F413C"/>
    <w:rsid w:val="000F473C"/>
    <w:rsid w:val="000F6262"/>
    <w:rsid w:val="000F6AD0"/>
    <w:rsid w:val="000F70C3"/>
    <w:rsid w:val="000F7AB7"/>
    <w:rsid w:val="00101B27"/>
    <w:rsid w:val="00101E06"/>
    <w:rsid w:val="00102185"/>
    <w:rsid w:val="001031D7"/>
    <w:rsid w:val="00103C17"/>
    <w:rsid w:val="00105193"/>
    <w:rsid w:val="001065F5"/>
    <w:rsid w:val="00111FD3"/>
    <w:rsid w:val="00112B99"/>
    <w:rsid w:val="00113894"/>
    <w:rsid w:val="00113EDA"/>
    <w:rsid w:val="00114B3B"/>
    <w:rsid w:val="00114FFA"/>
    <w:rsid w:val="00115ED8"/>
    <w:rsid w:val="0011638B"/>
    <w:rsid w:val="00116725"/>
    <w:rsid w:val="00116B45"/>
    <w:rsid w:val="0011773C"/>
    <w:rsid w:val="001205C8"/>
    <w:rsid w:val="00120AC3"/>
    <w:rsid w:val="001216E1"/>
    <w:rsid w:val="00121BD3"/>
    <w:rsid w:val="00122AA6"/>
    <w:rsid w:val="00122CEC"/>
    <w:rsid w:val="00123696"/>
    <w:rsid w:val="001238EF"/>
    <w:rsid w:val="0012436A"/>
    <w:rsid w:val="00125201"/>
    <w:rsid w:val="00127563"/>
    <w:rsid w:val="00127DC5"/>
    <w:rsid w:val="00127E47"/>
    <w:rsid w:val="00130C47"/>
    <w:rsid w:val="00130D00"/>
    <w:rsid w:val="0013126A"/>
    <w:rsid w:val="00131DE7"/>
    <w:rsid w:val="00133F85"/>
    <w:rsid w:val="00136648"/>
    <w:rsid w:val="0013695B"/>
    <w:rsid w:val="00137BF6"/>
    <w:rsid w:val="0014109E"/>
    <w:rsid w:val="001423BD"/>
    <w:rsid w:val="001437A8"/>
    <w:rsid w:val="00143E5F"/>
    <w:rsid w:val="001444D2"/>
    <w:rsid w:val="00145644"/>
    <w:rsid w:val="00145F5E"/>
    <w:rsid w:val="00146862"/>
    <w:rsid w:val="0014686F"/>
    <w:rsid w:val="0014741C"/>
    <w:rsid w:val="00151042"/>
    <w:rsid w:val="00154EAE"/>
    <w:rsid w:val="00160482"/>
    <w:rsid w:val="00163955"/>
    <w:rsid w:val="001639B5"/>
    <w:rsid w:val="00164E34"/>
    <w:rsid w:val="001654A8"/>
    <w:rsid w:val="001655C5"/>
    <w:rsid w:val="001659FD"/>
    <w:rsid w:val="00165EF1"/>
    <w:rsid w:val="00166FBF"/>
    <w:rsid w:val="001676A7"/>
    <w:rsid w:val="001710BD"/>
    <w:rsid w:val="00171D70"/>
    <w:rsid w:val="00172261"/>
    <w:rsid w:val="00172825"/>
    <w:rsid w:val="001730FC"/>
    <w:rsid w:val="00174B7E"/>
    <w:rsid w:val="00177408"/>
    <w:rsid w:val="0017741E"/>
    <w:rsid w:val="0018065A"/>
    <w:rsid w:val="00180FD5"/>
    <w:rsid w:val="0018154C"/>
    <w:rsid w:val="00182D28"/>
    <w:rsid w:val="001867E5"/>
    <w:rsid w:val="00186B9F"/>
    <w:rsid w:val="001870DF"/>
    <w:rsid w:val="00187292"/>
    <w:rsid w:val="00187DFA"/>
    <w:rsid w:val="00190070"/>
    <w:rsid w:val="00191EDE"/>
    <w:rsid w:val="0019261E"/>
    <w:rsid w:val="00192E30"/>
    <w:rsid w:val="001930B8"/>
    <w:rsid w:val="00193555"/>
    <w:rsid w:val="00193D1A"/>
    <w:rsid w:val="0019475F"/>
    <w:rsid w:val="00194C89"/>
    <w:rsid w:val="00195CBE"/>
    <w:rsid w:val="00197613"/>
    <w:rsid w:val="001976FE"/>
    <w:rsid w:val="001A0663"/>
    <w:rsid w:val="001A1B79"/>
    <w:rsid w:val="001A2817"/>
    <w:rsid w:val="001A3D2D"/>
    <w:rsid w:val="001A4478"/>
    <w:rsid w:val="001A77CC"/>
    <w:rsid w:val="001B048F"/>
    <w:rsid w:val="001B1480"/>
    <w:rsid w:val="001B1B31"/>
    <w:rsid w:val="001B29B5"/>
    <w:rsid w:val="001B2A93"/>
    <w:rsid w:val="001B314F"/>
    <w:rsid w:val="001B41EE"/>
    <w:rsid w:val="001B4DA8"/>
    <w:rsid w:val="001B5480"/>
    <w:rsid w:val="001BA079"/>
    <w:rsid w:val="001C0333"/>
    <w:rsid w:val="001C23FA"/>
    <w:rsid w:val="001C2A10"/>
    <w:rsid w:val="001C2C5D"/>
    <w:rsid w:val="001C4193"/>
    <w:rsid w:val="001C449E"/>
    <w:rsid w:val="001C5607"/>
    <w:rsid w:val="001C5DE2"/>
    <w:rsid w:val="001C6D6A"/>
    <w:rsid w:val="001C7F52"/>
    <w:rsid w:val="001D069B"/>
    <w:rsid w:val="001D2EE1"/>
    <w:rsid w:val="001D33F8"/>
    <w:rsid w:val="001D38BF"/>
    <w:rsid w:val="001D3914"/>
    <w:rsid w:val="001D3C38"/>
    <w:rsid w:val="001D3ECB"/>
    <w:rsid w:val="001D4546"/>
    <w:rsid w:val="001D4CA9"/>
    <w:rsid w:val="001D507D"/>
    <w:rsid w:val="001D5375"/>
    <w:rsid w:val="001D5616"/>
    <w:rsid w:val="001D5C6C"/>
    <w:rsid w:val="001D6654"/>
    <w:rsid w:val="001D6B33"/>
    <w:rsid w:val="001E21B6"/>
    <w:rsid w:val="001E2D71"/>
    <w:rsid w:val="001E2F3D"/>
    <w:rsid w:val="001E4081"/>
    <w:rsid w:val="001E4A96"/>
    <w:rsid w:val="001E511B"/>
    <w:rsid w:val="001E561C"/>
    <w:rsid w:val="001E71F8"/>
    <w:rsid w:val="001E731E"/>
    <w:rsid w:val="001E7496"/>
    <w:rsid w:val="001E7957"/>
    <w:rsid w:val="001E7CA5"/>
    <w:rsid w:val="001F101C"/>
    <w:rsid w:val="001F4DF6"/>
    <w:rsid w:val="001F5136"/>
    <w:rsid w:val="001F56F6"/>
    <w:rsid w:val="001F685C"/>
    <w:rsid w:val="001F6A69"/>
    <w:rsid w:val="001F7313"/>
    <w:rsid w:val="002014B0"/>
    <w:rsid w:val="00201CC4"/>
    <w:rsid w:val="0020411B"/>
    <w:rsid w:val="00204C50"/>
    <w:rsid w:val="00205D66"/>
    <w:rsid w:val="00211331"/>
    <w:rsid w:val="002113A9"/>
    <w:rsid w:val="002136CB"/>
    <w:rsid w:val="00214A27"/>
    <w:rsid w:val="00214BD2"/>
    <w:rsid w:val="00214C41"/>
    <w:rsid w:val="002203CC"/>
    <w:rsid w:val="00220F9B"/>
    <w:rsid w:val="0022412D"/>
    <w:rsid w:val="002256E0"/>
    <w:rsid w:val="00225E65"/>
    <w:rsid w:val="00226BA9"/>
    <w:rsid w:val="00226C50"/>
    <w:rsid w:val="0023093F"/>
    <w:rsid w:val="002310BE"/>
    <w:rsid w:val="00231A40"/>
    <w:rsid w:val="00231BA3"/>
    <w:rsid w:val="00232315"/>
    <w:rsid w:val="00233B7A"/>
    <w:rsid w:val="00233DC7"/>
    <w:rsid w:val="00235051"/>
    <w:rsid w:val="00235A4F"/>
    <w:rsid w:val="002362AA"/>
    <w:rsid w:val="00236713"/>
    <w:rsid w:val="0023693A"/>
    <w:rsid w:val="00236D7C"/>
    <w:rsid w:val="0023780D"/>
    <w:rsid w:val="00237D17"/>
    <w:rsid w:val="002413FE"/>
    <w:rsid w:val="00241CB6"/>
    <w:rsid w:val="00245B9B"/>
    <w:rsid w:val="00246B5A"/>
    <w:rsid w:val="00247346"/>
    <w:rsid w:val="00247779"/>
    <w:rsid w:val="002505B1"/>
    <w:rsid w:val="00250C7A"/>
    <w:rsid w:val="0025408A"/>
    <w:rsid w:val="00254E11"/>
    <w:rsid w:val="00255B5D"/>
    <w:rsid w:val="00255FB8"/>
    <w:rsid w:val="00256B8A"/>
    <w:rsid w:val="002601D7"/>
    <w:rsid w:val="00260362"/>
    <w:rsid w:val="00260A41"/>
    <w:rsid w:val="0026173F"/>
    <w:rsid w:val="002622B3"/>
    <w:rsid w:val="00262495"/>
    <w:rsid w:val="002632CF"/>
    <w:rsid w:val="00263BE6"/>
    <w:rsid w:val="00263FCC"/>
    <w:rsid w:val="00264855"/>
    <w:rsid w:val="00265526"/>
    <w:rsid w:val="002661C0"/>
    <w:rsid w:val="00267AF5"/>
    <w:rsid w:val="00271BCA"/>
    <w:rsid w:val="00272078"/>
    <w:rsid w:val="00272FE0"/>
    <w:rsid w:val="00274EF1"/>
    <w:rsid w:val="00274F3E"/>
    <w:rsid w:val="0028043B"/>
    <w:rsid w:val="002817D9"/>
    <w:rsid w:val="00281B75"/>
    <w:rsid w:val="00283634"/>
    <w:rsid w:val="00285932"/>
    <w:rsid w:val="00285BEE"/>
    <w:rsid w:val="00285CFC"/>
    <w:rsid w:val="0028690D"/>
    <w:rsid w:val="0029049E"/>
    <w:rsid w:val="002906B7"/>
    <w:rsid w:val="00290C17"/>
    <w:rsid w:val="00290C41"/>
    <w:rsid w:val="00291AB9"/>
    <w:rsid w:val="0029289F"/>
    <w:rsid w:val="0029366E"/>
    <w:rsid w:val="0029506F"/>
    <w:rsid w:val="0029533F"/>
    <w:rsid w:val="002968E6"/>
    <w:rsid w:val="00297AF7"/>
    <w:rsid w:val="00297B06"/>
    <w:rsid w:val="002A0FBA"/>
    <w:rsid w:val="002A14C6"/>
    <w:rsid w:val="002A1674"/>
    <w:rsid w:val="002A208C"/>
    <w:rsid w:val="002A2EBF"/>
    <w:rsid w:val="002A316C"/>
    <w:rsid w:val="002A323A"/>
    <w:rsid w:val="002A3DAE"/>
    <w:rsid w:val="002A478D"/>
    <w:rsid w:val="002A53B4"/>
    <w:rsid w:val="002A555C"/>
    <w:rsid w:val="002A7307"/>
    <w:rsid w:val="002B0754"/>
    <w:rsid w:val="002B2034"/>
    <w:rsid w:val="002B280E"/>
    <w:rsid w:val="002B284B"/>
    <w:rsid w:val="002B30AF"/>
    <w:rsid w:val="002B463A"/>
    <w:rsid w:val="002B5347"/>
    <w:rsid w:val="002B5AC2"/>
    <w:rsid w:val="002B6EB1"/>
    <w:rsid w:val="002B7A70"/>
    <w:rsid w:val="002C2C4F"/>
    <w:rsid w:val="002C308D"/>
    <w:rsid w:val="002C338C"/>
    <w:rsid w:val="002C4453"/>
    <w:rsid w:val="002C4736"/>
    <w:rsid w:val="002C4CC0"/>
    <w:rsid w:val="002C508C"/>
    <w:rsid w:val="002C536A"/>
    <w:rsid w:val="002C5556"/>
    <w:rsid w:val="002C7038"/>
    <w:rsid w:val="002D162B"/>
    <w:rsid w:val="002D4E58"/>
    <w:rsid w:val="002D5D74"/>
    <w:rsid w:val="002D6D82"/>
    <w:rsid w:val="002D74B4"/>
    <w:rsid w:val="002E05BE"/>
    <w:rsid w:val="002E349E"/>
    <w:rsid w:val="002E34EF"/>
    <w:rsid w:val="002E3F43"/>
    <w:rsid w:val="002E4E65"/>
    <w:rsid w:val="002E68C6"/>
    <w:rsid w:val="002E6A63"/>
    <w:rsid w:val="002F03A0"/>
    <w:rsid w:val="002F15BF"/>
    <w:rsid w:val="002F41E3"/>
    <w:rsid w:val="002F423D"/>
    <w:rsid w:val="002F4529"/>
    <w:rsid w:val="002F5EC1"/>
    <w:rsid w:val="002F664E"/>
    <w:rsid w:val="002F7070"/>
    <w:rsid w:val="00300002"/>
    <w:rsid w:val="00300293"/>
    <w:rsid w:val="003009E9"/>
    <w:rsid w:val="00300AA4"/>
    <w:rsid w:val="00302191"/>
    <w:rsid w:val="003031FF"/>
    <w:rsid w:val="00303F89"/>
    <w:rsid w:val="003043A5"/>
    <w:rsid w:val="003056CA"/>
    <w:rsid w:val="00305A48"/>
    <w:rsid w:val="00305F1C"/>
    <w:rsid w:val="00306955"/>
    <w:rsid w:val="003101FB"/>
    <w:rsid w:val="00310F1B"/>
    <w:rsid w:val="00311D41"/>
    <w:rsid w:val="00311F17"/>
    <w:rsid w:val="003141B9"/>
    <w:rsid w:val="00314D50"/>
    <w:rsid w:val="0031535D"/>
    <w:rsid w:val="00315AE3"/>
    <w:rsid w:val="00315E9F"/>
    <w:rsid w:val="00316A1C"/>
    <w:rsid w:val="00316C3D"/>
    <w:rsid w:val="00316DF1"/>
    <w:rsid w:val="003206C3"/>
    <w:rsid w:val="00321D50"/>
    <w:rsid w:val="0032380C"/>
    <w:rsid w:val="00323883"/>
    <w:rsid w:val="0032397F"/>
    <w:rsid w:val="00325FC7"/>
    <w:rsid w:val="003260DE"/>
    <w:rsid w:val="00326241"/>
    <w:rsid w:val="0032663C"/>
    <w:rsid w:val="0033096A"/>
    <w:rsid w:val="00330B7A"/>
    <w:rsid w:val="0033131C"/>
    <w:rsid w:val="003314DD"/>
    <w:rsid w:val="0033232A"/>
    <w:rsid w:val="0033344A"/>
    <w:rsid w:val="00333B72"/>
    <w:rsid w:val="0033585D"/>
    <w:rsid w:val="0033652B"/>
    <w:rsid w:val="0033668C"/>
    <w:rsid w:val="00342B97"/>
    <w:rsid w:val="00344865"/>
    <w:rsid w:val="00344D35"/>
    <w:rsid w:val="00345CDC"/>
    <w:rsid w:val="003468A9"/>
    <w:rsid w:val="003473C6"/>
    <w:rsid w:val="0034759E"/>
    <w:rsid w:val="00347EAD"/>
    <w:rsid w:val="00350E14"/>
    <w:rsid w:val="00352208"/>
    <w:rsid w:val="003529B7"/>
    <w:rsid w:val="00354149"/>
    <w:rsid w:val="003549AE"/>
    <w:rsid w:val="003552AD"/>
    <w:rsid w:val="00355D94"/>
    <w:rsid w:val="00356E0F"/>
    <w:rsid w:val="0036178D"/>
    <w:rsid w:val="00361848"/>
    <w:rsid w:val="0036215E"/>
    <w:rsid w:val="00362E04"/>
    <w:rsid w:val="0036306E"/>
    <w:rsid w:val="003644C1"/>
    <w:rsid w:val="00364A5B"/>
    <w:rsid w:val="00366FC8"/>
    <w:rsid w:val="00370246"/>
    <w:rsid w:val="00370D87"/>
    <w:rsid w:val="0037221D"/>
    <w:rsid w:val="0037237D"/>
    <w:rsid w:val="00372EED"/>
    <w:rsid w:val="00373564"/>
    <w:rsid w:val="00373B63"/>
    <w:rsid w:val="003773D8"/>
    <w:rsid w:val="00381648"/>
    <w:rsid w:val="00381F9C"/>
    <w:rsid w:val="00382CF5"/>
    <w:rsid w:val="0038405F"/>
    <w:rsid w:val="00384ABA"/>
    <w:rsid w:val="003850CD"/>
    <w:rsid w:val="003855DD"/>
    <w:rsid w:val="00385F5E"/>
    <w:rsid w:val="00386163"/>
    <w:rsid w:val="00386365"/>
    <w:rsid w:val="00386A8F"/>
    <w:rsid w:val="00386BC9"/>
    <w:rsid w:val="00387AF4"/>
    <w:rsid w:val="00390310"/>
    <w:rsid w:val="00390C8D"/>
    <w:rsid w:val="00390DD2"/>
    <w:rsid w:val="00391872"/>
    <w:rsid w:val="003918CA"/>
    <w:rsid w:val="00391E1D"/>
    <w:rsid w:val="00392925"/>
    <w:rsid w:val="0039292D"/>
    <w:rsid w:val="00393F94"/>
    <w:rsid w:val="0039421B"/>
    <w:rsid w:val="00395AB1"/>
    <w:rsid w:val="0039694F"/>
    <w:rsid w:val="003A017F"/>
    <w:rsid w:val="003A161E"/>
    <w:rsid w:val="003A2051"/>
    <w:rsid w:val="003A3263"/>
    <w:rsid w:val="003A3B1C"/>
    <w:rsid w:val="003A56F3"/>
    <w:rsid w:val="003A5881"/>
    <w:rsid w:val="003A73EC"/>
    <w:rsid w:val="003B05A1"/>
    <w:rsid w:val="003B090F"/>
    <w:rsid w:val="003B122A"/>
    <w:rsid w:val="003B1CC7"/>
    <w:rsid w:val="003B1D51"/>
    <w:rsid w:val="003B24A5"/>
    <w:rsid w:val="003B268B"/>
    <w:rsid w:val="003B41D9"/>
    <w:rsid w:val="003B46C2"/>
    <w:rsid w:val="003B5F22"/>
    <w:rsid w:val="003B761D"/>
    <w:rsid w:val="003B791B"/>
    <w:rsid w:val="003B7EA0"/>
    <w:rsid w:val="003C07CA"/>
    <w:rsid w:val="003C0FC5"/>
    <w:rsid w:val="003C1DB2"/>
    <w:rsid w:val="003C1DEB"/>
    <w:rsid w:val="003C4C6B"/>
    <w:rsid w:val="003C54F4"/>
    <w:rsid w:val="003C74D4"/>
    <w:rsid w:val="003C7F43"/>
    <w:rsid w:val="003D063A"/>
    <w:rsid w:val="003D2F6B"/>
    <w:rsid w:val="003D41B7"/>
    <w:rsid w:val="003D5A68"/>
    <w:rsid w:val="003D611E"/>
    <w:rsid w:val="003D61D2"/>
    <w:rsid w:val="003D66C7"/>
    <w:rsid w:val="003D6B39"/>
    <w:rsid w:val="003E01A0"/>
    <w:rsid w:val="003E0A73"/>
    <w:rsid w:val="003E12E3"/>
    <w:rsid w:val="003E2C4E"/>
    <w:rsid w:val="003E3DE6"/>
    <w:rsid w:val="003E4325"/>
    <w:rsid w:val="003E5B5B"/>
    <w:rsid w:val="003E5D53"/>
    <w:rsid w:val="003E7DDB"/>
    <w:rsid w:val="003F1439"/>
    <w:rsid w:val="003F1442"/>
    <w:rsid w:val="003F2127"/>
    <w:rsid w:val="003F2C02"/>
    <w:rsid w:val="003F4506"/>
    <w:rsid w:val="003F4D0F"/>
    <w:rsid w:val="003F55B4"/>
    <w:rsid w:val="003F7583"/>
    <w:rsid w:val="003F75B9"/>
    <w:rsid w:val="00400F5B"/>
    <w:rsid w:val="004021A7"/>
    <w:rsid w:val="004022D0"/>
    <w:rsid w:val="00402510"/>
    <w:rsid w:val="00404317"/>
    <w:rsid w:val="004056BF"/>
    <w:rsid w:val="0040580B"/>
    <w:rsid w:val="00406A0C"/>
    <w:rsid w:val="00410333"/>
    <w:rsid w:val="00410DEA"/>
    <w:rsid w:val="0041125D"/>
    <w:rsid w:val="00411500"/>
    <w:rsid w:val="00412490"/>
    <w:rsid w:val="00412C28"/>
    <w:rsid w:val="0041378F"/>
    <w:rsid w:val="004151DC"/>
    <w:rsid w:val="0041546C"/>
    <w:rsid w:val="0041595F"/>
    <w:rsid w:val="00415D46"/>
    <w:rsid w:val="00415D53"/>
    <w:rsid w:val="00416DBB"/>
    <w:rsid w:val="00420D3B"/>
    <w:rsid w:val="004213D7"/>
    <w:rsid w:val="0042142F"/>
    <w:rsid w:val="00421BA4"/>
    <w:rsid w:val="00421F60"/>
    <w:rsid w:val="00422D42"/>
    <w:rsid w:val="00423C4A"/>
    <w:rsid w:val="0042648E"/>
    <w:rsid w:val="0043059C"/>
    <w:rsid w:val="004308A9"/>
    <w:rsid w:val="00430F27"/>
    <w:rsid w:val="00431429"/>
    <w:rsid w:val="00432310"/>
    <w:rsid w:val="00433DD9"/>
    <w:rsid w:val="00434E4F"/>
    <w:rsid w:val="0043590C"/>
    <w:rsid w:val="00435AEE"/>
    <w:rsid w:val="004363C2"/>
    <w:rsid w:val="00436ADA"/>
    <w:rsid w:val="004374C5"/>
    <w:rsid w:val="00437992"/>
    <w:rsid w:val="004418C5"/>
    <w:rsid w:val="0044218B"/>
    <w:rsid w:val="0044258C"/>
    <w:rsid w:val="004446F4"/>
    <w:rsid w:val="00444F0C"/>
    <w:rsid w:val="00445C60"/>
    <w:rsid w:val="00451B51"/>
    <w:rsid w:val="00452724"/>
    <w:rsid w:val="00454B00"/>
    <w:rsid w:val="00455CF3"/>
    <w:rsid w:val="00455D0C"/>
    <w:rsid w:val="00456D67"/>
    <w:rsid w:val="004607E8"/>
    <w:rsid w:val="00461EFD"/>
    <w:rsid w:val="00462076"/>
    <w:rsid w:val="0046514D"/>
    <w:rsid w:val="00465162"/>
    <w:rsid w:val="00465649"/>
    <w:rsid w:val="00465F4A"/>
    <w:rsid w:val="004707F9"/>
    <w:rsid w:val="00471386"/>
    <w:rsid w:val="004720BA"/>
    <w:rsid w:val="00472407"/>
    <w:rsid w:val="00472C7D"/>
    <w:rsid w:val="00476076"/>
    <w:rsid w:val="0048042E"/>
    <w:rsid w:val="00480860"/>
    <w:rsid w:val="00482F67"/>
    <w:rsid w:val="00482FA8"/>
    <w:rsid w:val="00483763"/>
    <w:rsid w:val="004839FD"/>
    <w:rsid w:val="00484413"/>
    <w:rsid w:val="00484BA4"/>
    <w:rsid w:val="00485146"/>
    <w:rsid w:val="00486746"/>
    <w:rsid w:val="00486CFD"/>
    <w:rsid w:val="004878E6"/>
    <w:rsid w:val="004912B8"/>
    <w:rsid w:val="00491BCA"/>
    <w:rsid w:val="00491D5A"/>
    <w:rsid w:val="00491EAE"/>
    <w:rsid w:val="00492B68"/>
    <w:rsid w:val="00492DC1"/>
    <w:rsid w:val="004936D2"/>
    <w:rsid w:val="004938E5"/>
    <w:rsid w:val="00497A0B"/>
    <w:rsid w:val="00497C02"/>
    <w:rsid w:val="004A012A"/>
    <w:rsid w:val="004A1326"/>
    <w:rsid w:val="004A1E81"/>
    <w:rsid w:val="004A2AB9"/>
    <w:rsid w:val="004A2FD7"/>
    <w:rsid w:val="004A3E48"/>
    <w:rsid w:val="004A421A"/>
    <w:rsid w:val="004A5130"/>
    <w:rsid w:val="004A619A"/>
    <w:rsid w:val="004A6EE5"/>
    <w:rsid w:val="004B0403"/>
    <w:rsid w:val="004B0802"/>
    <w:rsid w:val="004B0CBE"/>
    <w:rsid w:val="004B15FF"/>
    <w:rsid w:val="004B2171"/>
    <w:rsid w:val="004B28E4"/>
    <w:rsid w:val="004B2B1F"/>
    <w:rsid w:val="004B38DD"/>
    <w:rsid w:val="004B447F"/>
    <w:rsid w:val="004B6181"/>
    <w:rsid w:val="004B6790"/>
    <w:rsid w:val="004C033E"/>
    <w:rsid w:val="004C1604"/>
    <w:rsid w:val="004C46F2"/>
    <w:rsid w:val="004C5F0A"/>
    <w:rsid w:val="004C75F8"/>
    <w:rsid w:val="004D296F"/>
    <w:rsid w:val="004D4459"/>
    <w:rsid w:val="004D49B1"/>
    <w:rsid w:val="004E0C0D"/>
    <w:rsid w:val="004E198C"/>
    <w:rsid w:val="004E236F"/>
    <w:rsid w:val="004E3D39"/>
    <w:rsid w:val="004E5F39"/>
    <w:rsid w:val="004E7D20"/>
    <w:rsid w:val="004F135D"/>
    <w:rsid w:val="004F3337"/>
    <w:rsid w:val="004F460B"/>
    <w:rsid w:val="004F4A82"/>
    <w:rsid w:val="004F654B"/>
    <w:rsid w:val="004F7081"/>
    <w:rsid w:val="005008A2"/>
    <w:rsid w:val="00500A82"/>
    <w:rsid w:val="00500BEB"/>
    <w:rsid w:val="00503055"/>
    <w:rsid w:val="00505926"/>
    <w:rsid w:val="00505BF8"/>
    <w:rsid w:val="0050662E"/>
    <w:rsid w:val="0050683A"/>
    <w:rsid w:val="00506EE2"/>
    <w:rsid w:val="00510536"/>
    <w:rsid w:val="00510E9A"/>
    <w:rsid w:val="00510EA2"/>
    <w:rsid w:val="00510ED1"/>
    <w:rsid w:val="005135CC"/>
    <w:rsid w:val="0051365D"/>
    <w:rsid w:val="00513C19"/>
    <w:rsid w:val="005147C2"/>
    <w:rsid w:val="00516BB2"/>
    <w:rsid w:val="00517A15"/>
    <w:rsid w:val="00517A42"/>
    <w:rsid w:val="005223FA"/>
    <w:rsid w:val="005230B0"/>
    <w:rsid w:val="0052314D"/>
    <w:rsid w:val="005262A6"/>
    <w:rsid w:val="0053224C"/>
    <w:rsid w:val="00532708"/>
    <w:rsid w:val="0053272E"/>
    <w:rsid w:val="005330E7"/>
    <w:rsid w:val="005334F2"/>
    <w:rsid w:val="005339F8"/>
    <w:rsid w:val="00535B24"/>
    <w:rsid w:val="005360D5"/>
    <w:rsid w:val="005360DA"/>
    <w:rsid w:val="00536326"/>
    <w:rsid w:val="0053648F"/>
    <w:rsid w:val="00536FA1"/>
    <w:rsid w:val="0053710D"/>
    <w:rsid w:val="005374BD"/>
    <w:rsid w:val="005374EC"/>
    <w:rsid w:val="00537AD8"/>
    <w:rsid w:val="00541E21"/>
    <w:rsid w:val="005459B7"/>
    <w:rsid w:val="00545B33"/>
    <w:rsid w:val="005462C8"/>
    <w:rsid w:val="00546618"/>
    <w:rsid w:val="00546A63"/>
    <w:rsid w:val="00546CCD"/>
    <w:rsid w:val="00547E18"/>
    <w:rsid w:val="005516FF"/>
    <w:rsid w:val="00551A41"/>
    <w:rsid w:val="00551EDE"/>
    <w:rsid w:val="00560040"/>
    <w:rsid w:val="0056028E"/>
    <w:rsid w:val="00561F8F"/>
    <w:rsid w:val="00562D66"/>
    <w:rsid w:val="00564FB5"/>
    <w:rsid w:val="005660D9"/>
    <w:rsid w:val="0056693B"/>
    <w:rsid w:val="00566B89"/>
    <w:rsid w:val="00567F61"/>
    <w:rsid w:val="005720CC"/>
    <w:rsid w:val="00572841"/>
    <w:rsid w:val="00573367"/>
    <w:rsid w:val="0057350E"/>
    <w:rsid w:val="00573DBE"/>
    <w:rsid w:val="00575600"/>
    <w:rsid w:val="00576DC5"/>
    <w:rsid w:val="00577B2F"/>
    <w:rsid w:val="00580C13"/>
    <w:rsid w:val="00581060"/>
    <w:rsid w:val="005818F1"/>
    <w:rsid w:val="00583017"/>
    <w:rsid w:val="00583AA6"/>
    <w:rsid w:val="0058508E"/>
    <w:rsid w:val="005850E4"/>
    <w:rsid w:val="0058518C"/>
    <w:rsid w:val="00585751"/>
    <w:rsid w:val="00587AB7"/>
    <w:rsid w:val="00587B2E"/>
    <w:rsid w:val="00587C44"/>
    <w:rsid w:val="005903F6"/>
    <w:rsid w:val="0059125A"/>
    <w:rsid w:val="005926AE"/>
    <w:rsid w:val="00593FF7"/>
    <w:rsid w:val="0059599F"/>
    <w:rsid w:val="00596343"/>
    <w:rsid w:val="00596EB7"/>
    <w:rsid w:val="005975D6"/>
    <w:rsid w:val="00597783"/>
    <w:rsid w:val="00597E81"/>
    <w:rsid w:val="005A274B"/>
    <w:rsid w:val="005A2E0C"/>
    <w:rsid w:val="005A2FE8"/>
    <w:rsid w:val="005A30E3"/>
    <w:rsid w:val="005A3926"/>
    <w:rsid w:val="005A4B0D"/>
    <w:rsid w:val="005A4B48"/>
    <w:rsid w:val="005A6FB0"/>
    <w:rsid w:val="005A7794"/>
    <w:rsid w:val="005A7800"/>
    <w:rsid w:val="005B01D2"/>
    <w:rsid w:val="005B0703"/>
    <w:rsid w:val="005B1EB6"/>
    <w:rsid w:val="005B3022"/>
    <w:rsid w:val="005B3581"/>
    <w:rsid w:val="005B38F8"/>
    <w:rsid w:val="005B5A83"/>
    <w:rsid w:val="005B6E77"/>
    <w:rsid w:val="005C043E"/>
    <w:rsid w:val="005C11D4"/>
    <w:rsid w:val="005C11EB"/>
    <w:rsid w:val="005C18D2"/>
    <w:rsid w:val="005C3EAB"/>
    <w:rsid w:val="005C5D10"/>
    <w:rsid w:val="005C6A5F"/>
    <w:rsid w:val="005C781E"/>
    <w:rsid w:val="005D0608"/>
    <w:rsid w:val="005D1020"/>
    <w:rsid w:val="005D28F0"/>
    <w:rsid w:val="005D340E"/>
    <w:rsid w:val="005D3448"/>
    <w:rsid w:val="005D3A0C"/>
    <w:rsid w:val="005D4607"/>
    <w:rsid w:val="005D4975"/>
    <w:rsid w:val="005D4CD4"/>
    <w:rsid w:val="005E2FFC"/>
    <w:rsid w:val="005E309E"/>
    <w:rsid w:val="005E4F95"/>
    <w:rsid w:val="005E5B64"/>
    <w:rsid w:val="005E6369"/>
    <w:rsid w:val="005F0175"/>
    <w:rsid w:val="005F01ED"/>
    <w:rsid w:val="005F0B07"/>
    <w:rsid w:val="005F1F57"/>
    <w:rsid w:val="005F2D91"/>
    <w:rsid w:val="005F3ECF"/>
    <w:rsid w:val="005F41FD"/>
    <w:rsid w:val="005F4B67"/>
    <w:rsid w:val="005F4FEC"/>
    <w:rsid w:val="005F7A9B"/>
    <w:rsid w:val="006009CA"/>
    <w:rsid w:val="0060120E"/>
    <w:rsid w:val="00601598"/>
    <w:rsid w:val="00601CC3"/>
    <w:rsid w:val="00601DBE"/>
    <w:rsid w:val="00603226"/>
    <w:rsid w:val="00603B9A"/>
    <w:rsid w:val="00605DED"/>
    <w:rsid w:val="00606E5A"/>
    <w:rsid w:val="00607BFE"/>
    <w:rsid w:val="0061024E"/>
    <w:rsid w:val="006105C4"/>
    <w:rsid w:val="0061446F"/>
    <w:rsid w:val="00614750"/>
    <w:rsid w:val="0061498B"/>
    <w:rsid w:val="00614C8E"/>
    <w:rsid w:val="00617DEA"/>
    <w:rsid w:val="00620555"/>
    <w:rsid w:val="00620869"/>
    <w:rsid w:val="00621E46"/>
    <w:rsid w:val="00623AAE"/>
    <w:rsid w:val="0062414B"/>
    <w:rsid w:val="006241E1"/>
    <w:rsid w:val="00624F0F"/>
    <w:rsid w:val="00625E9D"/>
    <w:rsid w:val="0062610F"/>
    <w:rsid w:val="00630070"/>
    <w:rsid w:val="00633DC8"/>
    <w:rsid w:val="00636D3F"/>
    <w:rsid w:val="0063705B"/>
    <w:rsid w:val="006370EF"/>
    <w:rsid w:val="00637357"/>
    <w:rsid w:val="0064275E"/>
    <w:rsid w:val="006431E6"/>
    <w:rsid w:val="00644A40"/>
    <w:rsid w:val="006458AB"/>
    <w:rsid w:val="006467AF"/>
    <w:rsid w:val="00650B96"/>
    <w:rsid w:val="0065129A"/>
    <w:rsid w:val="00651E8D"/>
    <w:rsid w:val="006522B1"/>
    <w:rsid w:val="00660C98"/>
    <w:rsid w:val="00661F12"/>
    <w:rsid w:val="00664375"/>
    <w:rsid w:val="00665C42"/>
    <w:rsid w:val="0066633E"/>
    <w:rsid w:val="006664BD"/>
    <w:rsid w:val="00670084"/>
    <w:rsid w:val="0067251A"/>
    <w:rsid w:val="0067293D"/>
    <w:rsid w:val="0067332C"/>
    <w:rsid w:val="00673E4C"/>
    <w:rsid w:val="00674881"/>
    <w:rsid w:val="00675642"/>
    <w:rsid w:val="00675657"/>
    <w:rsid w:val="00676ADF"/>
    <w:rsid w:val="00676F4F"/>
    <w:rsid w:val="00681076"/>
    <w:rsid w:val="00682243"/>
    <w:rsid w:val="00682C4D"/>
    <w:rsid w:val="0068343F"/>
    <w:rsid w:val="00683C76"/>
    <w:rsid w:val="006848D3"/>
    <w:rsid w:val="00685796"/>
    <w:rsid w:val="0068785E"/>
    <w:rsid w:val="00687B6A"/>
    <w:rsid w:val="00690C7C"/>
    <w:rsid w:val="00692ACC"/>
    <w:rsid w:val="00693B6D"/>
    <w:rsid w:val="006941A8"/>
    <w:rsid w:val="006A1E3F"/>
    <w:rsid w:val="006A32F2"/>
    <w:rsid w:val="006A3810"/>
    <w:rsid w:val="006A539D"/>
    <w:rsid w:val="006A6471"/>
    <w:rsid w:val="006A7D97"/>
    <w:rsid w:val="006B0AAE"/>
    <w:rsid w:val="006B104C"/>
    <w:rsid w:val="006B11B0"/>
    <w:rsid w:val="006B1525"/>
    <w:rsid w:val="006B6661"/>
    <w:rsid w:val="006B6C77"/>
    <w:rsid w:val="006B7DC2"/>
    <w:rsid w:val="006C0792"/>
    <w:rsid w:val="006C0C4E"/>
    <w:rsid w:val="006C18F8"/>
    <w:rsid w:val="006C29AD"/>
    <w:rsid w:val="006C2F48"/>
    <w:rsid w:val="006C4803"/>
    <w:rsid w:val="006C4DD9"/>
    <w:rsid w:val="006C5117"/>
    <w:rsid w:val="006C5377"/>
    <w:rsid w:val="006C5FC4"/>
    <w:rsid w:val="006C6F1F"/>
    <w:rsid w:val="006D0A86"/>
    <w:rsid w:val="006D16A5"/>
    <w:rsid w:val="006D2F05"/>
    <w:rsid w:val="006D3183"/>
    <w:rsid w:val="006D375C"/>
    <w:rsid w:val="006D3EA7"/>
    <w:rsid w:val="006D4BBF"/>
    <w:rsid w:val="006D4E23"/>
    <w:rsid w:val="006D5B0F"/>
    <w:rsid w:val="006D5EFE"/>
    <w:rsid w:val="006E0943"/>
    <w:rsid w:val="006E1A30"/>
    <w:rsid w:val="006E5CE6"/>
    <w:rsid w:val="006E7B15"/>
    <w:rsid w:val="006F07EF"/>
    <w:rsid w:val="006F1A5E"/>
    <w:rsid w:val="006F1D55"/>
    <w:rsid w:val="006F29EE"/>
    <w:rsid w:val="006F345B"/>
    <w:rsid w:val="006F34AC"/>
    <w:rsid w:val="006F3804"/>
    <w:rsid w:val="006F449D"/>
    <w:rsid w:val="006F5620"/>
    <w:rsid w:val="006F5F70"/>
    <w:rsid w:val="006F6698"/>
    <w:rsid w:val="006F67F7"/>
    <w:rsid w:val="006F78EE"/>
    <w:rsid w:val="00701547"/>
    <w:rsid w:val="00702A03"/>
    <w:rsid w:val="007045F1"/>
    <w:rsid w:val="007057C2"/>
    <w:rsid w:val="00705DF2"/>
    <w:rsid w:val="007061A2"/>
    <w:rsid w:val="00710CC8"/>
    <w:rsid w:val="0071136A"/>
    <w:rsid w:val="007119DA"/>
    <w:rsid w:val="0071245C"/>
    <w:rsid w:val="00712C44"/>
    <w:rsid w:val="00713512"/>
    <w:rsid w:val="00713A2A"/>
    <w:rsid w:val="0071582D"/>
    <w:rsid w:val="007171D5"/>
    <w:rsid w:val="00717410"/>
    <w:rsid w:val="007178A9"/>
    <w:rsid w:val="0072018B"/>
    <w:rsid w:val="007226C8"/>
    <w:rsid w:val="0072285E"/>
    <w:rsid w:val="00722D05"/>
    <w:rsid w:val="00725605"/>
    <w:rsid w:val="0072685B"/>
    <w:rsid w:val="00730765"/>
    <w:rsid w:val="0073281D"/>
    <w:rsid w:val="0073367E"/>
    <w:rsid w:val="00733C65"/>
    <w:rsid w:val="00734727"/>
    <w:rsid w:val="00735D7E"/>
    <w:rsid w:val="00736872"/>
    <w:rsid w:val="007378F4"/>
    <w:rsid w:val="00740E18"/>
    <w:rsid w:val="00743594"/>
    <w:rsid w:val="00743D01"/>
    <w:rsid w:val="0074459E"/>
    <w:rsid w:val="00745AFD"/>
    <w:rsid w:val="0074678E"/>
    <w:rsid w:val="0074680C"/>
    <w:rsid w:val="00746F03"/>
    <w:rsid w:val="007475BF"/>
    <w:rsid w:val="00747700"/>
    <w:rsid w:val="0075002B"/>
    <w:rsid w:val="0075048E"/>
    <w:rsid w:val="0075129B"/>
    <w:rsid w:val="00751C2B"/>
    <w:rsid w:val="0075246A"/>
    <w:rsid w:val="00754279"/>
    <w:rsid w:val="00754AA0"/>
    <w:rsid w:val="007565C6"/>
    <w:rsid w:val="007567E6"/>
    <w:rsid w:val="007574A8"/>
    <w:rsid w:val="00761384"/>
    <w:rsid w:val="00764237"/>
    <w:rsid w:val="007646BA"/>
    <w:rsid w:val="00766B19"/>
    <w:rsid w:val="00770847"/>
    <w:rsid w:val="007709FA"/>
    <w:rsid w:val="00770D6F"/>
    <w:rsid w:val="00770D83"/>
    <w:rsid w:val="00771257"/>
    <w:rsid w:val="00771E88"/>
    <w:rsid w:val="007725C0"/>
    <w:rsid w:val="00773122"/>
    <w:rsid w:val="00773331"/>
    <w:rsid w:val="0077352B"/>
    <w:rsid w:val="00774708"/>
    <w:rsid w:val="0077493B"/>
    <w:rsid w:val="00775089"/>
    <w:rsid w:val="00775AC0"/>
    <w:rsid w:val="00775CE4"/>
    <w:rsid w:val="00775DAA"/>
    <w:rsid w:val="00776540"/>
    <w:rsid w:val="00776D69"/>
    <w:rsid w:val="00777E3C"/>
    <w:rsid w:val="00780432"/>
    <w:rsid w:val="00780674"/>
    <w:rsid w:val="00781508"/>
    <w:rsid w:val="00782612"/>
    <w:rsid w:val="00782A9C"/>
    <w:rsid w:val="00784A91"/>
    <w:rsid w:val="0078546D"/>
    <w:rsid w:val="00786BA3"/>
    <w:rsid w:val="00786CE0"/>
    <w:rsid w:val="00787811"/>
    <w:rsid w:val="0079079C"/>
    <w:rsid w:val="00791515"/>
    <w:rsid w:val="007932EF"/>
    <w:rsid w:val="00793DFE"/>
    <w:rsid w:val="00794F82"/>
    <w:rsid w:val="00795B18"/>
    <w:rsid w:val="0079610B"/>
    <w:rsid w:val="00796186"/>
    <w:rsid w:val="007966C8"/>
    <w:rsid w:val="007975BB"/>
    <w:rsid w:val="007A23A9"/>
    <w:rsid w:val="007A2CFC"/>
    <w:rsid w:val="007A38BB"/>
    <w:rsid w:val="007A42B6"/>
    <w:rsid w:val="007B0F8C"/>
    <w:rsid w:val="007B31B6"/>
    <w:rsid w:val="007B3EB2"/>
    <w:rsid w:val="007B4DFE"/>
    <w:rsid w:val="007B68E1"/>
    <w:rsid w:val="007B7A1B"/>
    <w:rsid w:val="007B7B1F"/>
    <w:rsid w:val="007B7D35"/>
    <w:rsid w:val="007C0052"/>
    <w:rsid w:val="007C18BC"/>
    <w:rsid w:val="007C208D"/>
    <w:rsid w:val="007C21B8"/>
    <w:rsid w:val="007C21C0"/>
    <w:rsid w:val="007C28E9"/>
    <w:rsid w:val="007C30ED"/>
    <w:rsid w:val="007C3423"/>
    <w:rsid w:val="007C46B2"/>
    <w:rsid w:val="007C4C28"/>
    <w:rsid w:val="007C50D8"/>
    <w:rsid w:val="007C5C67"/>
    <w:rsid w:val="007C63E2"/>
    <w:rsid w:val="007C6DD6"/>
    <w:rsid w:val="007C76FB"/>
    <w:rsid w:val="007D36FF"/>
    <w:rsid w:val="007D3EED"/>
    <w:rsid w:val="007D58E8"/>
    <w:rsid w:val="007D5E40"/>
    <w:rsid w:val="007E05B0"/>
    <w:rsid w:val="007E2DC2"/>
    <w:rsid w:val="007E4A66"/>
    <w:rsid w:val="007E6ACF"/>
    <w:rsid w:val="007F0C90"/>
    <w:rsid w:val="007F19EC"/>
    <w:rsid w:val="007F26B0"/>
    <w:rsid w:val="007F2799"/>
    <w:rsid w:val="007F380D"/>
    <w:rsid w:val="007F4CB2"/>
    <w:rsid w:val="007F578C"/>
    <w:rsid w:val="007F57C0"/>
    <w:rsid w:val="007F5AAE"/>
    <w:rsid w:val="007F5C7A"/>
    <w:rsid w:val="007F6DA9"/>
    <w:rsid w:val="00800900"/>
    <w:rsid w:val="00801666"/>
    <w:rsid w:val="008017CA"/>
    <w:rsid w:val="008028B6"/>
    <w:rsid w:val="008039FB"/>
    <w:rsid w:val="00803A3B"/>
    <w:rsid w:val="00803A70"/>
    <w:rsid w:val="0080596D"/>
    <w:rsid w:val="00806609"/>
    <w:rsid w:val="00810C04"/>
    <w:rsid w:val="008150B2"/>
    <w:rsid w:val="00815230"/>
    <w:rsid w:val="00816A6F"/>
    <w:rsid w:val="00817CB4"/>
    <w:rsid w:val="00817D9C"/>
    <w:rsid w:val="00817ED0"/>
    <w:rsid w:val="00820AD6"/>
    <w:rsid w:val="008217B7"/>
    <w:rsid w:val="00821BD5"/>
    <w:rsid w:val="00821EBD"/>
    <w:rsid w:val="008253D9"/>
    <w:rsid w:val="00825D20"/>
    <w:rsid w:val="008330E3"/>
    <w:rsid w:val="008333A8"/>
    <w:rsid w:val="00834525"/>
    <w:rsid w:val="0083787A"/>
    <w:rsid w:val="00841644"/>
    <w:rsid w:val="00842888"/>
    <w:rsid w:val="00843296"/>
    <w:rsid w:val="0084395A"/>
    <w:rsid w:val="00844909"/>
    <w:rsid w:val="00844C96"/>
    <w:rsid w:val="00844D0D"/>
    <w:rsid w:val="00844FE1"/>
    <w:rsid w:val="0084766D"/>
    <w:rsid w:val="00847F34"/>
    <w:rsid w:val="00851FD2"/>
    <w:rsid w:val="00852DCC"/>
    <w:rsid w:val="00853CD4"/>
    <w:rsid w:val="008549AD"/>
    <w:rsid w:val="00854BA0"/>
    <w:rsid w:val="00855CF1"/>
    <w:rsid w:val="008560CD"/>
    <w:rsid w:val="00856BC7"/>
    <w:rsid w:val="00857179"/>
    <w:rsid w:val="00857286"/>
    <w:rsid w:val="00857F2D"/>
    <w:rsid w:val="00861757"/>
    <w:rsid w:val="008625DA"/>
    <w:rsid w:val="00863506"/>
    <w:rsid w:val="00863DF3"/>
    <w:rsid w:val="00866A9E"/>
    <w:rsid w:val="00866FAB"/>
    <w:rsid w:val="00867ACC"/>
    <w:rsid w:val="0087161A"/>
    <w:rsid w:val="00871FE2"/>
    <w:rsid w:val="00872BDF"/>
    <w:rsid w:val="00873632"/>
    <w:rsid w:val="00874D22"/>
    <w:rsid w:val="008758B2"/>
    <w:rsid w:val="00876A2B"/>
    <w:rsid w:val="008778DA"/>
    <w:rsid w:val="008802B9"/>
    <w:rsid w:val="008818A9"/>
    <w:rsid w:val="0088274B"/>
    <w:rsid w:val="008831E5"/>
    <w:rsid w:val="00883D22"/>
    <w:rsid w:val="00885913"/>
    <w:rsid w:val="008875F4"/>
    <w:rsid w:val="00887AC9"/>
    <w:rsid w:val="00887F65"/>
    <w:rsid w:val="00891032"/>
    <w:rsid w:val="008912A1"/>
    <w:rsid w:val="00892409"/>
    <w:rsid w:val="008928D9"/>
    <w:rsid w:val="0089421F"/>
    <w:rsid w:val="0089439B"/>
    <w:rsid w:val="0089443F"/>
    <w:rsid w:val="008946DA"/>
    <w:rsid w:val="0089567C"/>
    <w:rsid w:val="0089644C"/>
    <w:rsid w:val="008969C5"/>
    <w:rsid w:val="00896F5E"/>
    <w:rsid w:val="008A04F5"/>
    <w:rsid w:val="008A1D10"/>
    <w:rsid w:val="008A26F8"/>
    <w:rsid w:val="008A2914"/>
    <w:rsid w:val="008A2FA6"/>
    <w:rsid w:val="008A390B"/>
    <w:rsid w:val="008A3CEF"/>
    <w:rsid w:val="008A4D63"/>
    <w:rsid w:val="008A4F4D"/>
    <w:rsid w:val="008A529C"/>
    <w:rsid w:val="008A53F2"/>
    <w:rsid w:val="008A772C"/>
    <w:rsid w:val="008B0F3E"/>
    <w:rsid w:val="008B16DF"/>
    <w:rsid w:val="008B38EC"/>
    <w:rsid w:val="008B5470"/>
    <w:rsid w:val="008B69B4"/>
    <w:rsid w:val="008B77BD"/>
    <w:rsid w:val="008B7853"/>
    <w:rsid w:val="008C0A62"/>
    <w:rsid w:val="008C0C3E"/>
    <w:rsid w:val="008C2BC1"/>
    <w:rsid w:val="008C4A52"/>
    <w:rsid w:val="008C6393"/>
    <w:rsid w:val="008C71C4"/>
    <w:rsid w:val="008D204A"/>
    <w:rsid w:val="008D3FA3"/>
    <w:rsid w:val="008D4787"/>
    <w:rsid w:val="008D4D1E"/>
    <w:rsid w:val="008D503E"/>
    <w:rsid w:val="008D5925"/>
    <w:rsid w:val="008D68AD"/>
    <w:rsid w:val="008D6999"/>
    <w:rsid w:val="008D6B27"/>
    <w:rsid w:val="008D6F06"/>
    <w:rsid w:val="008D7F31"/>
    <w:rsid w:val="008E019E"/>
    <w:rsid w:val="008E1E84"/>
    <w:rsid w:val="008E2178"/>
    <w:rsid w:val="008E2A76"/>
    <w:rsid w:val="008E3082"/>
    <w:rsid w:val="008E3BD1"/>
    <w:rsid w:val="008E4991"/>
    <w:rsid w:val="008E4D8E"/>
    <w:rsid w:val="008E5821"/>
    <w:rsid w:val="008E6917"/>
    <w:rsid w:val="008E78D4"/>
    <w:rsid w:val="008E78E3"/>
    <w:rsid w:val="008F10EB"/>
    <w:rsid w:val="008F2635"/>
    <w:rsid w:val="008F2C04"/>
    <w:rsid w:val="008F37CC"/>
    <w:rsid w:val="008F37F3"/>
    <w:rsid w:val="008F4991"/>
    <w:rsid w:val="008F4D5E"/>
    <w:rsid w:val="008F56CA"/>
    <w:rsid w:val="008F659E"/>
    <w:rsid w:val="009014B9"/>
    <w:rsid w:val="009018EC"/>
    <w:rsid w:val="00901A2B"/>
    <w:rsid w:val="0090310E"/>
    <w:rsid w:val="00903645"/>
    <w:rsid w:val="009044E8"/>
    <w:rsid w:val="00904E0D"/>
    <w:rsid w:val="00905AC2"/>
    <w:rsid w:val="0091099F"/>
    <w:rsid w:val="00910B91"/>
    <w:rsid w:val="00910EDC"/>
    <w:rsid w:val="0091120C"/>
    <w:rsid w:val="0091161F"/>
    <w:rsid w:val="00913A3C"/>
    <w:rsid w:val="009142E4"/>
    <w:rsid w:val="0091446D"/>
    <w:rsid w:val="00914BFE"/>
    <w:rsid w:val="0091513F"/>
    <w:rsid w:val="00915681"/>
    <w:rsid w:val="009156BD"/>
    <w:rsid w:val="00916D71"/>
    <w:rsid w:val="00917F87"/>
    <w:rsid w:val="0092015F"/>
    <w:rsid w:val="00920488"/>
    <w:rsid w:val="00920B8F"/>
    <w:rsid w:val="00921093"/>
    <w:rsid w:val="009259E8"/>
    <w:rsid w:val="009261E3"/>
    <w:rsid w:val="009263D7"/>
    <w:rsid w:val="00926456"/>
    <w:rsid w:val="0092764A"/>
    <w:rsid w:val="00927916"/>
    <w:rsid w:val="00930F68"/>
    <w:rsid w:val="009317FA"/>
    <w:rsid w:val="009334B4"/>
    <w:rsid w:val="009334D8"/>
    <w:rsid w:val="0093504C"/>
    <w:rsid w:val="009351FE"/>
    <w:rsid w:val="00935A83"/>
    <w:rsid w:val="009362D0"/>
    <w:rsid w:val="009363EE"/>
    <w:rsid w:val="00940B25"/>
    <w:rsid w:val="00941509"/>
    <w:rsid w:val="00942217"/>
    <w:rsid w:val="0094361B"/>
    <w:rsid w:val="00943ED0"/>
    <w:rsid w:val="00944E51"/>
    <w:rsid w:val="00945984"/>
    <w:rsid w:val="00946601"/>
    <w:rsid w:val="009466EB"/>
    <w:rsid w:val="0094727D"/>
    <w:rsid w:val="00947DF2"/>
    <w:rsid w:val="00951278"/>
    <w:rsid w:val="00951CF6"/>
    <w:rsid w:val="00952785"/>
    <w:rsid w:val="00952F0E"/>
    <w:rsid w:val="009530DD"/>
    <w:rsid w:val="00953712"/>
    <w:rsid w:val="009539FF"/>
    <w:rsid w:val="00954074"/>
    <w:rsid w:val="0095451F"/>
    <w:rsid w:val="00955AE6"/>
    <w:rsid w:val="009603E1"/>
    <w:rsid w:val="0096051E"/>
    <w:rsid w:val="009613DB"/>
    <w:rsid w:val="00962372"/>
    <w:rsid w:val="00963D96"/>
    <w:rsid w:val="009645EC"/>
    <w:rsid w:val="00964CC6"/>
    <w:rsid w:val="00965402"/>
    <w:rsid w:val="00965BC3"/>
    <w:rsid w:val="0096714B"/>
    <w:rsid w:val="00967A58"/>
    <w:rsid w:val="0097087E"/>
    <w:rsid w:val="00970B89"/>
    <w:rsid w:val="00970CE0"/>
    <w:rsid w:val="00971CE7"/>
    <w:rsid w:val="0097229B"/>
    <w:rsid w:val="009733D0"/>
    <w:rsid w:val="0097585A"/>
    <w:rsid w:val="009765C6"/>
    <w:rsid w:val="00977A16"/>
    <w:rsid w:val="00977B74"/>
    <w:rsid w:val="00977B84"/>
    <w:rsid w:val="00980AA6"/>
    <w:rsid w:val="009810E6"/>
    <w:rsid w:val="00981484"/>
    <w:rsid w:val="0098171E"/>
    <w:rsid w:val="00981E8B"/>
    <w:rsid w:val="00983109"/>
    <w:rsid w:val="009840D5"/>
    <w:rsid w:val="0098474E"/>
    <w:rsid w:val="00984CB5"/>
    <w:rsid w:val="009850A1"/>
    <w:rsid w:val="00985F6D"/>
    <w:rsid w:val="009875B5"/>
    <w:rsid w:val="00987B8B"/>
    <w:rsid w:val="0099058C"/>
    <w:rsid w:val="00990C06"/>
    <w:rsid w:val="00992D2B"/>
    <w:rsid w:val="00992F9A"/>
    <w:rsid w:val="00994C14"/>
    <w:rsid w:val="0099541F"/>
    <w:rsid w:val="00995829"/>
    <w:rsid w:val="00997EB0"/>
    <w:rsid w:val="009A06DC"/>
    <w:rsid w:val="009A1A9A"/>
    <w:rsid w:val="009A2C15"/>
    <w:rsid w:val="009A3790"/>
    <w:rsid w:val="009A3958"/>
    <w:rsid w:val="009A39E3"/>
    <w:rsid w:val="009A3BDD"/>
    <w:rsid w:val="009A54A7"/>
    <w:rsid w:val="009A60EF"/>
    <w:rsid w:val="009A797B"/>
    <w:rsid w:val="009B00D8"/>
    <w:rsid w:val="009B10C8"/>
    <w:rsid w:val="009B1E6E"/>
    <w:rsid w:val="009B2C6A"/>
    <w:rsid w:val="009B3072"/>
    <w:rsid w:val="009B4030"/>
    <w:rsid w:val="009B456F"/>
    <w:rsid w:val="009B4767"/>
    <w:rsid w:val="009B520D"/>
    <w:rsid w:val="009B63CA"/>
    <w:rsid w:val="009B66AB"/>
    <w:rsid w:val="009B793D"/>
    <w:rsid w:val="009C1FAE"/>
    <w:rsid w:val="009C2071"/>
    <w:rsid w:val="009C2DB4"/>
    <w:rsid w:val="009C2ECE"/>
    <w:rsid w:val="009C3813"/>
    <w:rsid w:val="009C39F6"/>
    <w:rsid w:val="009C40C0"/>
    <w:rsid w:val="009C42DF"/>
    <w:rsid w:val="009C4329"/>
    <w:rsid w:val="009C6726"/>
    <w:rsid w:val="009C747E"/>
    <w:rsid w:val="009C7EC9"/>
    <w:rsid w:val="009D33CC"/>
    <w:rsid w:val="009D3CCF"/>
    <w:rsid w:val="009D3F8B"/>
    <w:rsid w:val="009D4DB3"/>
    <w:rsid w:val="009D6433"/>
    <w:rsid w:val="009E07AA"/>
    <w:rsid w:val="009E2230"/>
    <w:rsid w:val="009E4830"/>
    <w:rsid w:val="009E497B"/>
    <w:rsid w:val="009E586B"/>
    <w:rsid w:val="009E6812"/>
    <w:rsid w:val="009E6E98"/>
    <w:rsid w:val="009F1086"/>
    <w:rsid w:val="009F17F1"/>
    <w:rsid w:val="009F1BBE"/>
    <w:rsid w:val="009F3A64"/>
    <w:rsid w:val="009F4E9A"/>
    <w:rsid w:val="009F6585"/>
    <w:rsid w:val="00A00253"/>
    <w:rsid w:val="00A02010"/>
    <w:rsid w:val="00A021D7"/>
    <w:rsid w:val="00A024C9"/>
    <w:rsid w:val="00A025D4"/>
    <w:rsid w:val="00A03814"/>
    <w:rsid w:val="00A042EA"/>
    <w:rsid w:val="00A05A8F"/>
    <w:rsid w:val="00A06472"/>
    <w:rsid w:val="00A06E90"/>
    <w:rsid w:val="00A07108"/>
    <w:rsid w:val="00A10230"/>
    <w:rsid w:val="00A10DCB"/>
    <w:rsid w:val="00A10EDF"/>
    <w:rsid w:val="00A114A7"/>
    <w:rsid w:val="00A12E07"/>
    <w:rsid w:val="00A141B9"/>
    <w:rsid w:val="00A16D08"/>
    <w:rsid w:val="00A16DC9"/>
    <w:rsid w:val="00A176F3"/>
    <w:rsid w:val="00A17886"/>
    <w:rsid w:val="00A17F04"/>
    <w:rsid w:val="00A21132"/>
    <w:rsid w:val="00A22DB0"/>
    <w:rsid w:val="00A23689"/>
    <w:rsid w:val="00A23F8A"/>
    <w:rsid w:val="00A23FCB"/>
    <w:rsid w:val="00A25807"/>
    <w:rsid w:val="00A262DD"/>
    <w:rsid w:val="00A27E50"/>
    <w:rsid w:val="00A308D3"/>
    <w:rsid w:val="00A30C99"/>
    <w:rsid w:val="00A31196"/>
    <w:rsid w:val="00A3119A"/>
    <w:rsid w:val="00A32993"/>
    <w:rsid w:val="00A33145"/>
    <w:rsid w:val="00A34CB3"/>
    <w:rsid w:val="00A362FA"/>
    <w:rsid w:val="00A36E06"/>
    <w:rsid w:val="00A4054D"/>
    <w:rsid w:val="00A418A1"/>
    <w:rsid w:val="00A41EB2"/>
    <w:rsid w:val="00A4338E"/>
    <w:rsid w:val="00A4427A"/>
    <w:rsid w:val="00A4488D"/>
    <w:rsid w:val="00A457FE"/>
    <w:rsid w:val="00A45895"/>
    <w:rsid w:val="00A462EA"/>
    <w:rsid w:val="00A47B10"/>
    <w:rsid w:val="00A50CA3"/>
    <w:rsid w:val="00A5158E"/>
    <w:rsid w:val="00A51E6D"/>
    <w:rsid w:val="00A5271A"/>
    <w:rsid w:val="00A5399D"/>
    <w:rsid w:val="00A556BA"/>
    <w:rsid w:val="00A560D7"/>
    <w:rsid w:val="00A5790D"/>
    <w:rsid w:val="00A57AF4"/>
    <w:rsid w:val="00A639A1"/>
    <w:rsid w:val="00A64E5B"/>
    <w:rsid w:val="00A65253"/>
    <w:rsid w:val="00A70EC2"/>
    <w:rsid w:val="00A71355"/>
    <w:rsid w:val="00A71459"/>
    <w:rsid w:val="00A71C3F"/>
    <w:rsid w:val="00A730D0"/>
    <w:rsid w:val="00A732AE"/>
    <w:rsid w:val="00A73C41"/>
    <w:rsid w:val="00A74A58"/>
    <w:rsid w:val="00A74E81"/>
    <w:rsid w:val="00A753CA"/>
    <w:rsid w:val="00A75655"/>
    <w:rsid w:val="00A7590A"/>
    <w:rsid w:val="00A76365"/>
    <w:rsid w:val="00A81A19"/>
    <w:rsid w:val="00A82C4C"/>
    <w:rsid w:val="00A83E45"/>
    <w:rsid w:val="00A84E38"/>
    <w:rsid w:val="00A85702"/>
    <w:rsid w:val="00A909DC"/>
    <w:rsid w:val="00A91FD7"/>
    <w:rsid w:val="00A94112"/>
    <w:rsid w:val="00A952AF"/>
    <w:rsid w:val="00A9571E"/>
    <w:rsid w:val="00A95DC9"/>
    <w:rsid w:val="00A9612F"/>
    <w:rsid w:val="00A96462"/>
    <w:rsid w:val="00A9704E"/>
    <w:rsid w:val="00A971B5"/>
    <w:rsid w:val="00A972DB"/>
    <w:rsid w:val="00AA1C6F"/>
    <w:rsid w:val="00AA2481"/>
    <w:rsid w:val="00AA3840"/>
    <w:rsid w:val="00AA3BE5"/>
    <w:rsid w:val="00AA420A"/>
    <w:rsid w:val="00AA5732"/>
    <w:rsid w:val="00AA5B78"/>
    <w:rsid w:val="00AA6A7B"/>
    <w:rsid w:val="00AA7C0A"/>
    <w:rsid w:val="00AB099A"/>
    <w:rsid w:val="00AB235B"/>
    <w:rsid w:val="00AB299E"/>
    <w:rsid w:val="00AB2AB5"/>
    <w:rsid w:val="00AB2C77"/>
    <w:rsid w:val="00AB30E1"/>
    <w:rsid w:val="00AB365A"/>
    <w:rsid w:val="00AB520C"/>
    <w:rsid w:val="00AB63DA"/>
    <w:rsid w:val="00AB7409"/>
    <w:rsid w:val="00AB7819"/>
    <w:rsid w:val="00AB7EBF"/>
    <w:rsid w:val="00AC0556"/>
    <w:rsid w:val="00AC0B6F"/>
    <w:rsid w:val="00AC137A"/>
    <w:rsid w:val="00AC6CA6"/>
    <w:rsid w:val="00AC7285"/>
    <w:rsid w:val="00AD0CC3"/>
    <w:rsid w:val="00AD0E4E"/>
    <w:rsid w:val="00AD122A"/>
    <w:rsid w:val="00AD15F2"/>
    <w:rsid w:val="00AD1EEE"/>
    <w:rsid w:val="00AD5CFE"/>
    <w:rsid w:val="00AD6347"/>
    <w:rsid w:val="00AD6ABB"/>
    <w:rsid w:val="00AD7C1C"/>
    <w:rsid w:val="00AE27BB"/>
    <w:rsid w:val="00AE3D8B"/>
    <w:rsid w:val="00AE3E06"/>
    <w:rsid w:val="00AE4238"/>
    <w:rsid w:val="00AE438D"/>
    <w:rsid w:val="00AE43C7"/>
    <w:rsid w:val="00AE51FE"/>
    <w:rsid w:val="00AE60D1"/>
    <w:rsid w:val="00AE60F0"/>
    <w:rsid w:val="00AE6942"/>
    <w:rsid w:val="00AE731E"/>
    <w:rsid w:val="00AE7977"/>
    <w:rsid w:val="00AF11A0"/>
    <w:rsid w:val="00AF2175"/>
    <w:rsid w:val="00AF2CE8"/>
    <w:rsid w:val="00AF4BC7"/>
    <w:rsid w:val="00AF62DB"/>
    <w:rsid w:val="00AF688A"/>
    <w:rsid w:val="00B00387"/>
    <w:rsid w:val="00B00391"/>
    <w:rsid w:val="00B03EC3"/>
    <w:rsid w:val="00B04422"/>
    <w:rsid w:val="00B05381"/>
    <w:rsid w:val="00B0720F"/>
    <w:rsid w:val="00B078E2"/>
    <w:rsid w:val="00B07D1E"/>
    <w:rsid w:val="00B10A70"/>
    <w:rsid w:val="00B10F81"/>
    <w:rsid w:val="00B1137E"/>
    <w:rsid w:val="00B115E3"/>
    <w:rsid w:val="00B13603"/>
    <w:rsid w:val="00B13797"/>
    <w:rsid w:val="00B137D3"/>
    <w:rsid w:val="00B13FA5"/>
    <w:rsid w:val="00B154E5"/>
    <w:rsid w:val="00B163F0"/>
    <w:rsid w:val="00B17771"/>
    <w:rsid w:val="00B20C13"/>
    <w:rsid w:val="00B2120D"/>
    <w:rsid w:val="00B229BF"/>
    <w:rsid w:val="00B22EBD"/>
    <w:rsid w:val="00B232A5"/>
    <w:rsid w:val="00B232E9"/>
    <w:rsid w:val="00B23C01"/>
    <w:rsid w:val="00B24CA9"/>
    <w:rsid w:val="00B25476"/>
    <w:rsid w:val="00B26B5C"/>
    <w:rsid w:val="00B26FB4"/>
    <w:rsid w:val="00B27770"/>
    <w:rsid w:val="00B27FA8"/>
    <w:rsid w:val="00B30E13"/>
    <w:rsid w:val="00B31255"/>
    <w:rsid w:val="00B314C8"/>
    <w:rsid w:val="00B317E9"/>
    <w:rsid w:val="00B31B9C"/>
    <w:rsid w:val="00B32077"/>
    <w:rsid w:val="00B332EB"/>
    <w:rsid w:val="00B363D9"/>
    <w:rsid w:val="00B36661"/>
    <w:rsid w:val="00B36E09"/>
    <w:rsid w:val="00B37294"/>
    <w:rsid w:val="00B37DF9"/>
    <w:rsid w:val="00B37F6A"/>
    <w:rsid w:val="00B41AE8"/>
    <w:rsid w:val="00B42ADF"/>
    <w:rsid w:val="00B4355D"/>
    <w:rsid w:val="00B43AA8"/>
    <w:rsid w:val="00B44576"/>
    <w:rsid w:val="00B44ACE"/>
    <w:rsid w:val="00B44E68"/>
    <w:rsid w:val="00B50EED"/>
    <w:rsid w:val="00B5138C"/>
    <w:rsid w:val="00B52D86"/>
    <w:rsid w:val="00B543A2"/>
    <w:rsid w:val="00B5445D"/>
    <w:rsid w:val="00B55746"/>
    <w:rsid w:val="00B56849"/>
    <w:rsid w:val="00B57A0E"/>
    <w:rsid w:val="00B61249"/>
    <w:rsid w:val="00B618B8"/>
    <w:rsid w:val="00B61CF6"/>
    <w:rsid w:val="00B62318"/>
    <w:rsid w:val="00B637E2"/>
    <w:rsid w:val="00B65119"/>
    <w:rsid w:val="00B661D1"/>
    <w:rsid w:val="00B663EF"/>
    <w:rsid w:val="00B669EC"/>
    <w:rsid w:val="00B66CAA"/>
    <w:rsid w:val="00B72DA1"/>
    <w:rsid w:val="00B72DC8"/>
    <w:rsid w:val="00B7318A"/>
    <w:rsid w:val="00B736C2"/>
    <w:rsid w:val="00B73849"/>
    <w:rsid w:val="00B74091"/>
    <w:rsid w:val="00B755A3"/>
    <w:rsid w:val="00B7778B"/>
    <w:rsid w:val="00B77CDA"/>
    <w:rsid w:val="00B80141"/>
    <w:rsid w:val="00B80D08"/>
    <w:rsid w:val="00B81692"/>
    <w:rsid w:val="00B817D1"/>
    <w:rsid w:val="00B8187B"/>
    <w:rsid w:val="00B82DCD"/>
    <w:rsid w:val="00B83258"/>
    <w:rsid w:val="00B85173"/>
    <w:rsid w:val="00B865AE"/>
    <w:rsid w:val="00B87975"/>
    <w:rsid w:val="00B87FAA"/>
    <w:rsid w:val="00B91687"/>
    <w:rsid w:val="00B92D8F"/>
    <w:rsid w:val="00B951C2"/>
    <w:rsid w:val="00B95648"/>
    <w:rsid w:val="00B9758E"/>
    <w:rsid w:val="00B975E3"/>
    <w:rsid w:val="00BA0DD9"/>
    <w:rsid w:val="00BA46E9"/>
    <w:rsid w:val="00BA5AE5"/>
    <w:rsid w:val="00BA5D74"/>
    <w:rsid w:val="00BA5D7A"/>
    <w:rsid w:val="00BA7EE6"/>
    <w:rsid w:val="00BB039F"/>
    <w:rsid w:val="00BB0A68"/>
    <w:rsid w:val="00BB1A93"/>
    <w:rsid w:val="00BB33DE"/>
    <w:rsid w:val="00BB3ECD"/>
    <w:rsid w:val="00BB4D03"/>
    <w:rsid w:val="00BB4E86"/>
    <w:rsid w:val="00BB51D4"/>
    <w:rsid w:val="00BB6066"/>
    <w:rsid w:val="00BB61AC"/>
    <w:rsid w:val="00BB6D3E"/>
    <w:rsid w:val="00BC0008"/>
    <w:rsid w:val="00BC051D"/>
    <w:rsid w:val="00BC1B6F"/>
    <w:rsid w:val="00BC410C"/>
    <w:rsid w:val="00BC4BF6"/>
    <w:rsid w:val="00BC548E"/>
    <w:rsid w:val="00BC5847"/>
    <w:rsid w:val="00BC64F4"/>
    <w:rsid w:val="00BC7579"/>
    <w:rsid w:val="00BD08F6"/>
    <w:rsid w:val="00BD152F"/>
    <w:rsid w:val="00BD2F1C"/>
    <w:rsid w:val="00BD3552"/>
    <w:rsid w:val="00BD3759"/>
    <w:rsid w:val="00BD4251"/>
    <w:rsid w:val="00BD503C"/>
    <w:rsid w:val="00BD6275"/>
    <w:rsid w:val="00BD67E1"/>
    <w:rsid w:val="00BE05C2"/>
    <w:rsid w:val="00BE0CAE"/>
    <w:rsid w:val="00BE31BA"/>
    <w:rsid w:val="00BE4537"/>
    <w:rsid w:val="00BE4807"/>
    <w:rsid w:val="00BE4AB5"/>
    <w:rsid w:val="00BE4D47"/>
    <w:rsid w:val="00BE4E31"/>
    <w:rsid w:val="00BE51C4"/>
    <w:rsid w:val="00BE7E21"/>
    <w:rsid w:val="00BF04DD"/>
    <w:rsid w:val="00BF0967"/>
    <w:rsid w:val="00BF2C43"/>
    <w:rsid w:val="00BF31F8"/>
    <w:rsid w:val="00BF362D"/>
    <w:rsid w:val="00BF4E20"/>
    <w:rsid w:val="00BF4E93"/>
    <w:rsid w:val="00BF62D3"/>
    <w:rsid w:val="00C0112E"/>
    <w:rsid w:val="00C019B4"/>
    <w:rsid w:val="00C0230B"/>
    <w:rsid w:val="00C029EC"/>
    <w:rsid w:val="00C03F00"/>
    <w:rsid w:val="00C06531"/>
    <w:rsid w:val="00C07A23"/>
    <w:rsid w:val="00C10CD1"/>
    <w:rsid w:val="00C12301"/>
    <w:rsid w:val="00C140FE"/>
    <w:rsid w:val="00C15268"/>
    <w:rsid w:val="00C15960"/>
    <w:rsid w:val="00C166D8"/>
    <w:rsid w:val="00C16B1C"/>
    <w:rsid w:val="00C16D4F"/>
    <w:rsid w:val="00C173CA"/>
    <w:rsid w:val="00C20953"/>
    <w:rsid w:val="00C2286F"/>
    <w:rsid w:val="00C2300F"/>
    <w:rsid w:val="00C23381"/>
    <w:rsid w:val="00C23971"/>
    <w:rsid w:val="00C2431A"/>
    <w:rsid w:val="00C24381"/>
    <w:rsid w:val="00C244BC"/>
    <w:rsid w:val="00C24785"/>
    <w:rsid w:val="00C24C77"/>
    <w:rsid w:val="00C24FD0"/>
    <w:rsid w:val="00C25797"/>
    <w:rsid w:val="00C2635C"/>
    <w:rsid w:val="00C2770C"/>
    <w:rsid w:val="00C301F9"/>
    <w:rsid w:val="00C3080D"/>
    <w:rsid w:val="00C309FA"/>
    <w:rsid w:val="00C30B1B"/>
    <w:rsid w:val="00C30C9E"/>
    <w:rsid w:val="00C323CE"/>
    <w:rsid w:val="00C33306"/>
    <w:rsid w:val="00C337C4"/>
    <w:rsid w:val="00C35156"/>
    <w:rsid w:val="00C35206"/>
    <w:rsid w:val="00C36481"/>
    <w:rsid w:val="00C37F36"/>
    <w:rsid w:val="00C41939"/>
    <w:rsid w:val="00C4230F"/>
    <w:rsid w:val="00C44195"/>
    <w:rsid w:val="00C45DB9"/>
    <w:rsid w:val="00C45ED3"/>
    <w:rsid w:val="00C47A36"/>
    <w:rsid w:val="00C547D3"/>
    <w:rsid w:val="00C5657C"/>
    <w:rsid w:val="00C631ED"/>
    <w:rsid w:val="00C6324B"/>
    <w:rsid w:val="00C6368B"/>
    <w:rsid w:val="00C64748"/>
    <w:rsid w:val="00C649EB"/>
    <w:rsid w:val="00C66479"/>
    <w:rsid w:val="00C67911"/>
    <w:rsid w:val="00C710ED"/>
    <w:rsid w:val="00C71E50"/>
    <w:rsid w:val="00C7428D"/>
    <w:rsid w:val="00C75E02"/>
    <w:rsid w:val="00C76733"/>
    <w:rsid w:val="00C76C7C"/>
    <w:rsid w:val="00C76F66"/>
    <w:rsid w:val="00C770F8"/>
    <w:rsid w:val="00C80DEC"/>
    <w:rsid w:val="00C810D3"/>
    <w:rsid w:val="00C831AA"/>
    <w:rsid w:val="00C85523"/>
    <w:rsid w:val="00C85595"/>
    <w:rsid w:val="00C85F36"/>
    <w:rsid w:val="00C85F7D"/>
    <w:rsid w:val="00C870F6"/>
    <w:rsid w:val="00C87BAD"/>
    <w:rsid w:val="00C87C95"/>
    <w:rsid w:val="00C91F56"/>
    <w:rsid w:val="00C927AF"/>
    <w:rsid w:val="00C9423C"/>
    <w:rsid w:val="00C94CD7"/>
    <w:rsid w:val="00C9504B"/>
    <w:rsid w:val="00C95102"/>
    <w:rsid w:val="00C972E7"/>
    <w:rsid w:val="00CA061F"/>
    <w:rsid w:val="00CA1BD3"/>
    <w:rsid w:val="00CA3412"/>
    <w:rsid w:val="00CA3C44"/>
    <w:rsid w:val="00CA427F"/>
    <w:rsid w:val="00CA42F0"/>
    <w:rsid w:val="00CA57AA"/>
    <w:rsid w:val="00CA6D3D"/>
    <w:rsid w:val="00CA78D3"/>
    <w:rsid w:val="00CB12C5"/>
    <w:rsid w:val="00CB1483"/>
    <w:rsid w:val="00CB1607"/>
    <w:rsid w:val="00CB1A27"/>
    <w:rsid w:val="00CB2726"/>
    <w:rsid w:val="00CB2D00"/>
    <w:rsid w:val="00CB3747"/>
    <w:rsid w:val="00CB5224"/>
    <w:rsid w:val="00CC03BF"/>
    <w:rsid w:val="00CC0C0C"/>
    <w:rsid w:val="00CC0C5B"/>
    <w:rsid w:val="00CC125C"/>
    <w:rsid w:val="00CC1CF5"/>
    <w:rsid w:val="00CC1E8F"/>
    <w:rsid w:val="00CC3AE1"/>
    <w:rsid w:val="00CC4410"/>
    <w:rsid w:val="00CC48E1"/>
    <w:rsid w:val="00CC4F1E"/>
    <w:rsid w:val="00CC4FD1"/>
    <w:rsid w:val="00CC6008"/>
    <w:rsid w:val="00CC6B60"/>
    <w:rsid w:val="00CD01C3"/>
    <w:rsid w:val="00CD0BFA"/>
    <w:rsid w:val="00CD1023"/>
    <w:rsid w:val="00CD103B"/>
    <w:rsid w:val="00CD23ED"/>
    <w:rsid w:val="00CD2D9A"/>
    <w:rsid w:val="00CD36C6"/>
    <w:rsid w:val="00CD506D"/>
    <w:rsid w:val="00CD572B"/>
    <w:rsid w:val="00CD662E"/>
    <w:rsid w:val="00CD70F1"/>
    <w:rsid w:val="00CD7CF2"/>
    <w:rsid w:val="00CE19CF"/>
    <w:rsid w:val="00CE1D46"/>
    <w:rsid w:val="00CE1F56"/>
    <w:rsid w:val="00CE2C51"/>
    <w:rsid w:val="00CE2E13"/>
    <w:rsid w:val="00CE2E19"/>
    <w:rsid w:val="00CE33CC"/>
    <w:rsid w:val="00CE3A54"/>
    <w:rsid w:val="00CE3A75"/>
    <w:rsid w:val="00CE4315"/>
    <w:rsid w:val="00CE77DC"/>
    <w:rsid w:val="00CE78A0"/>
    <w:rsid w:val="00CF0CA1"/>
    <w:rsid w:val="00CF15C2"/>
    <w:rsid w:val="00CF1F70"/>
    <w:rsid w:val="00CF2F67"/>
    <w:rsid w:val="00CF4BEC"/>
    <w:rsid w:val="00CF5292"/>
    <w:rsid w:val="00CF5846"/>
    <w:rsid w:val="00CF60AF"/>
    <w:rsid w:val="00CF6BD0"/>
    <w:rsid w:val="00CF6D96"/>
    <w:rsid w:val="00CF7C31"/>
    <w:rsid w:val="00D020C3"/>
    <w:rsid w:val="00D030E5"/>
    <w:rsid w:val="00D043F3"/>
    <w:rsid w:val="00D048CB"/>
    <w:rsid w:val="00D060C9"/>
    <w:rsid w:val="00D10EDC"/>
    <w:rsid w:val="00D147CE"/>
    <w:rsid w:val="00D15A75"/>
    <w:rsid w:val="00D160A5"/>
    <w:rsid w:val="00D173B1"/>
    <w:rsid w:val="00D1760A"/>
    <w:rsid w:val="00D17773"/>
    <w:rsid w:val="00D17B2D"/>
    <w:rsid w:val="00D17F24"/>
    <w:rsid w:val="00D2033C"/>
    <w:rsid w:val="00D20381"/>
    <w:rsid w:val="00D2076D"/>
    <w:rsid w:val="00D20989"/>
    <w:rsid w:val="00D20AE4"/>
    <w:rsid w:val="00D223E7"/>
    <w:rsid w:val="00D24EF6"/>
    <w:rsid w:val="00D27354"/>
    <w:rsid w:val="00D279C5"/>
    <w:rsid w:val="00D30337"/>
    <w:rsid w:val="00D31C05"/>
    <w:rsid w:val="00D32E1B"/>
    <w:rsid w:val="00D33FD3"/>
    <w:rsid w:val="00D34D45"/>
    <w:rsid w:val="00D35E31"/>
    <w:rsid w:val="00D40074"/>
    <w:rsid w:val="00D40424"/>
    <w:rsid w:val="00D422F1"/>
    <w:rsid w:val="00D42560"/>
    <w:rsid w:val="00D43300"/>
    <w:rsid w:val="00D44FCB"/>
    <w:rsid w:val="00D4505B"/>
    <w:rsid w:val="00D4549A"/>
    <w:rsid w:val="00D47C35"/>
    <w:rsid w:val="00D506F1"/>
    <w:rsid w:val="00D50A99"/>
    <w:rsid w:val="00D50C4A"/>
    <w:rsid w:val="00D50EA4"/>
    <w:rsid w:val="00D53C20"/>
    <w:rsid w:val="00D55683"/>
    <w:rsid w:val="00D562AF"/>
    <w:rsid w:val="00D576B5"/>
    <w:rsid w:val="00D60020"/>
    <w:rsid w:val="00D60C4F"/>
    <w:rsid w:val="00D62014"/>
    <w:rsid w:val="00D64B54"/>
    <w:rsid w:val="00D65682"/>
    <w:rsid w:val="00D656A9"/>
    <w:rsid w:val="00D65D7E"/>
    <w:rsid w:val="00D660B6"/>
    <w:rsid w:val="00D66A01"/>
    <w:rsid w:val="00D67DD1"/>
    <w:rsid w:val="00D702FA"/>
    <w:rsid w:val="00D70747"/>
    <w:rsid w:val="00D71931"/>
    <w:rsid w:val="00D71A0F"/>
    <w:rsid w:val="00D72036"/>
    <w:rsid w:val="00D72D65"/>
    <w:rsid w:val="00D7382E"/>
    <w:rsid w:val="00D75008"/>
    <w:rsid w:val="00D76EED"/>
    <w:rsid w:val="00D77B7B"/>
    <w:rsid w:val="00D814EE"/>
    <w:rsid w:val="00D81F34"/>
    <w:rsid w:val="00D834E4"/>
    <w:rsid w:val="00D849AA"/>
    <w:rsid w:val="00D84A7E"/>
    <w:rsid w:val="00D8588A"/>
    <w:rsid w:val="00D86F2B"/>
    <w:rsid w:val="00D8724B"/>
    <w:rsid w:val="00D876DF"/>
    <w:rsid w:val="00D87797"/>
    <w:rsid w:val="00D91329"/>
    <w:rsid w:val="00D91C0F"/>
    <w:rsid w:val="00D91E47"/>
    <w:rsid w:val="00D931B7"/>
    <w:rsid w:val="00D95CEA"/>
    <w:rsid w:val="00D96C74"/>
    <w:rsid w:val="00D97EEE"/>
    <w:rsid w:val="00D97EEF"/>
    <w:rsid w:val="00D97FB2"/>
    <w:rsid w:val="00DA1B9C"/>
    <w:rsid w:val="00DA30E3"/>
    <w:rsid w:val="00DA394A"/>
    <w:rsid w:val="00DA5AE4"/>
    <w:rsid w:val="00DB072D"/>
    <w:rsid w:val="00DB13B0"/>
    <w:rsid w:val="00DB207E"/>
    <w:rsid w:val="00DB2190"/>
    <w:rsid w:val="00DB22AF"/>
    <w:rsid w:val="00DB250C"/>
    <w:rsid w:val="00DB27F6"/>
    <w:rsid w:val="00DB2936"/>
    <w:rsid w:val="00DB2F83"/>
    <w:rsid w:val="00DB3DAC"/>
    <w:rsid w:val="00DB3F81"/>
    <w:rsid w:val="00DB4E93"/>
    <w:rsid w:val="00DB5F1F"/>
    <w:rsid w:val="00DB71AB"/>
    <w:rsid w:val="00DB787B"/>
    <w:rsid w:val="00DC064A"/>
    <w:rsid w:val="00DC0915"/>
    <w:rsid w:val="00DC593F"/>
    <w:rsid w:val="00DC5B3A"/>
    <w:rsid w:val="00DC6813"/>
    <w:rsid w:val="00DC7B51"/>
    <w:rsid w:val="00DD3738"/>
    <w:rsid w:val="00DD59C5"/>
    <w:rsid w:val="00DD70B6"/>
    <w:rsid w:val="00DE07FA"/>
    <w:rsid w:val="00DE110C"/>
    <w:rsid w:val="00DE2A38"/>
    <w:rsid w:val="00DE2F30"/>
    <w:rsid w:val="00DE3623"/>
    <w:rsid w:val="00DE499F"/>
    <w:rsid w:val="00DF087B"/>
    <w:rsid w:val="00DF1E28"/>
    <w:rsid w:val="00DF20B1"/>
    <w:rsid w:val="00DF2BED"/>
    <w:rsid w:val="00DF392B"/>
    <w:rsid w:val="00DF41E6"/>
    <w:rsid w:val="00DF43C7"/>
    <w:rsid w:val="00DF48CE"/>
    <w:rsid w:val="00DF5172"/>
    <w:rsid w:val="00DF55C8"/>
    <w:rsid w:val="00DF7597"/>
    <w:rsid w:val="00DF779A"/>
    <w:rsid w:val="00DF78BA"/>
    <w:rsid w:val="00E01680"/>
    <w:rsid w:val="00E01823"/>
    <w:rsid w:val="00E02CFC"/>
    <w:rsid w:val="00E0353A"/>
    <w:rsid w:val="00E040D3"/>
    <w:rsid w:val="00E042A2"/>
    <w:rsid w:val="00E051E0"/>
    <w:rsid w:val="00E054AA"/>
    <w:rsid w:val="00E0662A"/>
    <w:rsid w:val="00E0738B"/>
    <w:rsid w:val="00E0762B"/>
    <w:rsid w:val="00E07636"/>
    <w:rsid w:val="00E1024E"/>
    <w:rsid w:val="00E10B81"/>
    <w:rsid w:val="00E10C20"/>
    <w:rsid w:val="00E12F13"/>
    <w:rsid w:val="00E16616"/>
    <w:rsid w:val="00E16DC1"/>
    <w:rsid w:val="00E2115C"/>
    <w:rsid w:val="00E226BB"/>
    <w:rsid w:val="00E237B8"/>
    <w:rsid w:val="00E23E9D"/>
    <w:rsid w:val="00E23FD4"/>
    <w:rsid w:val="00E241D2"/>
    <w:rsid w:val="00E24D59"/>
    <w:rsid w:val="00E24D90"/>
    <w:rsid w:val="00E2510C"/>
    <w:rsid w:val="00E26866"/>
    <w:rsid w:val="00E27B53"/>
    <w:rsid w:val="00E30121"/>
    <w:rsid w:val="00E308B5"/>
    <w:rsid w:val="00E32DC2"/>
    <w:rsid w:val="00E3469B"/>
    <w:rsid w:val="00E40F20"/>
    <w:rsid w:val="00E414B7"/>
    <w:rsid w:val="00E42900"/>
    <w:rsid w:val="00E4475B"/>
    <w:rsid w:val="00E454B2"/>
    <w:rsid w:val="00E456C9"/>
    <w:rsid w:val="00E46035"/>
    <w:rsid w:val="00E46DEE"/>
    <w:rsid w:val="00E47591"/>
    <w:rsid w:val="00E50A7A"/>
    <w:rsid w:val="00E51C86"/>
    <w:rsid w:val="00E51DDD"/>
    <w:rsid w:val="00E51FB5"/>
    <w:rsid w:val="00E528A4"/>
    <w:rsid w:val="00E5338E"/>
    <w:rsid w:val="00E54A54"/>
    <w:rsid w:val="00E5534A"/>
    <w:rsid w:val="00E61769"/>
    <w:rsid w:val="00E61C0B"/>
    <w:rsid w:val="00E6232D"/>
    <w:rsid w:val="00E63564"/>
    <w:rsid w:val="00E63B0B"/>
    <w:rsid w:val="00E6499B"/>
    <w:rsid w:val="00E64E72"/>
    <w:rsid w:val="00E64F5B"/>
    <w:rsid w:val="00E66D22"/>
    <w:rsid w:val="00E732BC"/>
    <w:rsid w:val="00E738CE"/>
    <w:rsid w:val="00E73EFA"/>
    <w:rsid w:val="00E74324"/>
    <w:rsid w:val="00E74B3C"/>
    <w:rsid w:val="00E75DCF"/>
    <w:rsid w:val="00E768CB"/>
    <w:rsid w:val="00E76DD3"/>
    <w:rsid w:val="00E81CD1"/>
    <w:rsid w:val="00E828F3"/>
    <w:rsid w:val="00E839DC"/>
    <w:rsid w:val="00E858AF"/>
    <w:rsid w:val="00E86B79"/>
    <w:rsid w:val="00E86FBB"/>
    <w:rsid w:val="00E8746C"/>
    <w:rsid w:val="00E874A1"/>
    <w:rsid w:val="00E907F0"/>
    <w:rsid w:val="00E90D01"/>
    <w:rsid w:val="00E91FB6"/>
    <w:rsid w:val="00E928E4"/>
    <w:rsid w:val="00E92CFE"/>
    <w:rsid w:val="00E9300C"/>
    <w:rsid w:val="00E9502E"/>
    <w:rsid w:val="00E95D1E"/>
    <w:rsid w:val="00E96078"/>
    <w:rsid w:val="00E97C2A"/>
    <w:rsid w:val="00E97FD8"/>
    <w:rsid w:val="00EA0EDF"/>
    <w:rsid w:val="00EA1415"/>
    <w:rsid w:val="00EA29CE"/>
    <w:rsid w:val="00EA2D05"/>
    <w:rsid w:val="00EA5D1B"/>
    <w:rsid w:val="00EA5FF9"/>
    <w:rsid w:val="00EA66AF"/>
    <w:rsid w:val="00EA6E29"/>
    <w:rsid w:val="00EB1183"/>
    <w:rsid w:val="00EB1C4D"/>
    <w:rsid w:val="00EB1D8C"/>
    <w:rsid w:val="00EB2462"/>
    <w:rsid w:val="00EB33F8"/>
    <w:rsid w:val="00EB392D"/>
    <w:rsid w:val="00EB4039"/>
    <w:rsid w:val="00EB4571"/>
    <w:rsid w:val="00EB54A9"/>
    <w:rsid w:val="00EB590F"/>
    <w:rsid w:val="00EB659D"/>
    <w:rsid w:val="00EC0505"/>
    <w:rsid w:val="00EC1087"/>
    <w:rsid w:val="00EC11AA"/>
    <w:rsid w:val="00EC14E7"/>
    <w:rsid w:val="00EC18A5"/>
    <w:rsid w:val="00EC2A03"/>
    <w:rsid w:val="00EC4C39"/>
    <w:rsid w:val="00EC4D0B"/>
    <w:rsid w:val="00EC5DB9"/>
    <w:rsid w:val="00EC7FED"/>
    <w:rsid w:val="00ED0102"/>
    <w:rsid w:val="00ED0E25"/>
    <w:rsid w:val="00ED1EDC"/>
    <w:rsid w:val="00ED1F8D"/>
    <w:rsid w:val="00ED2866"/>
    <w:rsid w:val="00ED2C04"/>
    <w:rsid w:val="00ED396E"/>
    <w:rsid w:val="00ED3AE6"/>
    <w:rsid w:val="00ED3FD9"/>
    <w:rsid w:val="00ED5B1A"/>
    <w:rsid w:val="00ED703D"/>
    <w:rsid w:val="00EE1188"/>
    <w:rsid w:val="00EE1C98"/>
    <w:rsid w:val="00EE233E"/>
    <w:rsid w:val="00EE2C96"/>
    <w:rsid w:val="00EE3B61"/>
    <w:rsid w:val="00EE56F5"/>
    <w:rsid w:val="00EE5D71"/>
    <w:rsid w:val="00EE6D9D"/>
    <w:rsid w:val="00EE7260"/>
    <w:rsid w:val="00EE7310"/>
    <w:rsid w:val="00EF1A75"/>
    <w:rsid w:val="00EF37E7"/>
    <w:rsid w:val="00EF39AD"/>
    <w:rsid w:val="00EF4772"/>
    <w:rsid w:val="00EF4FC5"/>
    <w:rsid w:val="00EF5F29"/>
    <w:rsid w:val="00EF64FF"/>
    <w:rsid w:val="00EF684D"/>
    <w:rsid w:val="00EF6B77"/>
    <w:rsid w:val="00EF7C4D"/>
    <w:rsid w:val="00EF7C72"/>
    <w:rsid w:val="00EF7E80"/>
    <w:rsid w:val="00F01109"/>
    <w:rsid w:val="00F0144E"/>
    <w:rsid w:val="00F0185B"/>
    <w:rsid w:val="00F02CDE"/>
    <w:rsid w:val="00F02EDB"/>
    <w:rsid w:val="00F03517"/>
    <w:rsid w:val="00F03686"/>
    <w:rsid w:val="00F038F8"/>
    <w:rsid w:val="00F042E8"/>
    <w:rsid w:val="00F04466"/>
    <w:rsid w:val="00F05326"/>
    <w:rsid w:val="00F0598F"/>
    <w:rsid w:val="00F05A19"/>
    <w:rsid w:val="00F06A21"/>
    <w:rsid w:val="00F06E72"/>
    <w:rsid w:val="00F106F4"/>
    <w:rsid w:val="00F10DF9"/>
    <w:rsid w:val="00F10ED3"/>
    <w:rsid w:val="00F1189E"/>
    <w:rsid w:val="00F1330C"/>
    <w:rsid w:val="00F139E2"/>
    <w:rsid w:val="00F13DC8"/>
    <w:rsid w:val="00F13DD1"/>
    <w:rsid w:val="00F1450F"/>
    <w:rsid w:val="00F17F45"/>
    <w:rsid w:val="00F2063B"/>
    <w:rsid w:val="00F20BDC"/>
    <w:rsid w:val="00F20E92"/>
    <w:rsid w:val="00F21B4D"/>
    <w:rsid w:val="00F229B2"/>
    <w:rsid w:val="00F22CAB"/>
    <w:rsid w:val="00F22E7C"/>
    <w:rsid w:val="00F2326D"/>
    <w:rsid w:val="00F23806"/>
    <w:rsid w:val="00F23A96"/>
    <w:rsid w:val="00F250E7"/>
    <w:rsid w:val="00F25343"/>
    <w:rsid w:val="00F25D30"/>
    <w:rsid w:val="00F26193"/>
    <w:rsid w:val="00F27C59"/>
    <w:rsid w:val="00F30D31"/>
    <w:rsid w:val="00F30FE2"/>
    <w:rsid w:val="00F32F8A"/>
    <w:rsid w:val="00F339F4"/>
    <w:rsid w:val="00F36118"/>
    <w:rsid w:val="00F42A37"/>
    <w:rsid w:val="00F43CEA"/>
    <w:rsid w:val="00F443E0"/>
    <w:rsid w:val="00F45F95"/>
    <w:rsid w:val="00F46A3C"/>
    <w:rsid w:val="00F475BC"/>
    <w:rsid w:val="00F50101"/>
    <w:rsid w:val="00F510A0"/>
    <w:rsid w:val="00F51D2C"/>
    <w:rsid w:val="00F52080"/>
    <w:rsid w:val="00F529D0"/>
    <w:rsid w:val="00F52F77"/>
    <w:rsid w:val="00F53985"/>
    <w:rsid w:val="00F55A81"/>
    <w:rsid w:val="00F561E2"/>
    <w:rsid w:val="00F563EB"/>
    <w:rsid w:val="00F579D0"/>
    <w:rsid w:val="00F57EA0"/>
    <w:rsid w:val="00F609F7"/>
    <w:rsid w:val="00F60E5F"/>
    <w:rsid w:val="00F61B89"/>
    <w:rsid w:val="00F61C2F"/>
    <w:rsid w:val="00F624F5"/>
    <w:rsid w:val="00F63469"/>
    <w:rsid w:val="00F65949"/>
    <w:rsid w:val="00F6695F"/>
    <w:rsid w:val="00F70687"/>
    <w:rsid w:val="00F707C1"/>
    <w:rsid w:val="00F70B78"/>
    <w:rsid w:val="00F70ED8"/>
    <w:rsid w:val="00F70FE5"/>
    <w:rsid w:val="00F71D5F"/>
    <w:rsid w:val="00F71DC5"/>
    <w:rsid w:val="00F74373"/>
    <w:rsid w:val="00F74392"/>
    <w:rsid w:val="00F756BB"/>
    <w:rsid w:val="00F8073B"/>
    <w:rsid w:val="00F80BCB"/>
    <w:rsid w:val="00F81DF2"/>
    <w:rsid w:val="00F83032"/>
    <w:rsid w:val="00F8430D"/>
    <w:rsid w:val="00F8462C"/>
    <w:rsid w:val="00F84CFF"/>
    <w:rsid w:val="00F85228"/>
    <w:rsid w:val="00F85CD9"/>
    <w:rsid w:val="00F900C6"/>
    <w:rsid w:val="00F90F32"/>
    <w:rsid w:val="00F93064"/>
    <w:rsid w:val="00F938EB"/>
    <w:rsid w:val="00F9427E"/>
    <w:rsid w:val="00F95056"/>
    <w:rsid w:val="00F9621A"/>
    <w:rsid w:val="00F963B6"/>
    <w:rsid w:val="00FA037F"/>
    <w:rsid w:val="00FA04FF"/>
    <w:rsid w:val="00FA08E4"/>
    <w:rsid w:val="00FA0C0E"/>
    <w:rsid w:val="00FA0F39"/>
    <w:rsid w:val="00FA1D06"/>
    <w:rsid w:val="00FA25C7"/>
    <w:rsid w:val="00FA2B48"/>
    <w:rsid w:val="00FA3F24"/>
    <w:rsid w:val="00FA4F28"/>
    <w:rsid w:val="00FA611C"/>
    <w:rsid w:val="00FA6876"/>
    <w:rsid w:val="00FB08FA"/>
    <w:rsid w:val="00FB1BA2"/>
    <w:rsid w:val="00FB6B59"/>
    <w:rsid w:val="00FB6EC2"/>
    <w:rsid w:val="00FB71AD"/>
    <w:rsid w:val="00FB7343"/>
    <w:rsid w:val="00FC0416"/>
    <w:rsid w:val="00FC1691"/>
    <w:rsid w:val="00FC38F8"/>
    <w:rsid w:val="00FC3FF4"/>
    <w:rsid w:val="00FC51C3"/>
    <w:rsid w:val="00FC5D85"/>
    <w:rsid w:val="00FC65D7"/>
    <w:rsid w:val="00FC77CB"/>
    <w:rsid w:val="00FD093B"/>
    <w:rsid w:val="00FD1AD5"/>
    <w:rsid w:val="00FD1C0A"/>
    <w:rsid w:val="00FD2A97"/>
    <w:rsid w:val="00FD53C8"/>
    <w:rsid w:val="00FD5E58"/>
    <w:rsid w:val="00FD600E"/>
    <w:rsid w:val="00FD615F"/>
    <w:rsid w:val="00FD68E5"/>
    <w:rsid w:val="00FE1546"/>
    <w:rsid w:val="00FE2684"/>
    <w:rsid w:val="00FE33DE"/>
    <w:rsid w:val="00FE3C66"/>
    <w:rsid w:val="00FE54DF"/>
    <w:rsid w:val="00FE6CF4"/>
    <w:rsid w:val="00FF0FB9"/>
    <w:rsid w:val="00FF229E"/>
    <w:rsid w:val="00FF45AD"/>
    <w:rsid w:val="00FF52E7"/>
    <w:rsid w:val="00FF7023"/>
    <w:rsid w:val="00FF7D19"/>
    <w:rsid w:val="013AFA15"/>
    <w:rsid w:val="0149971C"/>
    <w:rsid w:val="01527EDA"/>
    <w:rsid w:val="0157D381"/>
    <w:rsid w:val="015D82DA"/>
    <w:rsid w:val="017F5953"/>
    <w:rsid w:val="0196FCE7"/>
    <w:rsid w:val="01A09945"/>
    <w:rsid w:val="01B6E18E"/>
    <w:rsid w:val="01B73A05"/>
    <w:rsid w:val="01D2FB63"/>
    <w:rsid w:val="01E824B4"/>
    <w:rsid w:val="020A2ABD"/>
    <w:rsid w:val="02110F0E"/>
    <w:rsid w:val="021D37C3"/>
    <w:rsid w:val="025BFEE1"/>
    <w:rsid w:val="02737421"/>
    <w:rsid w:val="027AAA69"/>
    <w:rsid w:val="02819EAC"/>
    <w:rsid w:val="028925AF"/>
    <w:rsid w:val="02AC1CD4"/>
    <w:rsid w:val="02D0C7AD"/>
    <w:rsid w:val="02F9164F"/>
    <w:rsid w:val="030BB272"/>
    <w:rsid w:val="031AEA17"/>
    <w:rsid w:val="032C1CC0"/>
    <w:rsid w:val="0343539B"/>
    <w:rsid w:val="034FA89F"/>
    <w:rsid w:val="036E924A"/>
    <w:rsid w:val="03923761"/>
    <w:rsid w:val="0399749B"/>
    <w:rsid w:val="03B60094"/>
    <w:rsid w:val="03C04320"/>
    <w:rsid w:val="03C0922B"/>
    <w:rsid w:val="03DAC8EB"/>
    <w:rsid w:val="03F594D3"/>
    <w:rsid w:val="040157ED"/>
    <w:rsid w:val="040237EC"/>
    <w:rsid w:val="040D6795"/>
    <w:rsid w:val="04223EC4"/>
    <w:rsid w:val="043F5F37"/>
    <w:rsid w:val="04473B45"/>
    <w:rsid w:val="04813E7B"/>
    <w:rsid w:val="048E1F9A"/>
    <w:rsid w:val="04B0FDD7"/>
    <w:rsid w:val="04F521F4"/>
    <w:rsid w:val="052A66C4"/>
    <w:rsid w:val="054D9803"/>
    <w:rsid w:val="05BE9B62"/>
    <w:rsid w:val="05CA4323"/>
    <w:rsid w:val="05DCD36D"/>
    <w:rsid w:val="05FE5503"/>
    <w:rsid w:val="061EA6BA"/>
    <w:rsid w:val="063B0436"/>
    <w:rsid w:val="06580B9C"/>
    <w:rsid w:val="06806395"/>
    <w:rsid w:val="06A923B2"/>
    <w:rsid w:val="06AD227E"/>
    <w:rsid w:val="06B3D153"/>
    <w:rsid w:val="06D57DB3"/>
    <w:rsid w:val="06FE0314"/>
    <w:rsid w:val="070543B1"/>
    <w:rsid w:val="070D2477"/>
    <w:rsid w:val="070F3811"/>
    <w:rsid w:val="072CAFB5"/>
    <w:rsid w:val="07430E90"/>
    <w:rsid w:val="074BC0A2"/>
    <w:rsid w:val="076A06FA"/>
    <w:rsid w:val="0781F6CB"/>
    <w:rsid w:val="0786DC65"/>
    <w:rsid w:val="079726F6"/>
    <w:rsid w:val="07B225DD"/>
    <w:rsid w:val="080BE4A9"/>
    <w:rsid w:val="080DEE4B"/>
    <w:rsid w:val="0831F0FE"/>
    <w:rsid w:val="08714E14"/>
    <w:rsid w:val="088BB9F2"/>
    <w:rsid w:val="089BBABB"/>
    <w:rsid w:val="08B43158"/>
    <w:rsid w:val="08C2368E"/>
    <w:rsid w:val="08C85D75"/>
    <w:rsid w:val="08F952B0"/>
    <w:rsid w:val="091B822A"/>
    <w:rsid w:val="096EC2D5"/>
    <w:rsid w:val="09A96F59"/>
    <w:rsid w:val="09AC8B18"/>
    <w:rsid w:val="09CC26C9"/>
    <w:rsid w:val="09DB4EBC"/>
    <w:rsid w:val="09F2DE8C"/>
    <w:rsid w:val="09F87E38"/>
    <w:rsid w:val="0A0C46D8"/>
    <w:rsid w:val="0A587254"/>
    <w:rsid w:val="0A63B8FF"/>
    <w:rsid w:val="0A9BF4B3"/>
    <w:rsid w:val="0A9FD90A"/>
    <w:rsid w:val="0AA00A5F"/>
    <w:rsid w:val="0AE80C33"/>
    <w:rsid w:val="0AEC6C30"/>
    <w:rsid w:val="0AF068B2"/>
    <w:rsid w:val="0AF63C4F"/>
    <w:rsid w:val="0B1BF82B"/>
    <w:rsid w:val="0B32494A"/>
    <w:rsid w:val="0B41C7D1"/>
    <w:rsid w:val="0B925C45"/>
    <w:rsid w:val="0B92E607"/>
    <w:rsid w:val="0B93F706"/>
    <w:rsid w:val="0B9BE226"/>
    <w:rsid w:val="0BFA7F09"/>
    <w:rsid w:val="0C37B678"/>
    <w:rsid w:val="0C6E193A"/>
    <w:rsid w:val="0C6F4EA5"/>
    <w:rsid w:val="0C8F2BE2"/>
    <w:rsid w:val="0CAA98F3"/>
    <w:rsid w:val="0CAED7EA"/>
    <w:rsid w:val="0CD8ECB9"/>
    <w:rsid w:val="0CF161ED"/>
    <w:rsid w:val="0D111B19"/>
    <w:rsid w:val="0D506290"/>
    <w:rsid w:val="0D7FE2B5"/>
    <w:rsid w:val="0D8991AE"/>
    <w:rsid w:val="0DA02074"/>
    <w:rsid w:val="0DCF4368"/>
    <w:rsid w:val="0DCF6089"/>
    <w:rsid w:val="0DD3B9AA"/>
    <w:rsid w:val="0DFCEB5A"/>
    <w:rsid w:val="0E383214"/>
    <w:rsid w:val="0E6EFCA6"/>
    <w:rsid w:val="0E8B8367"/>
    <w:rsid w:val="0E9D749D"/>
    <w:rsid w:val="0EAF0059"/>
    <w:rsid w:val="0EE1ABBA"/>
    <w:rsid w:val="0EF1AE15"/>
    <w:rsid w:val="0F224C66"/>
    <w:rsid w:val="0F3E7296"/>
    <w:rsid w:val="0F40FCF4"/>
    <w:rsid w:val="0F6CE45E"/>
    <w:rsid w:val="0F763E33"/>
    <w:rsid w:val="0F8F7677"/>
    <w:rsid w:val="0F9E4160"/>
    <w:rsid w:val="0FA98F40"/>
    <w:rsid w:val="0FC78302"/>
    <w:rsid w:val="0FD229D7"/>
    <w:rsid w:val="0FD7B627"/>
    <w:rsid w:val="0FE381AE"/>
    <w:rsid w:val="0FED2A76"/>
    <w:rsid w:val="1076B0DE"/>
    <w:rsid w:val="10847D2E"/>
    <w:rsid w:val="108E5D79"/>
    <w:rsid w:val="10BDD227"/>
    <w:rsid w:val="10D15B2F"/>
    <w:rsid w:val="111C1B29"/>
    <w:rsid w:val="111CFB1C"/>
    <w:rsid w:val="115B15A6"/>
    <w:rsid w:val="11C7B6CE"/>
    <w:rsid w:val="11F09370"/>
    <w:rsid w:val="11FE1F0D"/>
    <w:rsid w:val="127687EE"/>
    <w:rsid w:val="12819554"/>
    <w:rsid w:val="1283535E"/>
    <w:rsid w:val="12940B42"/>
    <w:rsid w:val="12B3DFB2"/>
    <w:rsid w:val="12BB4475"/>
    <w:rsid w:val="12DD1B8C"/>
    <w:rsid w:val="12E87BE1"/>
    <w:rsid w:val="130916BB"/>
    <w:rsid w:val="130C0E73"/>
    <w:rsid w:val="130ECA65"/>
    <w:rsid w:val="131B2270"/>
    <w:rsid w:val="1324E7D0"/>
    <w:rsid w:val="136C446E"/>
    <w:rsid w:val="137202D4"/>
    <w:rsid w:val="1416533C"/>
    <w:rsid w:val="14166A6D"/>
    <w:rsid w:val="14464051"/>
    <w:rsid w:val="147CE9C1"/>
    <w:rsid w:val="14835211"/>
    <w:rsid w:val="14882543"/>
    <w:rsid w:val="1491732C"/>
    <w:rsid w:val="14A0832C"/>
    <w:rsid w:val="14D7FCC5"/>
    <w:rsid w:val="14FACC7D"/>
    <w:rsid w:val="150E1885"/>
    <w:rsid w:val="1529ED5D"/>
    <w:rsid w:val="15CC09B0"/>
    <w:rsid w:val="15D0756C"/>
    <w:rsid w:val="15D9D42A"/>
    <w:rsid w:val="15F19376"/>
    <w:rsid w:val="1601CEE6"/>
    <w:rsid w:val="1643F8B6"/>
    <w:rsid w:val="1646F7AB"/>
    <w:rsid w:val="164C6DDB"/>
    <w:rsid w:val="165E80B4"/>
    <w:rsid w:val="168FDEEC"/>
    <w:rsid w:val="16940A1D"/>
    <w:rsid w:val="16CE10CA"/>
    <w:rsid w:val="16D2CCD3"/>
    <w:rsid w:val="16D48235"/>
    <w:rsid w:val="16F23A19"/>
    <w:rsid w:val="17296D8F"/>
    <w:rsid w:val="17322CFF"/>
    <w:rsid w:val="17387B95"/>
    <w:rsid w:val="1747959F"/>
    <w:rsid w:val="1789462D"/>
    <w:rsid w:val="17AD5DEB"/>
    <w:rsid w:val="17E60F90"/>
    <w:rsid w:val="1803F280"/>
    <w:rsid w:val="1843ACD7"/>
    <w:rsid w:val="185766DA"/>
    <w:rsid w:val="185DC8F5"/>
    <w:rsid w:val="187AFC44"/>
    <w:rsid w:val="187ED096"/>
    <w:rsid w:val="18894CD7"/>
    <w:rsid w:val="18973115"/>
    <w:rsid w:val="18A10634"/>
    <w:rsid w:val="18B33845"/>
    <w:rsid w:val="18B338D0"/>
    <w:rsid w:val="18D44BF6"/>
    <w:rsid w:val="191174EC"/>
    <w:rsid w:val="19553CEB"/>
    <w:rsid w:val="1996E6F5"/>
    <w:rsid w:val="199DB965"/>
    <w:rsid w:val="19D7DCAB"/>
    <w:rsid w:val="19ED0335"/>
    <w:rsid w:val="19F2D561"/>
    <w:rsid w:val="1A08D080"/>
    <w:rsid w:val="1A0C7022"/>
    <w:rsid w:val="1A1215F3"/>
    <w:rsid w:val="1A14C99B"/>
    <w:rsid w:val="1A20D547"/>
    <w:rsid w:val="1A9533A4"/>
    <w:rsid w:val="1AADFA35"/>
    <w:rsid w:val="1AB387EC"/>
    <w:rsid w:val="1AB58141"/>
    <w:rsid w:val="1ACD99DF"/>
    <w:rsid w:val="1AF1A88D"/>
    <w:rsid w:val="1B02FEFF"/>
    <w:rsid w:val="1B03D677"/>
    <w:rsid w:val="1B3EE563"/>
    <w:rsid w:val="1B6CE902"/>
    <w:rsid w:val="1B7DF91B"/>
    <w:rsid w:val="1B9E9736"/>
    <w:rsid w:val="1BB1676F"/>
    <w:rsid w:val="1BD3479F"/>
    <w:rsid w:val="1BD39BDC"/>
    <w:rsid w:val="1BD793E9"/>
    <w:rsid w:val="1BF22920"/>
    <w:rsid w:val="1C3E0D8B"/>
    <w:rsid w:val="1C7BAD44"/>
    <w:rsid w:val="1C8881BB"/>
    <w:rsid w:val="1CB8F18E"/>
    <w:rsid w:val="1CBABA7E"/>
    <w:rsid w:val="1CF7276C"/>
    <w:rsid w:val="1D0B14C7"/>
    <w:rsid w:val="1D155375"/>
    <w:rsid w:val="1D232826"/>
    <w:rsid w:val="1D38185C"/>
    <w:rsid w:val="1D3D851F"/>
    <w:rsid w:val="1D4DB93F"/>
    <w:rsid w:val="1D545014"/>
    <w:rsid w:val="1D6846B3"/>
    <w:rsid w:val="1D803066"/>
    <w:rsid w:val="1D8E4D5D"/>
    <w:rsid w:val="1DDE6DFD"/>
    <w:rsid w:val="1E3A4492"/>
    <w:rsid w:val="1E7AE0D7"/>
    <w:rsid w:val="1E94B6F6"/>
    <w:rsid w:val="1EABB751"/>
    <w:rsid w:val="1EB24C4B"/>
    <w:rsid w:val="1EBFB621"/>
    <w:rsid w:val="1EC70889"/>
    <w:rsid w:val="1EC79566"/>
    <w:rsid w:val="1EE2EEA1"/>
    <w:rsid w:val="1F154E20"/>
    <w:rsid w:val="1F44ED41"/>
    <w:rsid w:val="1F4A9078"/>
    <w:rsid w:val="1F50B8FE"/>
    <w:rsid w:val="1F5CB6B2"/>
    <w:rsid w:val="1F60932F"/>
    <w:rsid w:val="1F64BFCF"/>
    <w:rsid w:val="1F71A609"/>
    <w:rsid w:val="1FC11C19"/>
    <w:rsid w:val="1FC773C7"/>
    <w:rsid w:val="1FDE5A65"/>
    <w:rsid w:val="2022D3A1"/>
    <w:rsid w:val="2073AAA5"/>
    <w:rsid w:val="207F282C"/>
    <w:rsid w:val="209611B6"/>
    <w:rsid w:val="20C0105B"/>
    <w:rsid w:val="20D05D08"/>
    <w:rsid w:val="20DE55EC"/>
    <w:rsid w:val="212C5D65"/>
    <w:rsid w:val="21366CBF"/>
    <w:rsid w:val="2145B287"/>
    <w:rsid w:val="21A93BFC"/>
    <w:rsid w:val="21BEE20D"/>
    <w:rsid w:val="21BF2E99"/>
    <w:rsid w:val="21D340C4"/>
    <w:rsid w:val="21E44A44"/>
    <w:rsid w:val="21F08DFE"/>
    <w:rsid w:val="2246D0A0"/>
    <w:rsid w:val="2251E966"/>
    <w:rsid w:val="225FEA3C"/>
    <w:rsid w:val="2280439D"/>
    <w:rsid w:val="22876939"/>
    <w:rsid w:val="229AF758"/>
    <w:rsid w:val="22EC79BE"/>
    <w:rsid w:val="23059F28"/>
    <w:rsid w:val="234A0FD1"/>
    <w:rsid w:val="235ED905"/>
    <w:rsid w:val="23CFD7BA"/>
    <w:rsid w:val="23ED75B8"/>
    <w:rsid w:val="23F7048A"/>
    <w:rsid w:val="24336CD3"/>
    <w:rsid w:val="2445B5AA"/>
    <w:rsid w:val="246DF693"/>
    <w:rsid w:val="24A03389"/>
    <w:rsid w:val="24A20824"/>
    <w:rsid w:val="24A7481D"/>
    <w:rsid w:val="24B348DF"/>
    <w:rsid w:val="24C712F0"/>
    <w:rsid w:val="24D24DAD"/>
    <w:rsid w:val="251B6C0C"/>
    <w:rsid w:val="2533B98E"/>
    <w:rsid w:val="253B2690"/>
    <w:rsid w:val="2578CA8B"/>
    <w:rsid w:val="25913786"/>
    <w:rsid w:val="25B35DA0"/>
    <w:rsid w:val="25C7FFE2"/>
    <w:rsid w:val="25C99A42"/>
    <w:rsid w:val="260D9F5E"/>
    <w:rsid w:val="2612DE00"/>
    <w:rsid w:val="26246D7F"/>
    <w:rsid w:val="26290CE3"/>
    <w:rsid w:val="26405C81"/>
    <w:rsid w:val="26408F7C"/>
    <w:rsid w:val="264228AE"/>
    <w:rsid w:val="265B6C27"/>
    <w:rsid w:val="2670D482"/>
    <w:rsid w:val="268D0D2A"/>
    <w:rsid w:val="269CDA19"/>
    <w:rsid w:val="26A88530"/>
    <w:rsid w:val="26A92369"/>
    <w:rsid w:val="26CD78DC"/>
    <w:rsid w:val="26FF8ABD"/>
    <w:rsid w:val="26FF8F56"/>
    <w:rsid w:val="270BA490"/>
    <w:rsid w:val="2728BDA7"/>
    <w:rsid w:val="2749DBC4"/>
    <w:rsid w:val="2786963B"/>
    <w:rsid w:val="27BAC489"/>
    <w:rsid w:val="27EF3DC4"/>
    <w:rsid w:val="280EC78C"/>
    <w:rsid w:val="2826FDD6"/>
    <w:rsid w:val="282FA24C"/>
    <w:rsid w:val="28507886"/>
    <w:rsid w:val="287F8B48"/>
    <w:rsid w:val="2889B72A"/>
    <w:rsid w:val="288A596E"/>
    <w:rsid w:val="288AF295"/>
    <w:rsid w:val="28A503E4"/>
    <w:rsid w:val="28D24CFB"/>
    <w:rsid w:val="28D3FCBE"/>
    <w:rsid w:val="28EC5EE5"/>
    <w:rsid w:val="28F0B90C"/>
    <w:rsid w:val="28F9AC69"/>
    <w:rsid w:val="29118E0B"/>
    <w:rsid w:val="29214B93"/>
    <w:rsid w:val="29248D09"/>
    <w:rsid w:val="294EE1E2"/>
    <w:rsid w:val="29572E1F"/>
    <w:rsid w:val="298946C7"/>
    <w:rsid w:val="29A6E017"/>
    <w:rsid w:val="29BB8FCD"/>
    <w:rsid w:val="29BC0331"/>
    <w:rsid w:val="29C56205"/>
    <w:rsid w:val="29C8232D"/>
    <w:rsid w:val="2A0104B8"/>
    <w:rsid w:val="2A1BE077"/>
    <w:rsid w:val="2A1DBE9B"/>
    <w:rsid w:val="2A1FBAEC"/>
    <w:rsid w:val="2A26E01A"/>
    <w:rsid w:val="2A5546FB"/>
    <w:rsid w:val="2A882F46"/>
    <w:rsid w:val="2A8A1437"/>
    <w:rsid w:val="2AB31A49"/>
    <w:rsid w:val="2AB8E2E9"/>
    <w:rsid w:val="2ABA62A2"/>
    <w:rsid w:val="2AC10017"/>
    <w:rsid w:val="2ACE7AD6"/>
    <w:rsid w:val="2ADFB701"/>
    <w:rsid w:val="2AE0C984"/>
    <w:rsid w:val="2AF662EA"/>
    <w:rsid w:val="2B01A297"/>
    <w:rsid w:val="2B2EC9B2"/>
    <w:rsid w:val="2B60C6AB"/>
    <w:rsid w:val="2B6812D3"/>
    <w:rsid w:val="2B81BF8B"/>
    <w:rsid w:val="2B8851D6"/>
    <w:rsid w:val="2BC06635"/>
    <w:rsid w:val="2BD08C17"/>
    <w:rsid w:val="2BDE843F"/>
    <w:rsid w:val="2BFABCF5"/>
    <w:rsid w:val="2C3320F5"/>
    <w:rsid w:val="2C37209C"/>
    <w:rsid w:val="2C4CEC2D"/>
    <w:rsid w:val="2C4E4678"/>
    <w:rsid w:val="2C553E03"/>
    <w:rsid w:val="2C56A5FD"/>
    <w:rsid w:val="2C5FE723"/>
    <w:rsid w:val="2CB3B9D0"/>
    <w:rsid w:val="2CC4B2DE"/>
    <w:rsid w:val="2CC5BEB9"/>
    <w:rsid w:val="2CD44A7F"/>
    <w:rsid w:val="2CE694BC"/>
    <w:rsid w:val="2CED9109"/>
    <w:rsid w:val="2D11F2D7"/>
    <w:rsid w:val="2D2E5CE7"/>
    <w:rsid w:val="2D46FFAF"/>
    <w:rsid w:val="2D9E94AC"/>
    <w:rsid w:val="2DAE71C4"/>
    <w:rsid w:val="2DAED184"/>
    <w:rsid w:val="2DC4DEA4"/>
    <w:rsid w:val="2E327904"/>
    <w:rsid w:val="2E974CB5"/>
    <w:rsid w:val="2EBCEEBB"/>
    <w:rsid w:val="2EED1B6A"/>
    <w:rsid w:val="2EFED48F"/>
    <w:rsid w:val="2F0ED35D"/>
    <w:rsid w:val="2F196C6E"/>
    <w:rsid w:val="2F2170E7"/>
    <w:rsid w:val="2F2F40C8"/>
    <w:rsid w:val="2F317AE1"/>
    <w:rsid w:val="2F4E9377"/>
    <w:rsid w:val="2F7029DC"/>
    <w:rsid w:val="2F90DD0D"/>
    <w:rsid w:val="2F9B8F7C"/>
    <w:rsid w:val="2FB4AB24"/>
    <w:rsid w:val="2FCFFA93"/>
    <w:rsid w:val="2FD1371D"/>
    <w:rsid w:val="2FE049E6"/>
    <w:rsid w:val="2FFDAF5F"/>
    <w:rsid w:val="300B1C4E"/>
    <w:rsid w:val="300E2BDC"/>
    <w:rsid w:val="304A26DF"/>
    <w:rsid w:val="304C4301"/>
    <w:rsid w:val="3099521D"/>
    <w:rsid w:val="30B0A9A4"/>
    <w:rsid w:val="30B53CCF"/>
    <w:rsid w:val="30ED2B40"/>
    <w:rsid w:val="30F343AE"/>
    <w:rsid w:val="310E9CCD"/>
    <w:rsid w:val="311749E0"/>
    <w:rsid w:val="312BFA02"/>
    <w:rsid w:val="31560A30"/>
    <w:rsid w:val="31796618"/>
    <w:rsid w:val="317E437A"/>
    <w:rsid w:val="318940D1"/>
    <w:rsid w:val="31CF959A"/>
    <w:rsid w:val="31D6869E"/>
    <w:rsid w:val="31D75E67"/>
    <w:rsid w:val="31E72CFB"/>
    <w:rsid w:val="31EBAA01"/>
    <w:rsid w:val="31FC459F"/>
    <w:rsid w:val="32224DEE"/>
    <w:rsid w:val="322F18CF"/>
    <w:rsid w:val="32321170"/>
    <w:rsid w:val="324F6344"/>
    <w:rsid w:val="32984BAA"/>
    <w:rsid w:val="32C1EF2D"/>
    <w:rsid w:val="32CD46F9"/>
    <w:rsid w:val="331086E7"/>
    <w:rsid w:val="332DAB2A"/>
    <w:rsid w:val="33440465"/>
    <w:rsid w:val="334A52CD"/>
    <w:rsid w:val="33561598"/>
    <w:rsid w:val="3357E27F"/>
    <w:rsid w:val="3364FEE9"/>
    <w:rsid w:val="33925F25"/>
    <w:rsid w:val="33C6C2CF"/>
    <w:rsid w:val="33D39010"/>
    <w:rsid w:val="34008073"/>
    <w:rsid w:val="341E9F0D"/>
    <w:rsid w:val="3477DDAA"/>
    <w:rsid w:val="3479D5CD"/>
    <w:rsid w:val="349F8DFB"/>
    <w:rsid w:val="34BBC341"/>
    <w:rsid w:val="34CF2A49"/>
    <w:rsid w:val="34D20A69"/>
    <w:rsid w:val="34F4AAAE"/>
    <w:rsid w:val="350D7BCF"/>
    <w:rsid w:val="3554FCA4"/>
    <w:rsid w:val="355BF3F2"/>
    <w:rsid w:val="358BA34A"/>
    <w:rsid w:val="3590BB16"/>
    <w:rsid w:val="35A9539B"/>
    <w:rsid w:val="35CF4342"/>
    <w:rsid w:val="3608C6D7"/>
    <w:rsid w:val="369BEE9F"/>
    <w:rsid w:val="36AA6AE2"/>
    <w:rsid w:val="36C0066F"/>
    <w:rsid w:val="36C5651C"/>
    <w:rsid w:val="36ED686E"/>
    <w:rsid w:val="370289F2"/>
    <w:rsid w:val="37254AD4"/>
    <w:rsid w:val="3735EC17"/>
    <w:rsid w:val="3736A0F7"/>
    <w:rsid w:val="373A7EE3"/>
    <w:rsid w:val="37438E89"/>
    <w:rsid w:val="3743E112"/>
    <w:rsid w:val="37510C7F"/>
    <w:rsid w:val="3759349A"/>
    <w:rsid w:val="3779FADB"/>
    <w:rsid w:val="377C9DBF"/>
    <w:rsid w:val="378C2A3B"/>
    <w:rsid w:val="378CD164"/>
    <w:rsid w:val="378E5368"/>
    <w:rsid w:val="37DD2AA1"/>
    <w:rsid w:val="37FD7B16"/>
    <w:rsid w:val="3809887D"/>
    <w:rsid w:val="381027CD"/>
    <w:rsid w:val="388E10B6"/>
    <w:rsid w:val="38CA1E78"/>
    <w:rsid w:val="38F01AAF"/>
    <w:rsid w:val="38F80814"/>
    <w:rsid w:val="39328201"/>
    <w:rsid w:val="393320B2"/>
    <w:rsid w:val="3941E4DC"/>
    <w:rsid w:val="39807628"/>
    <w:rsid w:val="398E4C68"/>
    <w:rsid w:val="399957E7"/>
    <w:rsid w:val="39A80C38"/>
    <w:rsid w:val="39AA9ED7"/>
    <w:rsid w:val="39AF05EB"/>
    <w:rsid w:val="3A21D62A"/>
    <w:rsid w:val="3A2970BD"/>
    <w:rsid w:val="3A5F146D"/>
    <w:rsid w:val="3A630970"/>
    <w:rsid w:val="3A9B664E"/>
    <w:rsid w:val="3AA47033"/>
    <w:rsid w:val="3ADAA57C"/>
    <w:rsid w:val="3AE61136"/>
    <w:rsid w:val="3AF7EC0E"/>
    <w:rsid w:val="3B18BBC9"/>
    <w:rsid w:val="3B2C4C23"/>
    <w:rsid w:val="3B321B80"/>
    <w:rsid w:val="3B6DC2CD"/>
    <w:rsid w:val="3B95606F"/>
    <w:rsid w:val="3B98A0FD"/>
    <w:rsid w:val="3BD9A763"/>
    <w:rsid w:val="3BFF8D85"/>
    <w:rsid w:val="3C169125"/>
    <w:rsid w:val="3C3F1B9F"/>
    <w:rsid w:val="3C45CEEE"/>
    <w:rsid w:val="3C4C4758"/>
    <w:rsid w:val="3C530315"/>
    <w:rsid w:val="3C55A97C"/>
    <w:rsid w:val="3C6501BA"/>
    <w:rsid w:val="3CD449F0"/>
    <w:rsid w:val="3CFDB6C0"/>
    <w:rsid w:val="3D3A2D17"/>
    <w:rsid w:val="3D47B14F"/>
    <w:rsid w:val="3D7C076E"/>
    <w:rsid w:val="3D8A55E0"/>
    <w:rsid w:val="3DDA1ED6"/>
    <w:rsid w:val="3DF871D1"/>
    <w:rsid w:val="3E239B9B"/>
    <w:rsid w:val="3E39C643"/>
    <w:rsid w:val="3E81F4BC"/>
    <w:rsid w:val="3E97AF4A"/>
    <w:rsid w:val="3EAFC7BB"/>
    <w:rsid w:val="3EB0C3DA"/>
    <w:rsid w:val="3EBACC45"/>
    <w:rsid w:val="3ED390AA"/>
    <w:rsid w:val="3ED6D8ED"/>
    <w:rsid w:val="3EE32EE2"/>
    <w:rsid w:val="3EE9B37A"/>
    <w:rsid w:val="3F0767C2"/>
    <w:rsid w:val="3F09869C"/>
    <w:rsid w:val="3F1B9F2F"/>
    <w:rsid w:val="3F3200E2"/>
    <w:rsid w:val="3F6F247C"/>
    <w:rsid w:val="3F9E3FA4"/>
    <w:rsid w:val="3FBFEF97"/>
    <w:rsid w:val="400F5C70"/>
    <w:rsid w:val="409A32CC"/>
    <w:rsid w:val="409D8325"/>
    <w:rsid w:val="40AD8580"/>
    <w:rsid w:val="40D19AFB"/>
    <w:rsid w:val="40D98A43"/>
    <w:rsid w:val="40E9E3CC"/>
    <w:rsid w:val="40F43036"/>
    <w:rsid w:val="41062163"/>
    <w:rsid w:val="4131072A"/>
    <w:rsid w:val="415A98DD"/>
    <w:rsid w:val="41785BB0"/>
    <w:rsid w:val="41ACD382"/>
    <w:rsid w:val="41B02B94"/>
    <w:rsid w:val="41E0BFE4"/>
    <w:rsid w:val="420C7048"/>
    <w:rsid w:val="42221B5E"/>
    <w:rsid w:val="42243DB2"/>
    <w:rsid w:val="4263BBFA"/>
    <w:rsid w:val="42666839"/>
    <w:rsid w:val="42944AF8"/>
    <w:rsid w:val="429FD427"/>
    <w:rsid w:val="42A025BE"/>
    <w:rsid w:val="42A44589"/>
    <w:rsid w:val="42A9F1D3"/>
    <w:rsid w:val="42BDE3E3"/>
    <w:rsid w:val="42BDF21A"/>
    <w:rsid w:val="42D20260"/>
    <w:rsid w:val="42D4033A"/>
    <w:rsid w:val="430CF25F"/>
    <w:rsid w:val="4323422F"/>
    <w:rsid w:val="43295E09"/>
    <w:rsid w:val="4348E7D0"/>
    <w:rsid w:val="43536171"/>
    <w:rsid w:val="43591B24"/>
    <w:rsid w:val="436B7BE0"/>
    <w:rsid w:val="436FFD03"/>
    <w:rsid w:val="439B92BC"/>
    <w:rsid w:val="43C5888F"/>
    <w:rsid w:val="43FB5FFD"/>
    <w:rsid w:val="44114831"/>
    <w:rsid w:val="442DE4E6"/>
    <w:rsid w:val="444F3E3D"/>
    <w:rsid w:val="4461900D"/>
    <w:rsid w:val="449DA899"/>
    <w:rsid w:val="44B8522E"/>
    <w:rsid w:val="44BFCBD8"/>
    <w:rsid w:val="44F38C9E"/>
    <w:rsid w:val="45040372"/>
    <w:rsid w:val="4525240C"/>
    <w:rsid w:val="4528184A"/>
    <w:rsid w:val="45290D89"/>
    <w:rsid w:val="453A1968"/>
    <w:rsid w:val="453DA6D2"/>
    <w:rsid w:val="45407FD1"/>
    <w:rsid w:val="45508202"/>
    <w:rsid w:val="455362C2"/>
    <w:rsid w:val="45723752"/>
    <w:rsid w:val="4573C22C"/>
    <w:rsid w:val="4583CA7A"/>
    <w:rsid w:val="458AB2DA"/>
    <w:rsid w:val="45DF8581"/>
    <w:rsid w:val="460E245D"/>
    <w:rsid w:val="4615D357"/>
    <w:rsid w:val="461E42BA"/>
    <w:rsid w:val="46217E97"/>
    <w:rsid w:val="465E4DEB"/>
    <w:rsid w:val="466A83FE"/>
    <w:rsid w:val="4685637B"/>
    <w:rsid w:val="4689043C"/>
    <w:rsid w:val="468AA518"/>
    <w:rsid w:val="468D5873"/>
    <w:rsid w:val="46922269"/>
    <w:rsid w:val="46AD9383"/>
    <w:rsid w:val="46EE3FC6"/>
    <w:rsid w:val="46F2D279"/>
    <w:rsid w:val="470FDC76"/>
    <w:rsid w:val="47597D92"/>
    <w:rsid w:val="476354EA"/>
    <w:rsid w:val="476FA40C"/>
    <w:rsid w:val="47870689"/>
    <w:rsid w:val="47FA3746"/>
    <w:rsid w:val="48378A31"/>
    <w:rsid w:val="485EED71"/>
    <w:rsid w:val="486B7DFD"/>
    <w:rsid w:val="48765D28"/>
    <w:rsid w:val="488092B4"/>
    <w:rsid w:val="48AD8009"/>
    <w:rsid w:val="48C019A0"/>
    <w:rsid w:val="48D9FEAF"/>
    <w:rsid w:val="48FF37F7"/>
    <w:rsid w:val="491A29D9"/>
    <w:rsid w:val="4946D67B"/>
    <w:rsid w:val="495DB965"/>
    <w:rsid w:val="496121DA"/>
    <w:rsid w:val="4967A0DD"/>
    <w:rsid w:val="496B4524"/>
    <w:rsid w:val="4988B8A5"/>
    <w:rsid w:val="49931E73"/>
    <w:rsid w:val="49AFF0C1"/>
    <w:rsid w:val="49DF2331"/>
    <w:rsid w:val="4A01AF42"/>
    <w:rsid w:val="4A01E46C"/>
    <w:rsid w:val="4A3DC3F4"/>
    <w:rsid w:val="4A4BB452"/>
    <w:rsid w:val="4A583C04"/>
    <w:rsid w:val="4A62753D"/>
    <w:rsid w:val="4A736345"/>
    <w:rsid w:val="4AA6BC31"/>
    <w:rsid w:val="4AEE126C"/>
    <w:rsid w:val="4AF040C9"/>
    <w:rsid w:val="4AF25F09"/>
    <w:rsid w:val="4B07ADB2"/>
    <w:rsid w:val="4B33B7B8"/>
    <w:rsid w:val="4BB5ADFE"/>
    <w:rsid w:val="4BD90C63"/>
    <w:rsid w:val="4C41056B"/>
    <w:rsid w:val="4C764D63"/>
    <w:rsid w:val="4C9C9692"/>
    <w:rsid w:val="4CEBA32E"/>
    <w:rsid w:val="4D07CADC"/>
    <w:rsid w:val="4D18C8B1"/>
    <w:rsid w:val="4D4AE252"/>
    <w:rsid w:val="4D59D806"/>
    <w:rsid w:val="4D774441"/>
    <w:rsid w:val="4D84BC55"/>
    <w:rsid w:val="4D9FC4E6"/>
    <w:rsid w:val="4DAC4E4D"/>
    <w:rsid w:val="4DC1F98A"/>
    <w:rsid w:val="4E36117C"/>
    <w:rsid w:val="4E39839B"/>
    <w:rsid w:val="4E3E503C"/>
    <w:rsid w:val="4E504723"/>
    <w:rsid w:val="4E9A23E1"/>
    <w:rsid w:val="4EAFD2BA"/>
    <w:rsid w:val="4EF1D20E"/>
    <w:rsid w:val="4F0DE9D7"/>
    <w:rsid w:val="4F788F7C"/>
    <w:rsid w:val="4F842030"/>
    <w:rsid w:val="4F975D0B"/>
    <w:rsid w:val="4FB22599"/>
    <w:rsid w:val="4FE4F76A"/>
    <w:rsid w:val="4FEE2363"/>
    <w:rsid w:val="4FF3A230"/>
    <w:rsid w:val="50621CF7"/>
    <w:rsid w:val="506EDCFF"/>
    <w:rsid w:val="509B7F1D"/>
    <w:rsid w:val="50A312EF"/>
    <w:rsid w:val="50AE22DB"/>
    <w:rsid w:val="50B609D4"/>
    <w:rsid w:val="5103F485"/>
    <w:rsid w:val="511347B7"/>
    <w:rsid w:val="5143CF5F"/>
    <w:rsid w:val="515B3DF7"/>
    <w:rsid w:val="516F785E"/>
    <w:rsid w:val="517837B0"/>
    <w:rsid w:val="518FD966"/>
    <w:rsid w:val="519AE2A9"/>
    <w:rsid w:val="51D87978"/>
    <w:rsid w:val="51D98C6E"/>
    <w:rsid w:val="51DB81B8"/>
    <w:rsid w:val="5231D26C"/>
    <w:rsid w:val="526A35BA"/>
    <w:rsid w:val="527735F7"/>
    <w:rsid w:val="528A721F"/>
    <w:rsid w:val="52985CD9"/>
    <w:rsid w:val="52CA7CD9"/>
    <w:rsid w:val="52CFC840"/>
    <w:rsid w:val="53087F99"/>
    <w:rsid w:val="530B6EE6"/>
    <w:rsid w:val="5318FE98"/>
    <w:rsid w:val="5320C373"/>
    <w:rsid w:val="532680CA"/>
    <w:rsid w:val="53672984"/>
    <w:rsid w:val="53718F2A"/>
    <w:rsid w:val="5386F959"/>
    <w:rsid w:val="538C3234"/>
    <w:rsid w:val="539DDD7F"/>
    <w:rsid w:val="53BA0A16"/>
    <w:rsid w:val="53C1BFF8"/>
    <w:rsid w:val="53E3FF3B"/>
    <w:rsid w:val="53FB11A3"/>
    <w:rsid w:val="53FBDD37"/>
    <w:rsid w:val="5416FDF7"/>
    <w:rsid w:val="5425AFC9"/>
    <w:rsid w:val="5442B2DF"/>
    <w:rsid w:val="5470ADC1"/>
    <w:rsid w:val="5480CF87"/>
    <w:rsid w:val="54AA5619"/>
    <w:rsid w:val="54AB510D"/>
    <w:rsid w:val="54B0AFCD"/>
    <w:rsid w:val="54C1D3FC"/>
    <w:rsid w:val="54F9390C"/>
    <w:rsid w:val="5553CF47"/>
    <w:rsid w:val="5563D8A3"/>
    <w:rsid w:val="556D27D0"/>
    <w:rsid w:val="556E4E17"/>
    <w:rsid w:val="556F62D5"/>
    <w:rsid w:val="558EDDD8"/>
    <w:rsid w:val="55C538F9"/>
    <w:rsid w:val="55E54A25"/>
    <w:rsid w:val="55E74E00"/>
    <w:rsid w:val="55EE3C53"/>
    <w:rsid w:val="560BC630"/>
    <w:rsid w:val="5623827A"/>
    <w:rsid w:val="56623FE9"/>
    <w:rsid w:val="568790E2"/>
    <w:rsid w:val="56AC2A63"/>
    <w:rsid w:val="56F8CE15"/>
    <w:rsid w:val="5702AE26"/>
    <w:rsid w:val="57229786"/>
    <w:rsid w:val="572AAE39"/>
    <w:rsid w:val="576B844A"/>
    <w:rsid w:val="576D0CB5"/>
    <w:rsid w:val="57A3A4BF"/>
    <w:rsid w:val="57AB2D34"/>
    <w:rsid w:val="57C45ABB"/>
    <w:rsid w:val="57CF2415"/>
    <w:rsid w:val="57DB0217"/>
    <w:rsid w:val="58116F2E"/>
    <w:rsid w:val="581C088A"/>
    <w:rsid w:val="584C99FC"/>
    <w:rsid w:val="5864E373"/>
    <w:rsid w:val="58AD837A"/>
    <w:rsid w:val="58B9BE4F"/>
    <w:rsid w:val="58BDE85F"/>
    <w:rsid w:val="58EB0696"/>
    <w:rsid w:val="590178EB"/>
    <w:rsid w:val="592BF2D7"/>
    <w:rsid w:val="5941FF43"/>
    <w:rsid w:val="59596D76"/>
    <w:rsid w:val="595B05B3"/>
    <w:rsid w:val="596B2A59"/>
    <w:rsid w:val="59A66768"/>
    <w:rsid w:val="59E227C7"/>
    <w:rsid w:val="59F1B4D5"/>
    <w:rsid w:val="59F370E4"/>
    <w:rsid w:val="59F879E6"/>
    <w:rsid w:val="5A192AD8"/>
    <w:rsid w:val="5A345DD6"/>
    <w:rsid w:val="5A3A2F87"/>
    <w:rsid w:val="5A3D5769"/>
    <w:rsid w:val="5A41F89F"/>
    <w:rsid w:val="5A498083"/>
    <w:rsid w:val="5A58FAF4"/>
    <w:rsid w:val="5A84D42F"/>
    <w:rsid w:val="5A951CB9"/>
    <w:rsid w:val="5A9875D2"/>
    <w:rsid w:val="5AA027D4"/>
    <w:rsid w:val="5AAF81E4"/>
    <w:rsid w:val="5ABCBFEC"/>
    <w:rsid w:val="5AED77E2"/>
    <w:rsid w:val="5B41A4C1"/>
    <w:rsid w:val="5B8BE24E"/>
    <w:rsid w:val="5BA5BAE9"/>
    <w:rsid w:val="5BE0A1DC"/>
    <w:rsid w:val="5BEF0B6A"/>
    <w:rsid w:val="5BF805C7"/>
    <w:rsid w:val="5BFE1F5C"/>
    <w:rsid w:val="5C1FAE4D"/>
    <w:rsid w:val="5C30FD18"/>
    <w:rsid w:val="5C7FDC58"/>
    <w:rsid w:val="5C8866E6"/>
    <w:rsid w:val="5CD04F91"/>
    <w:rsid w:val="5CD99941"/>
    <w:rsid w:val="5CE3BF19"/>
    <w:rsid w:val="5CF0C474"/>
    <w:rsid w:val="5D0DF769"/>
    <w:rsid w:val="5D2A67B7"/>
    <w:rsid w:val="5D35837D"/>
    <w:rsid w:val="5D40A4E3"/>
    <w:rsid w:val="5D76F2B9"/>
    <w:rsid w:val="5DB3B292"/>
    <w:rsid w:val="5DBC1F04"/>
    <w:rsid w:val="5DD0ABB7"/>
    <w:rsid w:val="5E0779E7"/>
    <w:rsid w:val="5E31F7B8"/>
    <w:rsid w:val="5E4248DC"/>
    <w:rsid w:val="5E54AF4F"/>
    <w:rsid w:val="5E5EC788"/>
    <w:rsid w:val="5E8C7AEB"/>
    <w:rsid w:val="5E9A2B22"/>
    <w:rsid w:val="5EB18D17"/>
    <w:rsid w:val="5EC0480E"/>
    <w:rsid w:val="5EC9534A"/>
    <w:rsid w:val="5F0AB82D"/>
    <w:rsid w:val="5F21459C"/>
    <w:rsid w:val="5F2BFAF3"/>
    <w:rsid w:val="5F2E33D1"/>
    <w:rsid w:val="5F9554A6"/>
    <w:rsid w:val="5F98A495"/>
    <w:rsid w:val="5F9D081D"/>
    <w:rsid w:val="5FA68143"/>
    <w:rsid w:val="5FAC4C1D"/>
    <w:rsid w:val="5FC18A44"/>
    <w:rsid w:val="5FC98DA0"/>
    <w:rsid w:val="5FF1F61B"/>
    <w:rsid w:val="5FF23F6C"/>
    <w:rsid w:val="5FF8AA94"/>
    <w:rsid w:val="600234D3"/>
    <w:rsid w:val="600A542F"/>
    <w:rsid w:val="601B2562"/>
    <w:rsid w:val="60259C8E"/>
    <w:rsid w:val="605AE54F"/>
    <w:rsid w:val="6080CE6F"/>
    <w:rsid w:val="6093C1A6"/>
    <w:rsid w:val="60BC9702"/>
    <w:rsid w:val="60DCF4C7"/>
    <w:rsid w:val="60F91737"/>
    <w:rsid w:val="61110C8B"/>
    <w:rsid w:val="611FCCAC"/>
    <w:rsid w:val="615F0703"/>
    <w:rsid w:val="616861FC"/>
    <w:rsid w:val="61823752"/>
    <w:rsid w:val="618C87B8"/>
    <w:rsid w:val="61958131"/>
    <w:rsid w:val="619B6C2D"/>
    <w:rsid w:val="619D4261"/>
    <w:rsid w:val="61A3AB6C"/>
    <w:rsid w:val="61A3E931"/>
    <w:rsid w:val="61B88E57"/>
    <w:rsid w:val="61D29DCD"/>
    <w:rsid w:val="6219BEA2"/>
    <w:rsid w:val="621AA07D"/>
    <w:rsid w:val="62475F29"/>
    <w:rsid w:val="62533DBA"/>
    <w:rsid w:val="625B7F58"/>
    <w:rsid w:val="627FAD55"/>
    <w:rsid w:val="62C8F7EE"/>
    <w:rsid w:val="62C93340"/>
    <w:rsid w:val="62E06432"/>
    <w:rsid w:val="632D1736"/>
    <w:rsid w:val="637C7F13"/>
    <w:rsid w:val="63D558DF"/>
    <w:rsid w:val="6453AE60"/>
    <w:rsid w:val="649C9EC8"/>
    <w:rsid w:val="650C2495"/>
    <w:rsid w:val="6527B61D"/>
    <w:rsid w:val="653C074A"/>
    <w:rsid w:val="655879C1"/>
    <w:rsid w:val="6567B934"/>
    <w:rsid w:val="659F0668"/>
    <w:rsid w:val="65AF87F5"/>
    <w:rsid w:val="65C314A3"/>
    <w:rsid w:val="65D8BFBA"/>
    <w:rsid w:val="65E40D7A"/>
    <w:rsid w:val="660523C4"/>
    <w:rsid w:val="66058A5F"/>
    <w:rsid w:val="6613881A"/>
    <w:rsid w:val="666C7355"/>
    <w:rsid w:val="66779D75"/>
    <w:rsid w:val="66CD38E8"/>
    <w:rsid w:val="67034886"/>
    <w:rsid w:val="6713711D"/>
    <w:rsid w:val="67164FBB"/>
    <w:rsid w:val="672F69B1"/>
    <w:rsid w:val="67464253"/>
    <w:rsid w:val="6770E0EE"/>
    <w:rsid w:val="67786C1C"/>
    <w:rsid w:val="677A7AC8"/>
    <w:rsid w:val="677CAEAC"/>
    <w:rsid w:val="67929829"/>
    <w:rsid w:val="679B1A19"/>
    <w:rsid w:val="67AF587B"/>
    <w:rsid w:val="67BAF67C"/>
    <w:rsid w:val="67CB404C"/>
    <w:rsid w:val="67D5CB04"/>
    <w:rsid w:val="67D94459"/>
    <w:rsid w:val="680D7989"/>
    <w:rsid w:val="68331A60"/>
    <w:rsid w:val="6839CF51"/>
    <w:rsid w:val="686CE0BC"/>
    <w:rsid w:val="68753124"/>
    <w:rsid w:val="6876C4BB"/>
    <w:rsid w:val="6895468A"/>
    <w:rsid w:val="6897E93A"/>
    <w:rsid w:val="68AD81DD"/>
    <w:rsid w:val="68B9AB46"/>
    <w:rsid w:val="68B9E1D6"/>
    <w:rsid w:val="68D80B8A"/>
    <w:rsid w:val="69029952"/>
    <w:rsid w:val="6976D977"/>
    <w:rsid w:val="699A620B"/>
    <w:rsid w:val="69B4CD90"/>
    <w:rsid w:val="6A0980BE"/>
    <w:rsid w:val="6A374BEB"/>
    <w:rsid w:val="6A5E42AA"/>
    <w:rsid w:val="6A75557E"/>
    <w:rsid w:val="6A7F15EE"/>
    <w:rsid w:val="6A87690D"/>
    <w:rsid w:val="6AA7B6B3"/>
    <w:rsid w:val="6AABE6C7"/>
    <w:rsid w:val="6ABD5FCF"/>
    <w:rsid w:val="6AEED2E0"/>
    <w:rsid w:val="6AFBAA1B"/>
    <w:rsid w:val="6B0112AE"/>
    <w:rsid w:val="6B1C7209"/>
    <w:rsid w:val="6B4D1269"/>
    <w:rsid w:val="6B7E782F"/>
    <w:rsid w:val="6B862FD2"/>
    <w:rsid w:val="6B94AFF3"/>
    <w:rsid w:val="6C6B2395"/>
    <w:rsid w:val="6CADAF32"/>
    <w:rsid w:val="6CB7672C"/>
    <w:rsid w:val="6CE06347"/>
    <w:rsid w:val="6CE1C632"/>
    <w:rsid w:val="6CF08520"/>
    <w:rsid w:val="6D386F04"/>
    <w:rsid w:val="6D5006F1"/>
    <w:rsid w:val="6D6E2537"/>
    <w:rsid w:val="6D8B79E9"/>
    <w:rsid w:val="6DA64663"/>
    <w:rsid w:val="6DAED572"/>
    <w:rsid w:val="6DE0588D"/>
    <w:rsid w:val="6DEAF9FA"/>
    <w:rsid w:val="6E1E99FF"/>
    <w:rsid w:val="6E49B730"/>
    <w:rsid w:val="6E509155"/>
    <w:rsid w:val="6E76587F"/>
    <w:rsid w:val="6EF8931E"/>
    <w:rsid w:val="6F35038C"/>
    <w:rsid w:val="6F4B96A5"/>
    <w:rsid w:val="6F6261B0"/>
    <w:rsid w:val="6F7C28EE"/>
    <w:rsid w:val="6FA285E8"/>
    <w:rsid w:val="6FFD0CA7"/>
    <w:rsid w:val="701AE853"/>
    <w:rsid w:val="70271673"/>
    <w:rsid w:val="702CBAA2"/>
    <w:rsid w:val="702D5C4E"/>
    <w:rsid w:val="7059E0E3"/>
    <w:rsid w:val="70786FAA"/>
    <w:rsid w:val="7085CCBA"/>
    <w:rsid w:val="70A12F97"/>
    <w:rsid w:val="70B85DC9"/>
    <w:rsid w:val="70DA27A6"/>
    <w:rsid w:val="7107C0AA"/>
    <w:rsid w:val="710BDEF8"/>
    <w:rsid w:val="7132E353"/>
    <w:rsid w:val="718B6C94"/>
    <w:rsid w:val="718FB67D"/>
    <w:rsid w:val="71964B89"/>
    <w:rsid w:val="71A015D1"/>
    <w:rsid w:val="71AB0044"/>
    <w:rsid w:val="71C1BC6F"/>
    <w:rsid w:val="71CF5431"/>
    <w:rsid w:val="71F880D3"/>
    <w:rsid w:val="7219AEDD"/>
    <w:rsid w:val="7224C741"/>
    <w:rsid w:val="723F7BE0"/>
    <w:rsid w:val="729EE696"/>
    <w:rsid w:val="72AF2166"/>
    <w:rsid w:val="72B43512"/>
    <w:rsid w:val="72DB2DBD"/>
    <w:rsid w:val="72F90068"/>
    <w:rsid w:val="7301A2CF"/>
    <w:rsid w:val="730C297B"/>
    <w:rsid w:val="73205903"/>
    <w:rsid w:val="7346A598"/>
    <w:rsid w:val="735E1F40"/>
    <w:rsid w:val="73B99167"/>
    <w:rsid w:val="73C02D36"/>
    <w:rsid w:val="73CB57C8"/>
    <w:rsid w:val="73CBCE8F"/>
    <w:rsid w:val="73F4BA86"/>
    <w:rsid w:val="73F8693E"/>
    <w:rsid w:val="7411E273"/>
    <w:rsid w:val="741A53EA"/>
    <w:rsid w:val="7432F28E"/>
    <w:rsid w:val="74392FB5"/>
    <w:rsid w:val="743A6E06"/>
    <w:rsid w:val="745EF097"/>
    <w:rsid w:val="74D7B693"/>
    <w:rsid w:val="74FE92E8"/>
    <w:rsid w:val="751FC9C9"/>
    <w:rsid w:val="75401580"/>
    <w:rsid w:val="758D505E"/>
    <w:rsid w:val="75A0D4C1"/>
    <w:rsid w:val="75D629BD"/>
    <w:rsid w:val="75EAD600"/>
    <w:rsid w:val="764AA459"/>
    <w:rsid w:val="76754597"/>
    <w:rsid w:val="767B71A6"/>
    <w:rsid w:val="7684CA26"/>
    <w:rsid w:val="768B939A"/>
    <w:rsid w:val="76918079"/>
    <w:rsid w:val="769F61AE"/>
    <w:rsid w:val="76A3AD86"/>
    <w:rsid w:val="76B7D07B"/>
    <w:rsid w:val="76F26C75"/>
    <w:rsid w:val="7718904E"/>
    <w:rsid w:val="7723F7F9"/>
    <w:rsid w:val="775BB485"/>
    <w:rsid w:val="7791FD56"/>
    <w:rsid w:val="77976332"/>
    <w:rsid w:val="77F47A14"/>
    <w:rsid w:val="7825636B"/>
    <w:rsid w:val="785347A2"/>
    <w:rsid w:val="7871BFB0"/>
    <w:rsid w:val="787570ED"/>
    <w:rsid w:val="7877B642"/>
    <w:rsid w:val="788ED453"/>
    <w:rsid w:val="789B8021"/>
    <w:rsid w:val="78B75B90"/>
    <w:rsid w:val="78BC4B5E"/>
    <w:rsid w:val="78D398FA"/>
    <w:rsid w:val="792BD5C9"/>
    <w:rsid w:val="792DF1B8"/>
    <w:rsid w:val="7943BB19"/>
    <w:rsid w:val="7975F04A"/>
    <w:rsid w:val="798D1BC4"/>
    <w:rsid w:val="79E43635"/>
    <w:rsid w:val="79F9BDE4"/>
    <w:rsid w:val="7A18BD17"/>
    <w:rsid w:val="7A54ACB4"/>
    <w:rsid w:val="7AE908F4"/>
    <w:rsid w:val="7AF05830"/>
    <w:rsid w:val="7AF1EF89"/>
    <w:rsid w:val="7B22B647"/>
    <w:rsid w:val="7B2B627A"/>
    <w:rsid w:val="7B2D05A1"/>
    <w:rsid w:val="7B6D3FAF"/>
    <w:rsid w:val="7B91D415"/>
    <w:rsid w:val="7B9DD724"/>
    <w:rsid w:val="7BABAF39"/>
    <w:rsid w:val="7BAC16B8"/>
    <w:rsid w:val="7BDE4A46"/>
    <w:rsid w:val="7BE8FA15"/>
    <w:rsid w:val="7BFFE2EB"/>
    <w:rsid w:val="7C22BF20"/>
    <w:rsid w:val="7C662CF7"/>
    <w:rsid w:val="7C66D8B7"/>
    <w:rsid w:val="7C95C0D7"/>
    <w:rsid w:val="7CABFE61"/>
    <w:rsid w:val="7CBCAD11"/>
    <w:rsid w:val="7CC7B1F8"/>
    <w:rsid w:val="7CECFD57"/>
    <w:rsid w:val="7CF37987"/>
    <w:rsid w:val="7D2BB108"/>
    <w:rsid w:val="7D491CDC"/>
    <w:rsid w:val="7D4C9A90"/>
    <w:rsid w:val="7D7C5E5F"/>
    <w:rsid w:val="7D8051E9"/>
    <w:rsid w:val="7D8A0815"/>
    <w:rsid w:val="7D9A64BB"/>
    <w:rsid w:val="7DC2FA5B"/>
    <w:rsid w:val="7DCC75D3"/>
    <w:rsid w:val="7DDFD861"/>
    <w:rsid w:val="7DE5CE2E"/>
    <w:rsid w:val="7DEDAC5F"/>
    <w:rsid w:val="7E141450"/>
    <w:rsid w:val="7E1F89A0"/>
    <w:rsid w:val="7E24A936"/>
    <w:rsid w:val="7E25F17C"/>
    <w:rsid w:val="7E36ACEE"/>
    <w:rsid w:val="7E408887"/>
    <w:rsid w:val="7EA47FFA"/>
    <w:rsid w:val="7ED3544D"/>
    <w:rsid w:val="7EEE7B93"/>
    <w:rsid w:val="7EF2C34D"/>
    <w:rsid w:val="7EFA6EC9"/>
    <w:rsid w:val="7EFAC4E0"/>
    <w:rsid w:val="7F032E41"/>
    <w:rsid w:val="7F10E60E"/>
    <w:rsid w:val="7F115DF2"/>
    <w:rsid w:val="7F71DC0E"/>
    <w:rsid w:val="7FAA770B"/>
    <w:rsid w:val="7FC2A9F9"/>
    <w:rsid w:val="7FD27D4F"/>
    <w:rsid w:val="7FD28925"/>
    <w:rsid w:val="7FF065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AD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152F"/>
    <w:rPr>
      <w:color w:val="0000FF"/>
      <w:u w:val="single"/>
      <w:shd w:val="clear" w:color="auto" w:fill="auto"/>
    </w:rPr>
  </w:style>
  <w:style w:type="paragraph" w:styleId="ListBullet4">
    <w:name w:val="List Bullet 4"/>
    <w:basedOn w:val="Normal"/>
    <w:rsid w:val="00BD152F"/>
    <w:pPr>
      <w:numPr>
        <w:numId w:val="7"/>
      </w:numPr>
    </w:pPr>
    <w:rPr>
      <w:rFonts w:eastAsia="Times New Roman"/>
      <w:lang w:eastAsia="de-DE"/>
    </w:rPr>
  </w:style>
  <w:style w:type="paragraph" w:styleId="ListNumber">
    <w:name w:val="List Number"/>
    <w:basedOn w:val="Normal"/>
    <w:rsid w:val="00BD152F"/>
    <w:pPr>
      <w:tabs>
        <w:tab w:val="num" w:pos="360"/>
      </w:tabs>
      <w:ind w:left="360" w:hanging="360"/>
    </w:pPr>
    <w:rPr>
      <w:rFonts w:eastAsia="Times New Roman"/>
      <w:lang w:eastAsia="de-DE"/>
    </w:rPr>
  </w:style>
  <w:style w:type="paragraph" w:customStyle="1" w:styleId="ListBullet1">
    <w:name w:val="List Bullet 1"/>
    <w:basedOn w:val="Normal"/>
    <w:rsid w:val="00BD152F"/>
    <w:pPr>
      <w:numPr>
        <w:numId w:val="6"/>
      </w:numPr>
    </w:pPr>
    <w:rPr>
      <w:rFonts w:eastAsia="Times New Roman"/>
      <w:lang w:eastAsia="de-DE"/>
    </w:rPr>
  </w:style>
  <w:style w:type="paragraph" w:customStyle="1" w:styleId="ListDash">
    <w:name w:val="List Dash"/>
    <w:basedOn w:val="Normal"/>
    <w:rsid w:val="00BD152F"/>
    <w:pPr>
      <w:numPr>
        <w:numId w:val="8"/>
      </w:numPr>
    </w:pPr>
    <w:rPr>
      <w:rFonts w:eastAsia="Times New Roman"/>
      <w:lang w:eastAsia="de-DE"/>
    </w:rPr>
  </w:style>
  <w:style w:type="paragraph" w:customStyle="1" w:styleId="ListDash1">
    <w:name w:val="List Dash 1"/>
    <w:basedOn w:val="Normal"/>
    <w:rsid w:val="00BD152F"/>
    <w:pPr>
      <w:numPr>
        <w:numId w:val="9"/>
      </w:numPr>
    </w:pPr>
    <w:rPr>
      <w:rFonts w:eastAsia="Times New Roman"/>
      <w:lang w:eastAsia="de-DE"/>
    </w:rPr>
  </w:style>
  <w:style w:type="paragraph" w:customStyle="1" w:styleId="ListDash2">
    <w:name w:val="List Dash 2"/>
    <w:basedOn w:val="Normal"/>
    <w:rsid w:val="00BD152F"/>
    <w:pPr>
      <w:numPr>
        <w:numId w:val="10"/>
      </w:numPr>
    </w:pPr>
    <w:rPr>
      <w:rFonts w:eastAsia="Times New Roman"/>
      <w:lang w:eastAsia="de-DE"/>
    </w:rPr>
  </w:style>
  <w:style w:type="paragraph" w:customStyle="1" w:styleId="ListNumberLevel2">
    <w:name w:val="List Number (Level 2)"/>
    <w:basedOn w:val="Normal"/>
    <w:rsid w:val="00BD152F"/>
    <w:rPr>
      <w:rFonts w:eastAsia="Times New Roman"/>
      <w:lang w:eastAsia="de-DE"/>
    </w:rPr>
  </w:style>
  <w:style w:type="paragraph" w:customStyle="1" w:styleId="ListNumberLevel3">
    <w:name w:val="List Number (Level 3)"/>
    <w:basedOn w:val="Normal"/>
    <w:rsid w:val="00BD152F"/>
    <w:rPr>
      <w:rFonts w:eastAsia="Times New Roman"/>
      <w:lang w:eastAsia="de-DE"/>
    </w:rPr>
  </w:style>
  <w:style w:type="paragraph" w:customStyle="1" w:styleId="ListNumberLevel4">
    <w:name w:val="List Number (Level 4)"/>
    <w:basedOn w:val="Normal"/>
    <w:rsid w:val="00BD152F"/>
    <w:rPr>
      <w:rFonts w:eastAsia="Times New Roman"/>
      <w:lang w:eastAsia="de-DE"/>
    </w:rPr>
  </w:style>
  <w:style w:type="table" w:styleId="TableGrid">
    <w:name w:val="Table Grid"/>
    <w:aliases w:val="Document Table,CV1,Tabellengitternetz,Gena,Deloitte,HTG"/>
    <w:basedOn w:val="TableNormal"/>
    <w:uiPriority w:val="39"/>
    <w:rsid w:val="00BD152F"/>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BD152F"/>
    <w:pPr>
      <w:numPr>
        <w:numId w:val="11"/>
      </w:numPr>
    </w:pPr>
    <w:rPr>
      <w:rFonts w:eastAsia="Times New Roman"/>
      <w:lang w:eastAsia="en-GB"/>
    </w:rPr>
  </w:style>
  <w:style w:type="paragraph" w:styleId="ListBullet2">
    <w:name w:val="List Bullet 2"/>
    <w:basedOn w:val="Normal"/>
    <w:rsid w:val="00BD152F"/>
    <w:pPr>
      <w:numPr>
        <w:numId w:val="12"/>
      </w:numPr>
    </w:pPr>
    <w:rPr>
      <w:rFonts w:eastAsia="Times New Roman"/>
      <w:lang w:eastAsia="en-GB"/>
    </w:rPr>
  </w:style>
  <w:style w:type="paragraph" w:styleId="ListBullet3">
    <w:name w:val="List Bullet 3"/>
    <w:basedOn w:val="Normal"/>
    <w:rsid w:val="00BD152F"/>
    <w:pPr>
      <w:numPr>
        <w:numId w:val="13"/>
      </w:numPr>
    </w:pPr>
    <w:rPr>
      <w:rFonts w:eastAsia="Times New Roman"/>
      <w:lang w:eastAsia="en-GB"/>
    </w:rPr>
  </w:style>
  <w:style w:type="paragraph" w:styleId="ListNumber2">
    <w:name w:val="List Number 2"/>
    <w:basedOn w:val="Normal"/>
    <w:rsid w:val="00BD152F"/>
    <w:pPr>
      <w:numPr>
        <w:numId w:val="17"/>
      </w:numPr>
    </w:pPr>
    <w:rPr>
      <w:rFonts w:eastAsia="Times New Roman"/>
      <w:lang w:eastAsia="en-GB"/>
    </w:rPr>
  </w:style>
  <w:style w:type="paragraph" w:styleId="ListNumber3">
    <w:name w:val="List Number 3"/>
    <w:basedOn w:val="Normal"/>
    <w:rsid w:val="00BD152F"/>
    <w:pPr>
      <w:numPr>
        <w:numId w:val="18"/>
      </w:numPr>
    </w:pPr>
    <w:rPr>
      <w:rFonts w:eastAsia="Times New Roman"/>
      <w:lang w:eastAsia="en-GB"/>
    </w:rPr>
  </w:style>
  <w:style w:type="paragraph" w:styleId="ListNumber4">
    <w:name w:val="List Number 4"/>
    <w:basedOn w:val="Normal"/>
    <w:rsid w:val="00BD152F"/>
    <w:pPr>
      <w:numPr>
        <w:numId w:val="19"/>
      </w:numPr>
    </w:pPr>
    <w:rPr>
      <w:rFonts w:eastAsia="Times New Roman"/>
      <w:lang w:eastAsia="en-GB"/>
    </w:rPr>
  </w:style>
  <w:style w:type="paragraph" w:customStyle="1" w:styleId="ListDash3">
    <w:name w:val="List Dash 3"/>
    <w:basedOn w:val="Normal"/>
    <w:rsid w:val="00BD152F"/>
    <w:pPr>
      <w:numPr>
        <w:numId w:val="14"/>
      </w:numPr>
    </w:pPr>
    <w:rPr>
      <w:rFonts w:eastAsia="Times New Roman"/>
      <w:lang w:eastAsia="en-GB"/>
    </w:rPr>
  </w:style>
  <w:style w:type="paragraph" w:customStyle="1" w:styleId="ListDash4">
    <w:name w:val="List Dash 4"/>
    <w:basedOn w:val="Normal"/>
    <w:rsid w:val="00BD152F"/>
    <w:pPr>
      <w:numPr>
        <w:numId w:val="15"/>
      </w:numPr>
    </w:pPr>
    <w:rPr>
      <w:rFonts w:eastAsia="Times New Roman"/>
      <w:lang w:eastAsia="en-GB"/>
    </w:rPr>
  </w:style>
  <w:style w:type="paragraph" w:customStyle="1" w:styleId="ListNumber1">
    <w:name w:val="List Number 1"/>
    <w:basedOn w:val="Text1"/>
    <w:rsid w:val="00BD152F"/>
    <w:pPr>
      <w:numPr>
        <w:numId w:val="16"/>
      </w:numPr>
    </w:pPr>
    <w:rPr>
      <w:rFonts w:eastAsia="Times New Roman"/>
      <w:lang w:eastAsia="en-GB"/>
    </w:rPr>
  </w:style>
  <w:style w:type="paragraph" w:customStyle="1" w:styleId="ListNumber1Level2">
    <w:name w:val="List Number 1 (Level 2)"/>
    <w:basedOn w:val="Text1"/>
    <w:rsid w:val="00BD152F"/>
    <w:pPr>
      <w:numPr>
        <w:ilvl w:val="1"/>
        <w:numId w:val="16"/>
      </w:numPr>
    </w:pPr>
    <w:rPr>
      <w:rFonts w:eastAsia="Times New Roman"/>
      <w:lang w:eastAsia="en-GB"/>
    </w:rPr>
  </w:style>
  <w:style w:type="paragraph" w:customStyle="1" w:styleId="ListNumber2Level2">
    <w:name w:val="List Number 2 (Level 2)"/>
    <w:basedOn w:val="Text2"/>
    <w:rsid w:val="00BD152F"/>
    <w:pPr>
      <w:numPr>
        <w:ilvl w:val="1"/>
        <w:numId w:val="17"/>
      </w:numPr>
    </w:pPr>
    <w:rPr>
      <w:rFonts w:eastAsia="Times New Roman"/>
      <w:lang w:eastAsia="en-GB"/>
    </w:rPr>
  </w:style>
  <w:style w:type="paragraph" w:customStyle="1" w:styleId="ListNumber3Level2">
    <w:name w:val="List Number 3 (Level 2)"/>
    <w:basedOn w:val="Text3"/>
    <w:rsid w:val="00BD152F"/>
    <w:pPr>
      <w:numPr>
        <w:ilvl w:val="1"/>
        <w:numId w:val="18"/>
      </w:numPr>
    </w:pPr>
    <w:rPr>
      <w:rFonts w:eastAsia="Times New Roman"/>
      <w:lang w:eastAsia="en-GB"/>
    </w:rPr>
  </w:style>
  <w:style w:type="paragraph" w:customStyle="1" w:styleId="ListNumber4Level2">
    <w:name w:val="List Number 4 (Level 2)"/>
    <w:basedOn w:val="Text4"/>
    <w:rsid w:val="00BD152F"/>
    <w:pPr>
      <w:numPr>
        <w:ilvl w:val="1"/>
        <w:numId w:val="19"/>
      </w:numPr>
    </w:pPr>
    <w:rPr>
      <w:rFonts w:eastAsia="Times New Roman"/>
      <w:lang w:eastAsia="en-GB"/>
    </w:rPr>
  </w:style>
  <w:style w:type="paragraph" w:customStyle="1" w:styleId="ListNumber1Level3">
    <w:name w:val="List Number 1 (Level 3)"/>
    <w:basedOn w:val="Text1"/>
    <w:rsid w:val="00BD152F"/>
    <w:pPr>
      <w:numPr>
        <w:ilvl w:val="2"/>
        <w:numId w:val="16"/>
      </w:numPr>
    </w:pPr>
    <w:rPr>
      <w:rFonts w:eastAsia="Times New Roman"/>
      <w:lang w:eastAsia="en-GB"/>
    </w:rPr>
  </w:style>
  <w:style w:type="paragraph" w:customStyle="1" w:styleId="ListNumber2Level3">
    <w:name w:val="List Number 2 (Level 3)"/>
    <w:basedOn w:val="Text2"/>
    <w:rsid w:val="00BD152F"/>
    <w:pPr>
      <w:numPr>
        <w:ilvl w:val="2"/>
        <w:numId w:val="17"/>
      </w:numPr>
    </w:pPr>
    <w:rPr>
      <w:rFonts w:eastAsia="Times New Roman"/>
      <w:lang w:eastAsia="en-GB"/>
    </w:rPr>
  </w:style>
  <w:style w:type="paragraph" w:customStyle="1" w:styleId="ListNumber3Level3">
    <w:name w:val="List Number 3 (Level 3)"/>
    <w:basedOn w:val="Text3"/>
    <w:rsid w:val="00BD152F"/>
    <w:pPr>
      <w:numPr>
        <w:ilvl w:val="2"/>
        <w:numId w:val="18"/>
      </w:numPr>
    </w:pPr>
    <w:rPr>
      <w:rFonts w:eastAsia="Times New Roman"/>
      <w:lang w:eastAsia="en-GB"/>
    </w:rPr>
  </w:style>
  <w:style w:type="paragraph" w:customStyle="1" w:styleId="ListNumber4Level3">
    <w:name w:val="List Number 4 (Level 3)"/>
    <w:basedOn w:val="Text4"/>
    <w:rsid w:val="00BD152F"/>
    <w:pPr>
      <w:numPr>
        <w:ilvl w:val="2"/>
        <w:numId w:val="19"/>
      </w:numPr>
    </w:pPr>
    <w:rPr>
      <w:rFonts w:eastAsia="Times New Roman"/>
      <w:lang w:eastAsia="en-GB"/>
    </w:rPr>
  </w:style>
  <w:style w:type="paragraph" w:customStyle="1" w:styleId="ListNumber1Level4">
    <w:name w:val="List Number 1 (Level 4)"/>
    <w:basedOn w:val="Text1"/>
    <w:rsid w:val="00BD152F"/>
    <w:pPr>
      <w:numPr>
        <w:ilvl w:val="3"/>
        <w:numId w:val="16"/>
      </w:numPr>
    </w:pPr>
    <w:rPr>
      <w:rFonts w:eastAsia="Times New Roman"/>
      <w:lang w:eastAsia="en-GB"/>
    </w:rPr>
  </w:style>
  <w:style w:type="paragraph" w:customStyle="1" w:styleId="ListNumber2Level4">
    <w:name w:val="List Number 2 (Level 4)"/>
    <w:basedOn w:val="Text2"/>
    <w:rsid w:val="00BD152F"/>
    <w:pPr>
      <w:numPr>
        <w:ilvl w:val="3"/>
        <w:numId w:val="17"/>
      </w:numPr>
    </w:pPr>
    <w:rPr>
      <w:rFonts w:eastAsia="Times New Roman"/>
      <w:lang w:eastAsia="en-GB"/>
    </w:rPr>
  </w:style>
  <w:style w:type="paragraph" w:customStyle="1" w:styleId="ListNumber3Level4">
    <w:name w:val="List Number 3 (Level 4)"/>
    <w:basedOn w:val="Text3"/>
    <w:rsid w:val="00BD152F"/>
    <w:pPr>
      <w:numPr>
        <w:ilvl w:val="3"/>
        <w:numId w:val="18"/>
      </w:numPr>
    </w:pPr>
    <w:rPr>
      <w:rFonts w:eastAsia="Times New Roman"/>
      <w:lang w:eastAsia="en-GB"/>
    </w:rPr>
  </w:style>
  <w:style w:type="paragraph" w:customStyle="1" w:styleId="ListNumber4Level4">
    <w:name w:val="List Number 4 (Level 4)"/>
    <w:basedOn w:val="Text4"/>
    <w:rsid w:val="00BD152F"/>
    <w:pPr>
      <w:numPr>
        <w:ilvl w:val="3"/>
        <w:numId w:val="19"/>
      </w:numPr>
    </w:pPr>
    <w:rPr>
      <w:rFonts w:eastAsia="Times New Roman"/>
      <w:lang w:eastAsia="en-GB"/>
    </w:rPr>
  </w:style>
  <w:style w:type="paragraph" w:customStyle="1" w:styleId="Annexetitreacte">
    <w:name w:val="Annexe titre (acte)"/>
    <w:basedOn w:val="Normal"/>
    <w:next w:val="Normal"/>
    <w:rsid w:val="00BD152F"/>
    <w:pPr>
      <w:jc w:val="center"/>
    </w:pPr>
    <w:rPr>
      <w:rFonts w:eastAsia="Times New Roman"/>
      <w:b/>
      <w:u w:val="single"/>
      <w:lang w:eastAsia="en-GB"/>
    </w:rPr>
  </w:style>
  <w:style w:type="paragraph" w:customStyle="1" w:styleId="Annexetitreexposglobal">
    <w:name w:val="Annexe titre (exposé global)"/>
    <w:basedOn w:val="Normal"/>
    <w:next w:val="Normal"/>
    <w:rsid w:val="00BD152F"/>
    <w:pPr>
      <w:jc w:val="center"/>
    </w:pPr>
    <w:rPr>
      <w:rFonts w:eastAsia="Times New Roman"/>
      <w:b/>
      <w:u w:val="single"/>
      <w:lang w:eastAsia="en-GB"/>
    </w:rPr>
  </w:style>
  <w:style w:type="paragraph" w:customStyle="1" w:styleId="Annexetitrefichefinacte">
    <w:name w:val="Annexe titre (fiche fin. acte)"/>
    <w:basedOn w:val="Normal"/>
    <w:next w:val="Normal"/>
    <w:rsid w:val="00BD152F"/>
    <w:pPr>
      <w:jc w:val="center"/>
    </w:pPr>
    <w:rPr>
      <w:rFonts w:eastAsia="Times New Roman"/>
      <w:b/>
      <w:u w:val="single"/>
      <w:lang w:eastAsia="en-GB"/>
    </w:rPr>
  </w:style>
  <w:style w:type="paragraph" w:customStyle="1" w:styleId="Annexetitrefichefinglobale">
    <w:name w:val="Annexe titre (fiche fin. globale)"/>
    <w:basedOn w:val="Normal"/>
    <w:next w:val="Normal"/>
    <w:rsid w:val="00BD152F"/>
    <w:pPr>
      <w:jc w:val="center"/>
    </w:pPr>
    <w:rPr>
      <w:rFonts w:eastAsia="Times New Roman"/>
      <w:b/>
      <w:u w:val="single"/>
      <w:lang w:eastAsia="en-GB"/>
    </w:rPr>
  </w:style>
  <w:style w:type="paragraph" w:customStyle="1" w:styleId="Annexetitreglobale">
    <w:name w:val="Annexe titre (globale)"/>
    <w:basedOn w:val="Normal"/>
    <w:next w:val="Normal"/>
    <w:rsid w:val="00BD152F"/>
    <w:pPr>
      <w:jc w:val="center"/>
    </w:pPr>
    <w:rPr>
      <w:rFonts w:eastAsia="Times New Roman"/>
      <w:b/>
      <w:u w:val="single"/>
      <w:lang w:eastAsia="en-GB"/>
    </w:rPr>
  </w:style>
  <w:style w:type="paragraph" w:customStyle="1" w:styleId="Exposdesmotifstitreglobal">
    <w:name w:val="Exposé des motifs titre (global)"/>
    <w:basedOn w:val="Normal"/>
    <w:next w:val="Normal"/>
    <w:rsid w:val="00BD152F"/>
    <w:pPr>
      <w:jc w:val="center"/>
    </w:pPr>
    <w:rPr>
      <w:rFonts w:eastAsia="Times New Roman"/>
      <w:b/>
      <w:u w:val="single"/>
      <w:lang w:eastAsia="en-GB"/>
    </w:rPr>
  </w:style>
  <w:style w:type="paragraph" w:customStyle="1" w:styleId="Langueoriginale">
    <w:name w:val="Langue originale"/>
    <w:basedOn w:val="Normal"/>
    <w:rsid w:val="00BD152F"/>
    <w:pPr>
      <w:spacing w:before="360"/>
      <w:jc w:val="center"/>
    </w:pPr>
    <w:rPr>
      <w:rFonts w:eastAsia="Times New Roman"/>
      <w:caps/>
      <w:lang w:eastAsia="en-GB"/>
    </w:rPr>
  </w:style>
  <w:style w:type="paragraph" w:customStyle="1" w:styleId="Phrasefinale">
    <w:name w:val="Phrase finale"/>
    <w:basedOn w:val="Normal"/>
    <w:next w:val="Normal"/>
    <w:rsid w:val="00BD152F"/>
    <w:pPr>
      <w:spacing w:before="360" w:after="0"/>
      <w:jc w:val="center"/>
    </w:pPr>
    <w:rPr>
      <w:rFonts w:eastAsia="Times New Roman"/>
      <w:lang w:eastAsia="en-GB"/>
    </w:rPr>
  </w:style>
  <w:style w:type="paragraph" w:customStyle="1" w:styleId="Prliminairetitre">
    <w:name w:val="Préliminaire titre"/>
    <w:basedOn w:val="Normal"/>
    <w:next w:val="Normal"/>
    <w:rsid w:val="00BD152F"/>
    <w:pPr>
      <w:spacing w:before="360" w:after="360"/>
      <w:jc w:val="center"/>
    </w:pPr>
    <w:rPr>
      <w:rFonts w:eastAsia="Times New Roman"/>
      <w:b/>
      <w:lang w:eastAsia="en-GB"/>
    </w:rPr>
  </w:style>
  <w:style w:type="paragraph" w:customStyle="1" w:styleId="Prliminairetype">
    <w:name w:val="Préliminaire type"/>
    <w:basedOn w:val="Normal"/>
    <w:next w:val="Normal"/>
    <w:rsid w:val="00BD152F"/>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BD152F"/>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BD152F"/>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BD152F"/>
    <w:pPr>
      <w:spacing w:before="0" w:after="0"/>
      <w:ind w:left="5103"/>
      <w:jc w:val="left"/>
    </w:pPr>
    <w:rPr>
      <w:rFonts w:eastAsia="Times New Roman"/>
      <w:lang w:eastAsia="en-GB"/>
    </w:rPr>
  </w:style>
  <w:style w:type="paragraph" w:customStyle="1" w:styleId="Sous-titreobjetprliminaire">
    <w:name w:val="Sous-titre objet (préliminaire)"/>
    <w:basedOn w:val="Normal"/>
    <w:rsid w:val="00BD152F"/>
    <w:pPr>
      <w:spacing w:before="0" w:after="0"/>
      <w:jc w:val="center"/>
    </w:pPr>
    <w:rPr>
      <w:rFonts w:eastAsia="Times New Roman"/>
      <w:b/>
      <w:lang w:eastAsia="en-GB"/>
    </w:rPr>
  </w:style>
  <w:style w:type="paragraph" w:customStyle="1" w:styleId="Statutprliminaire">
    <w:name w:val="Statut (préliminaire)"/>
    <w:basedOn w:val="Normal"/>
    <w:next w:val="Normal"/>
    <w:rsid w:val="00BD152F"/>
    <w:pPr>
      <w:spacing w:before="360" w:after="0"/>
      <w:jc w:val="center"/>
    </w:pPr>
    <w:rPr>
      <w:rFonts w:eastAsia="Times New Roman"/>
      <w:lang w:eastAsia="en-GB"/>
    </w:rPr>
  </w:style>
  <w:style w:type="paragraph" w:customStyle="1" w:styleId="Titreobjetprliminaire">
    <w:name w:val="Titre objet (préliminaire)"/>
    <w:basedOn w:val="Normal"/>
    <w:next w:val="Normal"/>
    <w:rsid w:val="00BD152F"/>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BD152F"/>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BD152F"/>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BD152F"/>
    <w:pPr>
      <w:jc w:val="center"/>
    </w:pPr>
    <w:rPr>
      <w:rFonts w:eastAsia="Times New Roman"/>
      <w:b/>
      <w:u w:val="single"/>
      <w:lang w:eastAsia="en-GB"/>
    </w:rPr>
  </w:style>
  <w:style w:type="paragraph" w:customStyle="1" w:styleId="Fichefinanciretravailtitre">
    <w:name w:val="Fiche financière (travail) titre"/>
    <w:basedOn w:val="Normal"/>
    <w:next w:val="Normal"/>
    <w:rsid w:val="00BD152F"/>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BD152F"/>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BD152F"/>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BD152F"/>
    <w:pPr>
      <w:jc w:val="center"/>
    </w:pPr>
    <w:rPr>
      <w:rFonts w:eastAsia="Times New Roman"/>
      <w:b/>
      <w:u w:val="single"/>
      <w:lang w:eastAsia="en-GB"/>
    </w:rPr>
  </w:style>
  <w:style w:type="character" w:styleId="CommentReference">
    <w:name w:val="annotation reference"/>
    <w:uiPriority w:val="99"/>
    <w:rsid w:val="00BD152F"/>
    <w:rPr>
      <w:rFonts w:cs="Times New Roman"/>
      <w:sz w:val="16"/>
      <w:szCs w:val="16"/>
    </w:rPr>
  </w:style>
  <w:style w:type="paragraph" w:styleId="CommentText">
    <w:name w:val="annotation text"/>
    <w:basedOn w:val="Normal"/>
    <w:link w:val="CommentTextChar"/>
    <w:uiPriority w:val="99"/>
    <w:rsid w:val="00BD152F"/>
    <w:rPr>
      <w:rFonts w:eastAsia="Times New Roman"/>
      <w:sz w:val="20"/>
      <w:szCs w:val="20"/>
      <w:lang w:eastAsia="en-GB"/>
    </w:rPr>
  </w:style>
  <w:style w:type="character" w:customStyle="1" w:styleId="CommentTextChar">
    <w:name w:val="Comment Text Char"/>
    <w:basedOn w:val="DefaultParagraphFont"/>
    <w:link w:val="CommentText"/>
    <w:uiPriority w:val="99"/>
    <w:rsid w:val="00BD152F"/>
    <w:rPr>
      <w:rFonts w:ascii="Times New Roman" w:eastAsia="Times New Roman" w:hAnsi="Times New Roman" w:cs="Times New Roman"/>
      <w:sz w:val="20"/>
      <w:szCs w:val="20"/>
      <w:lang w:val="ro-RO" w:eastAsia="en-GB"/>
    </w:rPr>
  </w:style>
  <w:style w:type="paragraph" w:styleId="CommentSubject">
    <w:name w:val="annotation subject"/>
    <w:basedOn w:val="CommentText"/>
    <w:next w:val="CommentText"/>
    <w:link w:val="CommentSubjectChar"/>
    <w:rsid w:val="00BD152F"/>
    <w:rPr>
      <w:b/>
      <w:bCs/>
    </w:rPr>
  </w:style>
  <w:style w:type="character" w:customStyle="1" w:styleId="CommentSubjectChar">
    <w:name w:val="Comment Subject Char"/>
    <w:basedOn w:val="CommentTextChar"/>
    <w:link w:val="CommentSubject"/>
    <w:rsid w:val="00BD152F"/>
    <w:rPr>
      <w:rFonts w:ascii="Times New Roman" w:eastAsia="Times New Roman" w:hAnsi="Times New Roman" w:cs="Times New Roman"/>
      <w:b/>
      <w:bCs/>
      <w:sz w:val="20"/>
      <w:szCs w:val="20"/>
      <w:lang w:val="ro-RO" w:eastAsia="en-GB"/>
    </w:rPr>
  </w:style>
  <w:style w:type="paragraph" w:styleId="BalloonText">
    <w:name w:val="Balloon Text"/>
    <w:basedOn w:val="Normal"/>
    <w:link w:val="BalloonTextChar"/>
    <w:rsid w:val="00BD152F"/>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BD152F"/>
    <w:rPr>
      <w:rFonts w:ascii="Tahoma" w:eastAsia="Times New Roman" w:hAnsi="Tahoma" w:cs="Tahoma"/>
      <w:sz w:val="16"/>
      <w:szCs w:val="16"/>
      <w:lang w:val="ro-RO" w:eastAsia="en-GB"/>
    </w:rPr>
  </w:style>
  <w:style w:type="paragraph" w:styleId="Caption">
    <w:name w:val="caption"/>
    <w:basedOn w:val="Normal"/>
    <w:next w:val="Normal"/>
    <w:qFormat/>
    <w:rsid w:val="00BD152F"/>
    <w:rPr>
      <w:rFonts w:eastAsia="Times New Roman"/>
      <w:b/>
      <w:bCs/>
      <w:sz w:val="20"/>
      <w:szCs w:val="20"/>
      <w:lang w:eastAsia="en-GB"/>
    </w:rPr>
  </w:style>
  <w:style w:type="paragraph" w:styleId="TableofFigures">
    <w:name w:val="table of figures"/>
    <w:basedOn w:val="Normal"/>
    <w:next w:val="Normal"/>
    <w:rsid w:val="00BD152F"/>
    <w:rPr>
      <w:rFonts w:eastAsia="Times New Roman"/>
      <w:lang w:eastAsia="en-GB"/>
    </w:rPr>
  </w:style>
  <w:style w:type="character" w:styleId="PageNumber">
    <w:name w:val="page number"/>
    <w:rsid w:val="00BD152F"/>
  </w:style>
  <w:style w:type="character" w:customStyle="1" w:styleId="tw4winMark">
    <w:name w:val="tw4winMark"/>
    <w:rsid w:val="00BD152F"/>
    <w:rPr>
      <w:vanish/>
      <w:color w:val="800080"/>
      <w:vertAlign w:val="subscript"/>
    </w:rPr>
  </w:style>
  <w:style w:type="character" w:styleId="FollowedHyperlink">
    <w:name w:val="FollowedHyperlink"/>
    <w:rsid w:val="00BD152F"/>
    <w:rPr>
      <w:color w:val="800080"/>
      <w:u w:val="single"/>
    </w:rPr>
  </w:style>
  <w:style w:type="paragraph" w:customStyle="1" w:styleId="Sous-titreobjet">
    <w:name w:val="Sous-titre objet"/>
    <w:basedOn w:val="Normal"/>
    <w:rsid w:val="00BD152F"/>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BD152F"/>
  </w:style>
  <w:style w:type="paragraph" w:styleId="Revision">
    <w:name w:val="Revision"/>
    <w:hidden/>
    <w:uiPriority w:val="99"/>
    <w:semiHidden/>
    <w:rsid w:val="00BD152F"/>
    <w:rPr>
      <w:rFonts w:ascii="Calibri" w:eastAsia="Calibri" w:hAnsi="Calibri" w:cs="Times New Roman"/>
      <w:sz w:val="24"/>
      <w:lang w:eastAsia="en-GB"/>
    </w:rPr>
  </w:style>
  <w:style w:type="paragraph" w:customStyle="1" w:styleId="FooterCoverPage">
    <w:name w:val="Footer Cover Page"/>
    <w:basedOn w:val="Normal"/>
    <w:link w:val="FooterCoverPageChar"/>
    <w:rsid w:val="00BD152F"/>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BD152F"/>
    <w:rPr>
      <w:rFonts w:ascii="Times New Roman" w:hAnsi="Times New Roman" w:cs="Times New Roman"/>
      <w:b/>
      <w:sz w:val="28"/>
      <w:lang w:val="ro-RO"/>
    </w:rPr>
  </w:style>
  <w:style w:type="character" w:customStyle="1" w:styleId="FooterCoverPageChar">
    <w:name w:val="Footer Cover Page Char"/>
    <w:link w:val="FooterCoverPage"/>
    <w:rsid w:val="00BD152F"/>
    <w:rPr>
      <w:rFonts w:ascii="Times New Roman" w:eastAsia="Calibri" w:hAnsi="Times New Roman" w:cs="Times New Roman"/>
      <w:sz w:val="24"/>
      <w:lang w:val="ro-RO" w:eastAsia="en-GB"/>
    </w:rPr>
  </w:style>
  <w:style w:type="paragraph" w:customStyle="1" w:styleId="HeaderCoverPage">
    <w:name w:val="Header Cover Page"/>
    <w:basedOn w:val="Normal"/>
    <w:link w:val="HeaderCoverPageChar"/>
    <w:rsid w:val="00BD152F"/>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BD152F"/>
    <w:rPr>
      <w:rFonts w:ascii="Times New Roman" w:eastAsia="Calibri" w:hAnsi="Times New Roman" w:cs="Times New Roman"/>
      <w:sz w:val="24"/>
      <w:lang w:val="ro-RO" w:eastAsia="en-GB"/>
    </w:rPr>
  </w:style>
  <w:style w:type="character" w:customStyle="1" w:styleId="FooterSensitivityChar">
    <w:name w:val="Footer Sensitivity Char"/>
    <w:rsid w:val="00BD152F"/>
    <w:rPr>
      <w:rFonts w:ascii="Times New Roman" w:hAnsi="Times New Roman" w:cs="Times New Roman"/>
      <w:b/>
      <w:sz w:val="32"/>
      <w:lang w:val="ro-RO"/>
    </w:rPr>
  </w:style>
  <w:style w:type="character" w:customStyle="1" w:styleId="HeaderSensitivityChar">
    <w:name w:val="Header Sensitivity Char"/>
    <w:rsid w:val="00BD152F"/>
    <w:rPr>
      <w:rFonts w:ascii="Times New Roman" w:hAnsi="Times New Roman" w:cs="Times New Roman"/>
      <w:b/>
      <w:sz w:val="32"/>
      <w:lang w:val="ro-RO"/>
    </w:rPr>
  </w:style>
  <w:style w:type="character" w:customStyle="1" w:styleId="HeaderSensitivityRightChar">
    <w:name w:val="Header Sensitivity Right Char"/>
    <w:rsid w:val="00BD152F"/>
    <w:rPr>
      <w:rFonts w:ascii="Times New Roman" w:hAnsi="Times New Roman" w:cs="Times New Roman"/>
      <w:sz w:val="28"/>
      <w:lang w:val="ro-RO"/>
    </w:rPr>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lp1"/>
    <w:basedOn w:val="Normal"/>
    <w:link w:val="ListParagraphChar"/>
    <w:uiPriority w:val="34"/>
    <w:qFormat/>
    <w:rsid w:val="00D60020"/>
    <w:pPr>
      <w:ind w:left="720"/>
      <w:contextualSpacing/>
    </w:pPr>
  </w:style>
  <w:style w:type="paragraph" w:customStyle="1" w:styleId="norm">
    <w:name w:val="norm"/>
    <w:basedOn w:val="Normal"/>
    <w:rsid w:val="008B77BD"/>
    <w:pPr>
      <w:spacing w:before="100" w:beforeAutospacing="1" w:after="100" w:afterAutospacing="1"/>
      <w:jc w:val="left"/>
    </w:pPr>
    <w:rPr>
      <w:rFonts w:eastAsia="Times New Roman"/>
      <w:szCs w:val="24"/>
      <w:lang w:eastAsia="en-IE"/>
    </w:rPr>
  </w:style>
  <w:style w:type="paragraph" w:customStyle="1" w:styleId="sti-art">
    <w:name w:val="sti-art"/>
    <w:basedOn w:val="Normal"/>
    <w:rsid w:val="008B77BD"/>
    <w:pPr>
      <w:spacing w:before="100" w:beforeAutospacing="1" w:after="100" w:afterAutospacing="1"/>
      <w:jc w:val="left"/>
    </w:pPr>
    <w:rPr>
      <w:rFonts w:eastAsia="Times New Roman"/>
      <w:szCs w:val="24"/>
      <w:lang w:eastAsia="en-IE"/>
    </w:r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link w:val="ListParagraph"/>
    <w:uiPriority w:val="34"/>
    <w:qFormat/>
    <w:locked/>
    <w:rsid w:val="008B77BD"/>
    <w:rPr>
      <w:rFonts w:ascii="Times New Roman" w:hAnsi="Times New Roman" w:cs="Times New Roman"/>
      <w:sz w:val="24"/>
      <w:lang w:val="ro-RO"/>
    </w:rPr>
  </w:style>
  <w:style w:type="paragraph" w:customStyle="1" w:styleId="stitle-article-norm">
    <w:name w:val="stitle-article-norm"/>
    <w:basedOn w:val="Normal"/>
    <w:rsid w:val="00EF684D"/>
    <w:pPr>
      <w:spacing w:before="100" w:beforeAutospacing="1" w:after="100" w:afterAutospacing="1"/>
      <w:jc w:val="left"/>
    </w:pPr>
    <w:rPr>
      <w:rFonts w:eastAsia="Times New Roman"/>
      <w:szCs w:val="24"/>
      <w:lang w:eastAsia="en-IE"/>
    </w:rPr>
  </w:style>
  <w:style w:type="character" w:customStyle="1" w:styleId="UnresolvedMention1">
    <w:name w:val="Unresolved Mention1"/>
    <w:basedOn w:val="DefaultParagraphFont"/>
    <w:uiPriority w:val="99"/>
    <w:unhideWhenUsed/>
    <w:rsid w:val="00630070"/>
    <w:rPr>
      <w:color w:val="605E5C"/>
      <w:shd w:val="clear" w:color="auto" w:fill="E1DFDD"/>
    </w:rPr>
  </w:style>
  <w:style w:type="paragraph" w:customStyle="1" w:styleId="paragraph">
    <w:name w:val="paragraph"/>
    <w:basedOn w:val="Normal"/>
    <w:rsid w:val="0050683A"/>
    <w:pPr>
      <w:spacing w:before="100" w:beforeAutospacing="1" w:after="100" w:afterAutospacing="1"/>
      <w:jc w:val="left"/>
    </w:pPr>
    <w:rPr>
      <w:rFonts w:eastAsia="Times New Roman"/>
      <w:szCs w:val="24"/>
      <w:lang w:eastAsia="en-IE"/>
    </w:rPr>
  </w:style>
  <w:style w:type="character" w:customStyle="1" w:styleId="normaltextrun">
    <w:name w:val="normaltextrun"/>
    <w:basedOn w:val="DefaultParagraphFont"/>
    <w:rsid w:val="0050683A"/>
  </w:style>
  <w:style w:type="character" w:customStyle="1" w:styleId="superscript">
    <w:name w:val="superscript"/>
    <w:basedOn w:val="DefaultParagraphFont"/>
    <w:rsid w:val="0050683A"/>
  </w:style>
  <w:style w:type="character" w:customStyle="1" w:styleId="eop">
    <w:name w:val="eop"/>
    <w:basedOn w:val="DefaultParagraphFont"/>
    <w:rsid w:val="0050683A"/>
  </w:style>
  <w:style w:type="character" w:customStyle="1" w:styleId="scxw40243477">
    <w:name w:val="scxw40243477"/>
    <w:basedOn w:val="DefaultParagraphFont"/>
    <w:rsid w:val="0079610B"/>
  </w:style>
  <w:style w:type="character" w:customStyle="1" w:styleId="tabchar">
    <w:name w:val="tabchar"/>
    <w:basedOn w:val="DefaultParagraphFont"/>
    <w:rsid w:val="00EC18A5"/>
  </w:style>
  <w:style w:type="character" w:customStyle="1" w:styleId="scxw109959220">
    <w:name w:val="scxw109959220"/>
    <w:basedOn w:val="DefaultParagraphFont"/>
    <w:rsid w:val="00682C4D"/>
  </w:style>
  <w:style w:type="character" w:customStyle="1" w:styleId="Mention1">
    <w:name w:val="Mention1"/>
    <w:basedOn w:val="DefaultParagraphFont"/>
    <w:uiPriority w:val="99"/>
    <w:unhideWhenUsed/>
    <w:rsid w:val="00201CC4"/>
    <w:rPr>
      <w:color w:val="2B579A"/>
      <w:shd w:val="clear" w:color="auto" w:fill="E1DFDD"/>
    </w:rPr>
  </w:style>
  <w:style w:type="table" w:customStyle="1" w:styleId="HTG1">
    <w:name w:val="HTG1"/>
    <w:basedOn w:val="TableNormal"/>
    <w:next w:val="TableGrid"/>
    <w:uiPriority w:val="39"/>
    <w:rsid w:val="00237D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ee-title">
    <w:name w:val="tree-title"/>
    <w:basedOn w:val="DefaultParagraphFont"/>
    <w:rsid w:val="003E7DDB"/>
  </w:style>
  <w:style w:type="paragraph" w:styleId="NormalWeb">
    <w:name w:val="Normal (Web)"/>
    <w:basedOn w:val="Normal"/>
    <w:uiPriority w:val="99"/>
    <w:unhideWhenUsed/>
    <w:rsid w:val="004A2FD7"/>
    <w:pPr>
      <w:spacing w:before="100" w:beforeAutospacing="1" w:after="100" w:afterAutospacing="1"/>
      <w:jc w:val="left"/>
    </w:pPr>
    <w:rPr>
      <w:rFonts w:eastAsia="Times New Roman"/>
      <w:szCs w:val="24"/>
      <w:lang w:eastAsia="fr-FR"/>
    </w:rPr>
  </w:style>
  <w:style w:type="character" w:customStyle="1" w:styleId="UnresolvedMention">
    <w:name w:val="Unresolved Mention"/>
    <w:basedOn w:val="DefaultParagraphFont"/>
    <w:uiPriority w:val="99"/>
    <w:semiHidden/>
    <w:unhideWhenUsed/>
    <w:rsid w:val="0029366E"/>
    <w:rPr>
      <w:color w:val="605E5C"/>
      <w:shd w:val="clear" w:color="auto" w:fill="E1DFDD"/>
    </w:rPr>
  </w:style>
  <w:style w:type="paragraph" w:styleId="Header">
    <w:name w:val="header"/>
    <w:basedOn w:val="Normal"/>
    <w:link w:val="HeaderChar"/>
    <w:uiPriority w:val="99"/>
    <w:unhideWhenUsed/>
    <w:rsid w:val="00311D41"/>
    <w:pPr>
      <w:tabs>
        <w:tab w:val="center" w:pos="4535"/>
        <w:tab w:val="right" w:pos="9071"/>
      </w:tabs>
      <w:spacing w:before="0"/>
    </w:pPr>
  </w:style>
  <w:style w:type="character" w:customStyle="1" w:styleId="HeaderChar">
    <w:name w:val="Header Char"/>
    <w:basedOn w:val="DefaultParagraphFont"/>
    <w:link w:val="Header"/>
    <w:uiPriority w:val="99"/>
    <w:rsid w:val="00311D41"/>
    <w:rPr>
      <w:rFonts w:ascii="Times New Roman" w:hAnsi="Times New Roman" w:cs="Times New Roman"/>
      <w:sz w:val="24"/>
      <w:lang w:val="ro-RO"/>
    </w:rPr>
  </w:style>
  <w:style w:type="paragraph" w:styleId="Footer">
    <w:name w:val="footer"/>
    <w:basedOn w:val="Normal"/>
    <w:link w:val="FooterChar"/>
    <w:uiPriority w:val="99"/>
    <w:unhideWhenUsed/>
    <w:rsid w:val="00311D4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11D41"/>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ro-RO"/>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ro-RO"/>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311D41"/>
    <w:pPr>
      <w:tabs>
        <w:tab w:val="center" w:pos="7285"/>
        <w:tab w:val="right" w:pos="14003"/>
      </w:tabs>
      <w:spacing w:before="0"/>
    </w:pPr>
  </w:style>
  <w:style w:type="paragraph" w:customStyle="1" w:styleId="FooterLandscape">
    <w:name w:val="FooterLandscape"/>
    <w:basedOn w:val="Normal"/>
    <w:rsid w:val="00311D4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11D4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11D41"/>
    <w:pPr>
      <w:spacing w:before="0"/>
      <w:jc w:val="right"/>
    </w:pPr>
    <w:rPr>
      <w:sz w:val="28"/>
    </w:rPr>
  </w:style>
  <w:style w:type="paragraph" w:customStyle="1" w:styleId="FooterSensitivity">
    <w:name w:val="Footer Sensitivity"/>
    <w:basedOn w:val="Normal"/>
    <w:rsid w:val="00311D4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45"/>
      </w:numPr>
    </w:pPr>
  </w:style>
  <w:style w:type="paragraph" w:customStyle="1" w:styleId="Tiret1">
    <w:name w:val="Tiret 1"/>
    <w:basedOn w:val="Point1"/>
    <w:pPr>
      <w:numPr>
        <w:numId w:val="46"/>
      </w:numPr>
    </w:pPr>
  </w:style>
  <w:style w:type="paragraph" w:customStyle="1" w:styleId="Tiret2">
    <w:name w:val="Tiret 2"/>
    <w:basedOn w:val="Point2"/>
    <w:pPr>
      <w:numPr>
        <w:numId w:val="47"/>
      </w:numPr>
    </w:pPr>
  </w:style>
  <w:style w:type="paragraph" w:customStyle="1" w:styleId="Tiret3">
    <w:name w:val="Tiret 3"/>
    <w:basedOn w:val="Point3"/>
    <w:pPr>
      <w:numPr>
        <w:numId w:val="48"/>
      </w:numPr>
    </w:pPr>
  </w:style>
  <w:style w:type="paragraph" w:customStyle="1" w:styleId="Tiret4">
    <w:name w:val="Tiret 4"/>
    <w:basedOn w:val="Point4"/>
    <w:pPr>
      <w:numPr>
        <w:numId w:val="49"/>
      </w:numPr>
    </w:pPr>
  </w:style>
  <w:style w:type="paragraph" w:customStyle="1" w:styleId="Tiret5">
    <w:name w:val="Tiret 5"/>
    <w:basedOn w:val="Point5"/>
    <w:pPr>
      <w:numPr>
        <w:numId w:val="5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1"/>
      </w:numPr>
    </w:pPr>
  </w:style>
  <w:style w:type="paragraph" w:customStyle="1" w:styleId="NumPar2">
    <w:name w:val="NumPar 2"/>
    <w:basedOn w:val="Normal"/>
    <w:next w:val="Text1"/>
    <w:pPr>
      <w:numPr>
        <w:ilvl w:val="1"/>
        <w:numId w:val="51"/>
      </w:numPr>
    </w:pPr>
  </w:style>
  <w:style w:type="paragraph" w:customStyle="1" w:styleId="NumPar3">
    <w:name w:val="NumPar 3"/>
    <w:basedOn w:val="Normal"/>
    <w:next w:val="Text1"/>
    <w:pPr>
      <w:numPr>
        <w:ilvl w:val="2"/>
        <w:numId w:val="51"/>
      </w:numPr>
    </w:pPr>
  </w:style>
  <w:style w:type="paragraph" w:customStyle="1" w:styleId="NumPar4">
    <w:name w:val="NumPar 4"/>
    <w:basedOn w:val="Normal"/>
    <w:next w:val="Text1"/>
    <w:pPr>
      <w:numPr>
        <w:ilvl w:val="3"/>
        <w:numId w:val="51"/>
      </w:numPr>
    </w:pPr>
  </w:style>
  <w:style w:type="paragraph" w:customStyle="1" w:styleId="NumPar5">
    <w:name w:val="NumPar 5"/>
    <w:basedOn w:val="Normal"/>
    <w:next w:val="Text2"/>
    <w:pPr>
      <w:numPr>
        <w:ilvl w:val="4"/>
        <w:numId w:val="51"/>
      </w:numPr>
    </w:pPr>
  </w:style>
  <w:style w:type="paragraph" w:customStyle="1" w:styleId="NumPar6">
    <w:name w:val="NumPar 6"/>
    <w:basedOn w:val="Normal"/>
    <w:next w:val="Text2"/>
    <w:pPr>
      <w:numPr>
        <w:ilvl w:val="5"/>
        <w:numId w:val="51"/>
      </w:numPr>
    </w:pPr>
  </w:style>
  <w:style w:type="paragraph" w:customStyle="1" w:styleId="NumPar7">
    <w:name w:val="NumPar 7"/>
    <w:basedOn w:val="Normal"/>
    <w:next w:val="Text2"/>
    <w:pPr>
      <w:numPr>
        <w:ilvl w:val="6"/>
        <w:numId w:val="5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CA57AA"/>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3"/>
      </w:numPr>
    </w:pPr>
  </w:style>
  <w:style w:type="paragraph" w:customStyle="1" w:styleId="Point1number">
    <w:name w:val="Point 1 (number)"/>
    <w:basedOn w:val="Normal"/>
    <w:pPr>
      <w:numPr>
        <w:ilvl w:val="2"/>
        <w:numId w:val="53"/>
      </w:numPr>
    </w:pPr>
  </w:style>
  <w:style w:type="paragraph" w:customStyle="1" w:styleId="Point2number">
    <w:name w:val="Point 2 (number)"/>
    <w:basedOn w:val="Normal"/>
    <w:pPr>
      <w:numPr>
        <w:ilvl w:val="4"/>
        <w:numId w:val="53"/>
      </w:numPr>
    </w:pPr>
  </w:style>
  <w:style w:type="paragraph" w:customStyle="1" w:styleId="Point3number">
    <w:name w:val="Point 3 (number)"/>
    <w:basedOn w:val="Normal"/>
    <w:pPr>
      <w:numPr>
        <w:ilvl w:val="6"/>
        <w:numId w:val="53"/>
      </w:numPr>
    </w:pPr>
  </w:style>
  <w:style w:type="paragraph" w:customStyle="1" w:styleId="Point0letter">
    <w:name w:val="Point 0 (letter)"/>
    <w:basedOn w:val="Normal"/>
    <w:pPr>
      <w:numPr>
        <w:ilvl w:val="1"/>
        <w:numId w:val="53"/>
      </w:numPr>
    </w:pPr>
  </w:style>
  <w:style w:type="paragraph" w:customStyle="1" w:styleId="Point1letter">
    <w:name w:val="Point 1 (letter)"/>
    <w:basedOn w:val="Normal"/>
    <w:pPr>
      <w:numPr>
        <w:ilvl w:val="3"/>
        <w:numId w:val="53"/>
      </w:numPr>
    </w:pPr>
  </w:style>
  <w:style w:type="paragraph" w:customStyle="1" w:styleId="Point2letter">
    <w:name w:val="Point 2 (letter)"/>
    <w:basedOn w:val="Normal"/>
    <w:pPr>
      <w:numPr>
        <w:ilvl w:val="5"/>
        <w:numId w:val="53"/>
      </w:numPr>
    </w:pPr>
  </w:style>
  <w:style w:type="paragraph" w:customStyle="1" w:styleId="Point3letter">
    <w:name w:val="Point 3 (letter)"/>
    <w:basedOn w:val="Normal"/>
    <w:pPr>
      <w:numPr>
        <w:ilvl w:val="7"/>
        <w:numId w:val="53"/>
      </w:numPr>
    </w:pPr>
  </w:style>
  <w:style w:type="paragraph" w:customStyle="1" w:styleId="Point4letter">
    <w:name w:val="Point 4 (letter)"/>
    <w:basedOn w:val="Normal"/>
    <w:pPr>
      <w:numPr>
        <w:ilvl w:val="8"/>
        <w:numId w:val="53"/>
      </w:numPr>
    </w:pPr>
  </w:style>
  <w:style w:type="paragraph" w:customStyle="1" w:styleId="Bullet0">
    <w:name w:val="Bullet 0"/>
    <w:basedOn w:val="Normal"/>
    <w:pPr>
      <w:numPr>
        <w:numId w:val="54"/>
      </w:numPr>
    </w:pPr>
  </w:style>
  <w:style w:type="paragraph" w:customStyle="1" w:styleId="Bullet1">
    <w:name w:val="Bullet 1"/>
    <w:basedOn w:val="Normal"/>
    <w:pPr>
      <w:numPr>
        <w:numId w:val="55"/>
      </w:numPr>
    </w:pPr>
  </w:style>
  <w:style w:type="paragraph" w:customStyle="1" w:styleId="Bullet2">
    <w:name w:val="Bullet 2"/>
    <w:basedOn w:val="Normal"/>
    <w:pPr>
      <w:numPr>
        <w:numId w:val="56"/>
      </w:numPr>
    </w:pPr>
  </w:style>
  <w:style w:type="paragraph" w:customStyle="1" w:styleId="Bullet3">
    <w:name w:val="Bullet 3"/>
    <w:basedOn w:val="Normal"/>
    <w:pPr>
      <w:numPr>
        <w:numId w:val="57"/>
      </w:numPr>
    </w:pPr>
  </w:style>
  <w:style w:type="paragraph" w:customStyle="1" w:styleId="Bullet4">
    <w:name w:val="Bullet 4"/>
    <w:basedOn w:val="Normal"/>
    <w:pPr>
      <w:numPr>
        <w:numId w:val="5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7741">
      <w:bodyDiv w:val="1"/>
      <w:marLeft w:val="0"/>
      <w:marRight w:val="0"/>
      <w:marTop w:val="0"/>
      <w:marBottom w:val="0"/>
      <w:divBdr>
        <w:top w:val="none" w:sz="0" w:space="0" w:color="auto"/>
        <w:left w:val="none" w:sz="0" w:space="0" w:color="auto"/>
        <w:bottom w:val="none" w:sz="0" w:space="0" w:color="auto"/>
        <w:right w:val="none" w:sz="0" w:space="0" w:color="auto"/>
      </w:divBdr>
    </w:div>
    <w:div w:id="146943981">
      <w:bodyDiv w:val="1"/>
      <w:marLeft w:val="0"/>
      <w:marRight w:val="0"/>
      <w:marTop w:val="0"/>
      <w:marBottom w:val="0"/>
      <w:divBdr>
        <w:top w:val="none" w:sz="0" w:space="0" w:color="auto"/>
        <w:left w:val="none" w:sz="0" w:space="0" w:color="auto"/>
        <w:bottom w:val="none" w:sz="0" w:space="0" w:color="auto"/>
        <w:right w:val="none" w:sz="0" w:space="0" w:color="auto"/>
      </w:divBdr>
    </w:div>
    <w:div w:id="156306681">
      <w:bodyDiv w:val="1"/>
      <w:marLeft w:val="0"/>
      <w:marRight w:val="0"/>
      <w:marTop w:val="0"/>
      <w:marBottom w:val="0"/>
      <w:divBdr>
        <w:top w:val="none" w:sz="0" w:space="0" w:color="auto"/>
        <w:left w:val="none" w:sz="0" w:space="0" w:color="auto"/>
        <w:bottom w:val="none" w:sz="0" w:space="0" w:color="auto"/>
        <w:right w:val="none" w:sz="0" w:space="0" w:color="auto"/>
      </w:divBdr>
      <w:divsChild>
        <w:div w:id="1057923">
          <w:marLeft w:val="0"/>
          <w:marRight w:val="0"/>
          <w:marTop w:val="0"/>
          <w:marBottom w:val="0"/>
          <w:divBdr>
            <w:top w:val="none" w:sz="0" w:space="0" w:color="auto"/>
            <w:left w:val="none" w:sz="0" w:space="0" w:color="auto"/>
            <w:bottom w:val="none" w:sz="0" w:space="0" w:color="auto"/>
            <w:right w:val="none" w:sz="0" w:space="0" w:color="auto"/>
          </w:divBdr>
        </w:div>
        <w:div w:id="72362354">
          <w:marLeft w:val="0"/>
          <w:marRight w:val="0"/>
          <w:marTop w:val="0"/>
          <w:marBottom w:val="0"/>
          <w:divBdr>
            <w:top w:val="none" w:sz="0" w:space="0" w:color="auto"/>
            <w:left w:val="none" w:sz="0" w:space="0" w:color="auto"/>
            <w:bottom w:val="none" w:sz="0" w:space="0" w:color="auto"/>
            <w:right w:val="none" w:sz="0" w:space="0" w:color="auto"/>
          </w:divBdr>
          <w:divsChild>
            <w:div w:id="377238789">
              <w:marLeft w:val="0"/>
              <w:marRight w:val="0"/>
              <w:marTop w:val="0"/>
              <w:marBottom w:val="0"/>
              <w:divBdr>
                <w:top w:val="none" w:sz="0" w:space="0" w:color="auto"/>
                <w:left w:val="none" w:sz="0" w:space="0" w:color="auto"/>
                <w:bottom w:val="none" w:sz="0" w:space="0" w:color="auto"/>
                <w:right w:val="none" w:sz="0" w:space="0" w:color="auto"/>
              </w:divBdr>
            </w:div>
            <w:div w:id="2064676435">
              <w:marLeft w:val="0"/>
              <w:marRight w:val="0"/>
              <w:marTop w:val="0"/>
              <w:marBottom w:val="0"/>
              <w:divBdr>
                <w:top w:val="none" w:sz="0" w:space="0" w:color="auto"/>
                <w:left w:val="none" w:sz="0" w:space="0" w:color="auto"/>
                <w:bottom w:val="none" w:sz="0" w:space="0" w:color="auto"/>
                <w:right w:val="none" w:sz="0" w:space="0" w:color="auto"/>
              </w:divBdr>
            </w:div>
            <w:div w:id="2077118196">
              <w:marLeft w:val="0"/>
              <w:marRight w:val="0"/>
              <w:marTop w:val="0"/>
              <w:marBottom w:val="0"/>
              <w:divBdr>
                <w:top w:val="none" w:sz="0" w:space="0" w:color="auto"/>
                <w:left w:val="none" w:sz="0" w:space="0" w:color="auto"/>
                <w:bottom w:val="none" w:sz="0" w:space="0" w:color="auto"/>
                <w:right w:val="none" w:sz="0" w:space="0" w:color="auto"/>
              </w:divBdr>
            </w:div>
          </w:divsChild>
        </w:div>
        <w:div w:id="160587096">
          <w:marLeft w:val="0"/>
          <w:marRight w:val="0"/>
          <w:marTop w:val="0"/>
          <w:marBottom w:val="0"/>
          <w:divBdr>
            <w:top w:val="none" w:sz="0" w:space="0" w:color="auto"/>
            <w:left w:val="none" w:sz="0" w:space="0" w:color="auto"/>
            <w:bottom w:val="none" w:sz="0" w:space="0" w:color="auto"/>
            <w:right w:val="none" w:sz="0" w:space="0" w:color="auto"/>
          </w:divBdr>
        </w:div>
        <w:div w:id="171648243">
          <w:marLeft w:val="0"/>
          <w:marRight w:val="0"/>
          <w:marTop w:val="0"/>
          <w:marBottom w:val="0"/>
          <w:divBdr>
            <w:top w:val="none" w:sz="0" w:space="0" w:color="auto"/>
            <w:left w:val="none" w:sz="0" w:space="0" w:color="auto"/>
            <w:bottom w:val="none" w:sz="0" w:space="0" w:color="auto"/>
            <w:right w:val="none" w:sz="0" w:space="0" w:color="auto"/>
          </w:divBdr>
        </w:div>
        <w:div w:id="286742914">
          <w:marLeft w:val="0"/>
          <w:marRight w:val="0"/>
          <w:marTop w:val="0"/>
          <w:marBottom w:val="0"/>
          <w:divBdr>
            <w:top w:val="none" w:sz="0" w:space="0" w:color="auto"/>
            <w:left w:val="none" w:sz="0" w:space="0" w:color="auto"/>
            <w:bottom w:val="none" w:sz="0" w:space="0" w:color="auto"/>
            <w:right w:val="none" w:sz="0" w:space="0" w:color="auto"/>
          </w:divBdr>
        </w:div>
        <w:div w:id="655063423">
          <w:marLeft w:val="0"/>
          <w:marRight w:val="0"/>
          <w:marTop w:val="0"/>
          <w:marBottom w:val="0"/>
          <w:divBdr>
            <w:top w:val="none" w:sz="0" w:space="0" w:color="auto"/>
            <w:left w:val="none" w:sz="0" w:space="0" w:color="auto"/>
            <w:bottom w:val="none" w:sz="0" w:space="0" w:color="auto"/>
            <w:right w:val="none" w:sz="0" w:space="0" w:color="auto"/>
          </w:divBdr>
          <w:divsChild>
            <w:div w:id="361906414">
              <w:marLeft w:val="0"/>
              <w:marRight w:val="0"/>
              <w:marTop w:val="0"/>
              <w:marBottom w:val="0"/>
              <w:divBdr>
                <w:top w:val="none" w:sz="0" w:space="0" w:color="auto"/>
                <w:left w:val="none" w:sz="0" w:space="0" w:color="auto"/>
                <w:bottom w:val="none" w:sz="0" w:space="0" w:color="auto"/>
                <w:right w:val="none" w:sz="0" w:space="0" w:color="auto"/>
              </w:divBdr>
            </w:div>
            <w:div w:id="412973955">
              <w:marLeft w:val="0"/>
              <w:marRight w:val="0"/>
              <w:marTop w:val="0"/>
              <w:marBottom w:val="0"/>
              <w:divBdr>
                <w:top w:val="none" w:sz="0" w:space="0" w:color="auto"/>
                <w:left w:val="none" w:sz="0" w:space="0" w:color="auto"/>
                <w:bottom w:val="none" w:sz="0" w:space="0" w:color="auto"/>
                <w:right w:val="none" w:sz="0" w:space="0" w:color="auto"/>
              </w:divBdr>
            </w:div>
            <w:div w:id="1765953456">
              <w:marLeft w:val="0"/>
              <w:marRight w:val="0"/>
              <w:marTop w:val="0"/>
              <w:marBottom w:val="0"/>
              <w:divBdr>
                <w:top w:val="none" w:sz="0" w:space="0" w:color="auto"/>
                <w:left w:val="none" w:sz="0" w:space="0" w:color="auto"/>
                <w:bottom w:val="none" w:sz="0" w:space="0" w:color="auto"/>
                <w:right w:val="none" w:sz="0" w:space="0" w:color="auto"/>
              </w:divBdr>
            </w:div>
            <w:div w:id="1961497182">
              <w:marLeft w:val="0"/>
              <w:marRight w:val="0"/>
              <w:marTop w:val="0"/>
              <w:marBottom w:val="0"/>
              <w:divBdr>
                <w:top w:val="none" w:sz="0" w:space="0" w:color="auto"/>
                <w:left w:val="none" w:sz="0" w:space="0" w:color="auto"/>
                <w:bottom w:val="none" w:sz="0" w:space="0" w:color="auto"/>
                <w:right w:val="none" w:sz="0" w:space="0" w:color="auto"/>
              </w:divBdr>
            </w:div>
          </w:divsChild>
        </w:div>
        <w:div w:id="903300231">
          <w:marLeft w:val="0"/>
          <w:marRight w:val="0"/>
          <w:marTop w:val="0"/>
          <w:marBottom w:val="0"/>
          <w:divBdr>
            <w:top w:val="none" w:sz="0" w:space="0" w:color="auto"/>
            <w:left w:val="none" w:sz="0" w:space="0" w:color="auto"/>
            <w:bottom w:val="none" w:sz="0" w:space="0" w:color="auto"/>
            <w:right w:val="none" w:sz="0" w:space="0" w:color="auto"/>
          </w:divBdr>
          <w:divsChild>
            <w:div w:id="63182941">
              <w:marLeft w:val="0"/>
              <w:marRight w:val="0"/>
              <w:marTop w:val="0"/>
              <w:marBottom w:val="0"/>
              <w:divBdr>
                <w:top w:val="none" w:sz="0" w:space="0" w:color="auto"/>
                <w:left w:val="none" w:sz="0" w:space="0" w:color="auto"/>
                <w:bottom w:val="none" w:sz="0" w:space="0" w:color="auto"/>
                <w:right w:val="none" w:sz="0" w:space="0" w:color="auto"/>
              </w:divBdr>
            </w:div>
            <w:div w:id="281768049">
              <w:marLeft w:val="0"/>
              <w:marRight w:val="0"/>
              <w:marTop w:val="0"/>
              <w:marBottom w:val="0"/>
              <w:divBdr>
                <w:top w:val="none" w:sz="0" w:space="0" w:color="auto"/>
                <w:left w:val="none" w:sz="0" w:space="0" w:color="auto"/>
                <w:bottom w:val="none" w:sz="0" w:space="0" w:color="auto"/>
                <w:right w:val="none" w:sz="0" w:space="0" w:color="auto"/>
              </w:divBdr>
            </w:div>
            <w:div w:id="661468271">
              <w:marLeft w:val="0"/>
              <w:marRight w:val="0"/>
              <w:marTop w:val="0"/>
              <w:marBottom w:val="0"/>
              <w:divBdr>
                <w:top w:val="none" w:sz="0" w:space="0" w:color="auto"/>
                <w:left w:val="none" w:sz="0" w:space="0" w:color="auto"/>
                <w:bottom w:val="none" w:sz="0" w:space="0" w:color="auto"/>
                <w:right w:val="none" w:sz="0" w:space="0" w:color="auto"/>
              </w:divBdr>
            </w:div>
          </w:divsChild>
        </w:div>
        <w:div w:id="917861554">
          <w:marLeft w:val="0"/>
          <w:marRight w:val="0"/>
          <w:marTop w:val="0"/>
          <w:marBottom w:val="0"/>
          <w:divBdr>
            <w:top w:val="none" w:sz="0" w:space="0" w:color="auto"/>
            <w:left w:val="none" w:sz="0" w:space="0" w:color="auto"/>
            <w:bottom w:val="none" w:sz="0" w:space="0" w:color="auto"/>
            <w:right w:val="none" w:sz="0" w:space="0" w:color="auto"/>
          </w:divBdr>
        </w:div>
        <w:div w:id="1109468921">
          <w:marLeft w:val="0"/>
          <w:marRight w:val="0"/>
          <w:marTop w:val="0"/>
          <w:marBottom w:val="0"/>
          <w:divBdr>
            <w:top w:val="none" w:sz="0" w:space="0" w:color="auto"/>
            <w:left w:val="none" w:sz="0" w:space="0" w:color="auto"/>
            <w:bottom w:val="none" w:sz="0" w:space="0" w:color="auto"/>
            <w:right w:val="none" w:sz="0" w:space="0" w:color="auto"/>
          </w:divBdr>
        </w:div>
        <w:div w:id="1827428245">
          <w:marLeft w:val="0"/>
          <w:marRight w:val="0"/>
          <w:marTop w:val="0"/>
          <w:marBottom w:val="0"/>
          <w:divBdr>
            <w:top w:val="none" w:sz="0" w:space="0" w:color="auto"/>
            <w:left w:val="none" w:sz="0" w:space="0" w:color="auto"/>
            <w:bottom w:val="none" w:sz="0" w:space="0" w:color="auto"/>
            <w:right w:val="none" w:sz="0" w:space="0" w:color="auto"/>
          </w:divBdr>
          <w:divsChild>
            <w:div w:id="1680424914">
              <w:marLeft w:val="0"/>
              <w:marRight w:val="0"/>
              <w:marTop w:val="0"/>
              <w:marBottom w:val="0"/>
              <w:divBdr>
                <w:top w:val="none" w:sz="0" w:space="0" w:color="auto"/>
                <w:left w:val="none" w:sz="0" w:space="0" w:color="auto"/>
                <w:bottom w:val="none" w:sz="0" w:space="0" w:color="auto"/>
                <w:right w:val="none" w:sz="0" w:space="0" w:color="auto"/>
              </w:divBdr>
            </w:div>
            <w:div w:id="2142771225">
              <w:marLeft w:val="0"/>
              <w:marRight w:val="0"/>
              <w:marTop w:val="0"/>
              <w:marBottom w:val="0"/>
              <w:divBdr>
                <w:top w:val="none" w:sz="0" w:space="0" w:color="auto"/>
                <w:left w:val="none" w:sz="0" w:space="0" w:color="auto"/>
                <w:bottom w:val="none" w:sz="0" w:space="0" w:color="auto"/>
                <w:right w:val="none" w:sz="0" w:space="0" w:color="auto"/>
              </w:divBdr>
            </w:div>
          </w:divsChild>
        </w:div>
        <w:div w:id="2091465699">
          <w:marLeft w:val="0"/>
          <w:marRight w:val="0"/>
          <w:marTop w:val="0"/>
          <w:marBottom w:val="0"/>
          <w:divBdr>
            <w:top w:val="none" w:sz="0" w:space="0" w:color="auto"/>
            <w:left w:val="none" w:sz="0" w:space="0" w:color="auto"/>
            <w:bottom w:val="none" w:sz="0" w:space="0" w:color="auto"/>
            <w:right w:val="none" w:sz="0" w:space="0" w:color="auto"/>
          </w:divBdr>
        </w:div>
      </w:divsChild>
    </w:div>
    <w:div w:id="253704319">
      <w:bodyDiv w:val="1"/>
      <w:marLeft w:val="0"/>
      <w:marRight w:val="0"/>
      <w:marTop w:val="0"/>
      <w:marBottom w:val="0"/>
      <w:divBdr>
        <w:top w:val="none" w:sz="0" w:space="0" w:color="auto"/>
        <w:left w:val="none" w:sz="0" w:space="0" w:color="auto"/>
        <w:bottom w:val="none" w:sz="0" w:space="0" w:color="auto"/>
        <w:right w:val="none" w:sz="0" w:space="0" w:color="auto"/>
      </w:divBdr>
      <w:divsChild>
        <w:div w:id="405078934">
          <w:marLeft w:val="0"/>
          <w:marRight w:val="0"/>
          <w:marTop w:val="0"/>
          <w:marBottom w:val="0"/>
          <w:divBdr>
            <w:top w:val="none" w:sz="0" w:space="0" w:color="auto"/>
            <w:left w:val="none" w:sz="0" w:space="0" w:color="auto"/>
            <w:bottom w:val="none" w:sz="0" w:space="0" w:color="auto"/>
            <w:right w:val="none" w:sz="0" w:space="0" w:color="auto"/>
          </w:divBdr>
        </w:div>
        <w:div w:id="1062605283">
          <w:marLeft w:val="0"/>
          <w:marRight w:val="0"/>
          <w:marTop w:val="0"/>
          <w:marBottom w:val="0"/>
          <w:divBdr>
            <w:top w:val="none" w:sz="0" w:space="0" w:color="auto"/>
            <w:left w:val="none" w:sz="0" w:space="0" w:color="auto"/>
            <w:bottom w:val="none" w:sz="0" w:space="0" w:color="auto"/>
            <w:right w:val="none" w:sz="0" w:space="0" w:color="auto"/>
          </w:divBdr>
        </w:div>
      </w:divsChild>
    </w:div>
    <w:div w:id="263922702">
      <w:bodyDiv w:val="1"/>
      <w:marLeft w:val="0"/>
      <w:marRight w:val="0"/>
      <w:marTop w:val="0"/>
      <w:marBottom w:val="0"/>
      <w:divBdr>
        <w:top w:val="none" w:sz="0" w:space="0" w:color="auto"/>
        <w:left w:val="none" w:sz="0" w:space="0" w:color="auto"/>
        <w:bottom w:val="none" w:sz="0" w:space="0" w:color="auto"/>
        <w:right w:val="none" w:sz="0" w:space="0" w:color="auto"/>
      </w:divBdr>
    </w:div>
    <w:div w:id="281155902">
      <w:bodyDiv w:val="1"/>
      <w:marLeft w:val="0"/>
      <w:marRight w:val="0"/>
      <w:marTop w:val="0"/>
      <w:marBottom w:val="0"/>
      <w:divBdr>
        <w:top w:val="none" w:sz="0" w:space="0" w:color="auto"/>
        <w:left w:val="none" w:sz="0" w:space="0" w:color="auto"/>
        <w:bottom w:val="none" w:sz="0" w:space="0" w:color="auto"/>
        <w:right w:val="none" w:sz="0" w:space="0" w:color="auto"/>
      </w:divBdr>
      <w:divsChild>
        <w:div w:id="691420259">
          <w:marLeft w:val="0"/>
          <w:marRight w:val="0"/>
          <w:marTop w:val="0"/>
          <w:marBottom w:val="0"/>
          <w:divBdr>
            <w:top w:val="none" w:sz="0" w:space="0" w:color="auto"/>
            <w:left w:val="none" w:sz="0" w:space="0" w:color="auto"/>
            <w:bottom w:val="none" w:sz="0" w:space="0" w:color="auto"/>
            <w:right w:val="none" w:sz="0" w:space="0" w:color="auto"/>
          </w:divBdr>
          <w:divsChild>
            <w:div w:id="1641611373">
              <w:marLeft w:val="0"/>
              <w:marRight w:val="0"/>
              <w:marTop w:val="0"/>
              <w:marBottom w:val="0"/>
              <w:divBdr>
                <w:top w:val="none" w:sz="0" w:space="0" w:color="auto"/>
                <w:left w:val="none" w:sz="0" w:space="0" w:color="auto"/>
                <w:bottom w:val="none" w:sz="0" w:space="0" w:color="auto"/>
                <w:right w:val="none" w:sz="0" w:space="0" w:color="auto"/>
              </w:divBdr>
            </w:div>
            <w:div w:id="1788348391">
              <w:marLeft w:val="0"/>
              <w:marRight w:val="0"/>
              <w:marTop w:val="0"/>
              <w:marBottom w:val="0"/>
              <w:divBdr>
                <w:top w:val="none" w:sz="0" w:space="0" w:color="auto"/>
                <w:left w:val="none" w:sz="0" w:space="0" w:color="auto"/>
                <w:bottom w:val="none" w:sz="0" w:space="0" w:color="auto"/>
                <w:right w:val="none" w:sz="0" w:space="0" w:color="auto"/>
              </w:divBdr>
            </w:div>
          </w:divsChild>
        </w:div>
        <w:div w:id="800878984">
          <w:marLeft w:val="0"/>
          <w:marRight w:val="0"/>
          <w:marTop w:val="0"/>
          <w:marBottom w:val="0"/>
          <w:divBdr>
            <w:top w:val="none" w:sz="0" w:space="0" w:color="auto"/>
            <w:left w:val="none" w:sz="0" w:space="0" w:color="auto"/>
            <w:bottom w:val="none" w:sz="0" w:space="0" w:color="auto"/>
            <w:right w:val="none" w:sz="0" w:space="0" w:color="auto"/>
          </w:divBdr>
        </w:div>
        <w:div w:id="370305245">
          <w:marLeft w:val="0"/>
          <w:marRight w:val="0"/>
          <w:marTop w:val="0"/>
          <w:marBottom w:val="0"/>
          <w:divBdr>
            <w:top w:val="none" w:sz="0" w:space="0" w:color="auto"/>
            <w:left w:val="none" w:sz="0" w:space="0" w:color="auto"/>
            <w:bottom w:val="none" w:sz="0" w:space="0" w:color="auto"/>
            <w:right w:val="none" w:sz="0" w:space="0" w:color="auto"/>
          </w:divBdr>
        </w:div>
        <w:div w:id="139854010">
          <w:marLeft w:val="0"/>
          <w:marRight w:val="0"/>
          <w:marTop w:val="0"/>
          <w:marBottom w:val="0"/>
          <w:divBdr>
            <w:top w:val="none" w:sz="0" w:space="0" w:color="auto"/>
            <w:left w:val="none" w:sz="0" w:space="0" w:color="auto"/>
            <w:bottom w:val="none" w:sz="0" w:space="0" w:color="auto"/>
            <w:right w:val="none" w:sz="0" w:space="0" w:color="auto"/>
          </w:divBdr>
        </w:div>
        <w:div w:id="1455518182">
          <w:marLeft w:val="0"/>
          <w:marRight w:val="0"/>
          <w:marTop w:val="0"/>
          <w:marBottom w:val="0"/>
          <w:divBdr>
            <w:top w:val="none" w:sz="0" w:space="0" w:color="auto"/>
            <w:left w:val="none" w:sz="0" w:space="0" w:color="auto"/>
            <w:bottom w:val="none" w:sz="0" w:space="0" w:color="auto"/>
            <w:right w:val="none" w:sz="0" w:space="0" w:color="auto"/>
          </w:divBdr>
        </w:div>
        <w:div w:id="571549085">
          <w:marLeft w:val="0"/>
          <w:marRight w:val="0"/>
          <w:marTop w:val="0"/>
          <w:marBottom w:val="0"/>
          <w:divBdr>
            <w:top w:val="none" w:sz="0" w:space="0" w:color="auto"/>
            <w:left w:val="none" w:sz="0" w:space="0" w:color="auto"/>
            <w:bottom w:val="none" w:sz="0" w:space="0" w:color="auto"/>
            <w:right w:val="none" w:sz="0" w:space="0" w:color="auto"/>
          </w:divBdr>
        </w:div>
        <w:div w:id="62216162">
          <w:marLeft w:val="0"/>
          <w:marRight w:val="0"/>
          <w:marTop w:val="0"/>
          <w:marBottom w:val="0"/>
          <w:divBdr>
            <w:top w:val="none" w:sz="0" w:space="0" w:color="auto"/>
            <w:left w:val="none" w:sz="0" w:space="0" w:color="auto"/>
            <w:bottom w:val="none" w:sz="0" w:space="0" w:color="auto"/>
            <w:right w:val="none" w:sz="0" w:space="0" w:color="auto"/>
          </w:divBdr>
        </w:div>
        <w:div w:id="150145249">
          <w:marLeft w:val="0"/>
          <w:marRight w:val="0"/>
          <w:marTop w:val="0"/>
          <w:marBottom w:val="0"/>
          <w:divBdr>
            <w:top w:val="none" w:sz="0" w:space="0" w:color="auto"/>
            <w:left w:val="none" w:sz="0" w:space="0" w:color="auto"/>
            <w:bottom w:val="none" w:sz="0" w:space="0" w:color="auto"/>
            <w:right w:val="none" w:sz="0" w:space="0" w:color="auto"/>
          </w:divBdr>
        </w:div>
        <w:div w:id="602037791">
          <w:marLeft w:val="0"/>
          <w:marRight w:val="0"/>
          <w:marTop w:val="0"/>
          <w:marBottom w:val="0"/>
          <w:divBdr>
            <w:top w:val="none" w:sz="0" w:space="0" w:color="auto"/>
            <w:left w:val="none" w:sz="0" w:space="0" w:color="auto"/>
            <w:bottom w:val="none" w:sz="0" w:space="0" w:color="auto"/>
            <w:right w:val="none" w:sz="0" w:space="0" w:color="auto"/>
          </w:divBdr>
        </w:div>
        <w:div w:id="1977905908">
          <w:marLeft w:val="0"/>
          <w:marRight w:val="0"/>
          <w:marTop w:val="0"/>
          <w:marBottom w:val="0"/>
          <w:divBdr>
            <w:top w:val="none" w:sz="0" w:space="0" w:color="auto"/>
            <w:left w:val="none" w:sz="0" w:space="0" w:color="auto"/>
            <w:bottom w:val="none" w:sz="0" w:space="0" w:color="auto"/>
            <w:right w:val="none" w:sz="0" w:space="0" w:color="auto"/>
          </w:divBdr>
        </w:div>
        <w:div w:id="837303592">
          <w:marLeft w:val="0"/>
          <w:marRight w:val="0"/>
          <w:marTop w:val="0"/>
          <w:marBottom w:val="0"/>
          <w:divBdr>
            <w:top w:val="none" w:sz="0" w:space="0" w:color="auto"/>
            <w:left w:val="none" w:sz="0" w:space="0" w:color="auto"/>
            <w:bottom w:val="none" w:sz="0" w:space="0" w:color="auto"/>
            <w:right w:val="none" w:sz="0" w:space="0" w:color="auto"/>
          </w:divBdr>
        </w:div>
        <w:div w:id="1111900928">
          <w:marLeft w:val="0"/>
          <w:marRight w:val="0"/>
          <w:marTop w:val="0"/>
          <w:marBottom w:val="0"/>
          <w:divBdr>
            <w:top w:val="none" w:sz="0" w:space="0" w:color="auto"/>
            <w:left w:val="none" w:sz="0" w:space="0" w:color="auto"/>
            <w:bottom w:val="none" w:sz="0" w:space="0" w:color="auto"/>
            <w:right w:val="none" w:sz="0" w:space="0" w:color="auto"/>
          </w:divBdr>
        </w:div>
        <w:div w:id="1854567974">
          <w:marLeft w:val="0"/>
          <w:marRight w:val="0"/>
          <w:marTop w:val="0"/>
          <w:marBottom w:val="0"/>
          <w:divBdr>
            <w:top w:val="none" w:sz="0" w:space="0" w:color="auto"/>
            <w:left w:val="none" w:sz="0" w:space="0" w:color="auto"/>
            <w:bottom w:val="none" w:sz="0" w:space="0" w:color="auto"/>
            <w:right w:val="none" w:sz="0" w:space="0" w:color="auto"/>
          </w:divBdr>
        </w:div>
        <w:div w:id="1159614322">
          <w:marLeft w:val="0"/>
          <w:marRight w:val="0"/>
          <w:marTop w:val="0"/>
          <w:marBottom w:val="0"/>
          <w:divBdr>
            <w:top w:val="none" w:sz="0" w:space="0" w:color="auto"/>
            <w:left w:val="none" w:sz="0" w:space="0" w:color="auto"/>
            <w:bottom w:val="none" w:sz="0" w:space="0" w:color="auto"/>
            <w:right w:val="none" w:sz="0" w:space="0" w:color="auto"/>
          </w:divBdr>
        </w:div>
        <w:div w:id="2057777386">
          <w:marLeft w:val="0"/>
          <w:marRight w:val="0"/>
          <w:marTop w:val="0"/>
          <w:marBottom w:val="0"/>
          <w:divBdr>
            <w:top w:val="none" w:sz="0" w:space="0" w:color="auto"/>
            <w:left w:val="none" w:sz="0" w:space="0" w:color="auto"/>
            <w:bottom w:val="none" w:sz="0" w:space="0" w:color="auto"/>
            <w:right w:val="none" w:sz="0" w:space="0" w:color="auto"/>
          </w:divBdr>
        </w:div>
        <w:div w:id="455567127">
          <w:marLeft w:val="0"/>
          <w:marRight w:val="0"/>
          <w:marTop w:val="0"/>
          <w:marBottom w:val="0"/>
          <w:divBdr>
            <w:top w:val="none" w:sz="0" w:space="0" w:color="auto"/>
            <w:left w:val="none" w:sz="0" w:space="0" w:color="auto"/>
            <w:bottom w:val="none" w:sz="0" w:space="0" w:color="auto"/>
            <w:right w:val="none" w:sz="0" w:space="0" w:color="auto"/>
          </w:divBdr>
        </w:div>
      </w:divsChild>
    </w:div>
    <w:div w:id="520824916">
      <w:bodyDiv w:val="1"/>
      <w:marLeft w:val="0"/>
      <w:marRight w:val="0"/>
      <w:marTop w:val="0"/>
      <w:marBottom w:val="0"/>
      <w:divBdr>
        <w:top w:val="none" w:sz="0" w:space="0" w:color="auto"/>
        <w:left w:val="none" w:sz="0" w:space="0" w:color="auto"/>
        <w:bottom w:val="none" w:sz="0" w:space="0" w:color="auto"/>
        <w:right w:val="none" w:sz="0" w:space="0" w:color="auto"/>
      </w:divBdr>
      <w:divsChild>
        <w:div w:id="31468494">
          <w:marLeft w:val="0"/>
          <w:marRight w:val="0"/>
          <w:marTop w:val="0"/>
          <w:marBottom w:val="0"/>
          <w:divBdr>
            <w:top w:val="none" w:sz="0" w:space="0" w:color="auto"/>
            <w:left w:val="none" w:sz="0" w:space="0" w:color="auto"/>
            <w:bottom w:val="none" w:sz="0" w:space="0" w:color="auto"/>
            <w:right w:val="none" w:sz="0" w:space="0" w:color="auto"/>
          </w:divBdr>
        </w:div>
        <w:div w:id="388722573">
          <w:marLeft w:val="0"/>
          <w:marRight w:val="0"/>
          <w:marTop w:val="0"/>
          <w:marBottom w:val="0"/>
          <w:divBdr>
            <w:top w:val="none" w:sz="0" w:space="0" w:color="auto"/>
            <w:left w:val="none" w:sz="0" w:space="0" w:color="auto"/>
            <w:bottom w:val="none" w:sz="0" w:space="0" w:color="auto"/>
            <w:right w:val="none" w:sz="0" w:space="0" w:color="auto"/>
          </w:divBdr>
        </w:div>
        <w:div w:id="1003167455">
          <w:marLeft w:val="0"/>
          <w:marRight w:val="0"/>
          <w:marTop w:val="0"/>
          <w:marBottom w:val="0"/>
          <w:divBdr>
            <w:top w:val="none" w:sz="0" w:space="0" w:color="auto"/>
            <w:left w:val="none" w:sz="0" w:space="0" w:color="auto"/>
            <w:bottom w:val="none" w:sz="0" w:space="0" w:color="auto"/>
            <w:right w:val="none" w:sz="0" w:space="0" w:color="auto"/>
          </w:divBdr>
        </w:div>
        <w:div w:id="1628730550">
          <w:marLeft w:val="0"/>
          <w:marRight w:val="0"/>
          <w:marTop w:val="0"/>
          <w:marBottom w:val="0"/>
          <w:divBdr>
            <w:top w:val="none" w:sz="0" w:space="0" w:color="auto"/>
            <w:left w:val="none" w:sz="0" w:space="0" w:color="auto"/>
            <w:bottom w:val="none" w:sz="0" w:space="0" w:color="auto"/>
            <w:right w:val="none" w:sz="0" w:space="0" w:color="auto"/>
          </w:divBdr>
        </w:div>
      </w:divsChild>
    </w:div>
    <w:div w:id="534197088">
      <w:bodyDiv w:val="1"/>
      <w:marLeft w:val="0"/>
      <w:marRight w:val="0"/>
      <w:marTop w:val="0"/>
      <w:marBottom w:val="0"/>
      <w:divBdr>
        <w:top w:val="none" w:sz="0" w:space="0" w:color="auto"/>
        <w:left w:val="none" w:sz="0" w:space="0" w:color="auto"/>
        <w:bottom w:val="none" w:sz="0" w:space="0" w:color="auto"/>
        <w:right w:val="none" w:sz="0" w:space="0" w:color="auto"/>
      </w:divBdr>
      <w:divsChild>
        <w:div w:id="199587311">
          <w:marLeft w:val="0"/>
          <w:marRight w:val="0"/>
          <w:marTop w:val="0"/>
          <w:marBottom w:val="0"/>
          <w:divBdr>
            <w:top w:val="none" w:sz="0" w:space="0" w:color="auto"/>
            <w:left w:val="none" w:sz="0" w:space="0" w:color="auto"/>
            <w:bottom w:val="none" w:sz="0" w:space="0" w:color="auto"/>
            <w:right w:val="none" w:sz="0" w:space="0" w:color="auto"/>
          </w:divBdr>
        </w:div>
        <w:div w:id="562523944">
          <w:marLeft w:val="0"/>
          <w:marRight w:val="0"/>
          <w:marTop w:val="0"/>
          <w:marBottom w:val="0"/>
          <w:divBdr>
            <w:top w:val="none" w:sz="0" w:space="0" w:color="auto"/>
            <w:left w:val="none" w:sz="0" w:space="0" w:color="auto"/>
            <w:bottom w:val="none" w:sz="0" w:space="0" w:color="auto"/>
            <w:right w:val="none" w:sz="0" w:space="0" w:color="auto"/>
          </w:divBdr>
        </w:div>
        <w:div w:id="720977155">
          <w:marLeft w:val="0"/>
          <w:marRight w:val="0"/>
          <w:marTop w:val="0"/>
          <w:marBottom w:val="0"/>
          <w:divBdr>
            <w:top w:val="none" w:sz="0" w:space="0" w:color="auto"/>
            <w:left w:val="none" w:sz="0" w:space="0" w:color="auto"/>
            <w:bottom w:val="none" w:sz="0" w:space="0" w:color="auto"/>
            <w:right w:val="none" w:sz="0" w:space="0" w:color="auto"/>
          </w:divBdr>
        </w:div>
        <w:div w:id="837157047">
          <w:marLeft w:val="0"/>
          <w:marRight w:val="0"/>
          <w:marTop w:val="0"/>
          <w:marBottom w:val="0"/>
          <w:divBdr>
            <w:top w:val="none" w:sz="0" w:space="0" w:color="auto"/>
            <w:left w:val="none" w:sz="0" w:space="0" w:color="auto"/>
            <w:bottom w:val="none" w:sz="0" w:space="0" w:color="auto"/>
            <w:right w:val="none" w:sz="0" w:space="0" w:color="auto"/>
          </w:divBdr>
        </w:div>
        <w:div w:id="1151480791">
          <w:marLeft w:val="0"/>
          <w:marRight w:val="0"/>
          <w:marTop w:val="0"/>
          <w:marBottom w:val="0"/>
          <w:divBdr>
            <w:top w:val="none" w:sz="0" w:space="0" w:color="auto"/>
            <w:left w:val="none" w:sz="0" w:space="0" w:color="auto"/>
            <w:bottom w:val="none" w:sz="0" w:space="0" w:color="auto"/>
            <w:right w:val="none" w:sz="0" w:space="0" w:color="auto"/>
          </w:divBdr>
        </w:div>
        <w:div w:id="1224951592">
          <w:marLeft w:val="0"/>
          <w:marRight w:val="0"/>
          <w:marTop w:val="0"/>
          <w:marBottom w:val="0"/>
          <w:divBdr>
            <w:top w:val="none" w:sz="0" w:space="0" w:color="auto"/>
            <w:left w:val="none" w:sz="0" w:space="0" w:color="auto"/>
            <w:bottom w:val="none" w:sz="0" w:space="0" w:color="auto"/>
            <w:right w:val="none" w:sz="0" w:space="0" w:color="auto"/>
          </w:divBdr>
        </w:div>
        <w:div w:id="1413509346">
          <w:marLeft w:val="0"/>
          <w:marRight w:val="0"/>
          <w:marTop w:val="0"/>
          <w:marBottom w:val="0"/>
          <w:divBdr>
            <w:top w:val="none" w:sz="0" w:space="0" w:color="auto"/>
            <w:left w:val="none" w:sz="0" w:space="0" w:color="auto"/>
            <w:bottom w:val="none" w:sz="0" w:space="0" w:color="auto"/>
            <w:right w:val="none" w:sz="0" w:space="0" w:color="auto"/>
          </w:divBdr>
        </w:div>
        <w:div w:id="1831286754">
          <w:marLeft w:val="0"/>
          <w:marRight w:val="0"/>
          <w:marTop w:val="0"/>
          <w:marBottom w:val="0"/>
          <w:divBdr>
            <w:top w:val="none" w:sz="0" w:space="0" w:color="auto"/>
            <w:left w:val="none" w:sz="0" w:space="0" w:color="auto"/>
            <w:bottom w:val="none" w:sz="0" w:space="0" w:color="auto"/>
            <w:right w:val="none" w:sz="0" w:space="0" w:color="auto"/>
          </w:divBdr>
        </w:div>
        <w:div w:id="1874731234">
          <w:marLeft w:val="0"/>
          <w:marRight w:val="0"/>
          <w:marTop w:val="0"/>
          <w:marBottom w:val="0"/>
          <w:divBdr>
            <w:top w:val="none" w:sz="0" w:space="0" w:color="auto"/>
            <w:left w:val="none" w:sz="0" w:space="0" w:color="auto"/>
            <w:bottom w:val="none" w:sz="0" w:space="0" w:color="auto"/>
            <w:right w:val="none" w:sz="0" w:space="0" w:color="auto"/>
          </w:divBdr>
        </w:div>
        <w:div w:id="2022003415">
          <w:marLeft w:val="0"/>
          <w:marRight w:val="0"/>
          <w:marTop w:val="0"/>
          <w:marBottom w:val="0"/>
          <w:divBdr>
            <w:top w:val="none" w:sz="0" w:space="0" w:color="auto"/>
            <w:left w:val="none" w:sz="0" w:space="0" w:color="auto"/>
            <w:bottom w:val="none" w:sz="0" w:space="0" w:color="auto"/>
            <w:right w:val="none" w:sz="0" w:space="0" w:color="auto"/>
          </w:divBdr>
        </w:div>
        <w:div w:id="2138332549">
          <w:marLeft w:val="0"/>
          <w:marRight w:val="0"/>
          <w:marTop w:val="0"/>
          <w:marBottom w:val="0"/>
          <w:divBdr>
            <w:top w:val="none" w:sz="0" w:space="0" w:color="auto"/>
            <w:left w:val="none" w:sz="0" w:space="0" w:color="auto"/>
            <w:bottom w:val="none" w:sz="0" w:space="0" w:color="auto"/>
            <w:right w:val="none" w:sz="0" w:space="0" w:color="auto"/>
          </w:divBdr>
        </w:div>
      </w:divsChild>
    </w:div>
    <w:div w:id="546725525">
      <w:bodyDiv w:val="1"/>
      <w:marLeft w:val="0"/>
      <w:marRight w:val="0"/>
      <w:marTop w:val="0"/>
      <w:marBottom w:val="0"/>
      <w:divBdr>
        <w:top w:val="none" w:sz="0" w:space="0" w:color="auto"/>
        <w:left w:val="none" w:sz="0" w:space="0" w:color="auto"/>
        <w:bottom w:val="none" w:sz="0" w:space="0" w:color="auto"/>
        <w:right w:val="none" w:sz="0" w:space="0" w:color="auto"/>
      </w:divBdr>
      <w:divsChild>
        <w:div w:id="792552457">
          <w:marLeft w:val="-75"/>
          <w:marRight w:val="0"/>
          <w:marTop w:val="30"/>
          <w:marBottom w:val="30"/>
          <w:divBdr>
            <w:top w:val="none" w:sz="0" w:space="0" w:color="auto"/>
            <w:left w:val="none" w:sz="0" w:space="0" w:color="auto"/>
            <w:bottom w:val="none" w:sz="0" w:space="0" w:color="auto"/>
            <w:right w:val="none" w:sz="0" w:space="0" w:color="auto"/>
          </w:divBdr>
        </w:div>
        <w:div w:id="1389307373">
          <w:marLeft w:val="-75"/>
          <w:marRight w:val="0"/>
          <w:marTop w:val="30"/>
          <w:marBottom w:val="30"/>
          <w:divBdr>
            <w:top w:val="none" w:sz="0" w:space="0" w:color="auto"/>
            <w:left w:val="none" w:sz="0" w:space="0" w:color="auto"/>
            <w:bottom w:val="none" w:sz="0" w:space="0" w:color="auto"/>
            <w:right w:val="none" w:sz="0" w:space="0" w:color="auto"/>
          </w:divBdr>
        </w:div>
      </w:divsChild>
    </w:div>
    <w:div w:id="628053083">
      <w:bodyDiv w:val="1"/>
      <w:marLeft w:val="0"/>
      <w:marRight w:val="0"/>
      <w:marTop w:val="0"/>
      <w:marBottom w:val="0"/>
      <w:divBdr>
        <w:top w:val="none" w:sz="0" w:space="0" w:color="auto"/>
        <w:left w:val="none" w:sz="0" w:space="0" w:color="auto"/>
        <w:bottom w:val="none" w:sz="0" w:space="0" w:color="auto"/>
        <w:right w:val="none" w:sz="0" w:space="0" w:color="auto"/>
      </w:divBdr>
      <w:divsChild>
        <w:div w:id="9531587">
          <w:marLeft w:val="0"/>
          <w:marRight w:val="0"/>
          <w:marTop w:val="0"/>
          <w:marBottom w:val="0"/>
          <w:divBdr>
            <w:top w:val="none" w:sz="0" w:space="0" w:color="auto"/>
            <w:left w:val="none" w:sz="0" w:space="0" w:color="auto"/>
            <w:bottom w:val="none" w:sz="0" w:space="0" w:color="auto"/>
            <w:right w:val="none" w:sz="0" w:space="0" w:color="auto"/>
          </w:divBdr>
        </w:div>
        <w:div w:id="605891750">
          <w:marLeft w:val="0"/>
          <w:marRight w:val="0"/>
          <w:marTop w:val="0"/>
          <w:marBottom w:val="0"/>
          <w:divBdr>
            <w:top w:val="none" w:sz="0" w:space="0" w:color="auto"/>
            <w:left w:val="none" w:sz="0" w:space="0" w:color="auto"/>
            <w:bottom w:val="none" w:sz="0" w:space="0" w:color="auto"/>
            <w:right w:val="none" w:sz="0" w:space="0" w:color="auto"/>
          </w:divBdr>
        </w:div>
      </w:divsChild>
    </w:div>
    <w:div w:id="681737115">
      <w:bodyDiv w:val="1"/>
      <w:marLeft w:val="0"/>
      <w:marRight w:val="0"/>
      <w:marTop w:val="0"/>
      <w:marBottom w:val="0"/>
      <w:divBdr>
        <w:top w:val="none" w:sz="0" w:space="0" w:color="auto"/>
        <w:left w:val="none" w:sz="0" w:space="0" w:color="auto"/>
        <w:bottom w:val="none" w:sz="0" w:space="0" w:color="auto"/>
        <w:right w:val="none" w:sz="0" w:space="0" w:color="auto"/>
      </w:divBdr>
      <w:divsChild>
        <w:div w:id="203949804">
          <w:marLeft w:val="0"/>
          <w:marRight w:val="0"/>
          <w:marTop w:val="0"/>
          <w:marBottom w:val="0"/>
          <w:divBdr>
            <w:top w:val="none" w:sz="0" w:space="0" w:color="auto"/>
            <w:left w:val="none" w:sz="0" w:space="0" w:color="auto"/>
            <w:bottom w:val="none" w:sz="0" w:space="0" w:color="auto"/>
            <w:right w:val="none" w:sz="0" w:space="0" w:color="auto"/>
          </w:divBdr>
        </w:div>
        <w:div w:id="545530075">
          <w:marLeft w:val="0"/>
          <w:marRight w:val="0"/>
          <w:marTop w:val="0"/>
          <w:marBottom w:val="0"/>
          <w:divBdr>
            <w:top w:val="none" w:sz="0" w:space="0" w:color="auto"/>
            <w:left w:val="none" w:sz="0" w:space="0" w:color="auto"/>
            <w:bottom w:val="none" w:sz="0" w:space="0" w:color="auto"/>
            <w:right w:val="none" w:sz="0" w:space="0" w:color="auto"/>
          </w:divBdr>
          <w:divsChild>
            <w:div w:id="2039042631">
              <w:marLeft w:val="-75"/>
              <w:marRight w:val="0"/>
              <w:marTop w:val="30"/>
              <w:marBottom w:val="30"/>
              <w:divBdr>
                <w:top w:val="none" w:sz="0" w:space="0" w:color="auto"/>
                <w:left w:val="none" w:sz="0" w:space="0" w:color="auto"/>
                <w:bottom w:val="none" w:sz="0" w:space="0" w:color="auto"/>
                <w:right w:val="none" w:sz="0" w:space="0" w:color="auto"/>
              </w:divBdr>
              <w:divsChild>
                <w:div w:id="1281959285">
                  <w:marLeft w:val="0"/>
                  <w:marRight w:val="0"/>
                  <w:marTop w:val="0"/>
                  <w:marBottom w:val="0"/>
                  <w:divBdr>
                    <w:top w:val="none" w:sz="0" w:space="0" w:color="auto"/>
                    <w:left w:val="none" w:sz="0" w:space="0" w:color="auto"/>
                    <w:bottom w:val="none" w:sz="0" w:space="0" w:color="auto"/>
                    <w:right w:val="none" w:sz="0" w:space="0" w:color="auto"/>
                  </w:divBdr>
                  <w:divsChild>
                    <w:div w:id="1513833412">
                      <w:marLeft w:val="0"/>
                      <w:marRight w:val="0"/>
                      <w:marTop w:val="0"/>
                      <w:marBottom w:val="0"/>
                      <w:divBdr>
                        <w:top w:val="none" w:sz="0" w:space="0" w:color="auto"/>
                        <w:left w:val="none" w:sz="0" w:space="0" w:color="auto"/>
                        <w:bottom w:val="none" w:sz="0" w:space="0" w:color="auto"/>
                        <w:right w:val="none" w:sz="0" w:space="0" w:color="auto"/>
                      </w:divBdr>
                    </w:div>
                  </w:divsChild>
                </w:div>
                <w:div w:id="1656568244">
                  <w:marLeft w:val="0"/>
                  <w:marRight w:val="0"/>
                  <w:marTop w:val="0"/>
                  <w:marBottom w:val="0"/>
                  <w:divBdr>
                    <w:top w:val="none" w:sz="0" w:space="0" w:color="auto"/>
                    <w:left w:val="none" w:sz="0" w:space="0" w:color="auto"/>
                    <w:bottom w:val="none" w:sz="0" w:space="0" w:color="auto"/>
                    <w:right w:val="none" w:sz="0" w:space="0" w:color="auto"/>
                  </w:divBdr>
                  <w:divsChild>
                    <w:div w:id="2145267524">
                      <w:marLeft w:val="0"/>
                      <w:marRight w:val="0"/>
                      <w:marTop w:val="0"/>
                      <w:marBottom w:val="0"/>
                      <w:divBdr>
                        <w:top w:val="none" w:sz="0" w:space="0" w:color="auto"/>
                        <w:left w:val="none" w:sz="0" w:space="0" w:color="auto"/>
                        <w:bottom w:val="none" w:sz="0" w:space="0" w:color="auto"/>
                        <w:right w:val="none" w:sz="0" w:space="0" w:color="auto"/>
                      </w:divBdr>
                    </w:div>
                  </w:divsChild>
                </w:div>
                <w:div w:id="1769503214">
                  <w:marLeft w:val="0"/>
                  <w:marRight w:val="0"/>
                  <w:marTop w:val="0"/>
                  <w:marBottom w:val="0"/>
                  <w:divBdr>
                    <w:top w:val="none" w:sz="0" w:space="0" w:color="auto"/>
                    <w:left w:val="none" w:sz="0" w:space="0" w:color="auto"/>
                    <w:bottom w:val="none" w:sz="0" w:space="0" w:color="auto"/>
                    <w:right w:val="none" w:sz="0" w:space="0" w:color="auto"/>
                  </w:divBdr>
                  <w:divsChild>
                    <w:div w:id="3668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51232">
      <w:bodyDiv w:val="1"/>
      <w:marLeft w:val="0"/>
      <w:marRight w:val="0"/>
      <w:marTop w:val="0"/>
      <w:marBottom w:val="0"/>
      <w:divBdr>
        <w:top w:val="none" w:sz="0" w:space="0" w:color="auto"/>
        <w:left w:val="none" w:sz="0" w:space="0" w:color="auto"/>
        <w:bottom w:val="none" w:sz="0" w:space="0" w:color="auto"/>
        <w:right w:val="none" w:sz="0" w:space="0" w:color="auto"/>
      </w:divBdr>
      <w:divsChild>
        <w:div w:id="17121577">
          <w:marLeft w:val="0"/>
          <w:marRight w:val="0"/>
          <w:marTop w:val="0"/>
          <w:marBottom w:val="0"/>
          <w:divBdr>
            <w:top w:val="none" w:sz="0" w:space="0" w:color="auto"/>
            <w:left w:val="none" w:sz="0" w:space="0" w:color="auto"/>
            <w:bottom w:val="none" w:sz="0" w:space="0" w:color="auto"/>
            <w:right w:val="none" w:sz="0" w:space="0" w:color="auto"/>
          </w:divBdr>
          <w:divsChild>
            <w:div w:id="156921200">
              <w:marLeft w:val="-75"/>
              <w:marRight w:val="0"/>
              <w:marTop w:val="30"/>
              <w:marBottom w:val="30"/>
              <w:divBdr>
                <w:top w:val="none" w:sz="0" w:space="0" w:color="auto"/>
                <w:left w:val="none" w:sz="0" w:space="0" w:color="auto"/>
                <w:bottom w:val="none" w:sz="0" w:space="0" w:color="auto"/>
                <w:right w:val="none" w:sz="0" w:space="0" w:color="auto"/>
              </w:divBdr>
              <w:divsChild>
                <w:div w:id="322130307">
                  <w:marLeft w:val="0"/>
                  <w:marRight w:val="0"/>
                  <w:marTop w:val="0"/>
                  <w:marBottom w:val="0"/>
                  <w:divBdr>
                    <w:top w:val="none" w:sz="0" w:space="0" w:color="auto"/>
                    <w:left w:val="none" w:sz="0" w:space="0" w:color="auto"/>
                    <w:bottom w:val="none" w:sz="0" w:space="0" w:color="auto"/>
                    <w:right w:val="none" w:sz="0" w:space="0" w:color="auto"/>
                  </w:divBdr>
                  <w:divsChild>
                    <w:div w:id="1723140424">
                      <w:marLeft w:val="0"/>
                      <w:marRight w:val="0"/>
                      <w:marTop w:val="0"/>
                      <w:marBottom w:val="0"/>
                      <w:divBdr>
                        <w:top w:val="none" w:sz="0" w:space="0" w:color="auto"/>
                        <w:left w:val="none" w:sz="0" w:space="0" w:color="auto"/>
                        <w:bottom w:val="none" w:sz="0" w:space="0" w:color="auto"/>
                        <w:right w:val="none" w:sz="0" w:space="0" w:color="auto"/>
                      </w:divBdr>
                    </w:div>
                  </w:divsChild>
                </w:div>
                <w:div w:id="482283763">
                  <w:marLeft w:val="0"/>
                  <w:marRight w:val="0"/>
                  <w:marTop w:val="0"/>
                  <w:marBottom w:val="0"/>
                  <w:divBdr>
                    <w:top w:val="none" w:sz="0" w:space="0" w:color="auto"/>
                    <w:left w:val="none" w:sz="0" w:space="0" w:color="auto"/>
                    <w:bottom w:val="none" w:sz="0" w:space="0" w:color="auto"/>
                    <w:right w:val="none" w:sz="0" w:space="0" w:color="auto"/>
                  </w:divBdr>
                  <w:divsChild>
                    <w:div w:id="1231692453">
                      <w:marLeft w:val="0"/>
                      <w:marRight w:val="0"/>
                      <w:marTop w:val="0"/>
                      <w:marBottom w:val="0"/>
                      <w:divBdr>
                        <w:top w:val="none" w:sz="0" w:space="0" w:color="auto"/>
                        <w:left w:val="none" w:sz="0" w:space="0" w:color="auto"/>
                        <w:bottom w:val="none" w:sz="0" w:space="0" w:color="auto"/>
                        <w:right w:val="none" w:sz="0" w:space="0" w:color="auto"/>
                      </w:divBdr>
                    </w:div>
                  </w:divsChild>
                </w:div>
                <w:div w:id="561525489">
                  <w:marLeft w:val="0"/>
                  <w:marRight w:val="0"/>
                  <w:marTop w:val="0"/>
                  <w:marBottom w:val="0"/>
                  <w:divBdr>
                    <w:top w:val="none" w:sz="0" w:space="0" w:color="auto"/>
                    <w:left w:val="none" w:sz="0" w:space="0" w:color="auto"/>
                    <w:bottom w:val="none" w:sz="0" w:space="0" w:color="auto"/>
                    <w:right w:val="none" w:sz="0" w:space="0" w:color="auto"/>
                  </w:divBdr>
                  <w:divsChild>
                    <w:div w:id="890769480">
                      <w:marLeft w:val="0"/>
                      <w:marRight w:val="0"/>
                      <w:marTop w:val="0"/>
                      <w:marBottom w:val="0"/>
                      <w:divBdr>
                        <w:top w:val="none" w:sz="0" w:space="0" w:color="auto"/>
                        <w:left w:val="none" w:sz="0" w:space="0" w:color="auto"/>
                        <w:bottom w:val="none" w:sz="0" w:space="0" w:color="auto"/>
                        <w:right w:val="none" w:sz="0" w:space="0" w:color="auto"/>
                      </w:divBdr>
                    </w:div>
                  </w:divsChild>
                </w:div>
                <w:div w:id="733816692">
                  <w:marLeft w:val="0"/>
                  <w:marRight w:val="0"/>
                  <w:marTop w:val="0"/>
                  <w:marBottom w:val="0"/>
                  <w:divBdr>
                    <w:top w:val="none" w:sz="0" w:space="0" w:color="auto"/>
                    <w:left w:val="none" w:sz="0" w:space="0" w:color="auto"/>
                    <w:bottom w:val="none" w:sz="0" w:space="0" w:color="auto"/>
                    <w:right w:val="none" w:sz="0" w:space="0" w:color="auto"/>
                  </w:divBdr>
                  <w:divsChild>
                    <w:div w:id="2029015584">
                      <w:marLeft w:val="0"/>
                      <w:marRight w:val="0"/>
                      <w:marTop w:val="0"/>
                      <w:marBottom w:val="0"/>
                      <w:divBdr>
                        <w:top w:val="none" w:sz="0" w:space="0" w:color="auto"/>
                        <w:left w:val="none" w:sz="0" w:space="0" w:color="auto"/>
                        <w:bottom w:val="none" w:sz="0" w:space="0" w:color="auto"/>
                        <w:right w:val="none" w:sz="0" w:space="0" w:color="auto"/>
                      </w:divBdr>
                    </w:div>
                  </w:divsChild>
                </w:div>
                <w:div w:id="867335849">
                  <w:marLeft w:val="0"/>
                  <w:marRight w:val="0"/>
                  <w:marTop w:val="0"/>
                  <w:marBottom w:val="0"/>
                  <w:divBdr>
                    <w:top w:val="none" w:sz="0" w:space="0" w:color="auto"/>
                    <w:left w:val="none" w:sz="0" w:space="0" w:color="auto"/>
                    <w:bottom w:val="none" w:sz="0" w:space="0" w:color="auto"/>
                    <w:right w:val="none" w:sz="0" w:space="0" w:color="auto"/>
                  </w:divBdr>
                  <w:divsChild>
                    <w:div w:id="807161049">
                      <w:marLeft w:val="0"/>
                      <w:marRight w:val="0"/>
                      <w:marTop w:val="0"/>
                      <w:marBottom w:val="0"/>
                      <w:divBdr>
                        <w:top w:val="none" w:sz="0" w:space="0" w:color="auto"/>
                        <w:left w:val="none" w:sz="0" w:space="0" w:color="auto"/>
                        <w:bottom w:val="none" w:sz="0" w:space="0" w:color="auto"/>
                        <w:right w:val="none" w:sz="0" w:space="0" w:color="auto"/>
                      </w:divBdr>
                    </w:div>
                  </w:divsChild>
                </w:div>
                <w:div w:id="1380276388">
                  <w:marLeft w:val="0"/>
                  <w:marRight w:val="0"/>
                  <w:marTop w:val="0"/>
                  <w:marBottom w:val="0"/>
                  <w:divBdr>
                    <w:top w:val="none" w:sz="0" w:space="0" w:color="auto"/>
                    <w:left w:val="none" w:sz="0" w:space="0" w:color="auto"/>
                    <w:bottom w:val="none" w:sz="0" w:space="0" w:color="auto"/>
                    <w:right w:val="none" w:sz="0" w:space="0" w:color="auto"/>
                  </w:divBdr>
                  <w:divsChild>
                    <w:div w:id="1515269212">
                      <w:marLeft w:val="0"/>
                      <w:marRight w:val="0"/>
                      <w:marTop w:val="0"/>
                      <w:marBottom w:val="0"/>
                      <w:divBdr>
                        <w:top w:val="none" w:sz="0" w:space="0" w:color="auto"/>
                        <w:left w:val="none" w:sz="0" w:space="0" w:color="auto"/>
                        <w:bottom w:val="none" w:sz="0" w:space="0" w:color="auto"/>
                        <w:right w:val="none" w:sz="0" w:space="0" w:color="auto"/>
                      </w:divBdr>
                    </w:div>
                  </w:divsChild>
                </w:div>
                <w:div w:id="1546790998">
                  <w:marLeft w:val="0"/>
                  <w:marRight w:val="0"/>
                  <w:marTop w:val="0"/>
                  <w:marBottom w:val="0"/>
                  <w:divBdr>
                    <w:top w:val="none" w:sz="0" w:space="0" w:color="auto"/>
                    <w:left w:val="none" w:sz="0" w:space="0" w:color="auto"/>
                    <w:bottom w:val="none" w:sz="0" w:space="0" w:color="auto"/>
                    <w:right w:val="none" w:sz="0" w:space="0" w:color="auto"/>
                  </w:divBdr>
                  <w:divsChild>
                    <w:div w:id="1077172236">
                      <w:marLeft w:val="0"/>
                      <w:marRight w:val="0"/>
                      <w:marTop w:val="0"/>
                      <w:marBottom w:val="0"/>
                      <w:divBdr>
                        <w:top w:val="none" w:sz="0" w:space="0" w:color="auto"/>
                        <w:left w:val="none" w:sz="0" w:space="0" w:color="auto"/>
                        <w:bottom w:val="none" w:sz="0" w:space="0" w:color="auto"/>
                        <w:right w:val="none" w:sz="0" w:space="0" w:color="auto"/>
                      </w:divBdr>
                    </w:div>
                  </w:divsChild>
                </w:div>
                <w:div w:id="1717462815">
                  <w:marLeft w:val="0"/>
                  <w:marRight w:val="0"/>
                  <w:marTop w:val="0"/>
                  <w:marBottom w:val="0"/>
                  <w:divBdr>
                    <w:top w:val="none" w:sz="0" w:space="0" w:color="auto"/>
                    <w:left w:val="none" w:sz="0" w:space="0" w:color="auto"/>
                    <w:bottom w:val="none" w:sz="0" w:space="0" w:color="auto"/>
                    <w:right w:val="none" w:sz="0" w:space="0" w:color="auto"/>
                  </w:divBdr>
                  <w:divsChild>
                    <w:div w:id="10814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2066">
          <w:marLeft w:val="0"/>
          <w:marRight w:val="0"/>
          <w:marTop w:val="0"/>
          <w:marBottom w:val="0"/>
          <w:divBdr>
            <w:top w:val="none" w:sz="0" w:space="0" w:color="auto"/>
            <w:left w:val="none" w:sz="0" w:space="0" w:color="auto"/>
            <w:bottom w:val="none" w:sz="0" w:space="0" w:color="auto"/>
            <w:right w:val="none" w:sz="0" w:space="0" w:color="auto"/>
          </w:divBdr>
        </w:div>
        <w:div w:id="671834884">
          <w:marLeft w:val="0"/>
          <w:marRight w:val="0"/>
          <w:marTop w:val="0"/>
          <w:marBottom w:val="0"/>
          <w:divBdr>
            <w:top w:val="none" w:sz="0" w:space="0" w:color="auto"/>
            <w:left w:val="none" w:sz="0" w:space="0" w:color="auto"/>
            <w:bottom w:val="none" w:sz="0" w:space="0" w:color="auto"/>
            <w:right w:val="none" w:sz="0" w:space="0" w:color="auto"/>
          </w:divBdr>
          <w:divsChild>
            <w:div w:id="518278380">
              <w:marLeft w:val="-75"/>
              <w:marRight w:val="0"/>
              <w:marTop w:val="30"/>
              <w:marBottom w:val="30"/>
              <w:divBdr>
                <w:top w:val="none" w:sz="0" w:space="0" w:color="auto"/>
                <w:left w:val="none" w:sz="0" w:space="0" w:color="auto"/>
                <w:bottom w:val="none" w:sz="0" w:space="0" w:color="auto"/>
                <w:right w:val="none" w:sz="0" w:space="0" w:color="auto"/>
              </w:divBdr>
              <w:divsChild>
                <w:div w:id="57635420">
                  <w:marLeft w:val="0"/>
                  <w:marRight w:val="0"/>
                  <w:marTop w:val="0"/>
                  <w:marBottom w:val="0"/>
                  <w:divBdr>
                    <w:top w:val="none" w:sz="0" w:space="0" w:color="auto"/>
                    <w:left w:val="none" w:sz="0" w:space="0" w:color="auto"/>
                    <w:bottom w:val="none" w:sz="0" w:space="0" w:color="auto"/>
                    <w:right w:val="none" w:sz="0" w:space="0" w:color="auto"/>
                  </w:divBdr>
                  <w:divsChild>
                    <w:div w:id="2005012217">
                      <w:marLeft w:val="0"/>
                      <w:marRight w:val="0"/>
                      <w:marTop w:val="0"/>
                      <w:marBottom w:val="0"/>
                      <w:divBdr>
                        <w:top w:val="none" w:sz="0" w:space="0" w:color="auto"/>
                        <w:left w:val="none" w:sz="0" w:space="0" w:color="auto"/>
                        <w:bottom w:val="none" w:sz="0" w:space="0" w:color="auto"/>
                        <w:right w:val="none" w:sz="0" w:space="0" w:color="auto"/>
                      </w:divBdr>
                    </w:div>
                  </w:divsChild>
                </w:div>
                <w:div w:id="124665242">
                  <w:marLeft w:val="0"/>
                  <w:marRight w:val="0"/>
                  <w:marTop w:val="0"/>
                  <w:marBottom w:val="0"/>
                  <w:divBdr>
                    <w:top w:val="none" w:sz="0" w:space="0" w:color="auto"/>
                    <w:left w:val="none" w:sz="0" w:space="0" w:color="auto"/>
                    <w:bottom w:val="none" w:sz="0" w:space="0" w:color="auto"/>
                    <w:right w:val="none" w:sz="0" w:space="0" w:color="auto"/>
                  </w:divBdr>
                  <w:divsChild>
                    <w:div w:id="1509901404">
                      <w:marLeft w:val="0"/>
                      <w:marRight w:val="0"/>
                      <w:marTop w:val="0"/>
                      <w:marBottom w:val="0"/>
                      <w:divBdr>
                        <w:top w:val="none" w:sz="0" w:space="0" w:color="auto"/>
                        <w:left w:val="none" w:sz="0" w:space="0" w:color="auto"/>
                        <w:bottom w:val="none" w:sz="0" w:space="0" w:color="auto"/>
                        <w:right w:val="none" w:sz="0" w:space="0" w:color="auto"/>
                      </w:divBdr>
                    </w:div>
                  </w:divsChild>
                </w:div>
                <w:div w:id="138574888">
                  <w:marLeft w:val="0"/>
                  <w:marRight w:val="0"/>
                  <w:marTop w:val="0"/>
                  <w:marBottom w:val="0"/>
                  <w:divBdr>
                    <w:top w:val="none" w:sz="0" w:space="0" w:color="auto"/>
                    <w:left w:val="none" w:sz="0" w:space="0" w:color="auto"/>
                    <w:bottom w:val="none" w:sz="0" w:space="0" w:color="auto"/>
                    <w:right w:val="none" w:sz="0" w:space="0" w:color="auto"/>
                  </w:divBdr>
                  <w:divsChild>
                    <w:div w:id="1716852354">
                      <w:marLeft w:val="0"/>
                      <w:marRight w:val="0"/>
                      <w:marTop w:val="0"/>
                      <w:marBottom w:val="0"/>
                      <w:divBdr>
                        <w:top w:val="none" w:sz="0" w:space="0" w:color="auto"/>
                        <w:left w:val="none" w:sz="0" w:space="0" w:color="auto"/>
                        <w:bottom w:val="none" w:sz="0" w:space="0" w:color="auto"/>
                        <w:right w:val="none" w:sz="0" w:space="0" w:color="auto"/>
                      </w:divBdr>
                    </w:div>
                  </w:divsChild>
                </w:div>
                <w:div w:id="364913366">
                  <w:marLeft w:val="0"/>
                  <w:marRight w:val="0"/>
                  <w:marTop w:val="0"/>
                  <w:marBottom w:val="0"/>
                  <w:divBdr>
                    <w:top w:val="none" w:sz="0" w:space="0" w:color="auto"/>
                    <w:left w:val="none" w:sz="0" w:space="0" w:color="auto"/>
                    <w:bottom w:val="none" w:sz="0" w:space="0" w:color="auto"/>
                    <w:right w:val="none" w:sz="0" w:space="0" w:color="auto"/>
                  </w:divBdr>
                  <w:divsChild>
                    <w:div w:id="1097558958">
                      <w:marLeft w:val="0"/>
                      <w:marRight w:val="0"/>
                      <w:marTop w:val="0"/>
                      <w:marBottom w:val="0"/>
                      <w:divBdr>
                        <w:top w:val="none" w:sz="0" w:space="0" w:color="auto"/>
                        <w:left w:val="none" w:sz="0" w:space="0" w:color="auto"/>
                        <w:bottom w:val="none" w:sz="0" w:space="0" w:color="auto"/>
                        <w:right w:val="none" w:sz="0" w:space="0" w:color="auto"/>
                      </w:divBdr>
                    </w:div>
                  </w:divsChild>
                </w:div>
                <w:div w:id="401951341">
                  <w:marLeft w:val="0"/>
                  <w:marRight w:val="0"/>
                  <w:marTop w:val="0"/>
                  <w:marBottom w:val="0"/>
                  <w:divBdr>
                    <w:top w:val="none" w:sz="0" w:space="0" w:color="auto"/>
                    <w:left w:val="none" w:sz="0" w:space="0" w:color="auto"/>
                    <w:bottom w:val="none" w:sz="0" w:space="0" w:color="auto"/>
                    <w:right w:val="none" w:sz="0" w:space="0" w:color="auto"/>
                  </w:divBdr>
                  <w:divsChild>
                    <w:div w:id="1691368946">
                      <w:marLeft w:val="0"/>
                      <w:marRight w:val="0"/>
                      <w:marTop w:val="0"/>
                      <w:marBottom w:val="0"/>
                      <w:divBdr>
                        <w:top w:val="none" w:sz="0" w:space="0" w:color="auto"/>
                        <w:left w:val="none" w:sz="0" w:space="0" w:color="auto"/>
                        <w:bottom w:val="none" w:sz="0" w:space="0" w:color="auto"/>
                        <w:right w:val="none" w:sz="0" w:space="0" w:color="auto"/>
                      </w:divBdr>
                    </w:div>
                  </w:divsChild>
                </w:div>
                <w:div w:id="585505152">
                  <w:marLeft w:val="0"/>
                  <w:marRight w:val="0"/>
                  <w:marTop w:val="0"/>
                  <w:marBottom w:val="0"/>
                  <w:divBdr>
                    <w:top w:val="none" w:sz="0" w:space="0" w:color="auto"/>
                    <w:left w:val="none" w:sz="0" w:space="0" w:color="auto"/>
                    <w:bottom w:val="none" w:sz="0" w:space="0" w:color="auto"/>
                    <w:right w:val="none" w:sz="0" w:space="0" w:color="auto"/>
                  </w:divBdr>
                  <w:divsChild>
                    <w:div w:id="984285729">
                      <w:marLeft w:val="0"/>
                      <w:marRight w:val="0"/>
                      <w:marTop w:val="0"/>
                      <w:marBottom w:val="0"/>
                      <w:divBdr>
                        <w:top w:val="none" w:sz="0" w:space="0" w:color="auto"/>
                        <w:left w:val="none" w:sz="0" w:space="0" w:color="auto"/>
                        <w:bottom w:val="none" w:sz="0" w:space="0" w:color="auto"/>
                        <w:right w:val="none" w:sz="0" w:space="0" w:color="auto"/>
                      </w:divBdr>
                    </w:div>
                  </w:divsChild>
                </w:div>
                <w:div w:id="797263026">
                  <w:marLeft w:val="0"/>
                  <w:marRight w:val="0"/>
                  <w:marTop w:val="0"/>
                  <w:marBottom w:val="0"/>
                  <w:divBdr>
                    <w:top w:val="none" w:sz="0" w:space="0" w:color="auto"/>
                    <w:left w:val="none" w:sz="0" w:space="0" w:color="auto"/>
                    <w:bottom w:val="none" w:sz="0" w:space="0" w:color="auto"/>
                    <w:right w:val="none" w:sz="0" w:space="0" w:color="auto"/>
                  </w:divBdr>
                  <w:divsChild>
                    <w:div w:id="294726503">
                      <w:marLeft w:val="0"/>
                      <w:marRight w:val="0"/>
                      <w:marTop w:val="0"/>
                      <w:marBottom w:val="0"/>
                      <w:divBdr>
                        <w:top w:val="none" w:sz="0" w:space="0" w:color="auto"/>
                        <w:left w:val="none" w:sz="0" w:space="0" w:color="auto"/>
                        <w:bottom w:val="none" w:sz="0" w:space="0" w:color="auto"/>
                        <w:right w:val="none" w:sz="0" w:space="0" w:color="auto"/>
                      </w:divBdr>
                    </w:div>
                  </w:divsChild>
                </w:div>
                <w:div w:id="813062295">
                  <w:marLeft w:val="0"/>
                  <w:marRight w:val="0"/>
                  <w:marTop w:val="0"/>
                  <w:marBottom w:val="0"/>
                  <w:divBdr>
                    <w:top w:val="none" w:sz="0" w:space="0" w:color="auto"/>
                    <w:left w:val="none" w:sz="0" w:space="0" w:color="auto"/>
                    <w:bottom w:val="none" w:sz="0" w:space="0" w:color="auto"/>
                    <w:right w:val="none" w:sz="0" w:space="0" w:color="auto"/>
                  </w:divBdr>
                  <w:divsChild>
                    <w:div w:id="2010862666">
                      <w:marLeft w:val="0"/>
                      <w:marRight w:val="0"/>
                      <w:marTop w:val="0"/>
                      <w:marBottom w:val="0"/>
                      <w:divBdr>
                        <w:top w:val="none" w:sz="0" w:space="0" w:color="auto"/>
                        <w:left w:val="none" w:sz="0" w:space="0" w:color="auto"/>
                        <w:bottom w:val="none" w:sz="0" w:space="0" w:color="auto"/>
                        <w:right w:val="none" w:sz="0" w:space="0" w:color="auto"/>
                      </w:divBdr>
                    </w:div>
                  </w:divsChild>
                </w:div>
                <w:div w:id="869876370">
                  <w:marLeft w:val="0"/>
                  <w:marRight w:val="0"/>
                  <w:marTop w:val="0"/>
                  <w:marBottom w:val="0"/>
                  <w:divBdr>
                    <w:top w:val="none" w:sz="0" w:space="0" w:color="auto"/>
                    <w:left w:val="none" w:sz="0" w:space="0" w:color="auto"/>
                    <w:bottom w:val="none" w:sz="0" w:space="0" w:color="auto"/>
                    <w:right w:val="none" w:sz="0" w:space="0" w:color="auto"/>
                  </w:divBdr>
                  <w:divsChild>
                    <w:div w:id="718015540">
                      <w:marLeft w:val="0"/>
                      <w:marRight w:val="0"/>
                      <w:marTop w:val="0"/>
                      <w:marBottom w:val="0"/>
                      <w:divBdr>
                        <w:top w:val="none" w:sz="0" w:space="0" w:color="auto"/>
                        <w:left w:val="none" w:sz="0" w:space="0" w:color="auto"/>
                        <w:bottom w:val="none" w:sz="0" w:space="0" w:color="auto"/>
                        <w:right w:val="none" w:sz="0" w:space="0" w:color="auto"/>
                      </w:divBdr>
                    </w:div>
                  </w:divsChild>
                </w:div>
                <w:div w:id="946036842">
                  <w:marLeft w:val="0"/>
                  <w:marRight w:val="0"/>
                  <w:marTop w:val="0"/>
                  <w:marBottom w:val="0"/>
                  <w:divBdr>
                    <w:top w:val="none" w:sz="0" w:space="0" w:color="auto"/>
                    <w:left w:val="none" w:sz="0" w:space="0" w:color="auto"/>
                    <w:bottom w:val="none" w:sz="0" w:space="0" w:color="auto"/>
                    <w:right w:val="none" w:sz="0" w:space="0" w:color="auto"/>
                  </w:divBdr>
                  <w:divsChild>
                    <w:div w:id="758864670">
                      <w:marLeft w:val="0"/>
                      <w:marRight w:val="0"/>
                      <w:marTop w:val="0"/>
                      <w:marBottom w:val="0"/>
                      <w:divBdr>
                        <w:top w:val="none" w:sz="0" w:space="0" w:color="auto"/>
                        <w:left w:val="none" w:sz="0" w:space="0" w:color="auto"/>
                        <w:bottom w:val="none" w:sz="0" w:space="0" w:color="auto"/>
                        <w:right w:val="none" w:sz="0" w:space="0" w:color="auto"/>
                      </w:divBdr>
                    </w:div>
                  </w:divsChild>
                </w:div>
                <w:div w:id="957182731">
                  <w:marLeft w:val="0"/>
                  <w:marRight w:val="0"/>
                  <w:marTop w:val="0"/>
                  <w:marBottom w:val="0"/>
                  <w:divBdr>
                    <w:top w:val="none" w:sz="0" w:space="0" w:color="auto"/>
                    <w:left w:val="none" w:sz="0" w:space="0" w:color="auto"/>
                    <w:bottom w:val="none" w:sz="0" w:space="0" w:color="auto"/>
                    <w:right w:val="none" w:sz="0" w:space="0" w:color="auto"/>
                  </w:divBdr>
                  <w:divsChild>
                    <w:div w:id="341862575">
                      <w:marLeft w:val="0"/>
                      <w:marRight w:val="0"/>
                      <w:marTop w:val="0"/>
                      <w:marBottom w:val="0"/>
                      <w:divBdr>
                        <w:top w:val="none" w:sz="0" w:space="0" w:color="auto"/>
                        <w:left w:val="none" w:sz="0" w:space="0" w:color="auto"/>
                        <w:bottom w:val="none" w:sz="0" w:space="0" w:color="auto"/>
                        <w:right w:val="none" w:sz="0" w:space="0" w:color="auto"/>
                      </w:divBdr>
                    </w:div>
                  </w:divsChild>
                </w:div>
                <w:div w:id="988440214">
                  <w:marLeft w:val="0"/>
                  <w:marRight w:val="0"/>
                  <w:marTop w:val="0"/>
                  <w:marBottom w:val="0"/>
                  <w:divBdr>
                    <w:top w:val="none" w:sz="0" w:space="0" w:color="auto"/>
                    <w:left w:val="none" w:sz="0" w:space="0" w:color="auto"/>
                    <w:bottom w:val="none" w:sz="0" w:space="0" w:color="auto"/>
                    <w:right w:val="none" w:sz="0" w:space="0" w:color="auto"/>
                  </w:divBdr>
                  <w:divsChild>
                    <w:div w:id="1041519109">
                      <w:marLeft w:val="0"/>
                      <w:marRight w:val="0"/>
                      <w:marTop w:val="0"/>
                      <w:marBottom w:val="0"/>
                      <w:divBdr>
                        <w:top w:val="none" w:sz="0" w:space="0" w:color="auto"/>
                        <w:left w:val="none" w:sz="0" w:space="0" w:color="auto"/>
                        <w:bottom w:val="none" w:sz="0" w:space="0" w:color="auto"/>
                        <w:right w:val="none" w:sz="0" w:space="0" w:color="auto"/>
                      </w:divBdr>
                    </w:div>
                  </w:divsChild>
                </w:div>
                <w:div w:id="1060641651">
                  <w:marLeft w:val="0"/>
                  <w:marRight w:val="0"/>
                  <w:marTop w:val="0"/>
                  <w:marBottom w:val="0"/>
                  <w:divBdr>
                    <w:top w:val="none" w:sz="0" w:space="0" w:color="auto"/>
                    <w:left w:val="none" w:sz="0" w:space="0" w:color="auto"/>
                    <w:bottom w:val="none" w:sz="0" w:space="0" w:color="auto"/>
                    <w:right w:val="none" w:sz="0" w:space="0" w:color="auto"/>
                  </w:divBdr>
                  <w:divsChild>
                    <w:div w:id="1745180730">
                      <w:marLeft w:val="0"/>
                      <w:marRight w:val="0"/>
                      <w:marTop w:val="0"/>
                      <w:marBottom w:val="0"/>
                      <w:divBdr>
                        <w:top w:val="none" w:sz="0" w:space="0" w:color="auto"/>
                        <w:left w:val="none" w:sz="0" w:space="0" w:color="auto"/>
                        <w:bottom w:val="none" w:sz="0" w:space="0" w:color="auto"/>
                        <w:right w:val="none" w:sz="0" w:space="0" w:color="auto"/>
                      </w:divBdr>
                    </w:div>
                  </w:divsChild>
                </w:div>
                <w:div w:id="1164858267">
                  <w:marLeft w:val="0"/>
                  <w:marRight w:val="0"/>
                  <w:marTop w:val="0"/>
                  <w:marBottom w:val="0"/>
                  <w:divBdr>
                    <w:top w:val="none" w:sz="0" w:space="0" w:color="auto"/>
                    <w:left w:val="none" w:sz="0" w:space="0" w:color="auto"/>
                    <w:bottom w:val="none" w:sz="0" w:space="0" w:color="auto"/>
                    <w:right w:val="none" w:sz="0" w:space="0" w:color="auto"/>
                  </w:divBdr>
                  <w:divsChild>
                    <w:div w:id="1163593860">
                      <w:marLeft w:val="0"/>
                      <w:marRight w:val="0"/>
                      <w:marTop w:val="0"/>
                      <w:marBottom w:val="0"/>
                      <w:divBdr>
                        <w:top w:val="none" w:sz="0" w:space="0" w:color="auto"/>
                        <w:left w:val="none" w:sz="0" w:space="0" w:color="auto"/>
                        <w:bottom w:val="none" w:sz="0" w:space="0" w:color="auto"/>
                        <w:right w:val="none" w:sz="0" w:space="0" w:color="auto"/>
                      </w:divBdr>
                    </w:div>
                  </w:divsChild>
                </w:div>
                <w:div w:id="1169632762">
                  <w:marLeft w:val="0"/>
                  <w:marRight w:val="0"/>
                  <w:marTop w:val="0"/>
                  <w:marBottom w:val="0"/>
                  <w:divBdr>
                    <w:top w:val="none" w:sz="0" w:space="0" w:color="auto"/>
                    <w:left w:val="none" w:sz="0" w:space="0" w:color="auto"/>
                    <w:bottom w:val="none" w:sz="0" w:space="0" w:color="auto"/>
                    <w:right w:val="none" w:sz="0" w:space="0" w:color="auto"/>
                  </w:divBdr>
                  <w:divsChild>
                    <w:div w:id="365525509">
                      <w:marLeft w:val="0"/>
                      <w:marRight w:val="0"/>
                      <w:marTop w:val="0"/>
                      <w:marBottom w:val="0"/>
                      <w:divBdr>
                        <w:top w:val="none" w:sz="0" w:space="0" w:color="auto"/>
                        <w:left w:val="none" w:sz="0" w:space="0" w:color="auto"/>
                        <w:bottom w:val="none" w:sz="0" w:space="0" w:color="auto"/>
                        <w:right w:val="none" w:sz="0" w:space="0" w:color="auto"/>
                      </w:divBdr>
                    </w:div>
                  </w:divsChild>
                </w:div>
                <w:div w:id="1173185377">
                  <w:marLeft w:val="0"/>
                  <w:marRight w:val="0"/>
                  <w:marTop w:val="0"/>
                  <w:marBottom w:val="0"/>
                  <w:divBdr>
                    <w:top w:val="none" w:sz="0" w:space="0" w:color="auto"/>
                    <w:left w:val="none" w:sz="0" w:space="0" w:color="auto"/>
                    <w:bottom w:val="none" w:sz="0" w:space="0" w:color="auto"/>
                    <w:right w:val="none" w:sz="0" w:space="0" w:color="auto"/>
                  </w:divBdr>
                  <w:divsChild>
                    <w:div w:id="1572346303">
                      <w:marLeft w:val="0"/>
                      <w:marRight w:val="0"/>
                      <w:marTop w:val="0"/>
                      <w:marBottom w:val="0"/>
                      <w:divBdr>
                        <w:top w:val="none" w:sz="0" w:space="0" w:color="auto"/>
                        <w:left w:val="none" w:sz="0" w:space="0" w:color="auto"/>
                        <w:bottom w:val="none" w:sz="0" w:space="0" w:color="auto"/>
                        <w:right w:val="none" w:sz="0" w:space="0" w:color="auto"/>
                      </w:divBdr>
                    </w:div>
                  </w:divsChild>
                </w:div>
                <w:div w:id="1271665558">
                  <w:marLeft w:val="0"/>
                  <w:marRight w:val="0"/>
                  <w:marTop w:val="0"/>
                  <w:marBottom w:val="0"/>
                  <w:divBdr>
                    <w:top w:val="none" w:sz="0" w:space="0" w:color="auto"/>
                    <w:left w:val="none" w:sz="0" w:space="0" w:color="auto"/>
                    <w:bottom w:val="none" w:sz="0" w:space="0" w:color="auto"/>
                    <w:right w:val="none" w:sz="0" w:space="0" w:color="auto"/>
                  </w:divBdr>
                  <w:divsChild>
                    <w:div w:id="1018509138">
                      <w:marLeft w:val="0"/>
                      <w:marRight w:val="0"/>
                      <w:marTop w:val="0"/>
                      <w:marBottom w:val="0"/>
                      <w:divBdr>
                        <w:top w:val="none" w:sz="0" w:space="0" w:color="auto"/>
                        <w:left w:val="none" w:sz="0" w:space="0" w:color="auto"/>
                        <w:bottom w:val="none" w:sz="0" w:space="0" w:color="auto"/>
                        <w:right w:val="none" w:sz="0" w:space="0" w:color="auto"/>
                      </w:divBdr>
                    </w:div>
                  </w:divsChild>
                </w:div>
                <w:div w:id="1353532313">
                  <w:marLeft w:val="0"/>
                  <w:marRight w:val="0"/>
                  <w:marTop w:val="0"/>
                  <w:marBottom w:val="0"/>
                  <w:divBdr>
                    <w:top w:val="none" w:sz="0" w:space="0" w:color="auto"/>
                    <w:left w:val="none" w:sz="0" w:space="0" w:color="auto"/>
                    <w:bottom w:val="none" w:sz="0" w:space="0" w:color="auto"/>
                    <w:right w:val="none" w:sz="0" w:space="0" w:color="auto"/>
                  </w:divBdr>
                  <w:divsChild>
                    <w:div w:id="1939556462">
                      <w:marLeft w:val="0"/>
                      <w:marRight w:val="0"/>
                      <w:marTop w:val="0"/>
                      <w:marBottom w:val="0"/>
                      <w:divBdr>
                        <w:top w:val="none" w:sz="0" w:space="0" w:color="auto"/>
                        <w:left w:val="none" w:sz="0" w:space="0" w:color="auto"/>
                        <w:bottom w:val="none" w:sz="0" w:space="0" w:color="auto"/>
                        <w:right w:val="none" w:sz="0" w:space="0" w:color="auto"/>
                      </w:divBdr>
                    </w:div>
                  </w:divsChild>
                </w:div>
                <w:div w:id="1638486938">
                  <w:marLeft w:val="0"/>
                  <w:marRight w:val="0"/>
                  <w:marTop w:val="0"/>
                  <w:marBottom w:val="0"/>
                  <w:divBdr>
                    <w:top w:val="none" w:sz="0" w:space="0" w:color="auto"/>
                    <w:left w:val="none" w:sz="0" w:space="0" w:color="auto"/>
                    <w:bottom w:val="none" w:sz="0" w:space="0" w:color="auto"/>
                    <w:right w:val="none" w:sz="0" w:space="0" w:color="auto"/>
                  </w:divBdr>
                  <w:divsChild>
                    <w:div w:id="1862281448">
                      <w:marLeft w:val="0"/>
                      <w:marRight w:val="0"/>
                      <w:marTop w:val="0"/>
                      <w:marBottom w:val="0"/>
                      <w:divBdr>
                        <w:top w:val="none" w:sz="0" w:space="0" w:color="auto"/>
                        <w:left w:val="none" w:sz="0" w:space="0" w:color="auto"/>
                        <w:bottom w:val="none" w:sz="0" w:space="0" w:color="auto"/>
                        <w:right w:val="none" w:sz="0" w:space="0" w:color="auto"/>
                      </w:divBdr>
                    </w:div>
                  </w:divsChild>
                </w:div>
                <w:div w:id="1681614032">
                  <w:marLeft w:val="0"/>
                  <w:marRight w:val="0"/>
                  <w:marTop w:val="0"/>
                  <w:marBottom w:val="0"/>
                  <w:divBdr>
                    <w:top w:val="none" w:sz="0" w:space="0" w:color="auto"/>
                    <w:left w:val="none" w:sz="0" w:space="0" w:color="auto"/>
                    <w:bottom w:val="none" w:sz="0" w:space="0" w:color="auto"/>
                    <w:right w:val="none" w:sz="0" w:space="0" w:color="auto"/>
                  </w:divBdr>
                  <w:divsChild>
                    <w:div w:id="139081918">
                      <w:marLeft w:val="0"/>
                      <w:marRight w:val="0"/>
                      <w:marTop w:val="0"/>
                      <w:marBottom w:val="0"/>
                      <w:divBdr>
                        <w:top w:val="none" w:sz="0" w:space="0" w:color="auto"/>
                        <w:left w:val="none" w:sz="0" w:space="0" w:color="auto"/>
                        <w:bottom w:val="none" w:sz="0" w:space="0" w:color="auto"/>
                        <w:right w:val="none" w:sz="0" w:space="0" w:color="auto"/>
                      </w:divBdr>
                    </w:div>
                  </w:divsChild>
                </w:div>
                <w:div w:id="1829049842">
                  <w:marLeft w:val="0"/>
                  <w:marRight w:val="0"/>
                  <w:marTop w:val="0"/>
                  <w:marBottom w:val="0"/>
                  <w:divBdr>
                    <w:top w:val="none" w:sz="0" w:space="0" w:color="auto"/>
                    <w:left w:val="none" w:sz="0" w:space="0" w:color="auto"/>
                    <w:bottom w:val="none" w:sz="0" w:space="0" w:color="auto"/>
                    <w:right w:val="none" w:sz="0" w:space="0" w:color="auto"/>
                  </w:divBdr>
                  <w:divsChild>
                    <w:div w:id="157625306">
                      <w:marLeft w:val="0"/>
                      <w:marRight w:val="0"/>
                      <w:marTop w:val="0"/>
                      <w:marBottom w:val="0"/>
                      <w:divBdr>
                        <w:top w:val="none" w:sz="0" w:space="0" w:color="auto"/>
                        <w:left w:val="none" w:sz="0" w:space="0" w:color="auto"/>
                        <w:bottom w:val="none" w:sz="0" w:space="0" w:color="auto"/>
                        <w:right w:val="none" w:sz="0" w:space="0" w:color="auto"/>
                      </w:divBdr>
                    </w:div>
                  </w:divsChild>
                </w:div>
                <w:div w:id="1877698138">
                  <w:marLeft w:val="0"/>
                  <w:marRight w:val="0"/>
                  <w:marTop w:val="0"/>
                  <w:marBottom w:val="0"/>
                  <w:divBdr>
                    <w:top w:val="none" w:sz="0" w:space="0" w:color="auto"/>
                    <w:left w:val="none" w:sz="0" w:space="0" w:color="auto"/>
                    <w:bottom w:val="none" w:sz="0" w:space="0" w:color="auto"/>
                    <w:right w:val="none" w:sz="0" w:space="0" w:color="auto"/>
                  </w:divBdr>
                  <w:divsChild>
                    <w:div w:id="2130052206">
                      <w:marLeft w:val="0"/>
                      <w:marRight w:val="0"/>
                      <w:marTop w:val="0"/>
                      <w:marBottom w:val="0"/>
                      <w:divBdr>
                        <w:top w:val="none" w:sz="0" w:space="0" w:color="auto"/>
                        <w:left w:val="none" w:sz="0" w:space="0" w:color="auto"/>
                        <w:bottom w:val="none" w:sz="0" w:space="0" w:color="auto"/>
                        <w:right w:val="none" w:sz="0" w:space="0" w:color="auto"/>
                      </w:divBdr>
                    </w:div>
                  </w:divsChild>
                </w:div>
                <w:div w:id="1980918643">
                  <w:marLeft w:val="0"/>
                  <w:marRight w:val="0"/>
                  <w:marTop w:val="0"/>
                  <w:marBottom w:val="0"/>
                  <w:divBdr>
                    <w:top w:val="none" w:sz="0" w:space="0" w:color="auto"/>
                    <w:left w:val="none" w:sz="0" w:space="0" w:color="auto"/>
                    <w:bottom w:val="none" w:sz="0" w:space="0" w:color="auto"/>
                    <w:right w:val="none" w:sz="0" w:space="0" w:color="auto"/>
                  </w:divBdr>
                  <w:divsChild>
                    <w:div w:id="1730499156">
                      <w:marLeft w:val="0"/>
                      <w:marRight w:val="0"/>
                      <w:marTop w:val="0"/>
                      <w:marBottom w:val="0"/>
                      <w:divBdr>
                        <w:top w:val="none" w:sz="0" w:space="0" w:color="auto"/>
                        <w:left w:val="none" w:sz="0" w:space="0" w:color="auto"/>
                        <w:bottom w:val="none" w:sz="0" w:space="0" w:color="auto"/>
                        <w:right w:val="none" w:sz="0" w:space="0" w:color="auto"/>
                      </w:divBdr>
                    </w:div>
                  </w:divsChild>
                </w:div>
                <w:div w:id="2080059497">
                  <w:marLeft w:val="0"/>
                  <w:marRight w:val="0"/>
                  <w:marTop w:val="0"/>
                  <w:marBottom w:val="0"/>
                  <w:divBdr>
                    <w:top w:val="none" w:sz="0" w:space="0" w:color="auto"/>
                    <w:left w:val="none" w:sz="0" w:space="0" w:color="auto"/>
                    <w:bottom w:val="none" w:sz="0" w:space="0" w:color="auto"/>
                    <w:right w:val="none" w:sz="0" w:space="0" w:color="auto"/>
                  </w:divBdr>
                  <w:divsChild>
                    <w:div w:id="5299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4748">
          <w:marLeft w:val="0"/>
          <w:marRight w:val="0"/>
          <w:marTop w:val="0"/>
          <w:marBottom w:val="0"/>
          <w:divBdr>
            <w:top w:val="none" w:sz="0" w:space="0" w:color="auto"/>
            <w:left w:val="none" w:sz="0" w:space="0" w:color="auto"/>
            <w:bottom w:val="none" w:sz="0" w:space="0" w:color="auto"/>
            <w:right w:val="none" w:sz="0" w:space="0" w:color="auto"/>
          </w:divBdr>
        </w:div>
        <w:div w:id="1642618710">
          <w:marLeft w:val="0"/>
          <w:marRight w:val="0"/>
          <w:marTop w:val="0"/>
          <w:marBottom w:val="0"/>
          <w:divBdr>
            <w:top w:val="none" w:sz="0" w:space="0" w:color="auto"/>
            <w:left w:val="none" w:sz="0" w:space="0" w:color="auto"/>
            <w:bottom w:val="none" w:sz="0" w:space="0" w:color="auto"/>
            <w:right w:val="none" w:sz="0" w:space="0" w:color="auto"/>
          </w:divBdr>
        </w:div>
      </w:divsChild>
    </w:div>
    <w:div w:id="734085552">
      <w:bodyDiv w:val="1"/>
      <w:marLeft w:val="0"/>
      <w:marRight w:val="0"/>
      <w:marTop w:val="0"/>
      <w:marBottom w:val="0"/>
      <w:divBdr>
        <w:top w:val="none" w:sz="0" w:space="0" w:color="auto"/>
        <w:left w:val="none" w:sz="0" w:space="0" w:color="auto"/>
        <w:bottom w:val="none" w:sz="0" w:space="0" w:color="auto"/>
        <w:right w:val="none" w:sz="0" w:space="0" w:color="auto"/>
      </w:divBdr>
      <w:divsChild>
        <w:div w:id="1601714503">
          <w:marLeft w:val="0"/>
          <w:marRight w:val="0"/>
          <w:marTop w:val="0"/>
          <w:marBottom w:val="0"/>
          <w:divBdr>
            <w:top w:val="none" w:sz="0" w:space="0" w:color="auto"/>
            <w:left w:val="none" w:sz="0" w:space="0" w:color="auto"/>
            <w:bottom w:val="none" w:sz="0" w:space="0" w:color="auto"/>
            <w:right w:val="none" w:sz="0" w:space="0" w:color="auto"/>
          </w:divBdr>
        </w:div>
        <w:div w:id="2130510989">
          <w:marLeft w:val="0"/>
          <w:marRight w:val="0"/>
          <w:marTop w:val="0"/>
          <w:marBottom w:val="0"/>
          <w:divBdr>
            <w:top w:val="none" w:sz="0" w:space="0" w:color="auto"/>
            <w:left w:val="none" w:sz="0" w:space="0" w:color="auto"/>
            <w:bottom w:val="none" w:sz="0" w:space="0" w:color="auto"/>
            <w:right w:val="none" w:sz="0" w:space="0" w:color="auto"/>
          </w:divBdr>
        </w:div>
      </w:divsChild>
    </w:div>
    <w:div w:id="858274614">
      <w:bodyDiv w:val="1"/>
      <w:marLeft w:val="0"/>
      <w:marRight w:val="0"/>
      <w:marTop w:val="0"/>
      <w:marBottom w:val="0"/>
      <w:divBdr>
        <w:top w:val="none" w:sz="0" w:space="0" w:color="auto"/>
        <w:left w:val="none" w:sz="0" w:space="0" w:color="auto"/>
        <w:bottom w:val="none" w:sz="0" w:space="0" w:color="auto"/>
        <w:right w:val="none" w:sz="0" w:space="0" w:color="auto"/>
      </w:divBdr>
      <w:divsChild>
        <w:div w:id="1172329834">
          <w:marLeft w:val="0"/>
          <w:marRight w:val="0"/>
          <w:marTop w:val="0"/>
          <w:marBottom w:val="0"/>
          <w:divBdr>
            <w:top w:val="none" w:sz="0" w:space="0" w:color="auto"/>
            <w:left w:val="none" w:sz="0" w:space="0" w:color="auto"/>
            <w:bottom w:val="none" w:sz="0" w:space="0" w:color="auto"/>
            <w:right w:val="none" w:sz="0" w:space="0" w:color="auto"/>
          </w:divBdr>
        </w:div>
        <w:div w:id="1376344502">
          <w:marLeft w:val="0"/>
          <w:marRight w:val="0"/>
          <w:marTop w:val="0"/>
          <w:marBottom w:val="0"/>
          <w:divBdr>
            <w:top w:val="none" w:sz="0" w:space="0" w:color="auto"/>
            <w:left w:val="none" w:sz="0" w:space="0" w:color="auto"/>
            <w:bottom w:val="none" w:sz="0" w:space="0" w:color="auto"/>
            <w:right w:val="none" w:sz="0" w:space="0" w:color="auto"/>
          </w:divBdr>
        </w:div>
      </w:divsChild>
    </w:div>
    <w:div w:id="869998612">
      <w:bodyDiv w:val="1"/>
      <w:marLeft w:val="0"/>
      <w:marRight w:val="0"/>
      <w:marTop w:val="0"/>
      <w:marBottom w:val="0"/>
      <w:divBdr>
        <w:top w:val="none" w:sz="0" w:space="0" w:color="auto"/>
        <w:left w:val="none" w:sz="0" w:space="0" w:color="auto"/>
        <w:bottom w:val="none" w:sz="0" w:space="0" w:color="auto"/>
        <w:right w:val="none" w:sz="0" w:space="0" w:color="auto"/>
      </w:divBdr>
      <w:divsChild>
        <w:div w:id="39980428">
          <w:marLeft w:val="0"/>
          <w:marRight w:val="0"/>
          <w:marTop w:val="0"/>
          <w:marBottom w:val="0"/>
          <w:divBdr>
            <w:top w:val="none" w:sz="0" w:space="0" w:color="auto"/>
            <w:left w:val="none" w:sz="0" w:space="0" w:color="auto"/>
            <w:bottom w:val="none" w:sz="0" w:space="0" w:color="auto"/>
            <w:right w:val="none" w:sz="0" w:space="0" w:color="auto"/>
          </w:divBdr>
        </w:div>
        <w:div w:id="91584301">
          <w:marLeft w:val="0"/>
          <w:marRight w:val="0"/>
          <w:marTop w:val="0"/>
          <w:marBottom w:val="0"/>
          <w:divBdr>
            <w:top w:val="none" w:sz="0" w:space="0" w:color="auto"/>
            <w:left w:val="none" w:sz="0" w:space="0" w:color="auto"/>
            <w:bottom w:val="none" w:sz="0" w:space="0" w:color="auto"/>
            <w:right w:val="none" w:sz="0" w:space="0" w:color="auto"/>
          </w:divBdr>
        </w:div>
        <w:div w:id="151871154">
          <w:marLeft w:val="0"/>
          <w:marRight w:val="0"/>
          <w:marTop w:val="0"/>
          <w:marBottom w:val="0"/>
          <w:divBdr>
            <w:top w:val="none" w:sz="0" w:space="0" w:color="auto"/>
            <w:left w:val="none" w:sz="0" w:space="0" w:color="auto"/>
            <w:bottom w:val="none" w:sz="0" w:space="0" w:color="auto"/>
            <w:right w:val="none" w:sz="0" w:space="0" w:color="auto"/>
          </w:divBdr>
        </w:div>
        <w:div w:id="184250795">
          <w:marLeft w:val="0"/>
          <w:marRight w:val="0"/>
          <w:marTop w:val="0"/>
          <w:marBottom w:val="0"/>
          <w:divBdr>
            <w:top w:val="none" w:sz="0" w:space="0" w:color="auto"/>
            <w:left w:val="none" w:sz="0" w:space="0" w:color="auto"/>
            <w:bottom w:val="none" w:sz="0" w:space="0" w:color="auto"/>
            <w:right w:val="none" w:sz="0" w:space="0" w:color="auto"/>
          </w:divBdr>
        </w:div>
        <w:div w:id="188496448">
          <w:marLeft w:val="0"/>
          <w:marRight w:val="0"/>
          <w:marTop w:val="0"/>
          <w:marBottom w:val="0"/>
          <w:divBdr>
            <w:top w:val="none" w:sz="0" w:space="0" w:color="auto"/>
            <w:left w:val="none" w:sz="0" w:space="0" w:color="auto"/>
            <w:bottom w:val="none" w:sz="0" w:space="0" w:color="auto"/>
            <w:right w:val="none" w:sz="0" w:space="0" w:color="auto"/>
          </w:divBdr>
        </w:div>
        <w:div w:id="493028372">
          <w:marLeft w:val="0"/>
          <w:marRight w:val="0"/>
          <w:marTop w:val="0"/>
          <w:marBottom w:val="0"/>
          <w:divBdr>
            <w:top w:val="none" w:sz="0" w:space="0" w:color="auto"/>
            <w:left w:val="none" w:sz="0" w:space="0" w:color="auto"/>
            <w:bottom w:val="none" w:sz="0" w:space="0" w:color="auto"/>
            <w:right w:val="none" w:sz="0" w:space="0" w:color="auto"/>
          </w:divBdr>
        </w:div>
        <w:div w:id="649946536">
          <w:marLeft w:val="0"/>
          <w:marRight w:val="0"/>
          <w:marTop w:val="0"/>
          <w:marBottom w:val="0"/>
          <w:divBdr>
            <w:top w:val="none" w:sz="0" w:space="0" w:color="auto"/>
            <w:left w:val="none" w:sz="0" w:space="0" w:color="auto"/>
            <w:bottom w:val="none" w:sz="0" w:space="0" w:color="auto"/>
            <w:right w:val="none" w:sz="0" w:space="0" w:color="auto"/>
          </w:divBdr>
        </w:div>
        <w:div w:id="685864698">
          <w:marLeft w:val="0"/>
          <w:marRight w:val="0"/>
          <w:marTop w:val="0"/>
          <w:marBottom w:val="0"/>
          <w:divBdr>
            <w:top w:val="none" w:sz="0" w:space="0" w:color="auto"/>
            <w:left w:val="none" w:sz="0" w:space="0" w:color="auto"/>
            <w:bottom w:val="none" w:sz="0" w:space="0" w:color="auto"/>
            <w:right w:val="none" w:sz="0" w:space="0" w:color="auto"/>
          </w:divBdr>
        </w:div>
        <w:div w:id="831332645">
          <w:marLeft w:val="0"/>
          <w:marRight w:val="0"/>
          <w:marTop w:val="0"/>
          <w:marBottom w:val="0"/>
          <w:divBdr>
            <w:top w:val="none" w:sz="0" w:space="0" w:color="auto"/>
            <w:left w:val="none" w:sz="0" w:space="0" w:color="auto"/>
            <w:bottom w:val="none" w:sz="0" w:space="0" w:color="auto"/>
            <w:right w:val="none" w:sz="0" w:space="0" w:color="auto"/>
          </w:divBdr>
        </w:div>
        <w:div w:id="878977671">
          <w:marLeft w:val="0"/>
          <w:marRight w:val="0"/>
          <w:marTop w:val="0"/>
          <w:marBottom w:val="0"/>
          <w:divBdr>
            <w:top w:val="none" w:sz="0" w:space="0" w:color="auto"/>
            <w:left w:val="none" w:sz="0" w:space="0" w:color="auto"/>
            <w:bottom w:val="none" w:sz="0" w:space="0" w:color="auto"/>
            <w:right w:val="none" w:sz="0" w:space="0" w:color="auto"/>
          </w:divBdr>
        </w:div>
        <w:div w:id="932133183">
          <w:marLeft w:val="0"/>
          <w:marRight w:val="0"/>
          <w:marTop w:val="0"/>
          <w:marBottom w:val="0"/>
          <w:divBdr>
            <w:top w:val="none" w:sz="0" w:space="0" w:color="auto"/>
            <w:left w:val="none" w:sz="0" w:space="0" w:color="auto"/>
            <w:bottom w:val="none" w:sz="0" w:space="0" w:color="auto"/>
            <w:right w:val="none" w:sz="0" w:space="0" w:color="auto"/>
          </w:divBdr>
        </w:div>
        <w:div w:id="1038968393">
          <w:marLeft w:val="0"/>
          <w:marRight w:val="0"/>
          <w:marTop w:val="0"/>
          <w:marBottom w:val="0"/>
          <w:divBdr>
            <w:top w:val="none" w:sz="0" w:space="0" w:color="auto"/>
            <w:left w:val="none" w:sz="0" w:space="0" w:color="auto"/>
            <w:bottom w:val="none" w:sz="0" w:space="0" w:color="auto"/>
            <w:right w:val="none" w:sz="0" w:space="0" w:color="auto"/>
          </w:divBdr>
        </w:div>
        <w:div w:id="1062800826">
          <w:marLeft w:val="0"/>
          <w:marRight w:val="0"/>
          <w:marTop w:val="0"/>
          <w:marBottom w:val="0"/>
          <w:divBdr>
            <w:top w:val="none" w:sz="0" w:space="0" w:color="auto"/>
            <w:left w:val="none" w:sz="0" w:space="0" w:color="auto"/>
            <w:bottom w:val="none" w:sz="0" w:space="0" w:color="auto"/>
            <w:right w:val="none" w:sz="0" w:space="0" w:color="auto"/>
          </w:divBdr>
        </w:div>
        <w:div w:id="1524055756">
          <w:marLeft w:val="0"/>
          <w:marRight w:val="0"/>
          <w:marTop w:val="0"/>
          <w:marBottom w:val="0"/>
          <w:divBdr>
            <w:top w:val="none" w:sz="0" w:space="0" w:color="auto"/>
            <w:left w:val="none" w:sz="0" w:space="0" w:color="auto"/>
            <w:bottom w:val="none" w:sz="0" w:space="0" w:color="auto"/>
            <w:right w:val="none" w:sz="0" w:space="0" w:color="auto"/>
          </w:divBdr>
        </w:div>
        <w:div w:id="1710570911">
          <w:marLeft w:val="0"/>
          <w:marRight w:val="0"/>
          <w:marTop w:val="0"/>
          <w:marBottom w:val="0"/>
          <w:divBdr>
            <w:top w:val="none" w:sz="0" w:space="0" w:color="auto"/>
            <w:left w:val="none" w:sz="0" w:space="0" w:color="auto"/>
            <w:bottom w:val="none" w:sz="0" w:space="0" w:color="auto"/>
            <w:right w:val="none" w:sz="0" w:space="0" w:color="auto"/>
          </w:divBdr>
        </w:div>
        <w:div w:id="1754886251">
          <w:marLeft w:val="0"/>
          <w:marRight w:val="0"/>
          <w:marTop w:val="0"/>
          <w:marBottom w:val="0"/>
          <w:divBdr>
            <w:top w:val="none" w:sz="0" w:space="0" w:color="auto"/>
            <w:left w:val="none" w:sz="0" w:space="0" w:color="auto"/>
            <w:bottom w:val="none" w:sz="0" w:space="0" w:color="auto"/>
            <w:right w:val="none" w:sz="0" w:space="0" w:color="auto"/>
          </w:divBdr>
        </w:div>
        <w:div w:id="2141918592">
          <w:marLeft w:val="0"/>
          <w:marRight w:val="0"/>
          <w:marTop w:val="0"/>
          <w:marBottom w:val="0"/>
          <w:divBdr>
            <w:top w:val="none" w:sz="0" w:space="0" w:color="auto"/>
            <w:left w:val="none" w:sz="0" w:space="0" w:color="auto"/>
            <w:bottom w:val="none" w:sz="0" w:space="0" w:color="auto"/>
            <w:right w:val="none" w:sz="0" w:space="0" w:color="auto"/>
          </w:divBdr>
        </w:div>
      </w:divsChild>
    </w:div>
    <w:div w:id="981155650">
      <w:bodyDiv w:val="1"/>
      <w:marLeft w:val="0"/>
      <w:marRight w:val="0"/>
      <w:marTop w:val="0"/>
      <w:marBottom w:val="0"/>
      <w:divBdr>
        <w:top w:val="none" w:sz="0" w:space="0" w:color="auto"/>
        <w:left w:val="none" w:sz="0" w:space="0" w:color="auto"/>
        <w:bottom w:val="none" w:sz="0" w:space="0" w:color="auto"/>
        <w:right w:val="none" w:sz="0" w:space="0" w:color="auto"/>
      </w:divBdr>
      <w:divsChild>
        <w:div w:id="1476142052">
          <w:marLeft w:val="0"/>
          <w:marRight w:val="0"/>
          <w:marTop w:val="0"/>
          <w:marBottom w:val="0"/>
          <w:divBdr>
            <w:top w:val="none" w:sz="0" w:space="0" w:color="auto"/>
            <w:left w:val="none" w:sz="0" w:space="0" w:color="auto"/>
            <w:bottom w:val="none" w:sz="0" w:space="0" w:color="auto"/>
            <w:right w:val="none" w:sz="0" w:space="0" w:color="auto"/>
          </w:divBdr>
        </w:div>
        <w:div w:id="1801461910">
          <w:marLeft w:val="0"/>
          <w:marRight w:val="0"/>
          <w:marTop w:val="0"/>
          <w:marBottom w:val="0"/>
          <w:divBdr>
            <w:top w:val="none" w:sz="0" w:space="0" w:color="auto"/>
            <w:left w:val="none" w:sz="0" w:space="0" w:color="auto"/>
            <w:bottom w:val="none" w:sz="0" w:space="0" w:color="auto"/>
            <w:right w:val="none" w:sz="0" w:space="0" w:color="auto"/>
          </w:divBdr>
        </w:div>
        <w:div w:id="1995834073">
          <w:marLeft w:val="0"/>
          <w:marRight w:val="0"/>
          <w:marTop w:val="0"/>
          <w:marBottom w:val="0"/>
          <w:divBdr>
            <w:top w:val="none" w:sz="0" w:space="0" w:color="auto"/>
            <w:left w:val="none" w:sz="0" w:space="0" w:color="auto"/>
            <w:bottom w:val="none" w:sz="0" w:space="0" w:color="auto"/>
            <w:right w:val="none" w:sz="0" w:space="0" w:color="auto"/>
          </w:divBdr>
        </w:div>
      </w:divsChild>
    </w:div>
    <w:div w:id="1011758037">
      <w:bodyDiv w:val="1"/>
      <w:marLeft w:val="0"/>
      <w:marRight w:val="0"/>
      <w:marTop w:val="0"/>
      <w:marBottom w:val="0"/>
      <w:divBdr>
        <w:top w:val="none" w:sz="0" w:space="0" w:color="auto"/>
        <w:left w:val="none" w:sz="0" w:space="0" w:color="auto"/>
        <w:bottom w:val="none" w:sz="0" w:space="0" w:color="auto"/>
        <w:right w:val="none" w:sz="0" w:space="0" w:color="auto"/>
      </w:divBdr>
      <w:divsChild>
        <w:div w:id="483545570">
          <w:marLeft w:val="0"/>
          <w:marRight w:val="0"/>
          <w:marTop w:val="0"/>
          <w:marBottom w:val="0"/>
          <w:divBdr>
            <w:top w:val="none" w:sz="0" w:space="0" w:color="auto"/>
            <w:left w:val="none" w:sz="0" w:space="0" w:color="auto"/>
            <w:bottom w:val="none" w:sz="0" w:space="0" w:color="auto"/>
            <w:right w:val="none" w:sz="0" w:space="0" w:color="auto"/>
          </w:divBdr>
        </w:div>
        <w:div w:id="545918240">
          <w:marLeft w:val="0"/>
          <w:marRight w:val="0"/>
          <w:marTop w:val="0"/>
          <w:marBottom w:val="0"/>
          <w:divBdr>
            <w:top w:val="none" w:sz="0" w:space="0" w:color="auto"/>
            <w:left w:val="none" w:sz="0" w:space="0" w:color="auto"/>
            <w:bottom w:val="none" w:sz="0" w:space="0" w:color="auto"/>
            <w:right w:val="none" w:sz="0" w:space="0" w:color="auto"/>
          </w:divBdr>
        </w:div>
        <w:div w:id="1094588769">
          <w:marLeft w:val="0"/>
          <w:marRight w:val="0"/>
          <w:marTop w:val="0"/>
          <w:marBottom w:val="0"/>
          <w:divBdr>
            <w:top w:val="none" w:sz="0" w:space="0" w:color="auto"/>
            <w:left w:val="none" w:sz="0" w:space="0" w:color="auto"/>
            <w:bottom w:val="none" w:sz="0" w:space="0" w:color="auto"/>
            <w:right w:val="none" w:sz="0" w:space="0" w:color="auto"/>
          </w:divBdr>
        </w:div>
        <w:div w:id="1862547702">
          <w:marLeft w:val="0"/>
          <w:marRight w:val="0"/>
          <w:marTop w:val="0"/>
          <w:marBottom w:val="0"/>
          <w:divBdr>
            <w:top w:val="none" w:sz="0" w:space="0" w:color="auto"/>
            <w:left w:val="none" w:sz="0" w:space="0" w:color="auto"/>
            <w:bottom w:val="none" w:sz="0" w:space="0" w:color="auto"/>
            <w:right w:val="none" w:sz="0" w:space="0" w:color="auto"/>
          </w:divBdr>
        </w:div>
      </w:divsChild>
    </w:div>
    <w:div w:id="1047414404">
      <w:bodyDiv w:val="1"/>
      <w:marLeft w:val="0"/>
      <w:marRight w:val="0"/>
      <w:marTop w:val="0"/>
      <w:marBottom w:val="0"/>
      <w:divBdr>
        <w:top w:val="none" w:sz="0" w:space="0" w:color="auto"/>
        <w:left w:val="none" w:sz="0" w:space="0" w:color="auto"/>
        <w:bottom w:val="none" w:sz="0" w:space="0" w:color="auto"/>
        <w:right w:val="none" w:sz="0" w:space="0" w:color="auto"/>
      </w:divBdr>
      <w:divsChild>
        <w:div w:id="344675159">
          <w:marLeft w:val="0"/>
          <w:marRight w:val="0"/>
          <w:marTop w:val="0"/>
          <w:marBottom w:val="0"/>
          <w:divBdr>
            <w:top w:val="none" w:sz="0" w:space="0" w:color="auto"/>
            <w:left w:val="none" w:sz="0" w:space="0" w:color="auto"/>
            <w:bottom w:val="none" w:sz="0" w:space="0" w:color="auto"/>
            <w:right w:val="none" w:sz="0" w:space="0" w:color="auto"/>
          </w:divBdr>
        </w:div>
        <w:div w:id="361328095">
          <w:marLeft w:val="0"/>
          <w:marRight w:val="0"/>
          <w:marTop w:val="0"/>
          <w:marBottom w:val="0"/>
          <w:divBdr>
            <w:top w:val="none" w:sz="0" w:space="0" w:color="auto"/>
            <w:left w:val="none" w:sz="0" w:space="0" w:color="auto"/>
            <w:bottom w:val="none" w:sz="0" w:space="0" w:color="auto"/>
            <w:right w:val="none" w:sz="0" w:space="0" w:color="auto"/>
          </w:divBdr>
        </w:div>
        <w:div w:id="854537383">
          <w:marLeft w:val="0"/>
          <w:marRight w:val="0"/>
          <w:marTop w:val="0"/>
          <w:marBottom w:val="0"/>
          <w:divBdr>
            <w:top w:val="none" w:sz="0" w:space="0" w:color="auto"/>
            <w:left w:val="none" w:sz="0" w:space="0" w:color="auto"/>
            <w:bottom w:val="none" w:sz="0" w:space="0" w:color="auto"/>
            <w:right w:val="none" w:sz="0" w:space="0" w:color="auto"/>
          </w:divBdr>
        </w:div>
        <w:div w:id="900942461">
          <w:marLeft w:val="0"/>
          <w:marRight w:val="0"/>
          <w:marTop w:val="0"/>
          <w:marBottom w:val="0"/>
          <w:divBdr>
            <w:top w:val="none" w:sz="0" w:space="0" w:color="auto"/>
            <w:left w:val="none" w:sz="0" w:space="0" w:color="auto"/>
            <w:bottom w:val="none" w:sz="0" w:space="0" w:color="auto"/>
            <w:right w:val="none" w:sz="0" w:space="0" w:color="auto"/>
          </w:divBdr>
        </w:div>
        <w:div w:id="1028600874">
          <w:marLeft w:val="0"/>
          <w:marRight w:val="0"/>
          <w:marTop w:val="0"/>
          <w:marBottom w:val="0"/>
          <w:divBdr>
            <w:top w:val="none" w:sz="0" w:space="0" w:color="auto"/>
            <w:left w:val="none" w:sz="0" w:space="0" w:color="auto"/>
            <w:bottom w:val="none" w:sz="0" w:space="0" w:color="auto"/>
            <w:right w:val="none" w:sz="0" w:space="0" w:color="auto"/>
          </w:divBdr>
        </w:div>
        <w:div w:id="1621106921">
          <w:marLeft w:val="0"/>
          <w:marRight w:val="0"/>
          <w:marTop w:val="0"/>
          <w:marBottom w:val="0"/>
          <w:divBdr>
            <w:top w:val="none" w:sz="0" w:space="0" w:color="auto"/>
            <w:left w:val="none" w:sz="0" w:space="0" w:color="auto"/>
            <w:bottom w:val="none" w:sz="0" w:space="0" w:color="auto"/>
            <w:right w:val="none" w:sz="0" w:space="0" w:color="auto"/>
          </w:divBdr>
        </w:div>
      </w:divsChild>
    </w:div>
    <w:div w:id="1088621020">
      <w:bodyDiv w:val="1"/>
      <w:marLeft w:val="0"/>
      <w:marRight w:val="0"/>
      <w:marTop w:val="0"/>
      <w:marBottom w:val="0"/>
      <w:divBdr>
        <w:top w:val="none" w:sz="0" w:space="0" w:color="auto"/>
        <w:left w:val="none" w:sz="0" w:space="0" w:color="auto"/>
        <w:bottom w:val="none" w:sz="0" w:space="0" w:color="auto"/>
        <w:right w:val="none" w:sz="0" w:space="0" w:color="auto"/>
      </w:divBdr>
      <w:divsChild>
        <w:div w:id="1246262807">
          <w:marLeft w:val="0"/>
          <w:marRight w:val="0"/>
          <w:marTop w:val="0"/>
          <w:marBottom w:val="0"/>
          <w:divBdr>
            <w:top w:val="none" w:sz="0" w:space="0" w:color="auto"/>
            <w:left w:val="none" w:sz="0" w:space="0" w:color="auto"/>
            <w:bottom w:val="none" w:sz="0" w:space="0" w:color="auto"/>
            <w:right w:val="none" w:sz="0" w:space="0" w:color="auto"/>
          </w:divBdr>
        </w:div>
        <w:div w:id="1957368078">
          <w:marLeft w:val="0"/>
          <w:marRight w:val="0"/>
          <w:marTop w:val="0"/>
          <w:marBottom w:val="0"/>
          <w:divBdr>
            <w:top w:val="none" w:sz="0" w:space="0" w:color="auto"/>
            <w:left w:val="none" w:sz="0" w:space="0" w:color="auto"/>
            <w:bottom w:val="none" w:sz="0" w:space="0" w:color="auto"/>
            <w:right w:val="none" w:sz="0" w:space="0" w:color="auto"/>
          </w:divBdr>
        </w:div>
      </w:divsChild>
    </w:div>
    <w:div w:id="1121850127">
      <w:bodyDiv w:val="1"/>
      <w:marLeft w:val="0"/>
      <w:marRight w:val="0"/>
      <w:marTop w:val="0"/>
      <w:marBottom w:val="0"/>
      <w:divBdr>
        <w:top w:val="none" w:sz="0" w:space="0" w:color="auto"/>
        <w:left w:val="none" w:sz="0" w:space="0" w:color="auto"/>
        <w:bottom w:val="none" w:sz="0" w:space="0" w:color="auto"/>
        <w:right w:val="none" w:sz="0" w:space="0" w:color="auto"/>
      </w:divBdr>
      <w:divsChild>
        <w:div w:id="136730816">
          <w:marLeft w:val="0"/>
          <w:marRight w:val="0"/>
          <w:marTop w:val="0"/>
          <w:marBottom w:val="0"/>
          <w:divBdr>
            <w:top w:val="none" w:sz="0" w:space="0" w:color="auto"/>
            <w:left w:val="none" w:sz="0" w:space="0" w:color="auto"/>
            <w:bottom w:val="none" w:sz="0" w:space="0" w:color="auto"/>
            <w:right w:val="none" w:sz="0" w:space="0" w:color="auto"/>
          </w:divBdr>
        </w:div>
        <w:div w:id="330717576">
          <w:marLeft w:val="0"/>
          <w:marRight w:val="0"/>
          <w:marTop w:val="0"/>
          <w:marBottom w:val="0"/>
          <w:divBdr>
            <w:top w:val="none" w:sz="0" w:space="0" w:color="auto"/>
            <w:left w:val="none" w:sz="0" w:space="0" w:color="auto"/>
            <w:bottom w:val="none" w:sz="0" w:space="0" w:color="auto"/>
            <w:right w:val="none" w:sz="0" w:space="0" w:color="auto"/>
          </w:divBdr>
        </w:div>
        <w:div w:id="1069496630">
          <w:marLeft w:val="0"/>
          <w:marRight w:val="0"/>
          <w:marTop w:val="0"/>
          <w:marBottom w:val="0"/>
          <w:divBdr>
            <w:top w:val="none" w:sz="0" w:space="0" w:color="auto"/>
            <w:left w:val="none" w:sz="0" w:space="0" w:color="auto"/>
            <w:bottom w:val="none" w:sz="0" w:space="0" w:color="auto"/>
            <w:right w:val="none" w:sz="0" w:space="0" w:color="auto"/>
          </w:divBdr>
        </w:div>
        <w:div w:id="1606767944">
          <w:marLeft w:val="0"/>
          <w:marRight w:val="0"/>
          <w:marTop w:val="0"/>
          <w:marBottom w:val="0"/>
          <w:divBdr>
            <w:top w:val="none" w:sz="0" w:space="0" w:color="auto"/>
            <w:left w:val="none" w:sz="0" w:space="0" w:color="auto"/>
            <w:bottom w:val="none" w:sz="0" w:space="0" w:color="auto"/>
            <w:right w:val="none" w:sz="0" w:space="0" w:color="auto"/>
          </w:divBdr>
        </w:div>
        <w:div w:id="1642072446">
          <w:marLeft w:val="0"/>
          <w:marRight w:val="0"/>
          <w:marTop w:val="0"/>
          <w:marBottom w:val="0"/>
          <w:divBdr>
            <w:top w:val="none" w:sz="0" w:space="0" w:color="auto"/>
            <w:left w:val="none" w:sz="0" w:space="0" w:color="auto"/>
            <w:bottom w:val="none" w:sz="0" w:space="0" w:color="auto"/>
            <w:right w:val="none" w:sz="0" w:space="0" w:color="auto"/>
          </w:divBdr>
        </w:div>
        <w:div w:id="1862937028">
          <w:marLeft w:val="0"/>
          <w:marRight w:val="0"/>
          <w:marTop w:val="0"/>
          <w:marBottom w:val="0"/>
          <w:divBdr>
            <w:top w:val="none" w:sz="0" w:space="0" w:color="auto"/>
            <w:left w:val="none" w:sz="0" w:space="0" w:color="auto"/>
            <w:bottom w:val="none" w:sz="0" w:space="0" w:color="auto"/>
            <w:right w:val="none" w:sz="0" w:space="0" w:color="auto"/>
          </w:divBdr>
        </w:div>
        <w:div w:id="2002804106">
          <w:marLeft w:val="0"/>
          <w:marRight w:val="0"/>
          <w:marTop w:val="0"/>
          <w:marBottom w:val="0"/>
          <w:divBdr>
            <w:top w:val="none" w:sz="0" w:space="0" w:color="auto"/>
            <w:left w:val="none" w:sz="0" w:space="0" w:color="auto"/>
            <w:bottom w:val="none" w:sz="0" w:space="0" w:color="auto"/>
            <w:right w:val="none" w:sz="0" w:space="0" w:color="auto"/>
          </w:divBdr>
        </w:div>
      </w:divsChild>
    </w:div>
    <w:div w:id="1141536527">
      <w:bodyDiv w:val="1"/>
      <w:marLeft w:val="0"/>
      <w:marRight w:val="0"/>
      <w:marTop w:val="0"/>
      <w:marBottom w:val="0"/>
      <w:divBdr>
        <w:top w:val="none" w:sz="0" w:space="0" w:color="auto"/>
        <w:left w:val="none" w:sz="0" w:space="0" w:color="auto"/>
        <w:bottom w:val="none" w:sz="0" w:space="0" w:color="auto"/>
        <w:right w:val="none" w:sz="0" w:space="0" w:color="auto"/>
      </w:divBdr>
      <w:divsChild>
        <w:div w:id="986252021">
          <w:marLeft w:val="0"/>
          <w:marRight w:val="0"/>
          <w:marTop w:val="0"/>
          <w:marBottom w:val="0"/>
          <w:divBdr>
            <w:top w:val="none" w:sz="0" w:space="0" w:color="auto"/>
            <w:left w:val="none" w:sz="0" w:space="0" w:color="auto"/>
            <w:bottom w:val="none" w:sz="0" w:space="0" w:color="auto"/>
            <w:right w:val="none" w:sz="0" w:space="0" w:color="auto"/>
          </w:divBdr>
        </w:div>
        <w:div w:id="2036081548">
          <w:marLeft w:val="0"/>
          <w:marRight w:val="0"/>
          <w:marTop w:val="0"/>
          <w:marBottom w:val="0"/>
          <w:divBdr>
            <w:top w:val="none" w:sz="0" w:space="0" w:color="auto"/>
            <w:left w:val="none" w:sz="0" w:space="0" w:color="auto"/>
            <w:bottom w:val="none" w:sz="0" w:space="0" w:color="auto"/>
            <w:right w:val="none" w:sz="0" w:space="0" w:color="auto"/>
          </w:divBdr>
        </w:div>
      </w:divsChild>
    </w:div>
    <w:div w:id="1251548488">
      <w:bodyDiv w:val="1"/>
      <w:marLeft w:val="0"/>
      <w:marRight w:val="0"/>
      <w:marTop w:val="0"/>
      <w:marBottom w:val="0"/>
      <w:divBdr>
        <w:top w:val="none" w:sz="0" w:space="0" w:color="auto"/>
        <w:left w:val="none" w:sz="0" w:space="0" w:color="auto"/>
        <w:bottom w:val="none" w:sz="0" w:space="0" w:color="auto"/>
        <w:right w:val="none" w:sz="0" w:space="0" w:color="auto"/>
      </w:divBdr>
      <w:divsChild>
        <w:div w:id="317225437">
          <w:marLeft w:val="0"/>
          <w:marRight w:val="0"/>
          <w:marTop w:val="0"/>
          <w:marBottom w:val="0"/>
          <w:divBdr>
            <w:top w:val="none" w:sz="0" w:space="0" w:color="auto"/>
            <w:left w:val="none" w:sz="0" w:space="0" w:color="auto"/>
            <w:bottom w:val="none" w:sz="0" w:space="0" w:color="auto"/>
            <w:right w:val="none" w:sz="0" w:space="0" w:color="auto"/>
          </w:divBdr>
        </w:div>
        <w:div w:id="571738768">
          <w:marLeft w:val="0"/>
          <w:marRight w:val="0"/>
          <w:marTop w:val="0"/>
          <w:marBottom w:val="0"/>
          <w:divBdr>
            <w:top w:val="none" w:sz="0" w:space="0" w:color="auto"/>
            <w:left w:val="none" w:sz="0" w:space="0" w:color="auto"/>
            <w:bottom w:val="none" w:sz="0" w:space="0" w:color="auto"/>
            <w:right w:val="none" w:sz="0" w:space="0" w:color="auto"/>
          </w:divBdr>
        </w:div>
        <w:div w:id="798037161">
          <w:marLeft w:val="0"/>
          <w:marRight w:val="0"/>
          <w:marTop w:val="0"/>
          <w:marBottom w:val="0"/>
          <w:divBdr>
            <w:top w:val="none" w:sz="0" w:space="0" w:color="auto"/>
            <w:left w:val="none" w:sz="0" w:space="0" w:color="auto"/>
            <w:bottom w:val="none" w:sz="0" w:space="0" w:color="auto"/>
            <w:right w:val="none" w:sz="0" w:space="0" w:color="auto"/>
          </w:divBdr>
        </w:div>
        <w:div w:id="940796330">
          <w:marLeft w:val="0"/>
          <w:marRight w:val="0"/>
          <w:marTop w:val="0"/>
          <w:marBottom w:val="0"/>
          <w:divBdr>
            <w:top w:val="none" w:sz="0" w:space="0" w:color="auto"/>
            <w:left w:val="none" w:sz="0" w:space="0" w:color="auto"/>
            <w:bottom w:val="none" w:sz="0" w:space="0" w:color="auto"/>
            <w:right w:val="none" w:sz="0" w:space="0" w:color="auto"/>
          </w:divBdr>
        </w:div>
        <w:div w:id="954478704">
          <w:marLeft w:val="0"/>
          <w:marRight w:val="0"/>
          <w:marTop w:val="0"/>
          <w:marBottom w:val="0"/>
          <w:divBdr>
            <w:top w:val="none" w:sz="0" w:space="0" w:color="auto"/>
            <w:left w:val="none" w:sz="0" w:space="0" w:color="auto"/>
            <w:bottom w:val="none" w:sz="0" w:space="0" w:color="auto"/>
            <w:right w:val="none" w:sz="0" w:space="0" w:color="auto"/>
          </w:divBdr>
        </w:div>
        <w:div w:id="1144542806">
          <w:marLeft w:val="0"/>
          <w:marRight w:val="0"/>
          <w:marTop w:val="0"/>
          <w:marBottom w:val="0"/>
          <w:divBdr>
            <w:top w:val="none" w:sz="0" w:space="0" w:color="auto"/>
            <w:left w:val="none" w:sz="0" w:space="0" w:color="auto"/>
            <w:bottom w:val="none" w:sz="0" w:space="0" w:color="auto"/>
            <w:right w:val="none" w:sz="0" w:space="0" w:color="auto"/>
          </w:divBdr>
        </w:div>
        <w:div w:id="1587499143">
          <w:marLeft w:val="0"/>
          <w:marRight w:val="0"/>
          <w:marTop w:val="0"/>
          <w:marBottom w:val="0"/>
          <w:divBdr>
            <w:top w:val="none" w:sz="0" w:space="0" w:color="auto"/>
            <w:left w:val="none" w:sz="0" w:space="0" w:color="auto"/>
            <w:bottom w:val="none" w:sz="0" w:space="0" w:color="auto"/>
            <w:right w:val="none" w:sz="0" w:space="0" w:color="auto"/>
          </w:divBdr>
        </w:div>
        <w:div w:id="1608269896">
          <w:marLeft w:val="0"/>
          <w:marRight w:val="0"/>
          <w:marTop w:val="0"/>
          <w:marBottom w:val="0"/>
          <w:divBdr>
            <w:top w:val="none" w:sz="0" w:space="0" w:color="auto"/>
            <w:left w:val="none" w:sz="0" w:space="0" w:color="auto"/>
            <w:bottom w:val="none" w:sz="0" w:space="0" w:color="auto"/>
            <w:right w:val="none" w:sz="0" w:space="0" w:color="auto"/>
          </w:divBdr>
        </w:div>
      </w:divsChild>
    </w:div>
    <w:div w:id="1264652877">
      <w:bodyDiv w:val="1"/>
      <w:marLeft w:val="0"/>
      <w:marRight w:val="0"/>
      <w:marTop w:val="0"/>
      <w:marBottom w:val="0"/>
      <w:divBdr>
        <w:top w:val="none" w:sz="0" w:space="0" w:color="auto"/>
        <w:left w:val="none" w:sz="0" w:space="0" w:color="auto"/>
        <w:bottom w:val="none" w:sz="0" w:space="0" w:color="auto"/>
        <w:right w:val="none" w:sz="0" w:space="0" w:color="auto"/>
      </w:divBdr>
      <w:divsChild>
        <w:div w:id="473911931">
          <w:marLeft w:val="0"/>
          <w:marRight w:val="0"/>
          <w:marTop w:val="0"/>
          <w:marBottom w:val="0"/>
          <w:divBdr>
            <w:top w:val="none" w:sz="0" w:space="0" w:color="auto"/>
            <w:left w:val="none" w:sz="0" w:space="0" w:color="auto"/>
            <w:bottom w:val="none" w:sz="0" w:space="0" w:color="auto"/>
            <w:right w:val="none" w:sz="0" w:space="0" w:color="auto"/>
          </w:divBdr>
        </w:div>
        <w:div w:id="501550922">
          <w:marLeft w:val="0"/>
          <w:marRight w:val="0"/>
          <w:marTop w:val="0"/>
          <w:marBottom w:val="0"/>
          <w:divBdr>
            <w:top w:val="none" w:sz="0" w:space="0" w:color="auto"/>
            <w:left w:val="none" w:sz="0" w:space="0" w:color="auto"/>
            <w:bottom w:val="none" w:sz="0" w:space="0" w:color="auto"/>
            <w:right w:val="none" w:sz="0" w:space="0" w:color="auto"/>
          </w:divBdr>
        </w:div>
      </w:divsChild>
    </w:div>
    <w:div w:id="1303078715">
      <w:bodyDiv w:val="1"/>
      <w:marLeft w:val="0"/>
      <w:marRight w:val="0"/>
      <w:marTop w:val="0"/>
      <w:marBottom w:val="0"/>
      <w:divBdr>
        <w:top w:val="none" w:sz="0" w:space="0" w:color="auto"/>
        <w:left w:val="none" w:sz="0" w:space="0" w:color="auto"/>
        <w:bottom w:val="none" w:sz="0" w:space="0" w:color="auto"/>
        <w:right w:val="none" w:sz="0" w:space="0" w:color="auto"/>
      </w:divBdr>
      <w:divsChild>
        <w:div w:id="1275557398">
          <w:marLeft w:val="0"/>
          <w:marRight w:val="0"/>
          <w:marTop w:val="0"/>
          <w:marBottom w:val="0"/>
          <w:divBdr>
            <w:top w:val="none" w:sz="0" w:space="0" w:color="auto"/>
            <w:left w:val="none" w:sz="0" w:space="0" w:color="auto"/>
            <w:bottom w:val="none" w:sz="0" w:space="0" w:color="auto"/>
            <w:right w:val="none" w:sz="0" w:space="0" w:color="auto"/>
          </w:divBdr>
        </w:div>
        <w:div w:id="1537618155">
          <w:marLeft w:val="0"/>
          <w:marRight w:val="0"/>
          <w:marTop w:val="0"/>
          <w:marBottom w:val="0"/>
          <w:divBdr>
            <w:top w:val="none" w:sz="0" w:space="0" w:color="auto"/>
            <w:left w:val="none" w:sz="0" w:space="0" w:color="auto"/>
            <w:bottom w:val="none" w:sz="0" w:space="0" w:color="auto"/>
            <w:right w:val="none" w:sz="0" w:space="0" w:color="auto"/>
          </w:divBdr>
        </w:div>
      </w:divsChild>
    </w:div>
    <w:div w:id="1314721064">
      <w:bodyDiv w:val="1"/>
      <w:marLeft w:val="0"/>
      <w:marRight w:val="0"/>
      <w:marTop w:val="0"/>
      <w:marBottom w:val="0"/>
      <w:divBdr>
        <w:top w:val="none" w:sz="0" w:space="0" w:color="auto"/>
        <w:left w:val="none" w:sz="0" w:space="0" w:color="auto"/>
        <w:bottom w:val="none" w:sz="0" w:space="0" w:color="auto"/>
        <w:right w:val="none" w:sz="0" w:space="0" w:color="auto"/>
      </w:divBdr>
      <w:divsChild>
        <w:div w:id="931350796">
          <w:marLeft w:val="0"/>
          <w:marRight w:val="0"/>
          <w:marTop w:val="0"/>
          <w:marBottom w:val="0"/>
          <w:divBdr>
            <w:top w:val="none" w:sz="0" w:space="0" w:color="auto"/>
            <w:left w:val="none" w:sz="0" w:space="0" w:color="auto"/>
            <w:bottom w:val="none" w:sz="0" w:space="0" w:color="auto"/>
            <w:right w:val="none" w:sz="0" w:space="0" w:color="auto"/>
          </w:divBdr>
        </w:div>
        <w:div w:id="1651909433">
          <w:marLeft w:val="0"/>
          <w:marRight w:val="0"/>
          <w:marTop w:val="0"/>
          <w:marBottom w:val="0"/>
          <w:divBdr>
            <w:top w:val="none" w:sz="0" w:space="0" w:color="auto"/>
            <w:left w:val="none" w:sz="0" w:space="0" w:color="auto"/>
            <w:bottom w:val="none" w:sz="0" w:space="0" w:color="auto"/>
            <w:right w:val="none" w:sz="0" w:space="0" w:color="auto"/>
          </w:divBdr>
        </w:div>
        <w:div w:id="1694107046">
          <w:marLeft w:val="0"/>
          <w:marRight w:val="0"/>
          <w:marTop w:val="0"/>
          <w:marBottom w:val="0"/>
          <w:divBdr>
            <w:top w:val="none" w:sz="0" w:space="0" w:color="auto"/>
            <w:left w:val="none" w:sz="0" w:space="0" w:color="auto"/>
            <w:bottom w:val="none" w:sz="0" w:space="0" w:color="auto"/>
            <w:right w:val="none" w:sz="0" w:space="0" w:color="auto"/>
          </w:divBdr>
        </w:div>
        <w:div w:id="1760827573">
          <w:marLeft w:val="0"/>
          <w:marRight w:val="0"/>
          <w:marTop w:val="0"/>
          <w:marBottom w:val="0"/>
          <w:divBdr>
            <w:top w:val="none" w:sz="0" w:space="0" w:color="auto"/>
            <w:left w:val="none" w:sz="0" w:space="0" w:color="auto"/>
            <w:bottom w:val="none" w:sz="0" w:space="0" w:color="auto"/>
            <w:right w:val="none" w:sz="0" w:space="0" w:color="auto"/>
          </w:divBdr>
        </w:div>
      </w:divsChild>
    </w:div>
    <w:div w:id="1417480530">
      <w:bodyDiv w:val="1"/>
      <w:marLeft w:val="0"/>
      <w:marRight w:val="0"/>
      <w:marTop w:val="0"/>
      <w:marBottom w:val="0"/>
      <w:divBdr>
        <w:top w:val="none" w:sz="0" w:space="0" w:color="auto"/>
        <w:left w:val="none" w:sz="0" w:space="0" w:color="auto"/>
        <w:bottom w:val="none" w:sz="0" w:space="0" w:color="auto"/>
        <w:right w:val="none" w:sz="0" w:space="0" w:color="auto"/>
      </w:divBdr>
      <w:divsChild>
        <w:div w:id="40442817">
          <w:marLeft w:val="0"/>
          <w:marRight w:val="0"/>
          <w:marTop w:val="0"/>
          <w:marBottom w:val="0"/>
          <w:divBdr>
            <w:top w:val="none" w:sz="0" w:space="0" w:color="auto"/>
            <w:left w:val="none" w:sz="0" w:space="0" w:color="auto"/>
            <w:bottom w:val="none" w:sz="0" w:space="0" w:color="auto"/>
            <w:right w:val="none" w:sz="0" w:space="0" w:color="auto"/>
          </w:divBdr>
        </w:div>
        <w:div w:id="166292072">
          <w:marLeft w:val="0"/>
          <w:marRight w:val="0"/>
          <w:marTop w:val="0"/>
          <w:marBottom w:val="0"/>
          <w:divBdr>
            <w:top w:val="none" w:sz="0" w:space="0" w:color="auto"/>
            <w:left w:val="none" w:sz="0" w:space="0" w:color="auto"/>
            <w:bottom w:val="none" w:sz="0" w:space="0" w:color="auto"/>
            <w:right w:val="none" w:sz="0" w:space="0" w:color="auto"/>
          </w:divBdr>
        </w:div>
        <w:div w:id="406650968">
          <w:marLeft w:val="0"/>
          <w:marRight w:val="0"/>
          <w:marTop w:val="0"/>
          <w:marBottom w:val="0"/>
          <w:divBdr>
            <w:top w:val="none" w:sz="0" w:space="0" w:color="auto"/>
            <w:left w:val="none" w:sz="0" w:space="0" w:color="auto"/>
            <w:bottom w:val="none" w:sz="0" w:space="0" w:color="auto"/>
            <w:right w:val="none" w:sz="0" w:space="0" w:color="auto"/>
          </w:divBdr>
        </w:div>
        <w:div w:id="408355620">
          <w:marLeft w:val="0"/>
          <w:marRight w:val="0"/>
          <w:marTop w:val="0"/>
          <w:marBottom w:val="0"/>
          <w:divBdr>
            <w:top w:val="none" w:sz="0" w:space="0" w:color="auto"/>
            <w:left w:val="none" w:sz="0" w:space="0" w:color="auto"/>
            <w:bottom w:val="none" w:sz="0" w:space="0" w:color="auto"/>
            <w:right w:val="none" w:sz="0" w:space="0" w:color="auto"/>
          </w:divBdr>
        </w:div>
        <w:div w:id="426779101">
          <w:marLeft w:val="0"/>
          <w:marRight w:val="0"/>
          <w:marTop w:val="0"/>
          <w:marBottom w:val="0"/>
          <w:divBdr>
            <w:top w:val="none" w:sz="0" w:space="0" w:color="auto"/>
            <w:left w:val="none" w:sz="0" w:space="0" w:color="auto"/>
            <w:bottom w:val="none" w:sz="0" w:space="0" w:color="auto"/>
            <w:right w:val="none" w:sz="0" w:space="0" w:color="auto"/>
          </w:divBdr>
        </w:div>
        <w:div w:id="672759279">
          <w:marLeft w:val="0"/>
          <w:marRight w:val="0"/>
          <w:marTop w:val="0"/>
          <w:marBottom w:val="0"/>
          <w:divBdr>
            <w:top w:val="none" w:sz="0" w:space="0" w:color="auto"/>
            <w:left w:val="none" w:sz="0" w:space="0" w:color="auto"/>
            <w:bottom w:val="none" w:sz="0" w:space="0" w:color="auto"/>
            <w:right w:val="none" w:sz="0" w:space="0" w:color="auto"/>
          </w:divBdr>
        </w:div>
        <w:div w:id="822232801">
          <w:marLeft w:val="0"/>
          <w:marRight w:val="0"/>
          <w:marTop w:val="0"/>
          <w:marBottom w:val="0"/>
          <w:divBdr>
            <w:top w:val="none" w:sz="0" w:space="0" w:color="auto"/>
            <w:left w:val="none" w:sz="0" w:space="0" w:color="auto"/>
            <w:bottom w:val="none" w:sz="0" w:space="0" w:color="auto"/>
            <w:right w:val="none" w:sz="0" w:space="0" w:color="auto"/>
          </w:divBdr>
        </w:div>
        <w:div w:id="857043347">
          <w:marLeft w:val="0"/>
          <w:marRight w:val="0"/>
          <w:marTop w:val="0"/>
          <w:marBottom w:val="0"/>
          <w:divBdr>
            <w:top w:val="none" w:sz="0" w:space="0" w:color="auto"/>
            <w:left w:val="none" w:sz="0" w:space="0" w:color="auto"/>
            <w:bottom w:val="none" w:sz="0" w:space="0" w:color="auto"/>
            <w:right w:val="none" w:sz="0" w:space="0" w:color="auto"/>
          </w:divBdr>
        </w:div>
        <w:div w:id="984310784">
          <w:marLeft w:val="0"/>
          <w:marRight w:val="0"/>
          <w:marTop w:val="0"/>
          <w:marBottom w:val="0"/>
          <w:divBdr>
            <w:top w:val="none" w:sz="0" w:space="0" w:color="auto"/>
            <w:left w:val="none" w:sz="0" w:space="0" w:color="auto"/>
            <w:bottom w:val="none" w:sz="0" w:space="0" w:color="auto"/>
            <w:right w:val="none" w:sz="0" w:space="0" w:color="auto"/>
          </w:divBdr>
        </w:div>
        <w:div w:id="1005858469">
          <w:marLeft w:val="0"/>
          <w:marRight w:val="0"/>
          <w:marTop w:val="0"/>
          <w:marBottom w:val="0"/>
          <w:divBdr>
            <w:top w:val="none" w:sz="0" w:space="0" w:color="auto"/>
            <w:left w:val="none" w:sz="0" w:space="0" w:color="auto"/>
            <w:bottom w:val="none" w:sz="0" w:space="0" w:color="auto"/>
            <w:right w:val="none" w:sz="0" w:space="0" w:color="auto"/>
          </w:divBdr>
        </w:div>
        <w:div w:id="1098254861">
          <w:marLeft w:val="0"/>
          <w:marRight w:val="0"/>
          <w:marTop w:val="0"/>
          <w:marBottom w:val="0"/>
          <w:divBdr>
            <w:top w:val="none" w:sz="0" w:space="0" w:color="auto"/>
            <w:left w:val="none" w:sz="0" w:space="0" w:color="auto"/>
            <w:bottom w:val="none" w:sz="0" w:space="0" w:color="auto"/>
            <w:right w:val="none" w:sz="0" w:space="0" w:color="auto"/>
          </w:divBdr>
        </w:div>
        <w:div w:id="1114984624">
          <w:marLeft w:val="0"/>
          <w:marRight w:val="0"/>
          <w:marTop w:val="0"/>
          <w:marBottom w:val="0"/>
          <w:divBdr>
            <w:top w:val="none" w:sz="0" w:space="0" w:color="auto"/>
            <w:left w:val="none" w:sz="0" w:space="0" w:color="auto"/>
            <w:bottom w:val="none" w:sz="0" w:space="0" w:color="auto"/>
            <w:right w:val="none" w:sz="0" w:space="0" w:color="auto"/>
          </w:divBdr>
        </w:div>
        <w:div w:id="1432702956">
          <w:marLeft w:val="0"/>
          <w:marRight w:val="0"/>
          <w:marTop w:val="0"/>
          <w:marBottom w:val="0"/>
          <w:divBdr>
            <w:top w:val="none" w:sz="0" w:space="0" w:color="auto"/>
            <w:left w:val="none" w:sz="0" w:space="0" w:color="auto"/>
            <w:bottom w:val="none" w:sz="0" w:space="0" w:color="auto"/>
            <w:right w:val="none" w:sz="0" w:space="0" w:color="auto"/>
          </w:divBdr>
        </w:div>
      </w:divsChild>
    </w:div>
    <w:div w:id="1459833496">
      <w:bodyDiv w:val="1"/>
      <w:marLeft w:val="0"/>
      <w:marRight w:val="0"/>
      <w:marTop w:val="0"/>
      <w:marBottom w:val="0"/>
      <w:divBdr>
        <w:top w:val="none" w:sz="0" w:space="0" w:color="auto"/>
        <w:left w:val="none" w:sz="0" w:space="0" w:color="auto"/>
        <w:bottom w:val="none" w:sz="0" w:space="0" w:color="auto"/>
        <w:right w:val="none" w:sz="0" w:space="0" w:color="auto"/>
      </w:divBdr>
      <w:divsChild>
        <w:div w:id="720053409">
          <w:marLeft w:val="0"/>
          <w:marRight w:val="0"/>
          <w:marTop w:val="0"/>
          <w:marBottom w:val="0"/>
          <w:divBdr>
            <w:top w:val="none" w:sz="0" w:space="0" w:color="auto"/>
            <w:left w:val="none" w:sz="0" w:space="0" w:color="auto"/>
            <w:bottom w:val="none" w:sz="0" w:space="0" w:color="auto"/>
            <w:right w:val="none" w:sz="0" w:space="0" w:color="auto"/>
          </w:divBdr>
        </w:div>
        <w:div w:id="1081296875">
          <w:marLeft w:val="0"/>
          <w:marRight w:val="0"/>
          <w:marTop w:val="0"/>
          <w:marBottom w:val="0"/>
          <w:divBdr>
            <w:top w:val="none" w:sz="0" w:space="0" w:color="auto"/>
            <w:left w:val="none" w:sz="0" w:space="0" w:color="auto"/>
            <w:bottom w:val="none" w:sz="0" w:space="0" w:color="auto"/>
            <w:right w:val="none" w:sz="0" w:space="0" w:color="auto"/>
          </w:divBdr>
        </w:div>
        <w:div w:id="1467040068">
          <w:marLeft w:val="0"/>
          <w:marRight w:val="0"/>
          <w:marTop w:val="0"/>
          <w:marBottom w:val="0"/>
          <w:divBdr>
            <w:top w:val="none" w:sz="0" w:space="0" w:color="auto"/>
            <w:left w:val="none" w:sz="0" w:space="0" w:color="auto"/>
            <w:bottom w:val="none" w:sz="0" w:space="0" w:color="auto"/>
            <w:right w:val="none" w:sz="0" w:space="0" w:color="auto"/>
          </w:divBdr>
        </w:div>
        <w:div w:id="1927183804">
          <w:marLeft w:val="0"/>
          <w:marRight w:val="0"/>
          <w:marTop w:val="0"/>
          <w:marBottom w:val="0"/>
          <w:divBdr>
            <w:top w:val="none" w:sz="0" w:space="0" w:color="auto"/>
            <w:left w:val="none" w:sz="0" w:space="0" w:color="auto"/>
            <w:bottom w:val="none" w:sz="0" w:space="0" w:color="auto"/>
            <w:right w:val="none" w:sz="0" w:space="0" w:color="auto"/>
          </w:divBdr>
        </w:div>
      </w:divsChild>
    </w:div>
    <w:div w:id="1481654222">
      <w:bodyDiv w:val="1"/>
      <w:marLeft w:val="0"/>
      <w:marRight w:val="0"/>
      <w:marTop w:val="0"/>
      <w:marBottom w:val="0"/>
      <w:divBdr>
        <w:top w:val="none" w:sz="0" w:space="0" w:color="auto"/>
        <w:left w:val="none" w:sz="0" w:space="0" w:color="auto"/>
        <w:bottom w:val="none" w:sz="0" w:space="0" w:color="auto"/>
        <w:right w:val="none" w:sz="0" w:space="0" w:color="auto"/>
      </w:divBdr>
      <w:divsChild>
        <w:div w:id="1079987905">
          <w:marLeft w:val="0"/>
          <w:marRight w:val="0"/>
          <w:marTop w:val="0"/>
          <w:marBottom w:val="0"/>
          <w:divBdr>
            <w:top w:val="none" w:sz="0" w:space="0" w:color="auto"/>
            <w:left w:val="none" w:sz="0" w:space="0" w:color="auto"/>
            <w:bottom w:val="none" w:sz="0" w:space="0" w:color="auto"/>
            <w:right w:val="none" w:sz="0" w:space="0" w:color="auto"/>
          </w:divBdr>
          <w:divsChild>
            <w:div w:id="460734573">
              <w:marLeft w:val="0"/>
              <w:marRight w:val="0"/>
              <w:marTop w:val="30"/>
              <w:marBottom w:val="30"/>
              <w:divBdr>
                <w:top w:val="none" w:sz="0" w:space="0" w:color="auto"/>
                <w:left w:val="none" w:sz="0" w:space="0" w:color="auto"/>
                <w:bottom w:val="none" w:sz="0" w:space="0" w:color="auto"/>
                <w:right w:val="none" w:sz="0" w:space="0" w:color="auto"/>
              </w:divBdr>
              <w:divsChild>
                <w:div w:id="54937901">
                  <w:marLeft w:val="0"/>
                  <w:marRight w:val="0"/>
                  <w:marTop w:val="0"/>
                  <w:marBottom w:val="0"/>
                  <w:divBdr>
                    <w:top w:val="none" w:sz="0" w:space="0" w:color="auto"/>
                    <w:left w:val="none" w:sz="0" w:space="0" w:color="auto"/>
                    <w:bottom w:val="none" w:sz="0" w:space="0" w:color="auto"/>
                    <w:right w:val="none" w:sz="0" w:space="0" w:color="auto"/>
                  </w:divBdr>
                  <w:divsChild>
                    <w:div w:id="1819033337">
                      <w:marLeft w:val="0"/>
                      <w:marRight w:val="0"/>
                      <w:marTop w:val="0"/>
                      <w:marBottom w:val="0"/>
                      <w:divBdr>
                        <w:top w:val="none" w:sz="0" w:space="0" w:color="auto"/>
                        <w:left w:val="none" w:sz="0" w:space="0" w:color="auto"/>
                        <w:bottom w:val="none" w:sz="0" w:space="0" w:color="auto"/>
                        <w:right w:val="none" w:sz="0" w:space="0" w:color="auto"/>
                      </w:divBdr>
                    </w:div>
                  </w:divsChild>
                </w:div>
                <w:div w:id="94639161">
                  <w:marLeft w:val="0"/>
                  <w:marRight w:val="0"/>
                  <w:marTop w:val="0"/>
                  <w:marBottom w:val="0"/>
                  <w:divBdr>
                    <w:top w:val="none" w:sz="0" w:space="0" w:color="auto"/>
                    <w:left w:val="none" w:sz="0" w:space="0" w:color="auto"/>
                    <w:bottom w:val="none" w:sz="0" w:space="0" w:color="auto"/>
                    <w:right w:val="none" w:sz="0" w:space="0" w:color="auto"/>
                  </w:divBdr>
                  <w:divsChild>
                    <w:div w:id="1848596243">
                      <w:marLeft w:val="0"/>
                      <w:marRight w:val="0"/>
                      <w:marTop w:val="0"/>
                      <w:marBottom w:val="0"/>
                      <w:divBdr>
                        <w:top w:val="none" w:sz="0" w:space="0" w:color="auto"/>
                        <w:left w:val="none" w:sz="0" w:space="0" w:color="auto"/>
                        <w:bottom w:val="none" w:sz="0" w:space="0" w:color="auto"/>
                        <w:right w:val="none" w:sz="0" w:space="0" w:color="auto"/>
                      </w:divBdr>
                    </w:div>
                  </w:divsChild>
                </w:div>
                <w:div w:id="200671333">
                  <w:marLeft w:val="0"/>
                  <w:marRight w:val="0"/>
                  <w:marTop w:val="0"/>
                  <w:marBottom w:val="0"/>
                  <w:divBdr>
                    <w:top w:val="none" w:sz="0" w:space="0" w:color="auto"/>
                    <w:left w:val="none" w:sz="0" w:space="0" w:color="auto"/>
                    <w:bottom w:val="none" w:sz="0" w:space="0" w:color="auto"/>
                    <w:right w:val="none" w:sz="0" w:space="0" w:color="auto"/>
                  </w:divBdr>
                  <w:divsChild>
                    <w:div w:id="426080952">
                      <w:marLeft w:val="0"/>
                      <w:marRight w:val="0"/>
                      <w:marTop w:val="0"/>
                      <w:marBottom w:val="0"/>
                      <w:divBdr>
                        <w:top w:val="none" w:sz="0" w:space="0" w:color="auto"/>
                        <w:left w:val="none" w:sz="0" w:space="0" w:color="auto"/>
                        <w:bottom w:val="none" w:sz="0" w:space="0" w:color="auto"/>
                        <w:right w:val="none" w:sz="0" w:space="0" w:color="auto"/>
                      </w:divBdr>
                    </w:div>
                  </w:divsChild>
                </w:div>
                <w:div w:id="210656707">
                  <w:marLeft w:val="0"/>
                  <w:marRight w:val="0"/>
                  <w:marTop w:val="0"/>
                  <w:marBottom w:val="0"/>
                  <w:divBdr>
                    <w:top w:val="none" w:sz="0" w:space="0" w:color="auto"/>
                    <w:left w:val="none" w:sz="0" w:space="0" w:color="auto"/>
                    <w:bottom w:val="none" w:sz="0" w:space="0" w:color="auto"/>
                    <w:right w:val="none" w:sz="0" w:space="0" w:color="auto"/>
                  </w:divBdr>
                  <w:divsChild>
                    <w:div w:id="1015111924">
                      <w:marLeft w:val="0"/>
                      <w:marRight w:val="0"/>
                      <w:marTop w:val="0"/>
                      <w:marBottom w:val="0"/>
                      <w:divBdr>
                        <w:top w:val="none" w:sz="0" w:space="0" w:color="auto"/>
                        <w:left w:val="none" w:sz="0" w:space="0" w:color="auto"/>
                        <w:bottom w:val="none" w:sz="0" w:space="0" w:color="auto"/>
                        <w:right w:val="none" w:sz="0" w:space="0" w:color="auto"/>
                      </w:divBdr>
                    </w:div>
                  </w:divsChild>
                </w:div>
                <w:div w:id="221141493">
                  <w:marLeft w:val="0"/>
                  <w:marRight w:val="0"/>
                  <w:marTop w:val="0"/>
                  <w:marBottom w:val="0"/>
                  <w:divBdr>
                    <w:top w:val="none" w:sz="0" w:space="0" w:color="auto"/>
                    <w:left w:val="none" w:sz="0" w:space="0" w:color="auto"/>
                    <w:bottom w:val="none" w:sz="0" w:space="0" w:color="auto"/>
                    <w:right w:val="none" w:sz="0" w:space="0" w:color="auto"/>
                  </w:divBdr>
                  <w:divsChild>
                    <w:div w:id="1400008959">
                      <w:marLeft w:val="0"/>
                      <w:marRight w:val="0"/>
                      <w:marTop w:val="0"/>
                      <w:marBottom w:val="0"/>
                      <w:divBdr>
                        <w:top w:val="none" w:sz="0" w:space="0" w:color="auto"/>
                        <w:left w:val="none" w:sz="0" w:space="0" w:color="auto"/>
                        <w:bottom w:val="none" w:sz="0" w:space="0" w:color="auto"/>
                        <w:right w:val="none" w:sz="0" w:space="0" w:color="auto"/>
                      </w:divBdr>
                    </w:div>
                  </w:divsChild>
                </w:div>
                <w:div w:id="238289759">
                  <w:marLeft w:val="0"/>
                  <w:marRight w:val="0"/>
                  <w:marTop w:val="0"/>
                  <w:marBottom w:val="0"/>
                  <w:divBdr>
                    <w:top w:val="none" w:sz="0" w:space="0" w:color="auto"/>
                    <w:left w:val="none" w:sz="0" w:space="0" w:color="auto"/>
                    <w:bottom w:val="none" w:sz="0" w:space="0" w:color="auto"/>
                    <w:right w:val="none" w:sz="0" w:space="0" w:color="auto"/>
                  </w:divBdr>
                  <w:divsChild>
                    <w:div w:id="1072433106">
                      <w:marLeft w:val="0"/>
                      <w:marRight w:val="0"/>
                      <w:marTop w:val="0"/>
                      <w:marBottom w:val="0"/>
                      <w:divBdr>
                        <w:top w:val="none" w:sz="0" w:space="0" w:color="auto"/>
                        <w:left w:val="none" w:sz="0" w:space="0" w:color="auto"/>
                        <w:bottom w:val="none" w:sz="0" w:space="0" w:color="auto"/>
                        <w:right w:val="none" w:sz="0" w:space="0" w:color="auto"/>
                      </w:divBdr>
                    </w:div>
                  </w:divsChild>
                </w:div>
                <w:div w:id="319162441">
                  <w:marLeft w:val="0"/>
                  <w:marRight w:val="0"/>
                  <w:marTop w:val="0"/>
                  <w:marBottom w:val="0"/>
                  <w:divBdr>
                    <w:top w:val="none" w:sz="0" w:space="0" w:color="auto"/>
                    <w:left w:val="none" w:sz="0" w:space="0" w:color="auto"/>
                    <w:bottom w:val="none" w:sz="0" w:space="0" w:color="auto"/>
                    <w:right w:val="none" w:sz="0" w:space="0" w:color="auto"/>
                  </w:divBdr>
                  <w:divsChild>
                    <w:div w:id="2096124387">
                      <w:marLeft w:val="0"/>
                      <w:marRight w:val="0"/>
                      <w:marTop w:val="0"/>
                      <w:marBottom w:val="0"/>
                      <w:divBdr>
                        <w:top w:val="none" w:sz="0" w:space="0" w:color="auto"/>
                        <w:left w:val="none" w:sz="0" w:space="0" w:color="auto"/>
                        <w:bottom w:val="none" w:sz="0" w:space="0" w:color="auto"/>
                        <w:right w:val="none" w:sz="0" w:space="0" w:color="auto"/>
                      </w:divBdr>
                    </w:div>
                  </w:divsChild>
                </w:div>
                <w:div w:id="399789782">
                  <w:marLeft w:val="0"/>
                  <w:marRight w:val="0"/>
                  <w:marTop w:val="0"/>
                  <w:marBottom w:val="0"/>
                  <w:divBdr>
                    <w:top w:val="none" w:sz="0" w:space="0" w:color="auto"/>
                    <w:left w:val="none" w:sz="0" w:space="0" w:color="auto"/>
                    <w:bottom w:val="none" w:sz="0" w:space="0" w:color="auto"/>
                    <w:right w:val="none" w:sz="0" w:space="0" w:color="auto"/>
                  </w:divBdr>
                  <w:divsChild>
                    <w:div w:id="2098817225">
                      <w:marLeft w:val="0"/>
                      <w:marRight w:val="0"/>
                      <w:marTop w:val="0"/>
                      <w:marBottom w:val="0"/>
                      <w:divBdr>
                        <w:top w:val="none" w:sz="0" w:space="0" w:color="auto"/>
                        <w:left w:val="none" w:sz="0" w:space="0" w:color="auto"/>
                        <w:bottom w:val="none" w:sz="0" w:space="0" w:color="auto"/>
                        <w:right w:val="none" w:sz="0" w:space="0" w:color="auto"/>
                      </w:divBdr>
                    </w:div>
                  </w:divsChild>
                </w:div>
                <w:div w:id="430979696">
                  <w:marLeft w:val="0"/>
                  <w:marRight w:val="0"/>
                  <w:marTop w:val="0"/>
                  <w:marBottom w:val="0"/>
                  <w:divBdr>
                    <w:top w:val="none" w:sz="0" w:space="0" w:color="auto"/>
                    <w:left w:val="none" w:sz="0" w:space="0" w:color="auto"/>
                    <w:bottom w:val="none" w:sz="0" w:space="0" w:color="auto"/>
                    <w:right w:val="none" w:sz="0" w:space="0" w:color="auto"/>
                  </w:divBdr>
                  <w:divsChild>
                    <w:div w:id="1975214261">
                      <w:marLeft w:val="0"/>
                      <w:marRight w:val="0"/>
                      <w:marTop w:val="0"/>
                      <w:marBottom w:val="0"/>
                      <w:divBdr>
                        <w:top w:val="none" w:sz="0" w:space="0" w:color="auto"/>
                        <w:left w:val="none" w:sz="0" w:space="0" w:color="auto"/>
                        <w:bottom w:val="none" w:sz="0" w:space="0" w:color="auto"/>
                        <w:right w:val="none" w:sz="0" w:space="0" w:color="auto"/>
                      </w:divBdr>
                    </w:div>
                  </w:divsChild>
                </w:div>
                <w:div w:id="460155258">
                  <w:marLeft w:val="0"/>
                  <w:marRight w:val="0"/>
                  <w:marTop w:val="0"/>
                  <w:marBottom w:val="0"/>
                  <w:divBdr>
                    <w:top w:val="none" w:sz="0" w:space="0" w:color="auto"/>
                    <w:left w:val="none" w:sz="0" w:space="0" w:color="auto"/>
                    <w:bottom w:val="none" w:sz="0" w:space="0" w:color="auto"/>
                    <w:right w:val="none" w:sz="0" w:space="0" w:color="auto"/>
                  </w:divBdr>
                  <w:divsChild>
                    <w:div w:id="1572427966">
                      <w:marLeft w:val="0"/>
                      <w:marRight w:val="0"/>
                      <w:marTop w:val="0"/>
                      <w:marBottom w:val="0"/>
                      <w:divBdr>
                        <w:top w:val="none" w:sz="0" w:space="0" w:color="auto"/>
                        <w:left w:val="none" w:sz="0" w:space="0" w:color="auto"/>
                        <w:bottom w:val="none" w:sz="0" w:space="0" w:color="auto"/>
                        <w:right w:val="none" w:sz="0" w:space="0" w:color="auto"/>
                      </w:divBdr>
                    </w:div>
                  </w:divsChild>
                </w:div>
                <w:div w:id="508957372">
                  <w:marLeft w:val="0"/>
                  <w:marRight w:val="0"/>
                  <w:marTop w:val="0"/>
                  <w:marBottom w:val="0"/>
                  <w:divBdr>
                    <w:top w:val="none" w:sz="0" w:space="0" w:color="auto"/>
                    <w:left w:val="none" w:sz="0" w:space="0" w:color="auto"/>
                    <w:bottom w:val="none" w:sz="0" w:space="0" w:color="auto"/>
                    <w:right w:val="none" w:sz="0" w:space="0" w:color="auto"/>
                  </w:divBdr>
                  <w:divsChild>
                    <w:div w:id="956838946">
                      <w:marLeft w:val="0"/>
                      <w:marRight w:val="0"/>
                      <w:marTop w:val="0"/>
                      <w:marBottom w:val="0"/>
                      <w:divBdr>
                        <w:top w:val="none" w:sz="0" w:space="0" w:color="auto"/>
                        <w:left w:val="none" w:sz="0" w:space="0" w:color="auto"/>
                        <w:bottom w:val="none" w:sz="0" w:space="0" w:color="auto"/>
                        <w:right w:val="none" w:sz="0" w:space="0" w:color="auto"/>
                      </w:divBdr>
                    </w:div>
                  </w:divsChild>
                </w:div>
                <w:div w:id="580876410">
                  <w:marLeft w:val="0"/>
                  <w:marRight w:val="0"/>
                  <w:marTop w:val="0"/>
                  <w:marBottom w:val="0"/>
                  <w:divBdr>
                    <w:top w:val="none" w:sz="0" w:space="0" w:color="auto"/>
                    <w:left w:val="none" w:sz="0" w:space="0" w:color="auto"/>
                    <w:bottom w:val="none" w:sz="0" w:space="0" w:color="auto"/>
                    <w:right w:val="none" w:sz="0" w:space="0" w:color="auto"/>
                  </w:divBdr>
                  <w:divsChild>
                    <w:div w:id="495998015">
                      <w:marLeft w:val="0"/>
                      <w:marRight w:val="0"/>
                      <w:marTop w:val="0"/>
                      <w:marBottom w:val="0"/>
                      <w:divBdr>
                        <w:top w:val="none" w:sz="0" w:space="0" w:color="auto"/>
                        <w:left w:val="none" w:sz="0" w:space="0" w:color="auto"/>
                        <w:bottom w:val="none" w:sz="0" w:space="0" w:color="auto"/>
                        <w:right w:val="none" w:sz="0" w:space="0" w:color="auto"/>
                      </w:divBdr>
                    </w:div>
                  </w:divsChild>
                </w:div>
                <w:div w:id="583684381">
                  <w:marLeft w:val="0"/>
                  <w:marRight w:val="0"/>
                  <w:marTop w:val="0"/>
                  <w:marBottom w:val="0"/>
                  <w:divBdr>
                    <w:top w:val="none" w:sz="0" w:space="0" w:color="auto"/>
                    <w:left w:val="none" w:sz="0" w:space="0" w:color="auto"/>
                    <w:bottom w:val="none" w:sz="0" w:space="0" w:color="auto"/>
                    <w:right w:val="none" w:sz="0" w:space="0" w:color="auto"/>
                  </w:divBdr>
                  <w:divsChild>
                    <w:div w:id="1513643185">
                      <w:marLeft w:val="0"/>
                      <w:marRight w:val="0"/>
                      <w:marTop w:val="0"/>
                      <w:marBottom w:val="0"/>
                      <w:divBdr>
                        <w:top w:val="none" w:sz="0" w:space="0" w:color="auto"/>
                        <w:left w:val="none" w:sz="0" w:space="0" w:color="auto"/>
                        <w:bottom w:val="none" w:sz="0" w:space="0" w:color="auto"/>
                        <w:right w:val="none" w:sz="0" w:space="0" w:color="auto"/>
                      </w:divBdr>
                    </w:div>
                  </w:divsChild>
                </w:div>
                <w:div w:id="585268604">
                  <w:marLeft w:val="0"/>
                  <w:marRight w:val="0"/>
                  <w:marTop w:val="0"/>
                  <w:marBottom w:val="0"/>
                  <w:divBdr>
                    <w:top w:val="none" w:sz="0" w:space="0" w:color="auto"/>
                    <w:left w:val="none" w:sz="0" w:space="0" w:color="auto"/>
                    <w:bottom w:val="none" w:sz="0" w:space="0" w:color="auto"/>
                    <w:right w:val="none" w:sz="0" w:space="0" w:color="auto"/>
                  </w:divBdr>
                  <w:divsChild>
                    <w:div w:id="1426262761">
                      <w:marLeft w:val="0"/>
                      <w:marRight w:val="0"/>
                      <w:marTop w:val="0"/>
                      <w:marBottom w:val="0"/>
                      <w:divBdr>
                        <w:top w:val="none" w:sz="0" w:space="0" w:color="auto"/>
                        <w:left w:val="none" w:sz="0" w:space="0" w:color="auto"/>
                        <w:bottom w:val="none" w:sz="0" w:space="0" w:color="auto"/>
                        <w:right w:val="none" w:sz="0" w:space="0" w:color="auto"/>
                      </w:divBdr>
                    </w:div>
                  </w:divsChild>
                </w:div>
                <w:div w:id="601491706">
                  <w:marLeft w:val="0"/>
                  <w:marRight w:val="0"/>
                  <w:marTop w:val="0"/>
                  <w:marBottom w:val="0"/>
                  <w:divBdr>
                    <w:top w:val="none" w:sz="0" w:space="0" w:color="auto"/>
                    <w:left w:val="none" w:sz="0" w:space="0" w:color="auto"/>
                    <w:bottom w:val="none" w:sz="0" w:space="0" w:color="auto"/>
                    <w:right w:val="none" w:sz="0" w:space="0" w:color="auto"/>
                  </w:divBdr>
                  <w:divsChild>
                    <w:div w:id="543567396">
                      <w:marLeft w:val="0"/>
                      <w:marRight w:val="0"/>
                      <w:marTop w:val="0"/>
                      <w:marBottom w:val="0"/>
                      <w:divBdr>
                        <w:top w:val="none" w:sz="0" w:space="0" w:color="auto"/>
                        <w:left w:val="none" w:sz="0" w:space="0" w:color="auto"/>
                        <w:bottom w:val="none" w:sz="0" w:space="0" w:color="auto"/>
                        <w:right w:val="none" w:sz="0" w:space="0" w:color="auto"/>
                      </w:divBdr>
                    </w:div>
                  </w:divsChild>
                </w:div>
                <w:div w:id="623464887">
                  <w:marLeft w:val="0"/>
                  <w:marRight w:val="0"/>
                  <w:marTop w:val="0"/>
                  <w:marBottom w:val="0"/>
                  <w:divBdr>
                    <w:top w:val="none" w:sz="0" w:space="0" w:color="auto"/>
                    <w:left w:val="none" w:sz="0" w:space="0" w:color="auto"/>
                    <w:bottom w:val="none" w:sz="0" w:space="0" w:color="auto"/>
                    <w:right w:val="none" w:sz="0" w:space="0" w:color="auto"/>
                  </w:divBdr>
                  <w:divsChild>
                    <w:div w:id="1621257905">
                      <w:marLeft w:val="0"/>
                      <w:marRight w:val="0"/>
                      <w:marTop w:val="0"/>
                      <w:marBottom w:val="0"/>
                      <w:divBdr>
                        <w:top w:val="none" w:sz="0" w:space="0" w:color="auto"/>
                        <w:left w:val="none" w:sz="0" w:space="0" w:color="auto"/>
                        <w:bottom w:val="none" w:sz="0" w:space="0" w:color="auto"/>
                        <w:right w:val="none" w:sz="0" w:space="0" w:color="auto"/>
                      </w:divBdr>
                    </w:div>
                  </w:divsChild>
                </w:div>
                <w:div w:id="638920891">
                  <w:marLeft w:val="0"/>
                  <w:marRight w:val="0"/>
                  <w:marTop w:val="0"/>
                  <w:marBottom w:val="0"/>
                  <w:divBdr>
                    <w:top w:val="none" w:sz="0" w:space="0" w:color="auto"/>
                    <w:left w:val="none" w:sz="0" w:space="0" w:color="auto"/>
                    <w:bottom w:val="none" w:sz="0" w:space="0" w:color="auto"/>
                    <w:right w:val="none" w:sz="0" w:space="0" w:color="auto"/>
                  </w:divBdr>
                  <w:divsChild>
                    <w:div w:id="1709983947">
                      <w:marLeft w:val="0"/>
                      <w:marRight w:val="0"/>
                      <w:marTop w:val="0"/>
                      <w:marBottom w:val="0"/>
                      <w:divBdr>
                        <w:top w:val="none" w:sz="0" w:space="0" w:color="auto"/>
                        <w:left w:val="none" w:sz="0" w:space="0" w:color="auto"/>
                        <w:bottom w:val="none" w:sz="0" w:space="0" w:color="auto"/>
                        <w:right w:val="none" w:sz="0" w:space="0" w:color="auto"/>
                      </w:divBdr>
                    </w:div>
                  </w:divsChild>
                </w:div>
                <w:div w:id="644898095">
                  <w:marLeft w:val="0"/>
                  <w:marRight w:val="0"/>
                  <w:marTop w:val="0"/>
                  <w:marBottom w:val="0"/>
                  <w:divBdr>
                    <w:top w:val="none" w:sz="0" w:space="0" w:color="auto"/>
                    <w:left w:val="none" w:sz="0" w:space="0" w:color="auto"/>
                    <w:bottom w:val="none" w:sz="0" w:space="0" w:color="auto"/>
                    <w:right w:val="none" w:sz="0" w:space="0" w:color="auto"/>
                  </w:divBdr>
                  <w:divsChild>
                    <w:div w:id="345982255">
                      <w:marLeft w:val="0"/>
                      <w:marRight w:val="0"/>
                      <w:marTop w:val="0"/>
                      <w:marBottom w:val="0"/>
                      <w:divBdr>
                        <w:top w:val="none" w:sz="0" w:space="0" w:color="auto"/>
                        <w:left w:val="none" w:sz="0" w:space="0" w:color="auto"/>
                        <w:bottom w:val="none" w:sz="0" w:space="0" w:color="auto"/>
                        <w:right w:val="none" w:sz="0" w:space="0" w:color="auto"/>
                      </w:divBdr>
                    </w:div>
                  </w:divsChild>
                </w:div>
                <w:div w:id="674461935">
                  <w:marLeft w:val="0"/>
                  <w:marRight w:val="0"/>
                  <w:marTop w:val="0"/>
                  <w:marBottom w:val="0"/>
                  <w:divBdr>
                    <w:top w:val="none" w:sz="0" w:space="0" w:color="auto"/>
                    <w:left w:val="none" w:sz="0" w:space="0" w:color="auto"/>
                    <w:bottom w:val="none" w:sz="0" w:space="0" w:color="auto"/>
                    <w:right w:val="none" w:sz="0" w:space="0" w:color="auto"/>
                  </w:divBdr>
                  <w:divsChild>
                    <w:div w:id="1621257548">
                      <w:marLeft w:val="0"/>
                      <w:marRight w:val="0"/>
                      <w:marTop w:val="0"/>
                      <w:marBottom w:val="0"/>
                      <w:divBdr>
                        <w:top w:val="none" w:sz="0" w:space="0" w:color="auto"/>
                        <w:left w:val="none" w:sz="0" w:space="0" w:color="auto"/>
                        <w:bottom w:val="none" w:sz="0" w:space="0" w:color="auto"/>
                        <w:right w:val="none" w:sz="0" w:space="0" w:color="auto"/>
                      </w:divBdr>
                    </w:div>
                  </w:divsChild>
                </w:div>
                <w:div w:id="680133196">
                  <w:marLeft w:val="0"/>
                  <w:marRight w:val="0"/>
                  <w:marTop w:val="0"/>
                  <w:marBottom w:val="0"/>
                  <w:divBdr>
                    <w:top w:val="none" w:sz="0" w:space="0" w:color="auto"/>
                    <w:left w:val="none" w:sz="0" w:space="0" w:color="auto"/>
                    <w:bottom w:val="none" w:sz="0" w:space="0" w:color="auto"/>
                    <w:right w:val="none" w:sz="0" w:space="0" w:color="auto"/>
                  </w:divBdr>
                  <w:divsChild>
                    <w:div w:id="1952080373">
                      <w:marLeft w:val="0"/>
                      <w:marRight w:val="0"/>
                      <w:marTop w:val="0"/>
                      <w:marBottom w:val="0"/>
                      <w:divBdr>
                        <w:top w:val="none" w:sz="0" w:space="0" w:color="auto"/>
                        <w:left w:val="none" w:sz="0" w:space="0" w:color="auto"/>
                        <w:bottom w:val="none" w:sz="0" w:space="0" w:color="auto"/>
                        <w:right w:val="none" w:sz="0" w:space="0" w:color="auto"/>
                      </w:divBdr>
                    </w:div>
                  </w:divsChild>
                </w:div>
                <w:div w:id="703554020">
                  <w:marLeft w:val="0"/>
                  <w:marRight w:val="0"/>
                  <w:marTop w:val="0"/>
                  <w:marBottom w:val="0"/>
                  <w:divBdr>
                    <w:top w:val="none" w:sz="0" w:space="0" w:color="auto"/>
                    <w:left w:val="none" w:sz="0" w:space="0" w:color="auto"/>
                    <w:bottom w:val="none" w:sz="0" w:space="0" w:color="auto"/>
                    <w:right w:val="none" w:sz="0" w:space="0" w:color="auto"/>
                  </w:divBdr>
                  <w:divsChild>
                    <w:div w:id="1203639172">
                      <w:marLeft w:val="0"/>
                      <w:marRight w:val="0"/>
                      <w:marTop w:val="0"/>
                      <w:marBottom w:val="0"/>
                      <w:divBdr>
                        <w:top w:val="none" w:sz="0" w:space="0" w:color="auto"/>
                        <w:left w:val="none" w:sz="0" w:space="0" w:color="auto"/>
                        <w:bottom w:val="none" w:sz="0" w:space="0" w:color="auto"/>
                        <w:right w:val="none" w:sz="0" w:space="0" w:color="auto"/>
                      </w:divBdr>
                    </w:div>
                  </w:divsChild>
                </w:div>
                <w:div w:id="993529635">
                  <w:marLeft w:val="0"/>
                  <w:marRight w:val="0"/>
                  <w:marTop w:val="0"/>
                  <w:marBottom w:val="0"/>
                  <w:divBdr>
                    <w:top w:val="none" w:sz="0" w:space="0" w:color="auto"/>
                    <w:left w:val="none" w:sz="0" w:space="0" w:color="auto"/>
                    <w:bottom w:val="none" w:sz="0" w:space="0" w:color="auto"/>
                    <w:right w:val="none" w:sz="0" w:space="0" w:color="auto"/>
                  </w:divBdr>
                  <w:divsChild>
                    <w:div w:id="917404422">
                      <w:marLeft w:val="0"/>
                      <w:marRight w:val="0"/>
                      <w:marTop w:val="0"/>
                      <w:marBottom w:val="0"/>
                      <w:divBdr>
                        <w:top w:val="none" w:sz="0" w:space="0" w:color="auto"/>
                        <w:left w:val="none" w:sz="0" w:space="0" w:color="auto"/>
                        <w:bottom w:val="none" w:sz="0" w:space="0" w:color="auto"/>
                        <w:right w:val="none" w:sz="0" w:space="0" w:color="auto"/>
                      </w:divBdr>
                    </w:div>
                  </w:divsChild>
                </w:div>
                <w:div w:id="1038046279">
                  <w:marLeft w:val="0"/>
                  <w:marRight w:val="0"/>
                  <w:marTop w:val="0"/>
                  <w:marBottom w:val="0"/>
                  <w:divBdr>
                    <w:top w:val="none" w:sz="0" w:space="0" w:color="auto"/>
                    <w:left w:val="none" w:sz="0" w:space="0" w:color="auto"/>
                    <w:bottom w:val="none" w:sz="0" w:space="0" w:color="auto"/>
                    <w:right w:val="none" w:sz="0" w:space="0" w:color="auto"/>
                  </w:divBdr>
                  <w:divsChild>
                    <w:div w:id="221329620">
                      <w:marLeft w:val="0"/>
                      <w:marRight w:val="0"/>
                      <w:marTop w:val="0"/>
                      <w:marBottom w:val="0"/>
                      <w:divBdr>
                        <w:top w:val="none" w:sz="0" w:space="0" w:color="auto"/>
                        <w:left w:val="none" w:sz="0" w:space="0" w:color="auto"/>
                        <w:bottom w:val="none" w:sz="0" w:space="0" w:color="auto"/>
                        <w:right w:val="none" w:sz="0" w:space="0" w:color="auto"/>
                      </w:divBdr>
                    </w:div>
                  </w:divsChild>
                </w:div>
                <w:div w:id="1056969412">
                  <w:marLeft w:val="0"/>
                  <w:marRight w:val="0"/>
                  <w:marTop w:val="0"/>
                  <w:marBottom w:val="0"/>
                  <w:divBdr>
                    <w:top w:val="none" w:sz="0" w:space="0" w:color="auto"/>
                    <w:left w:val="none" w:sz="0" w:space="0" w:color="auto"/>
                    <w:bottom w:val="none" w:sz="0" w:space="0" w:color="auto"/>
                    <w:right w:val="none" w:sz="0" w:space="0" w:color="auto"/>
                  </w:divBdr>
                  <w:divsChild>
                    <w:div w:id="810562992">
                      <w:marLeft w:val="0"/>
                      <w:marRight w:val="0"/>
                      <w:marTop w:val="0"/>
                      <w:marBottom w:val="0"/>
                      <w:divBdr>
                        <w:top w:val="none" w:sz="0" w:space="0" w:color="auto"/>
                        <w:left w:val="none" w:sz="0" w:space="0" w:color="auto"/>
                        <w:bottom w:val="none" w:sz="0" w:space="0" w:color="auto"/>
                        <w:right w:val="none" w:sz="0" w:space="0" w:color="auto"/>
                      </w:divBdr>
                    </w:div>
                  </w:divsChild>
                </w:div>
                <w:div w:id="1173378939">
                  <w:marLeft w:val="0"/>
                  <w:marRight w:val="0"/>
                  <w:marTop w:val="0"/>
                  <w:marBottom w:val="0"/>
                  <w:divBdr>
                    <w:top w:val="none" w:sz="0" w:space="0" w:color="auto"/>
                    <w:left w:val="none" w:sz="0" w:space="0" w:color="auto"/>
                    <w:bottom w:val="none" w:sz="0" w:space="0" w:color="auto"/>
                    <w:right w:val="none" w:sz="0" w:space="0" w:color="auto"/>
                  </w:divBdr>
                  <w:divsChild>
                    <w:div w:id="614481195">
                      <w:marLeft w:val="0"/>
                      <w:marRight w:val="0"/>
                      <w:marTop w:val="0"/>
                      <w:marBottom w:val="0"/>
                      <w:divBdr>
                        <w:top w:val="none" w:sz="0" w:space="0" w:color="auto"/>
                        <w:left w:val="none" w:sz="0" w:space="0" w:color="auto"/>
                        <w:bottom w:val="none" w:sz="0" w:space="0" w:color="auto"/>
                        <w:right w:val="none" w:sz="0" w:space="0" w:color="auto"/>
                      </w:divBdr>
                    </w:div>
                  </w:divsChild>
                </w:div>
                <w:div w:id="1213999469">
                  <w:marLeft w:val="0"/>
                  <w:marRight w:val="0"/>
                  <w:marTop w:val="0"/>
                  <w:marBottom w:val="0"/>
                  <w:divBdr>
                    <w:top w:val="none" w:sz="0" w:space="0" w:color="auto"/>
                    <w:left w:val="none" w:sz="0" w:space="0" w:color="auto"/>
                    <w:bottom w:val="none" w:sz="0" w:space="0" w:color="auto"/>
                    <w:right w:val="none" w:sz="0" w:space="0" w:color="auto"/>
                  </w:divBdr>
                  <w:divsChild>
                    <w:div w:id="1345670495">
                      <w:marLeft w:val="0"/>
                      <w:marRight w:val="0"/>
                      <w:marTop w:val="0"/>
                      <w:marBottom w:val="0"/>
                      <w:divBdr>
                        <w:top w:val="none" w:sz="0" w:space="0" w:color="auto"/>
                        <w:left w:val="none" w:sz="0" w:space="0" w:color="auto"/>
                        <w:bottom w:val="none" w:sz="0" w:space="0" w:color="auto"/>
                        <w:right w:val="none" w:sz="0" w:space="0" w:color="auto"/>
                      </w:divBdr>
                    </w:div>
                  </w:divsChild>
                </w:div>
                <w:div w:id="1215124511">
                  <w:marLeft w:val="0"/>
                  <w:marRight w:val="0"/>
                  <w:marTop w:val="0"/>
                  <w:marBottom w:val="0"/>
                  <w:divBdr>
                    <w:top w:val="none" w:sz="0" w:space="0" w:color="auto"/>
                    <w:left w:val="none" w:sz="0" w:space="0" w:color="auto"/>
                    <w:bottom w:val="none" w:sz="0" w:space="0" w:color="auto"/>
                    <w:right w:val="none" w:sz="0" w:space="0" w:color="auto"/>
                  </w:divBdr>
                  <w:divsChild>
                    <w:div w:id="1369068869">
                      <w:marLeft w:val="0"/>
                      <w:marRight w:val="0"/>
                      <w:marTop w:val="0"/>
                      <w:marBottom w:val="0"/>
                      <w:divBdr>
                        <w:top w:val="none" w:sz="0" w:space="0" w:color="auto"/>
                        <w:left w:val="none" w:sz="0" w:space="0" w:color="auto"/>
                        <w:bottom w:val="none" w:sz="0" w:space="0" w:color="auto"/>
                        <w:right w:val="none" w:sz="0" w:space="0" w:color="auto"/>
                      </w:divBdr>
                    </w:div>
                  </w:divsChild>
                </w:div>
                <w:div w:id="1334793989">
                  <w:marLeft w:val="0"/>
                  <w:marRight w:val="0"/>
                  <w:marTop w:val="0"/>
                  <w:marBottom w:val="0"/>
                  <w:divBdr>
                    <w:top w:val="none" w:sz="0" w:space="0" w:color="auto"/>
                    <w:left w:val="none" w:sz="0" w:space="0" w:color="auto"/>
                    <w:bottom w:val="none" w:sz="0" w:space="0" w:color="auto"/>
                    <w:right w:val="none" w:sz="0" w:space="0" w:color="auto"/>
                  </w:divBdr>
                  <w:divsChild>
                    <w:div w:id="43332243">
                      <w:marLeft w:val="0"/>
                      <w:marRight w:val="0"/>
                      <w:marTop w:val="0"/>
                      <w:marBottom w:val="0"/>
                      <w:divBdr>
                        <w:top w:val="none" w:sz="0" w:space="0" w:color="auto"/>
                        <w:left w:val="none" w:sz="0" w:space="0" w:color="auto"/>
                        <w:bottom w:val="none" w:sz="0" w:space="0" w:color="auto"/>
                        <w:right w:val="none" w:sz="0" w:space="0" w:color="auto"/>
                      </w:divBdr>
                    </w:div>
                  </w:divsChild>
                </w:div>
                <w:div w:id="1396586185">
                  <w:marLeft w:val="0"/>
                  <w:marRight w:val="0"/>
                  <w:marTop w:val="0"/>
                  <w:marBottom w:val="0"/>
                  <w:divBdr>
                    <w:top w:val="none" w:sz="0" w:space="0" w:color="auto"/>
                    <w:left w:val="none" w:sz="0" w:space="0" w:color="auto"/>
                    <w:bottom w:val="none" w:sz="0" w:space="0" w:color="auto"/>
                    <w:right w:val="none" w:sz="0" w:space="0" w:color="auto"/>
                  </w:divBdr>
                  <w:divsChild>
                    <w:div w:id="477037924">
                      <w:marLeft w:val="0"/>
                      <w:marRight w:val="0"/>
                      <w:marTop w:val="0"/>
                      <w:marBottom w:val="0"/>
                      <w:divBdr>
                        <w:top w:val="none" w:sz="0" w:space="0" w:color="auto"/>
                        <w:left w:val="none" w:sz="0" w:space="0" w:color="auto"/>
                        <w:bottom w:val="none" w:sz="0" w:space="0" w:color="auto"/>
                        <w:right w:val="none" w:sz="0" w:space="0" w:color="auto"/>
                      </w:divBdr>
                    </w:div>
                  </w:divsChild>
                </w:div>
                <w:div w:id="1466044150">
                  <w:marLeft w:val="0"/>
                  <w:marRight w:val="0"/>
                  <w:marTop w:val="0"/>
                  <w:marBottom w:val="0"/>
                  <w:divBdr>
                    <w:top w:val="none" w:sz="0" w:space="0" w:color="auto"/>
                    <w:left w:val="none" w:sz="0" w:space="0" w:color="auto"/>
                    <w:bottom w:val="none" w:sz="0" w:space="0" w:color="auto"/>
                    <w:right w:val="none" w:sz="0" w:space="0" w:color="auto"/>
                  </w:divBdr>
                  <w:divsChild>
                    <w:div w:id="829370867">
                      <w:marLeft w:val="0"/>
                      <w:marRight w:val="0"/>
                      <w:marTop w:val="0"/>
                      <w:marBottom w:val="0"/>
                      <w:divBdr>
                        <w:top w:val="none" w:sz="0" w:space="0" w:color="auto"/>
                        <w:left w:val="none" w:sz="0" w:space="0" w:color="auto"/>
                        <w:bottom w:val="none" w:sz="0" w:space="0" w:color="auto"/>
                        <w:right w:val="none" w:sz="0" w:space="0" w:color="auto"/>
                      </w:divBdr>
                    </w:div>
                  </w:divsChild>
                </w:div>
                <w:div w:id="1503474978">
                  <w:marLeft w:val="0"/>
                  <w:marRight w:val="0"/>
                  <w:marTop w:val="0"/>
                  <w:marBottom w:val="0"/>
                  <w:divBdr>
                    <w:top w:val="none" w:sz="0" w:space="0" w:color="auto"/>
                    <w:left w:val="none" w:sz="0" w:space="0" w:color="auto"/>
                    <w:bottom w:val="none" w:sz="0" w:space="0" w:color="auto"/>
                    <w:right w:val="none" w:sz="0" w:space="0" w:color="auto"/>
                  </w:divBdr>
                  <w:divsChild>
                    <w:div w:id="356855366">
                      <w:marLeft w:val="0"/>
                      <w:marRight w:val="0"/>
                      <w:marTop w:val="0"/>
                      <w:marBottom w:val="0"/>
                      <w:divBdr>
                        <w:top w:val="none" w:sz="0" w:space="0" w:color="auto"/>
                        <w:left w:val="none" w:sz="0" w:space="0" w:color="auto"/>
                        <w:bottom w:val="none" w:sz="0" w:space="0" w:color="auto"/>
                        <w:right w:val="none" w:sz="0" w:space="0" w:color="auto"/>
                      </w:divBdr>
                    </w:div>
                  </w:divsChild>
                </w:div>
                <w:div w:id="1509754082">
                  <w:marLeft w:val="0"/>
                  <w:marRight w:val="0"/>
                  <w:marTop w:val="0"/>
                  <w:marBottom w:val="0"/>
                  <w:divBdr>
                    <w:top w:val="none" w:sz="0" w:space="0" w:color="auto"/>
                    <w:left w:val="none" w:sz="0" w:space="0" w:color="auto"/>
                    <w:bottom w:val="none" w:sz="0" w:space="0" w:color="auto"/>
                    <w:right w:val="none" w:sz="0" w:space="0" w:color="auto"/>
                  </w:divBdr>
                  <w:divsChild>
                    <w:div w:id="1539466243">
                      <w:marLeft w:val="0"/>
                      <w:marRight w:val="0"/>
                      <w:marTop w:val="0"/>
                      <w:marBottom w:val="0"/>
                      <w:divBdr>
                        <w:top w:val="none" w:sz="0" w:space="0" w:color="auto"/>
                        <w:left w:val="none" w:sz="0" w:space="0" w:color="auto"/>
                        <w:bottom w:val="none" w:sz="0" w:space="0" w:color="auto"/>
                        <w:right w:val="none" w:sz="0" w:space="0" w:color="auto"/>
                      </w:divBdr>
                    </w:div>
                  </w:divsChild>
                </w:div>
                <w:div w:id="1615289496">
                  <w:marLeft w:val="0"/>
                  <w:marRight w:val="0"/>
                  <w:marTop w:val="0"/>
                  <w:marBottom w:val="0"/>
                  <w:divBdr>
                    <w:top w:val="none" w:sz="0" w:space="0" w:color="auto"/>
                    <w:left w:val="none" w:sz="0" w:space="0" w:color="auto"/>
                    <w:bottom w:val="none" w:sz="0" w:space="0" w:color="auto"/>
                    <w:right w:val="none" w:sz="0" w:space="0" w:color="auto"/>
                  </w:divBdr>
                  <w:divsChild>
                    <w:div w:id="1131481978">
                      <w:marLeft w:val="0"/>
                      <w:marRight w:val="0"/>
                      <w:marTop w:val="0"/>
                      <w:marBottom w:val="0"/>
                      <w:divBdr>
                        <w:top w:val="none" w:sz="0" w:space="0" w:color="auto"/>
                        <w:left w:val="none" w:sz="0" w:space="0" w:color="auto"/>
                        <w:bottom w:val="none" w:sz="0" w:space="0" w:color="auto"/>
                        <w:right w:val="none" w:sz="0" w:space="0" w:color="auto"/>
                      </w:divBdr>
                    </w:div>
                  </w:divsChild>
                </w:div>
                <w:div w:id="1733844636">
                  <w:marLeft w:val="0"/>
                  <w:marRight w:val="0"/>
                  <w:marTop w:val="0"/>
                  <w:marBottom w:val="0"/>
                  <w:divBdr>
                    <w:top w:val="none" w:sz="0" w:space="0" w:color="auto"/>
                    <w:left w:val="none" w:sz="0" w:space="0" w:color="auto"/>
                    <w:bottom w:val="none" w:sz="0" w:space="0" w:color="auto"/>
                    <w:right w:val="none" w:sz="0" w:space="0" w:color="auto"/>
                  </w:divBdr>
                  <w:divsChild>
                    <w:div w:id="1623923399">
                      <w:marLeft w:val="0"/>
                      <w:marRight w:val="0"/>
                      <w:marTop w:val="0"/>
                      <w:marBottom w:val="0"/>
                      <w:divBdr>
                        <w:top w:val="none" w:sz="0" w:space="0" w:color="auto"/>
                        <w:left w:val="none" w:sz="0" w:space="0" w:color="auto"/>
                        <w:bottom w:val="none" w:sz="0" w:space="0" w:color="auto"/>
                        <w:right w:val="none" w:sz="0" w:space="0" w:color="auto"/>
                      </w:divBdr>
                    </w:div>
                  </w:divsChild>
                </w:div>
                <w:div w:id="1941912923">
                  <w:marLeft w:val="0"/>
                  <w:marRight w:val="0"/>
                  <w:marTop w:val="0"/>
                  <w:marBottom w:val="0"/>
                  <w:divBdr>
                    <w:top w:val="none" w:sz="0" w:space="0" w:color="auto"/>
                    <w:left w:val="none" w:sz="0" w:space="0" w:color="auto"/>
                    <w:bottom w:val="none" w:sz="0" w:space="0" w:color="auto"/>
                    <w:right w:val="none" w:sz="0" w:space="0" w:color="auto"/>
                  </w:divBdr>
                  <w:divsChild>
                    <w:div w:id="1151823295">
                      <w:marLeft w:val="0"/>
                      <w:marRight w:val="0"/>
                      <w:marTop w:val="0"/>
                      <w:marBottom w:val="0"/>
                      <w:divBdr>
                        <w:top w:val="none" w:sz="0" w:space="0" w:color="auto"/>
                        <w:left w:val="none" w:sz="0" w:space="0" w:color="auto"/>
                        <w:bottom w:val="none" w:sz="0" w:space="0" w:color="auto"/>
                        <w:right w:val="none" w:sz="0" w:space="0" w:color="auto"/>
                      </w:divBdr>
                    </w:div>
                  </w:divsChild>
                </w:div>
                <w:div w:id="2002738350">
                  <w:marLeft w:val="0"/>
                  <w:marRight w:val="0"/>
                  <w:marTop w:val="0"/>
                  <w:marBottom w:val="0"/>
                  <w:divBdr>
                    <w:top w:val="none" w:sz="0" w:space="0" w:color="auto"/>
                    <w:left w:val="none" w:sz="0" w:space="0" w:color="auto"/>
                    <w:bottom w:val="none" w:sz="0" w:space="0" w:color="auto"/>
                    <w:right w:val="none" w:sz="0" w:space="0" w:color="auto"/>
                  </w:divBdr>
                  <w:divsChild>
                    <w:div w:id="162361351">
                      <w:marLeft w:val="0"/>
                      <w:marRight w:val="0"/>
                      <w:marTop w:val="0"/>
                      <w:marBottom w:val="0"/>
                      <w:divBdr>
                        <w:top w:val="none" w:sz="0" w:space="0" w:color="auto"/>
                        <w:left w:val="none" w:sz="0" w:space="0" w:color="auto"/>
                        <w:bottom w:val="none" w:sz="0" w:space="0" w:color="auto"/>
                        <w:right w:val="none" w:sz="0" w:space="0" w:color="auto"/>
                      </w:divBdr>
                    </w:div>
                  </w:divsChild>
                </w:div>
                <w:div w:id="2108191204">
                  <w:marLeft w:val="0"/>
                  <w:marRight w:val="0"/>
                  <w:marTop w:val="0"/>
                  <w:marBottom w:val="0"/>
                  <w:divBdr>
                    <w:top w:val="none" w:sz="0" w:space="0" w:color="auto"/>
                    <w:left w:val="none" w:sz="0" w:space="0" w:color="auto"/>
                    <w:bottom w:val="none" w:sz="0" w:space="0" w:color="auto"/>
                    <w:right w:val="none" w:sz="0" w:space="0" w:color="auto"/>
                  </w:divBdr>
                  <w:divsChild>
                    <w:div w:id="1804812943">
                      <w:marLeft w:val="0"/>
                      <w:marRight w:val="0"/>
                      <w:marTop w:val="0"/>
                      <w:marBottom w:val="0"/>
                      <w:divBdr>
                        <w:top w:val="none" w:sz="0" w:space="0" w:color="auto"/>
                        <w:left w:val="none" w:sz="0" w:space="0" w:color="auto"/>
                        <w:bottom w:val="none" w:sz="0" w:space="0" w:color="auto"/>
                        <w:right w:val="none" w:sz="0" w:space="0" w:color="auto"/>
                      </w:divBdr>
                    </w:div>
                  </w:divsChild>
                </w:div>
                <w:div w:id="2110000957">
                  <w:marLeft w:val="0"/>
                  <w:marRight w:val="0"/>
                  <w:marTop w:val="0"/>
                  <w:marBottom w:val="0"/>
                  <w:divBdr>
                    <w:top w:val="none" w:sz="0" w:space="0" w:color="auto"/>
                    <w:left w:val="none" w:sz="0" w:space="0" w:color="auto"/>
                    <w:bottom w:val="none" w:sz="0" w:space="0" w:color="auto"/>
                    <w:right w:val="none" w:sz="0" w:space="0" w:color="auto"/>
                  </w:divBdr>
                  <w:divsChild>
                    <w:div w:id="1373072632">
                      <w:marLeft w:val="0"/>
                      <w:marRight w:val="0"/>
                      <w:marTop w:val="0"/>
                      <w:marBottom w:val="0"/>
                      <w:divBdr>
                        <w:top w:val="none" w:sz="0" w:space="0" w:color="auto"/>
                        <w:left w:val="none" w:sz="0" w:space="0" w:color="auto"/>
                        <w:bottom w:val="none" w:sz="0" w:space="0" w:color="auto"/>
                        <w:right w:val="none" w:sz="0" w:space="0" w:color="auto"/>
                      </w:divBdr>
                    </w:div>
                  </w:divsChild>
                </w:div>
                <w:div w:id="2110732074">
                  <w:marLeft w:val="0"/>
                  <w:marRight w:val="0"/>
                  <w:marTop w:val="0"/>
                  <w:marBottom w:val="0"/>
                  <w:divBdr>
                    <w:top w:val="none" w:sz="0" w:space="0" w:color="auto"/>
                    <w:left w:val="none" w:sz="0" w:space="0" w:color="auto"/>
                    <w:bottom w:val="none" w:sz="0" w:space="0" w:color="auto"/>
                    <w:right w:val="none" w:sz="0" w:space="0" w:color="auto"/>
                  </w:divBdr>
                  <w:divsChild>
                    <w:div w:id="2103448727">
                      <w:marLeft w:val="0"/>
                      <w:marRight w:val="0"/>
                      <w:marTop w:val="0"/>
                      <w:marBottom w:val="0"/>
                      <w:divBdr>
                        <w:top w:val="none" w:sz="0" w:space="0" w:color="auto"/>
                        <w:left w:val="none" w:sz="0" w:space="0" w:color="auto"/>
                        <w:bottom w:val="none" w:sz="0" w:space="0" w:color="auto"/>
                        <w:right w:val="none" w:sz="0" w:space="0" w:color="auto"/>
                      </w:divBdr>
                    </w:div>
                  </w:divsChild>
                </w:div>
                <w:div w:id="2123529504">
                  <w:marLeft w:val="0"/>
                  <w:marRight w:val="0"/>
                  <w:marTop w:val="0"/>
                  <w:marBottom w:val="0"/>
                  <w:divBdr>
                    <w:top w:val="none" w:sz="0" w:space="0" w:color="auto"/>
                    <w:left w:val="none" w:sz="0" w:space="0" w:color="auto"/>
                    <w:bottom w:val="none" w:sz="0" w:space="0" w:color="auto"/>
                    <w:right w:val="none" w:sz="0" w:space="0" w:color="auto"/>
                  </w:divBdr>
                  <w:divsChild>
                    <w:div w:id="18328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75889">
          <w:marLeft w:val="0"/>
          <w:marRight w:val="0"/>
          <w:marTop w:val="0"/>
          <w:marBottom w:val="0"/>
          <w:divBdr>
            <w:top w:val="none" w:sz="0" w:space="0" w:color="auto"/>
            <w:left w:val="none" w:sz="0" w:space="0" w:color="auto"/>
            <w:bottom w:val="none" w:sz="0" w:space="0" w:color="auto"/>
            <w:right w:val="none" w:sz="0" w:space="0" w:color="auto"/>
          </w:divBdr>
        </w:div>
      </w:divsChild>
    </w:div>
    <w:div w:id="1489128633">
      <w:bodyDiv w:val="1"/>
      <w:marLeft w:val="0"/>
      <w:marRight w:val="0"/>
      <w:marTop w:val="0"/>
      <w:marBottom w:val="0"/>
      <w:divBdr>
        <w:top w:val="none" w:sz="0" w:space="0" w:color="auto"/>
        <w:left w:val="none" w:sz="0" w:space="0" w:color="auto"/>
        <w:bottom w:val="none" w:sz="0" w:space="0" w:color="auto"/>
        <w:right w:val="none" w:sz="0" w:space="0" w:color="auto"/>
      </w:divBdr>
      <w:divsChild>
        <w:div w:id="404180570">
          <w:marLeft w:val="0"/>
          <w:marRight w:val="0"/>
          <w:marTop w:val="0"/>
          <w:marBottom w:val="0"/>
          <w:divBdr>
            <w:top w:val="none" w:sz="0" w:space="0" w:color="auto"/>
            <w:left w:val="none" w:sz="0" w:space="0" w:color="auto"/>
            <w:bottom w:val="none" w:sz="0" w:space="0" w:color="auto"/>
            <w:right w:val="none" w:sz="0" w:space="0" w:color="auto"/>
          </w:divBdr>
        </w:div>
        <w:div w:id="1087767181">
          <w:marLeft w:val="0"/>
          <w:marRight w:val="0"/>
          <w:marTop w:val="0"/>
          <w:marBottom w:val="0"/>
          <w:divBdr>
            <w:top w:val="none" w:sz="0" w:space="0" w:color="auto"/>
            <w:left w:val="none" w:sz="0" w:space="0" w:color="auto"/>
            <w:bottom w:val="none" w:sz="0" w:space="0" w:color="auto"/>
            <w:right w:val="none" w:sz="0" w:space="0" w:color="auto"/>
          </w:divBdr>
        </w:div>
        <w:div w:id="1277981744">
          <w:marLeft w:val="0"/>
          <w:marRight w:val="0"/>
          <w:marTop w:val="0"/>
          <w:marBottom w:val="0"/>
          <w:divBdr>
            <w:top w:val="none" w:sz="0" w:space="0" w:color="auto"/>
            <w:left w:val="none" w:sz="0" w:space="0" w:color="auto"/>
            <w:bottom w:val="none" w:sz="0" w:space="0" w:color="auto"/>
            <w:right w:val="none" w:sz="0" w:space="0" w:color="auto"/>
          </w:divBdr>
        </w:div>
        <w:div w:id="2001234243">
          <w:marLeft w:val="0"/>
          <w:marRight w:val="0"/>
          <w:marTop w:val="0"/>
          <w:marBottom w:val="0"/>
          <w:divBdr>
            <w:top w:val="none" w:sz="0" w:space="0" w:color="auto"/>
            <w:left w:val="none" w:sz="0" w:space="0" w:color="auto"/>
            <w:bottom w:val="none" w:sz="0" w:space="0" w:color="auto"/>
            <w:right w:val="none" w:sz="0" w:space="0" w:color="auto"/>
          </w:divBdr>
        </w:div>
        <w:div w:id="2136555429">
          <w:marLeft w:val="0"/>
          <w:marRight w:val="0"/>
          <w:marTop w:val="0"/>
          <w:marBottom w:val="0"/>
          <w:divBdr>
            <w:top w:val="none" w:sz="0" w:space="0" w:color="auto"/>
            <w:left w:val="none" w:sz="0" w:space="0" w:color="auto"/>
            <w:bottom w:val="none" w:sz="0" w:space="0" w:color="auto"/>
            <w:right w:val="none" w:sz="0" w:space="0" w:color="auto"/>
          </w:divBdr>
        </w:div>
      </w:divsChild>
    </w:div>
    <w:div w:id="1502625331">
      <w:bodyDiv w:val="1"/>
      <w:marLeft w:val="0"/>
      <w:marRight w:val="0"/>
      <w:marTop w:val="0"/>
      <w:marBottom w:val="0"/>
      <w:divBdr>
        <w:top w:val="none" w:sz="0" w:space="0" w:color="auto"/>
        <w:left w:val="none" w:sz="0" w:space="0" w:color="auto"/>
        <w:bottom w:val="none" w:sz="0" w:space="0" w:color="auto"/>
        <w:right w:val="none" w:sz="0" w:space="0" w:color="auto"/>
      </w:divBdr>
      <w:divsChild>
        <w:div w:id="1143035445">
          <w:marLeft w:val="0"/>
          <w:marRight w:val="0"/>
          <w:marTop w:val="0"/>
          <w:marBottom w:val="0"/>
          <w:divBdr>
            <w:top w:val="none" w:sz="0" w:space="0" w:color="auto"/>
            <w:left w:val="none" w:sz="0" w:space="0" w:color="auto"/>
            <w:bottom w:val="none" w:sz="0" w:space="0" w:color="auto"/>
            <w:right w:val="none" w:sz="0" w:space="0" w:color="auto"/>
          </w:divBdr>
        </w:div>
        <w:div w:id="1263147879">
          <w:marLeft w:val="0"/>
          <w:marRight w:val="0"/>
          <w:marTop w:val="0"/>
          <w:marBottom w:val="0"/>
          <w:divBdr>
            <w:top w:val="none" w:sz="0" w:space="0" w:color="auto"/>
            <w:left w:val="none" w:sz="0" w:space="0" w:color="auto"/>
            <w:bottom w:val="none" w:sz="0" w:space="0" w:color="auto"/>
            <w:right w:val="none" w:sz="0" w:space="0" w:color="auto"/>
          </w:divBdr>
        </w:div>
      </w:divsChild>
    </w:div>
    <w:div w:id="1577126175">
      <w:bodyDiv w:val="1"/>
      <w:marLeft w:val="0"/>
      <w:marRight w:val="0"/>
      <w:marTop w:val="0"/>
      <w:marBottom w:val="0"/>
      <w:divBdr>
        <w:top w:val="none" w:sz="0" w:space="0" w:color="auto"/>
        <w:left w:val="none" w:sz="0" w:space="0" w:color="auto"/>
        <w:bottom w:val="none" w:sz="0" w:space="0" w:color="auto"/>
        <w:right w:val="none" w:sz="0" w:space="0" w:color="auto"/>
      </w:divBdr>
      <w:divsChild>
        <w:div w:id="434400891">
          <w:marLeft w:val="0"/>
          <w:marRight w:val="0"/>
          <w:marTop w:val="0"/>
          <w:marBottom w:val="0"/>
          <w:divBdr>
            <w:top w:val="none" w:sz="0" w:space="0" w:color="auto"/>
            <w:left w:val="none" w:sz="0" w:space="0" w:color="auto"/>
            <w:bottom w:val="none" w:sz="0" w:space="0" w:color="auto"/>
            <w:right w:val="none" w:sz="0" w:space="0" w:color="auto"/>
          </w:divBdr>
          <w:divsChild>
            <w:div w:id="818765933">
              <w:marLeft w:val="0"/>
              <w:marRight w:val="0"/>
              <w:marTop w:val="0"/>
              <w:marBottom w:val="0"/>
              <w:divBdr>
                <w:top w:val="none" w:sz="0" w:space="0" w:color="auto"/>
                <w:left w:val="none" w:sz="0" w:space="0" w:color="auto"/>
                <w:bottom w:val="none" w:sz="0" w:space="0" w:color="auto"/>
                <w:right w:val="none" w:sz="0" w:space="0" w:color="auto"/>
              </w:divBdr>
            </w:div>
            <w:div w:id="1306281306">
              <w:marLeft w:val="0"/>
              <w:marRight w:val="0"/>
              <w:marTop w:val="0"/>
              <w:marBottom w:val="0"/>
              <w:divBdr>
                <w:top w:val="none" w:sz="0" w:space="0" w:color="auto"/>
                <w:left w:val="none" w:sz="0" w:space="0" w:color="auto"/>
                <w:bottom w:val="none" w:sz="0" w:space="0" w:color="auto"/>
                <w:right w:val="none" w:sz="0" w:space="0" w:color="auto"/>
              </w:divBdr>
            </w:div>
            <w:div w:id="1538466850">
              <w:marLeft w:val="0"/>
              <w:marRight w:val="0"/>
              <w:marTop w:val="0"/>
              <w:marBottom w:val="0"/>
              <w:divBdr>
                <w:top w:val="none" w:sz="0" w:space="0" w:color="auto"/>
                <w:left w:val="none" w:sz="0" w:space="0" w:color="auto"/>
                <w:bottom w:val="none" w:sz="0" w:space="0" w:color="auto"/>
                <w:right w:val="none" w:sz="0" w:space="0" w:color="auto"/>
              </w:divBdr>
            </w:div>
            <w:div w:id="1951666269">
              <w:marLeft w:val="0"/>
              <w:marRight w:val="0"/>
              <w:marTop w:val="0"/>
              <w:marBottom w:val="0"/>
              <w:divBdr>
                <w:top w:val="none" w:sz="0" w:space="0" w:color="auto"/>
                <w:left w:val="none" w:sz="0" w:space="0" w:color="auto"/>
                <w:bottom w:val="none" w:sz="0" w:space="0" w:color="auto"/>
                <w:right w:val="none" w:sz="0" w:space="0" w:color="auto"/>
              </w:divBdr>
            </w:div>
          </w:divsChild>
        </w:div>
        <w:div w:id="1284389361">
          <w:marLeft w:val="0"/>
          <w:marRight w:val="0"/>
          <w:marTop w:val="0"/>
          <w:marBottom w:val="0"/>
          <w:divBdr>
            <w:top w:val="none" w:sz="0" w:space="0" w:color="auto"/>
            <w:left w:val="none" w:sz="0" w:space="0" w:color="auto"/>
            <w:bottom w:val="none" w:sz="0" w:space="0" w:color="auto"/>
            <w:right w:val="none" w:sz="0" w:space="0" w:color="auto"/>
          </w:divBdr>
          <w:divsChild>
            <w:div w:id="392461741">
              <w:marLeft w:val="0"/>
              <w:marRight w:val="0"/>
              <w:marTop w:val="0"/>
              <w:marBottom w:val="0"/>
              <w:divBdr>
                <w:top w:val="none" w:sz="0" w:space="0" w:color="auto"/>
                <w:left w:val="none" w:sz="0" w:space="0" w:color="auto"/>
                <w:bottom w:val="none" w:sz="0" w:space="0" w:color="auto"/>
                <w:right w:val="none" w:sz="0" w:space="0" w:color="auto"/>
              </w:divBdr>
            </w:div>
            <w:div w:id="695733376">
              <w:marLeft w:val="0"/>
              <w:marRight w:val="0"/>
              <w:marTop w:val="0"/>
              <w:marBottom w:val="0"/>
              <w:divBdr>
                <w:top w:val="none" w:sz="0" w:space="0" w:color="auto"/>
                <w:left w:val="none" w:sz="0" w:space="0" w:color="auto"/>
                <w:bottom w:val="none" w:sz="0" w:space="0" w:color="auto"/>
                <w:right w:val="none" w:sz="0" w:space="0" w:color="auto"/>
              </w:divBdr>
            </w:div>
            <w:div w:id="1155997586">
              <w:marLeft w:val="0"/>
              <w:marRight w:val="0"/>
              <w:marTop w:val="0"/>
              <w:marBottom w:val="0"/>
              <w:divBdr>
                <w:top w:val="none" w:sz="0" w:space="0" w:color="auto"/>
                <w:left w:val="none" w:sz="0" w:space="0" w:color="auto"/>
                <w:bottom w:val="none" w:sz="0" w:space="0" w:color="auto"/>
                <w:right w:val="none" w:sz="0" w:space="0" w:color="auto"/>
              </w:divBdr>
            </w:div>
            <w:div w:id="1173912365">
              <w:marLeft w:val="0"/>
              <w:marRight w:val="0"/>
              <w:marTop w:val="0"/>
              <w:marBottom w:val="0"/>
              <w:divBdr>
                <w:top w:val="none" w:sz="0" w:space="0" w:color="auto"/>
                <w:left w:val="none" w:sz="0" w:space="0" w:color="auto"/>
                <w:bottom w:val="none" w:sz="0" w:space="0" w:color="auto"/>
                <w:right w:val="none" w:sz="0" w:space="0" w:color="auto"/>
              </w:divBdr>
            </w:div>
            <w:div w:id="1454442471">
              <w:marLeft w:val="0"/>
              <w:marRight w:val="0"/>
              <w:marTop w:val="0"/>
              <w:marBottom w:val="0"/>
              <w:divBdr>
                <w:top w:val="none" w:sz="0" w:space="0" w:color="auto"/>
                <w:left w:val="none" w:sz="0" w:space="0" w:color="auto"/>
                <w:bottom w:val="none" w:sz="0" w:space="0" w:color="auto"/>
                <w:right w:val="none" w:sz="0" w:space="0" w:color="auto"/>
              </w:divBdr>
            </w:div>
            <w:div w:id="1919173095">
              <w:marLeft w:val="0"/>
              <w:marRight w:val="0"/>
              <w:marTop w:val="0"/>
              <w:marBottom w:val="0"/>
              <w:divBdr>
                <w:top w:val="none" w:sz="0" w:space="0" w:color="auto"/>
                <w:left w:val="none" w:sz="0" w:space="0" w:color="auto"/>
                <w:bottom w:val="none" w:sz="0" w:space="0" w:color="auto"/>
                <w:right w:val="none" w:sz="0" w:space="0" w:color="auto"/>
              </w:divBdr>
            </w:div>
            <w:div w:id="2138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0928">
      <w:bodyDiv w:val="1"/>
      <w:marLeft w:val="0"/>
      <w:marRight w:val="0"/>
      <w:marTop w:val="0"/>
      <w:marBottom w:val="0"/>
      <w:divBdr>
        <w:top w:val="none" w:sz="0" w:space="0" w:color="auto"/>
        <w:left w:val="none" w:sz="0" w:space="0" w:color="auto"/>
        <w:bottom w:val="none" w:sz="0" w:space="0" w:color="auto"/>
        <w:right w:val="none" w:sz="0" w:space="0" w:color="auto"/>
      </w:divBdr>
      <w:divsChild>
        <w:div w:id="93790033">
          <w:marLeft w:val="0"/>
          <w:marRight w:val="0"/>
          <w:marTop w:val="0"/>
          <w:marBottom w:val="0"/>
          <w:divBdr>
            <w:top w:val="none" w:sz="0" w:space="0" w:color="auto"/>
            <w:left w:val="none" w:sz="0" w:space="0" w:color="auto"/>
            <w:bottom w:val="none" w:sz="0" w:space="0" w:color="auto"/>
            <w:right w:val="none" w:sz="0" w:space="0" w:color="auto"/>
          </w:divBdr>
        </w:div>
        <w:div w:id="417290825">
          <w:marLeft w:val="0"/>
          <w:marRight w:val="0"/>
          <w:marTop w:val="0"/>
          <w:marBottom w:val="0"/>
          <w:divBdr>
            <w:top w:val="none" w:sz="0" w:space="0" w:color="auto"/>
            <w:left w:val="none" w:sz="0" w:space="0" w:color="auto"/>
            <w:bottom w:val="none" w:sz="0" w:space="0" w:color="auto"/>
            <w:right w:val="none" w:sz="0" w:space="0" w:color="auto"/>
          </w:divBdr>
        </w:div>
        <w:div w:id="586841106">
          <w:marLeft w:val="0"/>
          <w:marRight w:val="0"/>
          <w:marTop w:val="0"/>
          <w:marBottom w:val="0"/>
          <w:divBdr>
            <w:top w:val="none" w:sz="0" w:space="0" w:color="auto"/>
            <w:left w:val="none" w:sz="0" w:space="0" w:color="auto"/>
            <w:bottom w:val="none" w:sz="0" w:space="0" w:color="auto"/>
            <w:right w:val="none" w:sz="0" w:space="0" w:color="auto"/>
          </w:divBdr>
        </w:div>
        <w:div w:id="783966913">
          <w:marLeft w:val="0"/>
          <w:marRight w:val="0"/>
          <w:marTop w:val="0"/>
          <w:marBottom w:val="0"/>
          <w:divBdr>
            <w:top w:val="none" w:sz="0" w:space="0" w:color="auto"/>
            <w:left w:val="none" w:sz="0" w:space="0" w:color="auto"/>
            <w:bottom w:val="none" w:sz="0" w:space="0" w:color="auto"/>
            <w:right w:val="none" w:sz="0" w:space="0" w:color="auto"/>
          </w:divBdr>
        </w:div>
        <w:div w:id="788014107">
          <w:marLeft w:val="0"/>
          <w:marRight w:val="0"/>
          <w:marTop w:val="0"/>
          <w:marBottom w:val="0"/>
          <w:divBdr>
            <w:top w:val="none" w:sz="0" w:space="0" w:color="auto"/>
            <w:left w:val="none" w:sz="0" w:space="0" w:color="auto"/>
            <w:bottom w:val="none" w:sz="0" w:space="0" w:color="auto"/>
            <w:right w:val="none" w:sz="0" w:space="0" w:color="auto"/>
          </w:divBdr>
        </w:div>
        <w:div w:id="1042948844">
          <w:marLeft w:val="0"/>
          <w:marRight w:val="0"/>
          <w:marTop w:val="0"/>
          <w:marBottom w:val="0"/>
          <w:divBdr>
            <w:top w:val="none" w:sz="0" w:space="0" w:color="auto"/>
            <w:left w:val="none" w:sz="0" w:space="0" w:color="auto"/>
            <w:bottom w:val="none" w:sz="0" w:space="0" w:color="auto"/>
            <w:right w:val="none" w:sz="0" w:space="0" w:color="auto"/>
          </w:divBdr>
        </w:div>
        <w:div w:id="1097210127">
          <w:marLeft w:val="0"/>
          <w:marRight w:val="0"/>
          <w:marTop w:val="0"/>
          <w:marBottom w:val="0"/>
          <w:divBdr>
            <w:top w:val="none" w:sz="0" w:space="0" w:color="auto"/>
            <w:left w:val="none" w:sz="0" w:space="0" w:color="auto"/>
            <w:bottom w:val="none" w:sz="0" w:space="0" w:color="auto"/>
            <w:right w:val="none" w:sz="0" w:space="0" w:color="auto"/>
          </w:divBdr>
        </w:div>
        <w:div w:id="1133905602">
          <w:marLeft w:val="0"/>
          <w:marRight w:val="0"/>
          <w:marTop w:val="0"/>
          <w:marBottom w:val="0"/>
          <w:divBdr>
            <w:top w:val="none" w:sz="0" w:space="0" w:color="auto"/>
            <w:left w:val="none" w:sz="0" w:space="0" w:color="auto"/>
            <w:bottom w:val="none" w:sz="0" w:space="0" w:color="auto"/>
            <w:right w:val="none" w:sz="0" w:space="0" w:color="auto"/>
          </w:divBdr>
        </w:div>
        <w:div w:id="1141003208">
          <w:marLeft w:val="0"/>
          <w:marRight w:val="0"/>
          <w:marTop w:val="0"/>
          <w:marBottom w:val="0"/>
          <w:divBdr>
            <w:top w:val="none" w:sz="0" w:space="0" w:color="auto"/>
            <w:left w:val="none" w:sz="0" w:space="0" w:color="auto"/>
            <w:bottom w:val="none" w:sz="0" w:space="0" w:color="auto"/>
            <w:right w:val="none" w:sz="0" w:space="0" w:color="auto"/>
          </w:divBdr>
        </w:div>
        <w:div w:id="1171875808">
          <w:marLeft w:val="0"/>
          <w:marRight w:val="0"/>
          <w:marTop w:val="0"/>
          <w:marBottom w:val="0"/>
          <w:divBdr>
            <w:top w:val="none" w:sz="0" w:space="0" w:color="auto"/>
            <w:left w:val="none" w:sz="0" w:space="0" w:color="auto"/>
            <w:bottom w:val="none" w:sz="0" w:space="0" w:color="auto"/>
            <w:right w:val="none" w:sz="0" w:space="0" w:color="auto"/>
          </w:divBdr>
        </w:div>
        <w:div w:id="1321930263">
          <w:marLeft w:val="0"/>
          <w:marRight w:val="0"/>
          <w:marTop w:val="0"/>
          <w:marBottom w:val="0"/>
          <w:divBdr>
            <w:top w:val="none" w:sz="0" w:space="0" w:color="auto"/>
            <w:left w:val="none" w:sz="0" w:space="0" w:color="auto"/>
            <w:bottom w:val="none" w:sz="0" w:space="0" w:color="auto"/>
            <w:right w:val="none" w:sz="0" w:space="0" w:color="auto"/>
          </w:divBdr>
        </w:div>
        <w:div w:id="1330866959">
          <w:marLeft w:val="0"/>
          <w:marRight w:val="0"/>
          <w:marTop w:val="0"/>
          <w:marBottom w:val="0"/>
          <w:divBdr>
            <w:top w:val="none" w:sz="0" w:space="0" w:color="auto"/>
            <w:left w:val="none" w:sz="0" w:space="0" w:color="auto"/>
            <w:bottom w:val="none" w:sz="0" w:space="0" w:color="auto"/>
            <w:right w:val="none" w:sz="0" w:space="0" w:color="auto"/>
          </w:divBdr>
        </w:div>
        <w:div w:id="1432362118">
          <w:marLeft w:val="0"/>
          <w:marRight w:val="0"/>
          <w:marTop w:val="0"/>
          <w:marBottom w:val="0"/>
          <w:divBdr>
            <w:top w:val="none" w:sz="0" w:space="0" w:color="auto"/>
            <w:left w:val="none" w:sz="0" w:space="0" w:color="auto"/>
            <w:bottom w:val="none" w:sz="0" w:space="0" w:color="auto"/>
            <w:right w:val="none" w:sz="0" w:space="0" w:color="auto"/>
          </w:divBdr>
        </w:div>
        <w:div w:id="1498880054">
          <w:marLeft w:val="0"/>
          <w:marRight w:val="0"/>
          <w:marTop w:val="0"/>
          <w:marBottom w:val="0"/>
          <w:divBdr>
            <w:top w:val="none" w:sz="0" w:space="0" w:color="auto"/>
            <w:left w:val="none" w:sz="0" w:space="0" w:color="auto"/>
            <w:bottom w:val="none" w:sz="0" w:space="0" w:color="auto"/>
            <w:right w:val="none" w:sz="0" w:space="0" w:color="auto"/>
          </w:divBdr>
        </w:div>
        <w:div w:id="1594316476">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
        <w:div w:id="1831672893">
          <w:marLeft w:val="0"/>
          <w:marRight w:val="0"/>
          <w:marTop w:val="0"/>
          <w:marBottom w:val="0"/>
          <w:divBdr>
            <w:top w:val="none" w:sz="0" w:space="0" w:color="auto"/>
            <w:left w:val="none" w:sz="0" w:space="0" w:color="auto"/>
            <w:bottom w:val="none" w:sz="0" w:space="0" w:color="auto"/>
            <w:right w:val="none" w:sz="0" w:space="0" w:color="auto"/>
          </w:divBdr>
        </w:div>
        <w:div w:id="1861312071">
          <w:marLeft w:val="0"/>
          <w:marRight w:val="0"/>
          <w:marTop w:val="0"/>
          <w:marBottom w:val="0"/>
          <w:divBdr>
            <w:top w:val="none" w:sz="0" w:space="0" w:color="auto"/>
            <w:left w:val="none" w:sz="0" w:space="0" w:color="auto"/>
            <w:bottom w:val="none" w:sz="0" w:space="0" w:color="auto"/>
            <w:right w:val="none" w:sz="0" w:space="0" w:color="auto"/>
          </w:divBdr>
        </w:div>
        <w:div w:id="1865167844">
          <w:marLeft w:val="0"/>
          <w:marRight w:val="0"/>
          <w:marTop w:val="0"/>
          <w:marBottom w:val="0"/>
          <w:divBdr>
            <w:top w:val="none" w:sz="0" w:space="0" w:color="auto"/>
            <w:left w:val="none" w:sz="0" w:space="0" w:color="auto"/>
            <w:bottom w:val="none" w:sz="0" w:space="0" w:color="auto"/>
            <w:right w:val="none" w:sz="0" w:space="0" w:color="auto"/>
          </w:divBdr>
        </w:div>
        <w:div w:id="1957442940">
          <w:marLeft w:val="0"/>
          <w:marRight w:val="0"/>
          <w:marTop w:val="0"/>
          <w:marBottom w:val="0"/>
          <w:divBdr>
            <w:top w:val="none" w:sz="0" w:space="0" w:color="auto"/>
            <w:left w:val="none" w:sz="0" w:space="0" w:color="auto"/>
            <w:bottom w:val="none" w:sz="0" w:space="0" w:color="auto"/>
            <w:right w:val="none" w:sz="0" w:space="0" w:color="auto"/>
          </w:divBdr>
        </w:div>
        <w:div w:id="1989480438">
          <w:marLeft w:val="0"/>
          <w:marRight w:val="0"/>
          <w:marTop w:val="0"/>
          <w:marBottom w:val="0"/>
          <w:divBdr>
            <w:top w:val="none" w:sz="0" w:space="0" w:color="auto"/>
            <w:left w:val="none" w:sz="0" w:space="0" w:color="auto"/>
            <w:bottom w:val="none" w:sz="0" w:space="0" w:color="auto"/>
            <w:right w:val="none" w:sz="0" w:space="0" w:color="auto"/>
          </w:divBdr>
        </w:div>
      </w:divsChild>
    </w:div>
    <w:div w:id="1597789331">
      <w:bodyDiv w:val="1"/>
      <w:marLeft w:val="0"/>
      <w:marRight w:val="0"/>
      <w:marTop w:val="0"/>
      <w:marBottom w:val="0"/>
      <w:divBdr>
        <w:top w:val="none" w:sz="0" w:space="0" w:color="auto"/>
        <w:left w:val="none" w:sz="0" w:space="0" w:color="auto"/>
        <w:bottom w:val="none" w:sz="0" w:space="0" w:color="auto"/>
        <w:right w:val="none" w:sz="0" w:space="0" w:color="auto"/>
      </w:divBdr>
    </w:div>
    <w:div w:id="1605379328">
      <w:bodyDiv w:val="1"/>
      <w:marLeft w:val="0"/>
      <w:marRight w:val="0"/>
      <w:marTop w:val="0"/>
      <w:marBottom w:val="0"/>
      <w:divBdr>
        <w:top w:val="none" w:sz="0" w:space="0" w:color="auto"/>
        <w:left w:val="none" w:sz="0" w:space="0" w:color="auto"/>
        <w:bottom w:val="none" w:sz="0" w:space="0" w:color="auto"/>
        <w:right w:val="none" w:sz="0" w:space="0" w:color="auto"/>
      </w:divBdr>
      <w:divsChild>
        <w:div w:id="153573264">
          <w:marLeft w:val="0"/>
          <w:marRight w:val="0"/>
          <w:marTop w:val="0"/>
          <w:marBottom w:val="0"/>
          <w:divBdr>
            <w:top w:val="none" w:sz="0" w:space="0" w:color="auto"/>
            <w:left w:val="none" w:sz="0" w:space="0" w:color="auto"/>
            <w:bottom w:val="none" w:sz="0" w:space="0" w:color="auto"/>
            <w:right w:val="none" w:sz="0" w:space="0" w:color="auto"/>
          </w:divBdr>
        </w:div>
        <w:div w:id="870000323">
          <w:marLeft w:val="0"/>
          <w:marRight w:val="0"/>
          <w:marTop w:val="0"/>
          <w:marBottom w:val="0"/>
          <w:divBdr>
            <w:top w:val="none" w:sz="0" w:space="0" w:color="auto"/>
            <w:left w:val="none" w:sz="0" w:space="0" w:color="auto"/>
            <w:bottom w:val="none" w:sz="0" w:space="0" w:color="auto"/>
            <w:right w:val="none" w:sz="0" w:space="0" w:color="auto"/>
          </w:divBdr>
        </w:div>
      </w:divsChild>
    </w:div>
    <w:div w:id="1645550094">
      <w:bodyDiv w:val="1"/>
      <w:marLeft w:val="0"/>
      <w:marRight w:val="0"/>
      <w:marTop w:val="0"/>
      <w:marBottom w:val="0"/>
      <w:divBdr>
        <w:top w:val="none" w:sz="0" w:space="0" w:color="auto"/>
        <w:left w:val="none" w:sz="0" w:space="0" w:color="auto"/>
        <w:bottom w:val="none" w:sz="0" w:space="0" w:color="auto"/>
        <w:right w:val="none" w:sz="0" w:space="0" w:color="auto"/>
      </w:divBdr>
      <w:divsChild>
        <w:div w:id="86198198">
          <w:marLeft w:val="0"/>
          <w:marRight w:val="0"/>
          <w:marTop w:val="0"/>
          <w:marBottom w:val="0"/>
          <w:divBdr>
            <w:top w:val="none" w:sz="0" w:space="0" w:color="auto"/>
            <w:left w:val="none" w:sz="0" w:space="0" w:color="auto"/>
            <w:bottom w:val="none" w:sz="0" w:space="0" w:color="auto"/>
            <w:right w:val="none" w:sz="0" w:space="0" w:color="auto"/>
          </w:divBdr>
        </w:div>
        <w:div w:id="642275752">
          <w:marLeft w:val="0"/>
          <w:marRight w:val="0"/>
          <w:marTop w:val="0"/>
          <w:marBottom w:val="0"/>
          <w:divBdr>
            <w:top w:val="none" w:sz="0" w:space="0" w:color="auto"/>
            <w:left w:val="none" w:sz="0" w:space="0" w:color="auto"/>
            <w:bottom w:val="none" w:sz="0" w:space="0" w:color="auto"/>
            <w:right w:val="none" w:sz="0" w:space="0" w:color="auto"/>
          </w:divBdr>
        </w:div>
        <w:div w:id="702169337">
          <w:marLeft w:val="0"/>
          <w:marRight w:val="0"/>
          <w:marTop w:val="0"/>
          <w:marBottom w:val="0"/>
          <w:divBdr>
            <w:top w:val="none" w:sz="0" w:space="0" w:color="auto"/>
            <w:left w:val="none" w:sz="0" w:space="0" w:color="auto"/>
            <w:bottom w:val="none" w:sz="0" w:space="0" w:color="auto"/>
            <w:right w:val="none" w:sz="0" w:space="0" w:color="auto"/>
          </w:divBdr>
        </w:div>
        <w:div w:id="1039862106">
          <w:marLeft w:val="0"/>
          <w:marRight w:val="0"/>
          <w:marTop w:val="0"/>
          <w:marBottom w:val="0"/>
          <w:divBdr>
            <w:top w:val="none" w:sz="0" w:space="0" w:color="auto"/>
            <w:left w:val="none" w:sz="0" w:space="0" w:color="auto"/>
            <w:bottom w:val="none" w:sz="0" w:space="0" w:color="auto"/>
            <w:right w:val="none" w:sz="0" w:space="0" w:color="auto"/>
          </w:divBdr>
        </w:div>
        <w:div w:id="1202782955">
          <w:marLeft w:val="0"/>
          <w:marRight w:val="0"/>
          <w:marTop w:val="0"/>
          <w:marBottom w:val="0"/>
          <w:divBdr>
            <w:top w:val="none" w:sz="0" w:space="0" w:color="auto"/>
            <w:left w:val="none" w:sz="0" w:space="0" w:color="auto"/>
            <w:bottom w:val="none" w:sz="0" w:space="0" w:color="auto"/>
            <w:right w:val="none" w:sz="0" w:space="0" w:color="auto"/>
          </w:divBdr>
        </w:div>
        <w:div w:id="1929386232">
          <w:marLeft w:val="0"/>
          <w:marRight w:val="0"/>
          <w:marTop w:val="0"/>
          <w:marBottom w:val="0"/>
          <w:divBdr>
            <w:top w:val="none" w:sz="0" w:space="0" w:color="auto"/>
            <w:left w:val="none" w:sz="0" w:space="0" w:color="auto"/>
            <w:bottom w:val="none" w:sz="0" w:space="0" w:color="auto"/>
            <w:right w:val="none" w:sz="0" w:space="0" w:color="auto"/>
          </w:divBdr>
        </w:div>
      </w:divsChild>
    </w:div>
    <w:div w:id="1691878788">
      <w:bodyDiv w:val="1"/>
      <w:marLeft w:val="0"/>
      <w:marRight w:val="0"/>
      <w:marTop w:val="0"/>
      <w:marBottom w:val="0"/>
      <w:divBdr>
        <w:top w:val="none" w:sz="0" w:space="0" w:color="auto"/>
        <w:left w:val="none" w:sz="0" w:space="0" w:color="auto"/>
        <w:bottom w:val="none" w:sz="0" w:space="0" w:color="auto"/>
        <w:right w:val="none" w:sz="0" w:space="0" w:color="auto"/>
      </w:divBdr>
      <w:divsChild>
        <w:div w:id="1163743587">
          <w:marLeft w:val="0"/>
          <w:marRight w:val="0"/>
          <w:marTop w:val="0"/>
          <w:marBottom w:val="0"/>
          <w:divBdr>
            <w:top w:val="none" w:sz="0" w:space="0" w:color="auto"/>
            <w:left w:val="none" w:sz="0" w:space="0" w:color="auto"/>
            <w:bottom w:val="none" w:sz="0" w:space="0" w:color="auto"/>
            <w:right w:val="none" w:sz="0" w:space="0" w:color="auto"/>
          </w:divBdr>
        </w:div>
        <w:div w:id="1671827629">
          <w:marLeft w:val="0"/>
          <w:marRight w:val="0"/>
          <w:marTop w:val="0"/>
          <w:marBottom w:val="0"/>
          <w:divBdr>
            <w:top w:val="none" w:sz="0" w:space="0" w:color="auto"/>
            <w:left w:val="none" w:sz="0" w:space="0" w:color="auto"/>
            <w:bottom w:val="none" w:sz="0" w:space="0" w:color="auto"/>
            <w:right w:val="none" w:sz="0" w:space="0" w:color="auto"/>
          </w:divBdr>
        </w:div>
        <w:div w:id="1771197155">
          <w:marLeft w:val="0"/>
          <w:marRight w:val="0"/>
          <w:marTop w:val="0"/>
          <w:marBottom w:val="0"/>
          <w:divBdr>
            <w:top w:val="none" w:sz="0" w:space="0" w:color="auto"/>
            <w:left w:val="none" w:sz="0" w:space="0" w:color="auto"/>
            <w:bottom w:val="none" w:sz="0" w:space="0" w:color="auto"/>
            <w:right w:val="none" w:sz="0" w:space="0" w:color="auto"/>
          </w:divBdr>
        </w:div>
      </w:divsChild>
    </w:div>
    <w:div w:id="1747265555">
      <w:bodyDiv w:val="1"/>
      <w:marLeft w:val="0"/>
      <w:marRight w:val="0"/>
      <w:marTop w:val="0"/>
      <w:marBottom w:val="0"/>
      <w:divBdr>
        <w:top w:val="none" w:sz="0" w:space="0" w:color="auto"/>
        <w:left w:val="none" w:sz="0" w:space="0" w:color="auto"/>
        <w:bottom w:val="none" w:sz="0" w:space="0" w:color="auto"/>
        <w:right w:val="none" w:sz="0" w:space="0" w:color="auto"/>
      </w:divBdr>
      <w:divsChild>
        <w:div w:id="375737699">
          <w:marLeft w:val="0"/>
          <w:marRight w:val="0"/>
          <w:marTop w:val="0"/>
          <w:marBottom w:val="0"/>
          <w:divBdr>
            <w:top w:val="none" w:sz="0" w:space="0" w:color="auto"/>
            <w:left w:val="none" w:sz="0" w:space="0" w:color="auto"/>
            <w:bottom w:val="none" w:sz="0" w:space="0" w:color="auto"/>
            <w:right w:val="none" w:sz="0" w:space="0" w:color="auto"/>
          </w:divBdr>
        </w:div>
        <w:div w:id="679088594">
          <w:marLeft w:val="0"/>
          <w:marRight w:val="0"/>
          <w:marTop w:val="0"/>
          <w:marBottom w:val="0"/>
          <w:divBdr>
            <w:top w:val="none" w:sz="0" w:space="0" w:color="auto"/>
            <w:left w:val="none" w:sz="0" w:space="0" w:color="auto"/>
            <w:bottom w:val="none" w:sz="0" w:space="0" w:color="auto"/>
            <w:right w:val="none" w:sz="0" w:space="0" w:color="auto"/>
          </w:divBdr>
        </w:div>
        <w:div w:id="938949639">
          <w:marLeft w:val="0"/>
          <w:marRight w:val="0"/>
          <w:marTop w:val="0"/>
          <w:marBottom w:val="0"/>
          <w:divBdr>
            <w:top w:val="none" w:sz="0" w:space="0" w:color="auto"/>
            <w:left w:val="none" w:sz="0" w:space="0" w:color="auto"/>
            <w:bottom w:val="none" w:sz="0" w:space="0" w:color="auto"/>
            <w:right w:val="none" w:sz="0" w:space="0" w:color="auto"/>
          </w:divBdr>
        </w:div>
        <w:div w:id="1685784724">
          <w:marLeft w:val="0"/>
          <w:marRight w:val="0"/>
          <w:marTop w:val="0"/>
          <w:marBottom w:val="0"/>
          <w:divBdr>
            <w:top w:val="none" w:sz="0" w:space="0" w:color="auto"/>
            <w:left w:val="none" w:sz="0" w:space="0" w:color="auto"/>
            <w:bottom w:val="none" w:sz="0" w:space="0" w:color="auto"/>
            <w:right w:val="none" w:sz="0" w:space="0" w:color="auto"/>
          </w:divBdr>
        </w:div>
      </w:divsChild>
    </w:div>
    <w:div w:id="1750151822">
      <w:bodyDiv w:val="1"/>
      <w:marLeft w:val="0"/>
      <w:marRight w:val="0"/>
      <w:marTop w:val="0"/>
      <w:marBottom w:val="0"/>
      <w:divBdr>
        <w:top w:val="none" w:sz="0" w:space="0" w:color="auto"/>
        <w:left w:val="none" w:sz="0" w:space="0" w:color="auto"/>
        <w:bottom w:val="none" w:sz="0" w:space="0" w:color="auto"/>
        <w:right w:val="none" w:sz="0" w:space="0" w:color="auto"/>
      </w:divBdr>
    </w:div>
    <w:div w:id="1853644225">
      <w:bodyDiv w:val="1"/>
      <w:marLeft w:val="0"/>
      <w:marRight w:val="0"/>
      <w:marTop w:val="0"/>
      <w:marBottom w:val="0"/>
      <w:divBdr>
        <w:top w:val="none" w:sz="0" w:space="0" w:color="auto"/>
        <w:left w:val="none" w:sz="0" w:space="0" w:color="auto"/>
        <w:bottom w:val="none" w:sz="0" w:space="0" w:color="auto"/>
        <w:right w:val="none" w:sz="0" w:space="0" w:color="auto"/>
      </w:divBdr>
    </w:div>
    <w:div w:id="1861430685">
      <w:bodyDiv w:val="1"/>
      <w:marLeft w:val="0"/>
      <w:marRight w:val="0"/>
      <w:marTop w:val="0"/>
      <w:marBottom w:val="0"/>
      <w:divBdr>
        <w:top w:val="none" w:sz="0" w:space="0" w:color="auto"/>
        <w:left w:val="none" w:sz="0" w:space="0" w:color="auto"/>
        <w:bottom w:val="none" w:sz="0" w:space="0" w:color="auto"/>
        <w:right w:val="none" w:sz="0" w:space="0" w:color="auto"/>
      </w:divBdr>
      <w:divsChild>
        <w:div w:id="880436361">
          <w:marLeft w:val="0"/>
          <w:marRight w:val="0"/>
          <w:marTop w:val="0"/>
          <w:marBottom w:val="0"/>
          <w:divBdr>
            <w:top w:val="none" w:sz="0" w:space="0" w:color="auto"/>
            <w:left w:val="none" w:sz="0" w:space="0" w:color="auto"/>
            <w:bottom w:val="none" w:sz="0" w:space="0" w:color="auto"/>
            <w:right w:val="none" w:sz="0" w:space="0" w:color="auto"/>
          </w:divBdr>
        </w:div>
        <w:div w:id="1873760366">
          <w:marLeft w:val="0"/>
          <w:marRight w:val="0"/>
          <w:marTop w:val="0"/>
          <w:marBottom w:val="0"/>
          <w:divBdr>
            <w:top w:val="none" w:sz="0" w:space="0" w:color="auto"/>
            <w:left w:val="none" w:sz="0" w:space="0" w:color="auto"/>
            <w:bottom w:val="none" w:sz="0" w:space="0" w:color="auto"/>
            <w:right w:val="none" w:sz="0" w:space="0" w:color="auto"/>
          </w:divBdr>
        </w:div>
      </w:divsChild>
    </w:div>
    <w:div w:id="1864053138">
      <w:bodyDiv w:val="1"/>
      <w:marLeft w:val="0"/>
      <w:marRight w:val="0"/>
      <w:marTop w:val="0"/>
      <w:marBottom w:val="0"/>
      <w:divBdr>
        <w:top w:val="none" w:sz="0" w:space="0" w:color="auto"/>
        <w:left w:val="none" w:sz="0" w:space="0" w:color="auto"/>
        <w:bottom w:val="none" w:sz="0" w:space="0" w:color="auto"/>
        <w:right w:val="none" w:sz="0" w:space="0" w:color="auto"/>
      </w:divBdr>
      <w:divsChild>
        <w:div w:id="138771414">
          <w:marLeft w:val="0"/>
          <w:marRight w:val="0"/>
          <w:marTop w:val="0"/>
          <w:marBottom w:val="0"/>
          <w:divBdr>
            <w:top w:val="none" w:sz="0" w:space="0" w:color="auto"/>
            <w:left w:val="none" w:sz="0" w:space="0" w:color="auto"/>
            <w:bottom w:val="none" w:sz="0" w:space="0" w:color="auto"/>
            <w:right w:val="none" w:sz="0" w:space="0" w:color="auto"/>
          </w:divBdr>
        </w:div>
        <w:div w:id="528379255">
          <w:marLeft w:val="0"/>
          <w:marRight w:val="0"/>
          <w:marTop w:val="0"/>
          <w:marBottom w:val="0"/>
          <w:divBdr>
            <w:top w:val="none" w:sz="0" w:space="0" w:color="auto"/>
            <w:left w:val="none" w:sz="0" w:space="0" w:color="auto"/>
            <w:bottom w:val="none" w:sz="0" w:space="0" w:color="auto"/>
            <w:right w:val="none" w:sz="0" w:space="0" w:color="auto"/>
          </w:divBdr>
        </w:div>
      </w:divsChild>
    </w:div>
    <w:div w:id="1902323273">
      <w:bodyDiv w:val="1"/>
      <w:marLeft w:val="0"/>
      <w:marRight w:val="0"/>
      <w:marTop w:val="0"/>
      <w:marBottom w:val="0"/>
      <w:divBdr>
        <w:top w:val="none" w:sz="0" w:space="0" w:color="auto"/>
        <w:left w:val="none" w:sz="0" w:space="0" w:color="auto"/>
        <w:bottom w:val="none" w:sz="0" w:space="0" w:color="auto"/>
        <w:right w:val="none" w:sz="0" w:space="0" w:color="auto"/>
      </w:divBdr>
      <w:divsChild>
        <w:div w:id="57753103">
          <w:marLeft w:val="0"/>
          <w:marRight w:val="0"/>
          <w:marTop w:val="0"/>
          <w:marBottom w:val="0"/>
          <w:divBdr>
            <w:top w:val="none" w:sz="0" w:space="0" w:color="auto"/>
            <w:left w:val="none" w:sz="0" w:space="0" w:color="auto"/>
            <w:bottom w:val="none" w:sz="0" w:space="0" w:color="auto"/>
            <w:right w:val="none" w:sz="0" w:space="0" w:color="auto"/>
          </w:divBdr>
        </w:div>
        <w:div w:id="2054385688">
          <w:marLeft w:val="0"/>
          <w:marRight w:val="0"/>
          <w:marTop w:val="0"/>
          <w:marBottom w:val="0"/>
          <w:divBdr>
            <w:top w:val="none" w:sz="0" w:space="0" w:color="auto"/>
            <w:left w:val="none" w:sz="0" w:space="0" w:color="auto"/>
            <w:bottom w:val="none" w:sz="0" w:space="0" w:color="auto"/>
            <w:right w:val="none" w:sz="0" w:space="0" w:color="auto"/>
          </w:divBdr>
        </w:div>
      </w:divsChild>
    </w:div>
    <w:div w:id="2019261890">
      <w:bodyDiv w:val="1"/>
      <w:marLeft w:val="0"/>
      <w:marRight w:val="0"/>
      <w:marTop w:val="0"/>
      <w:marBottom w:val="0"/>
      <w:divBdr>
        <w:top w:val="none" w:sz="0" w:space="0" w:color="auto"/>
        <w:left w:val="none" w:sz="0" w:space="0" w:color="auto"/>
        <w:bottom w:val="none" w:sz="0" w:space="0" w:color="auto"/>
        <w:right w:val="none" w:sz="0" w:space="0" w:color="auto"/>
      </w:divBdr>
      <w:divsChild>
        <w:div w:id="233393627">
          <w:marLeft w:val="0"/>
          <w:marRight w:val="0"/>
          <w:marTop w:val="0"/>
          <w:marBottom w:val="0"/>
          <w:divBdr>
            <w:top w:val="none" w:sz="0" w:space="0" w:color="auto"/>
            <w:left w:val="none" w:sz="0" w:space="0" w:color="auto"/>
            <w:bottom w:val="none" w:sz="0" w:space="0" w:color="auto"/>
            <w:right w:val="none" w:sz="0" w:space="0" w:color="auto"/>
          </w:divBdr>
        </w:div>
        <w:div w:id="246036113">
          <w:marLeft w:val="0"/>
          <w:marRight w:val="0"/>
          <w:marTop w:val="0"/>
          <w:marBottom w:val="0"/>
          <w:divBdr>
            <w:top w:val="none" w:sz="0" w:space="0" w:color="auto"/>
            <w:left w:val="none" w:sz="0" w:space="0" w:color="auto"/>
            <w:bottom w:val="none" w:sz="0" w:space="0" w:color="auto"/>
            <w:right w:val="none" w:sz="0" w:space="0" w:color="auto"/>
          </w:divBdr>
        </w:div>
        <w:div w:id="694233095">
          <w:marLeft w:val="0"/>
          <w:marRight w:val="0"/>
          <w:marTop w:val="0"/>
          <w:marBottom w:val="0"/>
          <w:divBdr>
            <w:top w:val="none" w:sz="0" w:space="0" w:color="auto"/>
            <w:left w:val="none" w:sz="0" w:space="0" w:color="auto"/>
            <w:bottom w:val="none" w:sz="0" w:space="0" w:color="auto"/>
            <w:right w:val="none" w:sz="0" w:space="0" w:color="auto"/>
          </w:divBdr>
        </w:div>
        <w:div w:id="972759923">
          <w:marLeft w:val="0"/>
          <w:marRight w:val="0"/>
          <w:marTop w:val="0"/>
          <w:marBottom w:val="0"/>
          <w:divBdr>
            <w:top w:val="none" w:sz="0" w:space="0" w:color="auto"/>
            <w:left w:val="none" w:sz="0" w:space="0" w:color="auto"/>
            <w:bottom w:val="none" w:sz="0" w:space="0" w:color="auto"/>
            <w:right w:val="none" w:sz="0" w:space="0" w:color="auto"/>
          </w:divBdr>
        </w:div>
        <w:div w:id="1003244829">
          <w:marLeft w:val="0"/>
          <w:marRight w:val="0"/>
          <w:marTop w:val="0"/>
          <w:marBottom w:val="0"/>
          <w:divBdr>
            <w:top w:val="none" w:sz="0" w:space="0" w:color="auto"/>
            <w:left w:val="none" w:sz="0" w:space="0" w:color="auto"/>
            <w:bottom w:val="none" w:sz="0" w:space="0" w:color="auto"/>
            <w:right w:val="none" w:sz="0" w:space="0" w:color="auto"/>
          </w:divBdr>
        </w:div>
        <w:div w:id="1278410991">
          <w:marLeft w:val="0"/>
          <w:marRight w:val="0"/>
          <w:marTop w:val="0"/>
          <w:marBottom w:val="0"/>
          <w:divBdr>
            <w:top w:val="none" w:sz="0" w:space="0" w:color="auto"/>
            <w:left w:val="none" w:sz="0" w:space="0" w:color="auto"/>
            <w:bottom w:val="none" w:sz="0" w:space="0" w:color="auto"/>
            <w:right w:val="none" w:sz="0" w:space="0" w:color="auto"/>
          </w:divBdr>
        </w:div>
        <w:div w:id="1302735419">
          <w:marLeft w:val="0"/>
          <w:marRight w:val="0"/>
          <w:marTop w:val="0"/>
          <w:marBottom w:val="0"/>
          <w:divBdr>
            <w:top w:val="none" w:sz="0" w:space="0" w:color="auto"/>
            <w:left w:val="none" w:sz="0" w:space="0" w:color="auto"/>
            <w:bottom w:val="none" w:sz="0" w:space="0" w:color="auto"/>
            <w:right w:val="none" w:sz="0" w:space="0" w:color="auto"/>
          </w:divBdr>
        </w:div>
        <w:div w:id="1501891627">
          <w:marLeft w:val="0"/>
          <w:marRight w:val="0"/>
          <w:marTop w:val="0"/>
          <w:marBottom w:val="0"/>
          <w:divBdr>
            <w:top w:val="none" w:sz="0" w:space="0" w:color="auto"/>
            <w:left w:val="none" w:sz="0" w:space="0" w:color="auto"/>
            <w:bottom w:val="none" w:sz="0" w:space="0" w:color="auto"/>
            <w:right w:val="none" w:sz="0" w:space="0" w:color="auto"/>
          </w:divBdr>
        </w:div>
        <w:div w:id="1964724320">
          <w:marLeft w:val="0"/>
          <w:marRight w:val="0"/>
          <w:marTop w:val="0"/>
          <w:marBottom w:val="0"/>
          <w:divBdr>
            <w:top w:val="none" w:sz="0" w:space="0" w:color="auto"/>
            <w:left w:val="none" w:sz="0" w:space="0" w:color="auto"/>
            <w:bottom w:val="none" w:sz="0" w:space="0" w:color="auto"/>
            <w:right w:val="none" w:sz="0" w:space="0" w:color="auto"/>
          </w:divBdr>
        </w:div>
      </w:divsChild>
    </w:div>
    <w:div w:id="2110080462">
      <w:bodyDiv w:val="1"/>
      <w:marLeft w:val="0"/>
      <w:marRight w:val="0"/>
      <w:marTop w:val="0"/>
      <w:marBottom w:val="0"/>
      <w:divBdr>
        <w:top w:val="none" w:sz="0" w:space="0" w:color="auto"/>
        <w:left w:val="none" w:sz="0" w:space="0" w:color="auto"/>
        <w:bottom w:val="none" w:sz="0" w:space="0" w:color="auto"/>
        <w:right w:val="none" w:sz="0" w:space="0" w:color="auto"/>
      </w:divBdr>
      <w:divsChild>
        <w:div w:id="238055158">
          <w:marLeft w:val="0"/>
          <w:marRight w:val="0"/>
          <w:marTop w:val="0"/>
          <w:marBottom w:val="0"/>
          <w:divBdr>
            <w:top w:val="none" w:sz="0" w:space="0" w:color="auto"/>
            <w:left w:val="none" w:sz="0" w:space="0" w:color="auto"/>
            <w:bottom w:val="none" w:sz="0" w:space="0" w:color="auto"/>
            <w:right w:val="none" w:sz="0" w:space="0" w:color="auto"/>
          </w:divBdr>
        </w:div>
        <w:div w:id="2068412488">
          <w:marLeft w:val="0"/>
          <w:marRight w:val="0"/>
          <w:marTop w:val="0"/>
          <w:marBottom w:val="0"/>
          <w:divBdr>
            <w:top w:val="none" w:sz="0" w:space="0" w:color="auto"/>
            <w:left w:val="none" w:sz="0" w:space="0" w:color="auto"/>
            <w:bottom w:val="none" w:sz="0" w:space="0" w:color="auto"/>
            <w:right w:val="none" w:sz="0" w:space="0" w:color="auto"/>
          </w:divBdr>
        </w:div>
      </w:divsChild>
    </w:div>
    <w:div w:id="2110927726">
      <w:bodyDiv w:val="1"/>
      <w:marLeft w:val="0"/>
      <w:marRight w:val="0"/>
      <w:marTop w:val="0"/>
      <w:marBottom w:val="0"/>
      <w:divBdr>
        <w:top w:val="none" w:sz="0" w:space="0" w:color="auto"/>
        <w:left w:val="none" w:sz="0" w:space="0" w:color="auto"/>
        <w:bottom w:val="none" w:sz="0" w:space="0" w:color="auto"/>
        <w:right w:val="none" w:sz="0" w:space="0" w:color="auto"/>
      </w:divBdr>
      <w:divsChild>
        <w:div w:id="78406666">
          <w:marLeft w:val="0"/>
          <w:marRight w:val="0"/>
          <w:marTop w:val="0"/>
          <w:marBottom w:val="0"/>
          <w:divBdr>
            <w:top w:val="none" w:sz="0" w:space="0" w:color="auto"/>
            <w:left w:val="none" w:sz="0" w:space="0" w:color="auto"/>
            <w:bottom w:val="none" w:sz="0" w:space="0" w:color="auto"/>
            <w:right w:val="none" w:sz="0" w:space="0" w:color="auto"/>
          </w:divBdr>
        </w:div>
        <w:div w:id="1307589959">
          <w:marLeft w:val="0"/>
          <w:marRight w:val="0"/>
          <w:marTop w:val="0"/>
          <w:marBottom w:val="0"/>
          <w:divBdr>
            <w:top w:val="none" w:sz="0" w:space="0" w:color="auto"/>
            <w:left w:val="none" w:sz="0" w:space="0" w:color="auto"/>
            <w:bottom w:val="none" w:sz="0" w:space="0" w:color="auto"/>
            <w:right w:val="none" w:sz="0" w:space="0" w:color="auto"/>
          </w:divBdr>
        </w:div>
        <w:div w:id="2106611264">
          <w:marLeft w:val="0"/>
          <w:marRight w:val="0"/>
          <w:marTop w:val="0"/>
          <w:marBottom w:val="0"/>
          <w:divBdr>
            <w:top w:val="none" w:sz="0" w:space="0" w:color="auto"/>
            <w:left w:val="none" w:sz="0" w:space="0" w:color="auto"/>
            <w:bottom w:val="none" w:sz="0" w:space="0" w:color="auto"/>
            <w:right w:val="none" w:sz="0" w:space="0" w:color="auto"/>
          </w:divBdr>
          <w:divsChild>
            <w:div w:id="6370111">
              <w:marLeft w:val="-75"/>
              <w:marRight w:val="0"/>
              <w:marTop w:val="30"/>
              <w:marBottom w:val="30"/>
              <w:divBdr>
                <w:top w:val="none" w:sz="0" w:space="0" w:color="auto"/>
                <w:left w:val="none" w:sz="0" w:space="0" w:color="auto"/>
                <w:bottom w:val="none" w:sz="0" w:space="0" w:color="auto"/>
                <w:right w:val="none" w:sz="0" w:space="0" w:color="auto"/>
              </w:divBdr>
              <w:divsChild>
                <w:div w:id="90125666">
                  <w:marLeft w:val="0"/>
                  <w:marRight w:val="0"/>
                  <w:marTop w:val="0"/>
                  <w:marBottom w:val="0"/>
                  <w:divBdr>
                    <w:top w:val="none" w:sz="0" w:space="0" w:color="auto"/>
                    <w:left w:val="none" w:sz="0" w:space="0" w:color="auto"/>
                    <w:bottom w:val="none" w:sz="0" w:space="0" w:color="auto"/>
                    <w:right w:val="none" w:sz="0" w:space="0" w:color="auto"/>
                  </w:divBdr>
                  <w:divsChild>
                    <w:div w:id="1904101568">
                      <w:marLeft w:val="0"/>
                      <w:marRight w:val="0"/>
                      <w:marTop w:val="0"/>
                      <w:marBottom w:val="0"/>
                      <w:divBdr>
                        <w:top w:val="none" w:sz="0" w:space="0" w:color="auto"/>
                        <w:left w:val="none" w:sz="0" w:space="0" w:color="auto"/>
                        <w:bottom w:val="none" w:sz="0" w:space="0" w:color="auto"/>
                        <w:right w:val="none" w:sz="0" w:space="0" w:color="auto"/>
                      </w:divBdr>
                    </w:div>
                  </w:divsChild>
                </w:div>
                <w:div w:id="158931599">
                  <w:marLeft w:val="0"/>
                  <w:marRight w:val="0"/>
                  <w:marTop w:val="0"/>
                  <w:marBottom w:val="0"/>
                  <w:divBdr>
                    <w:top w:val="none" w:sz="0" w:space="0" w:color="auto"/>
                    <w:left w:val="none" w:sz="0" w:space="0" w:color="auto"/>
                    <w:bottom w:val="none" w:sz="0" w:space="0" w:color="auto"/>
                    <w:right w:val="none" w:sz="0" w:space="0" w:color="auto"/>
                  </w:divBdr>
                  <w:divsChild>
                    <w:div w:id="170031179">
                      <w:marLeft w:val="0"/>
                      <w:marRight w:val="0"/>
                      <w:marTop w:val="0"/>
                      <w:marBottom w:val="0"/>
                      <w:divBdr>
                        <w:top w:val="none" w:sz="0" w:space="0" w:color="auto"/>
                        <w:left w:val="none" w:sz="0" w:space="0" w:color="auto"/>
                        <w:bottom w:val="none" w:sz="0" w:space="0" w:color="auto"/>
                        <w:right w:val="none" w:sz="0" w:space="0" w:color="auto"/>
                      </w:divBdr>
                    </w:div>
                  </w:divsChild>
                </w:div>
                <w:div w:id="199826432">
                  <w:marLeft w:val="0"/>
                  <w:marRight w:val="0"/>
                  <w:marTop w:val="0"/>
                  <w:marBottom w:val="0"/>
                  <w:divBdr>
                    <w:top w:val="none" w:sz="0" w:space="0" w:color="auto"/>
                    <w:left w:val="none" w:sz="0" w:space="0" w:color="auto"/>
                    <w:bottom w:val="none" w:sz="0" w:space="0" w:color="auto"/>
                    <w:right w:val="none" w:sz="0" w:space="0" w:color="auto"/>
                  </w:divBdr>
                  <w:divsChild>
                    <w:div w:id="1437023980">
                      <w:marLeft w:val="0"/>
                      <w:marRight w:val="0"/>
                      <w:marTop w:val="0"/>
                      <w:marBottom w:val="0"/>
                      <w:divBdr>
                        <w:top w:val="none" w:sz="0" w:space="0" w:color="auto"/>
                        <w:left w:val="none" w:sz="0" w:space="0" w:color="auto"/>
                        <w:bottom w:val="none" w:sz="0" w:space="0" w:color="auto"/>
                        <w:right w:val="none" w:sz="0" w:space="0" w:color="auto"/>
                      </w:divBdr>
                    </w:div>
                  </w:divsChild>
                </w:div>
                <w:div w:id="223835418">
                  <w:marLeft w:val="0"/>
                  <w:marRight w:val="0"/>
                  <w:marTop w:val="0"/>
                  <w:marBottom w:val="0"/>
                  <w:divBdr>
                    <w:top w:val="none" w:sz="0" w:space="0" w:color="auto"/>
                    <w:left w:val="none" w:sz="0" w:space="0" w:color="auto"/>
                    <w:bottom w:val="none" w:sz="0" w:space="0" w:color="auto"/>
                    <w:right w:val="none" w:sz="0" w:space="0" w:color="auto"/>
                  </w:divBdr>
                  <w:divsChild>
                    <w:div w:id="1822576005">
                      <w:marLeft w:val="0"/>
                      <w:marRight w:val="0"/>
                      <w:marTop w:val="0"/>
                      <w:marBottom w:val="0"/>
                      <w:divBdr>
                        <w:top w:val="none" w:sz="0" w:space="0" w:color="auto"/>
                        <w:left w:val="none" w:sz="0" w:space="0" w:color="auto"/>
                        <w:bottom w:val="none" w:sz="0" w:space="0" w:color="auto"/>
                        <w:right w:val="none" w:sz="0" w:space="0" w:color="auto"/>
                      </w:divBdr>
                    </w:div>
                  </w:divsChild>
                </w:div>
                <w:div w:id="282273683">
                  <w:marLeft w:val="0"/>
                  <w:marRight w:val="0"/>
                  <w:marTop w:val="0"/>
                  <w:marBottom w:val="0"/>
                  <w:divBdr>
                    <w:top w:val="none" w:sz="0" w:space="0" w:color="auto"/>
                    <w:left w:val="none" w:sz="0" w:space="0" w:color="auto"/>
                    <w:bottom w:val="none" w:sz="0" w:space="0" w:color="auto"/>
                    <w:right w:val="none" w:sz="0" w:space="0" w:color="auto"/>
                  </w:divBdr>
                  <w:divsChild>
                    <w:div w:id="5057106">
                      <w:marLeft w:val="0"/>
                      <w:marRight w:val="0"/>
                      <w:marTop w:val="0"/>
                      <w:marBottom w:val="0"/>
                      <w:divBdr>
                        <w:top w:val="none" w:sz="0" w:space="0" w:color="auto"/>
                        <w:left w:val="none" w:sz="0" w:space="0" w:color="auto"/>
                        <w:bottom w:val="none" w:sz="0" w:space="0" w:color="auto"/>
                        <w:right w:val="none" w:sz="0" w:space="0" w:color="auto"/>
                      </w:divBdr>
                    </w:div>
                  </w:divsChild>
                </w:div>
                <w:div w:id="373307470">
                  <w:marLeft w:val="0"/>
                  <w:marRight w:val="0"/>
                  <w:marTop w:val="0"/>
                  <w:marBottom w:val="0"/>
                  <w:divBdr>
                    <w:top w:val="none" w:sz="0" w:space="0" w:color="auto"/>
                    <w:left w:val="none" w:sz="0" w:space="0" w:color="auto"/>
                    <w:bottom w:val="none" w:sz="0" w:space="0" w:color="auto"/>
                    <w:right w:val="none" w:sz="0" w:space="0" w:color="auto"/>
                  </w:divBdr>
                  <w:divsChild>
                    <w:div w:id="1852984713">
                      <w:marLeft w:val="0"/>
                      <w:marRight w:val="0"/>
                      <w:marTop w:val="0"/>
                      <w:marBottom w:val="0"/>
                      <w:divBdr>
                        <w:top w:val="none" w:sz="0" w:space="0" w:color="auto"/>
                        <w:left w:val="none" w:sz="0" w:space="0" w:color="auto"/>
                        <w:bottom w:val="none" w:sz="0" w:space="0" w:color="auto"/>
                        <w:right w:val="none" w:sz="0" w:space="0" w:color="auto"/>
                      </w:divBdr>
                    </w:div>
                  </w:divsChild>
                </w:div>
                <w:div w:id="400566900">
                  <w:marLeft w:val="0"/>
                  <w:marRight w:val="0"/>
                  <w:marTop w:val="0"/>
                  <w:marBottom w:val="0"/>
                  <w:divBdr>
                    <w:top w:val="none" w:sz="0" w:space="0" w:color="auto"/>
                    <w:left w:val="none" w:sz="0" w:space="0" w:color="auto"/>
                    <w:bottom w:val="none" w:sz="0" w:space="0" w:color="auto"/>
                    <w:right w:val="none" w:sz="0" w:space="0" w:color="auto"/>
                  </w:divBdr>
                  <w:divsChild>
                    <w:div w:id="1249075788">
                      <w:marLeft w:val="0"/>
                      <w:marRight w:val="0"/>
                      <w:marTop w:val="0"/>
                      <w:marBottom w:val="0"/>
                      <w:divBdr>
                        <w:top w:val="none" w:sz="0" w:space="0" w:color="auto"/>
                        <w:left w:val="none" w:sz="0" w:space="0" w:color="auto"/>
                        <w:bottom w:val="none" w:sz="0" w:space="0" w:color="auto"/>
                        <w:right w:val="none" w:sz="0" w:space="0" w:color="auto"/>
                      </w:divBdr>
                    </w:div>
                  </w:divsChild>
                </w:div>
                <w:div w:id="478689398">
                  <w:marLeft w:val="0"/>
                  <w:marRight w:val="0"/>
                  <w:marTop w:val="0"/>
                  <w:marBottom w:val="0"/>
                  <w:divBdr>
                    <w:top w:val="none" w:sz="0" w:space="0" w:color="auto"/>
                    <w:left w:val="none" w:sz="0" w:space="0" w:color="auto"/>
                    <w:bottom w:val="none" w:sz="0" w:space="0" w:color="auto"/>
                    <w:right w:val="none" w:sz="0" w:space="0" w:color="auto"/>
                  </w:divBdr>
                  <w:divsChild>
                    <w:div w:id="1850563404">
                      <w:marLeft w:val="0"/>
                      <w:marRight w:val="0"/>
                      <w:marTop w:val="0"/>
                      <w:marBottom w:val="0"/>
                      <w:divBdr>
                        <w:top w:val="none" w:sz="0" w:space="0" w:color="auto"/>
                        <w:left w:val="none" w:sz="0" w:space="0" w:color="auto"/>
                        <w:bottom w:val="none" w:sz="0" w:space="0" w:color="auto"/>
                        <w:right w:val="none" w:sz="0" w:space="0" w:color="auto"/>
                      </w:divBdr>
                    </w:div>
                  </w:divsChild>
                </w:div>
                <w:div w:id="515316351">
                  <w:marLeft w:val="0"/>
                  <w:marRight w:val="0"/>
                  <w:marTop w:val="0"/>
                  <w:marBottom w:val="0"/>
                  <w:divBdr>
                    <w:top w:val="none" w:sz="0" w:space="0" w:color="auto"/>
                    <w:left w:val="none" w:sz="0" w:space="0" w:color="auto"/>
                    <w:bottom w:val="none" w:sz="0" w:space="0" w:color="auto"/>
                    <w:right w:val="none" w:sz="0" w:space="0" w:color="auto"/>
                  </w:divBdr>
                  <w:divsChild>
                    <w:div w:id="1172793035">
                      <w:marLeft w:val="0"/>
                      <w:marRight w:val="0"/>
                      <w:marTop w:val="0"/>
                      <w:marBottom w:val="0"/>
                      <w:divBdr>
                        <w:top w:val="none" w:sz="0" w:space="0" w:color="auto"/>
                        <w:left w:val="none" w:sz="0" w:space="0" w:color="auto"/>
                        <w:bottom w:val="none" w:sz="0" w:space="0" w:color="auto"/>
                        <w:right w:val="none" w:sz="0" w:space="0" w:color="auto"/>
                      </w:divBdr>
                    </w:div>
                  </w:divsChild>
                </w:div>
                <w:div w:id="591620256">
                  <w:marLeft w:val="0"/>
                  <w:marRight w:val="0"/>
                  <w:marTop w:val="0"/>
                  <w:marBottom w:val="0"/>
                  <w:divBdr>
                    <w:top w:val="none" w:sz="0" w:space="0" w:color="auto"/>
                    <w:left w:val="none" w:sz="0" w:space="0" w:color="auto"/>
                    <w:bottom w:val="none" w:sz="0" w:space="0" w:color="auto"/>
                    <w:right w:val="none" w:sz="0" w:space="0" w:color="auto"/>
                  </w:divBdr>
                  <w:divsChild>
                    <w:div w:id="742216397">
                      <w:marLeft w:val="0"/>
                      <w:marRight w:val="0"/>
                      <w:marTop w:val="0"/>
                      <w:marBottom w:val="0"/>
                      <w:divBdr>
                        <w:top w:val="none" w:sz="0" w:space="0" w:color="auto"/>
                        <w:left w:val="none" w:sz="0" w:space="0" w:color="auto"/>
                        <w:bottom w:val="none" w:sz="0" w:space="0" w:color="auto"/>
                        <w:right w:val="none" w:sz="0" w:space="0" w:color="auto"/>
                      </w:divBdr>
                    </w:div>
                  </w:divsChild>
                </w:div>
                <w:div w:id="617762701">
                  <w:marLeft w:val="0"/>
                  <w:marRight w:val="0"/>
                  <w:marTop w:val="0"/>
                  <w:marBottom w:val="0"/>
                  <w:divBdr>
                    <w:top w:val="none" w:sz="0" w:space="0" w:color="auto"/>
                    <w:left w:val="none" w:sz="0" w:space="0" w:color="auto"/>
                    <w:bottom w:val="none" w:sz="0" w:space="0" w:color="auto"/>
                    <w:right w:val="none" w:sz="0" w:space="0" w:color="auto"/>
                  </w:divBdr>
                  <w:divsChild>
                    <w:div w:id="713965106">
                      <w:marLeft w:val="0"/>
                      <w:marRight w:val="0"/>
                      <w:marTop w:val="0"/>
                      <w:marBottom w:val="0"/>
                      <w:divBdr>
                        <w:top w:val="none" w:sz="0" w:space="0" w:color="auto"/>
                        <w:left w:val="none" w:sz="0" w:space="0" w:color="auto"/>
                        <w:bottom w:val="none" w:sz="0" w:space="0" w:color="auto"/>
                        <w:right w:val="none" w:sz="0" w:space="0" w:color="auto"/>
                      </w:divBdr>
                    </w:div>
                  </w:divsChild>
                </w:div>
                <w:div w:id="653026662">
                  <w:marLeft w:val="0"/>
                  <w:marRight w:val="0"/>
                  <w:marTop w:val="0"/>
                  <w:marBottom w:val="0"/>
                  <w:divBdr>
                    <w:top w:val="none" w:sz="0" w:space="0" w:color="auto"/>
                    <w:left w:val="none" w:sz="0" w:space="0" w:color="auto"/>
                    <w:bottom w:val="none" w:sz="0" w:space="0" w:color="auto"/>
                    <w:right w:val="none" w:sz="0" w:space="0" w:color="auto"/>
                  </w:divBdr>
                  <w:divsChild>
                    <w:div w:id="58017821">
                      <w:marLeft w:val="0"/>
                      <w:marRight w:val="0"/>
                      <w:marTop w:val="0"/>
                      <w:marBottom w:val="0"/>
                      <w:divBdr>
                        <w:top w:val="none" w:sz="0" w:space="0" w:color="auto"/>
                        <w:left w:val="none" w:sz="0" w:space="0" w:color="auto"/>
                        <w:bottom w:val="none" w:sz="0" w:space="0" w:color="auto"/>
                        <w:right w:val="none" w:sz="0" w:space="0" w:color="auto"/>
                      </w:divBdr>
                    </w:div>
                  </w:divsChild>
                </w:div>
                <w:div w:id="667639351">
                  <w:marLeft w:val="0"/>
                  <w:marRight w:val="0"/>
                  <w:marTop w:val="0"/>
                  <w:marBottom w:val="0"/>
                  <w:divBdr>
                    <w:top w:val="none" w:sz="0" w:space="0" w:color="auto"/>
                    <w:left w:val="none" w:sz="0" w:space="0" w:color="auto"/>
                    <w:bottom w:val="none" w:sz="0" w:space="0" w:color="auto"/>
                    <w:right w:val="none" w:sz="0" w:space="0" w:color="auto"/>
                  </w:divBdr>
                  <w:divsChild>
                    <w:div w:id="956254995">
                      <w:marLeft w:val="0"/>
                      <w:marRight w:val="0"/>
                      <w:marTop w:val="0"/>
                      <w:marBottom w:val="0"/>
                      <w:divBdr>
                        <w:top w:val="none" w:sz="0" w:space="0" w:color="auto"/>
                        <w:left w:val="none" w:sz="0" w:space="0" w:color="auto"/>
                        <w:bottom w:val="none" w:sz="0" w:space="0" w:color="auto"/>
                        <w:right w:val="none" w:sz="0" w:space="0" w:color="auto"/>
                      </w:divBdr>
                    </w:div>
                  </w:divsChild>
                </w:div>
                <w:div w:id="732964638">
                  <w:marLeft w:val="0"/>
                  <w:marRight w:val="0"/>
                  <w:marTop w:val="0"/>
                  <w:marBottom w:val="0"/>
                  <w:divBdr>
                    <w:top w:val="none" w:sz="0" w:space="0" w:color="auto"/>
                    <w:left w:val="none" w:sz="0" w:space="0" w:color="auto"/>
                    <w:bottom w:val="none" w:sz="0" w:space="0" w:color="auto"/>
                    <w:right w:val="none" w:sz="0" w:space="0" w:color="auto"/>
                  </w:divBdr>
                  <w:divsChild>
                    <w:div w:id="1547567509">
                      <w:marLeft w:val="0"/>
                      <w:marRight w:val="0"/>
                      <w:marTop w:val="0"/>
                      <w:marBottom w:val="0"/>
                      <w:divBdr>
                        <w:top w:val="none" w:sz="0" w:space="0" w:color="auto"/>
                        <w:left w:val="none" w:sz="0" w:space="0" w:color="auto"/>
                        <w:bottom w:val="none" w:sz="0" w:space="0" w:color="auto"/>
                        <w:right w:val="none" w:sz="0" w:space="0" w:color="auto"/>
                      </w:divBdr>
                    </w:div>
                  </w:divsChild>
                </w:div>
                <w:div w:id="845631631">
                  <w:marLeft w:val="0"/>
                  <w:marRight w:val="0"/>
                  <w:marTop w:val="0"/>
                  <w:marBottom w:val="0"/>
                  <w:divBdr>
                    <w:top w:val="none" w:sz="0" w:space="0" w:color="auto"/>
                    <w:left w:val="none" w:sz="0" w:space="0" w:color="auto"/>
                    <w:bottom w:val="none" w:sz="0" w:space="0" w:color="auto"/>
                    <w:right w:val="none" w:sz="0" w:space="0" w:color="auto"/>
                  </w:divBdr>
                  <w:divsChild>
                    <w:div w:id="388042844">
                      <w:marLeft w:val="0"/>
                      <w:marRight w:val="0"/>
                      <w:marTop w:val="0"/>
                      <w:marBottom w:val="0"/>
                      <w:divBdr>
                        <w:top w:val="none" w:sz="0" w:space="0" w:color="auto"/>
                        <w:left w:val="none" w:sz="0" w:space="0" w:color="auto"/>
                        <w:bottom w:val="none" w:sz="0" w:space="0" w:color="auto"/>
                        <w:right w:val="none" w:sz="0" w:space="0" w:color="auto"/>
                      </w:divBdr>
                    </w:div>
                  </w:divsChild>
                </w:div>
                <w:div w:id="924071900">
                  <w:marLeft w:val="0"/>
                  <w:marRight w:val="0"/>
                  <w:marTop w:val="0"/>
                  <w:marBottom w:val="0"/>
                  <w:divBdr>
                    <w:top w:val="none" w:sz="0" w:space="0" w:color="auto"/>
                    <w:left w:val="none" w:sz="0" w:space="0" w:color="auto"/>
                    <w:bottom w:val="none" w:sz="0" w:space="0" w:color="auto"/>
                    <w:right w:val="none" w:sz="0" w:space="0" w:color="auto"/>
                  </w:divBdr>
                  <w:divsChild>
                    <w:div w:id="111900635">
                      <w:marLeft w:val="0"/>
                      <w:marRight w:val="0"/>
                      <w:marTop w:val="0"/>
                      <w:marBottom w:val="0"/>
                      <w:divBdr>
                        <w:top w:val="none" w:sz="0" w:space="0" w:color="auto"/>
                        <w:left w:val="none" w:sz="0" w:space="0" w:color="auto"/>
                        <w:bottom w:val="none" w:sz="0" w:space="0" w:color="auto"/>
                        <w:right w:val="none" w:sz="0" w:space="0" w:color="auto"/>
                      </w:divBdr>
                    </w:div>
                  </w:divsChild>
                </w:div>
                <w:div w:id="931280480">
                  <w:marLeft w:val="0"/>
                  <w:marRight w:val="0"/>
                  <w:marTop w:val="0"/>
                  <w:marBottom w:val="0"/>
                  <w:divBdr>
                    <w:top w:val="none" w:sz="0" w:space="0" w:color="auto"/>
                    <w:left w:val="none" w:sz="0" w:space="0" w:color="auto"/>
                    <w:bottom w:val="none" w:sz="0" w:space="0" w:color="auto"/>
                    <w:right w:val="none" w:sz="0" w:space="0" w:color="auto"/>
                  </w:divBdr>
                  <w:divsChild>
                    <w:div w:id="866021869">
                      <w:marLeft w:val="0"/>
                      <w:marRight w:val="0"/>
                      <w:marTop w:val="0"/>
                      <w:marBottom w:val="0"/>
                      <w:divBdr>
                        <w:top w:val="none" w:sz="0" w:space="0" w:color="auto"/>
                        <w:left w:val="none" w:sz="0" w:space="0" w:color="auto"/>
                        <w:bottom w:val="none" w:sz="0" w:space="0" w:color="auto"/>
                        <w:right w:val="none" w:sz="0" w:space="0" w:color="auto"/>
                      </w:divBdr>
                    </w:div>
                  </w:divsChild>
                </w:div>
                <w:div w:id="977491269">
                  <w:marLeft w:val="0"/>
                  <w:marRight w:val="0"/>
                  <w:marTop w:val="0"/>
                  <w:marBottom w:val="0"/>
                  <w:divBdr>
                    <w:top w:val="none" w:sz="0" w:space="0" w:color="auto"/>
                    <w:left w:val="none" w:sz="0" w:space="0" w:color="auto"/>
                    <w:bottom w:val="none" w:sz="0" w:space="0" w:color="auto"/>
                    <w:right w:val="none" w:sz="0" w:space="0" w:color="auto"/>
                  </w:divBdr>
                  <w:divsChild>
                    <w:div w:id="9769466">
                      <w:marLeft w:val="0"/>
                      <w:marRight w:val="0"/>
                      <w:marTop w:val="0"/>
                      <w:marBottom w:val="0"/>
                      <w:divBdr>
                        <w:top w:val="none" w:sz="0" w:space="0" w:color="auto"/>
                        <w:left w:val="none" w:sz="0" w:space="0" w:color="auto"/>
                        <w:bottom w:val="none" w:sz="0" w:space="0" w:color="auto"/>
                        <w:right w:val="none" w:sz="0" w:space="0" w:color="auto"/>
                      </w:divBdr>
                    </w:div>
                  </w:divsChild>
                </w:div>
                <w:div w:id="1098519840">
                  <w:marLeft w:val="0"/>
                  <w:marRight w:val="0"/>
                  <w:marTop w:val="0"/>
                  <w:marBottom w:val="0"/>
                  <w:divBdr>
                    <w:top w:val="none" w:sz="0" w:space="0" w:color="auto"/>
                    <w:left w:val="none" w:sz="0" w:space="0" w:color="auto"/>
                    <w:bottom w:val="none" w:sz="0" w:space="0" w:color="auto"/>
                    <w:right w:val="none" w:sz="0" w:space="0" w:color="auto"/>
                  </w:divBdr>
                  <w:divsChild>
                    <w:div w:id="296297166">
                      <w:marLeft w:val="0"/>
                      <w:marRight w:val="0"/>
                      <w:marTop w:val="0"/>
                      <w:marBottom w:val="0"/>
                      <w:divBdr>
                        <w:top w:val="none" w:sz="0" w:space="0" w:color="auto"/>
                        <w:left w:val="none" w:sz="0" w:space="0" w:color="auto"/>
                        <w:bottom w:val="none" w:sz="0" w:space="0" w:color="auto"/>
                        <w:right w:val="none" w:sz="0" w:space="0" w:color="auto"/>
                      </w:divBdr>
                    </w:div>
                  </w:divsChild>
                </w:div>
                <w:div w:id="1199467454">
                  <w:marLeft w:val="0"/>
                  <w:marRight w:val="0"/>
                  <w:marTop w:val="0"/>
                  <w:marBottom w:val="0"/>
                  <w:divBdr>
                    <w:top w:val="none" w:sz="0" w:space="0" w:color="auto"/>
                    <w:left w:val="none" w:sz="0" w:space="0" w:color="auto"/>
                    <w:bottom w:val="none" w:sz="0" w:space="0" w:color="auto"/>
                    <w:right w:val="none" w:sz="0" w:space="0" w:color="auto"/>
                  </w:divBdr>
                  <w:divsChild>
                    <w:div w:id="447042341">
                      <w:marLeft w:val="0"/>
                      <w:marRight w:val="0"/>
                      <w:marTop w:val="0"/>
                      <w:marBottom w:val="0"/>
                      <w:divBdr>
                        <w:top w:val="none" w:sz="0" w:space="0" w:color="auto"/>
                        <w:left w:val="none" w:sz="0" w:space="0" w:color="auto"/>
                        <w:bottom w:val="none" w:sz="0" w:space="0" w:color="auto"/>
                        <w:right w:val="none" w:sz="0" w:space="0" w:color="auto"/>
                      </w:divBdr>
                    </w:div>
                  </w:divsChild>
                </w:div>
                <w:div w:id="1232085207">
                  <w:marLeft w:val="0"/>
                  <w:marRight w:val="0"/>
                  <w:marTop w:val="0"/>
                  <w:marBottom w:val="0"/>
                  <w:divBdr>
                    <w:top w:val="none" w:sz="0" w:space="0" w:color="auto"/>
                    <w:left w:val="none" w:sz="0" w:space="0" w:color="auto"/>
                    <w:bottom w:val="none" w:sz="0" w:space="0" w:color="auto"/>
                    <w:right w:val="none" w:sz="0" w:space="0" w:color="auto"/>
                  </w:divBdr>
                  <w:divsChild>
                    <w:div w:id="280117438">
                      <w:marLeft w:val="0"/>
                      <w:marRight w:val="0"/>
                      <w:marTop w:val="0"/>
                      <w:marBottom w:val="0"/>
                      <w:divBdr>
                        <w:top w:val="none" w:sz="0" w:space="0" w:color="auto"/>
                        <w:left w:val="none" w:sz="0" w:space="0" w:color="auto"/>
                        <w:bottom w:val="none" w:sz="0" w:space="0" w:color="auto"/>
                        <w:right w:val="none" w:sz="0" w:space="0" w:color="auto"/>
                      </w:divBdr>
                    </w:div>
                  </w:divsChild>
                </w:div>
                <w:div w:id="1243566626">
                  <w:marLeft w:val="0"/>
                  <w:marRight w:val="0"/>
                  <w:marTop w:val="0"/>
                  <w:marBottom w:val="0"/>
                  <w:divBdr>
                    <w:top w:val="none" w:sz="0" w:space="0" w:color="auto"/>
                    <w:left w:val="none" w:sz="0" w:space="0" w:color="auto"/>
                    <w:bottom w:val="none" w:sz="0" w:space="0" w:color="auto"/>
                    <w:right w:val="none" w:sz="0" w:space="0" w:color="auto"/>
                  </w:divBdr>
                  <w:divsChild>
                    <w:div w:id="2045714236">
                      <w:marLeft w:val="0"/>
                      <w:marRight w:val="0"/>
                      <w:marTop w:val="0"/>
                      <w:marBottom w:val="0"/>
                      <w:divBdr>
                        <w:top w:val="none" w:sz="0" w:space="0" w:color="auto"/>
                        <w:left w:val="none" w:sz="0" w:space="0" w:color="auto"/>
                        <w:bottom w:val="none" w:sz="0" w:space="0" w:color="auto"/>
                        <w:right w:val="none" w:sz="0" w:space="0" w:color="auto"/>
                      </w:divBdr>
                    </w:div>
                  </w:divsChild>
                </w:div>
                <w:div w:id="1337348000">
                  <w:marLeft w:val="0"/>
                  <w:marRight w:val="0"/>
                  <w:marTop w:val="0"/>
                  <w:marBottom w:val="0"/>
                  <w:divBdr>
                    <w:top w:val="none" w:sz="0" w:space="0" w:color="auto"/>
                    <w:left w:val="none" w:sz="0" w:space="0" w:color="auto"/>
                    <w:bottom w:val="none" w:sz="0" w:space="0" w:color="auto"/>
                    <w:right w:val="none" w:sz="0" w:space="0" w:color="auto"/>
                  </w:divBdr>
                  <w:divsChild>
                    <w:div w:id="1721440710">
                      <w:marLeft w:val="0"/>
                      <w:marRight w:val="0"/>
                      <w:marTop w:val="0"/>
                      <w:marBottom w:val="0"/>
                      <w:divBdr>
                        <w:top w:val="none" w:sz="0" w:space="0" w:color="auto"/>
                        <w:left w:val="none" w:sz="0" w:space="0" w:color="auto"/>
                        <w:bottom w:val="none" w:sz="0" w:space="0" w:color="auto"/>
                        <w:right w:val="none" w:sz="0" w:space="0" w:color="auto"/>
                      </w:divBdr>
                    </w:div>
                  </w:divsChild>
                </w:div>
                <w:div w:id="1374117874">
                  <w:marLeft w:val="0"/>
                  <w:marRight w:val="0"/>
                  <w:marTop w:val="0"/>
                  <w:marBottom w:val="0"/>
                  <w:divBdr>
                    <w:top w:val="none" w:sz="0" w:space="0" w:color="auto"/>
                    <w:left w:val="none" w:sz="0" w:space="0" w:color="auto"/>
                    <w:bottom w:val="none" w:sz="0" w:space="0" w:color="auto"/>
                    <w:right w:val="none" w:sz="0" w:space="0" w:color="auto"/>
                  </w:divBdr>
                  <w:divsChild>
                    <w:div w:id="1388264020">
                      <w:marLeft w:val="0"/>
                      <w:marRight w:val="0"/>
                      <w:marTop w:val="0"/>
                      <w:marBottom w:val="0"/>
                      <w:divBdr>
                        <w:top w:val="none" w:sz="0" w:space="0" w:color="auto"/>
                        <w:left w:val="none" w:sz="0" w:space="0" w:color="auto"/>
                        <w:bottom w:val="none" w:sz="0" w:space="0" w:color="auto"/>
                        <w:right w:val="none" w:sz="0" w:space="0" w:color="auto"/>
                      </w:divBdr>
                    </w:div>
                  </w:divsChild>
                </w:div>
                <w:div w:id="1396078774">
                  <w:marLeft w:val="0"/>
                  <w:marRight w:val="0"/>
                  <w:marTop w:val="0"/>
                  <w:marBottom w:val="0"/>
                  <w:divBdr>
                    <w:top w:val="none" w:sz="0" w:space="0" w:color="auto"/>
                    <w:left w:val="none" w:sz="0" w:space="0" w:color="auto"/>
                    <w:bottom w:val="none" w:sz="0" w:space="0" w:color="auto"/>
                    <w:right w:val="none" w:sz="0" w:space="0" w:color="auto"/>
                  </w:divBdr>
                  <w:divsChild>
                    <w:div w:id="68966265">
                      <w:marLeft w:val="0"/>
                      <w:marRight w:val="0"/>
                      <w:marTop w:val="0"/>
                      <w:marBottom w:val="0"/>
                      <w:divBdr>
                        <w:top w:val="none" w:sz="0" w:space="0" w:color="auto"/>
                        <w:left w:val="none" w:sz="0" w:space="0" w:color="auto"/>
                        <w:bottom w:val="none" w:sz="0" w:space="0" w:color="auto"/>
                        <w:right w:val="none" w:sz="0" w:space="0" w:color="auto"/>
                      </w:divBdr>
                    </w:div>
                  </w:divsChild>
                </w:div>
                <w:div w:id="1426457203">
                  <w:marLeft w:val="0"/>
                  <w:marRight w:val="0"/>
                  <w:marTop w:val="0"/>
                  <w:marBottom w:val="0"/>
                  <w:divBdr>
                    <w:top w:val="none" w:sz="0" w:space="0" w:color="auto"/>
                    <w:left w:val="none" w:sz="0" w:space="0" w:color="auto"/>
                    <w:bottom w:val="none" w:sz="0" w:space="0" w:color="auto"/>
                    <w:right w:val="none" w:sz="0" w:space="0" w:color="auto"/>
                  </w:divBdr>
                  <w:divsChild>
                    <w:div w:id="1317798881">
                      <w:marLeft w:val="0"/>
                      <w:marRight w:val="0"/>
                      <w:marTop w:val="0"/>
                      <w:marBottom w:val="0"/>
                      <w:divBdr>
                        <w:top w:val="none" w:sz="0" w:space="0" w:color="auto"/>
                        <w:left w:val="none" w:sz="0" w:space="0" w:color="auto"/>
                        <w:bottom w:val="none" w:sz="0" w:space="0" w:color="auto"/>
                        <w:right w:val="none" w:sz="0" w:space="0" w:color="auto"/>
                      </w:divBdr>
                    </w:div>
                  </w:divsChild>
                </w:div>
                <w:div w:id="1426683380">
                  <w:marLeft w:val="0"/>
                  <w:marRight w:val="0"/>
                  <w:marTop w:val="0"/>
                  <w:marBottom w:val="0"/>
                  <w:divBdr>
                    <w:top w:val="none" w:sz="0" w:space="0" w:color="auto"/>
                    <w:left w:val="none" w:sz="0" w:space="0" w:color="auto"/>
                    <w:bottom w:val="none" w:sz="0" w:space="0" w:color="auto"/>
                    <w:right w:val="none" w:sz="0" w:space="0" w:color="auto"/>
                  </w:divBdr>
                  <w:divsChild>
                    <w:div w:id="1708947296">
                      <w:marLeft w:val="0"/>
                      <w:marRight w:val="0"/>
                      <w:marTop w:val="0"/>
                      <w:marBottom w:val="0"/>
                      <w:divBdr>
                        <w:top w:val="none" w:sz="0" w:space="0" w:color="auto"/>
                        <w:left w:val="none" w:sz="0" w:space="0" w:color="auto"/>
                        <w:bottom w:val="none" w:sz="0" w:space="0" w:color="auto"/>
                        <w:right w:val="none" w:sz="0" w:space="0" w:color="auto"/>
                      </w:divBdr>
                    </w:div>
                  </w:divsChild>
                </w:div>
                <w:div w:id="1440952695">
                  <w:marLeft w:val="0"/>
                  <w:marRight w:val="0"/>
                  <w:marTop w:val="0"/>
                  <w:marBottom w:val="0"/>
                  <w:divBdr>
                    <w:top w:val="none" w:sz="0" w:space="0" w:color="auto"/>
                    <w:left w:val="none" w:sz="0" w:space="0" w:color="auto"/>
                    <w:bottom w:val="none" w:sz="0" w:space="0" w:color="auto"/>
                    <w:right w:val="none" w:sz="0" w:space="0" w:color="auto"/>
                  </w:divBdr>
                  <w:divsChild>
                    <w:div w:id="1962805494">
                      <w:marLeft w:val="0"/>
                      <w:marRight w:val="0"/>
                      <w:marTop w:val="0"/>
                      <w:marBottom w:val="0"/>
                      <w:divBdr>
                        <w:top w:val="none" w:sz="0" w:space="0" w:color="auto"/>
                        <w:left w:val="none" w:sz="0" w:space="0" w:color="auto"/>
                        <w:bottom w:val="none" w:sz="0" w:space="0" w:color="auto"/>
                        <w:right w:val="none" w:sz="0" w:space="0" w:color="auto"/>
                      </w:divBdr>
                    </w:div>
                  </w:divsChild>
                </w:div>
                <w:div w:id="1457068122">
                  <w:marLeft w:val="0"/>
                  <w:marRight w:val="0"/>
                  <w:marTop w:val="0"/>
                  <w:marBottom w:val="0"/>
                  <w:divBdr>
                    <w:top w:val="none" w:sz="0" w:space="0" w:color="auto"/>
                    <w:left w:val="none" w:sz="0" w:space="0" w:color="auto"/>
                    <w:bottom w:val="none" w:sz="0" w:space="0" w:color="auto"/>
                    <w:right w:val="none" w:sz="0" w:space="0" w:color="auto"/>
                  </w:divBdr>
                  <w:divsChild>
                    <w:div w:id="848639859">
                      <w:marLeft w:val="0"/>
                      <w:marRight w:val="0"/>
                      <w:marTop w:val="0"/>
                      <w:marBottom w:val="0"/>
                      <w:divBdr>
                        <w:top w:val="none" w:sz="0" w:space="0" w:color="auto"/>
                        <w:left w:val="none" w:sz="0" w:space="0" w:color="auto"/>
                        <w:bottom w:val="none" w:sz="0" w:space="0" w:color="auto"/>
                        <w:right w:val="none" w:sz="0" w:space="0" w:color="auto"/>
                      </w:divBdr>
                    </w:div>
                  </w:divsChild>
                </w:div>
                <w:div w:id="1466049442">
                  <w:marLeft w:val="0"/>
                  <w:marRight w:val="0"/>
                  <w:marTop w:val="0"/>
                  <w:marBottom w:val="0"/>
                  <w:divBdr>
                    <w:top w:val="none" w:sz="0" w:space="0" w:color="auto"/>
                    <w:left w:val="none" w:sz="0" w:space="0" w:color="auto"/>
                    <w:bottom w:val="none" w:sz="0" w:space="0" w:color="auto"/>
                    <w:right w:val="none" w:sz="0" w:space="0" w:color="auto"/>
                  </w:divBdr>
                  <w:divsChild>
                    <w:div w:id="497691390">
                      <w:marLeft w:val="0"/>
                      <w:marRight w:val="0"/>
                      <w:marTop w:val="0"/>
                      <w:marBottom w:val="0"/>
                      <w:divBdr>
                        <w:top w:val="none" w:sz="0" w:space="0" w:color="auto"/>
                        <w:left w:val="none" w:sz="0" w:space="0" w:color="auto"/>
                        <w:bottom w:val="none" w:sz="0" w:space="0" w:color="auto"/>
                        <w:right w:val="none" w:sz="0" w:space="0" w:color="auto"/>
                      </w:divBdr>
                    </w:div>
                  </w:divsChild>
                </w:div>
                <w:div w:id="1484617474">
                  <w:marLeft w:val="0"/>
                  <w:marRight w:val="0"/>
                  <w:marTop w:val="0"/>
                  <w:marBottom w:val="0"/>
                  <w:divBdr>
                    <w:top w:val="none" w:sz="0" w:space="0" w:color="auto"/>
                    <w:left w:val="none" w:sz="0" w:space="0" w:color="auto"/>
                    <w:bottom w:val="none" w:sz="0" w:space="0" w:color="auto"/>
                    <w:right w:val="none" w:sz="0" w:space="0" w:color="auto"/>
                  </w:divBdr>
                  <w:divsChild>
                    <w:div w:id="670329312">
                      <w:marLeft w:val="0"/>
                      <w:marRight w:val="0"/>
                      <w:marTop w:val="0"/>
                      <w:marBottom w:val="0"/>
                      <w:divBdr>
                        <w:top w:val="none" w:sz="0" w:space="0" w:color="auto"/>
                        <w:left w:val="none" w:sz="0" w:space="0" w:color="auto"/>
                        <w:bottom w:val="none" w:sz="0" w:space="0" w:color="auto"/>
                        <w:right w:val="none" w:sz="0" w:space="0" w:color="auto"/>
                      </w:divBdr>
                    </w:div>
                  </w:divsChild>
                </w:div>
                <w:div w:id="1634795588">
                  <w:marLeft w:val="0"/>
                  <w:marRight w:val="0"/>
                  <w:marTop w:val="0"/>
                  <w:marBottom w:val="0"/>
                  <w:divBdr>
                    <w:top w:val="none" w:sz="0" w:space="0" w:color="auto"/>
                    <w:left w:val="none" w:sz="0" w:space="0" w:color="auto"/>
                    <w:bottom w:val="none" w:sz="0" w:space="0" w:color="auto"/>
                    <w:right w:val="none" w:sz="0" w:space="0" w:color="auto"/>
                  </w:divBdr>
                  <w:divsChild>
                    <w:div w:id="169754474">
                      <w:marLeft w:val="0"/>
                      <w:marRight w:val="0"/>
                      <w:marTop w:val="0"/>
                      <w:marBottom w:val="0"/>
                      <w:divBdr>
                        <w:top w:val="none" w:sz="0" w:space="0" w:color="auto"/>
                        <w:left w:val="none" w:sz="0" w:space="0" w:color="auto"/>
                        <w:bottom w:val="none" w:sz="0" w:space="0" w:color="auto"/>
                        <w:right w:val="none" w:sz="0" w:space="0" w:color="auto"/>
                      </w:divBdr>
                    </w:div>
                  </w:divsChild>
                </w:div>
                <w:div w:id="1639996170">
                  <w:marLeft w:val="0"/>
                  <w:marRight w:val="0"/>
                  <w:marTop w:val="0"/>
                  <w:marBottom w:val="0"/>
                  <w:divBdr>
                    <w:top w:val="none" w:sz="0" w:space="0" w:color="auto"/>
                    <w:left w:val="none" w:sz="0" w:space="0" w:color="auto"/>
                    <w:bottom w:val="none" w:sz="0" w:space="0" w:color="auto"/>
                    <w:right w:val="none" w:sz="0" w:space="0" w:color="auto"/>
                  </w:divBdr>
                  <w:divsChild>
                    <w:div w:id="1901675077">
                      <w:marLeft w:val="0"/>
                      <w:marRight w:val="0"/>
                      <w:marTop w:val="0"/>
                      <w:marBottom w:val="0"/>
                      <w:divBdr>
                        <w:top w:val="none" w:sz="0" w:space="0" w:color="auto"/>
                        <w:left w:val="none" w:sz="0" w:space="0" w:color="auto"/>
                        <w:bottom w:val="none" w:sz="0" w:space="0" w:color="auto"/>
                        <w:right w:val="none" w:sz="0" w:space="0" w:color="auto"/>
                      </w:divBdr>
                    </w:div>
                  </w:divsChild>
                </w:div>
                <w:div w:id="1689673412">
                  <w:marLeft w:val="0"/>
                  <w:marRight w:val="0"/>
                  <w:marTop w:val="0"/>
                  <w:marBottom w:val="0"/>
                  <w:divBdr>
                    <w:top w:val="none" w:sz="0" w:space="0" w:color="auto"/>
                    <w:left w:val="none" w:sz="0" w:space="0" w:color="auto"/>
                    <w:bottom w:val="none" w:sz="0" w:space="0" w:color="auto"/>
                    <w:right w:val="none" w:sz="0" w:space="0" w:color="auto"/>
                  </w:divBdr>
                  <w:divsChild>
                    <w:div w:id="1995714055">
                      <w:marLeft w:val="0"/>
                      <w:marRight w:val="0"/>
                      <w:marTop w:val="0"/>
                      <w:marBottom w:val="0"/>
                      <w:divBdr>
                        <w:top w:val="none" w:sz="0" w:space="0" w:color="auto"/>
                        <w:left w:val="none" w:sz="0" w:space="0" w:color="auto"/>
                        <w:bottom w:val="none" w:sz="0" w:space="0" w:color="auto"/>
                        <w:right w:val="none" w:sz="0" w:space="0" w:color="auto"/>
                      </w:divBdr>
                    </w:div>
                  </w:divsChild>
                </w:div>
                <w:div w:id="1746607020">
                  <w:marLeft w:val="0"/>
                  <w:marRight w:val="0"/>
                  <w:marTop w:val="0"/>
                  <w:marBottom w:val="0"/>
                  <w:divBdr>
                    <w:top w:val="none" w:sz="0" w:space="0" w:color="auto"/>
                    <w:left w:val="none" w:sz="0" w:space="0" w:color="auto"/>
                    <w:bottom w:val="none" w:sz="0" w:space="0" w:color="auto"/>
                    <w:right w:val="none" w:sz="0" w:space="0" w:color="auto"/>
                  </w:divBdr>
                  <w:divsChild>
                    <w:div w:id="499470741">
                      <w:marLeft w:val="0"/>
                      <w:marRight w:val="0"/>
                      <w:marTop w:val="0"/>
                      <w:marBottom w:val="0"/>
                      <w:divBdr>
                        <w:top w:val="none" w:sz="0" w:space="0" w:color="auto"/>
                        <w:left w:val="none" w:sz="0" w:space="0" w:color="auto"/>
                        <w:bottom w:val="none" w:sz="0" w:space="0" w:color="auto"/>
                        <w:right w:val="none" w:sz="0" w:space="0" w:color="auto"/>
                      </w:divBdr>
                    </w:div>
                  </w:divsChild>
                </w:div>
                <w:div w:id="1781872290">
                  <w:marLeft w:val="0"/>
                  <w:marRight w:val="0"/>
                  <w:marTop w:val="0"/>
                  <w:marBottom w:val="0"/>
                  <w:divBdr>
                    <w:top w:val="none" w:sz="0" w:space="0" w:color="auto"/>
                    <w:left w:val="none" w:sz="0" w:space="0" w:color="auto"/>
                    <w:bottom w:val="none" w:sz="0" w:space="0" w:color="auto"/>
                    <w:right w:val="none" w:sz="0" w:space="0" w:color="auto"/>
                  </w:divBdr>
                  <w:divsChild>
                    <w:div w:id="1302341868">
                      <w:marLeft w:val="0"/>
                      <w:marRight w:val="0"/>
                      <w:marTop w:val="0"/>
                      <w:marBottom w:val="0"/>
                      <w:divBdr>
                        <w:top w:val="none" w:sz="0" w:space="0" w:color="auto"/>
                        <w:left w:val="none" w:sz="0" w:space="0" w:color="auto"/>
                        <w:bottom w:val="none" w:sz="0" w:space="0" w:color="auto"/>
                        <w:right w:val="none" w:sz="0" w:space="0" w:color="auto"/>
                      </w:divBdr>
                    </w:div>
                  </w:divsChild>
                </w:div>
                <w:div w:id="1826166231">
                  <w:marLeft w:val="0"/>
                  <w:marRight w:val="0"/>
                  <w:marTop w:val="0"/>
                  <w:marBottom w:val="0"/>
                  <w:divBdr>
                    <w:top w:val="none" w:sz="0" w:space="0" w:color="auto"/>
                    <w:left w:val="none" w:sz="0" w:space="0" w:color="auto"/>
                    <w:bottom w:val="none" w:sz="0" w:space="0" w:color="auto"/>
                    <w:right w:val="none" w:sz="0" w:space="0" w:color="auto"/>
                  </w:divBdr>
                  <w:divsChild>
                    <w:div w:id="1477406764">
                      <w:marLeft w:val="0"/>
                      <w:marRight w:val="0"/>
                      <w:marTop w:val="0"/>
                      <w:marBottom w:val="0"/>
                      <w:divBdr>
                        <w:top w:val="none" w:sz="0" w:space="0" w:color="auto"/>
                        <w:left w:val="none" w:sz="0" w:space="0" w:color="auto"/>
                        <w:bottom w:val="none" w:sz="0" w:space="0" w:color="auto"/>
                        <w:right w:val="none" w:sz="0" w:space="0" w:color="auto"/>
                      </w:divBdr>
                    </w:div>
                  </w:divsChild>
                </w:div>
                <w:div w:id="1921988889">
                  <w:marLeft w:val="0"/>
                  <w:marRight w:val="0"/>
                  <w:marTop w:val="0"/>
                  <w:marBottom w:val="0"/>
                  <w:divBdr>
                    <w:top w:val="none" w:sz="0" w:space="0" w:color="auto"/>
                    <w:left w:val="none" w:sz="0" w:space="0" w:color="auto"/>
                    <w:bottom w:val="none" w:sz="0" w:space="0" w:color="auto"/>
                    <w:right w:val="none" w:sz="0" w:space="0" w:color="auto"/>
                  </w:divBdr>
                  <w:divsChild>
                    <w:div w:id="265767897">
                      <w:marLeft w:val="0"/>
                      <w:marRight w:val="0"/>
                      <w:marTop w:val="0"/>
                      <w:marBottom w:val="0"/>
                      <w:divBdr>
                        <w:top w:val="none" w:sz="0" w:space="0" w:color="auto"/>
                        <w:left w:val="none" w:sz="0" w:space="0" w:color="auto"/>
                        <w:bottom w:val="none" w:sz="0" w:space="0" w:color="auto"/>
                        <w:right w:val="none" w:sz="0" w:space="0" w:color="auto"/>
                      </w:divBdr>
                    </w:div>
                  </w:divsChild>
                </w:div>
                <w:div w:id="2106613125">
                  <w:marLeft w:val="0"/>
                  <w:marRight w:val="0"/>
                  <w:marTop w:val="0"/>
                  <w:marBottom w:val="0"/>
                  <w:divBdr>
                    <w:top w:val="none" w:sz="0" w:space="0" w:color="auto"/>
                    <w:left w:val="none" w:sz="0" w:space="0" w:color="auto"/>
                    <w:bottom w:val="none" w:sz="0" w:space="0" w:color="auto"/>
                    <w:right w:val="none" w:sz="0" w:space="0" w:color="auto"/>
                  </w:divBdr>
                  <w:divsChild>
                    <w:div w:id="1867064629">
                      <w:marLeft w:val="0"/>
                      <w:marRight w:val="0"/>
                      <w:marTop w:val="0"/>
                      <w:marBottom w:val="0"/>
                      <w:divBdr>
                        <w:top w:val="none" w:sz="0" w:space="0" w:color="auto"/>
                        <w:left w:val="none" w:sz="0" w:space="0" w:color="auto"/>
                        <w:bottom w:val="none" w:sz="0" w:space="0" w:color="auto"/>
                        <w:right w:val="none" w:sz="0" w:space="0" w:color="auto"/>
                      </w:divBdr>
                    </w:div>
                  </w:divsChild>
                </w:div>
                <w:div w:id="2111464091">
                  <w:marLeft w:val="0"/>
                  <w:marRight w:val="0"/>
                  <w:marTop w:val="0"/>
                  <w:marBottom w:val="0"/>
                  <w:divBdr>
                    <w:top w:val="none" w:sz="0" w:space="0" w:color="auto"/>
                    <w:left w:val="none" w:sz="0" w:space="0" w:color="auto"/>
                    <w:bottom w:val="none" w:sz="0" w:space="0" w:color="auto"/>
                    <w:right w:val="none" w:sz="0" w:space="0" w:color="auto"/>
                  </w:divBdr>
                  <w:divsChild>
                    <w:div w:id="4487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10710">
      <w:bodyDiv w:val="1"/>
      <w:marLeft w:val="0"/>
      <w:marRight w:val="0"/>
      <w:marTop w:val="0"/>
      <w:marBottom w:val="0"/>
      <w:divBdr>
        <w:top w:val="none" w:sz="0" w:space="0" w:color="auto"/>
        <w:left w:val="none" w:sz="0" w:space="0" w:color="auto"/>
        <w:bottom w:val="none" w:sz="0" w:space="0" w:color="auto"/>
        <w:right w:val="none" w:sz="0" w:space="0" w:color="auto"/>
      </w:divBdr>
      <w:divsChild>
        <w:div w:id="122383820">
          <w:marLeft w:val="0"/>
          <w:marRight w:val="0"/>
          <w:marTop w:val="0"/>
          <w:marBottom w:val="0"/>
          <w:divBdr>
            <w:top w:val="none" w:sz="0" w:space="0" w:color="auto"/>
            <w:left w:val="none" w:sz="0" w:space="0" w:color="auto"/>
            <w:bottom w:val="none" w:sz="0" w:space="0" w:color="auto"/>
            <w:right w:val="none" w:sz="0" w:space="0" w:color="auto"/>
          </w:divBdr>
        </w:div>
        <w:div w:id="185607664">
          <w:marLeft w:val="0"/>
          <w:marRight w:val="0"/>
          <w:marTop w:val="0"/>
          <w:marBottom w:val="0"/>
          <w:divBdr>
            <w:top w:val="none" w:sz="0" w:space="0" w:color="auto"/>
            <w:left w:val="none" w:sz="0" w:space="0" w:color="auto"/>
            <w:bottom w:val="none" w:sz="0" w:space="0" w:color="auto"/>
            <w:right w:val="none" w:sz="0" w:space="0" w:color="auto"/>
          </w:divBdr>
        </w:div>
        <w:div w:id="1266961132">
          <w:marLeft w:val="0"/>
          <w:marRight w:val="0"/>
          <w:marTop w:val="0"/>
          <w:marBottom w:val="0"/>
          <w:divBdr>
            <w:top w:val="none" w:sz="0" w:space="0" w:color="auto"/>
            <w:left w:val="none" w:sz="0" w:space="0" w:color="auto"/>
            <w:bottom w:val="none" w:sz="0" w:space="0" w:color="auto"/>
            <w:right w:val="none" w:sz="0" w:space="0" w:color="auto"/>
          </w:divBdr>
        </w:div>
        <w:div w:id="1293824437">
          <w:marLeft w:val="0"/>
          <w:marRight w:val="0"/>
          <w:marTop w:val="0"/>
          <w:marBottom w:val="0"/>
          <w:divBdr>
            <w:top w:val="none" w:sz="0" w:space="0" w:color="auto"/>
            <w:left w:val="none" w:sz="0" w:space="0" w:color="auto"/>
            <w:bottom w:val="none" w:sz="0" w:space="0" w:color="auto"/>
            <w:right w:val="none" w:sz="0" w:space="0" w:color="auto"/>
          </w:divBdr>
        </w:div>
        <w:div w:id="1496144582">
          <w:marLeft w:val="0"/>
          <w:marRight w:val="0"/>
          <w:marTop w:val="0"/>
          <w:marBottom w:val="0"/>
          <w:divBdr>
            <w:top w:val="none" w:sz="0" w:space="0" w:color="auto"/>
            <w:left w:val="none" w:sz="0" w:space="0" w:color="auto"/>
            <w:bottom w:val="none" w:sz="0" w:space="0" w:color="auto"/>
            <w:right w:val="none" w:sz="0" w:space="0" w:color="auto"/>
          </w:divBdr>
        </w:div>
        <w:div w:id="181082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c.europa.eu/food/safety/food_waste/eu-food-loss-waste-prevention-hub/" TargetMode="External"/><Relationship Id="rId18" Type="http://schemas.openxmlformats.org/officeDocument/2006/relationships/hyperlink" Target="https://op.europa.eu/ro/publication-detail/-/publication/404a8144-8892-11ec-8c40-01aa75ed71a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food.ec.europa.eu/safety/food-waste/eu-actions-against-food-waste/eu-platform-food-losses-and-food-waste_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food/safety/food_waste/eu_actions/date_marking_en" TargetMode="External"/><Relationship Id="rId17" Type="http://schemas.openxmlformats.org/officeDocument/2006/relationships/hyperlink" Target="https://www.interregeurope.eu/what-is-interreg-europe" TargetMode="External"/><Relationship Id="rId25" Type="http://schemas.openxmlformats.org/officeDocument/2006/relationships/hyperlink" Target="https://myintracomm.ec.europa.eu/corp/budget/financial-rules/legal-framework/internal-rules/Documents/2022-5-legislative-financial-statement-annex-en.docx"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cinea.ec.europa.eu/programmes/life_en" TargetMode="External"/><Relationship Id="rId20" Type="http://schemas.openxmlformats.org/officeDocument/2006/relationships/hyperlink" Target="https://hadea.ec.europa.eu/news/fighting-food-waste-eu-new-call-proposals-help-stakeholders-take-action-2022-06-22_en"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od.ec.europa.eu/system/files/2021-05/fs_eu-actions_action_platform_key-rcmnd_en.pdf" TargetMode="External"/><Relationship Id="rId24" Type="http://schemas.openxmlformats.org/officeDocument/2006/relationships/footer" Target="footer3.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ec.europa.eu/info/research-and-innovation/funding/funding-opportunities/funding-programmes-and-open-calls/horizon-europe_en%22%20/l%20%22:~:text=%20Horizon%20Europe%20%201%20Apply%20for%20funding.,and%20innovation%20missions%20to%20increase%20the...%20More%20" TargetMode="External"/><Relationship Id="rId23" Type="http://schemas.openxmlformats.org/officeDocument/2006/relationships/footer" Target="footer2.xml"/><Relationship Id="rId28" Type="http://schemas.openxmlformats.org/officeDocument/2006/relationships/header" Target="header2.xml"/><Relationship Id="rId10" Type="http://schemas.openxmlformats.org/officeDocument/2006/relationships/hyperlink" Target="https://food.ec.europa.eu/safety/food-waste/eu-actions-against-food-waste/eu-platform-food-losses-and-food-waste_en" TargetMode="External"/><Relationship Id="rId19" Type="http://schemas.openxmlformats.org/officeDocument/2006/relationships/hyperlink" Target="https://data.consilium.europa.eu/doc/document/ST-15441-2022-INIT/ro/pdf."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search-and-innovation.ec.europa.eu/funding/funding-opportunities/funding-programmes-and-open-calls/horizon-2020_en" TargetMode="External"/><Relationship Id="rId22" Type="http://schemas.openxmlformats.org/officeDocument/2006/relationships/hyperlink" Target="https://www.fao.org/platform-food-loss-waste/background/food-is-never-waste-coalition/en"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rdis.europa.eu/project/id/101084106" TargetMode="External"/><Relationship Id="rId13" Type="http://schemas.openxmlformats.org/officeDocument/2006/relationships/hyperlink" Target="https://ec.europa.eu/info/law/better-regulation/have-your-say/initiatives/13223-Reducerea-risipei-de-alimente-obiective_ro" TargetMode="External"/><Relationship Id="rId18" Type="http://schemas.openxmlformats.org/officeDocument/2006/relationships/hyperlink" Target="https://dx.doi.org/10.2760/858144" TargetMode="External"/><Relationship Id="rId3" Type="http://schemas.openxmlformats.org/officeDocument/2006/relationships/hyperlink" Target="https://earth.org/what-is-fast-fashion" TargetMode="External"/><Relationship Id="rId21" Type="http://schemas.openxmlformats.org/officeDocument/2006/relationships/hyperlink" Target="https://doi.org/10.1007/s10018-018-0223-z" TargetMode="External"/><Relationship Id="rId7" Type="http://schemas.openxmlformats.org/officeDocument/2006/relationships/hyperlink" Target="https://tonowaste.eu/" TargetMode="External"/><Relationship Id="rId12" Type="http://schemas.openxmlformats.org/officeDocument/2006/relationships/hyperlink" Target="https://ec.europa.eu/info/law/better-regulation/have-your-say/initiatives/13225-Impactul-gestionarii-deseurilor-asupra-mediului-revizuirea-cadrului-UE-privind-deseurile_ro" TargetMode="External"/><Relationship Id="rId17" Type="http://schemas.openxmlformats.org/officeDocument/2006/relationships/hyperlink" Target="https://dx.doi.org/10.2760/858144" TargetMode="External"/><Relationship Id="rId2" Type="http://schemas.openxmlformats.org/officeDocument/2006/relationships/hyperlink" Target="https://www.eea.europa.eu/themes/waste/waste-prevention" TargetMode="External"/><Relationship Id="rId16" Type="http://schemas.openxmlformats.org/officeDocument/2006/relationships/hyperlink" Target="https://dx.doi.org/10.2760/858144" TargetMode="External"/><Relationship Id="rId20" Type="http://schemas.openxmlformats.org/officeDocument/2006/relationships/hyperlink" Target="https://doi.org/10.1007/s10018-016-0180-3" TargetMode="External"/><Relationship Id="rId1" Type="http://schemas.openxmlformats.org/officeDocument/2006/relationships/hyperlink" Target="https://single-market-economy.ec.europa.eu/industry/transition-pathways_en" TargetMode="External"/><Relationship Id="rId6" Type="http://schemas.openxmlformats.org/officeDocument/2006/relationships/hyperlink" Target="https://chorizoproject.eu/" TargetMode="External"/><Relationship Id="rId11" Type="http://schemas.openxmlformats.org/officeDocument/2006/relationships/hyperlink" Target="https://data.consilium.europa.eu/doc/document/ST-15441-2022-INIT/ro/pdf" TargetMode="External"/><Relationship Id="rId5" Type="http://schemas.openxmlformats.org/officeDocument/2006/relationships/hyperlink" Target="https://ec.europa.eu/eurostat/databrowser/view/env_wasfw/default/table?lang=en" TargetMode="External"/><Relationship Id="rId15" Type="http://schemas.openxmlformats.org/officeDocument/2006/relationships/hyperlink" Target="https://food.ec.europa.eu/system/files/2023-02/flw_eu-actions_fwrt_20230210_recom-cit_0.pdf" TargetMode="External"/><Relationship Id="rId10" Type="http://schemas.openxmlformats.org/officeDocument/2006/relationships/hyperlink" Target="https://hadea.ec.europa.eu/news/fighting-food-waste-eu-new-call-proposals-help-stakeholders-take-action-2022-06-22_en" TargetMode="External"/><Relationship Id="rId19" Type="http://schemas.openxmlformats.org/officeDocument/2006/relationships/hyperlink" Target="https://ec.europa.eu/eurostat/statistics-explained/index.php?title=Food_waste_and_food_waste_prevention_-_estimates" TargetMode="External"/><Relationship Id="rId4" Type="http://schemas.openxmlformats.org/officeDocument/2006/relationships/hyperlink" Target="https://data.europa.eu/doi/10.2760/858144" TargetMode="External"/><Relationship Id="rId9" Type="http://schemas.openxmlformats.org/officeDocument/2006/relationships/hyperlink" Target="https://cordis.europa.eu/project/id/101084222" TargetMode="External"/><Relationship Id="rId14" Type="http://schemas.openxmlformats.org/officeDocument/2006/relationships/hyperlink" Target="https://ec.europa.eu/info/law/better-regulation/have-your-say/initiatives/13225-Impactul-gestionarii-deseurilor-asupra-mediului-revizuirea-cadrului-UE-privind-deseurile_ro" TargetMode="External"/><Relationship Id="rId22" Type="http://schemas.openxmlformats.org/officeDocument/2006/relationships/hyperlink" Target="https://myintracomm.ec.europa.eu/corp/budget/financial-rules/budget-implementation/Pages/implementation-method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7EEA-EEA1-4260-A97B-26976597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77</Pages>
  <Words>33004</Words>
  <Characters>197365</Characters>
  <Application>Microsoft Office Word</Application>
  <DocSecurity>0</DocSecurity>
  <Lines>3588</Lines>
  <Paragraphs>1056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2023-07-04T12:57:00Z</dcterms:created>
  <dcterms:modified xsi:type="dcterms:W3CDTF">2023-09-27T14:14:00Z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2023-06-30T17:38:50Z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7ef278a4-4a59-455e-9804-6e99a50f32d5</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DQCStatus">
    <vt:lpwstr>Green (DQC version 03)</vt:lpwstr>
  </property>
</Properties>
</file>