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76AC3C" w14:textId="73FFB18B" w:rsidR="0026613F" w:rsidRPr="0051299F" w:rsidRDefault="00AB768C" w:rsidP="00AB768C">
      <w:pPr>
        <w:pStyle w:val="Pagedecouverture"/>
        <w:rPr>
          <w:noProof/>
          <w:lang w:val="pl-PL"/>
        </w:rPr>
      </w:pPr>
      <w:bookmarkStart w:id="0" w:name="LW_BM_COVERPAGE"/>
      <w:r>
        <w:rPr>
          <w:noProof/>
          <w:lang w:val="pl-PL"/>
        </w:rPr>
        <w:pict w14:anchorId="17520F8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5" type="#_x0000_t75" alt="C339DD3D-5F4A-4A07-8B73-5076178F991A" style="width:455.25pt;height:462.75pt">
            <v:imagedata r:id="rId8" o:title=""/>
          </v:shape>
        </w:pict>
      </w:r>
    </w:p>
    <w:bookmarkEnd w:id="0"/>
    <w:p w14:paraId="1EBA8200" w14:textId="77777777" w:rsidR="0026613F" w:rsidRPr="0051299F" w:rsidRDefault="0026613F" w:rsidP="0026613F">
      <w:pPr>
        <w:rPr>
          <w:rFonts w:ascii="Times New Roman" w:hAnsi="Times New Roman" w:cs="Times New Roman"/>
          <w:noProof/>
          <w:lang w:val="pl-PL"/>
        </w:rPr>
        <w:sectPr w:rsidR="0026613F" w:rsidRPr="0051299F" w:rsidSect="00AB768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tbl>
      <w:tblPr>
        <w:tblStyle w:val="TableGrid"/>
        <w:tblW w:w="9450" w:type="dxa"/>
        <w:tblLayout w:type="fixed"/>
        <w:tblLook w:val="06A0" w:firstRow="1" w:lastRow="0" w:firstColumn="1" w:lastColumn="0" w:noHBand="1" w:noVBand="1"/>
      </w:tblPr>
      <w:tblGrid>
        <w:gridCol w:w="9450"/>
      </w:tblGrid>
      <w:tr w:rsidR="007553ED" w:rsidRPr="0051299F" w14:paraId="2430968B" w14:textId="77777777" w:rsidTr="0068508E">
        <w:trPr>
          <w:trHeight w:val="300"/>
        </w:trPr>
        <w:tc>
          <w:tcPr>
            <w:tcW w:w="9450" w:type="dxa"/>
            <w:shd w:val="clear" w:color="auto" w:fill="auto"/>
          </w:tcPr>
          <w:p w14:paraId="7419FDF5" w14:textId="77777777" w:rsidR="007553ED" w:rsidRPr="0051299F" w:rsidRDefault="007553ED" w:rsidP="00546934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lang w:val="pl-PL"/>
              </w:rPr>
            </w:pPr>
            <w:bookmarkStart w:id="1" w:name="_GoBack"/>
            <w:bookmarkEnd w:id="1"/>
            <w:r w:rsidRPr="0051299F">
              <w:rPr>
                <w:rFonts w:ascii="Times New Roman" w:hAnsi="Times New Roman"/>
                <w:b/>
                <w:noProof/>
                <w:sz w:val="24"/>
                <w:lang w:val="pl-PL"/>
              </w:rPr>
              <w:lastRenderedPageBreak/>
              <w:t>Streszczenie oceny skutków</w:t>
            </w:r>
          </w:p>
        </w:tc>
      </w:tr>
      <w:tr w:rsidR="007553ED" w:rsidRPr="0051299F" w14:paraId="255EDB56" w14:textId="77777777" w:rsidTr="0068508E">
        <w:trPr>
          <w:trHeight w:val="300"/>
        </w:trPr>
        <w:tc>
          <w:tcPr>
            <w:tcW w:w="9450" w:type="dxa"/>
            <w:shd w:val="clear" w:color="auto" w:fill="auto"/>
          </w:tcPr>
          <w:p w14:paraId="770C13C1" w14:textId="7A331607" w:rsidR="007553ED" w:rsidRPr="0051299F" w:rsidRDefault="007553ED" w:rsidP="006D1333">
            <w:pPr>
              <w:rPr>
                <w:rFonts w:ascii="Times New Roman" w:eastAsia="Times New Roman" w:hAnsi="Times New Roman" w:cs="Times New Roman"/>
                <w:b/>
                <w:noProof/>
                <w:lang w:val="pl-PL"/>
              </w:rPr>
            </w:pPr>
            <w:r w:rsidRPr="0051299F">
              <w:rPr>
                <w:rFonts w:ascii="Times New Roman" w:hAnsi="Times New Roman"/>
                <w:b/>
                <w:noProof/>
                <w:lang w:val="pl-PL"/>
              </w:rPr>
              <w:t>Ocena skutków dotycząca zmiany dyrektywy</w:t>
            </w:r>
            <w:r w:rsidR="0051299F" w:rsidRPr="0051299F">
              <w:rPr>
                <w:rFonts w:ascii="Times New Roman" w:hAnsi="Times New Roman"/>
                <w:b/>
                <w:noProof/>
                <w:lang w:val="pl-PL"/>
              </w:rPr>
              <w:t xml:space="preserve"> w</w:t>
            </w:r>
            <w:r w:rsidR="0051299F">
              <w:rPr>
                <w:rFonts w:ascii="Times New Roman" w:hAnsi="Times New Roman"/>
                <w:b/>
                <w:noProof/>
                <w:lang w:val="pl-PL"/>
              </w:rPr>
              <w:t> </w:t>
            </w:r>
            <w:r w:rsidR="0051299F" w:rsidRPr="0051299F">
              <w:rPr>
                <w:rFonts w:ascii="Times New Roman" w:hAnsi="Times New Roman"/>
                <w:b/>
                <w:noProof/>
                <w:lang w:val="pl-PL"/>
              </w:rPr>
              <w:t>spr</w:t>
            </w:r>
            <w:r w:rsidRPr="0051299F">
              <w:rPr>
                <w:rFonts w:ascii="Times New Roman" w:hAnsi="Times New Roman"/>
                <w:b/>
                <w:noProof/>
                <w:lang w:val="pl-PL"/>
              </w:rPr>
              <w:t>awie zwalczania opóźnień</w:t>
            </w:r>
            <w:r w:rsidR="0051299F" w:rsidRPr="0051299F">
              <w:rPr>
                <w:rFonts w:ascii="Times New Roman" w:hAnsi="Times New Roman"/>
                <w:b/>
                <w:noProof/>
                <w:lang w:val="pl-PL"/>
              </w:rPr>
              <w:t xml:space="preserve"> w</w:t>
            </w:r>
            <w:r w:rsidR="0051299F">
              <w:rPr>
                <w:rFonts w:ascii="Times New Roman" w:hAnsi="Times New Roman"/>
                <w:b/>
                <w:noProof/>
                <w:lang w:val="pl-PL"/>
              </w:rPr>
              <w:t> </w:t>
            </w:r>
            <w:r w:rsidR="0051299F" w:rsidRPr="0051299F">
              <w:rPr>
                <w:rFonts w:ascii="Times New Roman" w:hAnsi="Times New Roman"/>
                <w:b/>
                <w:noProof/>
                <w:lang w:val="pl-PL"/>
              </w:rPr>
              <w:t>pła</w:t>
            </w:r>
            <w:r w:rsidRPr="0051299F">
              <w:rPr>
                <w:rFonts w:ascii="Times New Roman" w:hAnsi="Times New Roman"/>
                <w:b/>
                <w:noProof/>
                <w:lang w:val="pl-PL"/>
              </w:rPr>
              <w:t xml:space="preserve">tnościach (dyrektywy 2011/7/UE) </w:t>
            </w:r>
          </w:p>
        </w:tc>
      </w:tr>
      <w:tr w:rsidR="007553ED" w:rsidRPr="0051299F" w14:paraId="052E4685" w14:textId="77777777" w:rsidTr="0068508E">
        <w:trPr>
          <w:trHeight w:val="300"/>
        </w:trPr>
        <w:tc>
          <w:tcPr>
            <w:tcW w:w="9450" w:type="dxa"/>
            <w:shd w:val="clear" w:color="auto" w:fill="auto"/>
          </w:tcPr>
          <w:p w14:paraId="43112E69" w14:textId="2DD52614" w:rsidR="007553ED" w:rsidRPr="0051299F" w:rsidRDefault="007553ED" w:rsidP="00546934">
            <w:pPr>
              <w:rPr>
                <w:rFonts w:ascii="Times New Roman" w:eastAsia="Times New Roman" w:hAnsi="Times New Roman" w:cs="Times New Roman"/>
                <w:b/>
                <w:noProof/>
                <w:sz w:val="24"/>
                <w:lang w:val="pl-PL"/>
              </w:rPr>
            </w:pPr>
            <w:r w:rsidRPr="0051299F">
              <w:rPr>
                <w:rFonts w:ascii="Times New Roman" w:hAnsi="Times New Roman"/>
                <w:b/>
                <w:noProof/>
                <w:sz w:val="24"/>
                <w:lang w:val="pl-PL"/>
              </w:rPr>
              <w:t>A. Na czym polega problem</w:t>
            </w:r>
            <w:r w:rsidR="0051299F" w:rsidRPr="0051299F">
              <w:rPr>
                <w:rFonts w:ascii="Times New Roman" w:hAnsi="Times New Roman"/>
                <w:b/>
                <w:noProof/>
                <w:sz w:val="24"/>
                <w:lang w:val="pl-PL"/>
              </w:rPr>
              <w:t xml:space="preserve"> i</w:t>
            </w:r>
            <w:r w:rsidR="0051299F">
              <w:rPr>
                <w:rFonts w:ascii="Times New Roman" w:hAnsi="Times New Roman"/>
                <w:b/>
                <w:noProof/>
                <w:sz w:val="24"/>
                <w:lang w:val="pl-PL"/>
              </w:rPr>
              <w:t> </w:t>
            </w:r>
            <w:r w:rsidR="0051299F" w:rsidRPr="0051299F">
              <w:rPr>
                <w:rFonts w:ascii="Times New Roman" w:hAnsi="Times New Roman"/>
                <w:b/>
                <w:noProof/>
                <w:sz w:val="24"/>
                <w:lang w:val="pl-PL"/>
              </w:rPr>
              <w:t>dla</w:t>
            </w:r>
            <w:r w:rsidRPr="0051299F">
              <w:rPr>
                <w:rFonts w:ascii="Times New Roman" w:hAnsi="Times New Roman"/>
                <w:b/>
                <w:noProof/>
                <w:sz w:val="24"/>
                <w:lang w:val="pl-PL"/>
              </w:rPr>
              <w:t>czego jest to problem na szczeblu UE?</w:t>
            </w:r>
          </w:p>
        </w:tc>
      </w:tr>
      <w:tr w:rsidR="007553ED" w:rsidRPr="0051299F" w14:paraId="40370FB7" w14:textId="77777777" w:rsidTr="001F4BD5">
        <w:trPr>
          <w:trHeight w:val="3883"/>
        </w:trPr>
        <w:tc>
          <w:tcPr>
            <w:tcW w:w="9450" w:type="dxa"/>
            <w:shd w:val="clear" w:color="auto" w:fill="auto"/>
          </w:tcPr>
          <w:p w14:paraId="5B53FDA8" w14:textId="51963A1D" w:rsidR="0068508E" w:rsidRPr="0051299F" w:rsidRDefault="00E437B9" w:rsidP="005D20CD">
            <w:pPr>
              <w:jc w:val="both"/>
              <w:rPr>
                <w:rFonts w:ascii="Times New Roman" w:eastAsia="Times New Roman" w:hAnsi="Times New Roman" w:cs="Times New Roman"/>
                <w:noProof/>
                <w:sz w:val="24"/>
                <w:lang w:val="pl-PL"/>
              </w:rPr>
            </w:pPr>
            <w:r w:rsidRPr="0051299F">
              <w:rPr>
                <w:rFonts w:ascii="Times New Roman" w:hAnsi="Times New Roman"/>
                <w:noProof/>
                <w:color w:val="000000" w:themeColor="text1"/>
                <w:sz w:val="24"/>
                <w:lang w:val="pl-PL"/>
              </w:rPr>
              <w:t>Co roku w UE wystawianych jest około 18 mld faktur. To ponad 500 faktur na sekundę,</w:t>
            </w:r>
            <w:r w:rsidR="0051299F" w:rsidRPr="0051299F">
              <w:rPr>
                <w:rFonts w:ascii="Times New Roman" w:hAnsi="Times New Roman"/>
                <w:noProof/>
                <w:color w:val="000000" w:themeColor="text1"/>
                <w:sz w:val="24"/>
                <w:lang w:val="pl-PL"/>
              </w:rPr>
              <w:t xml:space="preserve"> a</w:t>
            </w:r>
            <w:r w:rsidR="0051299F">
              <w:rPr>
                <w:rFonts w:ascii="Times New Roman" w:hAnsi="Times New Roman"/>
                <w:noProof/>
                <w:color w:val="000000" w:themeColor="text1"/>
                <w:sz w:val="24"/>
                <w:lang w:val="pl-PL"/>
              </w:rPr>
              <w:t> </w:t>
            </w:r>
            <w:r w:rsidR="0051299F" w:rsidRPr="0051299F">
              <w:rPr>
                <w:rFonts w:ascii="Times New Roman" w:hAnsi="Times New Roman"/>
                <w:noProof/>
                <w:color w:val="000000" w:themeColor="text1"/>
                <w:sz w:val="24"/>
                <w:lang w:val="pl-PL"/>
              </w:rPr>
              <w:t>pra</w:t>
            </w:r>
            <w:r w:rsidRPr="0051299F">
              <w:rPr>
                <w:rFonts w:ascii="Times New Roman" w:hAnsi="Times New Roman"/>
                <w:noProof/>
                <w:color w:val="000000" w:themeColor="text1"/>
                <w:sz w:val="24"/>
                <w:lang w:val="pl-PL"/>
              </w:rPr>
              <w:t>wie 50</w:t>
            </w:r>
            <w:r w:rsidR="0051299F" w:rsidRPr="0051299F">
              <w:rPr>
                <w:rFonts w:ascii="Times New Roman" w:hAnsi="Times New Roman"/>
                <w:noProof/>
                <w:color w:val="000000" w:themeColor="text1"/>
                <w:sz w:val="24"/>
                <w:lang w:val="pl-PL"/>
              </w:rPr>
              <w:t> </w:t>
            </w:r>
            <w:r w:rsidRPr="0051299F">
              <w:rPr>
                <w:rFonts w:ascii="Times New Roman" w:hAnsi="Times New Roman"/>
                <w:noProof/>
                <w:color w:val="000000" w:themeColor="text1"/>
                <w:sz w:val="24"/>
                <w:lang w:val="pl-PL"/>
              </w:rPr>
              <w:t>%</w:t>
            </w:r>
            <w:r w:rsidR="0051299F" w:rsidRPr="0051299F">
              <w:rPr>
                <w:rFonts w:ascii="Times New Roman" w:hAnsi="Times New Roman"/>
                <w:noProof/>
                <w:color w:val="000000" w:themeColor="text1"/>
                <w:sz w:val="24"/>
                <w:lang w:val="pl-PL"/>
              </w:rPr>
              <w:t xml:space="preserve"> z</w:t>
            </w:r>
            <w:r w:rsidR="0051299F">
              <w:rPr>
                <w:rFonts w:ascii="Times New Roman" w:hAnsi="Times New Roman"/>
                <w:noProof/>
                <w:color w:val="000000" w:themeColor="text1"/>
                <w:sz w:val="24"/>
                <w:lang w:val="pl-PL"/>
              </w:rPr>
              <w:t> </w:t>
            </w:r>
            <w:r w:rsidR="0051299F" w:rsidRPr="0051299F">
              <w:rPr>
                <w:rFonts w:ascii="Times New Roman" w:hAnsi="Times New Roman"/>
                <w:noProof/>
                <w:color w:val="000000" w:themeColor="text1"/>
                <w:sz w:val="24"/>
                <w:lang w:val="pl-PL"/>
              </w:rPr>
              <w:t>nic</w:t>
            </w:r>
            <w:r w:rsidRPr="0051299F">
              <w:rPr>
                <w:rFonts w:ascii="Times New Roman" w:hAnsi="Times New Roman"/>
                <w:noProof/>
                <w:color w:val="000000" w:themeColor="text1"/>
                <w:sz w:val="24"/>
                <w:lang w:val="pl-PL"/>
              </w:rPr>
              <w:t>h jest opłacanych</w:t>
            </w:r>
            <w:r w:rsidR="0051299F" w:rsidRPr="0051299F">
              <w:rPr>
                <w:rFonts w:ascii="Times New Roman" w:hAnsi="Times New Roman"/>
                <w:noProof/>
                <w:color w:val="000000" w:themeColor="text1"/>
                <w:sz w:val="24"/>
                <w:lang w:val="pl-PL"/>
              </w:rPr>
              <w:t xml:space="preserve"> z</w:t>
            </w:r>
            <w:r w:rsidR="0051299F">
              <w:rPr>
                <w:rFonts w:ascii="Times New Roman" w:hAnsi="Times New Roman"/>
                <w:noProof/>
                <w:color w:val="000000" w:themeColor="text1"/>
                <w:sz w:val="24"/>
                <w:lang w:val="pl-PL"/>
              </w:rPr>
              <w:t> </w:t>
            </w:r>
            <w:r w:rsidR="0051299F" w:rsidRPr="0051299F">
              <w:rPr>
                <w:rFonts w:ascii="Times New Roman" w:hAnsi="Times New Roman"/>
                <w:noProof/>
                <w:color w:val="000000" w:themeColor="text1"/>
                <w:sz w:val="24"/>
                <w:lang w:val="pl-PL"/>
              </w:rPr>
              <w:t>opó</w:t>
            </w:r>
            <w:r w:rsidRPr="0051299F">
              <w:rPr>
                <w:rFonts w:ascii="Times New Roman" w:hAnsi="Times New Roman"/>
                <w:noProof/>
                <w:color w:val="000000" w:themeColor="text1"/>
                <w:sz w:val="24"/>
                <w:lang w:val="pl-PL"/>
              </w:rPr>
              <w:t xml:space="preserve">źnieniem. </w:t>
            </w:r>
            <w:r w:rsidRPr="0051299F">
              <w:rPr>
                <w:rFonts w:ascii="Times New Roman" w:hAnsi="Times New Roman"/>
                <w:noProof/>
                <w:sz w:val="24"/>
                <w:lang w:val="pl-PL"/>
              </w:rPr>
              <w:t>Opóźnienia</w:t>
            </w:r>
            <w:r w:rsidR="0051299F" w:rsidRPr="0051299F">
              <w:rPr>
                <w:rFonts w:ascii="Times New Roman" w:hAnsi="Times New Roman"/>
                <w:noProof/>
                <w:sz w:val="24"/>
                <w:lang w:val="pl-PL"/>
              </w:rPr>
              <w:t xml:space="preserve"> w</w:t>
            </w:r>
            <w:r w:rsidR="0051299F">
              <w:rPr>
                <w:rFonts w:ascii="Times New Roman" w:hAnsi="Times New Roman"/>
                <w:noProof/>
                <w:sz w:val="24"/>
                <w:lang w:val="pl-PL"/>
              </w:rPr>
              <w:t> </w:t>
            </w:r>
            <w:r w:rsidR="0051299F" w:rsidRPr="0051299F">
              <w:rPr>
                <w:rFonts w:ascii="Times New Roman" w:hAnsi="Times New Roman"/>
                <w:noProof/>
                <w:sz w:val="24"/>
                <w:lang w:val="pl-PL"/>
              </w:rPr>
              <w:t>pła</w:t>
            </w:r>
            <w:r w:rsidRPr="0051299F">
              <w:rPr>
                <w:rFonts w:ascii="Times New Roman" w:hAnsi="Times New Roman"/>
                <w:noProof/>
                <w:sz w:val="24"/>
                <w:lang w:val="pl-PL"/>
              </w:rPr>
              <w:t>tnościach mają wpływ na płynność</w:t>
            </w:r>
            <w:r w:rsidR="0051299F" w:rsidRPr="0051299F">
              <w:rPr>
                <w:rFonts w:ascii="Times New Roman" w:hAnsi="Times New Roman"/>
                <w:noProof/>
                <w:sz w:val="24"/>
                <w:lang w:val="pl-PL"/>
              </w:rPr>
              <w:t xml:space="preserve"> i</w:t>
            </w:r>
            <w:r w:rsidR="0051299F">
              <w:rPr>
                <w:rFonts w:ascii="Times New Roman" w:hAnsi="Times New Roman"/>
                <w:noProof/>
                <w:sz w:val="24"/>
                <w:lang w:val="pl-PL"/>
              </w:rPr>
              <w:t> </w:t>
            </w:r>
            <w:r w:rsidR="0051299F" w:rsidRPr="0051299F">
              <w:rPr>
                <w:rFonts w:ascii="Times New Roman" w:hAnsi="Times New Roman"/>
                <w:noProof/>
                <w:sz w:val="24"/>
                <w:lang w:val="pl-PL"/>
              </w:rPr>
              <w:t>prz</w:t>
            </w:r>
            <w:r w:rsidRPr="0051299F">
              <w:rPr>
                <w:rFonts w:ascii="Times New Roman" w:hAnsi="Times New Roman"/>
                <w:noProof/>
                <w:sz w:val="24"/>
                <w:lang w:val="pl-PL"/>
              </w:rPr>
              <w:t>ewidywalność przepływów środków pieniężnych, co</w:t>
            </w:r>
            <w:r w:rsidR="0051299F" w:rsidRPr="0051299F">
              <w:rPr>
                <w:rFonts w:ascii="Times New Roman" w:hAnsi="Times New Roman"/>
                <w:noProof/>
                <w:sz w:val="24"/>
                <w:lang w:val="pl-PL"/>
              </w:rPr>
              <w:t xml:space="preserve"> z</w:t>
            </w:r>
            <w:r w:rsidR="0051299F">
              <w:rPr>
                <w:rFonts w:ascii="Times New Roman" w:hAnsi="Times New Roman"/>
                <w:noProof/>
                <w:sz w:val="24"/>
                <w:lang w:val="pl-PL"/>
              </w:rPr>
              <w:t> </w:t>
            </w:r>
            <w:r w:rsidR="0051299F" w:rsidRPr="0051299F">
              <w:rPr>
                <w:rFonts w:ascii="Times New Roman" w:hAnsi="Times New Roman"/>
                <w:noProof/>
                <w:sz w:val="24"/>
                <w:lang w:val="pl-PL"/>
              </w:rPr>
              <w:t>kol</w:t>
            </w:r>
            <w:r w:rsidRPr="0051299F">
              <w:rPr>
                <w:rFonts w:ascii="Times New Roman" w:hAnsi="Times New Roman"/>
                <w:noProof/>
                <w:sz w:val="24"/>
                <w:lang w:val="pl-PL"/>
              </w:rPr>
              <w:t>ei zwiększa zapotrzebowanie na kapitał obrotowy</w:t>
            </w:r>
            <w:r w:rsidR="0051299F" w:rsidRPr="0051299F">
              <w:rPr>
                <w:rFonts w:ascii="Times New Roman" w:hAnsi="Times New Roman"/>
                <w:noProof/>
                <w:sz w:val="24"/>
                <w:lang w:val="pl-PL"/>
              </w:rPr>
              <w:t xml:space="preserve"> i</w:t>
            </w:r>
            <w:r w:rsidR="0051299F">
              <w:rPr>
                <w:rFonts w:ascii="Times New Roman" w:hAnsi="Times New Roman"/>
                <w:noProof/>
                <w:sz w:val="24"/>
                <w:lang w:val="pl-PL"/>
              </w:rPr>
              <w:t> </w:t>
            </w:r>
            <w:r w:rsidR="0051299F" w:rsidRPr="0051299F">
              <w:rPr>
                <w:rFonts w:ascii="Times New Roman" w:hAnsi="Times New Roman"/>
                <w:noProof/>
                <w:sz w:val="24"/>
                <w:lang w:val="pl-PL"/>
              </w:rPr>
              <w:t>utr</w:t>
            </w:r>
            <w:r w:rsidRPr="0051299F">
              <w:rPr>
                <w:rFonts w:ascii="Times New Roman" w:hAnsi="Times New Roman"/>
                <w:noProof/>
                <w:sz w:val="24"/>
                <w:lang w:val="pl-PL"/>
              </w:rPr>
              <w:t>udnia przedsiębiorstwom dostęp do finansowania zewnętrznego</w:t>
            </w:r>
            <w:r w:rsidR="0051299F" w:rsidRPr="0051299F">
              <w:rPr>
                <w:rFonts w:ascii="Times New Roman" w:hAnsi="Times New Roman"/>
                <w:noProof/>
                <w:sz w:val="24"/>
                <w:lang w:val="pl-PL"/>
              </w:rPr>
              <w:t>. W</w:t>
            </w:r>
            <w:r w:rsidR="0051299F">
              <w:rPr>
                <w:rFonts w:ascii="Times New Roman" w:hAnsi="Times New Roman"/>
                <w:noProof/>
                <w:sz w:val="24"/>
                <w:lang w:val="pl-PL"/>
              </w:rPr>
              <w:t> </w:t>
            </w:r>
            <w:r w:rsidR="0051299F" w:rsidRPr="0051299F">
              <w:rPr>
                <w:rFonts w:ascii="Times New Roman" w:hAnsi="Times New Roman"/>
                <w:noProof/>
                <w:sz w:val="24"/>
                <w:lang w:val="pl-PL"/>
              </w:rPr>
              <w:t>rez</w:t>
            </w:r>
            <w:r w:rsidRPr="0051299F">
              <w:rPr>
                <w:rFonts w:ascii="Times New Roman" w:hAnsi="Times New Roman"/>
                <w:noProof/>
                <w:sz w:val="24"/>
                <w:lang w:val="pl-PL"/>
              </w:rPr>
              <w:t>ultacie opóźnienia</w:t>
            </w:r>
            <w:r w:rsidR="0051299F" w:rsidRPr="0051299F">
              <w:rPr>
                <w:rFonts w:ascii="Times New Roman" w:hAnsi="Times New Roman"/>
                <w:noProof/>
                <w:sz w:val="24"/>
                <w:lang w:val="pl-PL"/>
              </w:rPr>
              <w:t xml:space="preserve"> w</w:t>
            </w:r>
            <w:r w:rsidR="0051299F">
              <w:rPr>
                <w:rFonts w:ascii="Times New Roman" w:hAnsi="Times New Roman"/>
                <w:noProof/>
                <w:sz w:val="24"/>
                <w:lang w:val="pl-PL"/>
              </w:rPr>
              <w:t> </w:t>
            </w:r>
            <w:r w:rsidR="0051299F" w:rsidRPr="0051299F">
              <w:rPr>
                <w:rFonts w:ascii="Times New Roman" w:hAnsi="Times New Roman"/>
                <w:noProof/>
                <w:sz w:val="24"/>
                <w:lang w:val="pl-PL"/>
              </w:rPr>
              <w:t>pła</w:t>
            </w:r>
            <w:r w:rsidRPr="0051299F">
              <w:rPr>
                <w:rFonts w:ascii="Times New Roman" w:hAnsi="Times New Roman"/>
                <w:noProof/>
                <w:sz w:val="24"/>
                <w:lang w:val="pl-PL"/>
              </w:rPr>
              <w:t>tnościach wpływają negatywnie na wzrost</w:t>
            </w:r>
            <w:r w:rsidR="0051299F" w:rsidRPr="0051299F">
              <w:rPr>
                <w:rFonts w:ascii="Times New Roman" w:hAnsi="Times New Roman"/>
                <w:noProof/>
                <w:sz w:val="24"/>
                <w:lang w:val="pl-PL"/>
              </w:rPr>
              <w:t xml:space="preserve"> i</w:t>
            </w:r>
            <w:r w:rsidR="0051299F">
              <w:rPr>
                <w:rFonts w:ascii="Times New Roman" w:hAnsi="Times New Roman"/>
                <w:noProof/>
                <w:sz w:val="24"/>
                <w:lang w:val="pl-PL"/>
              </w:rPr>
              <w:t> </w:t>
            </w:r>
            <w:r w:rsidR="0051299F" w:rsidRPr="0051299F">
              <w:rPr>
                <w:rFonts w:ascii="Times New Roman" w:hAnsi="Times New Roman"/>
                <w:noProof/>
                <w:sz w:val="24"/>
                <w:lang w:val="pl-PL"/>
              </w:rPr>
              <w:t>kon</w:t>
            </w:r>
            <w:r w:rsidRPr="0051299F">
              <w:rPr>
                <w:rFonts w:ascii="Times New Roman" w:hAnsi="Times New Roman"/>
                <w:noProof/>
                <w:sz w:val="24"/>
                <w:lang w:val="pl-PL"/>
              </w:rPr>
              <w:t>kurencyjność, powodują zmniejszenie produktywności oraz zwiększenie prawdopodobieństwa zwolnień pracowników</w:t>
            </w:r>
            <w:r w:rsidR="0051299F" w:rsidRPr="0051299F">
              <w:rPr>
                <w:rFonts w:ascii="Times New Roman" w:hAnsi="Times New Roman"/>
                <w:noProof/>
                <w:sz w:val="24"/>
                <w:lang w:val="pl-PL"/>
              </w:rPr>
              <w:t xml:space="preserve"> i</w:t>
            </w:r>
            <w:r w:rsidR="0051299F">
              <w:rPr>
                <w:rFonts w:ascii="Times New Roman" w:hAnsi="Times New Roman"/>
                <w:noProof/>
                <w:sz w:val="24"/>
                <w:lang w:val="pl-PL"/>
              </w:rPr>
              <w:t> </w:t>
            </w:r>
            <w:r w:rsidR="0051299F" w:rsidRPr="0051299F">
              <w:rPr>
                <w:rFonts w:ascii="Times New Roman" w:hAnsi="Times New Roman"/>
                <w:noProof/>
                <w:sz w:val="24"/>
                <w:lang w:val="pl-PL"/>
              </w:rPr>
              <w:t>upa</w:t>
            </w:r>
            <w:r w:rsidRPr="0051299F">
              <w:rPr>
                <w:rFonts w:ascii="Times New Roman" w:hAnsi="Times New Roman"/>
                <w:noProof/>
                <w:sz w:val="24"/>
                <w:lang w:val="pl-PL"/>
              </w:rPr>
              <w:t>dłości. Skutki opóźnień</w:t>
            </w:r>
            <w:r w:rsidR="0051299F" w:rsidRPr="0051299F">
              <w:rPr>
                <w:rFonts w:ascii="Times New Roman" w:hAnsi="Times New Roman"/>
                <w:noProof/>
                <w:sz w:val="24"/>
                <w:lang w:val="pl-PL"/>
              </w:rPr>
              <w:t xml:space="preserve"> w</w:t>
            </w:r>
            <w:r w:rsidR="0051299F">
              <w:rPr>
                <w:rFonts w:ascii="Times New Roman" w:hAnsi="Times New Roman"/>
                <w:noProof/>
                <w:sz w:val="24"/>
                <w:lang w:val="pl-PL"/>
              </w:rPr>
              <w:t> </w:t>
            </w:r>
            <w:r w:rsidR="0051299F" w:rsidRPr="0051299F">
              <w:rPr>
                <w:rFonts w:ascii="Times New Roman" w:hAnsi="Times New Roman"/>
                <w:noProof/>
                <w:sz w:val="24"/>
                <w:lang w:val="pl-PL"/>
              </w:rPr>
              <w:t>pła</w:t>
            </w:r>
            <w:r w:rsidRPr="0051299F">
              <w:rPr>
                <w:rFonts w:ascii="Times New Roman" w:hAnsi="Times New Roman"/>
                <w:noProof/>
                <w:sz w:val="24"/>
                <w:lang w:val="pl-PL"/>
              </w:rPr>
              <w:t>tnościach są odczuwalne</w:t>
            </w:r>
            <w:r w:rsidR="0051299F" w:rsidRPr="0051299F">
              <w:rPr>
                <w:rFonts w:ascii="Times New Roman" w:hAnsi="Times New Roman"/>
                <w:noProof/>
                <w:sz w:val="24"/>
                <w:lang w:val="pl-PL"/>
              </w:rPr>
              <w:t xml:space="preserve"> w</w:t>
            </w:r>
            <w:r w:rsidR="0051299F">
              <w:rPr>
                <w:rFonts w:ascii="Times New Roman" w:hAnsi="Times New Roman"/>
                <w:noProof/>
                <w:sz w:val="24"/>
                <w:lang w:val="pl-PL"/>
              </w:rPr>
              <w:t> </w:t>
            </w:r>
            <w:r w:rsidR="0051299F" w:rsidRPr="0051299F">
              <w:rPr>
                <w:rFonts w:ascii="Times New Roman" w:hAnsi="Times New Roman"/>
                <w:noProof/>
                <w:sz w:val="24"/>
                <w:lang w:val="pl-PL"/>
              </w:rPr>
              <w:t>cał</w:t>
            </w:r>
            <w:r w:rsidRPr="0051299F">
              <w:rPr>
                <w:rFonts w:ascii="Times New Roman" w:hAnsi="Times New Roman"/>
                <w:noProof/>
                <w:sz w:val="24"/>
                <w:lang w:val="pl-PL"/>
              </w:rPr>
              <w:t>ych łańcuchach dostaw, ponieważ opóźnienia te są często przenoszone na dostawców. Te negatywne skutki</w:t>
            </w:r>
            <w:r w:rsidR="0051299F" w:rsidRPr="0051299F">
              <w:rPr>
                <w:rFonts w:ascii="Times New Roman" w:hAnsi="Times New Roman"/>
                <w:noProof/>
                <w:sz w:val="24"/>
                <w:lang w:val="pl-PL"/>
              </w:rPr>
              <w:t xml:space="preserve"> w</w:t>
            </w:r>
            <w:r w:rsidR="0051299F">
              <w:rPr>
                <w:rFonts w:ascii="Times New Roman" w:hAnsi="Times New Roman"/>
                <w:noProof/>
                <w:sz w:val="24"/>
                <w:lang w:val="pl-PL"/>
              </w:rPr>
              <w:t> </w:t>
            </w:r>
            <w:r w:rsidR="0051299F" w:rsidRPr="0051299F">
              <w:rPr>
                <w:rFonts w:ascii="Times New Roman" w:hAnsi="Times New Roman"/>
                <w:noProof/>
                <w:sz w:val="24"/>
                <w:lang w:val="pl-PL"/>
              </w:rPr>
              <w:t>zna</w:t>
            </w:r>
            <w:r w:rsidRPr="0051299F">
              <w:rPr>
                <w:rFonts w:ascii="Times New Roman" w:hAnsi="Times New Roman"/>
                <w:noProof/>
                <w:sz w:val="24"/>
                <w:lang w:val="pl-PL"/>
              </w:rPr>
              <w:t>cznym stopniu dotykają małe</w:t>
            </w:r>
            <w:r w:rsidR="0051299F" w:rsidRPr="0051299F">
              <w:rPr>
                <w:rFonts w:ascii="Times New Roman" w:hAnsi="Times New Roman"/>
                <w:noProof/>
                <w:sz w:val="24"/>
                <w:lang w:val="pl-PL"/>
              </w:rPr>
              <w:t xml:space="preserve"> i</w:t>
            </w:r>
            <w:r w:rsidR="0051299F">
              <w:rPr>
                <w:rFonts w:ascii="Times New Roman" w:hAnsi="Times New Roman"/>
                <w:noProof/>
                <w:sz w:val="24"/>
                <w:lang w:val="pl-PL"/>
              </w:rPr>
              <w:t> </w:t>
            </w:r>
            <w:r w:rsidR="0051299F" w:rsidRPr="0051299F">
              <w:rPr>
                <w:rFonts w:ascii="Times New Roman" w:hAnsi="Times New Roman"/>
                <w:noProof/>
                <w:sz w:val="24"/>
                <w:lang w:val="pl-PL"/>
              </w:rPr>
              <w:t>śre</w:t>
            </w:r>
            <w:r w:rsidRPr="0051299F">
              <w:rPr>
                <w:rFonts w:ascii="Times New Roman" w:hAnsi="Times New Roman"/>
                <w:noProof/>
                <w:sz w:val="24"/>
                <w:lang w:val="pl-PL"/>
              </w:rPr>
              <w:t>dnie przedsiębiorstwa (MŚP), które są zależne od przewidywalnych przepływów środków pieniężnych. Opóźnienia</w:t>
            </w:r>
            <w:r w:rsidR="0051299F" w:rsidRPr="0051299F">
              <w:rPr>
                <w:rFonts w:ascii="Times New Roman" w:hAnsi="Times New Roman"/>
                <w:noProof/>
                <w:sz w:val="24"/>
                <w:lang w:val="pl-PL"/>
              </w:rPr>
              <w:t xml:space="preserve"> w</w:t>
            </w:r>
            <w:r w:rsidR="0051299F">
              <w:rPr>
                <w:rFonts w:ascii="Times New Roman" w:hAnsi="Times New Roman"/>
                <w:noProof/>
                <w:sz w:val="24"/>
                <w:lang w:val="pl-PL"/>
              </w:rPr>
              <w:t> </w:t>
            </w:r>
            <w:r w:rsidR="0051299F" w:rsidRPr="0051299F">
              <w:rPr>
                <w:rFonts w:ascii="Times New Roman" w:hAnsi="Times New Roman"/>
                <w:noProof/>
                <w:sz w:val="24"/>
                <w:lang w:val="pl-PL"/>
              </w:rPr>
              <w:t>pła</w:t>
            </w:r>
            <w:r w:rsidRPr="0051299F">
              <w:rPr>
                <w:rFonts w:ascii="Times New Roman" w:hAnsi="Times New Roman"/>
                <w:noProof/>
                <w:sz w:val="24"/>
                <w:lang w:val="pl-PL"/>
              </w:rPr>
              <w:t>tnościach mają również szkodliwe skutki społeczne. Niektóre sektory są bardziej narażone na opóźnienia</w:t>
            </w:r>
            <w:r w:rsidR="0051299F" w:rsidRPr="0051299F">
              <w:rPr>
                <w:rFonts w:ascii="Times New Roman" w:hAnsi="Times New Roman"/>
                <w:noProof/>
                <w:sz w:val="24"/>
                <w:lang w:val="pl-PL"/>
              </w:rPr>
              <w:t xml:space="preserve"> w</w:t>
            </w:r>
            <w:r w:rsidR="0051299F">
              <w:rPr>
                <w:rFonts w:ascii="Times New Roman" w:hAnsi="Times New Roman"/>
                <w:noProof/>
                <w:sz w:val="24"/>
                <w:lang w:val="pl-PL"/>
              </w:rPr>
              <w:t> </w:t>
            </w:r>
            <w:r w:rsidR="0051299F" w:rsidRPr="0051299F">
              <w:rPr>
                <w:rFonts w:ascii="Times New Roman" w:hAnsi="Times New Roman"/>
                <w:noProof/>
                <w:sz w:val="24"/>
                <w:lang w:val="pl-PL"/>
              </w:rPr>
              <w:t>pła</w:t>
            </w:r>
            <w:r w:rsidRPr="0051299F">
              <w:rPr>
                <w:rFonts w:ascii="Times New Roman" w:hAnsi="Times New Roman"/>
                <w:noProof/>
                <w:sz w:val="24"/>
                <w:lang w:val="pl-PL"/>
              </w:rPr>
              <w:t>tnościach niż inne. Przykładem może tu być sektor budowlany. Główną przyczyną opóźnień</w:t>
            </w:r>
            <w:r w:rsidR="0051299F" w:rsidRPr="0051299F">
              <w:rPr>
                <w:rFonts w:ascii="Times New Roman" w:hAnsi="Times New Roman"/>
                <w:noProof/>
                <w:sz w:val="24"/>
                <w:lang w:val="pl-PL"/>
              </w:rPr>
              <w:t xml:space="preserve"> w</w:t>
            </w:r>
            <w:r w:rsidR="0051299F">
              <w:rPr>
                <w:rFonts w:ascii="Times New Roman" w:hAnsi="Times New Roman"/>
                <w:noProof/>
                <w:sz w:val="24"/>
                <w:lang w:val="pl-PL"/>
              </w:rPr>
              <w:t> </w:t>
            </w:r>
            <w:r w:rsidR="0051299F" w:rsidRPr="0051299F">
              <w:rPr>
                <w:rFonts w:ascii="Times New Roman" w:hAnsi="Times New Roman"/>
                <w:noProof/>
                <w:sz w:val="24"/>
                <w:lang w:val="pl-PL"/>
              </w:rPr>
              <w:t>pła</w:t>
            </w:r>
            <w:r w:rsidRPr="0051299F">
              <w:rPr>
                <w:rFonts w:ascii="Times New Roman" w:hAnsi="Times New Roman"/>
                <w:noProof/>
                <w:sz w:val="24"/>
                <w:lang w:val="pl-PL"/>
              </w:rPr>
              <w:t>tnościach jest brak równowagi</w:t>
            </w:r>
            <w:r w:rsidR="0051299F" w:rsidRPr="0051299F">
              <w:rPr>
                <w:rFonts w:ascii="Times New Roman" w:hAnsi="Times New Roman"/>
                <w:noProof/>
                <w:sz w:val="24"/>
                <w:lang w:val="pl-PL"/>
              </w:rPr>
              <w:t xml:space="preserve"> w</w:t>
            </w:r>
            <w:r w:rsidR="0051299F">
              <w:rPr>
                <w:rFonts w:ascii="Times New Roman" w:hAnsi="Times New Roman"/>
                <w:noProof/>
                <w:sz w:val="24"/>
                <w:lang w:val="pl-PL"/>
              </w:rPr>
              <w:t> </w:t>
            </w:r>
            <w:r w:rsidR="0051299F" w:rsidRPr="0051299F">
              <w:rPr>
                <w:rFonts w:ascii="Times New Roman" w:hAnsi="Times New Roman"/>
                <w:noProof/>
                <w:sz w:val="24"/>
                <w:lang w:val="pl-PL"/>
              </w:rPr>
              <w:t>sil</w:t>
            </w:r>
            <w:r w:rsidRPr="0051299F">
              <w:rPr>
                <w:rFonts w:ascii="Times New Roman" w:hAnsi="Times New Roman"/>
                <w:noProof/>
                <w:sz w:val="24"/>
                <w:lang w:val="pl-PL"/>
              </w:rPr>
              <w:t>e przetargowej między małym dostawcą</w:t>
            </w:r>
            <w:r w:rsidR="0051299F" w:rsidRPr="0051299F">
              <w:rPr>
                <w:rFonts w:ascii="Times New Roman" w:hAnsi="Times New Roman"/>
                <w:noProof/>
                <w:sz w:val="24"/>
                <w:lang w:val="pl-PL"/>
              </w:rPr>
              <w:t xml:space="preserve"> a</w:t>
            </w:r>
            <w:r w:rsidR="0051299F">
              <w:rPr>
                <w:rFonts w:ascii="Times New Roman" w:hAnsi="Times New Roman"/>
                <w:noProof/>
                <w:sz w:val="24"/>
                <w:lang w:val="pl-PL"/>
              </w:rPr>
              <w:t> </w:t>
            </w:r>
            <w:r w:rsidR="0051299F" w:rsidRPr="0051299F">
              <w:rPr>
                <w:rFonts w:ascii="Times New Roman" w:hAnsi="Times New Roman"/>
                <w:noProof/>
                <w:sz w:val="24"/>
                <w:lang w:val="pl-PL"/>
              </w:rPr>
              <w:t>duż</w:t>
            </w:r>
            <w:r w:rsidRPr="0051299F">
              <w:rPr>
                <w:rFonts w:ascii="Times New Roman" w:hAnsi="Times New Roman"/>
                <w:noProof/>
                <w:sz w:val="24"/>
                <w:lang w:val="pl-PL"/>
              </w:rPr>
              <w:t>ym klientem, ponieważ opóźnienia</w:t>
            </w:r>
            <w:r w:rsidR="0051299F" w:rsidRPr="0051299F">
              <w:rPr>
                <w:rFonts w:ascii="Times New Roman" w:hAnsi="Times New Roman"/>
                <w:noProof/>
                <w:sz w:val="24"/>
                <w:lang w:val="pl-PL"/>
              </w:rPr>
              <w:t xml:space="preserve"> w</w:t>
            </w:r>
            <w:r w:rsidR="0051299F">
              <w:rPr>
                <w:rFonts w:ascii="Times New Roman" w:hAnsi="Times New Roman"/>
                <w:noProof/>
                <w:sz w:val="24"/>
                <w:lang w:val="pl-PL"/>
              </w:rPr>
              <w:t> </w:t>
            </w:r>
            <w:r w:rsidR="0051299F" w:rsidRPr="0051299F">
              <w:rPr>
                <w:rFonts w:ascii="Times New Roman" w:hAnsi="Times New Roman"/>
                <w:noProof/>
                <w:sz w:val="24"/>
                <w:lang w:val="pl-PL"/>
              </w:rPr>
              <w:t>pła</w:t>
            </w:r>
            <w:r w:rsidRPr="0051299F">
              <w:rPr>
                <w:rFonts w:ascii="Times New Roman" w:hAnsi="Times New Roman"/>
                <w:noProof/>
                <w:sz w:val="24"/>
                <w:lang w:val="pl-PL"/>
              </w:rPr>
              <w:t>tnościach stanowią atrakcyjną dla dłużnika formę finansowania bez ponoszenia kosztów. Czynniki powodujące ten problem obejmują niewystarczające środki zapobiegawcze, nieodpowiednie środki odstraszające oraz niewystarczające mechanizmy egzekwowania prawa</w:t>
            </w:r>
            <w:r w:rsidR="0051299F" w:rsidRPr="0051299F">
              <w:rPr>
                <w:rFonts w:ascii="Times New Roman" w:hAnsi="Times New Roman"/>
                <w:noProof/>
                <w:sz w:val="24"/>
                <w:lang w:val="pl-PL"/>
              </w:rPr>
              <w:t xml:space="preserve"> i</w:t>
            </w:r>
            <w:r w:rsidR="0051299F">
              <w:rPr>
                <w:rFonts w:ascii="Times New Roman" w:hAnsi="Times New Roman"/>
                <w:noProof/>
                <w:sz w:val="24"/>
                <w:lang w:val="pl-PL"/>
              </w:rPr>
              <w:t> </w:t>
            </w:r>
            <w:r w:rsidR="0051299F" w:rsidRPr="0051299F">
              <w:rPr>
                <w:rFonts w:ascii="Times New Roman" w:hAnsi="Times New Roman"/>
                <w:noProof/>
                <w:sz w:val="24"/>
                <w:lang w:val="pl-PL"/>
              </w:rPr>
              <w:t>doc</w:t>
            </w:r>
            <w:r w:rsidRPr="0051299F">
              <w:rPr>
                <w:rFonts w:ascii="Times New Roman" w:hAnsi="Times New Roman"/>
                <w:noProof/>
                <w:sz w:val="24"/>
                <w:lang w:val="pl-PL"/>
              </w:rPr>
              <w:t xml:space="preserve">hodzenia roszczeń. </w:t>
            </w:r>
          </w:p>
        </w:tc>
      </w:tr>
      <w:tr w:rsidR="007553ED" w:rsidRPr="0051299F" w14:paraId="3555517F" w14:textId="77777777" w:rsidTr="0068508E">
        <w:trPr>
          <w:trHeight w:val="323"/>
        </w:trPr>
        <w:tc>
          <w:tcPr>
            <w:tcW w:w="9450" w:type="dxa"/>
            <w:shd w:val="clear" w:color="auto" w:fill="auto"/>
          </w:tcPr>
          <w:p w14:paraId="1B62B8B9" w14:textId="77777777" w:rsidR="007553ED" w:rsidRPr="0051299F" w:rsidRDefault="007553ED" w:rsidP="00546934">
            <w:pPr>
              <w:rPr>
                <w:rFonts w:ascii="Times New Roman" w:eastAsia="Times New Roman" w:hAnsi="Times New Roman" w:cs="Times New Roman"/>
                <w:b/>
                <w:noProof/>
                <w:sz w:val="24"/>
                <w:lang w:val="pl-PL"/>
              </w:rPr>
            </w:pPr>
            <w:r w:rsidRPr="0051299F">
              <w:rPr>
                <w:rFonts w:ascii="Times New Roman" w:hAnsi="Times New Roman"/>
                <w:b/>
                <w:noProof/>
                <w:sz w:val="24"/>
                <w:lang w:val="pl-PL"/>
              </w:rPr>
              <w:t>Co należy osiągnąć?</w:t>
            </w:r>
          </w:p>
        </w:tc>
      </w:tr>
      <w:tr w:rsidR="007553ED" w:rsidRPr="0051299F" w14:paraId="780CAC72" w14:textId="77777777" w:rsidTr="007750B5">
        <w:trPr>
          <w:trHeight w:val="2765"/>
        </w:trPr>
        <w:tc>
          <w:tcPr>
            <w:tcW w:w="9450" w:type="dxa"/>
            <w:shd w:val="clear" w:color="auto" w:fill="auto"/>
          </w:tcPr>
          <w:p w14:paraId="25244922" w14:textId="0D885765" w:rsidR="00A16F7A" w:rsidRPr="0051299F" w:rsidRDefault="001F4BD5" w:rsidP="00546934">
            <w:pPr>
              <w:jc w:val="both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lang w:val="pl-PL"/>
              </w:rPr>
            </w:pPr>
            <w:r w:rsidRPr="0051299F">
              <w:rPr>
                <w:rFonts w:ascii="Times New Roman" w:hAnsi="Times New Roman"/>
                <w:noProof/>
                <w:color w:val="000000" w:themeColor="text1"/>
                <w:sz w:val="24"/>
                <w:lang w:val="pl-PL"/>
              </w:rPr>
              <w:t xml:space="preserve">Cele ogólne: </w:t>
            </w:r>
          </w:p>
          <w:p w14:paraId="7C166894" w14:textId="4EE77EBC" w:rsidR="00A16F7A" w:rsidRPr="0051299F" w:rsidRDefault="00C756E5" w:rsidP="00A7146F">
            <w:pPr>
              <w:pStyle w:val="ListParagraph"/>
              <w:numPr>
                <w:ilvl w:val="0"/>
                <w:numId w:val="9"/>
              </w:numPr>
              <w:ind w:left="426"/>
              <w:jc w:val="both"/>
              <w:rPr>
                <w:rFonts w:ascii="Times New Roman" w:hAnsi="Times New Roman" w:cs="Times New Roman"/>
                <w:noProof/>
                <w:sz w:val="24"/>
                <w:lang w:val="pl-PL"/>
              </w:rPr>
            </w:pPr>
            <w:r w:rsidRPr="0051299F">
              <w:rPr>
                <w:rFonts w:ascii="Times New Roman" w:hAnsi="Times New Roman"/>
                <w:noProof/>
                <w:sz w:val="24"/>
                <w:lang w:val="pl-PL"/>
              </w:rPr>
              <w:t>wzmocnienie konkurencyjności</w:t>
            </w:r>
            <w:r w:rsidR="0051299F" w:rsidRPr="0051299F">
              <w:rPr>
                <w:rFonts w:ascii="Times New Roman" w:hAnsi="Times New Roman"/>
                <w:noProof/>
                <w:sz w:val="24"/>
                <w:lang w:val="pl-PL"/>
              </w:rPr>
              <w:t xml:space="preserve"> i</w:t>
            </w:r>
            <w:r w:rsidR="0051299F">
              <w:rPr>
                <w:rFonts w:ascii="Times New Roman" w:hAnsi="Times New Roman"/>
                <w:noProof/>
                <w:sz w:val="24"/>
                <w:lang w:val="pl-PL"/>
              </w:rPr>
              <w:t> </w:t>
            </w:r>
            <w:r w:rsidR="0051299F" w:rsidRPr="0051299F">
              <w:rPr>
                <w:rFonts w:ascii="Times New Roman" w:hAnsi="Times New Roman"/>
                <w:noProof/>
                <w:sz w:val="24"/>
                <w:lang w:val="pl-PL"/>
              </w:rPr>
              <w:t>wzr</w:t>
            </w:r>
            <w:r w:rsidRPr="0051299F">
              <w:rPr>
                <w:rFonts w:ascii="Times New Roman" w:hAnsi="Times New Roman"/>
                <w:noProof/>
                <w:sz w:val="24"/>
                <w:lang w:val="pl-PL"/>
              </w:rPr>
              <w:t>ostu przedsiębiorstw dzięki poprawie dyscypliny płatniczej organów publicznych, dużych przedsiębiorstw oraz MŚP;</w:t>
            </w:r>
          </w:p>
          <w:p w14:paraId="02B6DDB2" w14:textId="252EC0C3" w:rsidR="00A16F7A" w:rsidRPr="0051299F" w:rsidRDefault="00C756E5" w:rsidP="00A7146F">
            <w:pPr>
              <w:pStyle w:val="ListParagraph"/>
              <w:numPr>
                <w:ilvl w:val="0"/>
                <w:numId w:val="9"/>
              </w:numPr>
              <w:ind w:left="426"/>
              <w:jc w:val="both"/>
              <w:rPr>
                <w:rFonts w:ascii="Times New Roman" w:hAnsi="Times New Roman" w:cs="Times New Roman"/>
                <w:noProof/>
                <w:sz w:val="24"/>
                <w:lang w:val="pl-PL"/>
              </w:rPr>
            </w:pPr>
            <w:r w:rsidRPr="0051299F">
              <w:rPr>
                <w:rFonts w:ascii="Times New Roman" w:hAnsi="Times New Roman"/>
                <w:noProof/>
                <w:sz w:val="24"/>
                <w:lang w:val="pl-PL"/>
              </w:rPr>
              <w:t>ochrona MŚP przed negatywnymi skutkami opóźnień</w:t>
            </w:r>
            <w:r w:rsidR="0051299F" w:rsidRPr="0051299F">
              <w:rPr>
                <w:rFonts w:ascii="Times New Roman" w:hAnsi="Times New Roman"/>
                <w:noProof/>
                <w:sz w:val="24"/>
                <w:lang w:val="pl-PL"/>
              </w:rPr>
              <w:t xml:space="preserve"> w</w:t>
            </w:r>
            <w:r w:rsidR="0051299F">
              <w:rPr>
                <w:rFonts w:ascii="Times New Roman" w:hAnsi="Times New Roman"/>
                <w:noProof/>
                <w:sz w:val="24"/>
                <w:lang w:val="pl-PL"/>
              </w:rPr>
              <w:t> </w:t>
            </w:r>
            <w:r w:rsidR="0051299F" w:rsidRPr="0051299F">
              <w:rPr>
                <w:rFonts w:ascii="Times New Roman" w:hAnsi="Times New Roman"/>
                <w:noProof/>
                <w:sz w:val="24"/>
                <w:lang w:val="pl-PL"/>
              </w:rPr>
              <w:t>pła</w:t>
            </w:r>
            <w:r w:rsidRPr="0051299F">
              <w:rPr>
                <w:rFonts w:ascii="Times New Roman" w:hAnsi="Times New Roman"/>
                <w:noProof/>
                <w:sz w:val="24"/>
                <w:lang w:val="pl-PL"/>
              </w:rPr>
              <w:t>tnościach dzięki ustanowieniu przepisów promujących uczciwe warunki płatności</w:t>
            </w:r>
            <w:r w:rsidR="0051299F" w:rsidRPr="0051299F">
              <w:rPr>
                <w:rFonts w:ascii="Times New Roman" w:hAnsi="Times New Roman"/>
                <w:noProof/>
                <w:sz w:val="24"/>
                <w:lang w:val="pl-PL"/>
              </w:rPr>
              <w:t xml:space="preserve"> i</w:t>
            </w:r>
            <w:r w:rsidR="0051299F">
              <w:rPr>
                <w:rFonts w:ascii="Times New Roman" w:hAnsi="Times New Roman"/>
                <w:noProof/>
                <w:sz w:val="24"/>
                <w:lang w:val="pl-PL"/>
              </w:rPr>
              <w:t> </w:t>
            </w:r>
            <w:r w:rsidR="0051299F" w:rsidRPr="0051299F">
              <w:rPr>
                <w:rFonts w:ascii="Times New Roman" w:hAnsi="Times New Roman"/>
                <w:noProof/>
                <w:sz w:val="24"/>
                <w:lang w:val="pl-PL"/>
              </w:rPr>
              <w:t>ter</w:t>
            </w:r>
            <w:r w:rsidRPr="0051299F">
              <w:rPr>
                <w:rFonts w:ascii="Times New Roman" w:hAnsi="Times New Roman"/>
                <w:noProof/>
                <w:sz w:val="24"/>
                <w:lang w:val="pl-PL"/>
              </w:rPr>
              <w:t>minowe płatności</w:t>
            </w:r>
            <w:r w:rsidR="0051299F" w:rsidRPr="0051299F">
              <w:rPr>
                <w:rFonts w:ascii="Times New Roman" w:hAnsi="Times New Roman"/>
                <w:noProof/>
                <w:sz w:val="24"/>
                <w:lang w:val="pl-PL"/>
              </w:rPr>
              <w:t xml:space="preserve"> w</w:t>
            </w:r>
            <w:r w:rsidR="0051299F">
              <w:rPr>
                <w:rFonts w:ascii="Times New Roman" w:hAnsi="Times New Roman"/>
                <w:noProof/>
                <w:sz w:val="24"/>
                <w:lang w:val="pl-PL"/>
              </w:rPr>
              <w:t> </w:t>
            </w:r>
            <w:r w:rsidR="0051299F" w:rsidRPr="0051299F">
              <w:rPr>
                <w:rFonts w:ascii="Times New Roman" w:hAnsi="Times New Roman"/>
                <w:noProof/>
                <w:sz w:val="24"/>
                <w:lang w:val="pl-PL"/>
              </w:rPr>
              <w:t>tra</w:t>
            </w:r>
            <w:r w:rsidRPr="0051299F">
              <w:rPr>
                <w:rFonts w:ascii="Times New Roman" w:hAnsi="Times New Roman"/>
                <w:noProof/>
                <w:sz w:val="24"/>
                <w:lang w:val="pl-PL"/>
              </w:rPr>
              <w:t>nsakcjach handlowych.</w:t>
            </w:r>
          </w:p>
          <w:p w14:paraId="3C63A6BE" w14:textId="7DED7F3A" w:rsidR="007553ED" w:rsidRPr="0051299F" w:rsidRDefault="00E437B9" w:rsidP="00546934">
            <w:pPr>
              <w:jc w:val="both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lang w:val="pl-PL"/>
              </w:rPr>
            </w:pPr>
            <w:r w:rsidRPr="0051299F">
              <w:rPr>
                <w:rFonts w:ascii="Times New Roman" w:hAnsi="Times New Roman"/>
                <w:noProof/>
                <w:color w:val="000000" w:themeColor="text1"/>
                <w:sz w:val="24"/>
                <w:lang w:val="pl-PL"/>
              </w:rPr>
              <w:t xml:space="preserve">Cele szczegółowe: </w:t>
            </w:r>
          </w:p>
          <w:p w14:paraId="56009FE4" w14:textId="3BAC76B6" w:rsidR="000646C1" w:rsidRPr="0051299F" w:rsidRDefault="00C756E5" w:rsidP="00A7146F">
            <w:pPr>
              <w:pStyle w:val="ListParagraph"/>
              <w:numPr>
                <w:ilvl w:val="0"/>
                <w:numId w:val="8"/>
              </w:numPr>
              <w:ind w:left="426"/>
              <w:jc w:val="both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lang w:val="pl-PL"/>
              </w:rPr>
            </w:pPr>
            <w:bookmarkStart w:id="2" w:name="_Ref130220085"/>
            <w:bookmarkStart w:id="3" w:name="_Toc130920201"/>
            <w:r w:rsidRPr="0051299F">
              <w:rPr>
                <w:rFonts w:ascii="Times New Roman" w:hAnsi="Times New Roman"/>
                <w:noProof/>
                <w:sz w:val="24"/>
                <w:lang w:val="pl-PL"/>
              </w:rPr>
              <w:t>zapobieganie opóźnieniom</w:t>
            </w:r>
            <w:r w:rsidR="0051299F" w:rsidRPr="0051299F">
              <w:rPr>
                <w:rFonts w:ascii="Times New Roman" w:hAnsi="Times New Roman"/>
                <w:noProof/>
                <w:sz w:val="24"/>
                <w:lang w:val="pl-PL"/>
              </w:rPr>
              <w:t xml:space="preserve"> w</w:t>
            </w:r>
            <w:r w:rsidR="0051299F">
              <w:rPr>
                <w:rFonts w:ascii="Times New Roman" w:hAnsi="Times New Roman"/>
                <w:noProof/>
                <w:sz w:val="24"/>
                <w:lang w:val="pl-PL"/>
              </w:rPr>
              <w:t> </w:t>
            </w:r>
            <w:r w:rsidR="0051299F" w:rsidRPr="0051299F">
              <w:rPr>
                <w:rFonts w:ascii="Times New Roman" w:hAnsi="Times New Roman"/>
                <w:noProof/>
                <w:sz w:val="24"/>
                <w:lang w:val="pl-PL"/>
              </w:rPr>
              <w:t>pła</w:t>
            </w:r>
            <w:r w:rsidRPr="0051299F">
              <w:rPr>
                <w:rFonts w:ascii="Times New Roman" w:hAnsi="Times New Roman"/>
                <w:noProof/>
                <w:sz w:val="24"/>
                <w:lang w:val="pl-PL"/>
              </w:rPr>
              <w:t>tnościach</w:t>
            </w:r>
            <w:bookmarkEnd w:id="2"/>
            <w:bookmarkEnd w:id="3"/>
            <w:r w:rsidRPr="0051299F">
              <w:rPr>
                <w:rFonts w:ascii="Times New Roman" w:hAnsi="Times New Roman"/>
                <w:noProof/>
                <w:sz w:val="24"/>
                <w:lang w:val="pl-PL"/>
              </w:rPr>
              <w:t>;</w:t>
            </w:r>
          </w:p>
          <w:p w14:paraId="7102C8A3" w14:textId="638882F3" w:rsidR="000646C1" w:rsidRPr="0051299F" w:rsidRDefault="00C756E5" w:rsidP="00A7146F">
            <w:pPr>
              <w:pStyle w:val="ListParagraph"/>
              <w:numPr>
                <w:ilvl w:val="0"/>
                <w:numId w:val="8"/>
              </w:numPr>
              <w:ind w:left="426"/>
              <w:jc w:val="both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lang w:val="pl-PL"/>
              </w:rPr>
            </w:pPr>
            <w:r w:rsidRPr="0051299F">
              <w:rPr>
                <w:rFonts w:ascii="Times New Roman" w:hAnsi="Times New Roman"/>
                <w:noProof/>
                <w:sz w:val="24"/>
                <w:lang w:val="pl-PL"/>
              </w:rPr>
              <w:t xml:space="preserve">ułatwienie terminowych płatności; </w:t>
            </w:r>
          </w:p>
          <w:p w14:paraId="0794F1CB" w14:textId="491EB5CC" w:rsidR="006A6B87" w:rsidRPr="0051299F" w:rsidRDefault="00C756E5" w:rsidP="007750B5">
            <w:pPr>
              <w:pStyle w:val="ListParagraph"/>
              <w:numPr>
                <w:ilvl w:val="0"/>
                <w:numId w:val="8"/>
              </w:numPr>
              <w:ind w:left="426"/>
              <w:jc w:val="both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lang w:val="pl-PL"/>
              </w:rPr>
            </w:pPr>
            <w:bookmarkStart w:id="4" w:name="_Toc130920203"/>
            <w:r w:rsidRPr="0051299F">
              <w:rPr>
                <w:rFonts w:ascii="Times New Roman" w:hAnsi="Times New Roman"/>
                <w:noProof/>
                <w:sz w:val="24"/>
                <w:lang w:val="pl-PL"/>
              </w:rPr>
              <w:t>wzmocnienie pozycji przedsiębiorstw</w:t>
            </w:r>
            <w:r w:rsidR="0051299F" w:rsidRPr="0051299F">
              <w:rPr>
                <w:rFonts w:ascii="Times New Roman" w:hAnsi="Times New Roman"/>
                <w:noProof/>
                <w:sz w:val="24"/>
                <w:lang w:val="pl-PL"/>
              </w:rPr>
              <w:t xml:space="preserve"> i</w:t>
            </w:r>
            <w:r w:rsidR="0051299F">
              <w:rPr>
                <w:rFonts w:ascii="Times New Roman" w:hAnsi="Times New Roman"/>
                <w:noProof/>
                <w:sz w:val="24"/>
                <w:lang w:val="pl-PL"/>
              </w:rPr>
              <w:t> </w:t>
            </w:r>
            <w:r w:rsidR="0051299F" w:rsidRPr="0051299F">
              <w:rPr>
                <w:rFonts w:ascii="Times New Roman" w:hAnsi="Times New Roman"/>
                <w:noProof/>
                <w:sz w:val="24"/>
                <w:lang w:val="pl-PL"/>
              </w:rPr>
              <w:t>zap</w:t>
            </w:r>
            <w:r w:rsidRPr="0051299F">
              <w:rPr>
                <w:rFonts w:ascii="Times New Roman" w:hAnsi="Times New Roman"/>
                <w:noProof/>
                <w:sz w:val="24"/>
                <w:lang w:val="pl-PL"/>
              </w:rPr>
              <w:t>ewnienie bardziej uczciwych warunków płatności</w:t>
            </w:r>
            <w:r w:rsidR="0051299F" w:rsidRPr="0051299F">
              <w:rPr>
                <w:rFonts w:ascii="Times New Roman" w:hAnsi="Times New Roman"/>
                <w:noProof/>
                <w:sz w:val="24"/>
                <w:lang w:val="pl-PL"/>
              </w:rPr>
              <w:t xml:space="preserve"> w</w:t>
            </w:r>
            <w:r w:rsidR="0051299F">
              <w:rPr>
                <w:rFonts w:ascii="Times New Roman" w:hAnsi="Times New Roman"/>
                <w:noProof/>
                <w:sz w:val="24"/>
                <w:lang w:val="pl-PL"/>
              </w:rPr>
              <w:t> </w:t>
            </w:r>
            <w:r w:rsidR="0051299F" w:rsidRPr="0051299F">
              <w:rPr>
                <w:rFonts w:ascii="Times New Roman" w:hAnsi="Times New Roman"/>
                <w:noProof/>
                <w:sz w:val="24"/>
                <w:lang w:val="pl-PL"/>
              </w:rPr>
              <w:t>tra</w:t>
            </w:r>
            <w:r w:rsidRPr="0051299F">
              <w:rPr>
                <w:rFonts w:ascii="Times New Roman" w:hAnsi="Times New Roman"/>
                <w:noProof/>
                <w:sz w:val="24"/>
                <w:lang w:val="pl-PL"/>
              </w:rPr>
              <w:t>nsakcjach handlowych</w:t>
            </w:r>
            <w:bookmarkEnd w:id="4"/>
            <w:r w:rsidRPr="0051299F">
              <w:rPr>
                <w:rFonts w:ascii="Times New Roman" w:hAnsi="Times New Roman"/>
                <w:noProof/>
                <w:sz w:val="24"/>
                <w:lang w:val="pl-PL"/>
              </w:rPr>
              <w:t>.</w:t>
            </w:r>
          </w:p>
        </w:tc>
      </w:tr>
      <w:tr w:rsidR="007553ED" w:rsidRPr="0051299F" w14:paraId="59481860" w14:textId="77777777" w:rsidTr="0068508E">
        <w:trPr>
          <w:trHeight w:val="323"/>
        </w:trPr>
        <w:tc>
          <w:tcPr>
            <w:tcW w:w="9450" w:type="dxa"/>
            <w:shd w:val="clear" w:color="auto" w:fill="auto"/>
          </w:tcPr>
          <w:p w14:paraId="194077FE" w14:textId="77777777" w:rsidR="007553ED" w:rsidRPr="0051299F" w:rsidRDefault="007553ED" w:rsidP="00546934">
            <w:pPr>
              <w:rPr>
                <w:rFonts w:ascii="Times New Roman" w:eastAsia="Times New Roman" w:hAnsi="Times New Roman" w:cs="Times New Roman"/>
                <w:b/>
                <w:noProof/>
                <w:sz w:val="24"/>
                <w:lang w:val="pl-PL"/>
              </w:rPr>
            </w:pPr>
            <w:r w:rsidRPr="0051299F">
              <w:rPr>
                <w:rFonts w:ascii="Times New Roman" w:hAnsi="Times New Roman"/>
                <w:b/>
                <w:noProof/>
                <w:sz w:val="24"/>
                <w:lang w:val="pl-PL"/>
              </w:rPr>
              <w:t>Na czym polega wartość dodana podjęcia działań na poziomie UE (zasada pomocniczości)?</w:t>
            </w:r>
          </w:p>
        </w:tc>
      </w:tr>
      <w:tr w:rsidR="007553ED" w:rsidRPr="0051299F" w14:paraId="39C0C83B" w14:textId="77777777" w:rsidTr="0054438F">
        <w:trPr>
          <w:trHeight w:val="567"/>
        </w:trPr>
        <w:tc>
          <w:tcPr>
            <w:tcW w:w="9450" w:type="dxa"/>
            <w:shd w:val="clear" w:color="auto" w:fill="auto"/>
          </w:tcPr>
          <w:p w14:paraId="0B2D6397" w14:textId="30E57729" w:rsidR="00E50368" w:rsidRPr="0051299F" w:rsidRDefault="006B73ED" w:rsidP="00C80FD0">
            <w:pPr>
              <w:jc w:val="both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lang w:val="pl-PL"/>
              </w:rPr>
            </w:pPr>
            <w:r w:rsidRPr="0051299F">
              <w:rPr>
                <w:rFonts w:ascii="Times New Roman" w:hAnsi="Times New Roman"/>
                <w:noProof/>
                <w:color w:val="000000" w:themeColor="text1"/>
                <w:sz w:val="24"/>
                <w:lang w:val="pl-PL"/>
              </w:rPr>
              <w:t>UE zajmuje się problemem opóźnień</w:t>
            </w:r>
            <w:r w:rsidR="0051299F" w:rsidRPr="0051299F">
              <w:rPr>
                <w:rFonts w:ascii="Times New Roman" w:hAnsi="Times New Roman"/>
                <w:noProof/>
                <w:color w:val="000000" w:themeColor="text1"/>
                <w:sz w:val="24"/>
                <w:lang w:val="pl-PL"/>
              </w:rPr>
              <w:t xml:space="preserve"> w</w:t>
            </w:r>
            <w:r w:rsidR="0051299F">
              <w:rPr>
                <w:rFonts w:ascii="Times New Roman" w:hAnsi="Times New Roman"/>
                <w:noProof/>
                <w:color w:val="000000" w:themeColor="text1"/>
                <w:sz w:val="24"/>
                <w:lang w:val="pl-PL"/>
              </w:rPr>
              <w:t> </w:t>
            </w:r>
            <w:r w:rsidR="0051299F" w:rsidRPr="0051299F">
              <w:rPr>
                <w:rFonts w:ascii="Times New Roman" w:hAnsi="Times New Roman"/>
                <w:noProof/>
                <w:color w:val="000000" w:themeColor="text1"/>
                <w:sz w:val="24"/>
                <w:lang w:val="pl-PL"/>
              </w:rPr>
              <w:t>pła</w:t>
            </w:r>
            <w:r w:rsidRPr="0051299F">
              <w:rPr>
                <w:rFonts w:ascii="Times New Roman" w:hAnsi="Times New Roman"/>
                <w:noProof/>
                <w:color w:val="000000" w:themeColor="text1"/>
                <w:sz w:val="24"/>
                <w:lang w:val="pl-PL"/>
              </w:rPr>
              <w:t>tnościach</w:t>
            </w:r>
            <w:r w:rsidR="0051299F" w:rsidRPr="0051299F">
              <w:rPr>
                <w:rFonts w:ascii="Times New Roman" w:hAnsi="Times New Roman"/>
                <w:noProof/>
                <w:color w:val="000000" w:themeColor="text1"/>
                <w:sz w:val="24"/>
                <w:lang w:val="pl-PL"/>
              </w:rPr>
              <w:t xml:space="preserve"> w</w:t>
            </w:r>
            <w:r w:rsidR="0051299F">
              <w:rPr>
                <w:rFonts w:ascii="Times New Roman" w:hAnsi="Times New Roman"/>
                <w:noProof/>
                <w:color w:val="000000" w:themeColor="text1"/>
                <w:sz w:val="24"/>
                <w:lang w:val="pl-PL"/>
              </w:rPr>
              <w:t> </w:t>
            </w:r>
            <w:r w:rsidR="0051299F" w:rsidRPr="0051299F">
              <w:rPr>
                <w:rFonts w:ascii="Times New Roman" w:hAnsi="Times New Roman"/>
                <w:noProof/>
                <w:color w:val="000000" w:themeColor="text1"/>
                <w:sz w:val="24"/>
                <w:lang w:val="pl-PL"/>
              </w:rPr>
              <w:t>tra</w:t>
            </w:r>
            <w:r w:rsidRPr="0051299F">
              <w:rPr>
                <w:rFonts w:ascii="Times New Roman" w:hAnsi="Times New Roman"/>
                <w:noProof/>
                <w:color w:val="000000" w:themeColor="text1"/>
                <w:sz w:val="24"/>
                <w:lang w:val="pl-PL"/>
              </w:rPr>
              <w:t>nsakcjach handlowych już od</w:t>
            </w:r>
            <w:r w:rsidR="0051299F" w:rsidRPr="0051299F">
              <w:rPr>
                <w:rFonts w:ascii="Times New Roman" w:hAnsi="Times New Roman"/>
                <w:noProof/>
                <w:color w:val="000000" w:themeColor="text1"/>
                <w:sz w:val="24"/>
                <w:lang w:val="pl-PL"/>
              </w:rPr>
              <w:t> </w:t>
            </w:r>
            <w:r w:rsidRPr="0051299F">
              <w:rPr>
                <w:rFonts w:ascii="Times New Roman" w:hAnsi="Times New Roman"/>
                <w:noProof/>
                <w:color w:val="000000" w:themeColor="text1"/>
                <w:sz w:val="24"/>
                <w:lang w:val="pl-PL"/>
              </w:rPr>
              <w:t>30 lat. Niniejsza inicjatywa zakłada zmianę obowiązujących przepisów UE (dyrektywa 2011/7/UE)</w:t>
            </w:r>
            <w:r w:rsidR="0051299F" w:rsidRPr="0051299F">
              <w:rPr>
                <w:rFonts w:ascii="Times New Roman" w:hAnsi="Times New Roman"/>
                <w:noProof/>
                <w:color w:val="000000" w:themeColor="text1"/>
                <w:sz w:val="24"/>
                <w:lang w:val="pl-PL"/>
              </w:rPr>
              <w:t xml:space="preserve"> i</w:t>
            </w:r>
            <w:r w:rsidR="0051299F">
              <w:rPr>
                <w:rFonts w:ascii="Times New Roman" w:hAnsi="Times New Roman"/>
                <w:noProof/>
                <w:color w:val="000000" w:themeColor="text1"/>
                <w:sz w:val="24"/>
                <w:lang w:val="pl-PL"/>
              </w:rPr>
              <w:t> </w:t>
            </w:r>
            <w:r w:rsidR="0051299F" w:rsidRPr="0051299F">
              <w:rPr>
                <w:rFonts w:ascii="Times New Roman" w:hAnsi="Times New Roman"/>
                <w:noProof/>
                <w:color w:val="000000" w:themeColor="text1"/>
                <w:sz w:val="24"/>
                <w:lang w:val="pl-PL"/>
              </w:rPr>
              <w:t>dla</w:t>
            </w:r>
            <w:r w:rsidRPr="0051299F">
              <w:rPr>
                <w:rFonts w:ascii="Times New Roman" w:hAnsi="Times New Roman"/>
                <w:noProof/>
                <w:color w:val="000000" w:themeColor="text1"/>
                <w:sz w:val="24"/>
                <w:lang w:val="pl-PL"/>
              </w:rPr>
              <w:t>tego może być realizowana wyłącznie na szczeblu unijnym. Niektóre państwa członkowskie UE przyjęły bardziej rygorystyczne przepisy niż te określone</w:t>
            </w:r>
            <w:r w:rsidR="0051299F" w:rsidRPr="0051299F">
              <w:rPr>
                <w:rFonts w:ascii="Times New Roman" w:hAnsi="Times New Roman"/>
                <w:noProof/>
                <w:color w:val="000000" w:themeColor="text1"/>
                <w:sz w:val="24"/>
                <w:lang w:val="pl-PL"/>
              </w:rPr>
              <w:t xml:space="preserve"> w</w:t>
            </w:r>
            <w:r w:rsidR="0051299F">
              <w:rPr>
                <w:rFonts w:ascii="Times New Roman" w:hAnsi="Times New Roman"/>
                <w:noProof/>
                <w:color w:val="000000" w:themeColor="text1"/>
                <w:sz w:val="24"/>
                <w:lang w:val="pl-PL"/>
              </w:rPr>
              <w:t> </w:t>
            </w:r>
            <w:r w:rsidR="0051299F" w:rsidRPr="0051299F">
              <w:rPr>
                <w:rFonts w:ascii="Times New Roman" w:hAnsi="Times New Roman"/>
                <w:noProof/>
                <w:color w:val="000000" w:themeColor="text1"/>
                <w:sz w:val="24"/>
                <w:lang w:val="pl-PL"/>
              </w:rPr>
              <w:t>dyr</w:t>
            </w:r>
            <w:r w:rsidRPr="0051299F">
              <w:rPr>
                <w:rFonts w:ascii="Times New Roman" w:hAnsi="Times New Roman"/>
                <w:noProof/>
                <w:color w:val="000000" w:themeColor="text1"/>
                <w:sz w:val="24"/>
                <w:lang w:val="pl-PL"/>
              </w:rPr>
              <w:t>ektywie, na przykład przewidujące wprowadzenie górnego limitu terminów płatności</w:t>
            </w:r>
            <w:r w:rsidR="0051299F" w:rsidRPr="0051299F">
              <w:rPr>
                <w:rFonts w:ascii="Times New Roman" w:hAnsi="Times New Roman"/>
                <w:noProof/>
                <w:color w:val="000000" w:themeColor="text1"/>
                <w:sz w:val="24"/>
                <w:lang w:val="pl-PL"/>
              </w:rPr>
              <w:t xml:space="preserve"> w</w:t>
            </w:r>
            <w:r w:rsidR="0051299F">
              <w:rPr>
                <w:rFonts w:ascii="Times New Roman" w:hAnsi="Times New Roman"/>
                <w:noProof/>
                <w:color w:val="000000" w:themeColor="text1"/>
                <w:sz w:val="24"/>
                <w:lang w:val="pl-PL"/>
              </w:rPr>
              <w:t> </w:t>
            </w:r>
            <w:r w:rsidR="0051299F" w:rsidRPr="0051299F">
              <w:rPr>
                <w:rFonts w:ascii="Times New Roman" w:hAnsi="Times New Roman"/>
                <w:noProof/>
                <w:color w:val="000000" w:themeColor="text1"/>
                <w:sz w:val="24"/>
                <w:lang w:val="pl-PL"/>
              </w:rPr>
              <w:t>tra</w:t>
            </w:r>
            <w:r w:rsidRPr="0051299F">
              <w:rPr>
                <w:rFonts w:ascii="Times New Roman" w:hAnsi="Times New Roman"/>
                <w:noProof/>
                <w:color w:val="000000" w:themeColor="text1"/>
                <w:sz w:val="24"/>
                <w:lang w:val="pl-PL"/>
              </w:rPr>
              <w:t>nsakcjach między przedsiębiorstwami</w:t>
            </w:r>
            <w:r w:rsidR="0051299F" w:rsidRPr="0051299F">
              <w:rPr>
                <w:rFonts w:ascii="Times New Roman" w:hAnsi="Times New Roman"/>
                <w:noProof/>
                <w:color w:val="000000" w:themeColor="text1"/>
                <w:sz w:val="24"/>
                <w:lang w:val="pl-PL"/>
              </w:rPr>
              <w:t xml:space="preserve"> w</w:t>
            </w:r>
            <w:r w:rsidR="0051299F">
              <w:rPr>
                <w:rFonts w:ascii="Times New Roman" w:hAnsi="Times New Roman"/>
                <w:noProof/>
                <w:color w:val="000000" w:themeColor="text1"/>
                <w:sz w:val="24"/>
                <w:lang w:val="pl-PL"/>
              </w:rPr>
              <w:t> </w:t>
            </w:r>
            <w:r w:rsidR="0051299F" w:rsidRPr="0051299F">
              <w:rPr>
                <w:rFonts w:ascii="Times New Roman" w:hAnsi="Times New Roman"/>
                <w:noProof/>
                <w:color w:val="000000" w:themeColor="text1"/>
                <w:sz w:val="24"/>
                <w:lang w:val="pl-PL"/>
              </w:rPr>
              <w:t>prz</w:t>
            </w:r>
            <w:r w:rsidRPr="0051299F">
              <w:rPr>
                <w:rFonts w:ascii="Times New Roman" w:hAnsi="Times New Roman"/>
                <w:noProof/>
                <w:color w:val="000000" w:themeColor="text1"/>
                <w:sz w:val="24"/>
                <w:lang w:val="pl-PL"/>
              </w:rPr>
              <w:t>ypadku, gdy wierzycielem jest MŚP,</w:t>
            </w:r>
            <w:r w:rsidR="0051299F" w:rsidRPr="0051299F">
              <w:rPr>
                <w:rFonts w:ascii="Times New Roman" w:hAnsi="Times New Roman"/>
                <w:noProof/>
                <w:color w:val="000000" w:themeColor="text1"/>
                <w:sz w:val="24"/>
                <w:lang w:val="pl-PL"/>
              </w:rPr>
              <w:t xml:space="preserve"> i</w:t>
            </w:r>
            <w:r w:rsidR="0051299F">
              <w:rPr>
                <w:rFonts w:ascii="Times New Roman" w:hAnsi="Times New Roman"/>
                <w:noProof/>
                <w:color w:val="000000" w:themeColor="text1"/>
                <w:sz w:val="24"/>
                <w:lang w:val="pl-PL"/>
              </w:rPr>
              <w:t> </w:t>
            </w:r>
            <w:r w:rsidR="0051299F" w:rsidRPr="0051299F">
              <w:rPr>
                <w:rFonts w:ascii="Times New Roman" w:hAnsi="Times New Roman"/>
                <w:noProof/>
                <w:color w:val="000000" w:themeColor="text1"/>
                <w:sz w:val="24"/>
                <w:lang w:val="pl-PL"/>
              </w:rPr>
              <w:t>ust</w:t>
            </w:r>
            <w:r w:rsidRPr="0051299F">
              <w:rPr>
                <w:rFonts w:ascii="Times New Roman" w:hAnsi="Times New Roman"/>
                <w:noProof/>
                <w:color w:val="000000" w:themeColor="text1"/>
                <w:sz w:val="24"/>
                <w:lang w:val="pl-PL"/>
              </w:rPr>
              <w:t xml:space="preserve">anawiające organy odpowiedzialne za egzekwowanie prawa. Aby uniknąć nierówności na jednolitym rynku unijnym, konieczne jest zapewnienie jednolitego egzekwowania prawa. </w:t>
            </w:r>
          </w:p>
          <w:p w14:paraId="3DDBF131" w14:textId="4A3FC31F" w:rsidR="007C5BE0" w:rsidRPr="0051299F" w:rsidRDefault="007C5BE0" w:rsidP="00C80FD0">
            <w:pPr>
              <w:jc w:val="both"/>
              <w:rPr>
                <w:rFonts w:ascii="Times New Roman" w:eastAsia="Times New Roman" w:hAnsi="Times New Roman" w:cs="Times New Roman"/>
                <w:noProof/>
                <w:sz w:val="24"/>
                <w:lang w:val="pl-PL"/>
              </w:rPr>
            </w:pPr>
          </w:p>
        </w:tc>
      </w:tr>
      <w:tr w:rsidR="007553ED" w:rsidRPr="0051299F" w14:paraId="0E7A41A6" w14:textId="77777777" w:rsidTr="0068508E">
        <w:trPr>
          <w:trHeight w:val="323"/>
        </w:trPr>
        <w:tc>
          <w:tcPr>
            <w:tcW w:w="9450" w:type="dxa"/>
            <w:shd w:val="clear" w:color="auto" w:fill="auto"/>
          </w:tcPr>
          <w:p w14:paraId="33CE5AB3" w14:textId="702BB4CA" w:rsidR="007553ED" w:rsidRPr="0051299F" w:rsidRDefault="007553ED" w:rsidP="00546934">
            <w:pPr>
              <w:rPr>
                <w:rFonts w:ascii="Times New Roman" w:eastAsia="Times New Roman" w:hAnsi="Times New Roman" w:cs="Times New Roman"/>
                <w:b/>
                <w:noProof/>
                <w:sz w:val="24"/>
                <w:lang w:val="pl-PL"/>
              </w:rPr>
            </w:pPr>
            <w:r w:rsidRPr="0051299F">
              <w:rPr>
                <w:rFonts w:ascii="Times New Roman" w:hAnsi="Times New Roman"/>
                <w:b/>
                <w:noProof/>
                <w:sz w:val="24"/>
                <w:lang w:val="pl-PL"/>
              </w:rPr>
              <w:t>B. Rozwiązania</w:t>
            </w:r>
          </w:p>
        </w:tc>
      </w:tr>
      <w:tr w:rsidR="007553ED" w:rsidRPr="0051299F" w14:paraId="2A4F9DD2" w14:textId="77777777" w:rsidTr="00546934">
        <w:trPr>
          <w:trHeight w:val="323"/>
        </w:trPr>
        <w:tc>
          <w:tcPr>
            <w:tcW w:w="9450" w:type="dxa"/>
          </w:tcPr>
          <w:p w14:paraId="03352EC3" w14:textId="77777777" w:rsidR="007553ED" w:rsidRPr="0051299F" w:rsidRDefault="007553ED" w:rsidP="00546934">
            <w:pPr>
              <w:rPr>
                <w:rFonts w:ascii="Times New Roman" w:eastAsia="Times New Roman" w:hAnsi="Times New Roman" w:cs="Times New Roman"/>
                <w:b/>
                <w:noProof/>
                <w:sz w:val="24"/>
                <w:lang w:val="pl-PL"/>
              </w:rPr>
            </w:pPr>
            <w:r w:rsidRPr="0051299F">
              <w:rPr>
                <w:rFonts w:ascii="Times New Roman" w:hAnsi="Times New Roman"/>
                <w:b/>
                <w:noProof/>
                <w:sz w:val="24"/>
                <w:lang w:val="pl-PL"/>
              </w:rPr>
              <w:t>Jakie są poszczególne warianty działań służących osiągnięciu celów? Czy wskazano preferowany wariant? Jeżeli nie, dlaczego?</w:t>
            </w:r>
          </w:p>
        </w:tc>
      </w:tr>
      <w:tr w:rsidR="007553ED" w:rsidRPr="0051299F" w14:paraId="7E30714B" w14:textId="77777777" w:rsidTr="00A27B5F">
        <w:trPr>
          <w:trHeight w:val="425"/>
        </w:trPr>
        <w:tc>
          <w:tcPr>
            <w:tcW w:w="9450" w:type="dxa"/>
          </w:tcPr>
          <w:p w14:paraId="301F1109" w14:textId="2B561F1F" w:rsidR="00985EFC" w:rsidRPr="0051299F" w:rsidRDefault="00985EFC" w:rsidP="004A6E4E">
            <w:pPr>
              <w:jc w:val="both"/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sz w:val="24"/>
                <w:lang w:val="pl-PL"/>
              </w:rPr>
            </w:pPr>
            <w:bookmarkStart w:id="5" w:name="_Toc113029441"/>
            <w:bookmarkStart w:id="6" w:name="_Toc113311922"/>
            <w:bookmarkStart w:id="7" w:name="_Toc113313967"/>
            <w:bookmarkStart w:id="8" w:name="_Toc113314995"/>
            <w:bookmarkStart w:id="9" w:name="_Toc113656931"/>
            <w:bookmarkStart w:id="10" w:name="_Toc113904546"/>
            <w:bookmarkStart w:id="11" w:name="_Toc113915464"/>
            <w:bookmarkStart w:id="12" w:name="_Toc113915531"/>
            <w:bookmarkStart w:id="13" w:name="_Toc113915613"/>
            <w:bookmarkStart w:id="14" w:name="_Toc114137181"/>
            <w:bookmarkStart w:id="15" w:name="_Toc108191626"/>
            <w:bookmarkStart w:id="16" w:name="_Toc108194813"/>
            <w:bookmarkStart w:id="17" w:name="_Toc108439916"/>
            <w:bookmarkStart w:id="18" w:name="_Toc108441086"/>
            <w:bookmarkStart w:id="19" w:name="_Toc128594944"/>
            <w:bookmarkStart w:id="20" w:name="_Toc128678899"/>
            <w:bookmarkStart w:id="21" w:name="_Toc128935100"/>
            <w:bookmarkStart w:id="22" w:name="_Toc129710193"/>
            <w:bookmarkStart w:id="23" w:name="_Toc129899898"/>
            <w:bookmarkStart w:id="24" w:name="_Toc130920209"/>
            <w:r w:rsidRPr="0051299F">
              <w:rPr>
                <w:rFonts w:ascii="Times New Roman" w:hAnsi="Times New Roman"/>
                <w:b/>
                <w:noProof/>
                <w:color w:val="000000" w:themeColor="text1"/>
                <w:sz w:val="24"/>
                <w:lang w:val="pl-PL"/>
              </w:rPr>
              <w:t>Wariant strategiczny 1</w:t>
            </w:r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r w:rsidRPr="0051299F">
              <w:rPr>
                <w:rFonts w:ascii="Times New Roman" w:hAnsi="Times New Roman"/>
                <w:b/>
                <w:noProof/>
                <w:color w:val="000000" w:themeColor="text1"/>
                <w:sz w:val="24"/>
                <w:lang w:val="pl-PL"/>
              </w:rPr>
              <w:t>: zapobieganie opóźnieniom</w:t>
            </w:r>
            <w:bookmarkEnd w:id="19"/>
            <w:bookmarkEnd w:id="20"/>
            <w:bookmarkEnd w:id="21"/>
            <w:bookmarkEnd w:id="22"/>
            <w:bookmarkEnd w:id="23"/>
            <w:r w:rsidR="0051299F" w:rsidRPr="0051299F">
              <w:rPr>
                <w:rFonts w:ascii="Times New Roman" w:hAnsi="Times New Roman"/>
                <w:b/>
                <w:noProof/>
                <w:color w:val="000000" w:themeColor="text1"/>
                <w:sz w:val="24"/>
                <w:lang w:val="pl-PL"/>
              </w:rPr>
              <w:t xml:space="preserve"> w</w:t>
            </w:r>
            <w:r w:rsidR="0051299F">
              <w:rPr>
                <w:rFonts w:ascii="Times New Roman" w:hAnsi="Times New Roman"/>
                <w:b/>
                <w:noProof/>
                <w:color w:val="000000" w:themeColor="text1"/>
                <w:sz w:val="24"/>
                <w:lang w:val="pl-PL"/>
              </w:rPr>
              <w:t> </w:t>
            </w:r>
            <w:r w:rsidR="0051299F" w:rsidRPr="0051299F">
              <w:rPr>
                <w:rFonts w:ascii="Times New Roman" w:hAnsi="Times New Roman"/>
                <w:b/>
                <w:noProof/>
                <w:color w:val="000000" w:themeColor="text1"/>
                <w:sz w:val="24"/>
                <w:lang w:val="pl-PL"/>
              </w:rPr>
              <w:t>pła</w:t>
            </w:r>
            <w:r w:rsidRPr="0051299F">
              <w:rPr>
                <w:rFonts w:ascii="Times New Roman" w:hAnsi="Times New Roman"/>
                <w:b/>
                <w:noProof/>
                <w:color w:val="000000" w:themeColor="text1"/>
                <w:sz w:val="24"/>
                <w:lang w:val="pl-PL"/>
              </w:rPr>
              <w:t>tnościach</w:t>
            </w:r>
            <w:bookmarkEnd w:id="24"/>
            <w:r w:rsidRPr="0051299F">
              <w:rPr>
                <w:rFonts w:ascii="Times New Roman" w:hAnsi="Times New Roman"/>
                <w:b/>
                <w:noProof/>
                <w:color w:val="000000" w:themeColor="text1"/>
                <w:sz w:val="24"/>
                <w:lang w:val="pl-PL"/>
              </w:rPr>
              <w:t xml:space="preserve"> </w:t>
            </w:r>
          </w:p>
          <w:p w14:paraId="32DD5B50" w14:textId="327498D7" w:rsidR="00C67FEE" w:rsidRPr="0051299F" w:rsidRDefault="00985EFC" w:rsidP="004A6E4E">
            <w:pPr>
              <w:jc w:val="both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lang w:val="pl-PL"/>
              </w:rPr>
            </w:pPr>
            <w:r w:rsidRPr="0051299F">
              <w:rPr>
                <w:rFonts w:ascii="Times New Roman" w:hAnsi="Times New Roman"/>
                <w:noProof/>
                <w:color w:val="000000" w:themeColor="text1"/>
                <w:sz w:val="24"/>
                <w:lang w:val="pl-PL"/>
              </w:rPr>
              <w:t>Środki</w:t>
            </w:r>
            <w:r w:rsidR="0051299F" w:rsidRPr="0051299F">
              <w:rPr>
                <w:rFonts w:ascii="Times New Roman" w:hAnsi="Times New Roman"/>
                <w:noProof/>
                <w:color w:val="000000" w:themeColor="text1"/>
                <w:sz w:val="24"/>
                <w:lang w:val="pl-PL"/>
              </w:rPr>
              <w:t xml:space="preserve"> z</w:t>
            </w:r>
            <w:r w:rsidR="0051299F">
              <w:rPr>
                <w:rFonts w:ascii="Times New Roman" w:hAnsi="Times New Roman"/>
                <w:noProof/>
                <w:color w:val="000000" w:themeColor="text1"/>
                <w:sz w:val="24"/>
                <w:lang w:val="pl-PL"/>
              </w:rPr>
              <w:t> </w:t>
            </w:r>
            <w:r w:rsidR="0051299F" w:rsidRPr="0051299F">
              <w:rPr>
                <w:rFonts w:ascii="Times New Roman" w:hAnsi="Times New Roman"/>
                <w:noProof/>
                <w:color w:val="000000" w:themeColor="text1"/>
                <w:sz w:val="24"/>
                <w:lang w:val="pl-PL"/>
              </w:rPr>
              <w:t>zak</w:t>
            </w:r>
            <w:r w:rsidRPr="0051299F">
              <w:rPr>
                <w:rFonts w:ascii="Times New Roman" w:hAnsi="Times New Roman"/>
                <w:noProof/>
                <w:color w:val="000000" w:themeColor="text1"/>
                <w:sz w:val="24"/>
                <w:lang w:val="pl-PL"/>
              </w:rPr>
              <w:t>resu polityki</w:t>
            </w:r>
            <w:r w:rsidR="0051299F" w:rsidRPr="0051299F">
              <w:rPr>
                <w:rFonts w:ascii="Times New Roman" w:hAnsi="Times New Roman"/>
                <w:noProof/>
                <w:color w:val="000000" w:themeColor="text1"/>
                <w:sz w:val="24"/>
                <w:lang w:val="pl-PL"/>
              </w:rPr>
              <w:t xml:space="preserve"> w</w:t>
            </w:r>
            <w:r w:rsidR="0051299F">
              <w:rPr>
                <w:rFonts w:ascii="Times New Roman" w:hAnsi="Times New Roman"/>
                <w:noProof/>
                <w:color w:val="000000" w:themeColor="text1"/>
                <w:sz w:val="24"/>
                <w:lang w:val="pl-PL"/>
              </w:rPr>
              <w:t> </w:t>
            </w:r>
            <w:r w:rsidR="0051299F" w:rsidRPr="0051299F">
              <w:rPr>
                <w:rFonts w:ascii="Times New Roman" w:hAnsi="Times New Roman"/>
                <w:noProof/>
                <w:color w:val="000000" w:themeColor="text1"/>
                <w:sz w:val="24"/>
                <w:lang w:val="pl-PL"/>
              </w:rPr>
              <w:t>ram</w:t>
            </w:r>
            <w:r w:rsidRPr="0051299F">
              <w:rPr>
                <w:rFonts w:ascii="Times New Roman" w:hAnsi="Times New Roman"/>
                <w:noProof/>
                <w:color w:val="000000" w:themeColor="text1"/>
                <w:sz w:val="24"/>
                <w:lang w:val="pl-PL"/>
              </w:rPr>
              <w:t>ach tego wariantu mają na celu zapobieganie opóźnieniom</w:t>
            </w:r>
            <w:r w:rsidR="0051299F" w:rsidRPr="0051299F">
              <w:rPr>
                <w:rFonts w:ascii="Times New Roman" w:hAnsi="Times New Roman"/>
                <w:noProof/>
                <w:color w:val="000000" w:themeColor="text1"/>
                <w:sz w:val="24"/>
                <w:lang w:val="pl-PL"/>
              </w:rPr>
              <w:t xml:space="preserve"> w</w:t>
            </w:r>
            <w:r w:rsidR="0051299F">
              <w:rPr>
                <w:rFonts w:ascii="Times New Roman" w:hAnsi="Times New Roman"/>
                <w:noProof/>
                <w:color w:val="000000" w:themeColor="text1"/>
                <w:sz w:val="24"/>
                <w:lang w:val="pl-PL"/>
              </w:rPr>
              <w:t> </w:t>
            </w:r>
            <w:r w:rsidR="0051299F" w:rsidRPr="0051299F">
              <w:rPr>
                <w:rFonts w:ascii="Times New Roman" w:hAnsi="Times New Roman"/>
                <w:noProof/>
                <w:color w:val="000000" w:themeColor="text1"/>
                <w:sz w:val="24"/>
                <w:lang w:val="pl-PL"/>
              </w:rPr>
              <w:t>pła</w:t>
            </w:r>
            <w:r w:rsidRPr="0051299F">
              <w:rPr>
                <w:rFonts w:ascii="Times New Roman" w:hAnsi="Times New Roman"/>
                <w:noProof/>
                <w:color w:val="000000" w:themeColor="text1"/>
                <w:sz w:val="24"/>
                <w:lang w:val="pl-PL"/>
              </w:rPr>
              <w:t>tnościach dzięki zapewnieniu uczciwych warunków płatności</w:t>
            </w:r>
            <w:r w:rsidR="0051299F" w:rsidRPr="0051299F">
              <w:rPr>
                <w:rFonts w:ascii="Times New Roman" w:hAnsi="Times New Roman"/>
                <w:noProof/>
                <w:color w:val="000000" w:themeColor="text1"/>
                <w:sz w:val="24"/>
                <w:lang w:val="pl-PL"/>
              </w:rPr>
              <w:t>. W</w:t>
            </w:r>
            <w:r w:rsidR="0051299F">
              <w:rPr>
                <w:rFonts w:ascii="Times New Roman" w:hAnsi="Times New Roman"/>
                <w:noProof/>
                <w:color w:val="000000" w:themeColor="text1"/>
                <w:sz w:val="24"/>
                <w:lang w:val="pl-PL"/>
              </w:rPr>
              <w:t> </w:t>
            </w:r>
            <w:r w:rsidR="0051299F" w:rsidRPr="0051299F">
              <w:rPr>
                <w:rFonts w:ascii="Times New Roman" w:hAnsi="Times New Roman"/>
                <w:noProof/>
                <w:color w:val="000000" w:themeColor="text1"/>
                <w:sz w:val="24"/>
                <w:lang w:val="pl-PL"/>
              </w:rPr>
              <w:t>war</w:t>
            </w:r>
            <w:r w:rsidRPr="0051299F">
              <w:rPr>
                <w:rFonts w:ascii="Times New Roman" w:hAnsi="Times New Roman"/>
                <w:noProof/>
                <w:color w:val="000000" w:themeColor="text1"/>
                <w:sz w:val="24"/>
                <w:lang w:val="pl-PL"/>
              </w:rPr>
              <w:t>iancie tym zakłada się ustalenie maksymalnych terminów płatności, także</w:t>
            </w:r>
            <w:r w:rsidR="0051299F" w:rsidRPr="0051299F">
              <w:rPr>
                <w:rFonts w:ascii="Times New Roman" w:hAnsi="Times New Roman"/>
                <w:noProof/>
                <w:color w:val="000000" w:themeColor="text1"/>
                <w:sz w:val="24"/>
                <w:lang w:val="pl-PL"/>
              </w:rPr>
              <w:t xml:space="preserve"> w</w:t>
            </w:r>
            <w:r w:rsidR="0051299F">
              <w:rPr>
                <w:rFonts w:ascii="Times New Roman" w:hAnsi="Times New Roman"/>
                <w:noProof/>
                <w:color w:val="000000" w:themeColor="text1"/>
                <w:sz w:val="24"/>
                <w:lang w:val="pl-PL"/>
              </w:rPr>
              <w:t> </w:t>
            </w:r>
            <w:r w:rsidR="0051299F" w:rsidRPr="0051299F">
              <w:rPr>
                <w:rFonts w:ascii="Times New Roman" w:hAnsi="Times New Roman"/>
                <w:noProof/>
                <w:color w:val="000000" w:themeColor="text1"/>
                <w:sz w:val="24"/>
                <w:lang w:val="pl-PL"/>
              </w:rPr>
              <w:t>odn</w:t>
            </w:r>
            <w:r w:rsidRPr="0051299F">
              <w:rPr>
                <w:rFonts w:ascii="Times New Roman" w:hAnsi="Times New Roman"/>
                <w:noProof/>
                <w:color w:val="000000" w:themeColor="text1"/>
                <w:sz w:val="24"/>
                <w:lang w:val="pl-PL"/>
              </w:rPr>
              <w:t>iesieniu do procedury weryfikacji służącej sprawdzeniu zgodności</w:t>
            </w:r>
            <w:r w:rsidR="0051299F" w:rsidRPr="0051299F">
              <w:rPr>
                <w:rFonts w:ascii="Times New Roman" w:hAnsi="Times New Roman"/>
                <w:noProof/>
                <w:color w:val="000000" w:themeColor="text1"/>
                <w:sz w:val="24"/>
                <w:lang w:val="pl-PL"/>
              </w:rPr>
              <w:t xml:space="preserve"> z</w:t>
            </w:r>
            <w:r w:rsidR="0051299F">
              <w:rPr>
                <w:rFonts w:ascii="Times New Roman" w:hAnsi="Times New Roman"/>
                <w:noProof/>
                <w:color w:val="000000" w:themeColor="text1"/>
                <w:sz w:val="24"/>
                <w:lang w:val="pl-PL"/>
              </w:rPr>
              <w:t> </w:t>
            </w:r>
            <w:r w:rsidR="0051299F" w:rsidRPr="0051299F">
              <w:rPr>
                <w:rFonts w:ascii="Times New Roman" w:hAnsi="Times New Roman"/>
                <w:noProof/>
                <w:color w:val="000000" w:themeColor="text1"/>
                <w:sz w:val="24"/>
                <w:lang w:val="pl-PL"/>
              </w:rPr>
              <w:t>wym</w:t>
            </w:r>
            <w:r w:rsidRPr="0051299F">
              <w:rPr>
                <w:rFonts w:ascii="Times New Roman" w:hAnsi="Times New Roman"/>
                <w:noProof/>
                <w:color w:val="000000" w:themeColor="text1"/>
                <w:sz w:val="24"/>
                <w:lang w:val="pl-PL"/>
              </w:rPr>
              <w:t>ogami umowy. Uwzględniono</w:t>
            </w:r>
            <w:r w:rsidR="0051299F" w:rsidRPr="0051299F">
              <w:rPr>
                <w:rFonts w:ascii="Times New Roman" w:hAnsi="Times New Roman"/>
                <w:noProof/>
                <w:color w:val="000000" w:themeColor="text1"/>
                <w:sz w:val="24"/>
                <w:lang w:val="pl-PL"/>
              </w:rPr>
              <w:t xml:space="preserve"> w</w:t>
            </w:r>
            <w:r w:rsidR="0051299F">
              <w:rPr>
                <w:rFonts w:ascii="Times New Roman" w:hAnsi="Times New Roman"/>
                <w:noProof/>
                <w:color w:val="000000" w:themeColor="text1"/>
                <w:sz w:val="24"/>
                <w:lang w:val="pl-PL"/>
              </w:rPr>
              <w:t> </w:t>
            </w:r>
            <w:r w:rsidR="0051299F" w:rsidRPr="0051299F">
              <w:rPr>
                <w:rFonts w:ascii="Times New Roman" w:hAnsi="Times New Roman"/>
                <w:noProof/>
                <w:color w:val="000000" w:themeColor="text1"/>
                <w:sz w:val="24"/>
                <w:lang w:val="pl-PL"/>
              </w:rPr>
              <w:t>nim</w:t>
            </w:r>
            <w:r w:rsidRPr="0051299F">
              <w:rPr>
                <w:rFonts w:ascii="Times New Roman" w:hAnsi="Times New Roman"/>
                <w:noProof/>
                <w:color w:val="000000" w:themeColor="text1"/>
                <w:sz w:val="24"/>
                <w:lang w:val="pl-PL"/>
              </w:rPr>
              <w:t xml:space="preserve"> również przepisy zapewniające MŚP szkolenia</w:t>
            </w:r>
            <w:r w:rsidR="0051299F" w:rsidRPr="0051299F">
              <w:rPr>
                <w:rFonts w:ascii="Times New Roman" w:hAnsi="Times New Roman"/>
                <w:noProof/>
                <w:color w:val="000000" w:themeColor="text1"/>
                <w:sz w:val="24"/>
                <w:lang w:val="pl-PL"/>
              </w:rPr>
              <w:t xml:space="preserve"> z</w:t>
            </w:r>
            <w:r w:rsidR="0051299F">
              <w:rPr>
                <w:rFonts w:ascii="Times New Roman" w:hAnsi="Times New Roman"/>
                <w:noProof/>
                <w:color w:val="000000" w:themeColor="text1"/>
                <w:sz w:val="24"/>
                <w:lang w:val="pl-PL"/>
              </w:rPr>
              <w:t> </w:t>
            </w:r>
            <w:r w:rsidR="0051299F" w:rsidRPr="0051299F">
              <w:rPr>
                <w:rFonts w:ascii="Times New Roman" w:hAnsi="Times New Roman"/>
                <w:noProof/>
                <w:color w:val="000000" w:themeColor="text1"/>
                <w:sz w:val="24"/>
                <w:lang w:val="pl-PL"/>
              </w:rPr>
              <w:t>zak</w:t>
            </w:r>
            <w:r w:rsidRPr="0051299F">
              <w:rPr>
                <w:rFonts w:ascii="Times New Roman" w:hAnsi="Times New Roman"/>
                <w:noProof/>
                <w:color w:val="000000" w:themeColor="text1"/>
                <w:sz w:val="24"/>
                <w:lang w:val="pl-PL"/>
              </w:rPr>
              <w:t>resu zarządzania wierzytelnościami</w:t>
            </w:r>
            <w:r w:rsidR="0051299F" w:rsidRPr="0051299F">
              <w:rPr>
                <w:rFonts w:ascii="Times New Roman" w:hAnsi="Times New Roman"/>
                <w:noProof/>
                <w:color w:val="000000" w:themeColor="text1"/>
                <w:sz w:val="24"/>
                <w:lang w:val="pl-PL"/>
              </w:rPr>
              <w:t xml:space="preserve"> i</w:t>
            </w:r>
            <w:r w:rsidR="0051299F">
              <w:rPr>
                <w:rFonts w:ascii="Times New Roman" w:hAnsi="Times New Roman"/>
                <w:noProof/>
                <w:color w:val="000000" w:themeColor="text1"/>
                <w:sz w:val="24"/>
                <w:lang w:val="pl-PL"/>
              </w:rPr>
              <w:t> </w:t>
            </w:r>
            <w:r w:rsidR="0051299F" w:rsidRPr="0051299F">
              <w:rPr>
                <w:rFonts w:ascii="Times New Roman" w:hAnsi="Times New Roman"/>
                <w:noProof/>
                <w:color w:val="000000" w:themeColor="text1"/>
                <w:sz w:val="24"/>
                <w:lang w:val="pl-PL"/>
              </w:rPr>
              <w:t>wie</w:t>
            </w:r>
            <w:r w:rsidRPr="0051299F">
              <w:rPr>
                <w:rFonts w:ascii="Times New Roman" w:hAnsi="Times New Roman"/>
                <w:noProof/>
                <w:color w:val="000000" w:themeColor="text1"/>
                <w:sz w:val="24"/>
                <w:lang w:val="pl-PL"/>
              </w:rPr>
              <w:t xml:space="preserve">dzy finansowej. </w:t>
            </w:r>
          </w:p>
          <w:p w14:paraId="7104EC1E" w14:textId="0CA4E4CD" w:rsidR="00C67FEE" w:rsidRPr="0051299F" w:rsidRDefault="00C67FEE" w:rsidP="004A6E4E">
            <w:pPr>
              <w:jc w:val="both"/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sz w:val="24"/>
                <w:lang w:val="pl-PL"/>
              </w:rPr>
            </w:pPr>
            <w:r w:rsidRPr="0051299F">
              <w:rPr>
                <w:rFonts w:ascii="Times New Roman" w:hAnsi="Times New Roman"/>
                <w:b/>
                <w:noProof/>
                <w:color w:val="000000" w:themeColor="text1"/>
                <w:sz w:val="24"/>
                <w:lang w:val="pl-PL"/>
              </w:rPr>
              <w:t xml:space="preserve">Wariant strategiczny 2: ułatwienie terminowych płatności </w:t>
            </w:r>
          </w:p>
          <w:p w14:paraId="64E335DB" w14:textId="7972D0BC" w:rsidR="00C67FEE" w:rsidRPr="0051299F" w:rsidRDefault="00C67FEE" w:rsidP="004A6E4E">
            <w:pPr>
              <w:jc w:val="both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lang w:val="pl-PL"/>
              </w:rPr>
            </w:pPr>
            <w:r w:rsidRPr="0051299F">
              <w:rPr>
                <w:rFonts w:ascii="Times New Roman" w:hAnsi="Times New Roman"/>
                <w:noProof/>
                <w:color w:val="000000" w:themeColor="text1"/>
                <w:sz w:val="24"/>
                <w:lang w:val="pl-PL"/>
              </w:rPr>
              <w:t>Środki</w:t>
            </w:r>
            <w:r w:rsidR="0051299F" w:rsidRPr="0051299F">
              <w:rPr>
                <w:rFonts w:ascii="Times New Roman" w:hAnsi="Times New Roman"/>
                <w:noProof/>
                <w:color w:val="000000" w:themeColor="text1"/>
                <w:sz w:val="24"/>
                <w:lang w:val="pl-PL"/>
              </w:rPr>
              <w:t xml:space="preserve"> z</w:t>
            </w:r>
            <w:r w:rsidR="0051299F">
              <w:rPr>
                <w:rFonts w:ascii="Times New Roman" w:hAnsi="Times New Roman"/>
                <w:noProof/>
                <w:color w:val="000000" w:themeColor="text1"/>
                <w:sz w:val="24"/>
                <w:lang w:val="pl-PL"/>
              </w:rPr>
              <w:t> </w:t>
            </w:r>
            <w:r w:rsidR="0051299F" w:rsidRPr="0051299F">
              <w:rPr>
                <w:rFonts w:ascii="Times New Roman" w:hAnsi="Times New Roman"/>
                <w:noProof/>
                <w:color w:val="000000" w:themeColor="text1"/>
                <w:sz w:val="24"/>
                <w:lang w:val="pl-PL"/>
              </w:rPr>
              <w:t>zak</w:t>
            </w:r>
            <w:r w:rsidRPr="0051299F">
              <w:rPr>
                <w:rFonts w:ascii="Times New Roman" w:hAnsi="Times New Roman"/>
                <w:noProof/>
                <w:color w:val="000000" w:themeColor="text1"/>
                <w:sz w:val="24"/>
                <w:lang w:val="pl-PL"/>
              </w:rPr>
              <w:t>resu polityki</w:t>
            </w:r>
            <w:r w:rsidR="0051299F" w:rsidRPr="0051299F">
              <w:rPr>
                <w:rFonts w:ascii="Times New Roman" w:hAnsi="Times New Roman"/>
                <w:noProof/>
                <w:color w:val="000000" w:themeColor="text1"/>
                <w:sz w:val="24"/>
                <w:lang w:val="pl-PL"/>
              </w:rPr>
              <w:t xml:space="preserve"> w</w:t>
            </w:r>
            <w:r w:rsidR="0051299F">
              <w:rPr>
                <w:rFonts w:ascii="Times New Roman" w:hAnsi="Times New Roman"/>
                <w:noProof/>
                <w:color w:val="000000" w:themeColor="text1"/>
                <w:sz w:val="24"/>
                <w:lang w:val="pl-PL"/>
              </w:rPr>
              <w:t> </w:t>
            </w:r>
            <w:r w:rsidR="0051299F" w:rsidRPr="0051299F">
              <w:rPr>
                <w:rFonts w:ascii="Times New Roman" w:hAnsi="Times New Roman"/>
                <w:noProof/>
                <w:color w:val="000000" w:themeColor="text1"/>
                <w:sz w:val="24"/>
                <w:lang w:val="pl-PL"/>
              </w:rPr>
              <w:t>ram</w:t>
            </w:r>
            <w:r w:rsidRPr="0051299F">
              <w:rPr>
                <w:rFonts w:ascii="Times New Roman" w:hAnsi="Times New Roman"/>
                <w:noProof/>
                <w:color w:val="000000" w:themeColor="text1"/>
                <w:sz w:val="24"/>
                <w:lang w:val="pl-PL"/>
              </w:rPr>
              <w:t>ach tego wariantu mają na celu rozwiązanie problemu opóźnień</w:t>
            </w:r>
            <w:r w:rsidR="0051299F" w:rsidRPr="0051299F">
              <w:rPr>
                <w:rFonts w:ascii="Times New Roman" w:hAnsi="Times New Roman"/>
                <w:noProof/>
                <w:color w:val="000000" w:themeColor="text1"/>
                <w:sz w:val="24"/>
                <w:lang w:val="pl-PL"/>
              </w:rPr>
              <w:t xml:space="preserve"> w</w:t>
            </w:r>
            <w:r w:rsidR="0051299F">
              <w:rPr>
                <w:rFonts w:ascii="Times New Roman" w:hAnsi="Times New Roman"/>
                <w:noProof/>
                <w:color w:val="000000" w:themeColor="text1"/>
                <w:sz w:val="24"/>
                <w:lang w:val="pl-PL"/>
              </w:rPr>
              <w:t> </w:t>
            </w:r>
            <w:r w:rsidR="0051299F" w:rsidRPr="0051299F">
              <w:rPr>
                <w:rFonts w:ascii="Times New Roman" w:hAnsi="Times New Roman"/>
                <w:noProof/>
                <w:color w:val="000000" w:themeColor="text1"/>
                <w:sz w:val="24"/>
                <w:lang w:val="pl-PL"/>
              </w:rPr>
              <w:t>pła</w:t>
            </w:r>
            <w:r w:rsidRPr="0051299F">
              <w:rPr>
                <w:rFonts w:ascii="Times New Roman" w:hAnsi="Times New Roman"/>
                <w:noProof/>
                <w:color w:val="000000" w:themeColor="text1"/>
                <w:sz w:val="24"/>
                <w:lang w:val="pl-PL"/>
              </w:rPr>
              <w:t>tnościach dzięki zwiększeniu skuteczności egzekwowania prawa</w:t>
            </w:r>
            <w:r w:rsidR="0051299F" w:rsidRPr="0051299F">
              <w:rPr>
                <w:rFonts w:ascii="Times New Roman" w:hAnsi="Times New Roman"/>
                <w:noProof/>
                <w:color w:val="000000" w:themeColor="text1"/>
                <w:sz w:val="24"/>
                <w:lang w:val="pl-PL"/>
              </w:rPr>
              <w:t xml:space="preserve"> i</w:t>
            </w:r>
            <w:r w:rsidR="0051299F">
              <w:rPr>
                <w:rFonts w:ascii="Times New Roman" w:hAnsi="Times New Roman"/>
                <w:noProof/>
                <w:color w:val="000000" w:themeColor="text1"/>
                <w:sz w:val="24"/>
                <w:lang w:val="pl-PL"/>
              </w:rPr>
              <w:t> </w:t>
            </w:r>
            <w:r w:rsidR="0051299F" w:rsidRPr="0051299F">
              <w:rPr>
                <w:rFonts w:ascii="Times New Roman" w:hAnsi="Times New Roman"/>
                <w:noProof/>
                <w:color w:val="000000" w:themeColor="text1"/>
                <w:sz w:val="24"/>
                <w:lang w:val="pl-PL"/>
              </w:rPr>
              <w:t>zap</w:t>
            </w:r>
            <w:r w:rsidRPr="0051299F">
              <w:rPr>
                <w:rFonts w:ascii="Times New Roman" w:hAnsi="Times New Roman"/>
                <w:noProof/>
                <w:color w:val="000000" w:themeColor="text1"/>
                <w:sz w:val="24"/>
                <w:lang w:val="pl-PL"/>
              </w:rPr>
              <w:t>ewnieniu przestrzegania warunków płatności</w:t>
            </w:r>
            <w:r w:rsidR="0051299F" w:rsidRPr="0051299F">
              <w:rPr>
                <w:rFonts w:ascii="Times New Roman" w:hAnsi="Times New Roman"/>
                <w:noProof/>
                <w:color w:val="000000" w:themeColor="text1"/>
                <w:sz w:val="24"/>
                <w:lang w:val="pl-PL"/>
              </w:rPr>
              <w:t>. W</w:t>
            </w:r>
            <w:r w:rsidR="0051299F">
              <w:rPr>
                <w:rFonts w:ascii="Times New Roman" w:hAnsi="Times New Roman"/>
                <w:noProof/>
                <w:color w:val="000000" w:themeColor="text1"/>
                <w:sz w:val="24"/>
                <w:lang w:val="pl-PL"/>
              </w:rPr>
              <w:t> </w:t>
            </w:r>
            <w:r w:rsidR="0051299F" w:rsidRPr="0051299F">
              <w:rPr>
                <w:rFonts w:ascii="Times New Roman" w:hAnsi="Times New Roman"/>
                <w:noProof/>
                <w:color w:val="000000" w:themeColor="text1"/>
                <w:sz w:val="24"/>
                <w:lang w:val="pl-PL"/>
              </w:rPr>
              <w:t>war</w:t>
            </w:r>
            <w:r w:rsidRPr="0051299F">
              <w:rPr>
                <w:rFonts w:ascii="Times New Roman" w:hAnsi="Times New Roman"/>
                <w:noProof/>
                <w:color w:val="000000" w:themeColor="text1"/>
                <w:sz w:val="24"/>
                <w:lang w:val="pl-PL"/>
              </w:rPr>
              <w:t>iancie tym zakłada się zwiększenie skuteczności środków odstraszających przewidzianych</w:t>
            </w:r>
            <w:r w:rsidR="0051299F" w:rsidRPr="0051299F">
              <w:rPr>
                <w:rFonts w:ascii="Times New Roman" w:hAnsi="Times New Roman"/>
                <w:noProof/>
                <w:color w:val="000000" w:themeColor="text1"/>
                <w:sz w:val="24"/>
                <w:lang w:val="pl-PL"/>
              </w:rPr>
              <w:t xml:space="preserve"> w</w:t>
            </w:r>
            <w:r w:rsidR="0051299F">
              <w:rPr>
                <w:rFonts w:ascii="Times New Roman" w:hAnsi="Times New Roman"/>
                <w:noProof/>
                <w:color w:val="000000" w:themeColor="text1"/>
                <w:sz w:val="24"/>
                <w:lang w:val="pl-PL"/>
              </w:rPr>
              <w:t> </w:t>
            </w:r>
            <w:r w:rsidR="0051299F" w:rsidRPr="0051299F">
              <w:rPr>
                <w:rFonts w:ascii="Times New Roman" w:hAnsi="Times New Roman"/>
                <w:noProof/>
                <w:color w:val="000000" w:themeColor="text1"/>
                <w:sz w:val="24"/>
                <w:lang w:val="pl-PL"/>
              </w:rPr>
              <w:t>obe</w:t>
            </w:r>
            <w:r w:rsidRPr="0051299F">
              <w:rPr>
                <w:rFonts w:ascii="Times New Roman" w:hAnsi="Times New Roman"/>
                <w:noProof/>
                <w:color w:val="000000" w:themeColor="text1"/>
                <w:sz w:val="24"/>
                <w:lang w:val="pl-PL"/>
              </w:rPr>
              <w:t>cnie obowiązującej dyrektywie,</w:t>
            </w:r>
            <w:r w:rsidR="0051299F" w:rsidRPr="0051299F">
              <w:rPr>
                <w:rFonts w:ascii="Times New Roman" w:hAnsi="Times New Roman"/>
                <w:noProof/>
                <w:color w:val="000000" w:themeColor="text1"/>
                <w:sz w:val="24"/>
                <w:lang w:val="pl-PL"/>
              </w:rPr>
              <w:t xml:space="preserve"> a</w:t>
            </w:r>
            <w:r w:rsidR="0051299F">
              <w:rPr>
                <w:rFonts w:ascii="Times New Roman" w:hAnsi="Times New Roman"/>
                <w:noProof/>
                <w:color w:val="000000" w:themeColor="text1"/>
                <w:sz w:val="24"/>
                <w:lang w:val="pl-PL"/>
              </w:rPr>
              <w:t> </w:t>
            </w:r>
            <w:r w:rsidR="0051299F" w:rsidRPr="0051299F">
              <w:rPr>
                <w:rFonts w:ascii="Times New Roman" w:hAnsi="Times New Roman"/>
                <w:noProof/>
                <w:color w:val="000000" w:themeColor="text1"/>
                <w:sz w:val="24"/>
                <w:lang w:val="pl-PL"/>
              </w:rPr>
              <w:t>mia</w:t>
            </w:r>
            <w:r w:rsidRPr="0051299F">
              <w:rPr>
                <w:rFonts w:ascii="Times New Roman" w:hAnsi="Times New Roman"/>
                <w:noProof/>
                <w:color w:val="000000" w:themeColor="text1"/>
                <w:sz w:val="24"/>
                <w:lang w:val="pl-PL"/>
              </w:rPr>
              <w:t>nowicie uprawnienia do odsetek za opóźnienia</w:t>
            </w:r>
            <w:r w:rsidR="0051299F" w:rsidRPr="0051299F">
              <w:rPr>
                <w:rFonts w:ascii="Times New Roman" w:hAnsi="Times New Roman"/>
                <w:noProof/>
                <w:color w:val="000000" w:themeColor="text1"/>
                <w:sz w:val="24"/>
                <w:lang w:val="pl-PL"/>
              </w:rPr>
              <w:t xml:space="preserve"> w</w:t>
            </w:r>
            <w:r w:rsidR="0051299F">
              <w:rPr>
                <w:rFonts w:ascii="Times New Roman" w:hAnsi="Times New Roman"/>
                <w:noProof/>
                <w:color w:val="000000" w:themeColor="text1"/>
                <w:sz w:val="24"/>
                <w:lang w:val="pl-PL"/>
              </w:rPr>
              <w:t> </w:t>
            </w:r>
            <w:r w:rsidR="0051299F" w:rsidRPr="0051299F">
              <w:rPr>
                <w:rFonts w:ascii="Times New Roman" w:hAnsi="Times New Roman"/>
                <w:noProof/>
                <w:color w:val="000000" w:themeColor="text1"/>
                <w:sz w:val="24"/>
                <w:lang w:val="pl-PL"/>
              </w:rPr>
              <w:t>pła</w:t>
            </w:r>
            <w:r w:rsidRPr="0051299F">
              <w:rPr>
                <w:rFonts w:ascii="Times New Roman" w:hAnsi="Times New Roman"/>
                <w:noProof/>
                <w:color w:val="000000" w:themeColor="text1"/>
                <w:sz w:val="24"/>
                <w:lang w:val="pl-PL"/>
              </w:rPr>
              <w:t>tnościach oraz ryczałtowej rekompensaty, dzięki wprowadzeniu obowiązku zapłaty odsetek za opóźnienia</w:t>
            </w:r>
            <w:r w:rsidR="0051299F" w:rsidRPr="0051299F">
              <w:rPr>
                <w:rFonts w:ascii="Times New Roman" w:hAnsi="Times New Roman"/>
                <w:noProof/>
                <w:color w:val="000000" w:themeColor="text1"/>
                <w:sz w:val="24"/>
                <w:lang w:val="pl-PL"/>
              </w:rPr>
              <w:t xml:space="preserve"> w</w:t>
            </w:r>
            <w:r w:rsidR="0051299F">
              <w:rPr>
                <w:rFonts w:ascii="Times New Roman" w:hAnsi="Times New Roman"/>
                <w:noProof/>
                <w:color w:val="000000" w:themeColor="text1"/>
                <w:sz w:val="24"/>
                <w:lang w:val="pl-PL"/>
              </w:rPr>
              <w:t> </w:t>
            </w:r>
            <w:r w:rsidR="0051299F" w:rsidRPr="0051299F">
              <w:rPr>
                <w:rFonts w:ascii="Times New Roman" w:hAnsi="Times New Roman"/>
                <w:noProof/>
                <w:color w:val="000000" w:themeColor="text1"/>
                <w:sz w:val="24"/>
                <w:lang w:val="pl-PL"/>
              </w:rPr>
              <w:t>pła</w:t>
            </w:r>
            <w:r w:rsidRPr="0051299F">
              <w:rPr>
                <w:rFonts w:ascii="Times New Roman" w:hAnsi="Times New Roman"/>
                <w:noProof/>
                <w:color w:val="000000" w:themeColor="text1"/>
                <w:sz w:val="24"/>
                <w:lang w:val="pl-PL"/>
              </w:rPr>
              <w:t>tnościach oraz zwiększeniu wysokości ryczałtowej rekompensaty. Egzekwowanie prawa jest kluczowym czynnikiem wpływającym na rozwiązanie problemu opóźnień</w:t>
            </w:r>
            <w:r w:rsidR="0051299F" w:rsidRPr="0051299F">
              <w:rPr>
                <w:rFonts w:ascii="Times New Roman" w:hAnsi="Times New Roman"/>
                <w:noProof/>
                <w:color w:val="000000" w:themeColor="text1"/>
                <w:sz w:val="24"/>
                <w:lang w:val="pl-PL"/>
              </w:rPr>
              <w:t xml:space="preserve"> w</w:t>
            </w:r>
            <w:r w:rsidR="0051299F">
              <w:rPr>
                <w:rFonts w:ascii="Times New Roman" w:hAnsi="Times New Roman"/>
                <w:noProof/>
                <w:color w:val="000000" w:themeColor="text1"/>
                <w:sz w:val="24"/>
                <w:lang w:val="pl-PL"/>
              </w:rPr>
              <w:t> </w:t>
            </w:r>
            <w:r w:rsidR="0051299F" w:rsidRPr="0051299F">
              <w:rPr>
                <w:rFonts w:ascii="Times New Roman" w:hAnsi="Times New Roman"/>
                <w:noProof/>
                <w:color w:val="000000" w:themeColor="text1"/>
                <w:sz w:val="24"/>
                <w:lang w:val="pl-PL"/>
              </w:rPr>
              <w:t>pła</w:t>
            </w:r>
            <w:r w:rsidRPr="0051299F">
              <w:rPr>
                <w:rFonts w:ascii="Times New Roman" w:hAnsi="Times New Roman"/>
                <w:noProof/>
                <w:color w:val="000000" w:themeColor="text1"/>
                <w:sz w:val="24"/>
                <w:lang w:val="pl-PL"/>
              </w:rPr>
              <w:t>tnościach. Dlatego też oceniane warianty różnią się</w:t>
            </w:r>
            <w:r w:rsidR="0051299F" w:rsidRPr="0051299F">
              <w:rPr>
                <w:rFonts w:ascii="Times New Roman" w:hAnsi="Times New Roman"/>
                <w:noProof/>
                <w:color w:val="000000" w:themeColor="text1"/>
                <w:sz w:val="24"/>
                <w:lang w:val="pl-PL"/>
              </w:rPr>
              <w:t xml:space="preserve"> w</w:t>
            </w:r>
            <w:r w:rsidR="0051299F">
              <w:rPr>
                <w:rFonts w:ascii="Times New Roman" w:hAnsi="Times New Roman"/>
                <w:noProof/>
                <w:color w:val="000000" w:themeColor="text1"/>
                <w:sz w:val="24"/>
                <w:lang w:val="pl-PL"/>
              </w:rPr>
              <w:t> </w:t>
            </w:r>
            <w:r w:rsidR="0051299F" w:rsidRPr="0051299F">
              <w:rPr>
                <w:rFonts w:ascii="Times New Roman" w:hAnsi="Times New Roman"/>
                <w:noProof/>
                <w:color w:val="000000" w:themeColor="text1"/>
                <w:sz w:val="24"/>
                <w:lang w:val="pl-PL"/>
              </w:rPr>
              <w:t>zal</w:t>
            </w:r>
            <w:r w:rsidRPr="0051299F">
              <w:rPr>
                <w:rFonts w:ascii="Times New Roman" w:hAnsi="Times New Roman"/>
                <w:noProof/>
                <w:color w:val="000000" w:themeColor="text1"/>
                <w:sz w:val="24"/>
                <w:lang w:val="pl-PL"/>
              </w:rPr>
              <w:t>eżności od uprawnień powierzonych krajowemu organowi odpowiedzialnemu za egzekwowanie prawa wyznaczonemu przez poszczególne państwa członkowskie UE. Wariant ten obejmuje również synergie</w:t>
            </w:r>
            <w:r w:rsidR="0051299F" w:rsidRPr="0051299F">
              <w:rPr>
                <w:rFonts w:ascii="Times New Roman" w:hAnsi="Times New Roman"/>
                <w:noProof/>
                <w:color w:val="000000" w:themeColor="text1"/>
                <w:sz w:val="24"/>
                <w:lang w:val="pl-PL"/>
              </w:rPr>
              <w:t xml:space="preserve"> z</w:t>
            </w:r>
            <w:r w:rsidR="0051299F">
              <w:rPr>
                <w:rFonts w:ascii="Times New Roman" w:hAnsi="Times New Roman"/>
                <w:noProof/>
                <w:color w:val="000000" w:themeColor="text1"/>
                <w:sz w:val="24"/>
                <w:lang w:val="pl-PL"/>
              </w:rPr>
              <w:t> </w:t>
            </w:r>
            <w:r w:rsidR="0051299F" w:rsidRPr="0051299F">
              <w:rPr>
                <w:rFonts w:ascii="Times New Roman" w:hAnsi="Times New Roman"/>
                <w:noProof/>
                <w:color w:val="000000" w:themeColor="text1"/>
                <w:sz w:val="24"/>
                <w:lang w:val="pl-PL"/>
              </w:rPr>
              <w:t>zam</w:t>
            </w:r>
            <w:r w:rsidRPr="0051299F">
              <w:rPr>
                <w:rFonts w:ascii="Times New Roman" w:hAnsi="Times New Roman"/>
                <w:noProof/>
                <w:color w:val="000000" w:themeColor="text1"/>
                <w:sz w:val="24"/>
                <w:lang w:val="pl-PL"/>
              </w:rPr>
              <w:t>ówieniami publicznymi</w:t>
            </w:r>
            <w:r w:rsidR="0051299F" w:rsidRPr="0051299F">
              <w:rPr>
                <w:rFonts w:ascii="Times New Roman" w:hAnsi="Times New Roman"/>
                <w:noProof/>
                <w:color w:val="000000" w:themeColor="text1"/>
                <w:sz w:val="24"/>
                <w:lang w:val="pl-PL"/>
              </w:rPr>
              <w:t xml:space="preserve"> w</w:t>
            </w:r>
            <w:r w:rsidR="0051299F">
              <w:rPr>
                <w:rFonts w:ascii="Times New Roman" w:hAnsi="Times New Roman"/>
                <w:noProof/>
                <w:color w:val="000000" w:themeColor="text1"/>
                <w:sz w:val="24"/>
                <w:lang w:val="pl-PL"/>
              </w:rPr>
              <w:t> </w:t>
            </w:r>
            <w:r w:rsidR="0051299F" w:rsidRPr="0051299F">
              <w:rPr>
                <w:rFonts w:ascii="Times New Roman" w:hAnsi="Times New Roman"/>
                <w:noProof/>
                <w:color w:val="000000" w:themeColor="text1"/>
                <w:sz w:val="24"/>
                <w:lang w:val="pl-PL"/>
              </w:rPr>
              <w:t>cel</w:t>
            </w:r>
            <w:r w:rsidRPr="0051299F">
              <w:rPr>
                <w:rFonts w:ascii="Times New Roman" w:hAnsi="Times New Roman"/>
                <w:noProof/>
                <w:color w:val="000000" w:themeColor="text1"/>
                <w:sz w:val="24"/>
                <w:lang w:val="pl-PL"/>
              </w:rPr>
              <w:t>u ochrony podwykonawców</w:t>
            </w:r>
            <w:r w:rsidR="0051299F" w:rsidRPr="0051299F">
              <w:rPr>
                <w:rFonts w:ascii="Times New Roman" w:hAnsi="Times New Roman"/>
                <w:noProof/>
                <w:color w:val="000000" w:themeColor="text1"/>
                <w:sz w:val="24"/>
                <w:lang w:val="pl-PL"/>
              </w:rPr>
              <w:t xml:space="preserve"> w</w:t>
            </w:r>
            <w:r w:rsidR="0051299F">
              <w:rPr>
                <w:rFonts w:ascii="Times New Roman" w:hAnsi="Times New Roman"/>
                <w:noProof/>
                <w:color w:val="000000" w:themeColor="text1"/>
                <w:sz w:val="24"/>
                <w:lang w:val="pl-PL"/>
              </w:rPr>
              <w:t> </w:t>
            </w:r>
            <w:r w:rsidR="0051299F" w:rsidRPr="0051299F">
              <w:rPr>
                <w:rFonts w:ascii="Times New Roman" w:hAnsi="Times New Roman"/>
                <w:noProof/>
                <w:color w:val="000000" w:themeColor="text1"/>
                <w:sz w:val="24"/>
                <w:lang w:val="pl-PL"/>
              </w:rPr>
              <w:t>zam</w:t>
            </w:r>
            <w:r w:rsidRPr="0051299F">
              <w:rPr>
                <w:rFonts w:ascii="Times New Roman" w:hAnsi="Times New Roman"/>
                <w:noProof/>
                <w:color w:val="000000" w:themeColor="text1"/>
                <w:sz w:val="24"/>
                <w:lang w:val="pl-PL"/>
              </w:rPr>
              <w:t>ówieniach publicznych na roboty budowlane.</w:t>
            </w:r>
          </w:p>
          <w:p w14:paraId="7B95EF3E" w14:textId="42DB846C" w:rsidR="004A6E4E" w:rsidRPr="0051299F" w:rsidRDefault="004A6E4E" w:rsidP="004A6E4E">
            <w:pPr>
              <w:jc w:val="both"/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sz w:val="24"/>
                <w:lang w:val="pl-PL"/>
              </w:rPr>
            </w:pPr>
            <w:r w:rsidRPr="0051299F">
              <w:rPr>
                <w:rFonts w:ascii="Times New Roman" w:hAnsi="Times New Roman"/>
                <w:b/>
                <w:noProof/>
                <w:color w:val="000000" w:themeColor="text1"/>
                <w:sz w:val="24"/>
                <w:lang w:val="pl-PL"/>
              </w:rPr>
              <w:t>Wariant strategiczny 3: wzmocnienie mechanizmów dochodzenia roszczeń, zapewnienie uczciwych warunków płatności</w:t>
            </w:r>
            <w:r w:rsidR="0051299F" w:rsidRPr="0051299F">
              <w:rPr>
                <w:rFonts w:ascii="Times New Roman" w:hAnsi="Times New Roman"/>
                <w:b/>
                <w:noProof/>
                <w:color w:val="000000" w:themeColor="text1"/>
                <w:sz w:val="24"/>
                <w:lang w:val="pl-PL"/>
              </w:rPr>
              <w:t xml:space="preserve"> i</w:t>
            </w:r>
            <w:r w:rsidR="0051299F">
              <w:rPr>
                <w:rFonts w:ascii="Times New Roman" w:hAnsi="Times New Roman"/>
                <w:b/>
                <w:noProof/>
                <w:color w:val="000000" w:themeColor="text1"/>
                <w:sz w:val="24"/>
                <w:lang w:val="pl-PL"/>
              </w:rPr>
              <w:t> </w:t>
            </w:r>
            <w:r w:rsidR="0051299F" w:rsidRPr="0051299F">
              <w:rPr>
                <w:rFonts w:ascii="Times New Roman" w:hAnsi="Times New Roman"/>
                <w:b/>
                <w:noProof/>
                <w:color w:val="000000" w:themeColor="text1"/>
                <w:sz w:val="24"/>
                <w:lang w:val="pl-PL"/>
              </w:rPr>
              <w:t>wzm</w:t>
            </w:r>
            <w:r w:rsidRPr="0051299F">
              <w:rPr>
                <w:rFonts w:ascii="Times New Roman" w:hAnsi="Times New Roman"/>
                <w:b/>
                <w:noProof/>
                <w:color w:val="000000" w:themeColor="text1"/>
                <w:sz w:val="24"/>
                <w:lang w:val="pl-PL"/>
              </w:rPr>
              <w:t>ocnienie pozycji przedsiębiorstw</w:t>
            </w:r>
          </w:p>
          <w:p w14:paraId="420811D0" w14:textId="2AD7A7C2" w:rsidR="00742A03" w:rsidRPr="0051299F" w:rsidRDefault="004A6E4E" w:rsidP="004A6E4E">
            <w:pPr>
              <w:jc w:val="both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lang w:val="pl-PL"/>
              </w:rPr>
            </w:pPr>
            <w:r w:rsidRPr="0051299F">
              <w:rPr>
                <w:rFonts w:ascii="Times New Roman" w:hAnsi="Times New Roman"/>
                <w:noProof/>
                <w:sz w:val="24"/>
                <w:lang w:val="pl-PL"/>
              </w:rPr>
              <w:t>Środki</w:t>
            </w:r>
            <w:r w:rsidR="0051299F" w:rsidRPr="0051299F">
              <w:rPr>
                <w:rFonts w:ascii="Times New Roman" w:hAnsi="Times New Roman"/>
                <w:noProof/>
                <w:sz w:val="24"/>
                <w:lang w:val="pl-PL"/>
              </w:rPr>
              <w:t xml:space="preserve"> z</w:t>
            </w:r>
            <w:r w:rsidR="0051299F">
              <w:rPr>
                <w:rFonts w:ascii="Times New Roman" w:hAnsi="Times New Roman"/>
                <w:noProof/>
                <w:sz w:val="24"/>
                <w:lang w:val="pl-PL"/>
              </w:rPr>
              <w:t> </w:t>
            </w:r>
            <w:r w:rsidR="0051299F" w:rsidRPr="0051299F">
              <w:rPr>
                <w:rFonts w:ascii="Times New Roman" w:hAnsi="Times New Roman"/>
                <w:noProof/>
                <w:sz w:val="24"/>
                <w:lang w:val="pl-PL"/>
              </w:rPr>
              <w:t>zak</w:t>
            </w:r>
            <w:r w:rsidRPr="0051299F">
              <w:rPr>
                <w:rFonts w:ascii="Times New Roman" w:hAnsi="Times New Roman"/>
                <w:noProof/>
                <w:sz w:val="24"/>
                <w:lang w:val="pl-PL"/>
              </w:rPr>
              <w:t>resu polityki</w:t>
            </w:r>
            <w:r w:rsidR="0051299F" w:rsidRPr="0051299F">
              <w:rPr>
                <w:rFonts w:ascii="Times New Roman" w:hAnsi="Times New Roman"/>
                <w:noProof/>
                <w:sz w:val="24"/>
                <w:lang w:val="pl-PL"/>
              </w:rPr>
              <w:t xml:space="preserve"> w</w:t>
            </w:r>
            <w:r w:rsidR="0051299F">
              <w:rPr>
                <w:rFonts w:ascii="Times New Roman" w:hAnsi="Times New Roman"/>
                <w:noProof/>
                <w:sz w:val="24"/>
                <w:lang w:val="pl-PL"/>
              </w:rPr>
              <w:t> </w:t>
            </w:r>
            <w:r w:rsidR="0051299F" w:rsidRPr="0051299F">
              <w:rPr>
                <w:rFonts w:ascii="Times New Roman" w:hAnsi="Times New Roman"/>
                <w:noProof/>
                <w:sz w:val="24"/>
                <w:lang w:val="pl-PL"/>
              </w:rPr>
              <w:t>ram</w:t>
            </w:r>
            <w:r w:rsidRPr="0051299F">
              <w:rPr>
                <w:rFonts w:ascii="Times New Roman" w:hAnsi="Times New Roman"/>
                <w:noProof/>
                <w:sz w:val="24"/>
                <w:lang w:val="pl-PL"/>
              </w:rPr>
              <w:t>ach tego wariantu promują uczciwe warunki</w:t>
            </w:r>
            <w:r w:rsidR="0051299F" w:rsidRPr="0051299F">
              <w:rPr>
                <w:rFonts w:ascii="Times New Roman" w:hAnsi="Times New Roman"/>
                <w:noProof/>
                <w:sz w:val="24"/>
                <w:lang w:val="pl-PL"/>
              </w:rPr>
              <w:t xml:space="preserve"> i</w:t>
            </w:r>
            <w:r w:rsidR="0051299F">
              <w:rPr>
                <w:rFonts w:ascii="Times New Roman" w:hAnsi="Times New Roman"/>
                <w:noProof/>
                <w:sz w:val="24"/>
                <w:lang w:val="pl-PL"/>
              </w:rPr>
              <w:t> </w:t>
            </w:r>
            <w:r w:rsidR="0051299F" w:rsidRPr="0051299F">
              <w:rPr>
                <w:rFonts w:ascii="Times New Roman" w:hAnsi="Times New Roman"/>
                <w:noProof/>
                <w:sz w:val="24"/>
                <w:lang w:val="pl-PL"/>
              </w:rPr>
              <w:t>dos</w:t>
            </w:r>
            <w:r w:rsidRPr="0051299F">
              <w:rPr>
                <w:rFonts w:ascii="Times New Roman" w:hAnsi="Times New Roman"/>
                <w:noProof/>
                <w:sz w:val="24"/>
                <w:lang w:val="pl-PL"/>
              </w:rPr>
              <w:t>tępność skutecznych mechanizmów dochodzenia roszczeń</w:t>
            </w:r>
            <w:r w:rsidR="0051299F" w:rsidRPr="0051299F">
              <w:rPr>
                <w:rFonts w:ascii="Times New Roman" w:hAnsi="Times New Roman"/>
                <w:noProof/>
                <w:sz w:val="24"/>
                <w:lang w:val="pl-PL"/>
              </w:rPr>
              <w:t xml:space="preserve"> w</w:t>
            </w:r>
            <w:r w:rsidR="0051299F">
              <w:rPr>
                <w:rFonts w:ascii="Times New Roman" w:hAnsi="Times New Roman"/>
                <w:noProof/>
                <w:sz w:val="24"/>
                <w:lang w:val="pl-PL"/>
              </w:rPr>
              <w:t> </w:t>
            </w:r>
            <w:r w:rsidR="0051299F" w:rsidRPr="0051299F">
              <w:rPr>
                <w:rFonts w:ascii="Times New Roman" w:hAnsi="Times New Roman"/>
                <w:noProof/>
                <w:sz w:val="24"/>
                <w:lang w:val="pl-PL"/>
              </w:rPr>
              <w:t>prz</w:t>
            </w:r>
            <w:r w:rsidRPr="0051299F">
              <w:rPr>
                <w:rFonts w:ascii="Times New Roman" w:hAnsi="Times New Roman"/>
                <w:noProof/>
                <w:sz w:val="24"/>
                <w:lang w:val="pl-PL"/>
              </w:rPr>
              <w:t xml:space="preserve">ypadku niedopełnienia warunków płatności. Państwa członkowskie UE będą musiały </w:t>
            </w:r>
            <w:r w:rsidRPr="0051299F">
              <w:rPr>
                <w:rFonts w:ascii="Times New Roman" w:hAnsi="Times New Roman"/>
                <w:noProof/>
                <w:color w:val="000000" w:themeColor="text1"/>
                <w:sz w:val="24"/>
                <w:lang w:val="pl-PL"/>
              </w:rPr>
              <w:t>ustanowić narzędzia mediacyjne, które będą łatwo dostępne dla MŚP, oraz zająć się problemem nieuczciwych warunków umów</w:t>
            </w:r>
            <w:r w:rsidR="0051299F" w:rsidRPr="0051299F">
              <w:rPr>
                <w:rFonts w:ascii="Times New Roman" w:hAnsi="Times New Roman"/>
                <w:noProof/>
                <w:color w:val="000000" w:themeColor="text1"/>
                <w:sz w:val="24"/>
                <w:lang w:val="pl-PL"/>
              </w:rPr>
              <w:t xml:space="preserve"> i</w:t>
            </w:r>
            <w:r w:rsidR="0051299F">
              <w:rPr>
                <w:rFonts w:ascii="Times New Roman" w:hAnsi="Times New Roman"/>
                <w:noProof/>
                <w:color w:val="000000" w:themeColor="text1"/>
                <w:sz w:val="24"/>
                <w:lang w:val="pl-PL"/>
              </w:rPr>
              <w:t> </w:t>
            </w:r>
            <w:r w:rsidR="0051299F" w:rsidRPr="0051299F">
              <w:rPr>
                <w:rFonts w:ascii="Times New Roman" w:hAnsi="Times New Roman"/>
                <w:noProof/>
                <w:color w:val="000000" w:themeColor="text1"/>
                <w:sz w:val="24"/>
                <w:lang w:val="pl-PL"/>
              </w:rPr>
              <w:t>pra</w:t>
            </w:r>
            <w:r w:rsidRPr="0051299F">
              <w:rPr>
                <w:rFonts w:ascii="Times New Roman" w:hAnsi="Times New Roman"/>
                <w:noProof/>
                <w:color w:val="000000" w:themeColor="text1"/>
                <w:sz w:val="24"/>
                <w:lang w:val="pl-PL"/>
              </w:rPr>
              <w:t xml:space="preserve">ktyk za pośrednictwem ich prawa krajowego. </w:t>
            </w:r>
          </w:p>
          <w:p w14:paraId="471AF834" w14:textId="3B0C6149" w:rsidR="003379C7" w:rsidRPr="0051299F" w:rsidRDefault="003379C7" w:rsidP="003379C7">
            <w:pPr>
              <w:pStyle w:val="Text2"/>
              <w:spacing w:after="120"/>
              <w:ind w:left="0"/>
              <w:rPr>
                <w:noProof/>
                <w:color w:val="000000" w:themeColor="text1"/>
                <w:lang w:val="pl-PL"/>
              </w:rPr>
            </w:pPr>
            <w:r w:rsidRPr="0051299F">
              <w:rPr>
                <w:b/>
                <w:noProof/>
                <w:color w:val="000000" w:themeColor="text1"/>
                <w:lang w:val="pl-PL"/>
              </w:rPr>
              <w:t>Wariant preferowany.</w:t>
            </w:r>
            <w:r w:rsidRPr="0051299F">
              <w:rPr>
                <w:noProof/>
                <w:color w:val="000000" w:themeColor="text1"/>
                <w:lang w:val="pl-PL"/>
              </w:rPr>
              <w:t xml:space="preserve"> Każdy</w:t>
            </w:r>
            <w:r w:rsidR="0051299F" w:rsidRPr="0051299F">
              <w:rPr>
                <w:noProof/>
                <w:color w:val="000000" w:themeColor="text1"/>
                <w:lang w:val="pl-PL"/>
              </w:rPr>
              <w:t xml:space="preserve"> z</w:t>
            </w:r>
            <w:r w:rsidR="0051299F">
              <w:rPr>
                <w:noProof/>
                <w:color w:val="000000" w:themeColor="text1"/>
                <w:lang w:val="pl-PL"/>
              </w:rPr>
              <w:t> </w:t>
            </w:r>
            <w:r w:rsidR="0051299F" w:rsidRPr="0051299F">
              <w:rPr>
                <w:noProof/>
                <w:color w:val="000000" w:themeColor="text1"/>
                <w:lang w:val="pl-PL"/>
              </w:rPr>
              <w:t>war</w:t>
            </w:r>
            <w:r w:rsidRPr="0051299F">
              <w:rPr>
                <w:noProof/>
                <w:color w:val="000000" w:themeColor="text1"/>
                <w:lang w:val="pl-PL"/>
              </w:rPr>
              <w:t>iantów niesie ze sobą potencjalne korzyści, ale także stwarza pewne ryzyko, gdy jest wdrażany odrębnie</w:t>
            </w:r>
            <w:r w:rsidR="0051299F" w:rsidRPr="0051299F">
              <w:rPr>
                <w:noProof/>
                <w:color w:val="000000" w:themeColor="text1"/>
                <w:lang w:val="pl-PL"/>
              </w:rPr>
              <w:t>. W</w:t>
            </w:r>
            <w:r w:rsidR="0051299F">
              <w:rPr>
                <w:noProof/>
                <w:color w:val="000000" w:themeColor="text1"/>
                <w:lang w:val="pl-PL"/>
              </w:rPr>
              <w:t> </w:t>
            </w:r>
            <w:r w:rsidR="0051299F" w:rsidRPr="0051299F">
              <w:rPr>
                <w:noProof/>
                <w:color w:val="000000" w:themeColor="text1"/>
                <w:lang w:val="pl-PL"/>
              </w:rPr>
              <w:t>oce</w:t>
            </w:r>
            <w:r w:rsidRPr="0051299F">
              <w:rPr>
                <w:noProof/>
                <w:color w:val="000000" w:themeColor="text1"/>
                <w:lang w:val="pl-PL"/>
              </w:rPr>
              <w:t>nie skutków stwierdzono, że preferowanym rozwiązaniem jest pakiet najskuteczniejszych</w:t>
            </w:r>
            <w:r w:rsidR="0051299F" w:rsidRPr="0051299F">
              <w:rPr>
                <w:noProof/>
                <w:color w:val="000000" w:themeColor="text1"/>
                <w:lang w:val="pl-PL"/>
              </w:rPr>
              <w:t xml:space="preserve"> i</w:t>
            </w:r>
            <w:r w:rsidR="0051299F">
              <w:rPr>
                <w:noProof/>
                <w:color w:val="000000" w:themeColor="text1"/>
                <w:lang w:val="pl-PL"/>
              </w:rPr>
              <w:t> </w:t>
            </w:r>
            <w:r w:rsidR="0051299F" w:rsidRPr="0051299F">
              <w:rPr>
                <w:noProof/>
                <w:color w:val="000000" w:themeColor="text1"/>
                <w:lang w:val="pl-PL"/>
              </w:rPr>
              <w:t>efe</w:t>
            </w:r>
            <w:r w:rsidRPr="0051299F">
              <w:rPr>
                <w:noProof/>
                <w:color w:val="000000" w:themeColor="text1"/>
                <w:lang w:val="pl-PL"/>
              </w:rPr>
              <w:t>ktywniejszych środków</w:t>
            </w:r>
            <w:r w:rsidR="0051299F" w:rsidRPr="0051299F">
              <w:rPr>
                <w:noProof/>
                <w:color w:val="000000" w:themeColor="text1"/>
                <w:lang w:val="pl-PL"/>
              </w:rPr>
              <w:t xml:space="preserve"> w</w:t>
            </w:r>
            <w:r w:rsidR="0051299F">
              <w:rPr>
                <w:noProof/>
                <w:color w:val="000000" w:themeColor="text1"/>
                <w:lang w:val="pl-PL"/>
              </w:rPr>
              <w:t> </w:t>
            </w:r>
            <w:r w:rsidR="0051299F" w:rsidRPr="0051299F">
              <w:rPr>
                <w:noProof/>
                <w:color w:val="000000" w:themeColor="text1"/>
                <w:lang w:val="pl-PL"/>
              </w:rPr>
              <w:t>ram</w:t>
            </w:r>
            <w:r w:rsidRPr="0051299F">
              <w:rPr>
                <w:noProof/>
                <w:color w:val="000000" w:themeColor="text1"/>
                <w:lang w:val="pl-PL"/>
              </w:rPr>
              <w:t>ach trzech wariantów strategicznych</w:t>
            </w:r>
            <w:r w:rsidR="0051299F" w:rsidRPr="0051299F">
              <w:rPr>
                <w:noProof/>
                <w:color w:val="000000" w:themeColor="text1"/>
                <w:lang w:val="pl-PL"/>
              </w:rPr>
              <w:t>. W</w:t>
            </w:r>
            <w:r w:rsidR="0051299F">
              <w:rPr>
                <w:noProof/>
                <w:color w:val="000000" w:themeColor="text1"/>
                <w:lang w:val="pl-PL"/>
              </w:rPr>
              <w:t> </w:t>
            </w:r>
            <w:bookmarkStart w:id="25" w:name="_Hlk135921914"/>
            <w:r w:rsidR="0051299F" w:rsidRPr="0051299F">
              <w:rPr>
                <w:noProof/>
                <w:color w:val="000000" w:themeColor="text1"/>
                <w:lang w:val="pl-PL"/>
              </w:rPr>
              <w:t>oce</w:t>
            </w:r>
            <w:r w:rsidRPr="0051299F">
              <w:rPr>
                <w:noProof/>
                <w:color w:val="000000" w:themeColor="text1"/>
                <w:lang w:val="pl-PL"/>
              </w:rPr>
              <w:t>nie skutków stwierdzono także, że preferowaną formą aktu prawnego jest rozporządzenie.</w:t>
            </w:r>
            <w:bookmarkEnd w:id="25"/>
          </w:p>
          <w:p w14:paraId="715CD215" w14:textId="262B77FE" w:rsidR="00C15F72" w:rsidRPr="0051299F" w:rsidRDefault="00C15F72" w:rsidP="003379C7">
            <w:pPr>
              <w:pStyle w:val="Text2"/>
              <w:spacing w:after="120"/>
              <w:ind w:left="0"/>
              <w:rPr>
                <w:b/>
                <w:noProof/>
                <w:color w:val="000000" w:themeColor="text1"/>
                <w:lang w:val="pl-PL"/>
              </w:rPr>
            </w:pPr>
            <w:r w:rsidRPr="0051299F">
              <w:rPr>
                <w:b/>
                <w:noProof/>
                <w:color w:val="000000" w:themeColor="text1"/>
                <w:lang w:val="pl-PL"/>
              </w:rPr>
              <w:t>Preferowany pakiet strategiczny: 1a+2a+3b</w:t>
            </w:r>
          </w:p>
          <w:p w14:paraId="4DCA0CAB" w14:textId="493EB5BD" w:rsidR="00C15F72" w:rsidRPr="0051299F" w:rsidRDefault="005C472C" w:rsidP="00506CCD">
            <w:pPr>
              <w:pStyle w:val="Text2"/>
              <w:spacing w:after="0"/>
              <w:ind w:left="0"/>
              <w:jc w:val="left"/>
              <w:rPr>
                <w:noProof/>
                <w:color w:val="000000" w:themeColor="text1"/>
                <w:lang w:val="pl-PL"/>
              </w:rPr>
            </w:pPr>
            <w:r w:rsidRPr="0051299F">
              <w:rPr>
                <w:noProof/>
                <w:color w:val="000000" w:themeColor="text1"/>
                <w:sz w:val="20"/>
                <w:lang w:val="pl-PL"/>
              </w:rPr>
              <w:t xml:space="preserve">– </w:t>
            </w:r>
            <w:r w:rsidRPr="0051299F">
              <w:rPr>
                <w:noProof/>
                <w:color w:val="000000" w:themeColor="text1"/>
                <w:lang w:val="pl-PL"/>
              </w:rPr>
              <w:t>Wprowadzenie górnego limitu terminów płatności wynoszącego 30 dni</w:t>
            </w:r>
            <w:r w:rsidR="0051299F" w:rsidRPr="0051299F">
              <w:rPr>
                <w:noProof/>
                <w:color w:val="000000" w:themeColor="text1"/>
                <w:lang w:val="pl-PL"/>
              </w:rPr>
              <w:t xml:space="preserve"> w</w:t>
            </w:r>
            <w:r w:rsidR="0051299F">
              <w:rPr>
                <w:noProof/>
                <w:color w:val="000000" w:themeColor="text1"/>
                <w:lang w:val="pl-PL"/>
              </w:rPr>
              <w:t> </w:t>
            </w:r>
            <w:r w:rsidR="0051299F" w:rsidRPr="0051299F">
              <w:rPr>
                <w:noProof/>
                <w:color w:val="000000" w:themeColor="text1"/>
                <w:lang w:val="pl-PL"/>
              </w:rPr>
              <w:t>tra</w:t>
            </w:r>
            <w:r w:rsidRPr="0051299F">
              <w:rPr>
                <w:noProof/>
                <w:color w:val="000000" w:themeColor="text1"/>
                <w:lang w:val="pl-PL"/>
              </w:rPr>
              <w:t>nsakcjach między przedsiębiorstwami.</w:t>
            </w:r>
          </w:p>
          <w:p w14:paraId="5B54D429" w14:textId="4F55D6C7" w:rsidR="00C15F72" w:rsidRPr="0051299F" w:rsidRDefault="005C472C" w:rsidP="00506CCD">
            <w:pPr>
              <w:pStyle w:val="Text2"/>
              <w:spacing w:after="0"/>
              <w:ind w:left="0"/>
              <w:jc w:val="left"/>
              <w:rPr>
                <w:noProof/>
                <w:color w:val="000000" w:themeColor="text1"/>
                <w:lang w:val="pl-PL"/>
              </w:rPr>
            </w:pPr>
            <w:r w:rsidRPr="0051299F">
              <w:rPr>
                <w:noProof/>
                <w:color w:val="000000" w:themeColor="text1"/>
                <w:lang w:val="pl-PL"/>
              </w:rPr>
              <w:t>– Wprowadzenie górnego limitu czasu trwania procedury przyjęcia lub weryfikacji wynoszącego 30 dni (bez odstępstw).</w:t>
            </w:r>
          </w:p>
          <w:p w14:paraId="52E94308" w14:textId="6B2B0480" w:rsidR="004C4D77" w:rsidRPr="0051299F" w:rsidRDefault="005C472C">
            <w:pPr>
              <w:pStyle w:val="Text2"/>
              <w:spacing w:after="0"/>
              <w:ind w:left="0"/>
              <w:jc w:val="left"/>
              <w:rPr>
                <w:noProof/>
                <w:color w:val="000000" w:themeColor="text1"/>
                <w:lang w:val="pl-PL"/>
              </w:rPr>
            </w:pPr>
            <w:r w:rsidRPr="0051299F">
              <w:rPr>
                <w:noProof/>
                <w:color w:val="000000" w:themeColor="text1"/>
                <w:lang w:val="pl-PL"/>
              </w:rPr>
              <w:t>– Zwiększenie przez państwa członkowskie UE dostępności szkoleń</w:t>
            </w:r>
            <w:r w:rsidR="0051299F" w:rsidRPr="0051299F">
              <w:rPr>
                <w:noProof/>
                <w:color w:val="000000" w:themeColor="text1"/>
                <w:lang w:val="pl-PL"/>
              </w:rPr>
              <w:t xml:space="preserve"> z</w:t>
            </w:r>
            <w:r w:rsidR="0051299F">
              <w:rPr>
                <w:noProof/>
                <w:color w:val="000000" w:themeColor="text1"/>
                <w:lang w:val="pl-PL"/>
              </w:rPr>
              <w:t> </w:t>
            </w:r>
            <w:r w:rsidR="0051299F" w:rsidRPr="0051299F">
              <w:rPr>
                <w:noProof/>
                <w:color w:val="000000" w:themeColor="text1"/>
                <w:lang w:val="pl-PL"/>
              </w:rPr>
              <w:t>zak</w:t>
            </w:r>
            <w:r w:rsidRPr="0051299F">
              <w:rPr>
                <w:noProof/>
                <w:color w:val="000000" w:themeColor="text1"/>
                <w:lang w:val="pl-PL"/>
              </w:rPr>
              <w:t>resu zarządzania wierzytelnościami</w:t>
            </w:r>
            <w:r w:rsidR="0051299F" w:rsidRPr="0051299F">
              <w:rPr>
                <w:noProof/>
                <w:color w:val="000000" w:themeColor="text1"/>
                <w:lang w:val="pl-PL"/>
              </w:rPr>
              <w:t xml:space="preserve"> i</w:t>
            </w:r>
            <w:r w:rsidR="0051299F">
              <w:rPr>
                <w:noProof/>
                <w:color w:val="000000" w:themeColor="text1"/>
                <w:lang w:val="pl-PL"/>
              </w:rPr>
              <w:t> </w:t>
            </w:r>
            <w:r w:rsidR="0051299F" w:rsidRPr="0051299F">
              <w:rPr>
                <w:noProof/>
                <w:color w:val="000000" w:themeColor="text1"/>
                <w:lang w:val="pl-PL"/>
              </w:rPr>
              <w:t>wie</w:t>
            </w:r>
            <w:r w:rsidRPr="0051299F">
              <w:rPr>
                <w:noProof/>
                <w:color w:val="000000" w:themeColor="text1"/>
                <w:lang w:val="pl-PL"/>
              </w:rPr>
              <w:t>dzy finansowej,</w:t>
            </w:r>
            <w:r w:rsidR="0051299F" w:rsidRPr="0051299F">
              <w:rPr>
                <w:noProof/>
                <w:color w:val="000000" w:themeColor="text1"/>
                <w:lang w:val="pl-PL"/>
              </w:rPr>
              <w:t xml:space="preserve"> w</w:t>
            </w:r>
            <w:r w:rsidR="0051299F">
              <w:rPr>
                <w:noProof/>
                <w:color w:val="000000" w:themeColor="text1"/>
                <w:lang w:val="pl-PL"/>
              </w:rPr>
              <w:t> </w:t>
            </w:r>
            <w:r w:rsidR="0051299F" w:rsidRPr="0051299F">
              <w:rPr>
                <w:noProof/>
                <w:color w:val="000000" w:themeColor="text1"/>
                <w:lang w:val="pl-PL"/>
              </w:rPr>
              <w:t>tym</w:t>
            </w:r>
            <w:r w:rsidRPr="0051299F">
              <w:rPr>
                <w:noProof/>
                <w:color w:val="000000" w:themeColor="text1"/>
                <w:lang w:val="pl-PL"/>
              </w:rPr>
              <w:t xml:space="preserve"> cyfrowych narzędzi płatniczych dla MŚP. </w:t>
            </w:r>
          </w:p>
          <w:p w14:paraId="47573BA5" w14:textId="43DE195B" w:rsidR="00C15F72" w:rsidRPr="0051299F" w:rsidRDefault="004C4D77" w:rsidP="00506CCD">
            <w:pPr>
              <w:pStyle w:val="Text2"/>
              <w:spacing w:after="0"/>
              <w:ind w:left="0"/>
              <w:jc w:val="left"/>
              <w:rPr>
                <w:noProof/>
                <w:color w:val="000000" w:themeColor="text1"/>
                <w:lang w:val="pl-PL"/>
              </w:rPr>
            </w:pPr>
            <w:r w:rsidRPr="0051299F">
              <w:rPr>
                <w:noProof/>
                <w:color w:val="000000" w:themeColor="text1"/>
                <w:lang w:val="pl-PL"/>
              </w:rPr>
              <w:t>– Odsetki za opóźnienia</w:t>
            </w:r>
            <w:r w:rsidR="0051299F" w:rsidRPr="0051299F">
              <w:rPr>
                <w:noProof/>
                <w:color w:val="000000" w:themeColor="text1"/>
                <w:lang w:val="pl-PL"/>
              </w:rPr>
              <w:t xml:space="preserve"> w</w:t>
            </w:r>
            <w:r w:rsidR="0051299F">
              <w:rPr>
                <w:noProof/>
                <w:color w:val="000000" w:themeColor="text1"/>
                <w:lang w:val="pl-PL"/>
              </w:rPr>
              <w:t> </w:t>
            </w:r>
            <w:r w:rsidR="0051299F" w:rsidRPr="0051299F">
              <w:rPr>
                <w:noProof/>
                <w:color w:val="000000" w:themeColor="text1"/>
                <w:lang w:val="pl-PL"/>
              </w:rPr>
              <w:t>pła</w:t>
            </w:r>
            <w:r w:rsidRPr="0051299F">
              <w:rPr>
                <w:noProof/>
                <w:color w:val="000000" w:themeColor="text1"/>
                <w:lang w:val="pl-PL"/>
              </w:rPr>
              <w:t>tnościach naliczane automatycznie (wyeliminowana koncepcja „uprawnienia”); doprecyzowanie kwestii daty zakończenia naliczania odsetek.</w:t>
            </w:r>
          </w:p>
          <w:p w14:paraId="78981489" w14:textId="65603DB0" w:rsidR="00C15F72" w:rsidRPr="0051299F" w:rsidRDefault="005C472C" w:rsidP="00506CCD">
            <w:pPr>
              <w:pStyle w:val="Text2"/>
              <w:spacing w:after="0"/>
              <w:ind w:left="0"/>
              <w:jc w:val="left"/>
              <w:rPr>
                <w:noProof/>
                <w:color w:val="000000" w:themeColor="text1"/>
                <w:lang w:val="pl-PL"/>
              </w:rPr>
            </w:pPr>
            <w:r w:rsidRPr="0051299F">
              <w:rPr>
                <w:noProof/>
                <w:color w:val="000000" w:themeColor="text1"/>
                <w:lang w:val="pl-PL"/>
              </w:rPr>
              <w:t>– Ryczałtowa rekompensata należna</w:t>
            </w:r>
            <w:r w:rsidR="0051299F" w:rsidRPr="0051299F">
              <w:rPr>
                <w:noProof/>
                <w:color w:val="000000" w:themeColor="text1"/>
                <w:lang w:val="pl-PL"/>
              </w:rPr>
              <w:t xml:space="preserve"> w</w:t>
            </w:r>
            <w:r w:rsidR="0051299F">
              <w:rPr>
                <w:noProof/>
                <w:color w:val="000000" w:themeColor="text1"/>
                <w:lang w:val="pl-PL"/>
              </w:rPr>
              <w:t> </w:t>
            </w:r>
            <w:r w:rsidR="0051299F" w:rsidRPr="0051299F">
              <w:rPr>
                <w:noProof/>
                <w:color w:val="000000" w:themeColor="text1"/>
                <w:lang w:val="pl-PL"/>
              </w:rPr>
              <w:t>odn</w:t>
            </w:r>
            <w:r w:rsidRPr="0051299F">
              <w:rPr>
                <w:noProof/>
                <w:color w:val="000000" w:themeColor="text1"/>
                <w:lang w:val="pl-PL"/>
              </w:rPr>
              <w:t>iesieniu do każdej transakcji opłaconej</w:t>
            </w:r>
            <w:r w:rsidR="0051299F" w:rsidRPr="0051299F">
              <w:rPr>
                <w:noProof/>
                <w:color w:val="000000" w:themeColor="text1"/>
                <w:lang w:val="pl-PL"/>
              </w:rPr>
              <w:t xml:space="preserve"> z</w:t>
            </w:r>
            <w:r w:rsidR="0051299F">
              <w:rPr>
                <w:noProof/>
                <w:color w:val="000000" w:themeColor="text1"/>
                <w:lang w:val="pl-PL"/>
              </w:rPr>
              <w:t> </w:t>
            </w:r>
            <w:r w:rsidR="0051299F" w:rsidRPr="0051299F">
              <w:rPr>
                <w:noProof/>
                <w:color w:val="000000" w:themeColor="text1"/>
                <w:lang w:val="pl-PL"/>
              </w:rPr>
              <w:t>opó</w:t>
            </w:r>
            <w:r w:rsidRPr="0051299F">
              <w:rPr>
                <w:noProof/>
                <w:color w:val="000000" w:themeColor="text1"/>
                <w:lang w:val="pl-PL"/>
              </w:rPr>
              <w:t>źnieniem</w:t>
            </w:r>
            <w:r w:rsidR="0051299F" w:rsidRPr="0051299F">
              <w:rPr>
                <w:noProof/>
                <w:color w:val="000000" w:themeColor="text1"/>
                <w:lang w:val="pl-PL"/>
              </w:rPr>
              <w:t xml:space="preserve"> i</w:t>
            </w:r>
            <w:r w:rsidR="0051299F">
              <w:rPr>
                <w:noProof/>
                <w:color w:val="000000" w:themeColor="text1"/>
                <w:lang w:val="pl-PL"/>
              </w:rPr>
              <w:t> </w:t>
            </w:r>
            <w:r w:rsidR="0051299F" w:rsidRPr="0051299F">
              <w:rPr>
                <w:noProof/>
                <w:color w:val="000000" w:themeColor="text1"/>
                <w:lang w:val="pl-PL"/>
              </w:rPr>
              <w:t>zwi</w:t>
            </w:r>
            <w:r w:rsidRPr="0051299F">
              <w:rPr>
                <w:noProof/>
                <w:color w:val="000000" w:themeColor="text1"/>
                <w:lang w:val="pl-PL"/>
              </w:rPr>
              <w:t>ększona do</w:t>
            </w:r>
            <w:r w:rsidR="0051299F" w:rsidRPr="0051299F">
              <w:rPr>
                <w:noProof/>
                <w:color w:val="000000" w:themeColor="text1"/>
                <w:lang w:val="pl-PL"/>
              </w:rPr>
              <w:t> </w:t>
            </w:r>
            <w:r w:rsidRPr="0051299F">
              <w:rPr>
                <w:noProof/>
                <w:color w:val="000000" w:themeColor="text1"/>
                <w:lang w:val="pl-PL"/>
              </w:rPr>
              <w:t>50 EUR</w:t>
            </w:r>
            <w:r w:rsidR="0051299F" w:rsidRPr="0051299F">
              <w:rPr>
                <w:noProof/>
                <w:color w:val="000000" w:themeColor="text1"/>
                <w:lang w:val="pl-PL"/>
              </w:rPr>
              <w:t xml:space="preserve"> w</w:t>
            </w:r>
            <w:r w:rsidR="0051299F">
              <w:rPr>
                <w:noProof/>
                <w:color w:val="000000" w:themeColor="text1"/>
                <w:lang w:val="pl-PL"/>
              </w:rPr>
              <w:t> </w:t>
            </w:r>
            <w:r w:rsidR="0051299F" w:rsidRPr="0051299F">
              <w:rPr>
                <w:noProof/>
                <w:color w:val="000000" w:themeColor="text1"/>
                <w:lang w:val="pl-PL"/>
              </w:rPr>
              <w:t>cel</w:t>
            </w:r>
            <w:r w:rsidRPr="0051299F">
              <w:rPr>
                <w:noProof/>
                <w:color w:val="000000" w:themeColor="text1"/>
                <w:lang w:val="pl-PL"/>
              </w:rPr>
              <w:t>u odzwierciedlenia inflacji.</w:t>
            </w:r>
          </w:p>
          <w:p w14:paraId="63D25478" w14:textId="2303DE74" w:rsidR="005C472C" w:rsidRPr="0051299F" w:rsidRDefault="005C472C" w:rsidP="00506CCD">
            <w:pPr>
              <w:pStyle w:val="Text2"/>
              <w:spacing w:after="0"/>
              <w:ind w:left="0"/>
              <w:jc w:val="left"/>
              <w:rPr>
                <w:noProof/>
                <w:color w:val="000000" w:themeColor="text1"/>
                <w:lang w:val="pl-PL"/>
              </w:rPr>
            </w:pPr>
            <w:r w:rsidRPr="0051299F">
              <w:rPr>
                <w:noProof/>
                <w:color w:val="000000" w:themeColor="text1"/>
                <w:lang w:val="pl-PL"/>
              </w:rPr>
              <w:t>– Wyznaczenie przez państwa członkowskie UE organów odpowiedzialnych za egzekwowanie prawa</w:t>
            </w:r>
            <w:r w:rsidR="0051299F" w:rsidRPr="0051299F">
              <w:rPr>
                <w:noProof/>
                <w:color w:val="000000" w:themeColor="text1"/>
                <w:lang w:val="pl-PL"/>
              </w:rPr>
              <w:t xml:space="preserve"> i</w:t>
            </w:r>
            <w:r w:rsidR="0051299F">
              <w:rPr>
                <w:noProof/>
                <w:color w:val="000000" w:themeColor="text1"/>
                <w:lang w:val="pl-PL"/>
              </w:rPr>
              <w:t> </w:t>
            </w:r>
            <w:r w:rsidR="0051299F" w:rsidRPr="0051299F">
              <w:rPr>
                <w:noProof/>
                <w:color w:val="000000" w:themeColor="text1"/>
                <w:lang w:val="pl-PL"/>
              </w:rPr>
              <w:t>pro</w:t>
            </w:r>
            <w:r w:rsidRPr="0051299F">
              <w:rPr>
                <w:noProof/>
                <w:color w:val="000000" w:themeColor="text1"/>
                <w:lang w:val="pl-PL"/>
              </w:rPr>
              <w:t>wadzenie dochodzeń</w:t>
            </w:r>
            <w:r w:rsidR="0051299F" w:rsidRPr="0051299F">
              <w:rPr>
                <w:noProof/>
                <w:color w:val="000000" w:themeColor="text1"/>
                <w:lang w:val="pl-PL"/>
              </w:rPr>
              <w:t xml:space="preserve"> z</w:t>
            </w:r>
            <w:r w:rsidR="0051299F">
              <w:rPr>
                <w:noProof/>
                <w:color w:val="000000" w:themeColor="text1"/>
                <w:lang w:val="pl-PL"/>
              </w:rPr>
              <w:t> </w:t>
            </w:r>
            <w:r w:rsidR="0051299F" w:rsidRPr="0051299F">
              <w:rPr>
                <w:noProof/>
                <w:color w:val="000000" w:themeColor="text1"/>
                <w:lang w:val="pl-PL"/>
              </w:rPr>
              <w:t>wła</w:t>
            </w:r>
            <w:r w:rsidRPr="0051299F">
              <w:rPr>
                <w:noProof/>
                <w:color w:val="000000" w:themeColor="text1"/>
                <w:lang w:val="pl-PL"/>
              </w:rPr>
              <w:t>snej inicjatywy lub na podstawie skarg, uprawnionych do nakładania kar administracyjnych</w:t>
            </w:r>
            <w:r w:rsidR="0051299F" w:rsidRPr="0051299F">
              <w:rPr>
                <w:noProof/>
                <w:color w:val="000000" w:themeColor="text1"/>
                <w:lang w:val="pl-PL"/>
              </w:rPr>
              <w:t xml:space="preserve"> i</w:t>
            </w:r>
            <w:r w:rsidR="0051299F">
              <w:rPr>
                <w:noProof/>
                <w:color w:val="000000" w:themeColor="text1"/>
                <w:lang w:val="pl-PL"/>
              </w:rPr>
              <w:t> </w:t>
            </w:r>
            <w:r w:rsidR="0051299F" w:rsidRPr="0051299F">
              <w:rPr>
                <w:noProof/>
                <w:color w:val="000000" w:themeColor="text1"/>
                <w:lang w:val="pl-PL"/>
              </w:rPr>
              <w:t>pod</w:t>
            </w:r>
            <w:r w:rsidRPr="0051299F">
              <w:rPr>
                <w:noProof/>
                <w:color w:val="000000" w:themeColor="text1"/>
                <w:lang w:val="pl-PL"/>
              </w:rPr>
              <w:t>awania nazw podmiotów naruszających przepisy do wiadomości publicznej. Wykorzystanie narzędzi cyfrowych</w:t>
            </w:r>
            <w:r w:rsidR="0051299F" w:rsidRPr="0051299F">
              <w:rPr>
                <w:noProof/>
                <w:color w:val="000000" w:themeColor="text1"/>
                <w:lang w:val="pl-PL"/>
              </w:rPr>
              <w:t xml:space="preserve"> w</w:t>
            </w:r>
            <w:r w:rsidR="0051299F">
              <w:rPr>
                <w:noProof/>
                <w:color w:val="000000" w:themeColor="text1"/>
                <w:lang w:val="pl-PL"/>
              </w:rPr>
              <w:t> </w:t>
            </w:r>
            <w:r w:rsidR="0051299F" w:rsidRPr="0051299F">
              <w:rPr>
                <w:noProof/>
                <w:color w:val="000000" w:themeColor="text1"/>
                <w:lang w:val="pl-PL"/>
              </w:rPr>
              <w:t>cel</w:t>
            </w:r>
            <w:r w:rsidRPr="0051299F">
              <w:rPr>
                <w:noProof/>
                <w:color w:val="000000" w:themeColor="text1"/>
                <w:lang w:val="pl-PL"/>
              </w:rPr>
              <w:t>u skuteczniejszego egzekwowania prawa.</w:t>
            </w:r>
          </w:p>
          <w:p w14:paraId="422C0ED6" w14:textId="1E840B9D" w:rsidR="005C472C" w:rsidRPr="0051299F" w:rsidRDefault="005C472C" w:rsidP="00506CCD">
            <w:pPr>
              <w:pStyle w:val="Text2"/>
              <w:spacing w:after="0"/>
              <w:ind w:left="0"/>
              <w:jc w:val="left"/>
              <w:rPr>
                <w:noProof/>
                <w:color w:val="000000" w:themeColor="text1"/>
                <w:lang w:val="pl-PL"/>
              </w:rPr>
            </w:pPr>
            <w:r w:rsidRPr="0051299F">
              <w:rPr>
                <w:noProof/>
                <w:color w:val="000000" w:themeColor="text1"/>
                <w:lang w:val="pl-PL"/>
              </w:rPr>
              <w:t>– W przypadku zamówień publicznych na roboty budowlane obowiązek sprawdzania przez instytucje zamawiające</w:t>
            </w:r>
            <w:r w:rsidR="0051299F" w:rsidRPr="0051299F">
              <w:rPr>
                <w:noProof/>
                <w:color w:val="000000" w:themeColor="text1"/>
                <w:lang w:val="pl-PL"/>
              </w:rPr>
              <w:t xml:space="preserve"> i</w:t>
            </w:r>
            <w:r w:rsidR="0051299F">
              <w:rPr>
                <w:noProof/>
                <w:color w:val="000000" w:themeColor="text1"/>
                <w:lang w:val="pl-PL"/>
              </w:rPr>
              <w:t> </w:t>
            </w:r>
            <w:r w:rsidR="0051299F" w:rsidRPr="0051299F">
              <w:rPr>
                <w:noProof/>
                <w:color w:val="000000" w:themeColor="text1"/>
                <w:lang w:val="pl-PL"/>
              </w:rPr>
              <w:t>pod</w:t>
            </w:r>
            <w:r w:rsidRPr="0051299F">
              <w:rPr>
                <w:noProof/>
                <w:color w:val="000000" w:themeColor="text1"/>
                <w:lang w:val="pl-PL"/>
              </w:rPr>
              <w:t>mioty zamawiające, czy płatność na rzecz głównego wykonawcy przekazano bezpośrednim podwykonawcom.</w:t>
            </w:r>
          </w:p>
          <w:p w14:paraId="2BD2A982" w14:textId="3040E9A1" w:rsidR="00C15F72" w:rsidRPr="0051299F" w:rsidRDefault="005C472C" w:rsidP="00506CCD">
            <w:pPr>
              <w:pStyle w:val="Text2"/>
              <w:spacing w:after="0"/>
              <w:ind w:left="0"/>
              <w:jc w:val="left"/>
              <w:rPr>
                <w:noProof/>
                <w:color w:val="000000" w:themeColor="text1"/>
                <w:lang w:val="pl-PL"/>
              </w:rPr>
            </w:pPr>
            <w:r w:rsidRPr="0051299F">
              <w:rPr>
                <w:noProof/>
                <w:color w:val="000000" w:themeColor="text1"/>
                <w:lang w:val="pl-PL"/>
              </w:rPr>
              <w:t>– Ustanowienie przez państwa członkowskie UE krajowego systemu mediacji</w:t>
            </w:r>
            <w:r w:rsidR="0051299F" w:rsidRPr="0051299F">
              <w:rPr>
                <w:noProof/>
                <w:color w:val="000000" w:themeColor="text1"/>
                <w:lang w:val="pl-PL"/>
              </w:rPr>
              <w:t xml:space="preserve"> w</w:t>
            </w:r>
            <w:r w:rsidR="0051299F">
              <w:rPr>
                <w:noProof/>
                <w:color w:val="000000" w:themeColor="text1"/>
                <w:lang w:val="pl-PL"/>
              </w:rPr>
              <w:t> </w:t>
            </w:r>
            <w:r w:rsidR="0051299F" w:rsidRPr="0051299F">
              <w:rPr>
                <w:noProof/>
                <w:color w:val="000000" w:themeColor="text1"/>
                <w:lang w:val="pl-PL"/>
              </w:rPr>
              <w:t>cel</w:t>
            </w:r>
            <w:r w:rsidRPr="0051299F">
              <w:rPr>
                <w:noProof/>
                <w:color w:val="000000" w:themeColor="text1"/>
                <w:lang w:val="pl-PL"/>
              </w:rPr>
              <w:t>u rozwiązywania sporów dotyczących płatności</w:t>
            </w:r>
            <w:r w:rsidR="0051299F" w:rsidRPr="0051299F">
              <w:rPr>
                <w:noProof/>
                <w:color w:val="000000" w:themeColor="text1"/>
                <w:lang w:val="pl-PL"/>
              </w:rPr>
              <w:t xml:space="preserve"> w</w:t>
            </w:r>
            <w:r w:rsidR="0051299F">
              <w:rPr>
                <w:noProof/>
                <w:color w:val="000000" w:themeColor="text1"/>
                <w:lang w:val="pl-PL"/>
              </w:rPr>
              <w:t> </w:t>
            </w:r>
            <w:r w:rsidR="0051299F" w:rsidRPr="0051299F">
              <w:rPr>
                <w:noProof/>
                <w:color w:val="000000" w:themeColor="text1"/>
                <w:lang w:val="pl-PL"/>
              </w:rPr>
              <w:t>tra</w:t>
            </w:r>
            <w:r w:rsidRPr="0051299F">
              <w:rPr>
                <w:noProof/>
                <w:color w:val="000000" w:themeColor="text1"/>
                <w:lang w:val="pl-PL"/>
              </w:rPr>
              <w:t>nsakcjach handlowych.</w:t>
            </w:r>
          </w:p>
          <w:p w14:paraId="4AA02ECE" w14:textId="38451A9D" w:rsidR="007C5BE0" w:rsidRPr="0051299F" w:rsidRDefault="005C472C" w:rsidP="00E76647">
            <w:pPr>
              <w:pStyle w:val="Text2"/>
              <w:spacing w:after="120"/>
              <w:ind w:left="0"/>
              <w:rPr>
                <w:noProof/>
                <w:color w:val="000000" w:themeColor="text1"/>
                <w:lang w:val="pl-PL"/>
              </w:rPr>
            </w:pPr>
            <w:r w:rsidRPr="0051299F">
              <w:rPr>
                <w:noProof/>
                <w:color w:val="000000" w:themeColor="text1"/>
                <w:lang w:val="pl-PL"/>
              </w:rPr>
              <w:t>– Rozwiązanie przez państwa członkowskie UE kwestii nieuczciwych warunków umów</w:t>
            </w:r>
            <w:r w:rsidR="0051299F" w:rsidRPr="0051299F">
              <w:rPr>
                <w:noProof/>
                <w:color w:val="000000" w:themeColor="text1"/>
                <w:lang w:val="pl-PL"/>
              </w:rPr>
              <w:t xml:space="preserve"> i</w:t>
            </w:r>
            <w:r w:rsidR="0051299F">
              <w:rPr>
                <w:noProof/>
                <w:color w:val="000000" w:themeColor="text1"/>
                <w:lang w:val="pl-PL"/>
              </w:rPr>
              <w:t> </w:t>
            </w:r>
            <w:r w:rsidR="0051299F" w:rsidRPr="0051299F">
              <w:rPr>
                <w:noProof/>
                <w:color w:val="000000" w:themeColor="text1"/>
                <w:lang w:val="pl-PL"/>
              </w:rPr>
              <w:t>pra</w:t>
            </w:r>
            <w:r w:rsidRPr="0051299F">
              <w:rPr>
                <w:noProof/>
                <w:color w:val="000000" w:themeColor="text1"/>
                <w:lang w:val="pl-PL"/>
              </w:rPr>
              <w:t>ktyk za pośrednictwem ich prawa krajowego.</w:t>
            </w:r>
          </w:p>
        </w:tc>
      </w:tr>
      <w:tr w:rsidR="007553ED" w:rsidRPr="0051299F" w14:paraId="3344A5F5" w14:textId="77777777" w:rsidTr="00546934">
        <w:trPr>
          <w:trHeight w:val="323"/>
        </w:trPr>
        <w:tc>
          <w:tcPr>
            <w:tcW w:w="9450" w:type="dxa"/>
          </w:tcPr>
          <w:p w14:paraId="23774FFF" w14:textId="093F2661" w:rsidR="007553ED" w:rsidRPr="0051299F" w:rsidRDefault="007553ED" w:rsidP="00546934">
            <w:pPr>
              <w:rPr>
                <w:rFonts w:ascii="Times New Roman" w:eastAsia="Times New Roman" w:hAnsi="Times New Roman" w:cs="Times New Roman"/>
                <w:b/>
                <w:noProof/>
                <w:sz w:val="24"/>
                <w:lang w:val="pl-PL"/>
              </w:rPr>
            </w:pPr>
            <w:r w:rsidRPr="0051299F">
              <w:rPr>
                <w:rFonts w:ascii="Times New Roman" w:hAnsi="Times New Roman"/>
                <w:b/>
                <w:noProof/>
                <w:sz w:val="24"/>
                <w:lang w:val="pl-PL"/>
              </w:rPr>
              <w:t>Jakie są opinie poszczególnych zainteresowanych stron? Jak kształtuje się poparcie dla poszczególnych wariantów?</w:t>
            </w:r>
          </w:p>
        </w:tc>
      </w:tr>
      <w:tr w:rsidR="007553ED" w:rsidRPr="0051299F" w14:paraId="5CCA20BD" w14:textId="77777777" w:rsidTr="00546934">
        <w:trPr>
          <w:trHeight w:val="2370"/>
        </w:trPr>
        <w:tc>
          <w:tcPr>
            <w:tcW w:w="9450" w:type="dxa"/>
          </w:tcPr>
          <w:p w14:paraId="5DE6CD9B" w14:textId="034B44B8" w:rsidR="00B57AB6" w:rsidRPr="0051299F" w:rsidRDefault="0054438F" w:rsidP="002C20B5">
            <w:pPr>
              <w:pStyle w:val="Text2"/>
              <w:spacing w:after="120"/>
              <w:ind w:left="0"/>
              <w:rPr>
                <w:noProof/>
                <w:lang w:val="pl-PL"/>
              </w:rPr>
            </w:pPr>
            <w:r w:rsidRPr="0051299F">
              <w:rPr>
                <w:noProof/>
                <w:lang w:val="pl-PL"/>
              </w:rPr>
              <w:t>Wyniki konsultacji: 939 odpowiedzi</w:t>
            </w:r>
            <w:r w:rsidR="0051299F" w:rsidRPr="0051299F">
              <w:rPr>
                <w:noProof/>
                <w:lang w:val="pl-PL"/>
              </w:rPr>
              <w:t xml:space="preserve"> w</w:t>
            </w:r>
            <w:r w:rsidR="0051299F">
              <w:rPr>
                <w:noProof/>
                <w:lang w:val="pl-PL"/>
              </w:rPr>
              <w:t> </w:t>
            </w:r>
            <w:r w:rsidR="0051299F" w:rsidRPr="0051299F">
              <w:rPr>
                <w:noProof/>
                <w:lang w:val="pl-PL"/>
              </w:rPr>
              <w:t>ram</w:t>
            </w:r>
            <w:r w:rsidRPr="0051299F">
              <w:rPr>
                <w:noProof/>
                <w:lang w:val="pl-PL"/>
              </w:rPr>
              <w:t>ach badania panelowego</w:t>
            </w:r>
            <w:r w:rsidR="0051299F" w:rsidRPr="0051299F">
              <w:rPr>
                <w:noProof/>
                <w:lang w:val="pl-PL"/>
              </w:rPr>
              <w:t xml:space="preserve"> w</w:t>
            </w:r>
            <w:r w:rsidR="0051299F">
              <w:rPr>
                <w:noProof/>
                <w:lang w:val="pl-PL"/>
              </w:rPr>
              <w:t> </w:t>
            </w:r>
            <w:r w:rsidR="0051299F" w:rsidRPr="0051299F">
              <w:rPr>
                <w:noProof/>
                <w:lang w:val="pl-PL"/>
              </w:rPr>
              <w:t>udz</w:t>
            </w:r>
            <w:r w:rsidRPr="0051299F">
              <w:rPr>
                <w:noProof/>
                <w:lang w:val="pl-PL"/>
              </w:rPr>
              <w:t>iałem MŚP, 117 odpowiedzi</w:t>
            </w:r>
            <w:r w:rsidR="0051299F" w:rsidRPr="0051299F">
              <w:rPr>
                <w:noProof/>
                <w:lang w:val="pl-PL"/>
              </w:rPr>
              <w:t xml:space="preserve"> w</w:t>
            </w:r>
            <w:r w:rsidR="0051299F">
              <w:rPr>
                <w:noProof/>
                <w:lang w:val="pl-PL"/>
              </w:rPr>
              <w:t> </w:t>
            </w:r>
            <w:r w:rsidR="0051299F" w:rsidRPr="0051299F">
              <w:rPr>
                <w:noProof/>
                <w:lang w:val="pl-PL"/>
              </w:rPr>
              <w:t>ram</w:t>
            </w:r>
            <w:r w:rsidRPr="0051299F">
              <w:rPr>
                <w:noProof/>
                <w:lang w:val="pl-PL"/>
              </w:rPr>
              <w:t>ach konsultacji publicznych, 137 odpowiedzi na zaproszenie do zgłaszania uwag, kilka spotkań</w:t>
            </w:r>
            <w:r w:rsidR="0051299F" w:rsidRPr="0051299F">
              <w:rPr>
                <w:noProof/>
                <w:lang w:val="pl-PL"/>
              </w:rPr>
              <w:t xml:space="preserve"> z</w:t>
            </w:r>
            <w:r w:rsidR="0051299F">
              <w:rPr>
                <w:noProof/>
                <w:lang w:val="pl-PL"/>
              </w:rPr>
              <w:t> </w:t>
            </w:r>
            <w:r w:rsidR="0051299F" w:rsidRPr="0051299F">
              <w:rPr>
                <w:noProof/>
                <w:lang w:val="pl-PL"/>
              </w:rPr>
              <w:t>zai</w:t>
            </w:r>
            <w:r w:rsidRPr="0051299F">
              <w:rPr>
                <w:noProof/>
                <w:lang w:val="pl-PL"/>
              </w:rPr>
              <w:t>nteresowanymi stronami. Prawie 83</w:t>
            </w:r>
            <w:r w:rsidR="0051299F" w:rsidRPr="0051299F">
              <w:rPr>
                <w:noProof/>
                <w:lang w:val="pl-PL"/>
              </w:rPr>
              <w:t> </w:t>
            </w:r>
            <w:r w:rsidRPr="0051299F">
              <w:rPr>
                <w:noProof/>
                <w:lang w:val="pl-PL"/>
              </w:rPr>
              <w:t>% uczestników badania panelowego</w:t>
            </w:r>
            <w:r w:rsidR="0051299F" w:rsidRPr="0051299F">
              <w:rPr>
                <w:noProof/>
                <w:lang w:val="pl-PL"/>
              </w:rPr>
              <w:t xml:space="preserve"> z</w:t>
            </w:r>
            <w:r w:rsidR="0051299F">
              <w:rPr>
                <w:noProof/>
                <w:lang w:val="pl-PL"/>
              </w:rPr>
              <w:t> </w:t>
            </w:r>
            <w:r w:rsidR="0051299F" w:rsidRPr="0051299F">
              <w:rPr>
                <w:noProof/>
                <w:lang w:val="pl-PL"/>
              </w:rPr>
              <w:t>udz</w:t>
            </w:r>
            <w:r w:rsidRPr="0051299F">
              <w:rPr>
                <w:noProof/>
                <w:lang w:val="pl-PL"/>
              </w:rPr>
              <w:t>iałem MŚP</w:t>
            </w:r>
            <w:r w:rsidR="0051299F" w:rsidRPr="0051299F">
              <w:rPr>
                <w:noProof/>
                <w:lang w:val="pl-PL"/>
              </w:rPr>
              <w:t xml:space="preserve"> i</w:t>
            </w:r>
            <w:r w:rsidR="0051299F">
              <w:rPr>
                <w:noProof/>
                <w:lang w:val="pl-PL"/>
              </w:rPr>
              <w:t> </w:t>
            </w:r>
            <w:r w:rsidR="0051299F" w:rsidRPr="0051299F">
              <w:rPr>
                <w:noProof/>
                <w:lang w:val="pl-PL"/>
              </w:rPr>
              <w:t>3</w:t>
            </w:r>
            <w:r w:rsidRPr="0051299F">
              <w:rPr>
                <w:noProof/>
                <w:lang w:val="pl-PL"/>
              </w:rPr>
              <w:t>6,7</w:t>
            </w:r>
            <w:r w:rsidR="0051299F" w:rsidRPr="0051299F">
              <w:rPr>
                <w:noProof/>
                <w:lang w:val="pl-PL"/>
              </w:rPr>
              <w:t> </w:t>
            </w:r>
            <w:r w:rsidRPr="0051299F">
              <w:rPr>
                <w:noProof/>
                <w:lang w:val="pl-PL"/>
              </w:rPr>
              <w:t>% respondentów</w:t>
            </w:r>
            <w:r w:rsidR="0051299F" w:rsidRPr="0051299F">
              <w:rPr>
                <w:noProof/>
                <w:lang w:val="pl-PL"/>
              </w:rPr>
              <w:t xml:space="preserve"> w</w:t>
            </w:r>
            <w:r w:rsidR="0051299F">
              <w:rPr>
                <w:noProof/>
                <w:lang w:val="pl-PL"/>
              </w:rPr>
              <w:t> </w:t>
            </w:r>
            <w:r w:rsidR="0051299F" w:rsidRPr="0051299F">
              <w:rPr>
                <w:noProof/>
                <w:lang w:val="pl-PL"/>
              </w:rPr>
              <w:t>ram</w:t>
            </w:r>
            <w:r w:rsidRPr="0051299F">
              <w:rPr>
                <w:noProof/>
                <w:lang w:val="pl-PL"/>
              </w:rPr>
              <w:t>ach konsultacji publicznych popiera wprowadzenie górnego limitu terminów płatności</w:t>
            </w:r>
            <w:r w:rsidR="0051299F" w:rsidRPr="0051299F">
              <w:rPr>
                <w:noProof/>
                <w:lang w:val="pl-PL"/>
              </w:rPr>
              <w:t xml:space="preserve"> i</w:t>
            </w:r>
            <w:r w:rsidR="0051299F">
              <w:rPr>
                <w:noProof/>
                <w:lang w:val="pl-PL"/>
              </w:rPr>
              <w:t> </w:t>
            </w:r>
            <w:r w:rsidR="0051299F" w:rsidRPr="0051299F">
              <w:rPr>
                <w:noProof/>
                <w:lang w:val="pl-PL"/>
              </w:rPr>
              <w:t>wsk</w:t>
            </w:r>
            <w:r w:rsidRPr="0051299F">
              <w:rPr>
                <w:noProof/>
                <w:lang w:val="pl-PL"/>
              </w:rPr>
              <w:t>azuje preferowany termin 30 dni. Niewielka liczba stowarzyszeń przedsiębiorców sprzeciwia się temu ograniczeniu terminu płatności lub wzywa do wprowadzenia wyjątków</w:t>
            </w:r>
            <w:r w:rsidR="0051299F" w:rsidRPr="0051299F">
              <w:rPr>
                <w:noProof/>
                <w:lang w:val="pl-PL"/>
              </w:rPr>
              <w:t xml:space="preserve"> w</w:t>
            </w:r>
            <w:r w:rsidR="0051299F">
              <w:rPr>
                <w:noProof/>
                <w:lang w:val="pl-PL"/>
              </w:rPr>
              <w:t> </w:t>
            </w:r>
            <w:r w:rsidR="0051299F" w:rsidRPr="0051299F">
              <w:rPr>
                <w:noProof/>
                <w:lang w:val="pl-PL"/>
              </w:rPr>
              <w:t>okr</w:t>
            </w:r>
            <w:r w:rsidRPr="0051299F">
              <w:rPr>
                <w:noProof/>
                <w:lang w:val="pl-PL"/>
              </w:rPr>
              <w:t>eślonych sektorach. Prawie 81</w:t>
            </w:r>
            <w:r w:rsidR="0051299F" w:rsidRPr="0051299F">
              <w:rPr>
                <w:noProof/>
                <w:lang w:val="pl-PL"/>
              </w:rPr>
              <w:t> </w:t>
            </w:r>
            <w:r w:rsidRPr="0051299F">
              <w:rPr>
                <w:noProof/>
                <w:lang w:val="pl-PL"/>
              </w:rPr>
              <w:t>% respondentów będących MŚP potwierdziło, że odsetki</w:t>
            </w:r>
            <w:r w:rsidR="0051299F" w:rsidRPr="0051299F">
              <w:rPr>
                <w:noProof/>
                <w:lang w:val="pl-PL"/>
              </w:rPr>
              <w:t xml:space="preserve"> i</w:t>
            </w:r>
            <w:r w:rsidR="0051299F">
              <w:rPr>
                <w:noProof/>
                <w:lang w:val="pl-PL"/>
              </w:rPr>
              <w:t> </w:t>
            </w:r>
            <w:r w:rsidR="0051299F" w:rsidRPr="0051299F">
              <w:rPr>
                <w:noProof/>
                <w:lang w:val="pl-PL"/>
              </w:rPr>
              <w:t>rek</w:t>
            </w:r>
            <w:r w:rsidRPr="0051299F">
              <w:rPr>
                <w:noProof/>
                <w:lang w:val="pl-PL"/>
              </w:rPr>
              <w:t>ompensaty nigdy nie są wypłacane. 84</w:t>
            </w:r>
            <w:r w:rsidR="0051299F" w:rsidRPr="0051299F">
              <w:rPr>
                <w:noProof/>
                <w:lang w:val="pl-PL"/>
              </w:rPr>
              <w:t> </w:t>
            </w:r>
            <w:r w:rsidRPr="0051299F">
              <w:rPr>
                <w:noProof/>
                <w:lang w:val="pl-PL"/>
              </w:rPr>
              <w:t>% respondentów będących MŚP uznało utworzenie organów odpowiedzialnych za egzekwowanie prawa za przydatne lub bardzo przydatne Prawie 60</w:t>
            </w:r>
            <w:r w:rsidR="0051299F" w:rsidRPr="0051299F">
              <w:rPr>
                <w:noProof/>
                <w:lang w:val="pl-PL"/>
              </w:rPr>
              <w:t> </w:t>
            </w:r>
            <w:r w:rsidRPr="0051299F">
              <w:rPr>
                <w:noProof/>
                <w:lang w:val="pl-PL"/>
              </w:rPr>
              <w:t>% respondentów</w:t>
            </w:r>
            <w:r w:rsidR="0051299F" w:rsidRPr="0051299F">
              <w:rPr>
                <w:noProof/>
                <w:lang w:val="pl-PL"/>
              </w:rPr>
              <w:t xml:space="preserve"> w</w:t>
            </w:r>
            <w:r w:rsidR="0051299F">
              <w:rPr>
                <w:noProof/>
                <w:lang w:val="pl-PL"/>
              </w:rPr>
              <w:t> </w:t>
            </w:r>
            <w:r w:rsidR="0051299F" w:rsidRPr="0051299F">
              <w:rPr>
                <w:noProof/>
                <w:lang w:val="pl-PL"/>
              </w:rPr>
              <w:t>kon</w:t>
            </w:r>
            <w:r w:rsidRPr="0051299F">
              <w:rPr>
                <w:noProof/>
                <w:lang w:val="pl-PL"/>
              </w:rPr>
              <w:t>sultacjach społecznych uznało, że organy publiczne powinny wprowadzić mechanizmy umożliwiające sprawdzenie, czy główni wykonawcy terminowo wypłacają wynagrodzenie swoim podwykonawcom. Utworzenie krajowego systemu mediacji spotkało się</w:t>
            </w:r>
            <w:r w:rsidR="0051299F" w:rsidRPr="0051299F">
              <w:rPr>
                <w:noProof/>
                <w:lang w:val="pl-PL"/>
              </w:rPr>
              <w:t xml:space="preserve"> z</w:t>
            </w:r>
            <w:r w:rsidR="0051299F">
              <w:rPr>
                <w:noProof/>
                <w:lang w:val="pl-PL"/>
              </w:rPr>
              <w:t> </w:t>
            </w:r>
            <w:r w:rsidR="0051299F" w:rsidRPr="0051299F">
              <w:rPr>
                <w:noProof/>
                <w:lang w:val="pl-PL"/>
              </w:rPr>
              <w:t>poz</w:t>
            </w:r>
            <w:r w:rsidRPr="0051299F">
              <w:rPr>
                <w:noProof/>
                <w:lang w:val="pl-PL"/>
              </w:rPr>
              <w:t>ytywnymi reakcjami respondentów zarówno</w:t>
            </w:r>
            <w:r w:rsidR="0051299F" w:rsidRPr="0051299F">
              <w:rPr>
                <w:noProof/>
                <w:lang w:val="pl-PL"/>
              </w:rPr>
              <w:t xml:space="preserve"> w</w:t>
            </w:r>
            <w:r w:rsidR="0051299F">
              <w:rPr>
                <w:noProof/>
                <w:lang w:val="pl-PL"/>
              </w:rPr>
              <w:t> </w:t>
            </w:r>
            <w:r w:rsidR="0051299F" w:rsidRPr="0051299F">
              <w:rPr>
                <w:noProof/>
                <w:lang w:val="pl-PL"/>
              </w:rPr>
              <w:t>ram</w:t>
            </w:r>
            <w:r w:rsidRPr="0051299F">
              <w:rPr>
                <w:noProof/>
                <w:lang w:val="pl-PL"/>
              </w:rPr>
              <w:t>ach zaproszenia do zgłaszania uwag, jak</w:t>
            </w:r>
            <w:r w:rsidR="0051299F" w:rsidRPr="0051299F">
              <w:rPr>
                <w:noProof/>
                <w:lang w:val="pl-PL"/>
              </w:rPr>
              <w:t xml:space="preserve"> i</w:t>
            </w:r>
            <w:r w:rsidR="0051299F">
              <w:rPr>
                <w:noProof/>
                <w:lang w:val="pl-PL"/>
              </w:rPr>
              <w:t> </w:t>
            </w:r>
            <w:r w:rsidR="0051299F" w:rsidRPr="0051299F">
              <w:rPr>
                <w:noProof/>
                <w:lang w:val="pl-PL"/>
              </w:rPr>
              <w:t>w</w:t>
            </w:r>
            <w:r w:rsidR="0051299F">
              <w:rPr>
                <w:noProof/>
                <w:lang w:val="pl-PL"/>
              </w:rPr>
              <w:t> </w:t>
            </w:r>
            <w:r w:rsidR="0051299F" w:rsidRPr="0051299F">
              <w:rPr>
                <w:noProof/>
                <w:lang w:val="pl-PL"/>
              </w:rPr>
              <w:t>ram</w:t>
            </w:r>
            <w:r w:rsidRPr="0051299F">
              <w:rPr>
                <w:noProof/>
                <w:lang w:val="pl-PL"/>
              </w:rPr>
              <w:t>ach konsultacji społecznych</w:t>
            </w:r>
            <w:r w:rsidR="0051299F" w:rsidRPr="0051299F">
              <w:rPr>
                <w:noProof/>
                <w:lang w:val="pl-PL"/>
              </w:rPr>
              <w:t>. W</w:t>
            </w:r>
            <w:r w:rsidR="0051299F">
              <w:rPr>
                <w:noProof/>
                <w:lang w:val="pl-PL"/>
              </w:rPr>
              <w:t> </w:t>
            </w:r>
            <w:r w:rsidR="0051299F" w:rsidRPr="0051299F">
              <w:rPr>
                <w:noProof/>
                <w:lang w:val="pl-PL"/>
              </w:rPr>
              <w:t>ram</w:t>
            </w:r>
            <w:r w:rsidRPr="0051299F">
              <w:rPr>
                <w:noProof/>
                <w:lang w:val="pl-PL"/>
              </w:rPr>
              <w:t>ach badania panelowego</w:t>
            </w:r>
            <w:r w:rsidR="0051299F" w:rsidRPr="0051299F">
              <w:rPr>
                <w:noProof/>
                <w:lang w:val="pl-PL"/>
              </w:rPr>
              <w:t xml:space="preserve"> z</w:t>
            </w:r>
            <w:r w:rsidR="0051299F">
              <w:rPr>
                <w:noProof/>
                <w:lang w:val="pl-PL"/>
              </w:rPr>
              <w:t> </w:t>
            </w:r>
            <w:r w:rsidR="0051299F" w:rsidRPr="0051299F">
              <w:rPr>
                <w:noProof/>
                <w:lang w:val="pl-PL"/>
              </w:rPr>
              <w:t>udz</w:t>
            </w:r>
            <w:r w:rsidRPr="0051299F">
              <w:rPr>
                <w:noProof/>
                <w:lang w:val="pl-PL"/>
              </w:rPr>
              <w:t>iałem MŚP przeprowadzono również kompleksowy przegląd nieuczciwych praktyk mających na celu obejście prawa.</w:t>
            </w:r>
          </w:p>
          <w:p w14:paraId="6B9F63F2" w14:textId="67525DD6" w:rsidR="007C5BE0" w:rsidRPr="0051299F" w:rsidRDefault="007C5BE0" w:rsidP="002C20B5">
            <w:pPr>
              <w:pStyle w:val="Text2"/>
              <w:spacing w:after="120"/>
              <w:ind w:left="0"/>
              <w:rPr>
                <w:noProof/>
                <w:lang w:val="pl-PL"/>
              </w:rPr>
            </w:pPr>
          </w:p>
        </w:tc>
      </w:tr>
      <w:tr w:rsidR="007553ED" w:rsidRPr="0051299F" w14:paraId="0ED563CA" w14:textId="77777777" w:rsidTr="00B406E1">
        <w:trPr>
          <w:trHeight w:val="323"/>
        </w:trPr>
        <w:tc>
          <w:tcPr>
            <w:tcW w:w="9450" w:type="dxa"/>
            <w:shd w:val="clear" w:color="auto" w:fill="auto"/>
          </w:tcPr>
          <w:p w14:paraId="5156ED2B" w14:textId="1CD94BC9" w:rsidR="007553ED" w:rsidRPr="0051299F" w:rsidRDefault="007553ED" w:rsidP="00546934">
            <w:pPr>
              <w:spacing w:line="259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lang w:val="pl-PL"/>
              </w:rPr>
            </w:pPr>
            <w:r w:rsidRPr="0051299F">
              <w:rPr>
                <w:rFonts w:ascii="Times New Roman" w:hAnsi="Times New Roman"/>
                <w:b/>
                <w:noProof/>
                <w:sz w:val="24"/>
                <w:lang w:val="pl-PL"/>
              </w:rPr>
              <w:t>C. Skutki wdrożenia preferowanego wariantu</w:t>
            </w:r>
          </w:p>
        </w:tc>
      </w:tr>
      <w:tr w:rsidR="007553ED" w:rsidRPr="0051299F" w14:paraId="681BD281" w14:textId="77777777" w:rsidTr="00546934">
        <w:trPr>
          <w:trHeight w:val="323"/>
        </w:trPr>
        <w:tc>
          <w:tcPr>
            <w:tcW w:w="9450" w:type="dxa"/>
            <w:shd w:val="clear" w:color="auto" w:fill="FFFFFF" w:themeFill="background1"/>
          </w:tcPr>
          <w:p w14:paraId="2B61F5B4" w14:textId="4DEE9E85" w:rsidR="007553ED" w:rsidRPr="0051299F" w:rsidRDefault="007553ED" w:rsidP="00546934">
            <w:pPr>
              <w:spacing w:line="259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lang w:val="pl-PL"/>
              </w:rPr>
            </w:pPr>
            <w:r w:rsidRPr="0051299F">
              <w:rPr>
                <w:rFonts w:ascii="Times New Roman" w:hAnsi="Times New Roman"/>
                <w:b/>
                <w:noProof/>
                <w:sz w:val="24"/>
                <w:lang w:val="pl-PL"/>
              </w:rPr>
              <w:t>Jakie korzyści płyną</w:t>
            </w:r>
            <w:r w:rsidR="0051299F" w:rsidRPr="0051299F">
              <w:rPr>
                <w:rFonts w:ascii="Times New Roman" w:hAnsi="Times New Roman"/>
                <w:b/>
                <w:noProof/>
                <w:sz w:val="24"/>
                <w:lang w:val="pl-PL"/>
              </w:rPr>
              <w:t xml:space="preserve"> z</w:t>
            </w:r>
            <w:r w:rsidR="0051299F">
              <w:rPr>
                <w:rFonts w:ascii="Times New Roman" w:hAnsi="Times New Roman"/>
                <w:b/>
                <w:noProof/>
                <w:sz w:val="24"/>
                <w:lang w:val="pl-PL"/>
              </w:rPr>
              <w:t> </w:t>
            </w:r>
            <w:r w:rsidR="0051299F" w:rsidRPr="0051299F">
              <w:rPr>
                <w:rFonts w:ascii="Times New Roman" w:hAnsi="Times New Roman"/>
                <w:b/>
                <w:noProof/>
                <w:sz w:val="24"/>
                <w:lang w:val="pl-PL"/>
              </w:rPr>
              <w:t>wyb</w:t>
            </w:r>
            <w:r w:rsidRPr="0051299F">
              <w:rPr>
                <w:rFonts w:ascii="Times New Roman" w:hAnsi="Times New Roman"/>
                <w:b/>
                <w:noProof/>
                <w:sz w:val="24"/>
                <w:lang w:val="pl-PL"/>
              </w:rPr>
              <w:t>oru tego wariantu?</w:t>
            </w:r>
          </w:p>
        </w:tc>
      </w:tr>
      <w:tr w:rsidR="007553ED" w:rsidRPr="0051299F" w14:paraId="65DCF660" w14:textId="77777777" w:rsidTr="005F109D">
        <w:trPr>
          <w:trHeight w:val="2551"/>
        </w:trPr>
        <w:tc>
          <w:tcPr>
            <w:tcW w:w="9450" w:type="dxa"/>
            <w:shd w:val="clear" w:color="auto" w:fill="FFFFFF" w:themeFill="background1"/>
          </w:tcPr>
          <w:p w14:paraId="64278FAE" w14:textId="1225BE6F" w:rsidR="00C2047A" w:rsidRPr="0051299F" w:rsidRDefault="00357E7C" w:rsidP="00332085">
            <w:pPr>
              <w:jc w:val="both"/>
              <w:rPr>
                <w:rFonts w:ascii="Times New Roman" w:hAnsi="Times New Roman" w:cs="Times New Roman"/>
                <w:noProof/>
                <w:sz w:val="24"/>
                <w:lang w:val="pl-PL"/>
              </w:rPr>
            </w:pPr>
            <w:r w:rsidRPr="0051299F">
              <w:rPr>
                <w:rFonts w:ascii="Times New Roman" w:hAnsi="Times New Roman"/>
                <w:noProof/>
                <w:sz w:val="24"/>
                <w:lang w:val="pl-PL"/>
              </w:rPr>
              <w:t>Na poziomie zagregowanym wpływ będzie korzystny dla przedsiębiorstw. Skrócenie terminów płatności, szacunkowo</w:t>
            </w:r>
            <w:r w:rsidR="0051299F" w:rsidRPr="0051299F">
              <w:rPr>
                <w:rFonts w:ascii="Times New Roman" w:hAnsi="Times New Roman"/>
                <w:noProof/>
                <w:sz w:val="24"/>
                <w:lang w:val="pl-PL"/>
              </w:rPr>
              <w:t xml:space="preserve"> o</w:t>
            </w:r>
            <w:r w:rsidR="0051299F">
              <w:rPr>
                <w:rFonts w:ascii="Times New Roman" w:hAnsi="Times New Roman"/>
                <w:noProof/>
                <w:sz w:val="24"/>
                <w:lang w:val="pl-PL"/>
              </w:rPr>
              <w:t> </w:t>
            </w:r>
            <w:r w:rsidR="0051299F" w:rsidRPr="0051299F">
              <w:rPr>
                <w:rFonts w:ascii="Times New Roman" w:hAnsi="Times New Roman"/>
                <w:noProof/>
                <w:sz w:val="24"/>
                <w:lang w:val="pl-PL"/>
              </w:rPr>
              <w:t>3</w:t>
            </w:r>
            <w:r w:rsidRPr="0051299F">
              <w:rPr>
                <w:rFonts w:ascii="Times New Roman" w:hAnsi="Times New Roman"/>
                <w:noProof/>
                <w:sz w:val="24"/>
                <w:lang w:val="pl-PL"/>
              </w:rPr>
              <w:t>5</w:t>
            </w:r>
            <w:r w:rsidR="0051299F" w:rsidRPr="0051299F">
              <w:rPr>
                <w:rFonts w:ascii="Times New Roman" w:hAnsi="Times New Roman"/>
                <w:noProof/>
                <w:sz w:val="24"/>
                <w:lang w:val="pl-PL"/>
              </w:rPr>
              <w:t> </w:t>
            </w:r>
            <w:r w:rsidRPr="0051299F">
              <w:rPr>
                <w:rFonts w:ascii="Times New Roman" w:hAnsi="Times New Roman"/>
                <w:noProof/>
                <w:sz w:val="24"/>
                <w:lang w:val="pl-PL"/>
              </w:rPr>
              <w:t>%, uwolni przepływy środków pieniężnych</w:t>
            </w:r>
            <w:r w:rsidR="0051299F" w:rsidRPr="0051299F">
              <w:rPr>
                <w:rFonts w:ascii="Times New Roman" w:hAnsi="Times New Roman"/>
                <w:noProof/>
                <w:sz w:val="24"/>
                <w:lang w:val="pl-PL"/>
              </w:rPr>
              <w:t xml:space="preserve"> i</w:t>
            </w:r>
            <w:r w:rsidR="0051299F">
              <w:rPr>
                <w:rFonts w:ascii="Times New Roman" w:hAnsi="Times New Roman"/>
                <w:noProof/>
                <w:sz w:val="24"/>
                <w:lang w:val="pl-PL"/>
              </w:rPr>
              <w:t> </w:t>
            </w:r>
            <w:r w:rsidR="0051299F" w:rsidRPr="0051299F">
              <w:rPr>
                <w:rFonts w:ascii="Times New Roman" w:hAnsi="Times New Roman"/>
                <w:noProof/>
                <w:sz w:val="24"/>
                <w:lang w:val="pl-PL"/>
              </w:rPr>
              <w:t>pop</w:t>
            </w:r>
            <w:r w:rsidRPr="0051299F">
              <w:rPr>
                <w:rFonts w:ascii="Times New Roman" w:hAnsi="Times New Roman"/>
                <w:noProof/>
                <w:sz w:val="24"/>
                <w:lang w:val="pl-PL"/>
              </w:rPr>
              <w:t>rawi przewidywalność płatności. Mniejsi gracze rynkowi będą mniej narażeni na nieuczciwe warunki płatności,</w:t>
            </w:r>
            <w:r w:rsidR="0051299F" w:rsidRPr="0051299F">
              <w:rPr>
                <w:rFonts w:ascii="Times New Roman" w:hAnsi="Times New Roman"/>
                <w:noProof/>
                <w:sz w:val="24"/>
                <w:lang w:val="pl-PL"/>
              </w:rPr>
              <w:t xml:space="preserve"> a</w:t>
            </w:r>
            <w:r w:rsidR="0051299F">
              <w:rPr>
                <w:rFonts w:ascii="Times New Roman" w:hAnsi="Times New Roman"/>
                <w:noProof/>
                <w:sz w:val="24"/>
                <w:lang w:val="pl-PL"/>
              </w:rPr>
              <w:t> </w:t>
            </w:r>
            <w:r w:rsidR="0051299F" w:rsidRPr="0051299F">
              <w:rPr>
                <w:rFonts w:ascii="Times New Roman" w:hAnsi="Times New Roman"/>
                <w:noProof/>
                <w:sz w:val="24"/>
                <w:lang w:val="pl-PL"/>
              </w:rPr>
              <w:t>w</w:t>
            </w:r>
            <w:r w:rsidR="0051299F">
              <w:rPr>
                <w:rFonts w:ascii="Times New Roman" w:hAnsi="Times New Roman"/>
                <w:noProof/>
                <w:sz w:val="24"/>
                <w:lang w:val="pl-PL"/>
              </w:rPr>
              <w:t> </w:t>
            </w:r>
            <w:r w:rsidR="0051299F" w:rsidRPr="0051299F">
              <w:rPr>
                <w:rFonts w:ascii="Times New Roman" w:hAnsi="Times New Roman"/>
                <w:noProof/>
                <w:sz w:val="24"/>
                <w:lang w:val="pl-PL"/>
              </w:rPr>
              <w:t>prz</w:t>
            </w:r>
            <w:r w:rsidRPr="0051299F">
              <w:rPr>
                <w:rFonts w:ascii="Times New Roman" w:hAnsi="Times New Roman"/>
                <w:noProof/>
                <w:sz w:val="24"/>
                <w:lang w:val="pl-PL"/>
              </w:rPr>
              <w:t>ypadku opóźnień</w:t>
            </w:r>
            <w:r w:rsidR="0051299F" w:rsidRPr="0051299F">
              <w:rPr>
                <w:rFonts w:ascii="Times New Roman" w:hAnsi="Times New Roman"/>
                <w:noProof/>
                <w:sz w:val="24"/>
                <w:lang w:val="pl-PL"/>
              </w:rPr>
              <w:t xml:space="preserve"> w</w:t>
            </w:r>
            <w:r w:rsidR="0051299F">
              <w:rPr>
                <w:rFonts w:ascii="Times New Roman" w:hAnsi="Times New Roman"/>
                <w:noProof/>
                <w:sz w:val="24"/>
                <w:lang w:val="pl-PL"/>
              </w:rPr>
              <w:t> </w:t>
            </w:r>
            <w:r w:rsidR="0051299F" w:rsidRPr="0051299F">
              <w:rPr>
                <w:rFonts w:ascii="Times New Roman" w:hAnsi="Times New Roman"/>
                <w:noProof/>
                <w:sz w:val="24"/>
                <w:lang w:val="pl-PL"/>
              </w:rPr>
              <w:t>pła</w:t>
            </w:r>
            <w:r w:rsidRPr="0051299F">
              <w:rPr>
                <w:rFonts w:ascii="Times New Roman" w:hAnsi="Times New Roman"/>
                <w:noProof/>
                <w:sz w:val="24"/>
                <w:lang w:val="pl-PL"/>
              </w:rPr>
              <w:t>tnościach będą dysponować skutecznymi środkami dochodzenia roszczeń. Koszty problematycznej procedury ścigania dłużników (szacowane na</w:t>
            </w:r>
            <w:r w:rsidR="0051299F" w:rsidRPr="0051299F">
              <w:rPr>
                <w:rFonts w:ascii="Times New Roman" w:hAnsi="Times New Roman"/>
                <w:noProof/>
                <w:sz w:val="24"/>
                <w:lang w:val="pl-PL"/>
              </w:rPr>
              <w:t> </w:t>
            </w:r>
            <w:r w:rsidRPr="0051299F">
              <w:rPr>
                <w:rFonts w:ascii="Times New Roman" w:hAnsi="Times New Roman"/>
                <w:noProof/>
                <w:sz w:val="24"/>
                <w:lang w:val="pl-PL"/>
              </w:rPr>
              <w:t>340,2 mln roboczogodzin, co odpowiada 8,74 mld EUR) zostaną znacznie zmniejszone. Wprowadzenie mediacji pozwoli przedsiębiorstwom zaoszczędzić 27 mln EUR rocznie dzięki uniknięciu spraw sądowych. Przedmiotowa inicjatywa powoduje także zwiększenie uczciwości</w:t>
            </w:r>
            <w:r w:rsidR="0051299F" w:rsidRPr="0051299F">
              <w:rPr>
                <w:rFonts w:ascii="Times New Roman" w:hAnsi="Times New Roman"/>
                <w:noProof/>
                <w:sz w:val="24"/>
                <w:lang w:val="pl-PL"/>
              </w:rPr>
              <w:t xml:space="preserve"> w</w:t>
            </w:r>
            <w:r w:rsidR="0051299F">
              <w:rPr>
                <w:rFonts w:ascii="Times New Roman" w:hAnsi="Times New Roman"/>
                <w:noProof/>
                <w:sz w:val="24"/>
                <w:lang w:val="pl-PL"/>
              </w:rPr>
              <w:t> </w:t>
            </w:r>
            <w:r w:rsidR="0051299F" w:rsidRPr="0051299F">
              <w:rPr>
                <w:rFonts w:ascii="Times New Roman" w:hAnsi="Times New Roman"/>
                <w:noProof/>
                <w:sz w:val="24"/>
                <w:lang w:val="pl-PL"/>
              </w:rPr>
              <w:t>rel</w:t>
            </w:r>
            <w:r w:rsidRPr="0051299F">
              <w:rPr>
                <w:rFonts w:ascii="Times New Roman" w:hAnsi="Times New Roman"/>
                <w:noProof/>
                <w:sz w:val="24"/>
                <w:lang w:val="pl-PL"/>
              </w:rPr>
              <w:t xml:space="preserve">acjach biznesowych. </w:t>
            </w:r>
          </w:p>
          <w:p w14:paraId="47C6632D" w14:textId="60DE0157" w:rsidR="00332085" w:rsidRPr="0051299F" w:rsidRDefault="00C15F72" w:rsidP="00332085">
            <w:pPr>
              <w:jc w:val="both"/>
              <w:rPr>
                <w:rFonts w:ascii="Times New Roman" w:hAnsi="Times New Roman" w:cs="Times New Roman"/>
                <w:noProof/>
                <w:sz w:val="24"/>
                <w:lang w:val="pl-PL"/>
              </w:rPr>
            </w:pPr>
            <w:r w:rsidRPr="0051299F">
              <w:rPr>
                <w:rFonts w:ascii="Times New Roman" w:hAnsi="Times New Roman"/>
                <w:noProof/>
                <w:sz w:val="24"/>
                <w:lang w:val="pl-PL"/>
              </w:rPr>
              <w:t>Systemy mediacji przynoszą korzyści organom publicznym, zarówno bezpośrednio, jeśli organy te chcą rozstrzygnąć spór</w:t>
            </w:r>
            <w:r w:rsidR="0051299F" w:rsidRPr="0051299F">
              <w:rPr>
                <w:rFonts w:ascii="Times New Roman" w:hAnsi="Times New Roman"/>
                <w:noProof/>
                <w:sz w:val="24"/>
                <w:lang w:val="pl-PL"/>
              </w:rPr>
              <w:t xml:space="preserve"> z</w:t>
            </w:r>
            <w:r w:rsidR="0051299F">
              <w:rPr>
                <w:rFonts w:ascii="Times New Roman" w:hAnsi="Times New Roman"/>
                <w:noProof/>
                <w:sz w:val="24"/>
                <w:lang w:val="pl-PL"/>
              </w:rPr>
              <w:t> </w:t>
            </w:r>
            <w:r w:rsidR="0051299F" w:rsidRPr="0051299F">
              <w:rPr>
                <w:rFonts w:ascii="Times New Roman" w:hAnsi="Times New Roman"/>
                <w:noProof/>
                <w:sz w:val="24"/>
                <w:lang w:val="pl-PL"/>
              </w:rPr>
              <w:t>dos</w:t>
            </w:r>
            <w:r w:rsidRPr="0051299F">
              <w:rPr>
                <w:rFonts w:ascii="Times New Roman" w:hAnsi="Times New Roman"/>
                <w:noProof/>
                <w:sz w:val="24"/>
                <w:lang w:val="pl-PL"/>
              </w:rPr>
              <w:t>tawcą, jak</w:t>
            </w:r>
            <w:r w:rsidR="0051299F" w:rsidRPr="0051299F">
              <w:rPr>
                <w:rFonts w:ascii="Times New Roman" w:hAnsi="Times New Roman"/>
                <w:noProof/>
                <w:sz w:val="24"/>
                <w:lang w:val="pl-PL"/>
              </w:rPr>
              <w:t xml:space="preserve"> i</w:t>
            </w:r>
            <w:r w:rsidR="0051299F">
              <w:rPr>
                <w:rFonts w:ascii="Times New Roman" w:hAnsi="Times New Roman"/>
                <w:noProof/>
                <w:sz w:val="24"/>
                <w:lang w:val="pl-PL"/>
              </w:rPr>
              <w:t> </w:t>
            </w:r>
            <w:r w:rsidR="0051299F" w:rsidRPr="0051299F">
              <w:rPr>
                <w:rFonts w:ascii="Times New Roman" w:hAnsi="Times New Roman"/>
                <w:noProof/>
                <w:sz w:val="24"/>
                <w:lang w:val="pl-PL"/>
              </w:rPr>
              <w:t>poś</w:t>
            </w:r>
            <w:r w:rsidRPr="0051299F">
              <w:rPr>
                <w:rFonts w:ascii="Times New Roman" w:hAnsi="Times New Roman"/>
                <w:noProof/>
                <w:sz w:val="24"/>
                <w:lang w:val="pl-PL"/>
              </w:rPr>
              <w:t>rednio, dzięki zmniejszeniu obciążenia systemu sądowego.</w:t>
            </w:r>
            <w:r w:rsidR="0051299F" w:rsidRPr="0051299F">
              <w:rPr>
                <w:rFonts w:ascii="Times New Roman" w:hAnsi="Times New Roman"/>
                <w:noProof/>
                <w:sz w:val="24"/>
                <w:lang w:val="pl-PL"/>
              </w:rPr>
              <w:t xml:space="preserve"> </w:t>
            </w:r>
            <w:r w:rsidRPr="0051299F">
              <w:rPr>
                <w:rFonts w:ascii="Times New Roman" w:hAnsi="Times New Roman"/>
                <w:noProof/>
                <w:sz w:val="24"/>
                <w:lang w:val="pl-PL"/>
              </w:rPr>
              <w:t>Ogólnie rzecz ujmując, prowadzi to do zmniejszenia opóźnień</w:t>
            </w:r>
            <w:r w:rsidR="0051299F" w:rsidRPr="0051299F">
              <w:rPr>
                <w:rFonts w:ascii="Times New Roman" w:hAnsi="Times New Roman"/>
                <w:noProof/>
                <w:sz w:val="24"/>
                <w:lang w:val="pl-PL"/>
              </w:rPr>
              <w:t xml:space="preserve"> w</w:t>
            </w:r>
            <w:r w:rsidR="0051299F">
              <w:rPr>
                <w:rFonts w:ascii="Times New Roman" w:hAnsi="Times New Roman"/>
                <w:noProof/>
                <w:sz w:val="24"/>
                <w:lang w:val="pl-PL"/>
              </w:rPr>
              <w:t> </w:t>
            </w:r>
            <w:r w:rsidR="0051299F" w:rsidRPr="0051299F">
              <w:rPr>
                <w:rFonts w:ascii="Times New Roman" w:hAnsi="Times New Roman"/>
                <w:noProof/>
                <w:sz w:val="24"/>
                <w:lang w:val="pl-PL"/>
              </w:rPr>
              <w:t>pła</w:t>
            </w:r>
            <w:r w:rsidRPr="0051299F">
              <w:rPr>
                <w:rFonts w:ascii="Times New Roman" w:hAnsi="Times New Roman"/>
                <w:noProof/>
                <w:sz w:val="24"/>
                <w:lang w:val="pl-PL"/>
              </w:rPr>
              <w:t>tnościach, co oznacza mniej przypadków upadłości</w:t>
            </w:r>
            <w:r w:rsidR="0051299F" w:rsidRPr="0051299F">
              <w:rPr>
                <w:rFonts w:ascii="Times New Roman" w:hAnsi="Times New Roman"/>
                <w:noProof/>
                <w:sz w:val="24"/>
                <w:lang w:val="pl-PL"/>
              </w:rPr>
              <w:t xml:space="preserve"> i</w:t>
            </w:r>
            <w:r w:rsidR="0051299F">
              <w:rPr>
                <w:rFonts w:ascii="Times New Roman" w:hAnsi="Times New Roman"/>
                <w:noProof/>
                <w:sz w:val="24"/>
                <w:lang w:val="pl-PL"/>
              </w:rPr>
              <w:t> </w:t>
            </w:r>
            <w:r w:rsidR="0051299F" w:rsidRPr="0051299F">
              <w:rPr>
                <w:rFonts w:ascii="Times New Roman" w:hAnsi="Times New Roman"/>
                <w:noProof/>
                <w:sz w:val="24"/>
                <w:lang w:val="pl-PL"/>
              </w:rPr>
              <w:t>niż</w:t>
            </w:r>
            <w:r w:rsidRPr="0051299F">
              <w:rPr>
                <w:rFonts w:ascii="Times New Roman" w:hAnsi="Times New Roman"/>
                <w:noProof/>
                <w:sz w:val="24"/>
                <w:lang w:val="pl-PL"/>
              </w:rPr>
              <w:t>sze związane</w:t>
            </w:r>
            <w:r w:rsidR="0051299F" w:rsidRPr="0051299F">
              <w:rPr>
                <w:rFonts w:ascii="Times New Roman" w:hAnsi="Times New Roman"/>
                <w:noProof/>
                <w:sz w:val="24"/>
                <w:lang w:val="pl-PL"/>
              </w:rPr>
              <w:t xml:space="preserve"> z</w:t>
            </w:r>
            <w:r w:rsidR="0051299F">
              <w:rPr>
                <w:rFonts w:ascii="Times New Roman" w:hAnsi="Times New Roman"/>
                <w:noProof/>
                <w:sz w:val="24"/>
                <w:lang w:val="pl-PL"/>
              </w:rPr>
              <w:t> </w:t>
            </w:r>
            <w:r w:rsidR="0051299F" w:rsidRPr="0051299F">
              <w:rPr>
                <w:rFonts w:ascii="Times New Roman" w:hAnsi="Times New Roman"/>
                <w:noProof/>
                <w:sz w:val="24"/>
                <w:lang w:val="pl-PL"/>
              </w:rPr>
              <w:t>nim</w:t>
            </w:r>
            <w:r w:rsidRPr="0051299F">
              <w:rPr>
                <w:rFonts w:ascii="Times New Roman" w:hAnsi="Times New Roman"/>
                <w:noProof/>
                <w:sz w:val="24"/>
                <w:lang w:val="pl-PL"/>
              </w:rPr>
              <w:t>i koszty dla budżetu państwa.</w:t>
            </w:r>
          </w:p>
          <w:p w14:paraId="3222721E" w14:textId="5B1D1FCC" w:rsidR="002D491E" w:rsidRPr="0051299F" w:rsidRDefault="00332085" w:rsidP="00E554BC">
            <w:pPr>
              <w:pStyle w:val="Text2"/>
              <w:spacing w:after="0"/>
              <w:ind w:left="0"/>
              <w:rPr>
                <w:noProof/>
                <w:lang w:val="pl-PL"/>
              </w:rPr>
            </w:pPr>
            <w:r w:rsidRPr="0051299F">
              <w:rPr>
                <w:noProof/>
                <w:lang w:val="pl-PL"/>
              </w:rPr>
              <w:t>Inicjatywa ta nie ma bezpośredniego wpływu na konsumentów.</w:t>
            </w:r>
            <w:bookmarkStart w:id="26" w:name="_Toc130889350"/>
            <w:bookmarkStart w:id="27" w:name="_Toc130911717"/>
            <w:bookmarkStart w:id="28" w:name="_Toc130889351"/>
            <w:bookmarkStart w:id="29" w:name="_Toc130911718"/>
            <w:bookmarkStart w:id="30" w:name="_Toc130889352"/>
            <w:bookmarkStart w:id="31" w:name="_Toc130911719"/>
            <w:bookmarkEnd w:id="26"/>
            <w:bookmarkEnd w:id="27"/>
            <w:bookmarkEnd w:id="28"/>
            <w:bookmarkEnd w:id="29"/>
            <w:bookmarkEnd w:id="30"/>
            <w:bookmarkEnd w:id="31"/>
            <w:r w:rsidRPr="0051299F">
              <w:rPr>
                <w:noProof/>
                <w:lang w:val="pl-PL"/>
              </w:rPr>
              <w:t xml:space="preserve"> </w:t>
            </w:r>
          </w:p>
          <w:p w14:paraId="014C4418" w14:textId="742E5FE9" w:rsidR="00770AB8" w:rsidRPr="0051299F" w:rsidRDefault="00770AB8" w:rsidP="00E554BC">
            <w:pPr>
              <w:pStyle w:val="Text2"/>
              <w:spacing w:after="0"/>
              <w:ind w:left="0"/>
              <w:rPr>
                <w:noProof/>
                <w:lang w:val="pl-PL"/>
              </w:rPr>
            </w:pPr>
          </w:p>
        </w:tc>
      </w:tr>
      <w:tr w:rsidR="007553ED" w:rsidRPr="0051299F" w14:paraId="2AC479EC" w14:textId="77777777" w:rsidTr="00546934">
        <w:trPr>
          <w:trHeight w:val="323"/>
        </w:trPr>
        <w:tc>
          <w:tcPr>
            <w:tcW w:w="9450" w:type="dxa"/>
            <w:shd w:val="clear" w:color="auto" w:fill="FFFFFF" w:themeFill="background1"/>
          </w:tcPr>
          <w:p w14:paraId="68E4C0C7" w14:textId="0726B6A3" w:rsidR="007553ED" w:rsidRPr="0051299F" w:rsidRDefault="007553ED" w:rsidP="00546934">
            <w:pPr>
              <w:spacing w:line="259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lang w:val="pl-PL"/>
              </w:rPr>
            </w:pPr>
            <w:r w:rsidRPr="0051299F">
              <w:rPr>
                <w:rFonts w:ascii="Times New Roman" w:hAnsi="Times New Roman"/>
                <w:b/>
                <w:noProof/>
                <w:sz w:val="24"/>
                <w:lang w:val="pl-PL"/>
              </w:rPr>
              <w:t>Jakie są koszty wdrożenia preferowanego wariantu (dla przedsiębiorstw</w:t>
            </w:r>
            <w:r w:rsidR="0051299F" w:rsidRPr="0051299F">
              <w:rPr>
                <w:rFonts w:ascii="Times New Roman" w:hAnsi="Times New Roman"/>
                <w:b/>
                <w:noProof/>
                <w:sz w:val="24"/>
                <w:lang w:val="pl-PL"/>
              </w:rPr>
              <w:t xml:space="preserve"> i</w:t>
            </w:r>
            <w:r w:rsidR="0051299F">
              <w:rPr>
                <w:rFonts w:ascii="Times New Roman" w:hAnsi="Times New Roman"/>
                <w:b/>
                <w:noProof/>
                <w:sz w:val="24"/>
                <w:lang w:val="pl-PL"/>
              </w:rPr>
              <w:t> </w:t>
            </w:r>
            <w:r w:rsidR="0051299F" w:rsidRPr="0051299F">
              <w:rPr>
                <w:rFonts w:ascii="Times New Roman" w:hAnsi="Times New Roman"/>
                <w:b/>
                <w:noProof/>
                <w:sz w:val="24"/>
                <w:lang w:val="pl-PL"/>
              </w:rPr>
              <w:t>org</w:t>
            </w:r>
            <w:r w:rsidRPr="0051299F">
              <w:rPr>
                <w:rFonts w:ascii="Times New Roman" w:hAnsi="Times New Roman"/>
                <w:b/>
                <w:noProof/>
                <w:sz w:val="24"/>
                <w:lang w:val="pl-PL"/>
              </w:rPr>
              <w:t>anów publicznych)?</w:t>
            </w:r>
          </w:p>
        </w:tc>
      </w:tr>
      <w:tr w:rsidR="007553ED" w:rsidRPr="0051299F" w14:paraId="1B0D105A" w14:textId="77777777" w:rsidTr="00546934">
        <w:trPr>
          <w:trHeight w:val="323"/>
        </w:trPr>
        <w:tc>
          <w:tcPr>
            <w:tcW w:w="9450" w:type="dxa"/>
            <w:shd w:val="clear" w:color="auto" w:fill="FFFFFF" w:themeFill="background1"/>
          </w:tcPr>
          <w:p w14:paraId="28B535A8" w14:textId="52A48D49" w:rsidR="00332085" w:rsidRPr="0051299F" w:rsidRDefault="00332085" w:rsidP="00332085">
            <w:pPr>
              <w:jc w:val="both"/>
              <w:rPr>
                <w:rFonts w:ascii="Times New Roman" w:eastAsia="Times New Roman" w:hAnsi="Times New Roman" w:cs="Times New Roman"/>
                <w:noProof/>
                <w:sz w:val="24"/>
                <w:lang w:val="pl-PL"/>
              </w:rPr>
            </w:pPr>
            <w:r w:rsidRPr="0051299F">
              <w:rPr>
                <w:rFonts w:ascii="Times New Roman" w:hAnsi="Times New Roman"/>
                <w:noProof/>
                <w:sz w:val="24"/>
                <w:lang w:val="pl-PL"/>
              </w:rPr>
              <w:t>Większość kosztów mających wpływ na wszystkie przedsiębiorstwa to koszty jednorazowe. Koszty te, których wysokość szacuje się na</w:t>
            </w:r>
            <w:r w:rsidR="0051299F" w:rsidRPr="0051299F">
              <w:rPr>
                <w:rFonts w:ascii="Times New Roman" w:hAnsi="Times New Roman"/>
                <w:noProof/>
                <w:sz w:val="24"/>
                <w:lang w:val="pl-PL"/>
              </w:rPr>
              <w:t> </w:t>
            </w:r>
            <w:r w:rsidRPr="0051299F">
              <w:rPr>
                <w:rFonts w:ascii="Times New Roman" w:hAnsi="Times New Roman"/>
                <w:noProof/>
                <w:sz w:val="24"/>
                <w:lang w:val="pl-PL"/>
              </w:rPr>
              <w:t>243 mln EUR, obejmują koszty aktualizacji standardowych faktur</w:t>
            </w:r>
            <w:r w:rsidR="0051299F" w:rsidRPr="0051299F">
              <w:rPr>
                <w:rFonts w:ascii="Times New Roman" w:hAnsi="Times New Roman"/>
                <w:noProof/>
                <w:sz w:val="24"/>
                <w:lang w:val="pl-PL"/>
              </w:rPr>
              <w:t xml:space="preserve"> w</w:t>
            </w:r>
            <w:r w:rsidR="0051299F">
              <w:rPr>
                <w:rFonts w:ascii="Times New Roman" w:hAnsi="Times New Roman"/>
                <w:noProof/>
                <w:sz w:val="24"/>
                <w:lang w:val="pl-PL"/>
              </w:rPr>
              <w:t> </w:t>
            </w:r>
            <w:r w:rsidR="0051299F" w:rsidRPr="0051299F">
              <w:rPr>
                <w:rFonts w:ascii="Times New Roman" w:hAnsi="Times New Roman"/>
                <w:noProof/>
                <w:sz w:val="24"/>
                <w:lang w:val="pl-PL"/>
              </w:rPr>
              <w:t>cel</w:t>
            </w:r>
            <w:r w:rsidRPr="0051299F">
              <w:rPr>
                <w:rFonts w:ascii="Times New Roman" w:hAnsi="Times New Roman"/>
                <w:noProof/>
                <w:sz w:val="24"/>
                <w:lang w:val="pl-PL"/>
              </w:rPr>
              <w:t>u uwzględnienia nowych warunków płatności</w:t>
            </w:r>
            <w:r w:rsidR="0051299F" w:rsidRPr="0051299F">
              <w:rPr>
                <w:rFonts w:ascii="Times New Roman" w:hAnsi="Times New Roman"/>
                <w:noProof/>
                <w:sz w:val="24"/>
                <w:lang w:val="pl-PL"/>
              </w:rPr>
              <w:t xml:space="preserve"> i</w:t>
            </w:r>
            <w:r w:rsidR="0051299F">
              <w:rPr>
                <w:rFonts w:ascii="Times New Roman" w:hAnsi="Times New Roman"/>
                <w:noProof/>
                <w:sz w:val="24"/>
                <w:lang w:val="pl-PL"/>
              </w:rPr>
              <w:t> </w:t>
            </w:r>
            <w:r w:rsidR="0051299F" w:rsidRPr="0051299F">
              <w:rPr>
                <w:rFonts w:ascii="Times New Roman" w:hAnsi="Times New Roman"/>
                <w:noProof/>
                <w:sz w:val="24"/>
                <w:lang w:val="pl-PL"/>
              </w:rPr>
              <w:t>dos</w:t>
            </w:r>
            <w:r w:rsidRPr="0051299F">
              <w:rPr>
                <w:rFonts w:ascii="Times New Roman" w:hAnsi="Times New Roman"/>
                <w:noProof/>
                <w:sz w:val="24"/>
                <w:lang w:val="pl-PL"/>
              </w:rPr>
              <w:t>tosowania opłat</w:t>
            </w:r>
            <w:r w:rsidR="0051299F" w:rsidRPr="0051299F">
              <w:rPr>
                <w:rFonts w:ascii="Times New Roman" w:hAnsi="Times New Roman"/>
                <w:noProof/>
                <w:sz w:val="24"/>
                <w:lang w:val="pl-PL"/>
              </w:rPr>
              <w:t xml:space="preserve"> z</w:t>
            </w:r>
            <w:r w:rsidR="0051299F">
              <w:rPr>
                <w:rFonts w:ascii="Times New Roman" w:hAnsi="Times New Roman"/>
                <w:noProof/>
                <w:sz w:val="24"/>
                <w:lang w:val="pl-PL"/>
              </w:rPr>
              <w:t> </w:t>
            </w:r>
            <w:r w:rsidR="0051299F" w:rsidRPr="0051299F">
              <w:rPr>
                <w:rFonts w:ascii="Times New Roman" w:hAnsi="Times New Roman"/>
                <w:noProof/>
                <w:sz w:val="24"/>
                <w:lang w:val="pl-PL"/>
              </w:rPr>
              <w:t>tyt</w:t>
            </w:r>
            <w:r w:rsidRPr="0051299F">
              <w:rPr>
                <w:rFonts w:ascii="Times New Roman" w:hAnsi="Times New Roman"/>
                <w:noProof/>
                <w:sz w:val="24"/>
                <w:lang w:val="pl-PL"/>
              </w:rPr>
              <w:t>ułu rekompensaty. Koszty powtarzające się ponoszone są głównie przez dłużników, którzy obecnie płacą należności</w:t>
            </w:r>
            <w:r w:rsidR="0051299F" w:rsidRPr="0051299F">
              <w:rPr>
                <w:rFonts w:ascii="Times New Roman" w:hAnsi="Times New Roman"/>
                <w:noProof/>
                <w:sz w:val="24"/>
                <w:lang w:val="pl-PL"/>
              </w:rPr>
              <w:t xml:space="preserve"> z</w:t>
            </w:r>
            <w:r w:rsidR="0051299F">
              <w:rPr>
                <w:rFonts w:ascii="Times New Roman" w:hAnsi="Times New Roman"/>
                <w:noProof/>
                <w:sz w:val="24"/>
                <w:lang w:val="pl-PL"/>
              </w:rPr>
              <w:t> </w:t>
            </w:r>
            <w:r w:rsidR="0051299F" w:rsidRPr="0051299F">
              <w:rPr>
                <w:rFonts w:ascii="Times New Roman" w:hAnsi="Times New Roman"/>
                <w:noProof/>
                <w:sz w:val="24"/>
                <w:lang w:val="pl-PL"/>
              </w:rPr>
              <w:t>opó</w:t>
            </w:r>
            <w:r w:rsidRPr="0051299F">
              <w:rPr>
                <w:rFonts w:ascii="Times New Roman" w:hAnsi="Times New Roman"/>
                <w:noProof/>
                <w:sz w:val="24"/>
                <w:lang w:val="pl-PL"/>
              </w:rPr>
              <w:t>źnieniem: automatyczna wypłata odsetek i (zwiększonej) kwoty rekompensaty, potencjalne administracyjne kary pieniężne oraz utrata bezproblemowo uzyskiwanego kredytu</w:t>
            </w:r>
            <w:r w:rsidR="0051299F" w:rsidRPr="0051299F">
              <w:rPr>
                <w:rFonts w:ascii="Times New Roman" w:hAnsi="Times New Roman"/>
                <w:noProof/>
                <w:sz w:val="24"/>
                <w:lang w:val="pl-PL"/>
              </w:rPr>
              <w:t xml:space="preserve"> w</w:t>
            </w:r>
            <w:r w:rsidR="0051299F">
              <w:rPr>
                <w:rFonts w:ascii="Times New Roman" w:hAnsi="Times New Roman"/>
                <w:noProof/>
                <w:sz w:val="24"/>
                <w:lang w:val="pl-PL"/>
              </w:rPr>
              <w:t> </w:t>
            </w:r>
            <w:r w:rsidR="0051299F" w:rsidRPr="0051299F">
              <w:rPr>
                <w:rFonts w:ascii="Times New Roman" w:hAnsi="Times New Roman"/>
                <w:noProof/>
                <w:sz w:val="24"/>
                <w:lang w:val="pl-PL"/>
              </w:rPr>
              <w:t>zwi</w:t>
            </w:r>
            <w:r w:rsidRPr="0051299F">
              <w:rPr>
                <w:rFonts w:ascii="Times New Roman" w:hAnsi="Times New Roman"/>
                <w:noProof/>
                <w:sz w:val="24"/>
                <w:lang w:val="pl-PL"/>
              </w:rPr>
              <w:t>ązku</w:t>
            </w:r>
            <w:r w:rsidR="0051299F" w:rsidRPr="0051299F">
              <w:rPr>
                <w:rFonts w:ascii="Times New Roman" w:hAnsi="Times New Roman"/>
                <w:noProof/>
                <w:sz w:val="24"/>
                <w:lang w:val="pl-PL"/>
              </w:rPr>
              <w:t xml:space="preserve"> z</w:t>
            </w:r>
            <w:r w:rsidR="0051299F">
              <w:rPr>
                <w:rFonts w:ascii="Times New Roman" w:hAnsi="Times New Roman"/>
                <w:noProof/>
                <w:sz w:val="24"/>
                <w:lang w:val="pl-PL"/>
              </w:rPr>
              <w:t> </w:t>
            </w:r>
            <w:r w:rsidR="0051299F" w:rsidRPr="0051299F">
              <w:rPr>
                <w:rFonts w:ascii="Times New Roman" w:hAnsi="Times New Roman"/>
                <w:noProof/>
                <w:sz w:val="24"/>
                <w:lang w:val="pl-PL"/>
              </w:rPr>
              <w:t>kon</w:t>
            </w:r>
            <w:r w:rsidRPr="0051299F">
              <w:rPr>
                <w:rFonts w:ascii="Times New Roman" w:hAnsi="Times New Roman"/>
                <w:noProof/>
                <w:sz w:val="24"/>
                <w:lang w:val="pl-PL"/>
              </w:rPr>
              <w:t>iecznością zapłaty</w:t>
            </w:r>
            <w:r w:rsidR="0051299F" w:rsidRPr="0051299F">
              <w:rPr>
                <w:rFonts w:ascii="Times New Roman" w:hAnsi="Times New Roman"/>
                <w:noProof/>
                <w:sz w:val="24"/>
                <w:lang w:val="pl-PL"/>
              </w:rPr>
              <w:t xml:space="preserve"> w</w:t>
            </w:r>
            <w:r w:rsidR="0051299F">
              <w:rPr>
                <w:rFonts w:ascii="Times New Roman" w:hAnsi="Times New Roman"/>
                <w:noProof/>
                <w:sz w:val="24"/>
                <w:lang w:val="pl-PL"/>
              </w:rPr>
              <w:t> </w:t>
            </w:r>
            <w:r w:rsidR="0051299F" w:rsidRPr="0051299F">
              <w:rPr>
                <w:rFonts w:ascii="Times New Roman" w:hAnsi="Times New Roman"/>
                <w:noProof/>
                <w:sz w:val="24"/>
                <w:lang w:val="pl-PL"/>
              </w:rPr>
              <w:t>ter</w:t>
            </w:r>
            <w:r w:rsidRPr="0051299F">
              <w:rPr>
                <w:rFonts w:ascii="Times New Roman" w:hAnsi="Times New Roman"/>
                <w:noProof/>
                <w:sz w:val="24"/>
                <w:lang w:val="pl-PL"/>
              </w:rPr>
              <w:t>minie. Kosztów tych można całkowicie uniknąć, jeśli dłużnicy będą terminowo spłacać należności.</w:t>
            </w:r>
          </w:p>
          <w:p w14:paraId="68488274" w14:textId="1874E644" w:rsidR="0018151C" w:rsidRPr="0051299F" w:rsidRDefault="00783C63" w:rsidP="005F109D">
            <w:pPr>
              <w:jc w:val="both"/>
              <w:rPr>
                <w:rFonts w:ascii="Times New Roman" w:eastAsia="Times New Roman" w:hAnsi="Times New Roman" w:cs="Times New Roman"/>
                <w:noProof/>
                <w:sz w:val="24"/>
                <w:lang w:val="pl-PL"/>
              </w:rPr>
            </w:pPr>
            <w:r w:rsidRPr="0051299F">
              <w:rPr>
                <w:rFonts w:ascii="Times New Roman" w:hAnsi="Times New Roman"/>
                <w:noProof/>
                <w:sz w:val="24"/>
                <w:lang w:val="pl-PL"/>
              </w:rPr>
              <w:t>Koszty dla budżetu państwa wydają się ograniczone</w:t>
            </w:r>
            <w:r w:rsidR="0051299F" w:rsidRPr="0051299F">
              <w:rPr>
                <w:rFonts w:ascii="Times New Roman" w:hAnsi="Times New Roman"/>
                <w:noProof/>
                <w:sz w:val="24"/>
                <w:lang w:val="pl-PL"/>
              </w:rPr>
              <w:t xml:space="preserve"> i</w:t>
            </w:r>
            <w:r w:rsidR="0051299F">
              <w:rPr>
                <w:rFonts w:ascii="Times New Roman" w:hAnsi="Times New Roman"/>
                <w:noProof/>
                <w:sz w:val="24"/>
                <w:lang w:val="pl-PL"/>
              </w:rPr>
              <w:t> </w:t>
            </w:r>
            <w:r w:rsidR="0051299F" w:rsidRPr="0051299F">
              <w:rPr>
                <w:rFonts w:ascii="Times New Roman" w:hAnsi="Times New Roman"/>
                <w:noProof/>
                <w:sz w:val="24"/>
                <w:lang w:val="pl-PL"/>
              </w:rPr>
              <w:t>pro</w:t>
            </w:r>
            <w:r w:rsidRPr="0051299F">
              <w:rPr>
                <w:rFonts w:ascii="Times New Roman" w:hAnsi="Times New Roman"/>
                <w:noProof/>
                <w:sz w:val="24"/>
                <w:lang w:val="pl-PL"/>
              </w:rPr>
              <w:t>porcjonalne.</w:t>
            </w:r>
            <w:r w:rsidRPr="0051299F">
              <w:rPr>
                <w:rFonts w:ascii="Times New Roman" w:hAnsi="Times New Roman"/>
                <w:noProof/>
                <w:lang w:val="pl-PL"/>
              </w:rPr>
              <w:t xml:space="preserve"> </w:t>
            </w:r>
            <w:r w:rsidRPr="0051299F">
              <w:rPr>
                <w:rFonts w:ascii="Times New Roman" w:hAnsi="Times New Roman"/>
                <w:noProof/>
                <w:sz w:val="24"/>
                <w:lang w:val="pl-PL"/>
              </w:rPr>
              <w:t>Organy publiczne mogą ponieść pewne koszty związane</w:t>
            </w:r>
            <w:r w:rsidR="0051299F" w:rsidRPr="0051299F">
              <w:rPr>
                <w:rFonts w:ascii="Times New Roman" w:hAnsi="Times New Roman"/>
                <w:noProof/>
                <w:sz w:val="24"/>
                <w:lang w:val="pl-PL"/>
              </w:rPr>
              <w:t xml:space="preserve"> z</w:t>
            </w:r>
            <w:r w:rsidR="0051299F">
              <w:rPr>
                <w:rFonts w:ascii="Times New Roman" w:hAnsi="Times New Roman"/>
                <w:noProof/>
                <w:sz w:val="24"/>
                <w:lang w:val="pl-PL"/>
              </w:rPr>
              <w:t> </w:t>
            </w:r>
            <w:r w:rsidR="0051299F" w:rsidRPr="0051299F">
              <w:rPr>
                <w:rFonts w:ascii="Times New Roman" w:hAnsi="Times New Roman"/>
                <w:noProof/>
                <w:sz w:val="24"/>
                <w:lang w:val="pl-PL"/>
              </w:rPr>
              <w:t>wyz</w:t>
            </w:r>
            <w:r w:rsidRPr="0051299F">
              <w:rPr>
                <w:rFonts w:ascii="Times New Roman" w:hAnsi="Times New Roman"/>
                <w:noProof/>
                <w:sz w:val="24"/>
                <w:lang w:val="pl-PL"/>
              </w:rPr>
              <w:t>naczeniem</w:t>
            </w:r>
            <w:r w:rsidR="0051299F" w:rsidRPr="0051299F">
              <w:rPr>
                <w:rFonts w:ascii="Times New Roman" w:hAnsi="Times New Roman"/>
                <w:noProof/>
                <w:sz w:val="24"/>
                <w:lang w:val="pl-PL"/>
              </w:rPr>
              <w:t xml:space="preserve"> i</w:t>
            </w:r>
            <w:r w:rsidR="0051299F">
              <w:rPr>
                <w:rFonts w:ascii="Times New Roman" w:hAnsi="Times New Roman"/>
                <w:noProof/>
                <w:sz w:val="24"/>
                <w:lang w:val="pl-PL"/>
              </w:rPr>
              <w:t> </w:t>
            </w:r>
            <w:r w:rsidR="0051299F" w:rsidRPr="0051299F">
              <w:rPr>
                <w:rFonts w:ascii="Times New Roman" w:hAnsi="Times New Roman"/>
                <w:noProof/>
                <w:sz w:val="24"/>
                <w:lang w:val="pl-PL"/>
              </w:rPr>
              <w:t>utr</w:t>
            </w:r>
            <w:r w:rsidRPr="0051299F">
              <w:rPr>
                <w:rFonts w:ascii="Times New Roman" w:hAnsi="Times New Roman"/>
                <w:noProof/>
                <w:sz w:val="24"/>
                <w:lang w:val="pl-PL"/>
              </w:rPr>
              <w:t>zymaniem organów odpowiedzialnych za egzekwowanie prawa</w:t>
            </w:r>
            <w:r w:rsidR="0051299F" w:rsidRPr="0051299F">
              <w:rPr>
                <w:rFonts w:ascii="Times New Roman" w:hAnsi="Times New Roman"/>
                <w:noProof/>
                <w:sz w:val="24"/>
                <w:lang w:val="pl-PL"/>
              </w:rPr>
              <w:t xml:space="preserve"> i</w:t>
            </w:r>
            <w:r w:rsidR="0051299F">
              <w:rPr>
                <w:rFonts w:ascii="Times New Roman" w:hAnsi="Times New Roman"/>
                <w:noProof/>
                <w:sz w:val="24"/>
                <w:lang w:val="pl-PL"/>
              </w:rPr>
              <w:t> </w:t>
            </w:r>
            <w:r w:rsidR="0051299F" w:rsidRPr="0051299F">
              <w:rPr>
                <w:rFonts w:ascii="Times New Roman" w:hAnsi="Times New Roman"/>
                <w:noProof/>
                <w:sz w:val="24"/>
                <w:lang w:val="pl-PL"/>
              </w:rPr>
              <w:t>org</w:t>
            </w:r>
            <w:r w:rsidRPr="0051299F">
              <w:rPr>
                <w:rFonts w:ascii="Times New Roman" w:hAnsi="Times New Roman"/>
                <w:noProof/>
                <w:sz w:val="24"/>
                <w:lang w:val="pl-PL"/>
              </w:rPr>
              <w:t>anów mediacyjnych. Wysokość tych kosztów szacuje się na</w:t>
            </w:r>
            <w:r w:rsidR="0051299F" w:rsidRPr="0051299F">
              <w:rPr>
                <w:rFonts w:ascii="Times New Roman" w:hAnsi="Times New Roman"/>
                <w:noProof/>
                <w:sz w:val="24"/>
                <w:lang w:val="pl-PL"/>
              </w:rPr>
              <w:t> </w:t>
            </w:r>
            <w:r w:rsidRPr="0051299F">
              <w:rPr>
                <w:rFonts w:ascii="Times New Roman" w:hAnsi="Times New Roman"/>
                <w:noProof/>
                <w:sz w:val="24"/>
                <w:lang w:val="pl-PL"/>
              </w:rPr>
              <w:t>70–105 mln EUR rocznie dla UE-27 (60–65 mln EUR</w:t>
            </w:r>
            <w:r w:rsidR="0051299F" w:rsidRPr="0051299F">
              <w:rPr>
                <w:rFonts w:ascii="Times New Roman" w:hAnsi="Times New Roman"/>
                <w:noProof/>
                <w:sz w:val="24"/>
                <w:lang w:val="pl-PL"/>
              </w:rPr>
              <w:t xml:space="preserve"> w</w:t>
            </w:r>
            <w:r w:rsidR="0051299F">
              <w:rPr>
                <w:rFonts w:ascii="Times New Roman" w:hAnsi="Times New Roman"/>
                <w:noProof/>
                <w:sz w:val="24"/>
                <w:lang w:val="pl-PL"/>
              </w:rPr>
              <w:t> </w:t>
            </w:r>
            <w:r w:rsidR="0051299F" w:rsidRPr="0051299F">
              <w:rPr>
                <w:rFonts w:ascii="Times New Roman" w:hAnsi="Times New Roman"/>
                <w:noProof/>
                <w:sz w:val="24"/>
                <w:lang w:val="pl-PL"/>
              </w:rPr>
              <w:t>zwi</w:t>
            </w:r>
            <w:r w:rsidRPr="0051299F">
              <w:rPr>
                <w:rFonts w:ascii="Times New Roman" w:hAnsi="Times New Roman"/>
                <w:noProof/>
                <w:sz w:val="24"/>
                <w:lang w:val="pl-PL"/>
              </w:rPr>
              <w:t>ązku</w:t>
            </w:r>
            <w:r w:rsidR="0051299F" w:rsidRPr="0051299F">
              <w:rPr>
                <w:rFonts w:ascii="Times New Roman" w:hAnsi="Times New Roman"/>
                <w:noProof/>
                <w:sz w:val="24"/>
                <w:lang w:val="pl-PL"/>
              </w:rPr>
              <w:t xml:space="preserve"> z</w:t>
            </w:r>
            <w:r w:rsidR="0051299F">
              <w:rPr>
                <w:rFonts w:ascii="Times New Roman" w:hAnsi="Times New Roman"/>
                <w:noProof/>
                <w:sz w:val="24"/>
                <w:lang w:val="pl-PL"/>
              </w:rPr>
              <w:t> </w:t>
            </w:r>
            <w:r w:rsidR="0051299F" w:rsidRPr="0051299F">
              <w:rPr>
                <w:rFonts w:ascii="Times New Roman" w:hAnsi="Times New Roman"/>
                <w:noProof/>
                <w:sz w:val="24"/>
                <w:lang w:val="pl-PL"/>
              </w:rPr>
              <w:t>pra</w:t>
            </w:r>
            <w:r w:rsidRPr="0051299F">
              <w:rPr>
                <w:rFonts w:ascii="Times New Roman" w:hAnsi="Times New Roman"/>
                <w:noProof/>
                <w:sz w:val="24"/>
                <w:lang w:val="pl-PL"/>
              </w:rPr>
              <w:t>cą organów odpowiedzialnych za egzekwowanie prawa</w:t>
            </w:r>
            <w:r w:rsidR="0051299F" w:rsidRPr="0051299F">
              <w:rPr>
                <w:rFonts w:ascii="Times New Roman" w:hAnsi="Times New Roman"/>
                <w:noProof/>
                <w:sz w:val="24"/>
                <w:lang w:val="pl-PL"/>
              </w:rPr>
              <w:t xml:space="preserve"> i</w:t>
            </w:r>
            <w:r w:rsidR="0051299F">
              <w:rPr>
                <w:rFonts w:ascii="Times New Roman" w:hAnsi="Times New Roman"/>
                <w:noProof/>
                <w:sz w:val="24"/>
                <w:lang w:val="pl-PL"/>
              </w:rPr>
              <w:t> </w:t>
            </w:r>
            <w:r w:rsidR="0051299F" w:rsidRPr="0051299F">
              <w:rPr>
                <w:rFonts w:ascii="Times New Roman" w:hAnsi="Times New Roman"/>
                <w:noProof/>
                <w:sz w:val="24"/>
                <w:lang w:val="pl-PL"/>
              </w:rPr>
              <w:t>1</w:t>
            </w:r>
            <w:r w:rsidRPr="0051299F">
              <w:rPr>
                <w:rFonts w:ascii="Times New Roman" w:hAnsi="Times New Roman"/>
                <w:noProof/>
                <w:sz w:val="24"/>
                <w:lang w:val="pl-PL"/>
              </w:rPr>
              <w:t>0–40 mln EUR</w:t>
            </w:r>
            <w:r w:rsidR="0051299F" w:rsidRPr="0051299F">
              <w:rPr>
                <w:rFonts w:ascii="Times New Roman" w:hAnsi="Times New Roman"/>
                <w:noProof/>
                <w:sz w:val="24"/>
                <w:lang w:val="pl-PL"/>
              </w:rPr>
              <w:t xml:space="preserve"> w</w:t>
            </w:r>
            <w:r w:rsidR="0051299F">
              <w:rPr>
                <w:rFonts w:ascii="Times New Roman" w:hAnsi="Times New Roman"/>
                <w:noProof/>
                <w:sz w:val="24"/>
                <w:lang w:val="pl-PL"/>
              </w:rPr>
              <w:t> </w:t>
            </w:r>
            <w:r w:rsidR="0051299F" w:rsidRPr="0051299F">
              <w:rPr>
                <w:rFonts w:ascii="Times New Roman" w:hAnsi="Times New Roman"/>
                <w:noProof/>
                <w:sz w:val="24"/>
                <w:lang w:val="pl-PL"/>
              </w:rPr>
              <w:t>zwi</w:t>
            </w:r>
            <w:r w:rsidRPr="0051299F">
              <w:rPr>
                <w:rFonts w:ascii="Times New Roman" w:hAnsi="Times New Roman"/>
                <w:noProof/>
                <w:sz w:val="24"/>
                <w:lang w:val="pl-PL"/>
              </w:rPr>
              <w:t xml:space="preserve">ązku ze świadczeniem usług mediacyjnych). </w:t>
            </w:r>
          </w:p>
          <w:p w14:paraId="375D8D93" w14:textId="5F230B51" w:rsidR="00332085" w:rsidRPr="0051299F" w:rsidRDefault="00332085" w:rsidP="005F109D">
            <w:pPr>
              <w:jc w:val="both"/>
              <w:rPr>
                <w:rFonts w:ascii="Times New Roman" w:eastAsia="Times New Roman" w:hAnsi="Times New Roman" w:cs="Times New Roman"/>
                <w:noProof/>
                <w:sz w:val="24"/>
                <w:lang w:val="pl-PL"/>
              </w:rPr>
            </w:pPr>
          </w:p>
        </w:tc>
      </w:tr>
      <w:tr w:rsidR="007553ED" w:rsidRPr="0051299F" w14:paraId="2D7153FD" w14:textId="77777777" w:rsidTr="00546934">
        <w:trPr>
          <w:trHeight w:val="323"/>
        </w:trPr>
        <w:tc>
          <w:tcPr>
            <w:tcW w:w="9450" w:type="dxa"/>
            <w:shd w:val="clear" w:color="auto" w:fill="FFFFFF" w:themeFill="background1"/>
          </w:tcPr>
          <w:p w14:paraId="5F391F44" w14:textId="6A9D0626" w:rsidR="007553ED" w:rsidRPr="0051299F" w:rsidRDefault="007553ED" w:rsidP="00546934">
            <w:pPr>
              <w:spacing w:line="259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lang w:val="pl-PL"/>
              </w:rPr>
            </w:pPr>
            <w:r w:rsidRPr="0051299F">
              <w:rPr>
                <w:rFonts w:ascii="Times New Roman" w:hAnsi="Times New Roman"/>
                <w:b/>
                <w:noProof/>
                <w:sz w:val="24"/>
                <w:lang w:val="pl-PL"/>
              </w:rPr>
              <w:t>Jakie są skutki dla MŚP</w:t>
            </w:r>
            <w:r w:rsidR="0051299F" w:rsidRPr="0051299F">
              <w:rPr>
                <w:rFonts w:ascii="Times New Roman" w:hAnsi="Times New Roman"/>
                <w:b/>
                <w:noProof/>
                <w:sz w:val="24"/>
                <w:lang w:val="pl-PL"/>
              </w:rPr>
              <w:t xml:space="preserve"> i</w:t>
            </w:r>
            <w:r w:rsidR="0051299F">
              <w:rPr>
                <w:rFonts w:ascii="Times New Roman" w:hAnsi="Times New Roman"/>
                <w:b/>
                <w:noProof/>
                <w:sz w:val="24"/>
                <w:lang w:val="pl-PL"/>
              </w:rPr>
              <w:t> </w:t>
            </w:r>
            <w:r w:rsidR="0051299F" w:rsidRPr="0051299F">
              <w:rPr>
                <w:rFonts w:ascii="Times New Roman" w:hAnsi="Times New Roman"/>
                <w:b/>
                <w:noProof/>
                <w:sz w:val="24"/>
                <w:lang w:val="pl-PL"/>
              </w:rPr>
              <w:t>kon</w:t>
            </w:r>
            <w:r w:rsidRPr="0051299F">
              <w:rPr>
                <w:rFonts w:ascii="Times New Roman" w:hAnsi="Times New Roman"/>
                <w:b/>
                <w:noProof/>
                <w:sz w:val="24"/>
                <w:lang w:val="pl-PL"/>
              </w:rPr>
              <w:t xml:space="preserve">kurencyjności? </w:t>
            </w:r>
          </w:p>
        </w:tc>
      </w:tr>
      <w:tr w:rsidR="007553ED" w:rsidRPr="0051299F" w14:paraId="644DB688" w14:textId="77777777" w:rsidTr="00546934">
        <w:trPr>
          <w:trHeight w:val="323"/>
        </w:trPr>
        <w:tc>
          <w:tcPr>
            <w:tcW w:w="9450" w:type="dxa"/>
            <w:shd w:val="clear" w:color="auto" w:fill="FFFFFF" w:themeFill="background1"/>
          </w:tcPr>
          <w:p w14:paraId="69656F33" w14:textId="15794C8D" w:rsidR="0018151C" w:rsidRPr="0051299F" w:rsidRDefault="00042A88" w:rsidP="001D11E3">
            <w:pPr>
              <w:jc w:val="both"/>
              <w:rPr>
                <w:rFonts w:ascii="Times New Roman" w:hAnsi="Times New Roman" w:cs="Times New Roman"/>
                <w:noProof/>
                <w:sz w:val="24"/>
                <w:lang w:val="pl-PL"/>
              </w:rPr>
            </w:pPr>
            <w:r w:rsidRPr="0051299F">
              <w:rPr>
                <w:rFonts w:ascii="Times New Roman" w:hAnsi="Times New Roman"/>
                <w:b/>
                <w:noProof/>
                <w:sz w:val="24"/>
                <w:lang w:val="pl-PL"/>
              </w:rPr>
              <w:t>Skutki dla MŚP:</w:t>
            </w:r>
            <w:r w:rsidRPr="0051299F">
              <w:rPr>
                <w:rFonts w:ascii="Times New Roman" w:hAnsi="Times New Roman"/>
                <w:noProof/>
                <w:sz w:val="24"/>
                <w:lang w:val="pl-PL"/>
              </w:rPr>
              <w:t xml:space="preserve"> </w:t>
            </w:r>
          </w:p>
          <w:p w14:paraId="601BFD00" w14:textId="62E2D82A" w:rsidR="0018151C" w:rsidRPr="0051299F" w:rsidRDefault="004C4D77" w:rsidP="001D11E3">
            <w:pPr>
              <w:jc w:val="both"/>
              <w:rPr>
                <w:rFonts w:ascii="Times New Roman" w:hAnsi="Times New Roman" w:cs="Times New Roman"/>
                <w:noProof/>
                <w:sz w:val="24"/>
                <w:lang w:val="pl-PL"/>
              </w:rPr>
            </w:pPr>
            <w:r w:rsidRPr="0051299F">
              <w:rPr>
                <w:rFonts w:ascii="Times New Roman" w:hAnsi="Times New Roman"/>
                <w:noProof/>
                <w:sz w:val="24"/>
                <w:lang w:val="pl-PL"/>
              </w:rPr>
              <w:t>Po zastosowaniu filtru MŚP inicjatywę tę sklasyfikowano jako inicjatywę „o dużym znaczeniu”. Preferowany wariant uzyskał poparcie MŚP</w:t>
            </w:r>
            <w:r w:rsidR="0051299F" w:rsidRPr="0051299F">
              <w:rPr>
                <w:rFonts w:ascii="Times New Roman" w:hAnsi="Times New Roman"/>
                <w:noProof/>
                <w:sz w:val="24"/>
                <w:lang w:val="pl-PL"/>
              </w:rPr>
              <w:t xml:space="preserve"> w</w:t>
            </w:r>
            <w:r w:rsidR="0051299F">
              <w:rPr>
                <w:rFonts w:ascii="Times New Roman" w:hAnsi="Times New Roman"/>
                <w:noProof/>
                <w:sz w:val="24"/>
                <w:lang w:val="pl-PL"/>
              </w:rPr>
              <w:t> </w:t>
            </w:r>
            <w:r w:rsidR="0051299F" w:rsidRPr="0051299F">
              <w:rPr>
                <w:rFonts w:ascii="Times New Roman" w:hAnsi="Times New Roman"/>
                <w:noProof/>
                <w:sz w:val="24"/>
                <w:lang w:val="pl-PL"/>
              </w:rPr>
              <w:t>bad</w:t>
            </w:r>
            <w:r w:rsidRPr="0051299F">
              <w:rPr>
                <w:rFonts w:ascii="Times New Roman" w:hAnsi="Times New Roman"/>
                <w:noProof/>
                <w:sz w:val="24"/>
                <w:lang w:val="pl-PL"/>
              </w:rPr>
              <w:t>aniu panelowym</w:t>
            </w:r>
            <w:r w:rsidR="0051299F" w:rsidRPr="0051299F">
              <w:rPr>
                <w:rFonts w:ascii="Times New Roman" w:hAnsi="Times New Roman"/>
                <w:noProof/>
                <w:sz w:val="24"/>
                <w:lang w:val="pl-PL"/>
              </w:rPr>
              <w:t xml:space="preserve"> z</w:t>
            </w:r>
            <w:r w:rsidR="0051299F">
              <w:rPr>
                <w:rFonts w:ascii="Times New Roman" w:hAnsi="Times New Roman"/>
                <w:noProof/>
                <w:sz w:val="24"/>
                <w:lang w:val="pl-PL"/>
              </w:rPr>
              <w:t> </w:t>
            </w:r>
            <w:r w:rsidR="0051299F" w:rsidRPr="0051299F">
              <w:rPr>
                <w:rFonts w:ascii="Times New Roman" w:hAnsi="Times New Roman"/>
                <w:noProof/>
                <w:sz w:val="24"/>
                <w:lang w:val="pl-PL"/>
              </w:rPr>
              <w:t>udz</w:t>
            </w:r>
            <w:r w:rsidRPr="0051299F">
              <w:rPr>
                <w:rFonts w:ascii="Times New Roman" w:hAnsi="Times New Roman"/>
                <w:noProof/>
                <w:sz w:val="24"/>
                <w:lang w:val="pl-PL"/>
              </w:rPr>
              <w:t>iałem MŚP</w:t>
            </w:r>
            <w:r w:rsidR="0051299F" w:rsidRPr="0051299F">
              <w:rPr>
                <w:rFonts w:ascii="Times New Roman" w:hAnsi="Times New Roman"/>
                <w:noProof/>
                <w:sz w:val="24"/>
                <w:lang w:val="pl-PL"/>
              </w:rPr>
              <w:t xml:space="preserve"> i</w:t>
            </w:r>
            <w:r w:rsidR="0051299F">
              <w:rPr>
                <w:rFonts w:ascii="Times New Roman" w:hAnsi="Times New Roman"/>
                <w:noProof/>
                <w:sz w:val="24"/>
                <w:lang w:val="pl-PL"/>
              </w:rPr>
              <w:t> </w:t>
            </w:r>
            <w:r w:rsidR="0051299F" w:rsidRPr="0051299F">
              <w:rPr>
                <w:rFonts w:ascii="Times New Roman" w:hAnsi="Times New Roman"/>
                <w:noProof/>
                <w:sz w:val="24"/>
                <w:lang w:val="pl-PL"/>
              </w:rPr>
              <w:t>kon</w:t>
            </w:r>
            <w:r w:rsidRPr="0051299F">
              <w:rPr>
                <w:rFonts w:ascii="Times New Roman" w:hAnsi="Times New Roman"/>
                <w:noProof/>
                <w:sz w:val="24"/>
                <w:lang w:val="pl-PL"/>
              </w:rPr>
              <w:t>sultacjach publicznych. Oczekuje się, że wszystkie MŚP skorzystają na tej inicjatywie, natomiast większe korzyści odniosą mikroprzedsiębiorstwa, które są bardziej narażone na skutki omawianego problemu</w:t>
            </w:r>
            <w:r w:rsidR="0051299F" w:rsidRPr="0051299F">
              <w:rPr>
                <w:rFonts w:ascii="Times New Roman" w:hAnsi="Times New Roman"/>
                <w:noProof/>
                <w:sz w:val="24"/>
                <w:lang w:val="pl-PL"/>
              </w:rPr>
              <w:t>.</w:t>
            </w:r>
            <w:r w:rsidR="0051299F" w:rsidRPr="0051299F">
              <w:rPr>
                <w:noProof/>
                <w:lang w:val="pl-PL"/>
              </w:rPr>
              <w:t xml:space="preserve"> </w:t>
            </w:r>
            <w:r w:rsidR="0051299F" w:rsidRPr="0051299F">
              <w:rPr>
                <w:rFonts w:ascii="Times New Roman" w:hAnsi="Times New Roman"/>
                <w:noProof/>
                <w:sz w:val="24"/>
                <w:lang w:val="pl-PL"/>
              </w:rPr>
              <w:t>Z</w:t>
            </w:r>
            <w:r w:rsidR="0051299F">
              <w:rPr>
                <w:rFonts w:ascii="Times New Roman" w:hAnsi="Times New Roman"/>
                <w:noProof/>
                <w:sz w:val="24"/>
                <w:lang w:val="pl-PL"/>
              </w:rPr>
              <w:t> </w:t>
            </w:r>
            <w:r w:rsidR="0051299F" w:rsidRPr="0051299F">
              <w:rPr>
                <w:rFonts w:ascii="Times New Roman" w:hAnsi="Times New Roman"/>
                <w:noProof/>
                <w:sz w:val="24"/>
                <w:lang w:val="pl-PL"/>
              </w:rPr>
              <w:t>per</w:t>
            </w:r>
            <w:r w:rsidRPr="0051299F">
              <w:rPr>
                <w:rFonts w:ascii="Times New Roman" w:hAnsi="Times New Roman"/>
                <w:noProof/>
                <w:sz w:val="24"/>
                <w:lang w:val="pl-PL"/>
              </w:rPr>
              <w:t xml:space="preserve">spektywy </w:t>
            </w:r>
            <w:r w:rsidRPr="0051299F">
              <w:rPr>
                <w:rFonts w:ascii="Times New Roman" w:hAnsi="Times New Roman"/>
                <w:b/>
                <w:noProof/>
                <w:sz w:val="24"/>
                <w:lang w:val="pl-PL"/>
              </w:rPr>
              <w:t>wierzycieli</w:t>
            </w:r>
            <w:r w:rsidRPr="0051299F">
              <w:rPr>
                <w:rFonts w:ascii="Times New Roman" w:hAnsi="Times New Roman"/>
                <w:noProof/>
                <w:sz w:val="24"/>
                <w:lang w:val="pl-PL"/>
              </w:rPr>
              <w:t xml:space="preserve"> opóźnienia</w:t>
            </w:r>
            <w:r w:rsidR="0051299F" w:rsidRPr="0051299F">
              <w:rPr>
                <w:rFonts w:ascii="Times New Roman" w:hAnsi="Times New Roman"/>
                <w:noProof/>
                <w:sz w:val="24"/>
                <w:lang w:val="pl-PL"/>
              </w:rPr>
              <w:t xml:space="preserve"> w</w:t>
            </w:r>
            <w:r w:rsidR="0051299F">
              <w:rPr>
                <w:rFonts w:ascii="Times New Roman" w:hAnsi="Times New Roman"/>
                <w:noProof/>
                <w:sz w:val="24"/>
                <w:lang w:val="pl-PL"/>
              </w:rPr>
              <w:t> </w:t>
            </w:r>
            <w:r w:rsidR="0051299F" w:rsidRPr="0051299F">
              <w:rPr>
                <w:rFonts w:ascii="Times New Roman" w:hAnsi="Times New Roman"/>
                <w:noProof/>
                <w:sz w:val="24"/>
                <w:lang w:val="pl-PL"/>
              </w:rPr>
              <w:t>pła</w:t>
            </w:r>
            <w:r w:rsidRPr="0051299F">
              <w:rPr>
                <w:rFonts w:ascii="Times New Roman" w:hAnsi="Times New Roman"/>
                <w:noProof/>
                <w:sz w:val="24"/>
                <w:lang w:val="pl-PL"/>
              </w:rPr>
              <w:t>tnościach uniemożliwiają przedsiębiorstwom rozwój</w:t>
            </w:r>
            <w:r w:rsidR="0051299F" w:rsidRPr="0051299F">
              <w:rPr>
                <w:rFonts w:ascii="Times New Roman" w:hAnsi="Times New Roman"/>
                <w:noProof/>
                <w:sz w:val="24"/>
                <w:lang w:val="pl-PL"/>
              </w:rPr>
              <w:t xml:space="preserve"> i</w:t>
            </w:r>
            <w:r w:rsidR="0051299F">
              <w:rPr>
                <w:rFonts w:ascii="Times New Roman" w:hAnsi="Times New Roman"/>
                <w:noProof/>
                <w:sz w:val="24"/>
                <w:lang w:val="pl-PL"/>
              </w:rPr>
              <w:t> </w:t>
            </w:r>
            <w:r w:rsidR="0051299F" w:rsidRPr="0051299F">
              <w:rPr>
                <w:rFonts w:ascii="Times New Roman" w:hAnsi="Times New Roman"/>
                <w:noProof/>
                <w:sz w:val="24"/>
                <w:lang w:val="pl-PL"/>
              </w:rPr>
              <w:t>zmu</w:t>
            </w:r>
            <w:r w:rsidRPr="0051299F">
              <w:rPr>
                <w:rFonts w:ascii="Times New Roman" w:hAnsi="Times New Roman"/>
                <w:noProof/>
                <w:sz w:val="24"/>
                <w:lang w:val="pl-PL"/>
              </w:rPr>
              <w:t>szają je do marnowania zasobów. Średnio 5–10</w:t>
            </w:r>
            <w:r w:rsidR="0051299F" w:rsidRPr="0051299F">
              <w:rPr>
                <w:rFonts w:ascii="Times New Roman" w:hAnsi="Times New Roman"/>
                <w:noProof/>
                <w:sz w:val="24"/>
                <w:lang w:val="pl-PL"/>
              </w:rPr>
              <w:t> </w:t>
            </w:r>
            <w:r w:rsidRPr="0051299F">
              <w:rPr>
                <w:rFonts w:ascii="Times New Roman" w:hAnsi="Times New Roman"/>
                <w:noProof/>
                <w:sz w:val="24"/>
                <w:lang w:val="pl-PL"/>
              </w:rPr>
              <w:t xml:space="preserve">% całkowitej wykonywanej pracy administracyjnej związane jest ze ściganiem dłużników. Jest to czas, który MŚP mogłyby wykorzystać bardziej produktywnie, na przykład na szkolenia lub poszukiwanie nowych możliwości rynkowych. </w:t>
            </w:r>
          </w:p>
          <w:p w14:paraId="6FAFD40B" w14:textId="308FA2A0" w:rsidR="004347AA" w:rsidRPr="0051299F" w:rsidRDefault="00C2047A" w:rsidP="0018151C">
            <w:pPr>
              <w:jc w:val="both"/>
              <w:rPr>
                <w:rFonts w:ascii="Times New Roman" w:hAnsi="Times New Roman" w:cs="Times New Roman"/>
                <w:noProof/>
                <w:sz w:val="24"/>
                <w:lang w:val="pl-PL"/>
              </w:rPr>
            </w:pPr>
            <w:r w:rsidRPr="0051299F">
              <w:rPr>
                <w:rFonts w:ascii="Times New Roman" w:hAnsi="Times New Roman"/>
                <w:noProof/>
                <w:sz w:val="24"/>
                <w:lang w:val="pl-PL"/>
              </w:rPr>
              <w:t xml:space="preserve">W odniesieniu do </w:t>
            </w:r>
            <w:r w:rsidRPr="0051299F">
              <w:rPr>
                <w:rFonts w:ascii="Times New Roman" w:hAnsi="Times New Roman"/>
                <w:b/>
                <w:noProof/>
                <w:sz w:val="24"/>
                <w:lang w:val="pl-PL"/>
              </w:rPr>
              <w:t>dłużników</w:t>
            </w:r>
            <w:r w:rsidRPr="0051299F">
              <w:rPr>
                <w:rFonts w:ascii="Times New Roman" w:hAnsi="Times New Roman"/>
                <w:noProof/>
                <w:sz w:val="24"/>
                <w:lang w:val="pl-PL"/>
              </w:rPr>
              <w:t xml:space="preserve"> – im większa firma, tym większe prawdopodobieństwo opóźnień</w:t>
            </w:r>
            <w:r w:rsidR="0051299F" w:rsidRPr="0051299F">
              <w:rPr>
                <w:rFonts w:ascii="Times New Roman" w:hAnsi="Times New Roman"/>
                <w:noProof/>
                <w:sz w:val="24"/>
                <w:lang w:val="pl-PL"/>
              </w:rPr>
              <w:t xml:space="preserve"> w</w:t>
            </w:r>
            <w:r w:rsidR="0051299F">
              <w:rPr>
                <w:rFonts w:ascii="Times New Roman" w:hAnsi="Times New Roman"/>
                <w:noProof/>
                <w:sz w:val="24"/>
                <w:lang w:val="pl-PL"/>
              </w:rPr>
              <w:t> </w:t>
            </w:r>
            <w:r w:rsidR="0051299F" w:rsidRPr="0051299F">
              <w:rPr>
                <w:rFonts w:ascii="Times New Roman" w:hAnsi="Times New Roman"/>
                <w:noProof/>
                <w:sz w:val="24"/>
                <w:lang w:val="pl-PL"/>
              </w:rPr>
              <w:t>pła</w:t>
            </w:r>
            <w:r w:rsidRPr="0051299F">
              <w:rPr>
                <w:rFonts w:ascii="Times New Roman" w:hAnsi="Times New Roman"/>
                <w:noProof/>
                <w:sz w:val="24"/>
                <w:lang w:val="pl-PL"/>
              </w:rPr>
              <w:t>tnościach</w:t>
            </w:r>
            <w:r w:rsidR="0051299F" w:rsidRPr="0051299F">
              <w:rPr>
                <w:rFonts w:ascii="Times New Roman" w:hAnsi="Times New Roman"/>
                <w:noProof/>
                <w:sz w:val="24"/>
                <w:lang w:val="pl-PL"/>
              </w:rPr>
              <w:t xml:space="preserve"> z</w:t>
            </w:r>
            <w:r w:rsidR="0051299F">
              <w:rPr>
                <w:rFonts w:ascii="Times New Roman" w:hAnsi="Times New Roman"/>
                <w:noProof/>
                <w:sz w:val="24"/>
                <w:lang w:val="pl-PL"/>
              </w:rPr>
              <w:t> </w:t>
            </w:r>
            <w:r w:rsidR="0051299F" w:rsidRPr="0051299F">
              <w:rPr>
                <w:rFonts w:ascii="Times New Roman" w:hAnsi="Times New Roman"/>
                <w:noProof/>
                <w:sz w:val="24"/>
                <w:lang w:val="pl-PL"/>
              </w:rPr>
              <w:t>jej</w:t>
            </w:r>
            <w:r w:rsidRPr="0051299F">
              <w:rPr>
                <w:rFonts w:ascii="Times New Roman" w:hAnsi="Times New Roman"/>
                <w:noProof/>
                <w:sz w:val="24"/>
                <w:lang w:val="pl-PL"/>
              </w:rPr>
              <w:t xml:space="preserve"> strony. Oczekuje się, że średnio około 41</w:t>
            </w:r>
            <w:r w:rsidR="0051299F" w:rsidRPr="0051299F">
              <w:rPr>
                <w:rFonts w:ascii="Times New Roman" w:hAnsi="Times New Roman"/>
                <w:noProof/>
                <w:sz w:val="24"/>
                <w:lang w:val="pl-PL"/>
              </w:rPr>
              <w:t> </w:t>
            </w:r>
            <w:r w:rsidRPr="0051299F">
              <w:rPr>
                <w:rFonts w:ascii="Times New Roman" w:hAnsi="Times New Roman"/>
                <w:noProof/>
                <w:sz w:val="24"/>
                <w:lang w:val="pl-PL"/>
              </w:rPr>
              <w:t>% MŚP odniesie korzyści</w:t>
            </w:r>
            <w:r w:rsidR="0051299F" w:rsidRPr="0051299F">
              <w:rPr>
                <w:rFonts w:ascii="Times New Roman" w:hAnsi="Times New Roman"/>
                <w:noProof/>
                <w:sz w:val="24"/>
                <w:lang w:val="pl-PL"/>
              </w:rPr>
              <w:t xml:space="preserve"> z</w:t>
            </w:r>
            <w:r w:rsidR="0051299F">
              <w:rPr>
                <w:rFonts w:ascii="Times New Roman" w:hAnsi="Times New Roman"/>
                <w:noProof/>
                <w:sz w:val="24"/>
                <w:lang w:val="pl-PL"/>
              </w:rPr>
              <w:t> </w:t>
            </w:r>
            <w:r w:rsidR="0051299F" w:rsidRPr="0051299F">
              <w:rPr>
                <w:rFonts w:ascii="Times New Roman" w:hAnsi="Times New Roman"/>
                <w:noProof/>
                <w:sz w:val="24"/>
                <w:lang w:val="pl-PL"/>
              </w:rPr>
              <w:t>wpr</w:t>
            </w:r>
            <w:r w:rsidRPr="0051299F">
              <w:rPr>
                <w:rFonts w:ascii="Times New Roman" w:hAnsi="Times New Roman"/>
                <w:noProof/>
                <w:sz w:val="24"/>
                <w:lang w:val="pl-PL"/>
              </w:rPr>
              <w:t>owadzenia górnego limitu terminów płatności wynoszącego 30 dni. Szerzej zakrojone skutki spodziewane są</w:t>
            </w:r>
            <w:r w:rsidR="0051299F" w:rsidRPr="0051299F">
              <w:rPr>
                <w:rFonts w:ascii="Times New Roman" w:hAnsi="Times New Roman"/>
                <w:noProof/>
                <w:sz w:val="24"/>
                <w:lang w:val="pl-PL"/>
              </w:rPr>
              <w:t xml:space="preserve"> w</w:t>
            </w:r>
            <w:r w:rsidR="0051299F">
              <w:rPr>
                <w:rFonts w:ascii="Times New Roman" w:hAnsi="Times New Roman"/>
                <w:noProof/>
                <w:sz w:val="24"/>
                <w:lang w:val="pl-PL"/>
              </w:rPr>
              <w:t> </w:t>
            </w:r>
            <w:r w:rsidR="0051299F" w:rsidRPr="0051299F">
              <w:rPr>
                <w:rFonts w:ascii="Times New Roman" w:hAnsi="Times New Roman"/>
                <w:noProof/>
                <w:sz w:val="24"/>
                <w:lang w:val="pl-PL"/>
              </w:rPr>
              <w:t>prz</w:t>
            </w:r>
            <w:r w:rsidRPr="0051299F">
              <w:rPr>
                <w:rFonts w:ascii="Times New Roman" w:hAnsi="Times New Roman"/>
                <w:noProof/>
                <w:sz w:val="24"/>
                <w:lang w:val="pl-PL"/>
              </w:rPr>
              <w:t>ypadku mikroprzedsiębiorstw (50</w:t>
            </w:r>
            <w:r w:rsidR="0051299F" w:rsidRPr="0051299F">
              <w:rPr>
                <w:rFonts w:ascii="Times New Roman" w:hAnsi="Times New Roman"/>
                <w:noProof/>
                <w:sz w:val="24"/>
                <w:lang w:val="pl-PL"/>
              </w:rPr>
              <w:t> </w:t>
            </w:r>
            <w:r w:rsidRPr="0051299F">
              <w:rPr>
                <w:rFonts w:ascii="Times New Roman" w:hAnsi="Times New Roman"/>
                <w:noProof/>
                <w:sz w:val="24"/>
                <w:lang w:val="pl-PL"/>
              </w:rPr>
              <w:t>%),</w:t>
            </w:r>
            <w:r w:rsidR="0051299F" w:rsidRPr="0051299F">
              <w:rPr>
                <w:rFonts w:ascii="Times New Roman" w:hAnsi="Times New Roman"/>
                <w:noProof/>
                <w:sz w:val="24"/>
                <w:lang w:val="pl-PL"/>
              </w:rPr>
              <w:t xml:space="preserve"> a</w:t>
            </w:r>
            <w:r w:rsidR="0051299F">
              <w:rPr>
                <w:rFonts w:ascii="Times New Roman" w:hAnsi="Times New Roman"/>
                <w:noProof/>
                <w:sz w:val="24"/>
                <w:lang w:val="pl-PL"/>
              </w:rPr>
              <w:t> </w:t>
            </w:r>
            <w:r w:rsidR="0051299F" w:rsidRPr="0051299F">
              <w:rPr>
                <w:rFonts w:ascii="Times New Roman" w:hAnsi="Times New Roman"/>
                <w:noProof/>
                <w:sz w:val="24"/>
                <w:lang w:val="pl-PL"/>
              </w:rPr>
              <w:t>wpr</w:t>
            </w:r>
            <w:r w:rsidRPr="0051299F">
              <w:rPr>
                <w:rFonts w:ascii="Times New Roman" w:hAnsi="Times New Roman"/>
                <w:noProof/>
                <w:sz w:val="24"/>
                <w:lang w:val="pl-PL"/>
              </w:rPr>
              <w:t>owadzenie górnego limitu czasu trwania procedury weryfikacji wynoszącego 30 dni może przynieść korzyści nawet 66</w:t>
            </w:r>
            <w:r w:rsidR="0051299F" w:rsidRPr="0051299F">
              <w:rPr>
                <w:rFonts w:ascii="Times New Roman" w:hAnsi="Times New Roman"/>
                <w:noProof/>
                <w:sz w:val="24"/>
                <w:lang w:val="pl-PL"/>
              </w:rPr>
              <w:t> </w:t>
            </w:r>
            <w:r w:rsidRPr="0051299F">
              <w:rPr>
                <w:rFonts w:ascii="Times New Roman" w:hAnsi="Times New Roman"/>
                <w:noProof/>
                <w:sz w:val="24"/>
                <w:lang w:val="pl-PL"/>
              </w:rPr>
              <w:t>% MŚP. Wprowadzenie obowiązku płacenia odsetek</w:t>
            </w:r>
            <w:r w:rsidR="0051299F" w:rsidRPr="0051299F">
              <w:rPr>
                <w:rFonts w:ascii="Times New Roman" w:hAnsi="Times New Roman"/>
                <w:noProof/>
                <w:sz w:val="24"/>
                <w:lang w:val="pl-PL"/>
              </w:rPr>
              <w:t xml:space="preserve"> i</w:t>
            </w:r>
            <w:r w:rsidR="0051299F">
              <w:rPr>
                <w:rFonts w:ascii="Times New Roman" w:hAnsi="Times New Roman"/>
                <w:noProof/>
                <w:sz w:val="24"/>
                <w:lang w:val="pl-PL"/>
              </w:rPr>
              <w:t> </w:t>
            </w:r>
            <w:r w:rsidR="0051299F" w:rsidRPr="0051299F">
              <w:rPr>
                <w:rFonts w:ascii="Times New Roman" w:hAnsi="Times New Roman"/>
                <w:noProof/>
                <w:sz w:val="24"/>
                <w:lang w:val="pl-PL"/>
              </w:rPr>
              <w:t>rek</w:t>
            </w:r>
            <w:r w:rsidRPr="0051299F">
              <w:rPr>
                <w:rFonts w:ascii="Times New Roman" w:hAnsi="Times New Roman"/>
                <w:noProof/>
                <w:sz w:val="24"/>
                <w:lang w:val="pl-PL"/>
              </w:rPr>
              <w:t>ompensat poprawi obecną sytuację,</w:t>
            </w:r>
            <w:r w:rsidR="0051299F" w:rsidRPr="0051299F">
              <w:rPr>
                <w:rFonts w:ascii="Times New Roman" w:hAnsi="Times New Roman"/>
                <w:noProof/>
                <w:sz w:val="24"/>
                <w:lang w:val="pl-PL"/>
              </w:rPr>
              <w:t xml:space="preserve"> w</w:t>
            </w:r>
            <w:r w:rsidR="0051299F">
              <w:rPr>
                <w:rFonts w:ascii="Times New Roman" w:hAnsi="Times New Roman"/>
                <w:noProof/>
                <w:sz w:val="24"/>
                <w:lang w:val="pl-PL"/>
              </w:rPr>
              <w:t> </w:t>
            </w:r>
            <w:r w:rsidR="0051299F" w:rsidRPr="0051299F">
              <w:rPr>
                <w:rFonts w:ascii="Times New Roman" w:hAnsi="Times New Roman"/>
                <w:noProof/>
                <w:sz w:val="24"/>
                <w:lang w:val="pl-PL"/>
              </w:rPr>
              <w:t>któ</w:t>
            </w:r>
            <w:r w:rsidRPr="0051299F">
              <w:rPr>
                <w:rFonts w:ascii="Times New Roman" w:hAnsi="Times New Roman"/>
                <w:noProof/>
                <w:sz w:val="24"/>
                <w:lang w:val="pl-PL"/>
              </w:rPr>
              <w:t>rej 81</w:t>
            </w:r>
            <w:r w:rsidR="0051299F" w:rsidRPr="0051299F">
              <w:rPr>
                <w:rFonts w:ascii="Times New Roman" w:hAnsi="Times New Roman"/>
                <w:noProof/>
                <w:sz w:val="24"/>
                <w:lang w:val="pl-PL"/>
              </w:rPr>
              <w:t> </w:t>
            </w:r>
            <w:r w:rsidRPr="0051299F">
              <w:rPr>
                <w:rFonts w:ascii="Times New Roman" w:hAnsi="Times New Roman"/>
                <w:noProof/>
                <w:sz w:val="24"/>
                <w:lang w:val="pl-PL"/>
              </w:rPr>
              <w:t>% MŚP</w:t>
            </w:r>
            <w:r w:rsidR="0051299F" w:rsidRPr="0051299F">
              <w:rPr>
                <w:rFonts w:ascii="Times New Roman" w:hAnsi="Times New Roman"/>
                <w:noProof/>
                <w:sz w:val="24"/>
                <w:lang w:val="pl-PL"/>
              </w:rPr>
              <w:t xml:space="preserve"> i</w:t>
            </w:r>
            <w:r w:rsidR="0051299F">
              <w:rPr>
                <w:rFonts w:ascii="Times New Roman" w:hAnsi="Times New Roman"/>
                <w:noProof/>
                <w:sz w:val="24"/>
                <w:lang w:val="pl-PL"/>
              </w:rPr>
              <w:t> </w:t>
            </w:r>
            <w:r w:rsidR="0051299F" w:rsidRPr="0051299F">
              <w:rPr>
                <w:rFonts w:ascii="Times New Roman" w:hAnsi="Times New Roman"/>
                <w:noProof/>
                <w:sz w:val="24"/>
                <w:lang w:val="pl-PL"/>
              </w:rPr>
              <w:t>9</w:t>
            </w:r>
            <w:r w:rsidRPr="0051299F">
              <w:rPr>
                <w:rFonts w:ascii="Times New Roman" w:hAnsi="Times New Roman"/>
                <w:noProof/>
                <w:sz w:val="24"/>
                <w:lang w:val="pl-PL"/>
              </w:rPr>
              <w:t>3</w:t>
            </w:r>
            <w:r w:rsidR="0051299F" w:rsidRPr="0051299F">
              <w:rPr>
                <w:rFonts w:ascii="Times New Roman" w:hAnsi="Times New Roman"/>
                <w:noProof/>
                <w:sz w:val="24"/>
                <w:lang w:val="pl-PL"/>
              </w:rPr>
              <w:t> </w:t>
            </w:r>
            <w:r w:rsidRPr="0051299F">
              <w:rPr>
                <w:rFonts w:ascii="Times New Roman" w:hAnsi="Times New Roman"/>
                <w:noProof/>
                <w:sz w:val="24"/>
                <w:lang w:val="pl-PL"/>
              </w:rPr>
              <w:t>% mikroprzedsiębiorstw nigdy nie otrzymuje takich rekompensat. Bardziej rygorystyczne zasady egzekwowania prawa spowodują poprawę wyników</w:t>
            </w:r>
            <w:r w:rsidR="0051299F" w:rsidRPr="0051299F">
              <w:rPr>
                <w:rFonts w:ascii="Times New Roman" w:hAnsi="Times New Roman"/>
                <w:noProof/>
                <w:sz w:val="24"/>
                <w:lang w:val="pl-PL"/>
              </w:rPr>
              <w:t xml:space="preserve"> w</w:t>
            </w:r>
            <w:r w:rsidR="0051299F">
              <w:rPr>
                <w:rFonts w:ascii="Times New Roman" w:hAnsi="Times New Roman"/>
                <w:noProof/>
                <w:sz w:val="24"/>
                <w:lang w:val="pl-PL"/>
              </w:rPr>
              <w:t> </w:t>
            </w:r>
            <w:r w:rsidR="0051299F" w:rsidRPr="0051299F">
              <w:rPr>
                <w:rFonts w:ascii="Times New Roman" w:hAnsi="Times New Roman"/>
                <w:noProof/>
                <w:sz w:val="24"/>
                <w:lang w:val="pl-PL"/>
              </w:rPr>
              <w:t>zak</w:t>
            </w:r>
            <w:r w:rsidRPr="0051299F">
              <w:rPr>
                <w:rFonts w:ascii="Times New Roman" w:hAnsi="Times New Roman"/>
                <w:noProof/>
                <w:sz w:val="24"/>
                <w:lang w:val="pl-PL"/>
              </w:rPr>
              <w:t>resie terminowości realizacji płatności. Środki wspierające podwykonawców</w:t>
            </w:r>
            <w:r w:rsidR="0051299F" w:rsidRPr="0051299F">
              <w:rPr>
                <w:rFonts w:ascii="Times New Roman" w:hAnsi="Times New Roman"/>
                <w:noProof/>
                <w:sz w:val="24"/>
                <w:lang w:val="pl-PL"/>
              </w:rPr>
              <w:t xml:space="preserve"> w</w:t>
            </w:r>
            <w:r w:rsidR="0051299F">
              <w:rPr>
                <w:rFonts w:ascii="Times New Roman" w:hAnsi="Times New Roman"/>
                <w:noProof/>
                <w:sz w:val="24"/>
                <w:lang w:val="pl-PL"/>
              </w:rPr>
              <w:t> </w:t>
            </w:r>
            <w:r w:rsidR="0051299F" w:rsidRPr="0051299F">
              <w:rPr>
                <w:rFonts w:ascii="Times New Roman" w:hAnsi="Times New Roman"/>
                <w:noProof/>
                <w:sz w:val="24"/>
                <w:lang w:val="pl-PL"/>
              </w:rPr>
              <w:t>zam</w:t>
            </w:r>
            <w:r w:rsidRPr="0051299F">
              <w:rPr>
                <w:rFonts w:ascii="Times New Roman" w:hAnsi="Times New Roman"/>
                <w:noProof/>
                <w:sz w:val="24"/>
                <w:lang w:val="pl-PL"/>
              </w:rPr>
              <w:t>ówieniach publicznych na roboty budowlane będą miały pozytywny wpływ na MŚP (średnio 80</w:t>
            </w:r>
            <w:r w:rsidR="0051299F" w:rsidRPr="0051299F">
              <w:rPr>
                <w:rFonts w:ascii="Times New Roman" w:hAnsi="Times New Roman"/>
                <w:noProof/>
                <w:sz w:val="24"/>
                <w:lang w:val="pl-PL"/>
              </w:rPr>
              <w:t> </w:t>
            </w:r>
            <w:r w:rsidRPr="0051299F">
              <w:rPr>
                <w:rFonts w:ascii="Times New Roman" w:hAnsi="Times New Roman"/>
                <w:noProof/>
                <w:sz w:val="24"/>
                <w:lang w:val="pl-PL"/>
              </w:rPr>
              <w:t>% wartości dużego projektu budowlanego jest zlecane MŚP na zasadzie podwykonawstwa). Krajowe systemy mediacji przyniosą korzyści finansowe tym przedsiębiorstwom, które obecnie prowadzą spory sądowe, oraz pomogą</w:t>
            </w:r>
            <w:r w:rsidR="0051299F" w:rsidRPr="0051299F">
              <w:rPr>
                <w:rFonts w:ascii="Times New Roman" w:hAnsi="Times New Roman"/>
                <w:noProof/>
                <w:sz w:val="24"/>
                <w:lang w:val="pl-PL"/>
              </w:rPr>
              <w:t xml:space="preserve"> w</w:t>
            </w:r>
            <w:r w:rsidR="0051299F">
              <w:rPr>
                <w:rFonts w:ascii="Times New Roman" w:hAnsi="Times New Roman"/>
                <w:noProof/>
                <w:sz w:val="24"/>
                <w:lang w:val="pl-PL"/>
              </w:rPr>
              <w:t> </w:t>
            </w:r>
            <w:r w:rsidR="0051299F" w:rsidRPr="0051299F">
              <w:rPr>
                <w:rFonts w:ascii="Times New Roman" w:hAnsi="Times New Roman"/>
                <w:noProof/>
                <w:sz w:val="24"/>
                <w:lang w:val="pl-PL"/>
              </w:rPr>
              <w:t>szy</w:t>
            </w:r>
            <w:r w:rsidRPr="0051299F">
              <w:rPr>
                <w:rFonts w:ascii="Times New Roman" w:hAnsi="Times New Roman"/>
                <w:noProof/>
                <w:sz w:val="24"/>
                <w:lang w:val="pl-PL"/>
              </w:rPr>
              <w:t>bszym rozstrzygnięciu sporów tym przedsiębiorstwom, które na chwilę obecną unikają wchodzenia na drogę sądową</w:t>
            </w:r>
            <w:r w:rsidR="0051299F" w:rsidRPr="0051299F">
              <w:rPr>
                <w:rFonts w:ascii="Times New Roman" w:hAnsi="Times New Roman"/>
                <w:noProof/>
                <w:sz w:val="24"/>
                <w:lang w:val="pl-PL"/>
              </w:rPr>
              <w:t xml:space="preserve"> w</w:t>
            </w:r>
            <w:r w:rsidR="0051299F">
              <w:rPr>
                <w:rFonts w:ascii="Times New Roman" w:hAnsi="Times New Roman"/>
                <w:noProof/>
                <w:sz w:val="24"/>
                <w:lang w:val="pl-PL"/>
              </w:rPr>
              <w:t> </w:t>
            </w:r>
            <w:r w:rsidR="0051299F" w:rsidRPr="0051299F">
              <w:rPr>
                <w:rFonts w:ascii="Times New Roman" w:hAnsi="Times New Roman"/>
                <w:noProof/>
                <w:sz w:val="24"/>
                <w:lang w:val="pl-PL"/>
              </w:rPr>
              <w:t>cel</w:t>
            </w:r>
            <w:r w:rsidRPr="0051299F">
              <w:rPr>
                <w:rFonts w:ascii="Times New Roman" w:hAnsi="Times New Roman"/>
                <w:noProof/>
                <w:sz w:val="24"/>
                <w:lang w:val="pl-PL"/>
              </w:rPr>
              <w:t>u odzyskania niespłaconego długu.</w:t>
            </w:r>
          </w:p>
          <w:p w14:paraId="688C6FB9" w14:textId="2F7A2D5C" w:rsidR="00F455A8" w:rsidRPr="0051299F" w:rsidRDefault="00042A88" w:rsidP="00F455A8">
            <w:pPr>
              <w:jc w:val="both"/>
              <w:rPr>
                <w:rFonts w:ascii="Times New Roman" w:hAnsi="Times New Roman" w:cs="Times New Roman"/>
                <w:noProof/>
                <w:sz w:val="24"/>
                <w:lang w:val="pl-PL"/>
              </w:rPr>
            </w:pPr>
            <w:r w:rsidRPr="0051299F">
              <w:rPr>
                <w:rFonts w:ascii="Times New Roman" w:hAnsi="Times New Roman"/>
                <w:b/>
                <w:noProof/>
                <w:sz w:val="24"/>
                <w:lang w:val="pl-PL"/>
              </w:rPr>
              <w:t>Wpływ na konkurencyjność</w:t>
            </w:r>
            <w:r w:rsidRPr="0051299F">
              <w:rPr>
                <w:rFonts w:ascii="Times New Roman" w:hAnsi="Times New Roman"/>
                <w:noProof/>
                <w:sz w:val="24"/>
                <w:lang w:val="pl-PL"/>
              </w:rPr>
              <w:t>: Oczekuje się, że preferowany wariant będzie miał pozytywny wpływ na konkurencyjność cenową/kosztową</w:t>
            </w:r>
            <w:r w:rsidR="0051299F" w:rsidRPr="0051299F">
              <w:rPr>
                <w:rFonts w:ascii="Times New Roman" w:hAnsi="Times New Roman"/>
                <w:noProof/>
                <w:sz w:val="24"/>
                <w:lang w:val="pl-PL"/>
              </w:rPr>
              <w:t xml:space="preserve"> i</w:t>
            </w:r>
            <w:r w:rsidR="0051299F">
              <w:rPr>
                <w:rFonts w:ascii="Times New Roman" w:hAnsi="Times New Roman"/>
                <w:noProof/>
                <w:sz w:val="24"/>
                <w:lang w:val="pl-PL"/>
              </w:rPr>
              <w:t> </w:t>
            </w:r>
            <w:r w:rsidR="0051299F" w:rsidRPr="0051299F">
              <w:rPr>
                <w:rFonts w:ascii="Times New Roman" w:hAnsi="Times New Roman"/>
                <w:noProof/>
                <w:sz w:val="24"/>
                <w:lang w:val="pl-PL"/>
              </w:rPr>
              <w:t>inn</w:t>
            </w:r>
            <w:r w:rsidRPr="0051299F">
              <w:rPr>
                <w:rFonts w:ascii="Times New Roman" w:hAnsi="Times New Roman"/>
                <w:noProof/>
                <w:sz w:val="24"/>
                <w:lang w:val="pl-PL"/>
              </w:rPr>
              <w:t>owacyjność. Przy zwiększonym łącznym przepływie środków pieniężnych</w:t>
            </w:r>
            <w:r w:rsidR="0051299F" w:rsidRPr="0051299F">
              <w:rPr>
                <w:rFonts w:ascii="Times New Roman" w:hAnsi="Times New Roman"/>
                <w:noProof/>
                <w:sz w:val="24"/>
                <w:lang w:val="pl-PL"/>
              </w:rPr>
              <w:t xml:space="preserve"> w</w:t>
            </w:r>
            <w:r w:rsidR="0051299F">
              <w:rPr>
                <w:rFonts w:ascii="Times New Roman" w:hAnsi="Times New Roman"/>
                <w:noProof/>
                <w:sz w:val="24"/>
                <w:lang w:val="pl-PL"/>
              </w:rPr>
              <w:t> </w:t>
            </w:r>
            <w:r w:rsidR="0051299F" w:rsidRPr="0051299F">
              <w:rPr>
                <w:rFonts w:ascii="Times New Roman" w:hAnsi="Times New Roman"/>
                <w:noProof/>
                <w:sz w:val="24"/>
                <w:lang w:val="pl-PL"/>
              </w:rPr>
              <w:t>gos</w:t>
            </w:r>
            <w:r w:rsidRPr="0051299F">
              <w:rPr>
                <w:rFonts w:ascii="Times New Roman" w:hAnsi="Times New Roman"/>
                <w:noProof/>
                <w:sz w:val="24"/>
                <w:lang w:val="pl-PL"/>
              </w:rPr>
              <w:t>podarce przedsiębiorstwa zyskują większą płynność, pozwalającą na inwestowanie</w:t>
            </w:r>
            <w:r w:rsidR="0051299F" w:rsidRPr="0051299F">
              <w:rPr>
                <w:rFonts w:ascii="Times New Roman" w:hAnsi="Times New Roman"/>
                <w:noProof/>
                <w:sz w:val="24"/>
                <w:lang w:val="pl-PL"/>
              </w:rPr>
              <w:t xml:space="preserve"> w</w:t>
            </w:r>
            <w:r w:rsidR="0051299F">
              <w:rPr>
                <w:rFonts w:ascii="Times New Roman" w:hAnsi="Times New Roman"/>
                <w:noProof/>
                <w:sz w:val="24"/>
                <w:lang w:val="pl-PL"/>
              </w:rPr>
              <w:t> </w:t>
            </w:r>
            <w:r w:rsidR="0051299F" w:rsidRPr="0051299F">
              <w:rPr>
                <w:rFonts w:ascii="Times New Roman" w:hAnsi="Times New Roman"/>
                <w:noProof/>
                <w:sz w:val="24"/>
                <w:lang w:val="pl-PL"/>
              </w:rPr>
              <w:t>inn</w:t>
            </w:r>
            <w:r w:rsidRPr="0051299F">
              <w:rPr>
                <w:rFonts w:ascii="Times New Roman" w:hAnsi="Times New Roman"/>
                <w:noProof/>
                <w:sz w:val="24"/>
                <w:lang w:val="pl-PL"/>
              </w:rPr>
              <w:t>owacje lub przenoszenie niższych kosztów na konsumentów. Redystrybucja płynności</w:t>
            </w:r>
            <w:r w:rsidR="0051299F" w:rsidRPr="0051299F">
              <w:rPr>
                <w:rFonts w:ascii="Times New Roman" w:hAnsi="Times New Roman"/>
                <w:noProof/>
                <w:sz w:val="24"/>
                <w:lang w:val="pl-PL"/>
              </w:rPr>
              <w:t xml:space="preserve"> w</w:t>
            </w:r>
            <w:r w:rsidR="0051299F">
              <w:rPr>
                <w:rFonts w:ascii="Times New Roman" w:hAnsi="Times New Roman"/>
                <w:noProof/>
                <w:sz w:val="24"/>
                <w:lang w:val="pl-PL"/>
              </w:rPr>
              <w:t> </w:t>
            </w:r>
            <w:r w:rsidR="0051299F" w:rsidRPr="0051299F">
              <w:rPr>
                <w:rFonts w:ascii="Times New Roman" w:hAnsi="Times New Roman"/>
                <w:noProof/>
                <w:sz w:val="24"/>
                <w:lang w:val="pl-PL"/>
              </w:rPr>
              <w:t>gos</w:t>
            </w:r>
            <w:r w:rsidRPr="0051299F">
              <w:rPr>
                <w:rFonts w:ascii="Times New Roman" w:hAnsi="Times New Roman"/>
                <w:noProof/>
                <w:sz w:val="24"/>
                <w:lang w:val="pl-PL"/>
              </w:rPr>
              <w:t>podarce jest bardziej sprawiedliwa, ponieważ każde przedsiębiorstwo musi płacić za uzyskanie płynności, której potrzebuje</w:t>
            </w:r>
            <w:r w:rsidR="0051299F" w:rsidRPr="0051299F">
              <w:rPr>
                <w:rFonts w:ascii="Times New Roman" w:hAnsi="Times New Roman"/>
                <w:noProof/>
                <w:sz w:val="24"/>
                <w:lang w:val="pl-PL"/>
              </w:rPr>
              <w:t xml:space="preserve"> i</w:t>
            </w:r>
            <w:r w:rsidR="0051299F">
              <w:rPr>
                <w:rFonts w:ascii="Times New Roman" w:hAnsi="Times New Roman"/>
                <w:noProof/>
                <w:sz w:val="24"/>
                <w:lang w:val="pl-PL"/>
              </w:rPr>
              <w:t> </w:t>
            </w:r>
            <w:r w:rsidR="0051299F" w:rsidRPr="0051299F">
              <w:rPr>
                <w:rFonts w:ascii="Times New Roman" w:hAnsi="Times New Roman"/>
                <w:noProof/>
                <w:sz w:val="24"/>
                <w:lang w:val="pl-PL"/>
              </w:rPr>
              <w:t>któ</w:t>
            </w:r>
            <w:r w:rsidRPr="0051299F">
              <w:rPr>
                <w:rFonts w:ascii="Times New Roman" w:hAnsi="Times New Roman"/>
                <w:noProof/>
                <w:sz w:val="24"/>
                <w:lang w:val="pl-PL"/>
              </w:rPr>
              <w:t xml:space="preserve">rą wykorzystuje. Warunki prowadzenia działalności gospodarczej mogą stać się bardziej przewidywalne, co skutkowałoby korzystniejszym otoczeniem biznesowym. </w:t>
            </w:r>
          </w:p>
          <w:p w14:paraId="74C22110" w14:textId="140CFC36" w:rsidR="00F455A8" w:rsidRPr="0051299F" w:rsidRDefault="00F455A8" w:rsidP="00F455A8">
            <w:pPr>
              <w:jc w:val="both"/>
              <w:rPr>
                <w:rFonts w:ascii="Times New Roman" w:eastAsia="Times New Roman" w:hAnsi="Times New Roman" w:cs="Times New Roman"/>
                <w:noProof/>
                <w:sz w:val="24"/>
                <w:lang w:val="pl-PL"/>
              </w:rPr>
            </w:pPr>
            <w:r w:rsidRPr="0051299F">
              <w:rPr>
                <w:rFonts w:ascii="Times New Roman" w:hAnsi="Times New Roman"/>
                <w:noProof/>
                <w:sz w:val="24"/>
                <w:lang w:val="pl-PL"/>
              </w:rPr>
              <w:t>Jeśli chodzi</w:t>
            </w:r>
            <w:r w:rsidR="0051299F" w:rsidRPr="0051299F">
              <w:rPr>
                <w:rFonts w:ascii="Times New Roman" w:hAnsi="Times New Roman"/>
                <w:noProof/>
                <w:sz w:val="24"/>
                <w:lang w:val="pl-PL"/>
              </w:rPr>
              <w:t xml:space="preserve"> o</w:t>
            </w:r>
            <w:r w:rsidR="0051299F">
              <w:rPr>
                <w:rFonts w:ascii="Times New Roman" w:hAnsi="Times New Roman"/>
                <w:noProof/>
                <w:sz w:val="24"/>
                <w:lang w:val="pl-PL"/>
              </w:rPr>
              <w:t> </w:t>
            </w:r>
            <w:r w:rsidR="0051299F" w:rsidRPr="0051299F">
              <w:rPr>
                <w:rFonts w:ascii="Times New Roman" w:hAnsi="Times New Roman"/>
                <w:noProof/>
                <w:sz w:val="24"/>
                <w:lang w:val="pl-PL"/>
              </w:rPr>
              <w:t>kon</w:t>
            </w:r>
            <w:r w:rsidRPr="0051299F">
              <w:rPr>
                <w:rFonts w:ascii="Times New Roman" w:hAnsi="Times New Roman"/>
                <w:noProof/>
                <w:sz w:val="24"/>
                <w:lang w:val="pl-PL"/>
              </w:rPr>
              <w:t>kurencyjność międzynarodową, przedsiębiorstwa zajmujące się przywozem lub wywozem</w:t>
            </w:r>
            <w:r w:rsidR="0051299F" w:rsidRPr="0051299F">
              <w:rPr>
                <w:rFonts w:ascii="Times New Roman" w:hAnsi="Times New Roman"/>
                <w:noProof/>
                <w:sz w:val="24"/>
                <w:lang w:val="pl-PL"/>
              </w:rPr>
              <w:t xml:space="preserve"> z</w:t>
            </w:r>
            <w:r w:rsidR="0051299F">
              <w:rPr>
                <w:rFonts w:ascii="Times New Roman" w:hAnsi="Times New Roman"/>
                <w:noProof/>
                <w:sz w:val="24"/>
                <w:lang w:val="pl-PL"/>
              </w:rPr>
              <w:t> </w:t>
            </w:r>
            <w:r w:rsidR="0051299F" w:rsidRPr="0051299F">
              <w:rPr>
                <w:rFonts w:ascii="Times New Roman" w:hAnsi="Times New Roman"/>
                <w:noProof/>
                <w:sz w:val="24"/>
                <w:lang w:val="pl-PL"/>
              </w:rPr>
              <w:t>pew</w:t>
            </w:r>
            <w:r w:rsidRPr="0051299F">
              <w:rPr>
                <w:rFonts w:ascii="Times New Roman" w:hAnsi="Times New Roman"/>
                <w:noProof/>
                <w:sz w:val="24"/>
                <w:lang w:val="pl-PL"/>
              </w:rPr>
              <w:t>nością napotkają rozbieżności pod względem długości terminów płatności (między swoimi zobowiązaniami</w:t>
            </w:r>
            <w:r w:rsidR="0051299F" w:rsidRPr="0051299F">
              <w:rPr>
                <w:rFonts w:ascii="Times New Roman" w:hAnsi="Times New Roman"/>
                <w:noProof/>
                <w:sz w:val="24"/>
                <w:lang w:val="pl-PL"/>
              </w:rPr>
              <w:t xml:space="preserve"> a</w:t>
            </w:r>
            <w:r w:rsidR="0051299F">
              <w:rPr>
                <w:rFonts w:ascii="Times New Roman" w:hAnsi="Times New Roman"/>
                <w:noProof/>
                <w:sz w:val="24"/>
                <w:lang w:val="pl-PL"/>
              </w:rPr>
              <w:t> </w:t>
            </w:r>
            <w:r w:rsidR="0051299F" w:rsidRPr="0051299F">
              <w:rPr>
                <w:rFonts w:ascii="Times New Roman" w:hAnsi="Times New Roman"/>
                <w:noProof/>
                <w:sz w:val="24"/>
                <w:lang w:val="pl-PL"/>
              </w:rPr>
              <w:t>nal</w:t>
            </w:r>
            <w:r w:rsidRPr="0051299F">
              <w:rPr>
                <w:rFonts w:ascii="Times New Roman" w:hAnsi="Times New Roman"/>
                <w:noProof/>
                <w:sz w:val="24"/>
                <w:lang w:val="pl-PL"/>
              </w:rPr>
              <w:t xml:space="preserve">eżnościami). </w:t>
            </w:r>
            <w:bookmarkStart w:id="32" w:name="_Hlk132115585"/>
            <w:r w:rsidRPr="0051299F">
              <w:rPr>
                <w:rFonts w:ascii="Times New Roman" w:hAnsi="Times New Roman"/>
                <w:noProof/>
                <w:sz w:val="24"/>
                <w:lang w:val="pl-PL"/>
              </w:rPr>
              <w:t>Problemy związane</w:t>
            </w:r>
            <w:r w:rsidR="0051299F" w:rsidRPr="0051299F">
              <w:rPr>
                <w:rFonts w:ascii="Times New Roman" w:hAnsi="Times New Roman"/>
                <w:noProof/>
                <w:sz w:val="24"/>
                <w:lang w:val="pl-PL"/>
              </w:rPr>
              <w:t xml:space="preserve"> z</w:t>
            </w:r>
            <w:r w:rsidR="0051299F">
              <w:rPr>
                <w:rFonts w:ascii="Times New Roman" w:hAnsi="Times New Roman"/>
                <w:noProof/>
                <w:sz w:val="24"/>
                <w:lang w:val="pl-PL"/>
              </w:rPr>
              <w:t> </w:t>
            </w:r>
            <w:r w:rsidR="0051299F" w:rsidRPr="0051299F">
              <w:rPr>
                <w:rFonts w:ascii="Times New Roman" w:hAnsi="Times New Roman"/>
                <w:noProof/>
                <w:sz w:val="24"/>
                <w:lang w:val="pl-PL"/>
              </w:rPr>
              <w:t>prz</w:t>
            </w:r>
            <w:r w:rsidRPr="0051299F">
              <w:rPr>
                <w:rFonts w:ascii="Times New Roman" w:hAnsi="Times New Roman"/>
                <w:noProof/>
                <w:sz w:val="24"/>
                <w:lang w:val="pl-PL"/>
              </w:rPr>
              <w:t>yjmowanym ryzykiem związanym</w:t>
            </w:r>
            <w:r w:rsidR="0051299F" w:rsidRPr="0051299F">
              <w:rPr>
                <w:rFonts w:ascii="Times New Roman" w:hAnsi="Times New Roman"/>
                <w:noProof/>
                <w:sz w:val="24"/>
                <w:lang w:val="pl-PL"/>
              </w:rPr>
              <w:t xml:space="preserve"> z</w:t>
            </w:r>
            <w:r w:rsidR="0051299F">
              <w:rPr>
                <w:rFonts w:ascii="Times New Roman" w:hAnsi="Times New Roman"/>
                <w:noProof/>
                <w:sz w:val="24"/>
                <w:lang w:val="pl-PL"/>
              </w:rPr>
              <w:t> </w:t>
            </w:r>
            <w:r w:rsidR="0051299F" w:rsidRPr="0051299F">
              <w:rPr>
                <w:rFonts w:ascii="Times New Roman" w:hAnsi="Times New Roman"/>
                <w:noProof/>
                <w:sz w:val="24"/>
                <w:lang w:val="pl-PL"/>
              </w:rPr>
              <w:t>tym</w:t>
            </w:r>
            <w:r w:rsidRPr="0051299F">
              <w:rPr>
                <w:rFonts w:ascii="Times New Roman" w:hAnsi="Times New Roman"/>
                <w:noProof/>
                <w:sz w:val="24"/>
                <w:lang w:val="pl-PL"/>
              </w:rPr>
              <w:t xml:space="preserve">i </w:t>
            </w:r>
            <w:bookmarkEnd w:id="32"/>
            <w:r w:rsidRPr="0051299F">
              <w:rPr>
                <w:rFonts w:ascii="Times New Roman" w:hAnsi="Times New Roman"/>
                <w:noProof/>
                <w:sz w:val="24"/>
                <w:lang w:val="pl-PL"/>
              </w:rPr>
              <w:t>rozbieżnościami rozwiązywane są na warunkach rynkowych przez dostawców usług finansowania transakcji handlowych (na przykład wymaganie płatności</w:t>
            </w:r>
            <w:r w:rsidR="0051299F" w:rsidRPr="0051299F">
              <w:rPr>
                <w:rFonts w:ascii="Times New Roman" w:hAnsi="Times New Roman"/>
                <w:noProof/>
                <w:sz w:val="24"/>
                <w:lang w:val="pl-PL"/>
              </w:rPr>
              <w:t xml:space="preserve"> z</w:t>
            </w:r>
            <w:r w:rsidR="0051299F">
              <w:rPr>
                <w:rFonts w:ascii="Times New Roman" w:hAnsi="Times New Roman"/>
                <w:noProof/>
                <w:sz w:val="24"/>
                <w:lang w:val="pl-PL"/>
              </w:rPr>
              <w:t> </w:t>
            </w:r>
            <w:r w:rsidR="0051299F" w:rsidRPr="0051299F">
              <w:rPr>
                <w:rFonts w:ascii="Times New Roman" w:hAnsi="Times New Roman"/>
                <w:noProof/>
                <w:sz w:val="24"/>
                <w:lang w:val="pl-PL"/>
              </w:rPr>
              <w:t>gór</w:t>
            </w:r>
            <w:r w:rsidRPr="0051299F">
              <w:rPr>
                <w:rFonts w:ascii="Times New Roman" w:hAnsi="Times New Roman"/>
                <w:noProof/>
                <w:sz w:val="24"/>
                <w:lang w:val="pl-PL"/>
              </w:rPr>
              <w:t>y, akredytywy). Ponadto ryzyko, że przedsiębiorstwa spoza UE będą osłabiać pozycję przedsiębiorstw z UE, oferując długie terminy płatności na rynku poza UE, jest dodatkowo ograniczone</w:t>
            </w:r>
            <w:r w:rsidR="0051299F" w:rsidRPr="0051299F">
              <w:rPr>
                <w:rFonts w:ascii="Times New Roman" w:hAnsi="Times New Roman"/>
                <w:noProof/>
                <w:sz w:val="24"/>
                <w:lang w:val="pl-PL"/>
              </w:rPr>
              <w:t xml:space="preserve"> z</w:t>
            </w:r>
            <w:r w:rsidR="0051299F">
              <w:rPr>
                <w:rFonts w:ascii="Times New Roman" w:hAnsi="Times New Roman"/>
                <w:noProof/>
                <w:sz w:val="24"/>
                <w:lang w:val="pl-PL"/>
              </w:rPr>
              <w:t> </w:t>
            </w:r>
            <w:r w:rsidR="0051299F" w:rsidRPr="0051299F">
              <w:rPr>
                <w:rFonts w:ascii="Times New Roman" w:hAnsi="Times New Roman"/>
                <w:noProof/>
                <w:sz w:val="24"/>
                <w:lang w:val="pl-PL"/>
              </w:rPr>
              <w:t>uwa</w:t>
            </w:r>
            <w:r w:rsidRPr="0051299F">
              <w:rPr>
                <w:rFonts w:ascii="Times New Roman" w:hAnsi="Times New Roman"/>
                <w:noProof/>
                <w:sz w:val="24"/>
                <w:lang w:val="pl-PL"/>
              </w:rPr>
              <w:t>gi na fakt, że</w:t>
            </w:r>
            <w:r w:rsidR="0051299F" w:rsidRPr="0051299F">
              <w:rPr>
                <w:rFonts w:ascii="Times New Roman" w:hAnsi="Times New Roman"/>
                <w:noProof/>
                <w:sz w:val="24"/>
                <w:lang w:val="pl-PL"/>
              </w:rPr>
              <w:t xml:space="preserve"> w</w:t>
            </w:r>
            <w:r w:rsidR="0051299F">
              <w:rPr>
                <w:rFonts w:ascii="Times New Roman" w:hAnsi="Times New Roman"/>
                <w:noProof/>
                <w:sz w:val="24"/>
                <w:lang w:val="pl-PL"/>
              </w:rPr>
              <w:t> </w:t>
            </w:r>
            <w:r w:rsidR="0051299F" w:rsidRPr="0051299F">
              <w:rPr>
                <w:rFonts w:ascii="Times New Roman" w:hAnsi="Times New Roman"/>
                <w:noProof/>
                <w:sz w:val="24"/>
                <w:lang w:val="pl-PL"/>
              </w:rPr>
              <w:t>wie</w:t>
            </w:r>
            <w:r w:rsidRPr="0051299F">
              <w:rPr>
                <w:rFonts w:ascii="Times New Roman" w:hAnsi="Times New Roman"/>
                <w:noProof/>
                <w:sz w:val="24"/>
                <w:lang w:val="pl-PL"/>
              </w:rPr>
              <w:t>lu krajach partnerskich UE, takich jak Kanada, Stany Zjednoczone, Turcja czy Zjednoczone Królestwo, obowiązują już przepisy dotyczące opóźnień</w:t>
            </w:r>
            <w:r w:rsidR="0051299F" w:rsidRPr="0051299F">
              <w:rPr>
                <w:rFonts w:ascii="Times New Roman" w:hAnsi="Times New Roman"/>
                <w:noProof/>
                <w:sz w:val="24"/>
                <w:lang w:val="pl-PL"/>
              </w:rPr>
              <w:t xml:space="preserve"> w</w:t>
            </w:r>
            <w:r w:rsidR="0051299F">
              <w:rPr>
                <w:rFonts w:ascii="Times New Roman" w:hAnsi="Times New Roman"/>
                <w:noProof/>
                <w:sz w:val="24"/>
                <w:lang w:val="pl-PL"/>
              </w:rPr>
              <w:t> </w:t>
            </w:r>
            <w:r w:rsidR="0051299F" w:rsidRPr="0051299F">
              <w:rPr>
                <w:rFonts w:ascii="Times New Roman" w:hAnsi="Times New Roman"/>
                <w:noProof/>
                <w:sz w:val="24"/>
                <w:lang w:val="pl-PL"/>
              </w:rPr>
              <w:t>pła</w:t>
            </w:r>
            <w:r w:rsidRPr="0051299F">
              <w:rPr>
                <w:rFonts w:ascii="Times New Roman" w:hAnsi="Times New Roman"/>
                <w:noProof/>
                <w:sz w:val="24"/>
                <w:lang w:val="pl-PL"/>
              </w:rPr>
              <w:t>tnościach.</w:t>
            </w:r>
          </w:p>
          <w:p w14:paraId="08F2C3C9" w14:textId="567B5F7E" w:rsidR="005F109D" w:rsidRPr="0051299F" w:rsidRDefault="005F109D" w:rsidP="001D11E3">
            <w:pPr>
              <w:jc w:val="both"/>
              <w:rPr>
                <w:rFonts w:ascii="Times New Roman" w:eastAsia="Times New Roman" w:hAnsi="Times New Roman" w:cs="Times New Roman"/>
                <w:noProof/>
                <w:sz w:val="24"/>
                <w:lang w:val="pl-PL"/>
              </w:rPr>
            </w:pPr>
          </w:p>
        </w:tc>
      </w:tr>
      <w:tr w:rsidR="007553ED" w:rsidRPr="0051299F" w14:paraId="6730B644" w14:textId="77777777" w:rsidTr="00546934">
        <w:trPr>
          <w:trHeight w:val="323"/>
        </w:trPr>
        <w:tc>
          <w:tcPr>
            <w:tcW w:w="9450" w:type="dxa"/>
            <w:shd w:val="clear" w:color="auto" w:fill="FFFFFF" w:themeFill="background1"/>
          </w:tcPr>
          <w:p w14:paraId="26C4CE72" w14:textId="77777777" w:rsidR="007553ED" w:rsidRPr="0051299F" w:rsidRDefault="007553ED" w:rsidP="00546934">
            <w:pPr>
              <w:spacing w:line="259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lang w:val="pl-PL"/>
              </w:rPr>
            </w:pPr>
            <w:r w:rsidRPr="0051299F">
              <w:rPr>
                <w:rFonts w:ascii="Times New Roman" w:hAnsi="Times New Roman"/>
                <w:b/>
                <w:noProof/>
                <w:sz w:val="24"/>
                <w:lang w:val="pl-PL"/>
              </w:rPr>
              <w:t>Czy wystąpią inne znaczące skutki?</w:t>
            </w:r>
          </w:p>
        </w:tc>
      </w:tr>
      <w:tr w:rsidR="007553ED" w:rsidRPr="0051299F" w14:paraId="263CAFC7" w14:textId="77777777" w:rsidTr="00546934">
        <w:trPr>
          <w:trHeight w:val="323"/>
        </w:trPr>
        <w:tc>
          <w:tcPr>
            <w:tcW w:w="9450" w:type="dxa"/>
            <w:shd w:val="clear" w:color="auto" w:fill="FFFFFF" w:themeFill="background1"/>
          </w:tcPr>
          <w:p w14:paraId="6740D409" w14:textId="6382FF91" w:rsidR="007553ED" w:rsidRPr="0051299F" w:rsidRDefault="005F109D" w:rsidP="00D62C50">
            <w:pPr>
              <w:jc w:val="both"/>
              <w:rPr>
                <w:rFonts w:ascii="Times New Roman" w:hAnsi="Times New Roman" w:cs="Times New Roman"/>
                <w:noProof/>
                <w:sz w:val="24"/>
                <w:lang w:val="pl-PL"/>
              </w:rPr>
            </w:pPr>
            <w:r w:rsidRPr="0051299F">
              <w:rPr>
                <w:rFonts w:ascii="Times New Roman" w:hAnsi="Times New Roman"/>
                <w:noProof/>
                <w:sz w:val="24"/>
                <w:lang w:val="pl-PL"/>
              </w:rPr>
              <w:t>Wszystkie warianty strategiczne będą miały wpływ na zatrudnienie, uczciwość</w:t>
            </w:r>
            <w:r w:rsidR="0051299F" w:rsidRPr="0051299F">
              <w:rPr>
                <w:rFonts w:ascii="Times New Roman" w:hAnsi="Times New Roman"/>
                <w:noProof/>
                <w:sz w:val="24"/>
                <w:lang w:val="pl-PL"/>
              </w:rPr>
              <w:t xml:space="preserve"> w</w:t>
            </w:r>
            <w:r w:rsidR="0051299F">
              <w:rPr>
                <w:rFonts w:ascii="Times New Roman" w:hAnsi="Times New Roman"/>
                <w:noProof/>
                <w:sz w:val="24"/>
                <w:lang w:val="pl-PL"/>
              </w:rPr>
              <w:t> </w:t>
            </w:r>
            <w:r w:rsidR="0051299F" w:rsidRPr="0051299F">
              <w:rPr>
                <w:rFonts w:ascii="Times New Roman" w:hAnsi="Times New Roman"/>
                <w:noProof/>
                <w:sz w:val="24"/>
                <w:lang w:val="pl-PL"/>
              </w:rPr>
              <w:t>kul</w:t>
            </w:r>
            <w:r w:rsidRPr="0051299F">
              <w:rPr>
                <w:rFonts w:ascii="Times New Roman" w:hAnsi="Times New Roman"/>
                <w:noProof/>
                <w:sz w:val="24"/>
                <w:lang w:val="pl-PL"/>
              </w:rPr>
              <w:t>turze korporacyjnej</w:t>
            </w:r>
            <w:r w:rsidR="0051299F" w:rsidRPr="0051299F">
              <w:rPr>
                <w:rFonts w:ascii="Times New Roman" w:hAnsi="Times New Roman"/>
                <w:noProof/>
                <w:sz w:val="24"/>
                <w:lang w:val="pl-PL"/>
              </w:rPr>
              <w:t xml:space="preserve"> i</w:t>
            </w:r>
            <w:r w:rsidR="0051299F">
              <w:rPr>
                <w:rFonts w:ascii="Times New Roman" w:hAnsi="Times New Roman"/>
                <w:noProof/>
                <w:sz w:val="24"/>
                <w:lang w:val="pl-PL"/>
              </w:rPr>
              <w:t> </w:t>
            </w:r>
            <w:r w:rsidR="0051299F" w:rsidRPr="0051299F">
              <w:rPr>
                <w:rFonts w:ascii="Times New Roman" w:hAnsi="Times New Roman"/>
                <w:noProof/>
                <w:sz w:val="24"/>
                <w:lang w:val="pl-PL"/>
              </w:rPr>
              <w:t>dob</w:t>
            </w:r>
            <w:r w:rsidRPr="0051299F">
              <w:rPr>
                <w:rFonts w:ascii="Times New Roman" w:hAnsi="Times New Roman"/>
                <w:noProof/>
                <w:sz w:val="24"/>
                <w:lang w:val="pl-PL"/>
              </w:rPr>
              <w:t>rostan przedsiębiorców. Żaden</w:t>
            </w:r>
            <w:r w:rsidR="0051299F" w:rsidRPr="0051299F">
              <w:rPr>
                <w:rFonts w:ascii="Times New Roman" w:hAnsi="Times New Roman"/>
                <w:noProof/>
                <w:sz w:val="24"/>
                <w:lang w:val="pl-PL"/>
              </w:rPr>
              <w:t xml:space="preserve"> z</w:t>
            </w:r>
            <w:r w:rsidR="0051299F">
              <w:rPr>
                <w:rFonts w:ascii="Times New Roman" w:hAnsi="Times New Roman"/>
                <w:noProof/>
                <w:sz w:val="24"/>
                <w:lang w:val="pl-PL"/>
              </w:rPr>
              <w:t> </w:t>
            </w:r>
            <w:r w:rsidR="0051299F" w:rsidRPr="0051299F">
              <w:rPr>
                <w:rFonts w:ascii="Times New Roman" w:hAnsi="Times New Roman"/>
                <w:noProof/>
                <w:sz w:val="24"/>
                <w:lang w:val="pl-PL"/>
              </w:rPr>
              <w:t>war</w:t>
            </w:r>
            <w:r w:rsidRPr="0051299F">
              <w:rPr>
                <w:rFonts w:ascii="Times New Roman" w:hAnsi="Times New Roman"/>
                <w:noProof/>
                <w:sz w:val="24"/>
                <w:lang w:val="pl-PL"/>
              </w:rPr>
              <w:t>iantów strategicznych nie będzie miał bezpośredniego wpływu na środowisko. Żaden</w:t>
            </w:r>
            <w:r w:rsidR="0051299F" w:rsidRPr="0051299F">
              <w:rPr>
                <w:rFonts w:ascii="Times New Roman" w:hAnsi="Times New Roman"/>
                <w:noProof/>
                <w:sz w:val="24"/>
                <w:lang w:val="pl-PL"/>
              </w:rPr>
              <w:t xml:space="preserve"> z</w:t>
            </w:r>
            <w:r w:rsidR="0051299F">
              <w:rPr>
                <w:rFonts w:ascii="Times New Roman" w:hAnsi="Times New Roman"/>
                <w:noProof/>
                <w:sz w:val="24"/>
                <w:lang w:val="pl-PL"/>
              </w:rPr>
              <w:t> </w:t>
            </w:r>
            <w:r w:rsidR="0051299F" w:rsidRPr="0051299F">
              <w:rPr>
                <w:rFonts w:ascii="Times New Roman" w:hAnsi="Times New Roman"/>
                <w:noProof/>
                <w:sz w:val="24"/>
                <w:lang w:val="pl-PL"/>
              </w:rPr>
              <w:t>war</w:t>
            </w:r>
            <w:r w:rsidRPr="0051299F">
              <w:rPr>
                <w:rFonts w:ascii="Times New Roman" w:hAnsi="Times New Roman"/>
                <w:noProof/>
                <w:sz w:val="24"/>
                <w:lang w:val="pl-PL"/>
              </w:rPr>
              <w:t>iantów strategicznych nie spowoduje poważnych szkód dla środowiska.</w:t>
            </w:r>
          </w:p>
          <w:p w14:paraId="52CD3A26" w14:textId="7A7B4CDE" w:rsidR="007C5BE0" w:rsidRPr="0051299F" w:rsidRDefault="007C5BE0" w:rsidP="00D62C50">
            <w:pPr>
              <w:jc w:val="both"/>
              <w:rPr>
                <w:rFonts w:ascii="Times New Roman" w:hAnsi="Times New Roman" w:cs="Times New Roman"/>
                <w:noProof/>
                <w:sz w:val="24"/>
                <w:lang w:val="pl-PL"/>
              </w:rPr>
            </w:pPr>
          </w:p>
        </w:tc>
      </w:tr>
      <w:tr w:rsidR="007553ED" w:rsidRPr="0051299F" w14:paraId="317A3DF7" w14:textId="77777777" w:rsidTr="00546934">
        <w:trPr>
          <w:trHeight w:val="323"/>
        </w:trPr>
        <w:tc>
          <w:tcPr>
            <w:tcW w:w="9450" w:type="dxa"/>
            <w:shd w:val="clear" w:color="auto" w:fill="FFFFFF" w:themeFill="background1"/>
          </w:tcPr>
          <w:p w14:paraId="01303552" w14:textId="77777777" w:rsidR="007553ED" w:rsidRPr="0051299F" w:rsidRDefault="007553ED" w:rsidP="00546934">
            <w:pPr>
              <w:spacing w:line="259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lang w:val="pl-PL"/>
              </w:rPr>
            </w:pPr>
            <w:r w:rsidRPr="0051299F">
              <w:rPr>
                <w:rFonts w:ascii="Times New Roman" w:hAnsi="Times New Roman"/>
                <w:b/>
                <w:noProof/>
                <w:sz w:val="24"/>
                <w:lang w:val="pl-PL"/>
              </w:rPr>
              <w:t>Proporcjonalność?</w:t>
            </w:r>
          </w:p>
        </w:tc>
      </w:tr>
      <w:tr w:rsidR="007553ED" w:rsidRPr="0051299F" w14:paraId="7E6A0833" w14:textId="77777777" w:rsidTr="00546934">
        <w:trPr>
          <w:trHeight w:val="323"/>
        </w:trPr>
        <w:tc>
          <w:tcPr>
            <w:tcW w:w="9450" w:type="dxa"/>
            <w:shd w:val="clear" w:color="auto" w:fill="FFFFFF" w:themeFill="background1"/>
          </w:tcPr>
          <w:p w14:paraId="29634EBC" w14:textId="44D2EAFF" w:rsidR="00675120" w:rsidRPr="0051299F" w:rsidRDefault="001D7C6D" w:rsidP="001D7C6D">
            <w:pPr>
              <w:jc w:val="both"/>
              <w:rPr>
                <w:rFonts w:ascii="Times New Roman" w:hAnsi="Times New Roman" w:cs="Times New Roman"/>
                <w:noProof/>
                <w:sz w:val="24"/>
                <w:lang w:val="pl-PL"/>
              </w:rPr>
            </w:pPr>
            <w:r w:rsidRPr="0051299F">
              <w:rPr>
                <w:rFonts w:ascii="Times New Roman" w:hAnsi="Times New Roman"/>
                <w:noProof/>
                <w:sz w:val="24"/>
                <w:lang w:val="pl-PL"/>
              </w:rPr>
              <w:t>Wszystkie warianty strategiczne są zgodne</w:t>
            </w:r>
            <w:r w:rsidR="0051299F" w:rsidRPr="0051299F">
              <w:rPr>
                <w:rFonts w:ascii="Times New Roman" w:hAnsi="Times New Roman"/>
                <w:noProof/>
                <w:sz w:val="24"/>
                <w:lang w:val="pl-PL"/>
              </w:rPr>
              <w:t xml:space="preserve"> z</w:t>
            </w:r>
            <w:r w:rsidR="0051299F">
              <w:rPr>
                <w:rFonts w:ascii="Times New Roman" w:hAnsi="Times New Roman"/>
                <w:noProof/>
                <w:sz w:val="24"/>
                <w:lang w:val="pl-PL"/>
              </w:rPr>
              <w:t> </w:t>
            </w:r>
            <w:r w:rsidR="0051299F" w:rsidRPr="0051299F">
              <w:rPr>
                <w:rFonts w:ascii="Times New Roman" w:hAnsi="Times New Roman"/>
                <w:noProof/>
                <w:sz w:val="24"/>
                <w:lang w:val="pl-PL"/>
              </w:rPr>
              <w:t>zas</w:t>
            </w:r>
            <w:r w:rsidRPr="0051299F">
              <w:rPr>
                <w:rFonts w:ascii="Times New Roman" w:hAnsi="Times New Roman"/>
                <w:noProof/>
                <w:sz w:val="24"/>
                <w:lang w:val="pl-PL"/>
              </w:rPr>
              <w:t>adami proporcjonalności</w:t>
            </w:r>
            <w:r w:rsidR="0051299F" w:rsidRPr="0051299F">
              <w:rPr>
                <w:rFonts w:ascii="Times New Roman" w:hAnsi="Times New Roman"/>
                <w:noProof/>
                <w:sz w:val="24"/>
                <w:lang w:val="pl-PL"/>
              </w:rPr>
              <w:t xml:space="preserve"> i</w:t>
            </w:r>
            <w:r w:rsidR="0051299F">
              <w:rPr>
                <w:rFonts w:ascii="Times New Roman" w:hAnsi="Times New Roman"/>
                <w:noProof/>
                <w:sz w:val="24"/>
                <w:lang w:val="pl-PL"/>
              </w:rPr>
              <w:t> </w:t>
            </w:r>
            <w:r w:rsidR="0051299F" w:rsidRPr="0051299F">
              <w:rPr>
                <w:rFonts w:ascii="Times New Roman" w:hAnsi="Times New Roman"/>
                <w:noProof/>
                <w:sz w:val="24"/>
                <w:lang w:val="pl-PL"/>
              </w:rPr>
              <w:t>pom</w:t>
            </w:r>
            <w:r w:rsidRPr="0051299F">
              <w:rPr>
                <w:rFonts w:ascii="Times New Roman" w:hAnsi="Times New Roman"/>
                <w:noProof/>
                <w:sz w:val="24"/>
                <w:lang w:val="pl-PL"/>
              </w:rPr>
              <w:t>ocniczości</w:t>
            </w:r>
            <w:r w:rsidR="0051299F" w:rsidRPr="0051299F">
              <w:rPr>
                <w:rFonts w:ascii="Times New Roman" w:hAnsi="Times New Roman"/>
                <w:noProof/>
                <w:sz w:val="24"/>
                <w:lang w:val="pl-PL"/>
              </w:rPr>
              <w:t>. W</w:t>
            </w:r>
            <w:r w:rsidR="0051299F">
              <w:rPr>
                <w:rFonts w:ascii="Times New Roman" w:hAnsi="Times New Roman"/>
                <w:noProof/>
                <w:sz w:val="24"/>
                <w:lang w:val="pl-PL"/>
              </w:rPr>
              <w:t> </w:t>
            </w:r>
            <w:r w:rsidR="0051299F" w:rsidRPr="0051299F">
              <w:rPr>
                <w:rFonts w:ascii="Times New Roman" w:hAnsi="Times New Roman"/>
                <w:noProof/>
                <w:sz w:val="24"/>
                <w:lang w:val="pl-PL"/>
              </w:rPr>
              <w:t>war</w:t>
            </w:r>
            <w:r w:rsidRPr="0051299F">
              <w:rPr>
                <w:rFonts w:ascii="Times New Roman" w:hAnsi="Times New Roman"/>
                <w:noProof/>
                <w:sz w:val="24"/>
                <w:lang w:val="pl-PL"/>
              </w:rPr>
              <w:t>iantach tych przedsiębiorstwa obciążane są tylko tymi kosztami, które są niezbędne do osiągnięcia założonych celów,</w:t>
            </w:r>
            <w:r w:rsidR="0051299F" w:rsidRPr="0051299F">
              <w:rPr>
                <w:rFonts w:ascii="Times New Roman" w:hAnsi="Times New Roman"/>
                <w:noProof/>
                <w:sz w:val="24"/>
                <w:lang w:val="pl-PL"/>
              </w:rPr>
              <w:t xml:space="preserve"> a</w:t>
            </w:r>
            <w:r w:rsidR="0051299F">
              <w:rPr>
                <w:rFonts w:ascii="Times New Roman" w:hAnsi="Times New Roman"/>
                <w:noProof/>
                <w:sz w:val="24"/>
                <w:lang w:val="pl-PL"/>
              </w:rPr>
              <w:t> </w:t>
            </w:r>
            <w:r w:rsidR="0051299F" w:rsidRPr="0051299F">
              <w:rPr>
                <w:rFonts w:ascii="Times New Roman" w:hAnsi="Times New Roman"/>
                <w:noProof/>
                <w:sz w:val="24"/>
                <w:lang w:val="pl-PL"/>
              </w:rPr>
              <w:t>pań</w:t>
            </w:r>
            <w:r w:rsidRPr="0051299F">
              <w:rPr>
                <w:rFonts w:ascii="Times New Roman" w:hAnsi="Times New Roman"/>
                <w:noProof/>
                <w:sz w:val="24"/>
                <w:lang w:val="pl-PL"/>
              </w:rPr>
              <w:t>stwom członkowskim pozostawiana jest swoboda decyzyjna (na przykład dotycząca wyznaczenia organów odpowiedzialnych za egzekwowanie prawa, wprowadzenia szkoleń</w:t>
            </w:r>
            <w:r w:rsidR="0051299F" w:rsidRPr="0051299F">
              <w:rPr>
                <w:rFonts w:ascii="Times New Roman" w:hAnsi="Times New Roman"/>
                <w:noProof/>
                <w:sz w:val="24"/>
                <w:lang w:val="pl-PL"/>
              </w:rPr>
              <w:t xml:space="preserve"> z</w:t>
            </w:r>
            <w:r w:rsidR="0051299F">
              <w:rPr>
                <w:rFonts w:ascii="Times New Roman" w:hAnsi="Times New Roman"/>
                <w:noProof/>
                <w:sz w:val="24"/>
                <w:lang w:val="pl-PL"/>
              </w:rPr>
              <w:t> </w:t>
            </w:r>
            <w:r w:rsidR="0051299F" w:rsidRPr="0051299F">
              <w:rPr>
                <w:rFonts w:ascii="Times New Roman" w:hAnsi="Times New Roman"/>
                <w:noProof/>
                <w:sz w:val="24"/>
                <w:lang w:val="pl-PL"/>
              </w:rPr>
              <w:t>zak</w:t>
            </w:r>
            <w:r w:rsidRPr="0051299F">
              <w:rPr>
                <w:rFonts w:ascii="Times New Roman" w:hAnsi="Times New Roman"/>
                <w:noProof/>
                <w:sz w:val="24"/>
                <w:lang w:val="pl-PL"/>
              </w:rPr>
              <w:t>resu zarządzania wierzytelnościami</w:t>
            </w:r>
            <w:r w:rsidR="0051299F" w:rsidRPr="0051299F">
              <w:rPr>
                <w:rFonts w:ascii="Times New Roman" w:hAnsi="Times New Roman"/>
                <w:noProof/>
                <w:sz w:val="24"/>
                <w:lang w:val="pl-PL"/>
              </w:rPr>
              <w:t xml:space="preserve"> i</w:t>
            </w:r>
            <w:r w:rsidR="0051299F">
              <w:rPr>
                <w:rFonts w:ascii="Times New Roman" w:hAnsi="Times New Roman"/>
                <w:noProof/>
                <w:sz w:val="24"/>
                <w:lang w:val="pl-PL"/>
              </w:rPr>
              <w:t> </w:t>
            </w:r>
            <w:r w:rsidR="0051299F" w:rsidRPr="0051299F">
              <w:rPr>
                <w:rFonts w:ascii="Times New Roman" w:hAnsi="Times New Roman"/>
                <w:noProof/>
                <w:sz w:val="24"/>
                <w:lang w:val="pl-PL"/>
              </w:rPr>
              <w:t>śro</w:t>
            </w:r>
            <w:r w:rsidRPr="0051299F">
              <w:rPr>
                <w:rFonts w:ascii="Times New Roman" w:hAnsi="Times New Roman"/>
                <w:noProof/>
                <w:sz w:val="24"/>
                <w:lang w:val="pl-PL"/>
              </w:rPr>
              <w:t>dków dochodzenia roszczeń, czy identyfikacji nieuczciwych praktyk płatniczych)</w:t>
            </w:r>
            <w:r w:rsidR="0051299F" w:rsidRPr="0051299F">
              <w:rPr>
                <w:rFonts w:ascii="Times New Roman" w:hAnsi="Times New Roman"/>
                <w:noProof/>
                <w:sz w:val="24"/>
                <w:lang w:val="pl-PL"/>
              </w:rPr>
              <w:t>. W</w:t>
            </w:r>
            <w:r w:rsidR="0051299F">
              <w:rPr>
                <w:rFonts w:ascii="Times New Roman" w:hAnsi="Times New Roman"/>
                <w:noProof/>
                <w:sz w:val="24"/>
                <w:lang w:val="pl-PL"/>
              </w:rPr>
              <w:t> </w:t>
            </w:r>
            <w:r w:rsidR="0051299F" w:rsidRPr="0051299F">
              <w:rPr>
                <w:rFonts w:ascii="Times New Roman" w:hAnsi="Times New Roman"/>
                <w:noProof/>
                <w:sz w:val="24"/>
                <w:lang w:val="pl-PL"/>
              </w:rPr>
              <w:t>oce</w:t>
            </w:r>
            <w:r w:rsidRPr="0051299F">
              <w:rPr>
                <w:rFonts w:ascii="Times New Roman" w:hAnsi="Times New Roman"/>
                <w:noProof/>
                <w:sz w:val="24"/>
                <w:lang w:val="pl-PL"/>
              </w:rPr>
              <w:t xml:space="preserve">nie skutków wskazano także odrzucone warianty. </w:t>
            </w:r>
          </w:p>
          <w:p w14:paraId="39A808E5" w14:textId="3D1352FB" w:rsidR="007C5BE0" w:rsidRPr="0051299F" w:rsidRDefault="007C5BE0" w:rsidP="001D7C6D">
            <w:pPr>
              <w:jc w:val="both"/>
              <w:rPr>
                <w:rFonts w:ascii="Times New Roman" w:hAnsi="Times New Roman" w:cs="Times New Roman"/>
                <w:noProof/>
                <w:sz w:val="24"/>
                <w:lang w:val="pl-PL"/>
              </w:rPr>
            </w:pPr>
          </w:p>
        </w:tc>
      </w:tr>
      <w:tr w:rsidR="007553ED" w:rsidRPr="0051299F" w14:paraId="036510E5" w14:textId="77777777" w:rsidTr="00B406E1">
        <w:trPr>
          <w:trHeight w:val="323"/>
        </w:trPr>
        <w:tc>
          <w:tcPr>
            <w:tcW w:w="9450" w:type="dxa"/>
            <w:shd w:val="clear" w:color="auto" w:fill="auto"/>
          </w:tcPr>
          <w:p w14:paraId="44C98E4E" w14:textId="77777777" w:rsidR="007553ED" w:rsidRPr="0051299F" w:rsidRDefault="007553ED" w:rsidP="00546934">
            <w:pPr>
              <w:spacing w:line="259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lang w:val="pl-PL"/>
              </w:rPr>
            </w:pPr>
            <w:r w:rsidRPr="0051299F">
              <w:rPr>
                <w:rFonts w:ascii="Times New Roman" w:hAnsi="Times New Roman"/>
                <w:b/>
                <w:noProof/>
                <w:sz w:val="24"/>
                <w:lang w:val="pl-PL"/>
              </w:rPr>
              <w:t>D. Działania następcze</w:t>
            </w:r>
          </w:p>
        </w:tc>
      </w:tr>
      <w:tr w:rsidR="007553ED" w:rsidRPr="0051299F" w14:paraId="2B72A783" w14:textId="77777777" w:rsidTr="00506CCD">
        <w:trPr>
          <w:trHeight w:val="1438"/>
        </w:trPr>
        <w:tc>
          <w:tcPr>
            <w:tcW w:w="9450" w:type="dxa"/>
            <w:shd w:val="clear" w:color="auto" w:fill="FFFFFF" w:themeFill="background1"/>
          </w:tcPr>
          <w:p w14:paraId="5745CA67" w14:textId="4508E032" w:rsidR="007553ED" w:rsidRPr="0051299F" w:rsidRDefault="001D7C6D" w:rsidP="00636322">
            <w:pPr>
              <w:jc w:val="both"/>
              <w:rPr>
                <w:rFonts w:ascii="Times New Roman" w:eastAsia="Times New Roman" w:hAnsi="Times New Roman" w:cs="Times New Roman"/>
                <w:noProof/>
                <w:sz w:val="24"/>
                <w:lang w:val="pl-PL"/>
              </w:rPr>
            </w:pPr>
            <w:r w:rsidRPr="0051299F">
              <w:rPr>
                <w:rFonts w:ascii="Times New Roman" w:hAnsi="Times New Roman"/>
                <w:noProof/>
                <w:sz w:val="24"/>
                <w:lang w:val="pl-PL"/>
              </w:rPr>
              <w:t>Komisja przeprowadzi monitorowanie</w:t>
            </w:r>
            <w:r w:rsidR="0051299F" w:rsidRPr="0051299F">
              <w:rPr>
                <w:rFonts w:ascii="Times New Roman" w:hAnsi="Times New Roman"/>
                <w:noProof/>
                <w:sz w:val="24"/>
                <w:lang w:val="pl-PL"/>
              </w:rPr>
              <w:t xml:space="preserve"> i</w:t>
            </w:r>
            <w:r w:rsidR="0051299F">
              <w:rPr>
                <w:rFonts w:ascii="Times New Roman" w:hAnsi="Times New Roman"/>
                <w:noProof/>
                <w:sz w:val="24"/>
                <w:lang w:val="pl-PL"/>
              </w:rPr>
              <w:t> </w:t>
            </w:r>
            <w:r w:rsidR="0051299F" w:rsidRPr="0051299F">
              <w:rPr>
                <w:rFonts w:ascii="Times New Roman" w:hAnsi="Times New Roman"/>
                <w:noProof/>
                <w:sz w:val="24"/>
                <w:lang w:val="pl-PL"/>
              </w:rPr>
              <w:t>oce</w:t>
            </w:r>
            <w:r w:rsidRPr="0051299F">
              <w:rPr>
                <w:rFonts w:ascii="Times New Roman" w:hAnsi="Times New Roman"/>
                <w:noProof/>
                <w:sz w:val="24"/>
                <w:lang w:val="pl-PL"/>
              </w:rPr>
              <w:t>nę skutków inicjatywy po upływie czterech lat od wejścia</w:t>
            </w:r>
            <w:r w:rsidR="0051299F" w:rsidRPr="0051299F">
              <w:rPr>
                <w:rFonts w:ascii="Times New Roman" w:hAnsi="Times New Roman"/>
                <w:noProof/>
                <w:sz w:val="24"/>
                <w:lang w:val="pl-PL"/>
              </w:rPr>
              <w:t xml:space="preserve"> w</w:t>
            </w:r>
            <w:r w:rsidR="0051299F">
              <w:rPr>
                <w:rFonts w:ascii="Times New Roman" w:hAnsi="Times New Roman"/>
                <w:noProof/>
                <w:sz w:val="24"/>
                <w:lang w:val="pl-PL"/>
              </w:rPr>
              <w:t> </w:t>
            </w:r>
            <w:r w:rsidR="0051299F" w:rsidRPr="0051299F">
              <w:rPr>
                <w:rFonts w:ascii="Times New Roman" w:hAnsi="Times New Roman"/>
                <w:noProof/>
                <w:sz w:val="24"/>
                <w:lang w:val="pl-PL"/>
              </w:rPr>
              <w:t>życ</w:t>
            </w:r>
            <w:r w:rsidRPr="0051299F">
              <w:rPr>
                <w:rFonts w:ascii="Times New Roman" w:hAnsi="Times New Roman"/>
                <w:noProof/>
                <w:sz w:val="24"/>
                <w:lang w:val="pl-PL"/>
              </w:rPr>
              <w:t>ie nowych przepisów. Wsparcie</w:t>
            </w:r>
            <w:r w:rsidR="0051299F" w:rsidRPr="0051299F">
              <w:rPr>
                <w:rFonts w:ascii="Times New Roman" w:hAnsi="Times New Roman"/>
                <w:noProof/>
                <w:sz w:val="24"/>
                <w:lang w:val="pl-PL"/>
              </w:rPr>
              <w:t xml:space="preserve"> w</w:t>
            </w:r>
            <w:r w:rsidR="0051299F">
              <w:rPr>
                <w:rFonts w:ascii="Times New Roman" w:hAnsi="Times New Roman"/>
                <w:noProof/>
                <w:sz w:val="24"/>
                <w:lang w:val="pl-PL"/>
              </w:rPr>
              <w:t> </w:t>
            </w:r>
            <w:r w:rsidR="0051299F" w:rsidRPr="0051299F">
              <w:rPr>
                <w:rFonts w:ascii="Times New Roman" w:hAnsi="Times New Roman"/>
                <w:noProof/>
                <w:sz w:val="24"/>
                <w:lang w:val="pl-PL"/>
              </w:rPr>
              <w:t>pro</w:t>
            </w:r>
            <w:r w:rsidRPr="0051299F">
              <w:rPr>
                <w:rFonts w:ascii="Times New Roman" w:hAnsi="Times New Roman"/>
                <w:noProof/>
                <w:sz w:val="24"/>
                <w:lang w:val="pl-PL"/>
              </w:rPr>
              <w:t>cesie monitorowania tej inicjatywy zapewnią też Europejskie Centrum Monitorowania Płatności oraz sprawozdania sporządzane przez państwa członkowskie</w:t>
            </w:r>
            <w:r w:rsidR="0051299F" w:rsidRPr="0051299F">
              <w:rPr>
                <w:rFonts w:ascii="Times New Roman" w:hAnsi="Times New Roman"/>
                <w:noProof/>
                <w:sz w:val="24"/>
                <w:lang w:val="pl-PL"/>
              </w:rPr>
              <w:t xml:space="preserve"> z</w:t>
            </w:r>
            <w:r w:rsidR="0051299F">
              <w:rPr>
                <w:rFonts w:ascii="Times New Roman" w:hAnsi="Times New Roman"/>
                <w:noProof/>
                <w:sz w:val="24"/>
                <w:lang w:val="pl-PL"/>
              </w:rPr>
              <w:t> </w:t>
            </w:r>
            <w:r w:rsidR="0051299F" w:rsidRPr="0051299F">
              <w:rPr>
                <w:rFonts w:ascii="Times New Roman" w:hAnsi="Times New Roman"/>
                <w:noProof/>
                <w:sz w:val="24"/>
                <w:lang w:val="pl-PL"/>
              </w:rPr>
              <w:t>ich</w:t>
            </w:r>
            <w:r w:rsidRPr="0051299F">
              <w:rPr>
                <w:rFonts w:ascii="Times New Roman" w:hAnsi="Times New Roman"/>
                <w:noProof/>
                <w:sz w:val="24"/>
                <w:lang w:val="pl-PL"/>
              </w:rPr>
              <w:t xml:space="preserve"> własnej inicjatywy lub przez osoby trzecie.</w:t>
            </w:r>
          </w:p>
        </w:tc>
      </w:tr>
    </w:tbl>
    <w:p w14:paraId="68911B1D" w14:textId="77777777" w:rsidR="007553ED" w:rsidRPr="0051299F" w:rsidRDefault="007553ED">
      <w:pPr>
        <w:rPr>
          <w:rFonts w:ascii="Times New Roman" w:hAnsi="Times New Roman" w:cs="Times New Roman"/>
          <w:noProof/>
          <w:lang w:val="pl-PL"/>
        </w:rPr>
      </w:pPr>
    </w:p>
    <w:sectPr w:rsidR="007553ED" w:rsidRPr="0051299F" w:rsidSect="0026613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17" w:right="1417" w:bottom="1417" w:left="1417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4449E2" w14:textId="77777777" w:rsidR="00255030" w:rsidRPr="0051299F" w:rsidRDefault="00255030" w:rsidP="0026613F">
      <w:pPr>
        <w:spacing w:after="0" w:line="240" w:lineRule="auto"/>
        <w:rPr>
          <w:lang w:val="pl-PL"/>
        </w:rPr>
      </w:pPr>
      <w:r w:rsidRPr="0051299F">
        <w:rPr>
          <w:lang w:val="pl-PL"/>
        </w:rPr>
        <w:separator/>
      </w:r>
    </w:p>
  </w:endnote>
  <w:endnote w:type="continuationSeparator" w:id="0">
    <w:p w14:paraId="2E56E9E5" w14:textId="77777777" w:rsidR="00255030" w:rsidRPr="0051299F" w:rsidRDefault="00255030" w:rsidP="0026613F">
      <w:pPr>
        <w:spacing w:after="0" w:line="240" w:lineRule="auto"/>
        <w:rPr>
          <w:lang w:val="pl-PL"/>
        </w:rPr>
      </w:pPr>
      <w:r w:rsidRPr="0051299F">
        <w:rPr>
          <w:lang w:val="pl-PL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75B702" w14:textId="2F7D9CD0" w:rsidR="0051299F" w:rsidRPr="00AB768C" w:rsidRDefault="0051299F" w:rsidP="00AB76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99F170" w14:textId="052CB217" w:rsidR="0051299F" w:rsidRPr="00AB768C" w:rsidRDefault="00AB768C" w:rsidP="00AB768C">
    <w:pPr>
      <w:pStyle w:val="FooterCoverPage"/>
      <w:rPr>
        <w:rFonts w:ascii="Arial" w:hAnsi="Arial" w:cs="Arial"/>
        <w:b/>
        <w:sz w:val="48"/>
      </w:rPr>
    </w:pPr>
    <w:r w:rsidRPr="00AB768C">
      <w:rPr>
        <w:rFonts w:ascii="Arial" w:hAnsi="Arial" w:cs="Arial"/>
        <w:b/>
        <w:sz w:val="48"/>
      </w:rPr>
      <w:t>PL</w:t>
    </w:r>
    <w:r w:rsidRPr="00AB768C">
      <w:rPr>
        <w:rFonts w:ascii="Arial" w:hAnsi="Arial" w:cs="Arial"/>
        <w:b/>
        <w:sz w:val="48"/>
      </w:rPr>
      <w:tab/>
    </w:r>
    <w:r w:rsidRPr="00AB768C">
      <w:rPr>
        <w:rFonts w:ascii="Arial" w:hAnsi="Arial" w:cs="Arial"/>
        <w:b/>
        <w:sz w:val="48"/>
      </w:rPr>
      <w:tab/>
    </w:r>
    <w:r w:rsidRPr="00AB768C">
      <w:tab/>
    </w:r>
    <w:r w:rsidRPr="00AB768C">
      <w:rPr>
        <w:rFonts w:ascii="Arial" w:hAnsi="Arial" w:cs="Arial"/>
        <w:b/>
        <w:sz w:val="48"/>
      </w:rPr>
      <w:t>PL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C1432B" w14:textId="77777777" w:rsidR="00AB768C" w:rsidRPr="00AB768C" w:rsidRDefault="00AB768C" w:rsidP="00AB768C">
    <w:pPr>
      <w:pStyle w:val="FooterCoverPag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42061C" w14:textId="77777777" w:rsidR="0026613F" w:rsidRDefault="0026613F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0100745"/>
      <w:docPartObj>
        <w:docPartGallery w:val="Page Numbers (Bottom of Page)"/>
        <w:docPartUnique/>
      </w:docPartObj>
    </w:sdtPr>
    <w:sdtEndPr/>
    <w:sdtContent>
      <w:p w14:paraId="0151990A" w14:textId="1DF8DAB4" w:rsidR="0026613F" w:rsidRDefault="0026613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B768C">
          <w:rPr>
            <w:noProof/>
          </w:rPr>
          <w:t>2</w:t>
        </w:r>
        <w:r>
          <w:fldChar w:fldCharType="end"/>
        </w:r>
      </w:p>
    </w:sdtContent>
  </w:sdt>
  <w:p w14:paraId="3268B334" w14:textId="77777777" w:rsidR="0026613F" w:rsidRDefault="0026613F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D227D7" w14:textId="77777777" w:rsidR="0026613F" w:rsidRDefault="002661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B3F69F" w14:textId="77777777" w:rsidR="00255030" w:rsidRPr="0051299F" w:rsidRDefault="00255030" w:rsidP="0026613F">
      <w:pPr>
        <w:spacing w:after="0" w:line="240" w:lineRule="auto"/>
        <w:rPr>
          <w:lang w:val="pl-PL"/>
        </w:rPr>
      </w:pPr>
      <w:r w:rsidRPr="0051299F">
        <w:rPr>
          <w:lang w:val="pl-PL"/>
        </w:rPr>
        <w:separator/>
      </w:r>
    </w:p>
  </w:footnote>
  <w:footnote w:type="continuationSeparator" w:id="0">
    <w:p w14:paraId="45A4E06C" w14:textId="77777777" w:rsidR="00255030" w:rsidRPr="0051299F" w:rsidRDefault="00255030" w:rsidP="0026613F">
      <w:pPr>
        <w:spacing w:after="0" w:line="240" w:lineRule="auto"/>
        <w:rPr>
          <w:lang w:val="pl-PL"/>
        </w:rPr>
      </w:pPr>
      <w:r w:rsidRPr="0051299F">
        <w:rPr>
          <w:lang w:val="pl-PL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EB66B0" w14:textId="77777777" w:rsidR="00AB768C" w:rsidRPr="00AB768C" w:rsidRDefault="00AB768C" w:rsidP="00AB768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743E49" w14:textId="77777777" w:rsidR="00AB768C" w:rsidRPr="00AB768C" w:rsidRDefault="00AB768C" w:rsidP="00AB768C">
    <w:pPr>
      <w:pStyle w:val="HeaderCoverPag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C684A5" w14:textId="77777777" w:rsidR="00AB768C" w:rsidRPr="00AB768C" w:rsidRDefault="00AB768C" w:rsidP="00AB768C">
    <w:pPr>
      <w:pStyle w:val="HeaderCoverPag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ACAE86" w14:textId="77777777" w:rsidR="0026613F" w:rsidRDefault="0026613F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A8E39E" w14:textId="77777777" w:rsidR="0026613F" w:rsidRDefault="0026613F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FCFADD" w14:textId="77777777" w:rsidR="0026613F" w:rsidRDefault="0026613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26F3B"/>
    <w:multiLevelType w:val="hybridMultilevel"/>
    <w:tmpl w:val="09508BB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28424D"/>
    <w:multiLevelType w:val="multilevel"/>
    <w:tmpl w:val="1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CDF5AC8"/>
    <w:multiLevelType w:val="multilevel"/>
    <w:tmpl w:val="1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CE073D6"/>
    <w:multiLevelType w:val="multilevel"/>
    <w:tmpl w:val="1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DCC5FF6"/>
    <w:multiLevelType w:val="hybridMultilevel"/>
    <w:tmpl w:val="50CC3548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1C6986"/>
    <w:multiLevelType w:val="hybridMultilevel"/>
    <w:tmpl w:val="DA848B1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4E0E23"/>
    <w:multiLevelType w:val="multilevel"/>
    <w:tmpl w:val="1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52C63A5E"/>
    <w:multiLevelType w:val="hybridMultilevel"/>
    <w:tmpl w:val="F9364B92"/>
    <w:lvl w:ilvl="0" w:tplc="A9F6C668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A33A61"/>
    <w:multiLevelType w:val="hybridMultilevel"/>
    <w:tmpl w:val="614AD90C"/>
    <w:lvl w:ilvl="0" w:tplc="65E68BD4">
      <w:start w:val="1"/>
      <w:numFmt w:val="decimal"/>
      <w:pStyle w:val="NormalPara"/>
      <w:lvlText w:val="%1."/>
      <w:lvlJc w:val="left"/>
      <w:pPr>
        <w:ind w:left="720" w:hanging="720"/>
      </w:pPr>
      <w:rPr>
        <w:rFonts w:hint="default"/>
        <w:b w:val="0"/>
        <w:color w:val="595959" w:themeColor="text1" w:themeTint="A6"/>
        <w:vertAlign w:val="baseline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3459B8"/>
    <w:multiLevelType w:val="hybridMultilevel"/>
    <w:tmpl w:val="71BA7FB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457BA6"/>
    <w:multiLevelType w:val="hybridMultilevel"/>
    <w:tmpl w:val="7512A1E4"/>
    <w:lvl w:ilvl="0" w:tplc="7618F7F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C20FFC"/>
    <w:multiLevelType w:val="multilevel"/>
    <w:tmpl w:val="1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8"/>
  </w:num>
  <w:num w:numId="2">
    <w:abstractNumId w:val="2"/>
  </w:num>
  <w:num w:numId="3">
    <w:abstractNumId w:val="8"/>
  </w:num>
  <w:num w:numId="4">
    <w:abstractNumId w:val="11"/>
  </w:num>
  <w:num w:numId="5">
    <w:abstractNumId w:val="3"/>
  </w:num>
  <w:num w:numId="6">
    <w:abstractNumId w:val="6"/>
  </w:num>
  <w:num w:numId="7">
    <w:abstractNumId w:val="7"/>
  </w:num>
  <w:num w:numId="8">
    <w:abstractNumId w:val="5"/>
  </w:num>
  <w:num w:numId="9">
    <w:abstractNumId w:val="4"/>
  </w:num>
  <w:num w:numId="10">
    <w:abstractNumId w:val="1"/>
  </w:num>
  <w:num w:numId="11">
    <w:abstractNumId w:val="0"/>
  </w:num>
  <w:num w:numId="12">
    <w:abstractNumId w:val="9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revisionView w:markup="0"/>
  <w:defaultTabStop w:val="720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R_RefLast" w:val="0"/>
    <w:docVar w:name="DocStatus" w:val="Green"/>
    <w:docVar w:name="LW_ACCOMPAGNANT.CP" w:val="Towarzyszący dokumentowi:"/>
    <w:docVar w:name="LW_CORRIGENDUM" w:val="&lt;UNUSED&gt;"/>
    <w:docVar w:name="LW_COVERPAGE_EXISTS" w:val="True"/>
    <w:docVar w:name="LW_COVERPAGE_GUID" w:val="C339DD3D-5F4A-4A07-8B73-5076178F991A"/>
    <w:docVar w:name="LW_COVERPAGE_TYPE" w:val="1"/>
    <w:docVar w:name="LW_CROSSREFERENCE" w:val="{COM(2023) 533 final} - {SEC(2023) 313 final} - {SWD(2023) 312 final} - {SWD(2023) 314 final}"/>
    <w:docVar w:name="LW_DocType" w:val="NORMAL"/>
    <w:docVar w:name="LW_EMISSION" w:val="12.9.2023"/>
    <w:docVar w:name="LW_EMISSION_ISODATE" w:val="2023-09-12"/>
    <w:docVar w:name="LW_EMISSION_LOCATION" w:val="STR"/>
    <w:docVar w:name="LW_EMISSION_PREFIX" w:val="Strasburg, dnia "/>
    <w:docVar w:name="LW_EMISSION_SUFFIX" w:val=" r."/>
    <w:docVar w:name="LW_ID_DOCTYPE_NONLW" w:val="CP-027"/>
    <w:docVar w:name="LW_LANGUE" w:val="PL"/>
    <w:docVar w:name="LW_LEVEL_OF_SENSITIVITY" w:val="Standard treatment"/>
    <w:docVar w:name="LW_NOM.INST" w:val="KOMISJA EUROPEJSKA"/>
    <w:docVar w:name="LW_NOM.INST_JOINTDOC" w:val="&lt;EMPTY&gt;"/>
    <w:docVar w:name="LW_OBJETACTEPRINCIPAL.CP" w:val="w sprawie zwalczania opóźnień w płatnościach w transakcjach handlowych"/>
    <w:docVar w:name="LW_PART_NBR" w:val="1"/>
    <w:docVar w:name="LW_PART_NBR_TOTAL" w:val="1"/>
    <w:docVar w:name="LW_REF.INST.NEW" w:val="SWD"/>
    <w:docVar w:name="LW_REF.INST.NEW_ADOPTED" w:val="final"/>
    <w:docVar w:name="LW_REF.INST.NEW_TEXT" w:val="(2023) 313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Config isAvailable=&quot;false&quot; isMandatory=&quot;false&quot; sensitiveMarkingMandatory=&quot;false&quot; specialMarkingMandatory=&quot;true&quot; isOptionDisplayInHeaderAvailable=&quot;true&quot; sensitiveMarkingListSee=&quot;SensitiveMarkings&quot; specialMarkingListSee=&quot;SpecialMarkings&quot; sensitiveFootnoteTextSee=&quot;sensitiveFootnote&quot; specialFootnoteTextSee=&quot;specialFootnote&quot; /&gt;_x000d__x000a_  &lt;chosenMainMarking xsi:nil=&quot;true&quot; /&gt;_x000d__x000a_  &lt;dateMarking xsi:nil=&quot;true&quot; /&gt;_x000d__x000a_  &lt;releasableToConfig isAvailable=&quot;false&quot; institutionListSee=&quot;DefaultInstitutions&quot; /&gt;_x000d__x000a_  &lt;chosenReleasableTo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isRestricted&gt;false&lt;/isRestricted&gt;_x000d__x000a_&lt;/SensitivityLevel&gt;"/>
    <w:docVar w:name="LW_SUPERTITRE" w:val="&lt;UNUSED&gt;"/>
    <w:docVar w:name="LW_TITRE.OBJ.CP" w:val="&lt;FMT:Style_Marker&gt;[…]&lt;/FMT&gt;"/>
    <w:docVar w:name="LW_TYPE.DOC.CP" w:val="DOKUMENT ROBOCZY SŁUŻB KOMISJI_x000b__x000b_STRESZCZENIE SPRAWOZDANIA Z OCENY SKUTKÓW_x000b_"/>
    <w:docVar w:name="LW_TYPEACTEPRINCIPAL.CP" w:val="Wniosek_x000b_ROZPORZĄDZENIE PARLAMENTU EUROPEJSKIEGO I RADY"/>
    <w:docVar w:name="LwApiVersions" w:val="LW4CoDe 1.23.2.0; LW 8.0, Build 20211117"/>
  </w:docVars>
  <w:rsids>
    <w:rsidRoot w:val="0026613F"/>
    <w:rsid w:val="00003986"/>
    <w:rsid w:val="0002661A"/>
    <w:rsid w:val="00042A88"/>
    <w:rsid w:val="000452C3"/>
    <w:rsid w:val="000646C1"/>
    <w:rsid w:val="00072349"/>
    <w:rsid w:val="00076976"/>
    <w:rsid w:val="00083C43"/>
    <w:rsid w:val="00087749"/>
    <w:rsid w:val="000A0283"/>
    <w:rsid w:val="000A1CBA"/>
    <w:rsid w:val="000B250E"/>
    <w:rsid w:val="000B3E22"/>
    <w:rsid w:val="000D19ED"/>
    <w:rsid w:val="00100C2D"/>
    <w:rsid w:val="001110A5"/>
    <w:rsid w:val="0011219B"/>
    <w:rsid w:val="001179A1"/>
    <w:rsid w:val="001267D5"/>
    <w:rsid w:val="0016522A"/>
    <w:rsid w:val="00167A79"/>
    <w:rsid w:val="001702D5"/>
    <w:rsid w:val="00174E1D"/>
    <w:rsid w:val="0018151C"/>
    <w:rsid w:val="001837D4"/>
    <w:rsid w:val="001A344C"/>
    <w:rsid w:val="001A5012"/>
    <w:rsid w:val="001B221C"/>
    <w:rsid w:val="001C5D1E"/>
    <w:rsid w:val="001D11E3"/>
    <w:rsid w:val="001D7C6D"/>
    <w:rsid w:val="001E70FB"/>
    <w:rsid w:val="001F4BD5"/>
    <w:rsid w:val="001F6378"/>
    <w:rsid w:val="00200459"/>
    <w:rsid w:val="00207D22"/>
    <w:rsid w:val="0022001D"/>
    <w:rsid w:val="002208AF"/>
    <w:rsid w:val="0022330D"/>
    <w:rsid w:val="002371CE"/>
    <w:rsid w:val="00244926"/>
    <w:rsid w:val="002469DF"/>
    <w:rsid w:val="002529A1"/>
    <w:rsid w:val="00254AEF"/>
    <w:rsid w:val="00255030"/>
    <w:rsid w:val="00265BE4"/>
    <w:rsid w:val="0026613F"/>
    <w:rsid w:val="00267050"/>
    <w:rsid w:val="002834E8"/>
    <w:rsid w:val="00285AC6"/>
    <w:rsid w:val="00285E3C"/>
    <w:rsid w:val="0029670E"/>
    <w:rsid w:val="002A3CE6"/>
    <w:rsid w:val="002C0E3B"/>
    <w:rsid w:val="002C20B5"/>
    <w:rsid w:val="002D3117"/>
    <w:rsid w:val="002D491E"/>
    <w:rsid w:val="002E6052"/>
    <w:rsid w:val="002F54F9"/>
    <w:rsid w:val="00306A4C"/>
    <w:rsid w:val="00322EF1"/>
    <w:rsid w:val="00332085"/>
    <w:rsid w:val="003363B6"/>
    <w:rsid w:val="003379C7"/>
    <w:rsid w:val="00353023"/>
    <w:rsid w:val="003567C3"/>
    <w:rsid w:val="00357E7C"/>
    <w:rsid w:val="0037022F"/>
    <w:rsid w:val="003705C1"/>
    <w:rsid w:val="00375DEE"/>
    <w:rsid w:val="003B701C"/>
    <w:rsid w:val="003C02BC"/>
    <w:rsid w:val="003C4EAB"/>
    <w:rsid w:val="003C7734"/>
    <w:rsid w:val="003D3433"/>
    <w:rsid w:val="003F43C6"/>
    <w:rsid w:val="003F57FF"/>
    <w:rsid w:val="00403714"/>
    <w:rsid w:val="004078B1"/>
    <w:rsid w:val="004204AE"/>
    <w:rsid w:val="00421433"/>
    <w:rsid w:val="0042309A"/>
    <w:rsid w:val="004347AA"/>
    <w:rsid w:val="00440688"/>
    <w:rsid w:val="0044142C"/>
    <w:rsid w:val="00487F76"/>
    <w:rsid w:val="004A3979"/>
    <w:rsid w:val="004A6E4E"/>
    <w:rsid w:val="004B288D"/>
    <w:rsid w:val="004C065D"/>
    <w:rsid w:val="004C4D77"/>
    <w:rsid w:val="004E22CE"/>
    <w:rsid w:val="004F0E2E"/>
    <w:rsid w:val="004F64AA"/>
    <w:rsid w:val="00506CCD"/>
    <w:rsid w:val="0051299F"/>
    <w:rsid w:val="005204CC"/>
    <w:rsid w:val="005217F8"/>
    <w:rsid w:val="00523BBE"/>
    <w:rsid w:val="00532EA8"/>
    <w:rsid w:val="00533632"/>
    <w:rsid w:val="005418DD"/>
    <w:rsid w:val="0054438F"/>
    <w:rsid w:val="00545BA4"/>
    <w:rsid w:val="00556C51"/>
    <w:rsid w:val="005611B7"/>
    <w:rsid w:val="005612A7"/>
    <w:rsid w:val="00561D93"/>
    <w:rsid w:val="00567C43"/>
    <w:rsid w:val="005742BB"/>
    <w:rsid w:val="00581516"/>
    <w:rsid w:val="00584C96"/>
    <w:rsid w:val="00585392"/>
    <w:rsid w:val="00585F28"/>
    <w:rsid w:val="005B0872"/>
    <w:rsid w:val="005B7C12"/>
    <w:rsid w:val="005C082A"/>
    <w:rsid w:val="005C472C"/>
    <w:rsid w:val="005D20CD"/>
    <w:rsid w:val="005D3FEB"/>
    <w:rsid w:val="005D4FB0"/>
    <w:rsid w:val="005D5B0D"/>
    <w:rsid w:val="005E4BC2"/>
    <w:rsid w:val="005E7239"/>
    <w:rsid w:val="005F109D"/>
    <w:rsid w:val="005F5004"/>
    <w:rsid w:val="00600948"/>
    <w:rsid w:val="00613019"/>
    <w:rsid w:val="0061583A"/>
    <w:rsid w:val="00623693"/>
    <w:rsid w:val="00624693"/>
    <w:rsid w:val="00631F36"/>
    <w:rsid w:val="00636322"/>
    <w:rsid w:val="00675120"/>
    <w:rsid w:val="0068508E"/>
    <w:rsid w:val="006850D1"/>
    <w:rsid w:val="00685602"/>
    <w:rsid w:val="006939CA"/>
    <w:rsid w:val="006A6B87"/>
    <w:rsid w:val="006A7596"/>
    <w:rsid w:val="006B7141"/>
    <w:rsid w:val="006B73ED"/>
    <w:rsid w:val="006C7B9B"/>
    <w:rsid w:val="006D1333"/>
    <w:rsid w:val="006D2E90"/>
    <w:rsid w:val="006E1837"/>
    <w:rsid w:val="006E7EEF"/>
    <w:rsid w:val="006F0D07"/>
    <w:rsid w:val="006F4C18"/>
    <w:rsid w:val="00700610"/>
    <w:rsid w:val="0070527E"/>
    <w:rsid w:val="0070710A"/>
    <w:rsid w:val="00707DC8"/>
    <w:rsid w:val="007143F7"/>
    <w:rsid w:val="00722F01"/>
    <w:rsid w:val="00742A03"/>
    <w:rsid w:val="00744D29"/>
    <w:rsid w:val="007553ED"/>
    <w:rsid w:val="007702EB"/>
    <w:rsid w:val="00770AB8"/>
    <w:rsid w:val="00773149"/>
    <w:rsid w:val="007750B5"/>
    <w:rsid w:val="00783C63"/>
    <w:rsid w:val="00785791"/>
    <w:rsid w:val="00794DD9"/>
    <w:rsid w:val="00795653"/>
    <w:rsid w:val="007C274E"/>
    <w:rsid w:val="007C5BE0"/>
    <w:rsid w:val="007D0B11"/>
    <w:rsid w:val="007D729B"/>
    <w:rsid w:val="007F220D"/>
    <w:rsid w:val="00816ED6"/>
    <w:rsid w:val="00862A69"/>
    <w:rsid w:val="008631D4"/>
    <w:rsid w:val="008662E5"/>
    <w:rsid w:val="008716F6"/>
    <w:rsid w:val="00881D72"/>
    <w:rsid w:val="0089132E"/>
    <w:rsid w:val="008B34E4"/>
    <w:rsid w:val="008C31D7"/>
    <w:rsid w:val="008C79FF"/>
    <w:rsid w:val="008D1D40"/>
    <w:rsid w:val="008D6E1E"/>
    <w:rsid w:val="008F3C81"/>
    <w:rsid w:val="008F4D26"/>
    <w:rsid w:val="008F6B48"/>
    <w:rsid w:val="0092275E"/>
    <w:rsid w:val="00926746"/>
    <w:rsid w:val="0093398B"/>
    <w:rsid w:val="0094431A"/>
    <w:rsid w:val="00953785"/>
    <w:rsid w:val="00955C4A"/>
    <w:rsid w:val="00961C5E"/>
    <w:rsid w:val="00985EFC"/>
    <w:rsid w:val="00986840"/>
    <w:rsid w:val="00990A34"/>
    <w:rsid w:val="009935BE"/>
    <w:rsid w:val="009A22C0"/>
    <w:rsid w:val="009C4732"/>
    <w:rsid w:val="009C544A"/>
    <w:rsid w:val="009C54EB"/>
    <w:rsid w:val="009C6EFA"/>
    <w:rsid w:val="009D23F6"/>
    <w:rsid w:val="009D7C2A"/>
    <w:rsid w:val="009E38B7"/>
    <w:rsid w:val="009F1835"/>
    <w:rsid w:val="00A01AF7"/>
    <w:rsid w:val="00A16F7A"/>
    <w:rsid w:val="00A220B0"/>
    <w:rsid w:val="00A27B5F"/>
    <w:rsid w:val="00A302DF"/>
    <w:rsid w:val="00A307D5"/>
    <w:rsid w:val="00A42F26"/>
    <w:rsid w:val="00A47015"/>
    <w:rsid w:val="00A53289"/>
    <w:rsid w:val="00A56C38"/>
    <w:rsid w:val="00A56E31"/>
    <w:rsid w:val="00A608B2"/>
    <w:rsid w:val="00A62195"/>
    <w:rsid w:val="00A7146F"/>
    <w:rsid w:val="00A96C5E"/>
    <w:rsid w:val="00AA2E9E"/>
    <w:rsid w:val="00AB768C"/>
    <w:rsid w:val="00AC16AA"/>
    <w:rsid w:val="00AC7F43"/>
    <w:rsid w:val="00AE1491"/>
    <w:rsid w:val="00AE1BF3"/>
    <w:rsid w:val="00AE45BE"/>
    <w:rsid w:val="00AF70F0"/>
    <w:rsid w:val="00B05444"/>
    <w:rsid w:val="00B1566B"/>
    <w:rsid w:val="00B176B8"/>
    <w:rsid w:val="00B22114"/>
    <w:rsid w:val="00B23EBD"/>
    <w:rsid w:val="00B35A1C"/>
    <w:rsid w:val="00B406E1"/>
    <w:rsid w:val="00B5440B"/>
    <w:rsid w:val="00B561C6"/>
    <w:rsid w:val="00B57AB6"/>
    <w:rsid w:val="00B636BB"/>
    <w:rsid w:val="00B65696"/>
    <w:rsid w:val="00B67A07"/>
    <w:rsid w:val="00B74A25"/>
    <w:rsid w:val="00B84581"/>
    <w:rsid w:val="00B845C1"/>
    <w:rsid w:val="00BC3D3C"/>
    <w:rsid w:val="00BC48DF"/>
    <w:rsid w:val="00BE5557"/>
    <w:rsid w:val="00BF7763"/>
    <w:rsid w:val="00C11E27"/>
    <w:rsid w:val="00C15F72"/>
    <w:rsid w:val="00C2047A"/>
    <w:rsid w:val="00C2512C"/>
    <w:rsid w:val="00C343C9"/>
    <w:rsid w:val="00C35E8D"/>
    <w:rsid w:val="00C373FA"/>
    <w:rsid w:val="00C47689"/>
    <w:rsid w:val="00C47B7A"/>
    <w:rsid w:val="00C5297C"/>
    <w:rsid w:val="00C53032"/>
    <w:rsid w:val="00C606C9"/>
    <w:rsid w:val="00C6364D"/>
    <w:rsid w:val="00C67FEE"/>
    <w:rsid w:val="00C7125D"/>
    <w:rsid w:val="00C756E5"/>
    <w:rsid w:val="00C778AF"/>
    <w:rsid w:val="00C80FD0"/>
    <w:rsid w:val="00CB4DD2"/>
    <w:rsid w:val="00CC05CE"/>
    <w:rsid w:val="00CD4FF3"/>
    <w:rsid w:val="00CD6D8A"/>
    <w:rsid w:val="00CE1868"/>
    <w:rsid w:val="00CE2E70"/>
    <w:rsid w:val="00CF65B3"/>
    <w:rsid w:val="00D1793E"/>
    <w:rsid w:val="00D20FD1"/>
    <w:rsid w:val="00D21916"/>
    <w:rsid w:val="00D271F8"/>
    <w:rsid w:val="00D35937"/>
    <w:rsid w:val="00D36E9A"/>
    <w:rsid w:val="00D37B9C"/>
    <w:rsid w:val="00D56606"/>
    <w:rsid w:val="00D57B48"/>
    <w:rsid w:val="00D616DE"/>
    <w:rsid w:val="00D62C50"/>
    <w:rsid w:val="00D827B7"/>
    <w:rsid w:val="00D92670"/>
    <w:rsid w:val="00DB13D9"/>
    <w:rsid w:val="00DC72D0"/>
    <w:rsid w:val="00DD6FE7"/>
    <w:rsid w:val="00DE4A38"/>
    <w:rsid w:val="00DF713A"/>
    <w:rsid w:val="00DF7FE4"/>
    <w:rsid w:val="00E14C58"/>
    <w:rsid w:val="00E1724F"/>
    <w:rsid w:val="00E226D8"/>
    <w:rsid w:val="00E255D6"/>
    <w:rsid w:val="00E3356D"/>
    <w:rsid w:val="00E437B9"/>
    <w:rsid w:val="00E50368"/>
    <w:rsid w:val="00E554BC"/>
    <w:rsid w:val="00E703BC"/>
    <w:rsid w:val="00E71BE4"/>
    <w:rsid w:val="00E71C2F"/>
    <w:rsid w:val="00E73D42"/>
    <w:rsid w:val="00E74D6E"/>
    <w:rsid w:val="00E76647"/>
    <w:rsid w:val="00E77448"/>
    <w:rsid w:val="00ED702B"/>
    <w:rsid w:val="00EE5E3B"/>
    <w:rsid w:val="00F0178B"/>
    <w:rsid w:val="00F070B4"/>
    <w:rsid w:val="00F17AA7"/>
    <w:rsid w:val="00F21A3E"/>
    <w:rsid w:val="00F21B36"/>
    <w:rsid w:val="00F2260A"/>
    <w:rsid w:val="00F24CC2"/>
    <w:rsid w:val="00F26591"/>
    <w:rsid w:val="00F31280"/>
    <w:rsid w:val="00F34E29"/>
    <w:rsid w:val="00F41EF1"/>
    <w:rsid w:val="00F41F5E"/>
    <w:rsid w:val="00F44D55"/>
    <w:rsid w:val="00F455A8"/>
    <w:rsid w:val="00F613FD"/>
    <w:rsid w:val="00F82DEA"/>
    <w:rsid w:val="00F82E88"/>
    <w:rsid w:val="00F9072E"/>
    <w:rsid w:val="00F92075"/>
    <w:rsid w:val="00F97C5C"/>
    <w:rsid w:val="00FB11C1"/>
    <w:rsid w:val="00FB7E4C"/>
    <w:rsid w:val="00FE3FED"/>
    <w:rsid w:val="00FF1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  <w14:docId w14:val="584A50AC"/>
  <w15:chartTrackingRefBased/>
  <w15:docId w15:val="{C06031B9-DAFF-4D24-8216-215BE15B1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r">
    <w:name w:val="Marker"/>
    <w:basedOn w:val="DefaultParagraphFont"/>
    <w:rsid w:val="0026613F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rsid w:val="0026613F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2661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613F"/>
  </w:style>
  <w:style w:type="paragraph" w:styleId="Footer">
    <w:name w:val="footer"/>
    <w:basedOn w:val="Normal"/>
    <w:link w:val="FooterChar"/>
    <w:uiPriority w:val="99"/>
    <w:unhideWhenUsed/>
    <w:rsid w:val="002661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613F"/>
  </w:style>
  <w:style w:type="paragraph" w:customStyle="1" w:styleId="FooterCoverPage">
    <w:name w:val="Footer Cover Page"/>
    <w:basedOn w:val="Normal"/>
    <w:link w:val="FooterCoverPageChar"/>
    <w:rsid w:val="0026613F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sid w:val="0026613F"/>
    <w:rPr>
      <w:rFonts w:ascii="Times New Roman" w:hAnsi="Times New Roman" w:cs="Times New Roman"/>
      <w:sz w:val="24"/>
    </w:rPr>
  </w:style>
  <w:style w:type="paragraph" w:customStyle="1" w:styleId="FooterSensitivity">
    <w:name w:val="Footer Sensitivity"/>
    <w:basedOn w:val="Normal"/>
    <w:link w:val="FooterSensitivityChar"/>
    <w:rsid w:val="0026613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FooterSensitivityChar">
    <w:name w:val="Footer Sensitivity Char"/>
    <w:basedOn w:val="DefaultParagraphFont"/>
    <w:link w:val="FooterSensitivity"/>
    <w:rsid w:val="0026613F"/>
    <w:rPr>
      <w:rFonts w:ascii="Times New Roman" w:hAnsi="Times New Roman" w:cs="Times New Roman"/>
      <w:b/>
      <w:sz w:val="32"/>
    </w:rPr>
  </w:style>
  <w:style w:type="paragraph" w:customStyle="1" w:styleId="HeaderCoverPage">
    <w:name w:val="Header Cover Page"/>
    <w:basedOn w:val="Normal"/>
    <w:link w:val="HeaderCoverPageChar"/>
    <w:rsid w:val="0026613F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sid w:val="0026613F"/>
    <w:rPr>
      <w:rFonts w:ascii="Times New Roman" w:hAnsi="Times New Roman" w:cs="Times New Roman"/>
      <w:sz w:val="24"/>
    </w:rPr>
  </w:style>
  <w:style w:type="paragraph" w:customStyle="1" w:styleId="HeaderSensitivity">
    <w:name w:val="Header Sensitivity"/>
    <w:basedOn w:val="Normal"/>
    <w:link w:val="HeaderSensitivityChar"/>
    <w:rsid w:val="0026613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HeaderSensitivityChar">
    <w:name w:val="Header Sensitivity Char"/>
    <w:basedOn w:val="DefaultParagraphFont"/>
    <w:link w:val="HeaderSensitivity"/>
    <w:rsid w:val="0026613F"/>
    <w:rPr>
      <w:rFonts w:ascii="Times New Roman" w:hAnsi="Times New Roman" w:cs="Times New Roman"/>
      <w:b/>
      <w:sz w:val="32"/>
    </w:rPr>
  </w:style>
  <w:style w:type="paragraph" w:customStyle="1" w:styleId="HeaderSensitivityRight">
    <w:name w:val="Header Sensitivity Right"/>
    <w:basedOn w:val="Normal"/>
    <w:link w:val="HeaderSensitivityRightChar"/>
    <w:rsid w:val="0026613F"/>
    <w:pPr>
      <w:spacing w:after="120" w:line="240" w:lineRule="auto"/>
      <w:jc w:val="right"/>
    </w:pPr>
    <w:rPr>
      <w:rFonts w:ascii="Times New Roman" w:hAnsi="Times New Roman" w:cs="Times New Roman"/>
      <w:sz w:val="28"/>
    </w:rPr>
  </w:style>
  <w:style w:type="character" w:customStyle="1" w:styleId="HeaderSensitivityRightChar">
    <w:name w:val="Header Sensitivity Right Char"/>
    <w:basedOn w:val="DefaultParagraphFont"/>
    <w:link w:val="HeaderSensitivityRight"/>
    <w:rsid w:val="0026613F"/>
    <w:rPr>
      <w:rFonts w:ascii="Times New Roman" w:hAnsi="Times New Roman" w:cs="Times New Roman"/>
      <w:sz w:val="28"/>
    </w:rPr>
  </w:style>
  <w:style w:type="table" w:styleId="TableGrid">
    <w:name w:val="Table Grid"/>
    <w:basedOn w:val="TableNormal"/>
    <w:uiPriority w:val="59"/>
    <w:rsid w:val="007553E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ypeacteprincipalcp">
    <w:name w:val="typeacteprincipal_cp"/>
    <w:basedOn w:val="Normal"/>
    <w:rsid w:val="007553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</w:rPr>
  </w:style>
  <w:style w:type="paragraph" w:customStyle="1" w:styleId="objetacteprincipalcp">
    <w:name w:val="objetacteprincipal_cp"/>
    <w:basedOn w:val="Normal"/>
    <w:rsid w:val="007553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</w:rPr>
  </w:style>
  <w:style w:type="character" w:styleId="Hyperlink">
    <w:name w:val="Hyperlink"/>
    <w:basedOn w:val="DefaultParagraphFont"/>
    <w:uiPriority w:val="99"/>
    <w:unhideWhenUsed/>
    <w:rsid w:val="001A5012"/>
    <w:rPr>
      <w:rFonts w:ascii="Times New Roman" w:hAnsi="Times New Roman"/>
      <w:color w:val="0000FF" w:themeColor="hyperlink"/>
      <w:u w:val="single"/>
    </w:rPr>
  </w:style>
  <w:style w:type="character" w:styleId="CommentReference">
    <w:name w:val="annotation reference"/>
    <w:basedOn w:val="DefaultParagraphFont"/>
    <w:unhideWhenUsed/>
    <w:qFormat/>
    <w:rsid w:val="001A5012"/>
    <w:rPr>
      <w:sz w:val="16"/>
    </w:rPr>
  </w:style>
  <w:style w:type="paragraph" w:styleId="CommentText">
    <w:name w:val="annotation text"/>
    <w:basedOn w:val="Normal"/>
    <w:link w:val="CommentTextChar"/>
    <w:unhideWhenUsed/>
    <w:qFormat/>
    <w:rsid w:val="001A5012"/>
    <w:pPr>
      <w:spacing w:after="240" w:line="240" w:lineRule="auto"/>
      <w:jc w:val="both"/>
    </w:pPr>
    <w:rPr>
      <w:rFonts w:ascii="Times New Roman" w:hAnsi="Times New Roman" w:cs="Times New Roman"/>
      <w:sz w:val="20"/>
    </w:rPr>
  </w:style>
  <w:style w:type="character" w:customStyle="1" w:styleId="CommentTextChar">
    <w:name w:val="Comment Text Char"/>
    <w:basedOn w:val="DefaultParagraphFont"/>
    <w:link w:val="CommentText"/>
    <w:rsid w:val="001A5012"/>
    <w:rPr>
      <w:rFonts w:ascii="Times New Roman" w:hAnsi="Times New Roman" w:cs="Times New Roman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5012"/>
    <w:pPr>
      <w:spacing w:after="0" w:line="240" w:lineRule="auto"/>
    </w:pPr>
    <w:rPr>
      <w:rFonts w:ascii="Segoe UI" w:hAnsi="Segoe UI" w:cs="Segoe UI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5012"/>
    <w:rPr>
      <w:rFonts w:ascii="Segoe UI" w:hAnsi="Segoe UI" w:cs="Segoe UI"/>
      <w:sz w:val="18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B67A07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qFormat/>
    <w:rsid w:val="00B67A07"/>
    <w:rPr>
      <w:rFonts w:ascii="Times New Roman" w:eastAsiaTheme="minorEastAsia" w:hAnsi="Times New Roman" w:cs="Times New Roman"/>
      <w:sz w:val="20"/>
    </w:rPr>
  </w:style>
  <w:style w:type="character" w:styleId="FootnoteReference">
    <w:name w:val="footnote reference"/>
    <w:basedOn w:val="DefaultParagraphFont"/>
    <w:link w:val="CharCharChar1"/>
    <w:uiPriority w:val="99"/>
    <w:unhideWhenUsed/>
    <w:qFormat/>
    <w:rsid w:val="00B67A07"/>
    <w:rPr>
      <w:rFonts w:ascii="Times New Roman" w:hAnsi="Times New Roman" w:cs="Times New Roman"/>
      <w:sz w:val="24"/>
      <w:vertAlign w:val="superscript"/>
    </w:rPr>
  </w:style>
  <w:style w:type="paragraph" w:customStyle="1" w:styleId="CharCharChar1">
    <w:name w:val="Char Char Char1"/>
    <w:basedOn w:val="Normal"/>
    <w:link w:val="FootnoteReference"/>
    <w:uiPriority w:val="99"/>
    <w:rsid w:val="006C7B9B"/>
    <w:pPr>
      <w:spacing w:after="160" w:line="240" w:lineRule="exact"/>
      <w:jc w:val="both"/>
    </w:pPr>
    <w:rPr>
      <w:rFonts w:ascii="Times New Roman" w:hAnsi="Times New Roman" w:cs="Times New Roman"/>
      <w:sz w:val="24"/>
      <w:vertAlign w:val="superscript"/>
    </w:rPr>
  </w:style>
  <w:style w:type="character" w:customStyle="1" w:styleId="normaltextrun">
    <w:name w:val="normaltextrun"/>
    <w:basedOn w:val="DefaultParagraphFont"/>
    <w:rsid w:val="006C7B9B"/>
  </w:style>
  <w:style w:type="character" w:customStyle="1" w:styleId="eop">
    <w:name w:val="eop"/>
    <w:basedOn w:val="DefaultParagraphFont"/>
    <w:rsid w:val="006C7B9B"/>
  </w:style>
  <w:style w:type="paragraph" w:customStyle="1" w:styleId="NormalPara">
    <w:name w:val="Normal # Para"/>
    <w:basedOn w:val="Normal"/>
    <w:qFormat/>
    <w:rsid w:val="006C7B9B"/>
    <w:pPr>
      <w:numPr>
        <w:numId w:val="1"/>
      </w:numPr>
      <w:spacing w:after="240" w:line="240" w:lineRule="auto"/>
      <w:jc w:val="both"/>
    </w:pPr>
    <w:rPr>
      <w:rFonts w:ascii="Times New Roman" w:hAnsi="Times New Roman" w:cs="Times New Roman"/>
      <w:sz w:val="24"/>
    </w:rPr>
  </w:style>
  <w:style w:type="paragraph" w:styleId="ListParagraph">
    <w:name w:val="List Paragraph"/>
    <w:basedOn w:val="Normal"/>
    <w:uiPriority w:val="34"/>
    <w:qFormat/>
    <w:rsid w:val="00A16F7A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6B7141"/>
    <w:rPr>
      <w:color w:val="800080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4D6E"/>
    <w:pPr>
      <w:spacing w:after="200"/>
      <w:jc w:val="left"/>
    </w:pPr>
    <w:rPr>
      <w:rFonts w:asciiTheme="minorHAnsi" w:hAnsiTheme="minorHAnsi" w:cstheme="minorBidi"/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4D6E"/>
    <w:rPr>
      <w:rFonts w:ascii="Times New Roman" w:hAnsi="Times New Roman" w:cs="Times New Roman"/>
      <w:b/>
      <w:sz w:val="20"/>
    </w:rPr>
  </w:style>
  <w:style w:type="paragraph" w:customStyle="1" w:styleId="Text2">
    <w:name w:val="Text 2"/>
    <w:basedOn w:val="Normal"/>
    <w:rsid w:val="001E70FB"/>
    <w:pPr>
      <w:tabs>
        <w:tab w:val="left" w:pos="2302"/>
      </w:tabs>
      <w:spacing w:after="240" w:line="240" w:lineRule="auto"/>
      <w:ind w:left="1202"/>
      <w:jc w:val="both"/>
    </w:pPr>
    <w:rPr>
      <w:rFonts w:ascii="Times New Roman" w:eastAsia="Times New Roman" w:hAnsi="Times New Roman" w:cs="Times New Roman"/>
      <w:sz w:val="24"/>
    </w:rPr>
  </w:style>
  <w:style w:type="paragraph" w:styleId="NormalWeb">
    <w:name w:val="Normal (Web)"/>
    <w:basedOn w:val="Normal"/>
    <w:uiPriority w:val="99"/>
    <w:semiHidden/>
    <w:unhideWhenUsed/>
    <w:rsid w:val="000452C3"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Revision">
    <w:name w:val="Revision"/>
    <w:hidden/>
    <w:uiPriority w:val="99"/>
    <w:semiHidden/>
    <w:rsid w:val="009C54EB"/>
    <w:pPr>
      <w:spacing w:after="0" w:line="240" w:lineRule="auto"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343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87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16E3CD-B37D-4DE4-83E0-CC92D3DF8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1981</Words>
  <Characters>13909</Characters>
  <Application>Microsoft Office Word</Application>
  <DocSecurity>0</DocSecurity>
  <Lines>224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EC CoDe</cp:lastModifiedBy>
  <cp:revision>36</cp:revision>
  <dcterms:created xsi:type="dcterms:W3CDTF">2023-08-11T13:38:00Z</dcterms:created>
  <dcterms:modified xsi:type="dcterms:W3CDTF">2023-09-27T15:52:00Z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evel of sensitivity">
    <vt:lpwstr>Standard treatment</vt:lpwstr>
  </property>
  <property fmtid="{D5CDD505-2E9C-101B-9397-08002B2CF9AE}" pid="3" name="Part">
    <vt:lpwstr>1</vt:lpwstr>
  </property>
  <property fmtid="{D5CDD505-2E9C-101B-9397-08002B2CF9AE}" pid="4" name="Total parts">
    <vt:lpwstr>1</vt:lpwstr>
  </property>
  <property fmtid="{D5CDD505-2E9C-101B-9397-08002B2CF9AE}" pid="5" name="DocStatus">
    <vt:lpwstr>Green</vt:lpwstr>
  </property>
  <property fmtid="{D5CDD505-2E9C-101B-9397-08002B2CF9AE}" pid="6" name="CPTemplateID">
    <vt:lpwstr>CP-027</vt:lpwstr>
  </property>
  <property fmtid="{D5CDD505-2E9C-101B-9397-08002B2CF9AE}" pid="7" name="Last edited using">
    <vt:lpwstr>LW 9.0, Build 20230317</vt:lpwstr>
  </property>
  <property fmtid="{D5CDD505-2E9C-101B-9397-08002B2CF9AE}" pid="8" name="Created using">
    <vt:lpwstr>LW 7.0.1, Build 20190916</vt:lpwstr>
  </property>
  <property fmtid="{D5CDD505-2E9C-101B-9397-08002B2CF9AE}" pid="9" name="MSIP_Label_6bd9ddd1-4d20-43f6-abfa-fc3c07406f94_Enabled">
    <vt:lpwstr>true</vt:lpwstr>
  </property>
  <property fmtid="{D5CDD505-2E9C-101B-9397-08002B2CF9AE}" pid="10" name="MSIP_Label_6bd9ddd1-4d20-43f6-abfa-fc3c07406f94_SetDate">
    <vt:lpwstr>2023-04-05T16:24:08Z</vt:lpwstr>
  </property>
  <property fmtid="{D5CDD505-2E9C-101B-9397-08002B2CF9AE}" pid="11" name="MSIP_Label_6bd9ddd1-4d20-43f6-abfa-fc3c07406f94_Method">
    <vt:lpwstr>Standard</vt:lpwstr>
  </property>
  <property fmtid="{D5CDD505-2E9C-101B-9397-08002B2CF9AE}" pid="12" name="MSIP_Label_6bd9ddd1-4d20-43f6-abfa-fc3c07406f94_Name">
    <vt:lpwstr>Commission Use</vt:lpwstr>
  </property>
  <property fmtid="{D5CDD505-2E9C-101B-9397-08002B2CF9AE}" pid="13" name="MSIP_Label_6bd9ddd1-4d20-43f6-abfa-fc3c07406f94_SiteId">
    <vt:lpwstr>b24c8b06-522c-46fe-9080-70926f8dddb1</vt:lpwstr>
  </property>
  <property fmtid="{D5CDD505-2E9C-101B-9397-08002B2CF9AE}" pid="14" name="MSIP_Label_6bd9ddd1-4d20-43f6-abfa-fc3c07406f94_ActionId">
    <vt:lpwstr>e15f6d5e-a5c0-44ab-8224-aab3c69b35dd</vt:lpwstr>
  </property>
  <property fmtid="{D5CDD505-2E9C-101B-9397-08002B2CF9AE}" pid="15" name="MSIP_Label_6bd9ddd1-4d20-43f6-abfa-fc3c07406f94_ContentBits">
    <vt:lpwstr>0</vt:lpwstr>
  </property>
</Properties>
</file>